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1E3" w:rsidRPr="00CA5C8B">
        <w:trPr>
          <w:cantSplit/>
        </w:trPr>
        <w:tc>
          <w:tcPr>
            <w:tcW w:w="6911" w:type="dxa"/>
          </w:tcPr>
          <w:p w:rsidR="005371E3" w:rsidRPr="00CA5C8B" w:rsidRDefault="00212994" w:rsidP="00212994">
            <w:pPr>
              <w:spacing w:before="240" w:after="48" w:line="240" w:lineRule="atLeast"/>
              <w:rPr>
                <w:rFonts w:cstheme="minorHAnsi"/>
                <w:b/>
                <w:bCs/>
                <w:position w:val="6"/>
              </w:rPr>
            </w:pPr>
            <w:r w:rsidRPr="00CA5C8B">
              <w:rPr>
                <w:b/>
                <w:sz w:val="26"/>
                <w:szCs w:val="26"/>
              </w:rPr>
              <w:t>Всемирная конференция по международной электросвязи (ВКМЭ-12)</w:t>
            </w:r>
            <w:r w:rsidR="005371E3" w:rsidRPr="00CA5C8B">
              <w:rPr>
                <w:rFonts w:cstheme="minorHAnsi"/>
                <w:b/>
                <w:bCs/>
                <w:position w:val="6"/>
                <w:sz w:val="28"/>
                <w:szCs w:val="28"/>
              </w:rPr>
              <w:br/>
            </w:r>
            <w:r w:rsidRPr="00CA5C8B">
              <w:rPr>
                <w:b/>
                <w:szCs w:val="22"/>
              </w:rPr>
              <w:t>Дубай, 3−14 декабря 2012 года</w:t>
            </w:r>
          </w:p>
        </w:tc>
        <w:tc>
          <w:tcPr>
            <w:tcW w:w="3120" w:type="dxa"/>
          </w:tcPr>
          <w:p w:rsidR="005371E3" w:rsidRPr="00CA5C8B" w:rsidRDefault="005371E3" w:rsidP="005371E3">
            <w:pPr>
              <w:spacing w:before="0" w:line="240" w:lineRule="atLeast"/>
              <w:rPr>
                <w:rFonts w:cstheme="minorHAnsi"/>
              </w:rPr>
            </w:pPr>
            <w:bookmarkStart w:id="0" w:name="ditulogo"/>
            <w:bookmarkEnd w:id="0"/>
            <w:r w:rsidRPr="00CA5C8B">
              <w:rPr>
                <w:rFonts w:cstheme="minorHAnsi"/>
                <w:noProof/>
                <w:szCs w:val="22"/>
                <w:lang w:val="en-US" w:eastAsia="zh-CN"/>
              </w:rPr>
              <w:drawing>
                <wp:inline distT="0" distB="0" distL="0" distR="0" wp14:anchorId="1DE6DC36" wp14:editId="3C9AD118">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CA5C8B">
        <w:trPr>
          <w:cantSplit/>
        </w:trPr>
        <w:tc>
          <w:tcPr>
            <w:tcW w:w="6911" w:type="dxa"/>
            <w:tcBorders>
              <w:bottom w:val="single" w:sz="12" w:space="0" w:color="auto"/>
            </w:tcBorders>
          </w:tcPr>
          <w:p w:rsidR="005651C9" w:rsidRPr="00CA5C8B" w:rsidRDefault="005651C9">
            <w:pPr>
              <w:spacing w:after="48" w:line="240" w:lineRule="atLeast"/>
              <w:rPr>
                <w:rFonts w:cstheme="minorHAnsi"/>
                <w:b/>
                <w:smallCaps/>
                <w:szCs w:val="22"/>
              </w:rPr>
            </w:pPr>
            <w:bookmarkStart w:id="1" w:name="dhead"/>
          </w:p>
        </w:tc>
        <w:tc>
          <w:tcPr>
            <w:tcW w:w="3120" w:type="dxa"/>
            <w:tcBorders>
              <w:bottom w:val="single" w:sz="12" w:space="0" w:color="auto"/>
            </w:tcBorders>
          </w:tcPr>
          <w:p w:rsidR="005651C9" w:rsidRPr="00CA5C8B" w:rsidRDefault="005651C9">
            <w:pPr>
              <w:spacing w:line="240" w:lineRule="atLeast"/>
              <w:rPr>
                <w:rFonts w:cstheme="minorHAnsi"/>
                <w:szCs w:val="22"/>
              </w:rPr>
            </w:pPr>
          </w:p>
        </w:tc>
      </w:tr>
      <w:tr w:rsidR="005651C9" w:rsidRPr="00CA5C8B" w:rsidTr="005651C9">
        <w:trPr>
          <w:cantSplit/>
        </w:trPr>
        <w:tc>
          <w:tcPr>
            <w:tcW w:w="6911" w:type="dxa"/>
            <w:tcBorders>
              <w:top w:val="single" w:sz="12" w:space="0" w:color="auto"/>
            </w:tcBorders>
          </w:tcPr>
          <w:p w:rsidR="005651C9" w:rsidRPr="00CA5C8B" w:rsidRDefault="005651C9" w:rsidP="005651C9">
            <w:pPr>
              <w:spacing w:before="0" w:after="48" w:line="240" w:lineRule="atLeast"/>
              <w:rPr>
                <w:rFonts w:cstheme="minorHAnsi"/>
                <w:b/>
                <w:smallCaps/>
                <w:sz w:val="18"/>
                <w:szCs w:val="22"/>
              </w:rPr>
            </w:pPr>
            <w:bookmarkStart w:id="2" w:name="dspace"/>
          </w:p>
        </w:tc>
        <w:tc>
          <w:tcPr>
            <w:tcW w:w="3120" w:type="dxa"/>
            <w:tcBorders>
              <w:top w:val="single" w:sz="12" w:space="0" w:color="auto"/>
            </w:tcBorders>
          </w:tcPr>
          <w:p w:rsidR="005651C9" w:rsidRPr="00CA5C8B" w:rsidRDefault="005651C9" w:rsidP="005651C9">
            <w:pPr>
              <w:spacing w:before="0" w:line="240" w:lineRule="atLeast"/>
              <w:rPr>
                <w:rFonts w:cstheme="minorHAnsi"/>
                <w:sz w:val="18"/>
                <w:szCs w:val="22"/>
              </w:rPr>
            </w:pPr>
          </w:p>
        </w:tc>
      </w:tr>
      <w:bookmarkEnd w:id="1"/>
      <w:bookmarkEnd w:id="2"/>
      <w:tr w:rsidR="00E03FE4" w:rsidRPr="00CA5C8B" w:rsidTr="005651C9">
        <w:trPr>
          <w:cantSplit/>
        </w:trPr>
        <w:tc>
          <w:tcPr>
            <w:tcW w:w="6911" w:type="dxa"/>
            <w:vMerge w:val="restart"/>
          </w:tcPr>
          <w:p w:rsidR="00E03FE4" w:rsidRPr="00CA5C8B" w:rsidRDefault="00E71F4F" w:rsidP="005651C9">
            <w:pPr>
              <w:spacing w:before="0" w:after="48" w:line="240" w:lineRule="atLeast"/>
              <w:rPr>
                <w:rFonts w:cstheme="minorHAnsi"/>
                <w:b/>
                <w:smallCaps/>
                <w:szCs w:val="28"/>
              </w:rPr>
            </w:pPr>
            <w:r>
              <w:rPr>
                <w:rFonts w:cs="Calibri"/>
                <w:b/>
                <w:smallCaps/>
                <w:szCs w:val="22"/>
              </w:rPr>
              <w:t>ПЛЕНАРНОЕ ЗАСЕДАНИЕ</w:t>
            </w:r>
            <w:bookmarkStart w:id="3" w:name="_GoBack"/>
            <w:bookmarkEnd w:id="3"/>
          </w:p>
        </w:tc>
        <w:tc>
          <w:tcPr>
            <w:tcW w:w="3120" w:type="dxa"/>
          </w:tcPr>
          <w:p w:rsidR="00E03FE4" w:rsidRPr="00CA5C8B" w:rsidRDefault="00E03FE4" w:rsidP="00F22C3D">
            <w:pPr>
              <w:tabs>
                <w:tab w:val="left" w:pos="851"/>
              </w:tabs>
              <w:spacing w:before="0" w:line="240" w:lineRule="atLeast"/>
              <w:rPr>
                <w:rFonts w:cstheme="minorHAnsi"/>
                <w:b/>
                <w:szCs w:val="28"/>
              </w:rPr>
            </w:pPr>
            <w:r w:rsidRPr="00CA5C8B">
              <w:rPr>
                <w:rFonts w:cstheme="minorHAnsi"/>
                <w:b/>
                <w:bCs/>
                <w:szCs w:val="28"/>
              </w:rPr>
              <w:t>Документ 1</w:t>
            </w:r>
            <w:r w:rsidR="00F22C3D" w:rsidRPr="00CA5C8B">
              <w:rPr>
                <w:rFonts w:cstheme="minorHAnsi"/>
                <w:b/>
                <w:bCs/>
                <w:szCs w:val="28"/>
              </w:rPr>
              <w:t>6</w:t>
            </w:r>
            <w:r w:rsidRPr="00CA5C8B">
              <w:rPr>
                <w:rFonts w:cstheme="minorHAnsi"/>
                <w:b/>
                <w:bCs/>
                <w:szCs w:val="28"/>
              </w:rPr>
              <w:t>-R</w:t>
            </w:r>
          </w:p>
        </w:tc>
      </w:tr>
      <w:tr w:rsidR="00E03FE4" w:rsidRPr="00CA5C8B" w:rsidTr="005651C9">
        <w:trPr>
          <w:cantSplit/>
        </w:trPr>
        <w:tc>
          <w:tcPr>
            <w:tcW w:w="6911" w:type="dxa"/>
            <w:vMerge/>
          </w:tcPr>
          <w:p w:rsidR="00E03FE4" w:rsidRPr="00CA5C8B" w:rsidRDefault="00E03FE4" w:rsidP="005651C9">
            <w:pPr>
              <w:spacing w:before="0" w:after="48" w:line="240" w:lineRule="atLeast"/>
              <w:rPr>
                <w:rFonts w:cstheme="minorHAnsi"/>
                <w:b/>
                <w:smallCaps/>
                <w:szCs w:val="28"/>
              </w:rPr>
            </w:pPr>
          </w:p>
        </w:tc>
        <w:tc>
          <w:tcPr>
            <w:tcW w:w="3120" w:type="dxa"/>
          </w:tcPr>
          <w:p w:rsidR="00E03FE4" w:rsidRPr="00CA5C8B" w:rsidRDefault="00E03FE4" w:rsidP="00BF3E25">
            <w:pPr>
              <w:spacing w:before="0" w:line="240" w:lineRule="atLeast"/>
              <w:rPr>
                <w:rFonts w:cstheme="minorHAnsi"/>
                <w:szCs w:val="28"/>
              </w:rPr>
            </w:pPr>
            <w:r w:rsidRPr="00CA5C8B">
              <w:rPr>
                <w:rFonts w:cstheme="minorHAnsi"/>
                <w:b/>
                <w:bCs/>
                <w:szCs w:val="28"/>
              </w:rPr>
              <w:t>1</w:t>
            </w:r>
            <w:r w:rsidR="00F22C3D" w:rsidRPr="00CA5C8B">
              <w:rPr>
                <w:rFonts w:cstheme="minorHAnsi"/>
                <w:b/>
                <w:bCs/>
                <w:szCs w:val="28"/>
              </w:rPr>
              <w:t>2</w:t>
            </w:r>
            <w:r w:rsidRPr="00CA5C8B">
              <w:rPr>
                <w:rFonts w:cstheme="minorHAnsi"/>
                <w:b/>
                <w:bCs/>
                <w:szCs w:val="28"/>
              </w:rPr>
              <w:t xml:space="preserve"> октября 2012 года</w:t>
            </w:r>
          </w:p>
        </w:tc>
      </w:tr>
      <w:tr w:rsidR="00E03FE4" w:rsidRPr="00CA5C8B" w:rsidTr="005651C9">
        <w:trPr>
          <w:cantSplit/>
        </w:trPr>
        <w:tc>
          <w:tcPr>
            <w:tcW w:w="6911" w:type="dxa"/>
            <w:vMerge/>
          </w:tcPr>
          <w:p w:rsidR="00E03FE4" w:rsidRPr="00CA5C8B" w:rsidRDefault="00E03FE4" w:rsidP="005651C9">
            <w:pPr>
              <w:spacing w:before="0" w:after="48" w:line="240" w:lineRule="atLeast"/>
              <w:rPr>
                <w:rFonts w:cstheme="minorHAnsi"/>
                <w:b/>
                <w:smallCaps/>
                <w:szCs w:val="28"/>
              </w:rPr>
            </w:pPr>
          </w:p>
        </w:tc>
        <w:tc>
          <w:tcPr>
            <w:tcW w:w="3120" w:type="dxa"/>
          </w:tcPr>
          <w:p w:rsidR="00E03FE4" w:rsidRPr="00CA5C8B" w:rsidRDefault="00E03FE4" w:rsidP="00F22C3D">
            <w:pPr>
              <w:spacing w:before="0" w:line="240" w:lineRule="atLeast"/>
              <w:rPr>
                <w:rFonts w:cstheme="minorHAnsi"/>
                <w:szCs w:val="28"/>
              </w:rPr>
            </w:pPr>
            <w:r w:rsidRPr="00CA5C8B">
              <w:rPr>
                <w:rFonts w:cstheme="minorHAnsi"/>
                <w:b/>
                <w:bCs/>
                <w:szCs w:val="28"/>
              </w:rPr>
              <w:t xml:space="preserve">Оригинал: </w:t>
            </w:r>
            <w:r w:rsidR="00F22C3D" w:rsidRPr="00CA5C8B">
              <w:rPr>
                <w:rFonts w:cstheme="minorHAnsi"/>
                <w:b/>
                <w:bCs/>
                <w:szCs w:val="28"/>
              </w:rPr>
              <w:t>английский</w:t>
            </w:r>
          </w:p>
        </w:tc>
      </w:tr>
      <w:tr w:rsidR="005651C9" w:rsidRPr="00CA5C8B">
        <w:trPr>
          <w:cantSplit/>
        </w:trPr>
        <w:tc>
          <w:tcPr>
            <w:tcW w:w="10031" w:type="dxa"/>
            <w:gridSpan w:val="2"/>
          </w:tcPr>
          <w:p w:rsidR="005651C9" w:rsidRPr="00CA5C8B" w:rsidRDefault="002F509F" w:rsidP="005651C9">
            <w:pPr>
              <w:pStyle w:val="Source"/>
              <w:rPr>
                <w:szCs w:val="26"/>
              </w:rPr>
            </w:pPr>
            <w:bookmarkStart w:id="4" w:name="dsource" w:colFirst="0" w:colLast="0"/>
            <w:r w:rsidRPr="00CA5C8B">
              <w:rPr>
                <w:szCs w:val="26"/>
              </w:rPr>
              <w:t>Администрации европейских стран</w:t>
            </w:r>
          </w:p>
        </w:tc>
      </w:tr>
      <w:tr w:rsidR="005651C9" w:rsidRPr="00CA5C8B">
        <w:trPr>
          <w:cantSplit/>
        </w:trPr>
        <w:tc>
          <w:tcPr>
            <w:tcW w:w="10031" w:type="dxa"/>
            <w:gridSpan w:val="2"/>
          </w:tcPr>
          <w:p w:rsidR="005651C9" w:rsidRPr="00CA5C8B" w:rsidRDefault="002F509F" w:rsidP="005651C9">
            <w:pPr>
              <w:pStyle w:val="Title1"/>
              <w:rPr>
                <w:szCs w:val="26"/>
              </w:rPr>
            </w:pPr>
            <w:bookmarkStart w:id="5" w:name="dtitle1" w:colFirst="0" w:colLast="0"/>
            <w:bookmarkEnd w:id="4"/>
            <w:r w:rsidRPr="00CA5C8B">
              <w:rPr>
                <w:szCs w:val="26"/>
              </w:rPr>
              <w:t>ОБЩИЕ ПРЕДЛОЖЕНИЯ ЕВРОПЕЙСКИХ СТРАН ДЛЯ РАБОТЫ КОНФЕРЕНЦИИ</w:t>
            </w:r>
          </w:p>
        </w:tc>
      </w:tr>
      <w:tr w:rsidR="00F22C3D" w:rsidRPr="00CA5C8B">
        <w:trPr>
          <w:cantSplit/>
        </w:trPr>
        <w:tc>
          <w:tcPr>
            <w:tcW w:w="10031" w:type="dxa"/>
            <w:gridSpan w:val="2"/>
          </w:tcPr>
          <w:p w:rsidR="00F22C3D" w:rsidRPr="00CA5C8B" w:rsidRDefault="00F22C3D" w:rsidP="00F22C3D">
            <w:pPr>
              <w:pStyle w:val="Title2"/>
            </w:pPr>
          </w:p>
        </w:tc>
      </w:tr>
    </w:tbl>
    <w:bookmarkEnd w:id="5"/>
    <w:p w:rsidR="00E03FE4" w:rsidRPr="00CA5C8B" w:rsidRDefault="00E03FE4" w:rsidP="002F509F">
      <w:pPr>
        <w:pStyle w:val="Headingb"/>
        <w:rPr>
          <w:lang w:val="ru-RU"/>
        </w:rPr>
      </w:pPr>
      <w:r w:rsidRPr="00CA5C8B">
        <w:rPr>
          <w:lang w:val="ru-RU"/>
        </w:rPr>
        <w:t>Общие предложения европейских стран для работы Конференции</w:t>
      </w:r>
    </w:p>
    <w:p w:rsidR="00E03FE4" w:rsidRPr="00CA5C8B" w:rsidRDefault="00E03FE4" w:rsidP="002F509F">
      <w:r w:rsidRPr="00CA5C8B">
        <w:t>В настоящем вкладе представлены Общие предложения европейских стран (ECP) для Всемирной конференции по международной электросвязи (ВКМЭ-12). Они разработаны Комитетом по политике в отношении МСЭ (</w:t>
      </w:r>
      <w:proofErr w:type="spellStart"/>
      <w:r w:rsidRPr="00CA5C8B">
        <w:t>Com</w:t>
      </w:r>
      <w:proofErr w:type="spellEnd"/>
      <w:r w:rsidRPr="00CA5C8B">
        <w:t>-ITU) Европейской конференции администраций почт и электросвязи (СЕПТ</w:t>
      </w:r>
      <w:r w:rsidRPr="00CA5C8B">
        <w:rPr>
          <w:rStyle w:val="FootnoteReference"/>
        </w:rPr>
        <w:footnoteReference w:id="1"/>
      </w:r>
      <w:r w:rsidRPr="00CA5C8B">
        <w:t xml:space="preserve">). </w:t>
      </w:r>
    </w:p>
    <w:p w:rsidR="00E03FE4" w:rsidRPr="00CA5C8B" w:rsidRDefault="00E03FE4" w:rsidP="002F509F">
      <w:pPr>
        <w:pStyle w:val="Headingb"/>
        <w:rPr>
          <w:lang w:val="ru-RU"/>
        </w:rPr>
      </w:pPr>
      <w:r w:rsidRPr="00CA5C8B">
        <w:rPr>
          <w:lang w:val="ru-RU"/>
        </w:rPr>
        <w:t>Введение</w:t>
      </w:r>
    </w:p>
    <w:p w:rsidR="00E03FE4" w:rsidRPr="00CA5C8B" w:rsidRDefault="00E03FE4" w:rsidP="00E03FE4">
      <w:r w:rsidRPr="00CA5C8B">
        <w:t xml:space="preserve">ВКМЭ-12 является важным событием и прекрасной возможностью для пересмотра Регламента международной электросвязи. </w:t>
      </w:r>
    </w:p>
    <w:p w:rsidR="00E03FE4" w:rsidRPr="00CA5C8B" w:rsidRDefault="00E03FE4" w:rsidP="00E03FE4">
      <w:r w:rsidRPr="00CA5C8B">
        <w:t xml:space="preserve">Европейские страны желают облегчить процесс достижения всемирного консенсуса по многим спорным темам. </w:t>
      </w:r>
    </w:p>
    <w:p w:rsidR="00E03FE4" w:rsidRPr="00CA5C8B" w:rsidRDefault="00E03FE4" w:rsidP="00E03FE4">
      <w:proofErr w:type="gramStart"/>
      <w:r w:rsidRPr="00CA5C8B">
        <w:t xml:space="preserve">В этой связи, а также учитывая общую конкурентоспособность услуг международной электросвязи и тот позитивный эффект, который ощутили на себе, в частности, потребители, европейские страны полагают, что регулирование требуется только в тех случаях, когда оно является оправданным, поскольку ненужное дополнительное бремя, ложащееся, как на Государства-Члены, так и на частные компании, нежелательно с точки зрения развития услуг международной электросвязи. </w:t>
      </w:r>
      <w:proofErr w:type="gramEnd"/>
    </w:p>
    <w:p w:rsidR="00E03FE4" w:rsidRPr="00CA5C8B" w:rsidRDefault="00E03FE4" w:rsidP="00E03FE4">
      <w:r w:rsidRPr="00CA5C8B">
        <w:t xml:space="preserve">Кроме того, европейские страны напоминают, что универсальные, не учитывающие индивидуальные особенности, директивные решения не желательны. В самом деле, ожидается, что пересмотренный Регламент международной электросвязи </w:t>
      </w:r>
      <w:proofErr w:type="gramStart"/>
      <w:r w:rsidRPr="00CA5C8B">
        <w:t>будет</w:t>
      </w:r>
      <w:proofErr w:type="gramEnd"/>
      <w:r w:rsidRPr="00CA5C8B">
        <w:t xml:space="preserve"> применим, полезен и значим в каждом регионе и каждой стране мира на протяжении многих лет. Этого достичь не удастся, не избежав соблазна </w:t>
      </w:r>
      <w:r w:rsidRPr="00CA5C8B">
        <w:lastRenderedPageBreak/>
        <w:t xml:space="preserve">вмешательства в мельчайшие детали, связанные с регулированием услуг международной электросвязи, ибо то или иное положение, позитивное для данной страны, может оказаться бессмысленным или даже вредным для ее соседа. </w:t>
      </w:r>
    </w:p>
    <w:p w:rsidR="00E03FE4" w:rsidRPr="00CA5C8B" w:rsidRDefault="00E03FE4" w:rsidP="002F509F">
      <w:r w:rsidRPr="00CA5C8B">
        <w:t>Европейские страны считают, что ВКМЭ-12 должна найти взаимовыгодные решения.</w:t>
      </w:r>
    </w:p>
    <w:p w:rsidR="00E03FE4" w:rsidRPr="00CA5C8B" w:rsidRDefault="00E03FE4" w:rsidP="002F509F">
      <w:pPr>
        <w:pStyle w:val="Headingb"/>
        <w:rPr>
          <w:lang w:val="ru-RU"/>
        </w:rPr>
      </w:pPr>
      <w:r w:rsidRPr="00CA5C8B">
        <w:rPr>
          <w:lang w:val="ru-RU"/>
        </w:rPr>
        <w:t>Критерии</w:t>
      </w:r>
    </w:p>
    <w:p w:rsidR="00E03FE4" w:rsidRPr="00CA5C8B" w:rsidRDefault="00E03FE4" w:rsidP="00E03FE4">
      <w:r w:rsidRPr="00CA5C8B">
        <w:t xml:space="preserve">Как указывалось во вкладах РГС-ВКМЭ-12, европейские страны договорились по ряду руководящих критериев, касающихся пересмотра Регламента международной электросвязи (РМЭ). </w:t>
      </w:r>
    </w:p>
    <w:p w:rsidR="00E03FE4" w:rsidRPr="00CA5C8B" w:rsidRDefault="00E03FE4" w:rsidP="00E03FE4">
      <w:r w:rsidRPr="00CA5C8B">
        <w:t>Европейские страны считают, что такие критерии являются объективными, сбалансированными и имеют под собой правовую базу, и поэтому должны полностью учитываться Государствами-Членами.</w:t>
      </w:r>
    </w:p>
    <w:p w:rsidR="00E03FE4" w:rsidRPr="00CA5C8B" w:rsidRDefault="00E03FE4" w:rsidP="002F509F">
      <w:r w:rsidRPr="00CA5C8B">
        <w:t>Критерии являются следующими (порядок представления значения не имеет):</w:t>
      </w:r>
    </w:p>
    <w:p w:rsidR="00E03FE4" w:rsidRPr="00CA5C8B" w:rsidRDefault="002F509F" w:rsidP="002F509F">
      <w:pPr>
        <w:pStyle w:val="enumlev1"/>
      </w:pPr>
      <w:r w:rsidRPr="00CA5C8B">
        <w:t>•</w:t>
      </w:r>
      <w:r w:rsidRPr="00CA5C8B">
        <w:tab/>
      </w:r>
      <w:r w:rsidR="00E03FE4" w:rsidRPr="00CA5C8B">
        <w:rPr>
          <w:b/>
          <w:bCs/>
        </w:rPr>
        <w:t>Критерий 1</w:t>
      </w:r>
      <w:r w:rsidR="00E03FE4" w:rsidRPr="00CA5C8B">
        <w:t xml:space="preserve">: </w:t>
      </w:r>
      <w:r w:rsidR="00E03FE4" w:rsidRPr="00CA5C8B">
        <w:rPr>
          <w:i/>
          <w:iCs/>
        </w:rPr>
        <w:t>В РМЭ, как в международном договоре, должны рассматриваться</w:t>
      </w:r>
      <w:r w:rsidR="00566AE4" w:rsidRPr="00CA5C8B">
        <w:rPr>
          <w:i/>
          <w:iCs/>
        </w:rPr>
        <w:t xml:space="preserve"> </w:t>
      </w:r>
      <w:r w:rsidR="00E03FE4" w:rsidRPr="00CA5C8B">
        <w:rPr>
          <w:i/>
          <w:iCs/>
        </w:rPr>
        <w:t>стратегические и политические вопросы высокого уровня</w:t>
      </w:r>
    </w:p>
    <w:p w:rsidR="00E03FE4" w:rsidRPr="00CA5C8B" w:rsidRDefault="002F509F" w:rsidP="002F509F">
      <w:pPr>
        <w:pStyle w:val="enumlev1"/>
      </w:pPr>
      <w:r w:rsidRPr="00CA5C8B">
        <w:tab/>
      </w:r>
      <w:proofErr w:type="gramStart"/>
      <w:r w:rsidR="00E03FE4" w:rsidRPr="00CA5C8B">
        <w:t>Европейские страны придают особое значение соблюдению принципа, согласно которому в РМЭ должны содержаться стратегические и политические вопросы высокого уровня, относящиеся к услугам и средствам международной электросвязи (т. е. области, которые следует включить в международный договор), то есть положения должны быть гибкими и достаточно широкими, чтобы их можно было применять на протяжении продолжительного периода времени.</w:t>
      </w:r>
      <w:r w:rsidR="00566AE4" w:rsidRPr="00CA5C8B">
        <w:t xml:space="preserve"> </w:t>
      </w:r>
      <w:proofErr w:type="gramEnd"/>
    </w:p>
    <w:p w:rsidR="00E03FE4" w:rsidRPr="00CA5C8B" w:rsidRDefault="002F509F" w:rsidP="002F509F">
      <w:pPr>
        <w:pStyle w:val="enumlev1"/>
      </w:pPr>
      <w:r w:rsidRPr="00CA5C8B">
        <w:tab/>
      </w:r>
      <w:r w:rsidR="00E03FE4" w:rsidRPr="00CA5C8B">
        <w:t>Кроме того, РМЭ должен гарантировать права операторов электросвязи и поставщиков услуг на осуществление коммерческого выбора и на эксплуатационную и технологическую свободу при предоставлении услуг и средств международной электросвязи.</w:t>
      </w:r>
    </w:p>
    <w:p w:rsidR="00E03FE4" w:rsidRPr="00CA5C8B" w:rsidRDefault="002F509F" w:rsidP="002F509F">
      <w:pPr>
        <w:pStyle w:val="enumlev1"/>
      </w:pPr>
      <w:r w:rsidRPr="00CA5C8B">
        <w:tab/>
      </w:r>
      <w:r w:rsidR="00E03FE4" w:rsidRPr="00CA5C8B">
        <w:t xml:space="preserve">Основание для этого критерия заложено в Резолюции 171 "Подготовка к Всемирной конференции по международной электросвязи 2012 года" (Гвадалахара, 2010 г.), где в разделе решает далее говорится, что предложения по пересмотру РМЭ должны "отражать, среди прочего, стратегические и политические принципы с целью обеспечения гибкости, с </w:t>
      </w:r>
      <w:proofErr w:type="gramStart"/>
      <w:r w:rsidR="00E03FE4" w:rsidRPr="00CA5C8B">
        <w:t>тем</w:t>
      </w:r>
      <w:proofErr w:type="gramEnd"/>
      <w:r w:rsidR="00E03FE4" w:rsidRPr="00CA5C8B">
        <w:t xml:space="preserve"> чтобы учитывался технический прогресс" и "являться актуальными, с тем чтобы их можно было включить в международный договор".</w:t>
      </w:r>
    </w:p>
    <w:p w:rsidR="00E03FE4" w:rsidRPr="00CA5C8B" w:rsidRDefault="002F509F" w:rsidP="00F22C3D">
      <w:pPr>
        <w:pStyle w:val="enumlev1"/>
      </w:pPr>
      <w:r w:rsidRPr="00CA5C8B">
        <w:t>•</w:t>
      </w:r>
      <w:r w:rsidRPr="00CA5C8B">
        <w:tab/>
      </w:r>
      <w:r w:rsidR="00E03FE4" w:rsidRPr="00CA5C8B">
        <w:rPr>
          <w:b/>
          <w:bCs/>
        </w:rPr>
        <w:t>Критерий 2</w:t>
      </w:r>
      <w:r w:rsidR="00E03FE4" w:rsidRPr="00CA5C8B">
        <w:t xml:space="preserve">: </w:t>
      </w:r>
      <w:r w:rsidR="00E03FE4" w:rsidRPr="00CA5C8B">
        <w:rPr>
          <w:i/>
          <w:iCs/>
        </w:rPr>
        <w:t>Соответствие Уставу, в частности его Преамбуле и Статье 1</w:t>
      </w:r>
      <w:r w:rsidR="00E03FE4" w:rsidRPr="00CA5C8B">
        <w:t xml:space="preserve"> </w:t>
      </w:r>
    </w:p>
    <w:p w:rsidR="00E03FE4" w:rsidRPr="00CA5C8B" w:rsidRDefault="002F509F" w:rsidP="002F509F">
      <w:pPr>
        <w:pStyle w:val="enumlev1"/>
      </w:pPr>
      <w:r w:rsidRPr="00CA5C8B">
        <w:tab/>
      </w:r>
      <w:r w:rsidR="00E03FE4" w:rsidRPr="00CA5C8B">
        <w:t>Европейские страны признают, что Государствам-Членам следует в максимально возможной степени соблюдать Рекомендации МСЭ. Вместе с тем считается, что предъявляемые к Государствам-Членам требования:</w:t>
      </w:r>
    </w:p>
    <w:p w:rsidR="00E03FE4" w:rsidRPr="00CA5C8B" w:rsidRDefault="002F509F" w:rsidP="002F509F">
      <w:pPr>
        <w:pStyle w:val="enumlev2"/>
      </w:pPr>
      <w:r w:rsidRPr="00CA5C8B">
        <w:t>i)</w:t>
      </w:r>
      <w:r w:rsidRPr="00CA5C8B">
        <w:tab/>
      </w:r>
      <w:r w:rsidR="00E03FE4" w:rsidRPr="00CA5C8B">
        <w:t xml:space="preserve">обеспечивать соблюдение Рекомендаций МСЭ; </w:t>
      </w:r>
    </w:p>
    <w:p w:rsidR="00E03FE4" w:rsidRPr="00CA5C8B" w:rsidRDefault="002F509F" w:rsidP="002F509F">
      <w:pPr>
        <w:pStyle w:val="enumlev2"/>
      </w:pPr>
      <w:proofErr w:type="spellStart"/>
      <w:proofErr w:type="gramStart"/>
      <w:r w:rsidRPr="00CA5C8B">
        <w:t>ii</w:t>
      </w:r>
      <w:proofErr w:type="spellEnd"/>
      <w:r w:rsidRPr="00CA5C8B">
        <w:t>)</w:t>
      </w:r>
      <w:r w:rsidRPr="00CA5C8B">
        <w:tab/>
      </w:r>
      <w:r w:rsidR="00E03FE4" w:rsidRPr="00CA5C8B">
        <w:t xml:space="preserve">вводить национальные меры для обеспечения соблюдения положений МСЭ </w:t>
      </w:r>
      <w:proofErr w:type="gramEnd"/>
    </w:p>
    <w:p w:rsidR="00E03FE4" w:rsidRPr="00CA5C8B" w:rsidRDefault="002F509F" w:rsidP="002F509F">
      <w:pPr>
        <w:pStyle w:val="enumlev1"/>
      </w:pPr>
      <w:r w:rsidRPr="00CA5C8B">
        <w:tab/>
      </w:r>
      <w:r w:rsidR="00E03FE4" w:rsidRPr="00CA5C8B">
        <w:t xml:space="preserve">не соответствуют Преамбуле Устава и целям Союза, установленным в Статье 1 Устава МСЭ, а также сфере применения и целям РМЭ, установленным в его Статье 1. Кроме того, Рекомендации МСЭ-Т по своей природе не являются обязательными, то есть применяются добровольно, и поэтому их не следует применять автоматически. </w:t>
      </w:r>
    </w:p>
    <w:p w:rsidR="00E03FE4" w:rsidRPr="00CA5C8B" w:rsidRDefault="002F509F" w:rsidP="002F509F">
      <w:pPr>
        <w:pStyle w:val="enumlev1"/>
      </w:pPr>
      <w:r w:rsidRPr="00CA5C8B">
        <w:tab/>
      </w:r>
      <w:r w:rsidR="00E03FE4" w:rsidRPr="00CA5C8B">
        <w:t>Это не означает, что отдельные Государства-Члены не могут при желании вводить вопросы, охватываемые Рекомендациями МСЭ-Т, путем таких мер, как национальное законодательство и лицензионные требования, по своему выбору.</w:t>
      </w:r>
    </w:p>
    <w:p w:rsidR="00E03FE4" w:rsidRPr="00CA5C8B" w:rsidRDefault="002F509F" w:rsidP="002F509F">
      <w:pPr>
        <w:pStyle w:val="enumlev1"/>
      </w:pPr>
      <w:r w:rsidRPr="00CA5C8B">
        <w:tab/>
      </w:r>
      <w:r w:rsidR="00E03FE4" w:rsidRPr="00CA5C8B">
        <w:t>Эти принципы признаются в положении 1.4 РМЭ.</w:t>
      </w:r>
    </w:p>
    <w:p w:rsidR="00E03FE4" w:rsidRPr="00CA5C8B" w:rsidRDefault="002F509F" w:rsidP="002F509F">
      <w:pPr>
        <w:pStyle w:val="enumlev1"/>
      </w:pPr>
      <w:r w:rsidRPr="00CA5C8B">
        <w:tab/>
      </w:r>
      <w:r w:rsidR="00E03FE4" w:rsidRPr="00CA5C8B">
        <w:t>Ввиду этого, учитывая, что Устав Союза не придает Рекомендациями МСЭ обязательной силы, европейские страны считают, что не следует использовать пересмотр РМЭ для изменения характера Рекомендаций МСЭ.</w:t>
      </w:r>
    </w:p>
    <w:p w:rsidR="00E03FE4" w:rsidRPr="00CA5C8B" w:rsidRDefault="002F509F" w:rsidP="002F509F">
      <w:pPr>
        <w:pStyle w:val="enumlev1"/>
        <w:keepNext/>
        <w:keepLines/>
      </w:pPr>
      <w:r w:rsidRPr="00CA5C8B">
        <w:lastRenderedPageBreak/>
        <w:t>•</w:t>
      </w:r>
      <w:r w:rsidRPr="00CA5C8B">
        <w:tab/>
      </w:r>
      <w:r w:rsidR="00E03FE4" w:rsidRPr="00CA5C8B">
        <w:rPr>
          <w:b/>
          <w:bCs/>
        </w:rPr>
        <w:t>Критерий 3</w:t>
      </w:r>
      <w:r w:rsidR="00E03FE4" w:rsidRPr="00CA5C8B">
        <w:t xml:space="preserve">: </w:t>
      </w:r>
      <w:r w:rsidR="00E03FE4" w:rsidRPr="00CA5C8B">
        <w:rPr>
          <w:i/>
          <w:iCs/>
        </w:rPr>
        <w:t>Соответствие международным соглашениям / законодательству, принятому членами СЕПТ</w:t>
      </w:r>
    </w:p>
    <w:p w:rsidR="00E03FE4" w:rsidRPr="00CA5C8B" w:rsidRDefault="002F509F" w:rsidP="002F509F">
      <w:pPr>
        <w:pStyle w:val="enumlev1"/>
      </w:pPr>
      <w:r w:rsidRPr="00CA5C8B">
        <w:tab/>
      </w:r>
      <w:r w:rsidR="00E03FE4" w:rsidRPr="00CA5C8B">
        <w:t xml:space="preserve">Свыше 100 стран взяли на себя обязательства, вытекающие из Соглашения ВТО по основным услугам электросвязи в Четвертом протоколе Генерального соглашения по торговле услугами (ГАТС). Поэтому, предложения, не соответствующие принципам, лежащим в основе Соглашений ВТО, или нарушающие обязательства, принятые в этой организации, не могут быть поддержаны. </w:t>
      </w:r>
    </w:p>
    <w:p w:rsidR="00E03FE4" w:rsidRPr="00CA5C8B" w:rsidRDefault="002F509F" w:rsidP="002F509F">
      <w:pPr>
        <w:pStyle w:val="enumlev1"/>
      </w:pPr>
      <w:r w:rsidRPr="00CA5C8B">
        <w:tab/>
      </w:r>
      <w:r w:rsidR="00E03FE4" w:rsidRPr="00CA5C8B">
        <w:t>Наряду с этим, учитывая, что многие европейские страны являются членами ЕС/ЕЭП, европейские страны не поддержат предложения, противоречащие законодательству ЕС/ЕЭП.</w:t>
      </w:r>
    </w:p>
    <w:p w:rsidR="00E03FE4" w:rsidRPr="00CA5C8B" w:rsidRDefault="002F509F" w:rsidP="002F509F">
      <w:pPr>
        <w:pStyle w:val="enumlev1"/>
      </w:pPr>
      <w:r w:rsidRPr="00CA5C8B">
        <w:t>•</w:t>
      </w:r>
      <w:r w:rsidRPr="00CA5C8B">
        <w:tab/>
      </w:r>
      <w:r w:rsidR="00E03FE4" w:rsidRPr="00CA5C8B">
        <w:rPr>
          <w:b/>
          <w:bCs/>
        </w:rPr>
        <w:t>Критерий 4</w:t>
      </w:r>
      <w:r w:rsidR="00E03FE4" w:rsidRPr="00CA5C8B">
        <w:t xml:space="preserve">: </w:t>
      </w:r>
      <w:r w:rsidR="00E03FE4" w:rsidRPr="00CA5C8B">
        <w:rPr>
          <w:i/>
          <w:iCs/>
        </w:rPr>
        <w:t>Исключение областей, относящихся к применению Государствами-Членами правовых или политических принципов, которые составляют их суверенные права</w:t>
      </w:r>
      <w:r w:rsidR="00E03FE4" w:rsidRPr="00CA5C8B">
        <w:t xml:space="preserve"> </w:t>
      </w:r>
    </w:p>
    <w:p w:rsidR="00E03FE4" w:rsidRPr="00CA5C8B" w:rsidRDefault="002F509F" w:rsidP="002F509F">
      <w:pPr>
        <w:pStyle w:val="enumlev1"/>
      </w:pPr>
      <w:r w:rsidRPr="00CA5C8B">
        <w:tab/>
      </w:r>
      <w:proofErr w:type="gramStart"/>
      <w:r w:rsidR="00E03FE4" w:rsidRPr="00CA5C8B">
        <w:t xml:space="preserve">Европейские страны будут рассматривать предложения, относящиеся к вопросам национальной обороны, национальной безопасности, контента и </w:t>
      </w:r>
      <w:proofErr w:type="spellStart"/>
      <w:r w:rsidR="00E03FE4" w:rsidRPr="00CA5C8B">
        <w:t>киберпреступности</w:t>
      </w:r>
      <w:proofErr w:type="spellEnd"/>
      <w:r w:rsidR="00E03FE4" w:rsidRPr="00CA5C8B">
        <w:t>, в контексте пункта 3 раздела решает Резолюции 130 (</w:t>
      </w:r>
      <w:proofErr w:type="spellStart"/>
      <w:r w:rsidR="00E03FE4" w:rsidRPr="00CA5C8B">
        <w:t>Пересм</w:t>
      </w:r>
      <w:proofErr w:type="spellEnd"/>
      <w:r w:rsidR="00E03FE4" w:rsidRPr="00CA5C8B">
        <w:t>.</w:t>
      </w:r>
      <w:proofErr w:type="gramEnd"/>
      <w:r w:rsidR="00E03FE4" w:rsidRPr="00CA5C8B">
        <w:t xml:space="preserve"> </w:t>
      </w:r>
      <w:proofErr w:type="gramStart"/>
      <w:r w:rsidR="00E03FE4" w:rsidRPr="00CA5C8B">
        <w:t xml:space="preserve">Гвадалахара, 2010 г.): "МСЭ должен сосредоточить ресурсы и программы на тех областях </w:t>
      </w:r>
      <w:proofErr w:type="spellStart"/>
      <w:r w:rsidR="00E03FE4" w:rsidRPr="00CA5C8B">
        <w:t>кибербезопасности</w:t>
      </w:r>
      <w:proofErr w:type="spellEnd"/>
      <w:r w:rsidR="00E03FE4" w:rsidRPr="00CA5C8B">
        <w:t xml:space="preserve">, которые соответствуют его основному мандату и опыту, в особенности в технической сфере и сфере развития, и не включать области, относящиеся к применению Государствами-Членами правовых или политических принципов, связанных с национальной обороной, национальной безопасностью, контентом и </w:t>
      </w:r>
      <w:proofErr w:type="spellStart"/>
      <w:r w:rsidR="00E03FE4" w:rsidRPr="00CA5C8B">
        <w:t>киберпреступностью</w:t>
      </w:r>
      <w:proofErr w:type="spellEnd"/>
      <w:r w:rsidR="00E03FE4" w:rsidRPr="00CA5C8B">
        <w:t>, которые относятся к их суверенным правам".</w:t>
      </w:r>
      <w:proofErr w:type="gramEnd"/>
    </w:p>
    <w:p w:rsidR="00E03FE4" w:rsidRPr="00CA5C8B" w:rsidRDefault="002F509F" w:rsidP="002F509F">
      <w:pPr>
        <w:pStyle w:val="enumlev1"/>
      </w:pPr>
      <w:r w:rsidRPr="00CA5C8B">
        <w:t>•</w:t>
      </w:r>
      <w:r w:rsidRPr="00CA5C8B">
        <w:tab/>
      </w:r>
      <w:r w:rsidR="00E03FE4" w:rsidRPr="00CA5C8B">
        <w:rPr>
          <w:b/>
          <w:bCs/>
        </w:rPr>
        <w:t>Критерий 5</w:t>
      </w:r>
      <w:r w:rsidR="00E03FE4" w:rsidRPr="00CA5C8B">
        <w:t xml:space="preserve">: </w:t>
      </w:r>
      <w:r w:rsidR="00E03FE4" w:rsidRPr="00CA5C8B">
        <w:rPr>
          <w:i/>
          <w:iCs/>
        </w:rPr>
        <w:t>Исключение областей, не относящихся к цели и сфере применения РМЭ</w:t>
      </w:r>
      <w:r w:rsidR="00E03FE4" w:rsidRPr="00CA5C8B">
        <w:t xml:space="preserve"> </w:t>
      </w:r>
    </w:p>
    <w:p w:rsidR="00E03FE4" w:rsidRPr="00CA5C8B" w:rsidRDefault="002F509F" w:rsidP="002F509F">
      <w:pPr>
        <w:pStyle w:val="enumlev1"/>
      </w:pPr>
      <w:r w:rsidRPr="00CA5C8B">
        <w:tab/>
      </w:r>
      <w:r w:rsidR="00E03FE4" w:rsidRPr="00CA5C8B">
        <w:t>Европейские страны подчеркивают важность соответствия цели и сфере применения РМЭ, в частности, его положениям:</w:t>
      </w:r>
    </w:p>
    <w:p w:rsidR="00E03FE4" w:rsidRPr="00CA5C8B" w:rsidRDefault="00566AE4" w:rsidP="00566AE4">
      <w:pPr>
        <w:pStyle w:val="enumlev2"/>
        <w:ind w:left="2608" w:hanging="1474"/>
      </w:pPr>
      <w:r w:rsidRPr="00CA5C8B">
        <w:t>•</w:t>
      </w:r>
      <w:r w:rsidRPr="00CA5C8B">
        <w:tab/>
      </w:r>
      <w:r w:rsidR="00E03FE4" w:rsidRPr="00CA5C8B">
        <w:t>1.1a</w:t>
      </w:r>
      <w:r w:rsidR="002F509F" w:rsidRPr="00CA5C8B">
        <w:t>):</w:t>
      </w:r>
      <w:r w:rsidR="002F509F" w:rsidRPr="00CA5C8B">
        <w:tab/>
      </w:r>
      <w:r w:rsidR="00E03FE4" w:rsidRPr="00CA5C8B">
        <w:t>"Настоящий Регламент устанавливает общие принципы, касающиеся создания и эксплуатации международных служб электросвязи, предоставляемых населению, а также основных международных средств передачи электросвязи, используемых для обеспечения таких служб. Он устанавливает также правила, применяемые к администрациям".</w:t>
      </w:r>
    </w:p>
    <w:p w:rsidR="00E03FE4" w:rsidRPr="00CA5C8B" w:rsidRDefault="00566AE4" w:rsidP="00566AE4">
      <w:pPr>
        <w:pStyle w:val="enumlev2"/>
        <w:ind w:left="2608" w:hanging="1474"/>
      </w:pPr>
      <w:r w:rsidRPr="00CA5C8B">
        <w:t>•</w:t>
      </w:r>
      <w:r w:rsidRPr="00CA5C8B">
        <w:tab/>
      </w:r>
      <w:r w:rsidR="002F509F" w:rsidRPr="00CA5C8B">
        <w:t>1.3.)</w:t>
      </w:r>
      <w:r w:rsidR="002F509F" w:rsidRPr="00CA5C8B">
        <w:tab/>
      </w:r>
      <w:r w:rsidR="00E03FE4" w:rsidRPr="00CA5C8B">
        <w:t xml:space="preserve">"Настоящий Регламент разработан с целью облегчения глобального </w:t>
      </w:r>
      <w:proofErr w:type="spellStart"/>
      <w:r w:rsidR="00E03FE4" w:rsidRPr="00CA5C8B">
        <w:t>взаимосоединения</w:t>
      </w:r>
      <w:proofErr w:type="spellEnd"/>
      <w:r w:rsidR="00E03FE4" w:rsidRPr="00CA5C8B">
        <w:t xml:space="preserve"> и взаимодействия средств электросвязи и содействия гармоничному развитию и эффективной эксплуатации технических средств, а также эффективности, полезности и доступности международных служб электросвязи для населения".</w:t>
      </w:r>
    </w:p>
    <w:p w:rsidR="00E03FE4" w:rsidRPr="00CA5C8B" w:rsidRDefault="002F509F" w:rsidP="002F509F">
      <w:pPr>
        <w:pStyle w:val="enumlev1"/>
      </w:pPr>
      <w:r w:rsidRPr="00CA5C8B">
        <w:tab/>
      </w:r>
      <w:r w:rsidR="00E03FE4" w:rsidRPr="00CA5C8B">
        <w:t xml:space="preserve">В этом отношении европейские страны считают, что предложения, касающиеся национальных / региональных служб электросвязи или транспортных средств, не следует включать в РМЭ. Соблюдение этого критерия также связано с Преамбулами как к Уставу МСЭ, так и к РМЭ, где в полной мере признается "суверенное право каждого государства регламентировать свою электросвязь". </w:t>
      </w:r>
    </w:p>
    <w:p w:rsidR="00E03FE4" w:rsidRPr="00CA5C8B" w:rsidRDefault="002F509F" w:rsidP="002F509F">
      <w:pPr>
        <w:pStyle w:val="enumlev1"/>
      </w:pPr>
      <w:r w:rsidRPr="00CA5C8B">
        <w:tab/>
      </w:r>
      <w:r w:rsidR="00E03FE4" w:rsidRPr="00CA5C8B">
        <w:t xml:space="preserve">Следуя этому критерию, европейские страны отмечают также, что существующая базовая структура РМЭ должна быть сохранена. </w:t>
      </w:r>
    </w:p>
    <w:p w:rsidR="00E03FE4" w:rsidRPr="00CA5C8B" w:rsidRDefault="00E03FE4" w:rsidP="002F509F">
      <w:r w:rsidRPr="00CA5C8B">
        <w:t>Учитывая вышеупомянутые критерии, европейские страны предлагают внести изменения в РМЭ, представленные в</w:t>
      </w:r>
      <w:r w:rsidR="00566AE4" w:rsidRPr="00CA5C8B">
        <w:t xml:space="preserve"> </w:t>
      </w:r>
      <w:r w:rsidRPr="00CA5C8B">
        <w:t xml:space="preserve">дополнительном документе к настоящему документу. </w:t>
      </w:r>
    </w:p>
    <w:p w:rsidR="00E03FE4" w:rsidRPr="00CA5C8B" w:rsidRDefault="00E03FE4" w:rsidP="00E03FE4">
      <w:r w:rsidRPr="00CA5C8B">
        <w:t xml:space="preserve">Таблица со списком администраций европейских стран, подписавших эти предложения, содержится в </w:t>
      </w:r>
      <w:r w:rsidRPr="00CA5C8B">
        <w:rPr>
          <w:b/>
          <w:bCs/>
        </w:rPr>
        <w:t>Приложении 1</w:t>
      </w:r>
      <w:r w:rsidRPr="00CA5C8B">
        <w:t>.</w:t>
      </w:r>
    </w:p>
    <w:p w:rsidR="00E03FE4" w:rsidRPr="00CA5C8B" w:rsidRDefault="00E03FE4" w:rsidP="002F509F">
      <w:r w:rsidRPr="00CA5C8B">
        <w:br w:type="page"/>
      </w:r>
    </w:p>
    <w:p w:rsidR="00E03FE4" w:rsidRPr="00CA5C8B" w:rsidRDefault="00E03FE4" w:rsidP="00DF1CFC">
      <w:pPr>
        <w:pStyle w:val="AnnexNo"/>
      </w:pPr>
      <w:r w:rsidRPr="00CA5C8B">
        <w:lastRenderedPageBreak/>
        <w:t>ПРИЛОЖЕНИЕ 1</w:t>
      </w:r>
    </w:p>
    <w:p w:rsidR="00E03FE4" w:rsidRPr="00CA5C8B" w:rsidRDefault="00E03FE4" w:rsidP="00566AE4">
      <w:pPr>
        <w:pStyle w:val="Annextitle"/>
      </w:pPr>
      <w:r w:rsidRPr="00CA5C8B">
        <w:t>Список государств, подписавших общие пред</w:t>
      </w:r>
      <w:r w:rsidR="00F22C3D" w:rsidRPr="00CA5C8B">
        <w:t>ложения европейских стран (ECP)</w:t>
      </w:r>
    </w:p>
    <w:tbl>
      <w:tblPr>
        <w:tblW w:w="469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8"/>
        <w:gridCol w:w="1559"/>
        <w:gridCol w:w="1276"/>
      </w:tblGrid>
      <w:tr w:rsidR="00E03FE4" w:rsidRPr="00CA5C8B" w:rsidTr="00F22C3D">
        <w:trPr>
          <w:trHeight w:val="255"/>
          <w:tblHeader/>
        </w:trPr>
        <w:tc>
          <w:tcPr>
            <w:tcW w:w="1858" w:type="dxa"/>
            <w:shd w:val="clear" w:color="auto" w:fill="auto"/>
            <w:vAlign w:val="center"/>
          </w:tcPr>
          <w:p w:rsidR="00E03FE4" w:rsidRPr="00CA5C8B" w:rsidRDefault="00E03FE4" w:rsidP="00F22C3D">
            <w:pPr>
              <w:pStyle w:val="Tablehead"/>
              <w:spacing w:before="0" w:after="0"/>
              <w:rPr>
                <w:lang w:val="ru-RU"/>
              </w:rPr>
            </w:pPr>
            <w:r w:rsidRPr="00CA5C8B">
              <w:rPr>
                <w:lang w:val="ru-RU"/>
              </w:rPr>
              <w:t>Государства-Члены</w:t>
            </w:r>
          </w:p>
        </w:tc>
        <w:tc>
          <w:tcPr>
            <w:tcW w:w="1559" w:type="dxa"/>
            <w:shd w:val="clear" w:color="auto" w:fill="auto"/>
            <w:noWrap/>
            <w:vAlign w:val="center"/>
          </w:tcPr>
          <w:p w:rsidR="00E03FE4" w:rsidRPr="00CA5C8B" w:rsidRDefault="00F22C3D" w:rsidP="00F22C3D">
            <w:pPr>
              <w:pStyle w:val="Tablehead"/>
              <w:spacing w:before="0" w:after="0"/>
              <w:rPr>
                <w:lang w:val="ru-RU"/>
              </w:rPr>
            </w:pPr>
            <w:r w:rsidRPr="00CA5C8B">
              <w:rPr>
                <w:lang w:val="ru-RU"/>
              </w:rPr>
              <w:t>Док</w:t>
            </w:r>
            <w:r w:rsidR="00E03FE4" w:rsidRPr="00CA5C8B">
              <w:rPr>
                <w:lang w:val="ru-RU"/>
              </w:rPr>
              <w:t>. 16(Add.1)</w:t>
            </w:r>
          </w:p>
        </w:tc>
        <w:tc>
          <w:tcPr>
            <w:tcW w:w="1276" w:type="dxa"/>
            <w:vAlign w:val="center"/>
          </w:tcPr>
          <w:p w:rsidR="00E03FE4" w:rsidRPr="00CA5C8B" w:rsidRDefault="00E03FE4" w:rsidP="00F22C3D">
            <w:pPr>
              <w:pStyle w:val="Tablehead"/>
              <w:spacing w:before="0" w:after="0"/>
              <w:rPr>
                <w:lang w:val="ru-RU"/>
              </w:rP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ALB</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AND</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AUT</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AZE</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BEL</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BIH</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BLR</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BUL</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CVA</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CYP</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CZE</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D</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DNK</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E</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EST</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F</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FIN</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G</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GEO</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GRC</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HNG</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HOL</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HRV</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I</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IRL</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ISL</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LIE</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LTU</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LUX</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LVA</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MCO</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MDA</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MKD</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MLT</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MNE</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NOR</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POL</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POR</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ROU</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RUS</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S</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SMR</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SRB</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SUI</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SVK</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Да</w:t>
            </w: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SVN</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shd w:val="clear" w:color="auto" w:fill="auto"/>
            <w:vAlign w:val="center"/>
          </w:tcPr>
          <w:p w:rsidR="00E03FE4" w:rsidRPr="00CA5C8B" w:rsidRDefault="00E03FE4" w:rsidP="00F22C3D">
            <w:pPr>
              <w:pStyle w:val="Tabletext"/>
              <w:spacing w:before="0" w:after="0"/>
              <w:jc w:val="center"/>
              <w:rPr>
                <w:b/>
                <w:bCs/>
              </w:rPr>
            </w:pPr>
            <w:r w:rsidRPr="00CA5C8B">
              <w:rPr>
                <w:b/>
                <w:bCs/>
              </w:rPr>
              <w:t>TUR</w:t>
            </w:r>
          </w:p>
        </w:tc>
        <w:tc>
          <w:tcPr>
            <w:tcW w:w="1559" w:type="dxa"/>
            <w:shd w:val="clear" w:color="auto" w:fill="auto"/>
            <w:noWrap/>
            <w:vAlign w:val="center"/>
          </w:tcPr>
          <w:p w:rsidR="00E03FE4" w:rsidRPr="00CA5C8B" w:rsidRDefault="00E03FE4" w:rsidP="00F22C3D">
            <w:pPr>
              <w:pStyle w:val="Tabletext"/>
              <w:spacing w:before="0" w:after="0"/>
              <w:jc w:val="center"/>
            </w:pPr>
          </w:p>
        </w:tc>
        <w:tc>
          <w:tcPr>
            <w:tcW w:w="1276" w:type="dxa"/>
            <w:vAlign w:val="center"/>
          </w:tcPr>
          <w:p w:rsidR="00E03FE4" w:rsidRPr="00CA5C8B" w:rsidRDefault="00E03FE4" w:rsidP="00F22C3D">
            <w:pPr>
              <w:pStyle w:val="Tabletext"/>
              <w:spacing w:before="0" w:after="0"/>
              <w:jc w:val="center"/>
            </w:pPr>
          </w:p>
        </w:tc>
      </w:tr>
      <w:tr w:rsidR="00E03FE4" w:rsidRPr="00CA5C8B" w:rsidTr="00F22C3D">
        <w:trPr>
          <w:trHeight w:val="199"/>
        </w:trPr>
        <w:tc>
          <w:tcPr>
            <w:tcW w:w="1858" w:type="dxa"/>
            <w:tcBorders>
              <w:bottom w:val="single" w:sz="4" w:space="0" w:color="auto"/>
            </w:tcBorders>
            <w:shd w:val="clear" w:color="auto" w:fill="auto"/>
            <w:vAlign w:val="center"/>
          </w:tcPr>
          <w:p w:rsidR="00E03FE4" w:rsidRPr="00CA5C8B" w:rsidRDefault="00E03FE4" w:rsidP="00F22C3D">
            <w:pPr>
              <w:pStyle w:val="Tabletext"/>
              <w:spacing w:before="0" w:after="0"/>
              <w:jc w:val="center"/>
              <w:rPr>
                <w:b/>
                <w:bCs/>
              </w:rPr>
            </w:pPr>
            <w:r w:rsidRPr="00CA5C8B">
              <w:rPr>
                <w:b/>
                <w:bCs/>
              </w:rPr>
              <w:t>UKR</w:t>
            </w:r>
          </w:p>
        </w:tc>
        <w:tc>
          <w:tcPr>
            <w:tcW w:w="1559" w:type="dxa"/>
            <w:tcBorders>
              <w:bottom w:val="single" w:sz="4" w:space="0" w:color="auto"/>
            </w:tcBorders>
            <w:shd w:val="clear" w:color="auto" w:fill="auto"/>
            <w:noWrap/>
            <w:vAlign w:val="center"/>
          </w:tcPr>
          <w:p w:rsidR="00E03FE4" w:rsidRPr="00CA5C8B" w:rsidRDefault="00E03FE4" w:rsidP="00F22C3D">
            <w:pPr>
              <w:pStyle w:val="Tabletext"/>
              <w:spacing w:before="0" w:after="0"/>
              <w:jc w:val="center"/>
            </w:pPr>
          </w:p>
        </w:tc>
        <w:tc>
          <w:tcPr>
            <w:tcW w:w="1276" w:type="dxa"/>
            <w:tcBorders>
              <w:bottom w:val="single" w:sz="4" w:space="0" w:color="auto"/>
            </w:tcBorders>
            <w:vAlign w:val="center"/>
          </w:tcPr>
          <w:p w:rsidR="00E03FE4" w:rsidRPr="00CA5C8B" w:rsidRDefault="00E03FE4" w:rsidP="00F22C3D">
            <w:pPr>
              <w:pStyle w:val="Tabletext"/>
              <w:spacing w:before="0" w:after="0"/>
              <w:jc w:val="center"/>
            </w:pPr>
          </w:p>
        </w:tc>
      </w:tr>
      <w:tr w:rsidR="00E03FE4" w:rsidRPr="00CA5C8B" w:rsidTr="00F22C3D">
        <w:tc>
          <w:tcPr>
            <w:tcW w:w="1858" w:type="dxa"/>
            <w:tcBorders>
              <w:left w:val="nil"/>
              <w:right w:val="nil"/>
            </w:tcBorders>
            <w:shd w:val="clear" w:color="auto" w:fill="auto"/>
            <w:noWrap/>
            <w:vAlign w:val="center"/>
          </w:tcPr>
          <w:p w:rsidR="00E03FE4" w:rsidRPr="00CA5C8B" w:rsidRDefault="00E03FE4" w:rsidP="00F22C3D">
            <w:pPr>
              <w:pStyle w:val="Tabletext"/>
              <w:spacing w:before="0" w:after="0"/>
              <w:jc w:val="center"/>
              <w:rPr>
                <w:b/>
                <w:bCs/>
              </w:rPr>
            </w:pPr>
          </w:p>
        </w:tc>
        <w:tc>
          <w:tcPr>
            <w:tcW w:w="1559" w:type="dxa"/>
            <w:tcBorders>
              <w:left w:val="nil"/>
              <w:right w:val="nil"/>
            </w:tcBorders>
            <w:shd w:val="clear" w:color="auto" w:fill="auto"/>
            <w:noWrap/>
            <w:vAlign w:val="center"/>
          </w:tcPr>
          <w:p w:rsidR="00E03FE4" w:rsidRPr="00CA5C8B" w:rsidRDefault="00E03FE4" w:rsidP="00F22C3D">
            <w:pPr>
              <w:pStyle w:val="Tabletext"/>
              <w:spacing w:before="0" w:after="0"/>
              <w:jc w:val="center"/>
            </w:pPr>
          </w:p>
        </w:tc>
        <w:tc>
          <w:tcPr>
            <w:tcW w:w="1276" w:type="dxa"/>
            <w:tcBorders>
              <w:left w:val="nil"/>
              <w:right w:val="nil"/>
            </w:tcBorders>
            <w:vAlign w:val="center"/>
          </w:tcPr>
          <w:p w:rsidR="00E03FE4" w:rsidRPr="00CA5C8B" w:rsidRDefault="00E03FE4" w:rsidP="00F22C3D">
            <w:pPr>
              <w:pStyle w:val="Tabletext"/>
              <w:spacing w:before="0" w:after="0"/>
              <w:jc w:val="center"/>
            </w:pPr>
          </w:p>
        </w:tc>
      </w:tr>
      <w:tr w:rsidR="00E03FE4" w:rsidRPr="00CA5C8B" w:rsidTr="00F22C3D">
        <w:trPr>
          <w:trHeight w:val="240"/>
        </w:trPr>
        <w:tc>
          <w:tcPr>
            <w:tcW w:w="1858" w:type="dxa"/>
            <w:shd w:val="clear" w:color="auto" w:fill="auto"/>
            <w:noWrap/>
            <w:vAlign w:val="center"/>
          </w:tcPr>
          <w:p w:rsidR="00E03FE4" w:rsidRPr="00CA5C8B" w:rsidRDefault="00E03FE4" w:rsidP="00F22C3D">
            <w:pPr>
              <w:pStyle w:val="Tabletext"/>
              <w:spacing w:before="0" w:after="0"/>
              <w:jc w:val="center"/>
              <w:rPr>
                <w:b/>
                <w:bCs/>
              </w:rPr>
            </w:pPr>
            <w:r w:rsidRPr="00CA5C8B">
              <w:rPr>
                <w:b/>
                <w:bCs/>
              </w:rPr>
              <w:t>Всего</w:t>
            </w:r>
          </w:p>
        </w:tc>
        <w:tc>
          <w:tcPr>
            <w:tcW w:w="1559" w:type="dxa"/>
            <w:shd w:val="clear" w:color="auto" w:fill="auto"/>
            <w:noWrap/>
            <w:vAlign w:val="center"/>
          </w:tcPr>
          <w:p w:rsidR="00E03FE4" w:rsidRPr="00CA5C8B" w:rsidRDefault="00E03FE4" w:rsidP="00F22C3D">
            <w:pPr>
              <w:pStyle w:val="Tabletext"/>
              <w:spacing w:before="0" w:after="0"/>
              <w:jc w:val="center"/>
            </w:pPr>
            <w:r w:rsidRPr="00CA5C8B">
              <w:t>16</w:t>
            </w:r>
          </w:p>
        </w:tc>
        <w:tc>
          <w:tcPr>
            <w:tcW w:w="1276" w:type="dxa"/>
            <w:vAlign w:val="center"/>
          </w:tcPr>
          <w:p w:rsidR="00E03FE4" w:rsidRPr="00CA5C8B" w:rsidRDefault="00E03FE4" w:rsidP="00F22C3D">
            <w:pPr>
              <w:pStyle w:val="Tabletext"/>
              <w:spacing w:before="0" w:after="0"/>
              <w:jc w:val="center"/>
            </w:pPr>
          </w:p>
        </w:tc>
      </w:tr>
    </w:tbl>
    <w:p w:rsidR="00F22C3D" w:rsidRPr="00CA5C8B" w:rsidRDefault="00F22C3D" w:rsidP="0032202E">
      <w:pPr>
        <w:pStyle w:val="Reasons"/>
      </w:pPr>
    </w:p>
    <w:p w:rsidR="00F22C3D" w:rsidRPr="00CA5C8B" w:rsidRDefault="00F22C3D">
      <w:pPr>
        <w:jc w:val="center"/>
      </w:pPr>
      <w:r w:rsidRPr="00CA5C8B">
        <w:t>______________</w:t>
      </w:r>
    </w:p>
    <w:sectPr w:rsidR="00F22C3D" w:rsidRPr="00CA5C8B">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CFC" w:rsidRDefault="00DF1CFC">
      <w:r>
        <w:separator/>
      </w:r>
    </w:p>
    <w:p w:rsidR="00DF1CFC" w:rsidRDefault="00DF1CFC"/>
  </w:endnote>
  <w:endnote w:type="continuationSeparator" w:id="0">
    <w:p w:rsidR="00DF1CFC" w:rsidRDefault="00DF1CFC">
      <w:r>
        <w:continuationSeparator/>
      </w:r>
    </w:p>
    <w:p w:rsidR="00DF1CFC" w:rsidRDefault="00DF1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FC" w:rsidRDefault="00DF1CFC">
    <w:pPr>
      <w:framePr w:wrap="around" w:vAnchor="text" w:hAnchor="margin" w:xAlign="right" w:y="1"/>
    </w:pPr>
    <w:r>
      <w:fldChar w:fldCharType="begin"/>
    </w:r>
    <w:r>
      <w:instrText xml:space="preserve">PAGE  </w:instrText>
    </w:r>
    <w:r>
      <w:fldChar w:fldCharType="end"/>
    </w:r>
  </w:p>
  <w:p w:rsidR="00DF1CFC" w:rsidRPr="00F52DD5" w:rsidRDefault="00DF1CFC">
    <w:pPr>
      <w:ind w:right="360"/>
    </w:pPr>
    <w:r>
      <w:fldChar w:fldCharType="begin"/>
    </w:r>
    <w:r w:rsidRPr="00F52DD5">
      <w:instrText xml:space="preserve"> </w:instrText>
    </w:r>
    <w:r w:rsidRPr="00BF3E25">
      <w:rPr>
        <w:lang w:val="en-US"/>
      </w:rPr>
      <w:instrText>FILENAME</w:instrText>
    </w:r>
    <w:r w:rsidRPr="00F52DD5">
      <w:instrText xml:space="preserve"> \</w:instrText>
    </w:r>
    <w:r w:rsidRPr="00BF3E25">
      <w:rPr>
        <w:lang w:val="en-US"/>
      </w:rPr>
      <w:instrText>p</w:instrText>
    </w:r>
    <w:r w:rsidRPr="00F52DD5">
      <w:instrText xml:space="preserve">  \* </w:instrText>
    </w:r>
    <w:r w:rsidRPr="00BF3E25">
      <w:rPr>
        <w:lang w:val="en-US"/>
      </w:rPr>
      <w:instrText>MERGEFORMAT</w:instrText>
    </w:r>
    <w:r w:rsidRPr="00F52DD5">
      <w:instrText xml:space="preserve"> </w:instrText>
    </w:r>
    <w:r>
      <w:fldChar w:fldCharType="separate"/>
    </w:r>
    <w:r w:rsidR="00E31477" w:rsidRPr="00E31477">
      <w:rPr>
        <w:noProof/>
        <w:lang w:val="en-US"/>
      </w:rPr>
      <w:t>P</w:t>
    </w:r>
    <w:r w:rsidR="00E31477">
      <w:rPr>
        <w:noProof/>
      </w:rPr>
      <w:t>:\</w:t>
    </w:r>
    <w:r w:rsidR="00E31477" w:rsidRPr="00E31477">
      <w:rPr>
        <w:noProof/>
        <w:lang w:val="en-US"/>
      </w:rPr>
      <w:t>RUS</w:t>
    </w:r>
    <w:r w:rsidR="00E31477">
      <w:rPr>
        <w:noProof/>
      </w:rPr>
      <w:t>\</w:t>
    </w:r>
    <w:r w:rsidR="00E31477" w:rsidRPr="00E31477">
      <w:rPr>
        <w:noProof/>
        <w:lang w:val="en-US"/>
      </w:rPr>
      <w:t>SG</w:t>
    </w:r>
    <w:r w:rsidR="00E31477">
      <w:rPr>
        <w:noProof/>
      </w:rPr>
      <w:t>\</w:t>
    </w:r>
    <w:r w:rsidR="00E31477" w:rsidRPr="00E31477">
      <w:rPr>
        <w:noProof/>
        <w:lang w:val="en-US"/>
      </w:rPr>
      <w:t>CONF</w:t>
    </w:r>
    <w:r w:rsidR="00E31477" w:rsidRPr="00E31477">
      <w:rPr>
        <w:noProof/>
      </w:rPr>
      <w:t>-</w:t>
    </w:r>
    <w:r w:rsidR="00E31477" w:rsidRPr="00E31477">
      <w:rPr>
        <w:noProof/>
        <w:lang w:val="en-US"/>
      </w:rPr>
      <w:t>SG</w:t>
    </w:r>
    <w:r w:rsidR="00E31477">
      <w:rPr>
        <w:noProof/>
      </w:rPr>
      <w:t>\</w:t>
    </w:r>
    <w:r w:rsidR="00E31477" w:rsidRPr="00E31477">
      <w:rPr>
        <w:noProof/>
        <w:lang w:val="en-US"/>
      </w:rPr>
      <w:t>WCIT</w:t>
    </w:r>
    <w:r w:rsidR="00E31477" w:rsidRPr="00E31477">
      <w:rPr>
        <w:noProof/>
      </w:rPr>
      <w:t>12</w:t>
    </w:r>
    <w:r w:rsidR="00E31477">
      <w:rPr>
        <w:noProof/>
      </w:rPr>
      <w:t>\000\016R.docx</w:t>
    </w:r>
    <w:r>
      <w:fldChar w:fldCharType="end"/>
    </w:r>
    <w:r w:rsidRPr="00F52DD5">
      <w:tab/>
    </w:r>
    <w:r>
      <w:fldChar w:fldCharType="begin"/>
    </w:r>
    <w:r>
      <w:instrText xml:space="preserve"> SAVEDATE \@ DD.MM.YY </w:instrText>
    </w:r>
    <w:r>
      <w:fldChar w:fldCharType="separate"/>
    </w:r>
    <w:r w:rsidR="00E31477">
      <w:rPr>
        <w:noProof/>
      </w:rPr>
      <w:t>24.10.12</w:t>
    </w:r>
    <w:r>
      <w:fldChar w:fldCharType="end"/>
    </w:r>
    <w:r w:rsidRPr="00F52DD5">
      <w:tab/>
    </w:r>
    <w:r>
      <w:fldChar w:fldCharType="begin"/>
    </w:r>
    <w:r>
      <w:instrText xml:space="preserve"> PRINTDATE \@ DD.MM.YY </w:instrText>
    </w:r>
    <w:r>
      <w:fldChar w:fldCharType="separate"/>
    </w:r>
    <w:r w:rsidR="00E31477">
      <w:rPr>
        <w:noProof/>
      </w:rPr>
      <w:t>24.10.12</w:t>
    </w:r>
    <w:r>
      <w:fldChar w:fldCharType="end"/>
    </w:r>
  </w:p>
  <w:p w:rsidR="00DF1CFC" w:rsidRPr="00F52DD5" w:rsidRDefault="00DF1CF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FC" w:rsidRDefault="00DF1CFC" w:rsidP="00DE2EBA">
    <w:pPr>
      <w:pStyle w:val="Footer"/>
    </w:pPr>
    <w:r>
      <w:fldChar w:fldCharType="begin"/>
    </w:r>
    <w:r w:rsidRPr="00BF3E25">
      <w:rPr>
        <w:lang w:val="en-US"/>
      </w:rPr>
      <w:instrText xml:space="preserve"> FILENAME \p  \* MERGEFORMAT </w:instrText>
    </w:r>
    <w:r>
      <w:fldChar w:fldCharType="separate"/>
    </w:r>
    <w:r w:rsidR="00E31477">
      <w:rPr>
        <w:lang w:val="en-US"/>
      </w:rPr>
      <w:t>P:\RUS\SG\CONF-SG\WCIT12\000\016R.docx</w:t>
    </w:r>
    <w:r>
      <w:fldChar w:fldCharType="end"/>
    </w:r>
    <w:r>
      <w:t xml:space="preserve"> (333922)</w:t>
    </w:r>
    <w:r w:rsidRPr="00BF3E25">
      <w:rPr>
        <w:lang w:val="en-US"/>
      </w:rPr>
      <w:tab/>
    </w:r>
    <w:r>
      <w:fldChar w:fldCharType="begin"/>
    </w:r>
    <w:r>
      <w:instrText xml:space="preserve"> SAVEDATE \@ DD.MM.YY </w:instrText>
    </w:r>
    <w:r>
      <w:fldChar w:fldCharType="separate"/>
    </w:r>
    <w:r w:rsidR="00E31477">
      <w:t>24.10.12</w:t>
    </w:r>
    <w:r>
      <w:fldChar w:fldCharType="end"/>
    </w:r>
    <w:r w:rsidRPr="00BF3E25">
      <w:rPr>
        <w:lang w:val="en-US"/>
      </w:rPr>
      <w:tab/>
    </w:r>
    <w:r>
      <w:fldChar w:fldCharType="begin"/>
    </w:r>
    <w:r>
      <w:instrText xml:space="preserve"> PRINTDATE \@ DD.MM.YY </w:instrText>
    </w:r>
    <w:r>
      <w:fldChar w:fldCharType="separate"/>
    </w:r>
    <w:r w:rsidR="00E31477">
      <w:t>24.10.12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FC" w:rsidRPr="00BF3E25" w:rsidRDefault="00DF1CFC" w:rsidP="00DE2EBA">
    <w:pPr>
      <w:pStyle w:val="Footer"/>
      <w:rPr>
        <w:lang w:val="en-US"/>
      </w:rPr>
    </w:pPr>
    <w:r>
      <w:fldChar w:fldCharType="begin"/>
    </w:r>
    <w:r w:rsidRPr="00BF3E25">
      <w:rPr>
        <w:lang w:val="en-US"/>
      </w:rPr>
      <w:instrText xml:space="preserve"> FILENAME \p  \* MERGEFORMAT </w:instrText>
    </w:r>
    <w:r>
      <w:fldChar w:fldCharType="separate"/>
    </w:r>
    <w:r w:rsidR="00E31477">
      <w:rPr>
        <w:lang w:val="en-US"/>
      </w:rPr>
      <w:t>P:\RUS\SG\CONF-SG\WCIT12\000\016R.docx</w:t>
    </w:r>
    <w:r>
      <w:fldChar w:fldCharType="end"/>
    </w:r>
    <w:r>
      <w:t xml:space="preserve"> (333922)</w:t>
    </w:r>
    <w:r w:rsidRPr="00BF3E25">
      <w:rPr>
        <w:lang w:val="en-US"/>
      </w:rPr>
      <w:tab/>
    </w:r>
    <w:r>
      <w:fldChar w:fldCharType="begin"/>
    </w:r>
    <w:r>
      <w:instrText xml:space="preserve"> SAVEDATE \@ DD.MM.YY </w:instrText>
    </w:r>
    <w:r>
      <w:fldChar w:fldCharType="separate"/>
    </w:r>
    <w:r w:rsidR="00E31477">
      <w:t>24.10.12</w:t>
    </w:r>
    <w:r>
      <w:fldChar w:fldCharType="end"/>
    </w:r>
    <w:r w:rsidRPr="00BF3E25">
      <w:rPr>
        <w:lang w:val="en-US"/>
      </w:rPr>
      <w:tab/>
    </w:r>
    <w:r>
      <w:fldChar w:fldCharType="begin"/>
    </w:r>
    <w:r>
      <w:instrText xml:space="preserve"> PRINTDATE \@ DD.MM.YY </w:instrText>
    </w:r>
    <w:r>
      <w:fldChar w:fldCharType="separate"/>
    </w:r>
    <w:r w:rsidR="00E31477">
      <w:t>24.10.12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CFC" w:rsidRDefault="00DF1CFC">
      <w:r>
        <w:rPr>
          <w:b/>
        </w:rPr>
        <w:t>_______________</w:t>
      </w:r>
    </w:p>
  </w:footnote>
  <w:footnote w:type="continuationSeparator" w:id="0">
    <w:p w:rsidR="00DF1CFC" w:rsidRDefault="00DF1CFC">
      <w:r>
        <w:continuationSeparator/>
      </w:r>
    </w:p>
    <w:p w:rsidR="00DF1CFC" w:rsidRDefault="00DF1CFC"/>
  </w:footnote>
  <w:footnote w:id="1">
    <w:p w:rsidR="00DF1CFC" w:rsidRPr="00D52B36" w:rsidRDefault="00DF1CFC" w:rsidP="00E149A3">
      <w:pPr>
        <w:pStyle w:val="FootnoteText"/>
        <w:rPr>
          <w:lang w:val="ru-RU"/>
        </w:rPr>
      </w:pPr>
      <w:r w:rsidRPr="002F509F">
        <w:rPr>
          <w:rStyle w:val="FootnoteReference"/>
        </w:rPr>
        <w:footnoteRef/>
      </w:r>
      <w:r w:rsidRPr="00E149A3">
        <w:rPr>
          <w:lang w:val="ru-RU"/>
        </w:rPr>
        <w:tab/>
      </w:r>
      <w:r w:rsidRPr="00D52B36">
        <w:rPr>
          <w:lang w:val="ru-RU"/>
        </w:rPr>
        <w:t xml:space="preserve">Членами СЕПТ (Европа) являются: </w:t>
      </w:r>
      <w:proofErr w:type="gramStart"/>
      <w:r w:rsidRPr="00D52B36">
        <w:rPr>
          <w:lang w:val="ru-RU"/>
        </w:rPr>
        <w:t>Албания (Республика), Андорра (Княжество), Австрия, Азербайджанская Республика, Беларусь (Республика), Бельгия, Босния и Герцеговина, Болгария (Республика), Хорватия (Республика), Кипр (Республика), Чешская Республика, Дания, Эстонская Республика, Финляндия, Франция, Грузия, Германия (Федеративная Республика), Греция, Венгрия (Республика), Исландия, Ирландия, Италия, Латвийская Республика, Лихтенштейн (Княжество), Литовская Республика, Люксембург, Мальта, Молдова (Республика), Монако (Княжество), Черногория, Нидерланды (Королевство), Норвегия, Польша (Республика), Португалия, Румыния, Российская Федерация, Сан-Марино (Республика</w:t>
      </w:r>
      <w:proofErr w:type="gramEnd"/>
      <w:r w:rsidRPr="00D52B36">
        <w:rPr>
          <w:lang w:val="ru-RU"/>
        </w:rPr>
        <w:t xml:space="preserve">), </w:t>
      </w:r>
      <w:proofErr w:type="gramStart"/>
      <w:r w:rsidRPr="00D52B36">
        <w:rPr>
          <w:lang w:val="ru-RU"/>
        </w:rPr>
        <w:t>Сербия (Республика), Словацкая Республика, Словения (Республика), Испания, Швеция, Швейцарская Конфедерация, бывшая югославская Республика Македония, Турция, Украина, Соединенное Королевство Великобритании и Северной Ирландии, Государство-город Ватикан.</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CFC" w:rsidRPr="00434A7C" w:rsidRDefault="00DF1CFC" w:rsidP="00DE2EBA">
    <w:pPr>
      <w:pStyle w:val="Header"/>
      <w:rPr>
        <w:lang w:val="en-US"/>
      </w:rPr>
    </w:pPr>
    <w:r>
      <w:fldChar w:fldCharType="begin"/>
    </w:r>
    <w:r>
      <w:instrText xml:space="preserve"> PAGE </w:instrText>
    </w:r>
    <w:r>
      <w:fldChar w:fldCharType="separate"/>
    </w:r>
    <w:r w:rsidR="00E31477">
      <w:rPr>
        <w:noProof/>
      </w:rPr>
      <w:t>4</w:t>
    </w:r>
    <w:r>
      <w:fldChar w:fldCharType="end"/>
    </w:r>
  </w:p>
  <w:p w:rsidR="00DF1CFC" w:rsidRPr="00F22C3D" w:rsidRDefault="00DF1CFC" w:rsidP="00F22C3D">
    <w:pPr>
      <w:pStyle w:val="Header"/>
      <w:rPr>
        <w:lang w:val="ru-RU"/>
      </w:rPr>
    </w:pPr>
    <w:r>
      <w:t>WCIT</w:t>
    </w:r>
    <w:r>
      <w:rPr>
        <w:lang w:val="en-US"/>
      </w:rPr>
      <w:t>12</w:t>
    </w:r>
    <w:r w:rsidR="00F22C3D">
      <w:rPr>
        <w:lang w:val="ru-RU"/>
      </w:rPr>
      <w:t>/16</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6A162F04"/>
    <w:multiLevelType w:val="hybridMultilevel"/>
    <w:tmpl w:val="332EDD06"/>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7D173F5A"/>
    <w:multiLevelType w:val="hybridMultilevel"/>
    <w:tmpl w:val="9D5C675A"/>
    <w:lvl w:ilvl="0" w:tplc="17104146">
      <w:start w:val="1"/>
      <w:numFmt w:val="lowerRoman"/>
      <w:lvlText w:val="(%1)"/>
      <w:lvlJc w:val="left"/>
      <w:pPr>
        <w:ind w:left="1004" w:hanging="72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FE4"/>
    <w:rsid w:val="000260F1"/>
    <w:rsid w:val="0003535B"/>
    <w:rsid w:val="000A0EF3"/>
    <w:rsid w:val="00123B68"/>
    <w:rsid w:val="00124C09"/>
    <w:rsid w:val="00126F2E"/>
    <w:rsid w:val="001521AE"/>
    <w:rsid w:val="001A1CA2"/>
    <w:rsid w:val="001B00B8"/>
    <w:rsid w:val="001E5FB4"/>
    <w:rsid w:val="00202CA0"/>
    <w:rsid w:val="00212994"/>
    <w:rsid w:val="00230582"/>
    <w:rsid w:val="00245A1F"/>
    <w:rsid w:val="00290C74"/>
    <w:rsid w:val="002A2D3F"/>
    <w:rsid w:val="002F509F"/>
    <w:rsid w:val="00300F84"/>
    <w:rsid w:val="00316F37"/>
    <w:rsid w:val="0032465E"/>
    <w:rsid w:val="00332B56"/>
    <w:rsid w:val="00344EB8"/>
    <w:rsid w:val="003C583C"/>
    <w:rsid w:val="003F0078"/>
    <w:rsid w:val="0041182C"/>
    <w:rsid w:val="00434A7C"/>
    <w:rsid w:val="0045143A"/>
    <w:rsid w:val="004811D9"/>
    <w:rsid w:val="004A3360"/>
    <w:rsid w:val="004A58F4"/>
    <w:rsid w:val="004C47ED"/>
    <w:rsid w:val="0051315E"/>
    <w:rsid w:val="005305D5"/>
    <w:rsid w:val="005371E3"/>
    <w:rsid w:val="005651C9"/>
    <w:rsid w:val="00566AE4"/>
    <w:rsid w:val="00567276"/>
    <w:rsid w:val="005755E2"/>
    <w:rsid w:val="005A295E"/>
    <w:rsid w:val="005D1879"/>
    <w:rsid w:val="005D79A3"/>
    <w:rsid w:val="005E61DD"/>
    <w:rsid w:val="006023DF"/>
    <w:rsid w:val="00620DD7"/>
    <w:rsid w:val="00657DE0"/>
    <w:rsid w:val="00662DF4"/>
    <w:rsid w:val="00692C06"/>
    <w:rsid w:val="006A6E9B"/>
    <w:rsid w:val="006B48D4"/>
    <w:rsid w:val="00746AF4"/>
    <w:rsid w:val="00763F4F"/>
    <w:rsid w:val="00772FF2"/>
    <w:rsid w:val="00775720"/>
    <w:rsid w:val="007F3BA9"/>
    <w:rsid w:val="00811633"/>
    <w:rsid w:val="00845715"/>
    <w:rsid w:val="00872FC8"/>
    <w:rsid w:val="008B43F2"/>
    <w:rsid w:val="008C3257"/>
    <w:rsid w:val="008F0393"/>
    <w:rsid w:val="009119CC"/>
    <w:rsid w:val="00941A02"/>
    <w:rsid w:val="009A364F"/>
    <w:rsid w:val="009B5CC2"/>
    <w:rsid w:val="009D0760"/>
    <w:rsid w:val="009E5FC8"/>
    <w:rsid w:val="009F7DD4"/>
    <w:rsid w:val="00A138D0"/>
    <w:rsid w:val="00A141AF"/>
    <w:rsid w:val="00A2044F"/>
    <w:rsid w:val="00A4600A"/>
    <w:rsid w:val="00A57C04"/>
    <w:rsid w:val="00A61057"/>
    <w:rsid w:val="00A710E7"/>
    <w:rsid w:val="00A81026"/>
    <w:rsid w:val="00A97EC0"/>
    <w:rsid w:val="00AA75A7"/>
    <w:rsid w:val="00AC66E6"/>
    <w:rsid w:val="00AE4E50"/>
    <w:rsid w:val="00B468A6"/>
    <w:rsid w:val="00BA13A4"/>
    <w:rsid w:val="00BA1AA1"/>
    <w:rsid w:val="00BA35DC"/>
    <w:rsid w:val="00BC5088"/>
    <w:rsid w:val="00BC5313"/>
    <w:rsid w:val="00BF3E25"/>
    <w:rsid w:val="00C20466"/>
    <w:rsid w:val="00C324A8"/>
    <w:rsid w:val="00C56E7A"/>
    <w:rsid w:val="00C94EDC"/>
    <w:rsid w:val="00CA5C8B"/>
    <w:rsid w:val="00CC47C6"/>
    <w:rsid w:val="00CE5E47"/>
    <w:rsid w:val="00CF020F"/>
    <w:rsid w:val="00D52B36"/>
    <w:rsid w:val="00D53715"/>
    <w:rsid w:val="00DA56A8"/>
    <w:rsid w:val="00DE2EBA"/>
    <w:rsid w:val="00DF1CFC"/>
    <w:rsid w:val="00E03FE4"/>
    <w:rsid w:val="00E149A3"/>
    <w:rsid w:val="00E14ECE"/>
    <w:rsid w:val="00E2253F"/>
    <w:rsid w:val="00E31477"/>
    <w:rsid w:val="00E5155F"/>
    <w:rsid w:val="00E71F4F"/>
    <w:rsid w:val="00E976C1"/>
    <w:rsid w:val="00F22C3D"/>
    <w:rsid w:val="00F52DD5"/>
    <w:rsid w:val="00F65C19"/>
    <w:rsid w:val="00F97203"/>
    <w:rsid w:val="00F9794A"/>
    <w:rsid w:val="00FC63FD"/>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FE4"/>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332B56"/>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4EDC"/>
    <w:pPr>
      <w:keepNext/>
      <w:keepLines/>
      <w:spacing w:before="160"/>
      <w:ind w:left="1134"/>
    </w:pPr>
    <w:rPr>
      <w:i/>
    </w:rPr>
  </w:style>
  <w:style w:type="character" w:customStyle="1" w:styleId="CallChar">
    <w:name w:val="Call Char"/>
    <w:basedOn w:val="DefaultParagraphFont"/>
    <w:link w:val="Call"/>
    <w:locked/>
    <w:rsid w:val="00C94EDC"/>
    <w:rPr>
      <w:rFonts w:asciiTheme="minorHAnsi" w:hAnsiTheme="minorHAnsi"/>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C94EDC"/>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4EDC"/>
    <w:rPr>
      <w:rFonts w:asciiTheme="minorHAnsi" w:hAnsiTheme="minorHAnsi"/>
      <w:sz w:val="22"/>
      <w:lang w:val="ru-RU" w:eastAsia="en-US"/>
    </w:rPr>
  </w:style>
  <w:style w:type="paragraph" w:customStyle="1" w:styleId="enumlev2">
    <w:name w:val="enumlev2"/>
    <w:basedOn w:val="enumlev1"/>
    <w:link w:val="enumlev2Char"/>
    <w:rsid w:val="00C94EDC"/>
    <w:pPr>
      <w:ind w:left="1871" w:hanging="737"/>
    </w:pPr>
  </w:style>
  <w:style w:type="character" w:customStyle="1" w:styleId="enumlev2Char">
    <w:name w:val="enumlev2 Char"/>
    <w:basedOn w:val="DefaultParagraphFont"/>
    <w:link w:val="enumlev2"/>
    <w:locked/>
    <w:rsid w:val="00C94EDC"/>
    <w:rPr>
      <w:rFonts w:asciiTheme="minorHAnsi" w:hAnsiTheme="minorHAnsi"/>
      <w:sz w:val="22"/>
      <w:lang w:val="ru-RU" w:eastAsia="en-US"/>
    </w:rPr>
  </w:style>
  <w:style w:type="paragraph" w:customStyle="1" w:styleId="enumlev3">
    <w:name w:val="enumlev3"/>
    <w:basedOn w:val="enumlev2"/>
    <w:rsid w:val="00C94EDC"/>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C94EDC"/>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332B56"/>
    <w:rPr>
      <w:rFonts w:ascii="Calibri" w:hAnsi="Calibr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5371E3"/>
    <w:rPr>
      <w:rFonts w:asciiTheme="minorHAnsi" w:hAnsiTheme="minorHAnsi"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941A02"/>
    <w:pPr>
      <w:keepNext/>
      <w:spacing w:before="240"/>
    </w:pPr>
  </w:style>
  <w:style w:type="character" w:customStyle="1" w:styleId="ProposalChar">
    <w:name w:val="Proposal Char"/>
    <w:basedOn w:val="DefaultParagraphFont"/>
    <w:link w:val="Proposal"/>
    <w:locked/>
    <w:rsid w:val="00941A02"/>
    <w:rPr>
      <w:rFonts w:ascii="Times New Roman" w:hAnsi="Times New Roman"/>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941A02"/>
    <w:pPr>
      <w:tabs>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FE4"/>
    <w:pPr>
      <w:tabs>
        <w:tab w:val="left" w:pos="1134"/>
        <w:tab w:val="left" w:pos="1871"/>
        <w:tab w:val="left" w:pos="2268"/>
      </w:tabs>
      <w:overflowPunct w:val="0"/>
      <w:autoSpaceDE w:val="0"/>
      <w:autoSpaceDN w:val="0"/>
      <w:adjustRightInd w:val="0"/>
      <w:spacing w:before="120"/>
      <w:textAlignment w:val="baseline"/>
    </w:pPr>
    <w:rPr>
      <w:rFonts w:ascii="Calibri" w:hAnsi="Calibri"/>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BC5088"/>
    <w:pPr>
      <w:outlineLvl w:val="8"/>
    </w:pPr>
    <w:rPr>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5371E3"/>
    <w:pPr>
      <w:keepNext/>
      <w:keepLines/>
      <w:spacing w:before="240" w:after="280"/>
      <w:jc w:val="center"/>
    </w:pPr>
    <w:rPr>
      <w:b/>
      <w:sz w:val="26"/>
    </w:rPr>
  </w:style>
  <w:style w:type="character" w:customStyle="1" w:styleId="AnnextitleChar1">
    <w:name w:val="Annex_title Char1"/>
    <w:basedOn w:val="DefaultParagraphFont"/>
    <w:link w:val="Annextitle"/>
    <w:locked/>
    <w:rsid w:val="005371E3"/>
    <w:rPr>
      <w:rFonts w:asciiTheme="minorHAnsi" w:hAnsiTheme="minorHAnsi"/>
      <w:b/>
      <w:sz w:val="26"/>
      <w:lang w:val="ru-RU" w:eastAsia="en-US"/>
    </w:rPr>
  </w:style>
  <w:style w:type="character" w:customStyle="1" w:styleId="Appdef">
    <w:name w:val="App_def"/>
    <w:basedOn w:val="DefaultParagraphFont"/>
    <w:rsid w:val="005371E3"/>
    <w:rPr>
      <w:rFonts w:asciiTheme="minorHAnsi" w:hAnsiTheme="minorHAnsi" w:cs="Times New Roman"/>
      <w:b/>
    </w:rPr>
  </w:style>
  <w:style w:type="character" w:customStyle="1" w:styleId="Appref">
    <w:name w:val="App_ref"/>
    <w:basedOn w:val="DefaultParagraphFont"/>
    <w:rsid w:val="005371E3"/>
    <w:rPr>
      <w:rFonts w:asciiTheme="minorHAnsi" w:hAnsiTheme="minorHAnsi"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332B56"/>
    <w:rPr>
      <w:rFonts w:ascii="Calibri" w:eastAsia="SimSun" w:hAnsi="Calibri" w:cs="Times New Roman Bold"/>
      <w:b/>
      <w:bCs/>
      <w:iCs/>
      <w:color w:val="000000"/>
      <w:szCs w:val="22"/>
    </w:rPr>
  </w:style>
  <w:style w:type="paragraph" w:customStyle="1" w:styleId="Artheading">
    <w:name w:val="Art_heading"/>
    <w:basedOn w:val="Normal"/>
    <w:next w:val="Normal"/>
    <w:rsid w:val="005371E3"/>
    <w:pPr>
      <w:spacing w:before="480"/>
      <w:jc w:val="center"/>
    </w:pPr>
    <w:rPr>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5371E3"/>
    <w:rPr>
      <w:rFonts w:asciiTheme="minorHAnsi" w:hAnsiTheme="minorHAnsi"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851"/>
        <w:tab w:val="left" w:pos="1418"/>
        <w:tab w:val="left" w:pos="1985"/>
        <w:tab w:val="left" w:pos="2552"/>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985"/>
        <w:tab w:val="clear" w:pos="2268"/>
        <w:tab w:val="clear" w:pos="2552"/>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C94EDC"/>
    <w:pPr>
      <w:keepNext/>
      <w:keepLines/>
      <w:spacing w:before="160"/>
      <w:ind w:left="1134"/>
    </w:pPr>
    <w:rPr>
      <w:i/>
    </w:rPr>
  </w:style>
  <w:style w:type="character" w:customStyle="1" w:styleId="CallChar">
    <w:name w:val="Call Char"/>
    <w:basedOn w:val="DefaultParagraphFont"/>
    <w:link w:val="Call"/>
    <w:locked/>
    <w:rsid w:val="00C94EDC"/>
    <w:rPr>
      <w:rFonts w:asciiTheme="minorHAnsi" w:hAnsiTheme="minorHAnsi"/>
      <w:i/>
      <w:sz w:val="22"/>
      <w:lang w:val="ru-RU" w:eastAsia="en-US"/>
    </w:rPr>
  </w:style>
  <w:style w:type="paragraph" w:customStyle="1" w:styleId="ChapNo">
    <w:name w:val="Chap_No"/>
    <w:basedOn w:val="ArtNo"/>
    <w:next w:val="Normal"/>
    <w:rsid w:val="005371E3"/>
    <w:rPr>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5371E3"/>
    <w:rPr>
      <w:rFonts w:asciiTheme="minorHAnsi" w:hAnsiTheme="minorHAnsi" w:cs="Times New Roman"/>
      <w:vertAlign w:val="superscript"/>
    </w:rPr>
  </w:style>
  <w:style w:type="paragraph" w:customStyle="1" w:styleId="enumlev1">
    <w:name w:val="enumlev1"/>
    <w:basedOn w:val="Normal"/>
    <w:link w:val="enumlev1Char"/>
    <w:rsid w:val="00C94EDC"/>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94EDC"/>
    <w:rPr>
      <w:rFonts w:asciiTheme="minorHAnsi" w:hAnsiTheme="minorHAnsi"/>
      <w:sz w:val="22"/>
      <w:lang w:val="ru-RU" w:eastAsia="en-US"/>
    </w:rPr>
  </w:style>
  <w:style w:type="paragraph" w:customStyle="1" w:styleId="enumlev2">
    <w:name w:val="enumlev2"/>
    <w:basedOn w:val="enumlev1"/>
    <w:link w:val="enumlev2Char"/>
    <w:rsid w:val="00C94EDC"/>
    <w:pPr>
      <w:ind w:left="1871" w:hanging="737"/>
    </w:pPr>
  </w:style>
  <w:style w:type="character" w:customStyle="1" w:styleId="enumlev2Char">
    <w:name w:val="enumlev2 Char"/>
    <w:basedOn w:val="DefaultParagraphFont"/>
    <w:link w:val="enumlev2"/>
    <w:locked/>
    <w:rsid w:val="00C94EDC"/>
    <w:rPr>
      <w:rFonts w:asciiTheme="minorHAnsi" w:hAnsiTheme="minorHAnsi"/>
      <w:sz w:val="22"/>
      <w:lang w:val="ru-RU" w:eastAsia="en-US"/>
    </w:rPr>
  </w:style>
  <w:style w:type="paragraph" w:customStyle="1" w:styleId="enumlev3">
    <w:name w:val="enumlev3"/>
    <w:basedOn w:val="enumlev2"/>
    <w:rsid w:val="00C94EDC"/>
    <w:pPr>
      <w:ind w:left="2268" w:hanging="397"/>
    </w:pPr>
  </w:style>
  <w:style w:type="paragraph" w:customStyle="1" w:styleId="Equation">
    <w:name w:val="Equation"/>
    <w:basedOn w:val="Normal"/>
    <w:link w:val="EquationChar"/>
    <w:rsid w:val="00941A02"/>
    <w:pPr>
      <w:tabs>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C94EDC"/>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5371E3"/>
    <w:pPr>
      <w:keepNext/>
      <w:keepLines/>
      <w:spacing w:before="0" w:after="120"/>
      <w:jc w:val="center"/>
    </w:pPr>
    <w:rPr>
      <w:b/>
      <w:sz w:val="18"/>
    </w:rPr>
  </w:style>
  <w:style w:type="character" w:customStyle="1" w:styleId="TabletitleChar">
    <w:name w:val="Table_title Char"/>
    <w:basedOn w:val="DefaultParagraphFont"/>
    <w:link w:val="Tabletitle"/>
    <w:locked/>
    <w:rsid w:val="005371E3"/>
    <w:rPr>
      <w:rFonts w:asciiTheme="minorHAnsi" w:hAnsiTheme="minorHAnsi"/>
      <w:b/>
      <w:sz w:val="18"/>
      <w:lang w:val="ru-RU" w:eastAsia="en-US"/>
    </w:rPr>
  </w:style>
  <w:style w:type="paragraph" w:customStyle="1" w:styleId="Figuretitle">
    <w:name w:val="Figure_title"/>
    <w:basedOn w:val="Tabletitle"/>
    <w:next w:val="Normal"/>
    <w:link w:val="FiguretitleChar"/>
    <w:rsid w:val="005371E3"/>
    <w:pPr>
      <w:spacing w:after="480"/>
    </w:pPr>
  </w:style>
  <w:style w:type="character" w:customStyle="1" w:styleId="FiguretitleChar">
    <w:name w:val="Figure_title Char"/>
    <w:basedOn w:val="DefaultParagraphFont"/>
    <w:link w:val="Figuretitle"/>
    <w:locked/>
    <w:rsid w:val="005371E3"/>
    <w:rPr>
      <w:rFonts w:asciiTheme="minorHAnsi" w:hAnsiTheme="minorHAnsi"/>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332B56"/>
    <w:rPr>
      <w:rFonts w:ascii="Calibri" w:hAnsi="Calibri"/>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left" w:pos="794"/>
        <w:tab w:val="left" w:pos="1191"/>
        <w:tab w:val="left" w:pos="1588"/>
        <w:tab w:val="left" w:pos="198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BC5088"/>
    <w:rPr>
      <w:rFonts w:asciiTheme="minorHAnsi" w:hAnsiTheme="minorHAnsi"/>
      <w:sz w:val="22"/>
      <w:szCs w:val="22"/>
      <w:lang w:val="ru-RU" w:eastAsia="x-none"/>
    </w:rPr>
  </w:style>
  <w:style w:type="paragraph" w:customStyle="1" w:styleId="Headingb">
    <w:name w:val="Heading_b"/>
    <w:basedOn w:val="Heading3"/>
    <w:next w:val="Normal"/>
    <w:link w:val="HeadingbChar"/>
    <w:rsid w:val="005371E3"/>
    <w:pPr>
      <w:tabs>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character" w:customStyle="1" w:styleId="HeadingbChar">
    <w:name w:val="Heading_b Char"/>
    <w:basedOn w:val="DefaultParagraphFont"/>
    <w:link w:val="Headingb"/>
    <w:locked/>
    <w:rsid w:val="005371E3"/>
    <w:rPr>
      <w:rFonts w:asciiTheme="minorHAnsi" w:hAnsiTheme="minorHAnsi"/>
      <w:b/>
      <w:sz w:val="22"/>
      <w:lang w:val="en-GB" w:eastAsia="en-US"/>
    </w:rPr>
  </w:style>
  <w:style w:type="paragraph" w:customStyle="1" w:styleId="Headingi">
    <w:name w:val="Heading_i"/>
    <w:basedOn w:val="Normal"/>
    <w:next w:val="Normal"/>
    <w:rsid w:val="005371E3"/>
    <w:pPr>
      <w:keepNext/>
      <w:spacing w:before="160"/>
    </w:pPr>
    <w:rPr>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5371E3"/>
    <w:rPr>
      <w:rFonts w:asciiTheme="minorHAnsi" w:hAnsiTheme="minorHAnsi"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5371E3"/>
    <w:rPr>
      <w:rFonts w:asciiTheme="minorHAnsi" w:hAnsiTheme="minorHAnsi"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941A02"/>
    <w:pPr>
      <w:keepNext/>
      <w:spacing w:before="240"/>
    </w:pPr>
  </w:style>
  <w:style w:type="character" w:customStyle="1" w:styleId="ProposalChar">
    <w:name w:val="Proposal Char"/>
    <w:basedOn w:val="DefaultParagraphFont"/>
    <w:link w:val="Proposal"/>
    <w:locked/>
    <w:rsid w:val="00941A02"/>
    <w:rPr>
      <w:rFonts w:ascii="Times New Roman" w:hAnsi="Times New Roman"/>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5371E3"/>
    <w:pPr>
      <w:spacing w:before="240"/>
    </w:pPr>
    <w:rPr>
      <w:b/>
      <w:caps w:val="0"/>
    </w:rPr>
  </w:style>
  <w:style w:type="paragraph" w:customStyle="1" w:styleId="Recref">
    <w:name w:val="Rec_ref"/>
    <w:basedOn w:val="Rectitle"/>
    <w:next w:val="Normal"/>
    <w:rsid w:val="005371E3"/>
    <w:pPr>
      <w:spacing w:before="120"/>
    </w:pPr>
    <w:rPr>
      <w:b w:val="0"/>
      <w:sz w:val="24"/>
    </w:rPr>
  </w:style>
  <w:style w:type="paragraph" w:customStyle="1" w:styleId="Recdate">
    <w:name w:val="Rec_date"/>
    <w:basedOn w:val="Recref"/>
    <w:next w:val="Normalaftertitle"/>
    <w:rsid w:val="005371E3"/>
    <w:pPr>
      <w:jc w:val="right"/>
    </w:pPr>
    <w:rPr>
      <w:sz w:val="22"/>
    </w:rPr>
  </w:style>
  <w:style w:type="paragraph" w:customStyle="1" w:styleId="Questiondate">
    <w:name w:val="Question_date"/>
    <w:basedOn w:val="Recdate"/>
    <w:next w:val="Normalaftertitle"/>
    <w:rsid w:val="005371E3"/>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5371E3"/>
  </w:style>
  <w:style w:type="paragraph" w:customStyle="1" w:styleId="Reasons">
    <w:name w:val="Reasons"/>
    <w:basedOn w:val="Normal"/>
    <w:link w:val="ReasonsChar"/>
    <w:qFormat/>
    <w:rsid w:val="00941A02"/>
    <w:pPr>
      <w:tabs>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5371E3"/>
    <w:rPr>
      <w:rFonts w:asciiTheme="minorHAnsi" w:hAnsiTheme="minorHAnsi"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5371E3"/>
    <w:rPr>
      <w:rFonts w:asciiTheme="minorHAnsi" w:hAnsiTheme="minorHAnsi"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1134"/>
        <w:tab w:val="left" w:pos="2268"/>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5371E3"/>
    <w:rPr>
      <w:rFonts w:asciiTheme="minorHAnsi" w:hAnsiTheme="minorHAnsi" w:cs="Times New Roman"/>
      <w:b/>
      <w:sz w:val="18"/>
    </w:rPr>
  </w:style>
  <w:style w:type="paragraph" w:customStyle="1" w:styleId="Tablehead">
    <w:name w:val="Table_head"/>
    <w:basedOn w:val="Tabletext"/>
    <w:next w:val="Tabletext"/>
    <w:link w:val="TableheadChar"/>
    <w:rsid w:val="005371E3"/>
    <w:pPr>
      <w:keepNext/>
      <w:spacing w:before="80" w:after="80"/>
      <w:jc w:val="center"/>
    </w:pPr>
    <w:rPr>
      <w:b/>
      <w:lang w:val="en-GB"/>
    </w:rPr>
  </w:style>
  <w:style w:type="character" w:customStyle="1" w:styleId="TableheadChar">
    <w:name w:val="Table_head Char"/>
    <w:basedOn w:val="DefaultParagraphFont"/>
    <w:link w:val="Tablehead"/>
    <w:locked/>
    <w:rsid w:val="005371E3"/>
    <w:rPr>
      <w:rFonts w:asciiTheme="minorHAnsi" w:hAnsiTheme="minorHAnsi"/>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941A02"/>
    <w:pPr>
      <w:tabs>
        <w:tab w:val="clear" w:pos="1134"/>
        <w:tab w:val="clear" w:pos="2268"/>
        <w:tab w:val="left" w:pos="170"/>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941A02"/>
    <w:rPr>
      <w:rFonts w:ascii="Times New Roman" w:hAnsi="Times New Roman"/>
      <w:sz w:val="18"/>
      <w:lang w:val="en-GB" w:eastAsia="en-US"/>
    </w:rPr>
  </w:style>
  <w:style w:type="paragraph" w:customStyle="1" w:styleId="TableNote">
    <w:name w:val="TableNote"/>
    <w:basedOn w:val="Tabletext"/>
    <w:rsid w:val="00941A02"/>
    <w:pPr>
      <w:tabs>
        <w:tab w:val="clear" w:pos="284"/>
        <w:tab w:val="clear" w:pos="851"/>
        <w:tab w:val="clear" w:pos="1134"/>
        <w:tab w:val="clear" w:pos="1418"/>
        <w:tab w:val="clear" w:pos="1985"/>
        <w:tab w:val="clear" w:pos="2268"/>
        <w:tab w:val="clear" w:pos="2552"/>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2268"/>
        <w:tab w:val="right" w:pos="9781"/>
      </w:tabs>
    </w:pPr>
    <w:rPr>
      <w:b/>
    </w:rPr>
  </w:style>
  <w:style w:type="paragraph" w:styleId="TOC1">
    <w:name w:val="toc 1"/>
    <w:basedOn w:val="Normal"/>
    <w:rsid w:val="00941A02"/>
    <w:pPr>
      <w:keepLines/>
      <w:tabs>
        <w:tab w:val="clear" w:pos="1134"/>
        <w:tab w:val="clear" w:pos="2268"/>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212994"/>
    <w:rPr>
      <w:rFonts w:cs="Times New Roman Bold"/>
      <w:b/>
      <w:caps w:val="0"/>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Opiniontitle">
    <w:name w:val="Opinion_title"/>
    <w:basedOn w:val="Rectitle"/>
    <w:next w:val="Normalaftertitle"/>
    <w:qFormat/>
    <w:rsid w:val="00212994"/>
  </w:style>
  <w:style w:type="paragraph" w:customStyle="1" w:styleId="OpinionNo">
    <w:name w:val="Opinion_No"/>
    <w:basedOn w:val="RecNo"/>
    <w:next w:val="Opiniontitle"/>
    <w:qFormat/>
    <w:rsid w:val="0021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18364">
      <w:bodyDiv w:val="1"/>
      <w:marLeft w:val="0"/>
      <w:marRight w:val="0"/>
      <w:marTop w:val="0"/>
      <w:marBottom w:val="0"/>
      <w:divBdr>
        <w:top w:val="none" w:sz="0" w:space="0" w:color="auto"/>
        <w:left w:val="none" w:sz="0" w:space="0" w:color="auto"/>
        <w:bottom w:val="none" w:sz="0" w:space="0" w:color="auto"/>
        <w:right w:val="none" w:sz="0" w:space="0" w:color="auto"/>
      </w:divBdr>
    </w:div>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smeyan\Application%20Data\Microsoft\Templates\POOL%20R%20-%20ITU\PR_WCIT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F60D4-D287-41C7-B36A-7064359B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PR_WCIT12.dotx</Template>
  <TotalTime>99</TotalTime>
  <Pages>4</Pages>
  <Words>1035</Words>
  <Characters>7298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Nesmeyanova, Marina</dc:creator>
  <dc:description>PR_WRC07.dot  For: _x000d_Document date: _x000d_Saved by MM-43480 at 14:11:39 on 05.09.07</dc:description>
  <cp:lastModifiedBy>Antipina, Nadezda</cp:lastModifiedBy>
  <cp:revision>12</cp:revision>
  <cp:lastPrinted>2012-10-24T15:06:00Z</cp:lastPrinted>
  <dcterms:created xsi:type="dcterms:W3CDTF">2012-10-23T12:32:00Z</dcterms:created>
  <dcterms:modified xsi:type="dcterms:W3CDTF">2012-10-24T15:06:00Z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