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trPr>
          <w:cantSplit/>
        </w:trPr>
        <w:tc>
          <w:tcPr>
            <w:tcW w:w="6911" w:type="dxa"/>
          </w:tcPr>
          <w:p w:rsidR="00A066F1" w:rsidRPr="00F04067" w:rsidRDefault="00F04067" w:rsidP="00F04067">
            <w:pPr>
              <w:spacing w:before="240" w:after="48" w:line="240" w:lineRule="atLeast"/>
              <w:rPr>
                <w:rFonts w:cstheme="minorHAnsi"/>
                <w:b/>
                <w:bCs/>
                <w:position w:val="6"/>
                <w:sz w:val="28"/>
                <w:szCs w:val="28"/>
                <w:lang w:val="en-US"/>
              </w:rPr>
            </w:pPr>
            <w:r w:rsidRPr="00DD08B4">
              <w:rPr>
                <w:rFonts w:cstheme="minorHAnsi"/>
                <w:b/>
                <w:position w:val="6"/>
                <w:sz w:val="28"/>
                <w:szCs w:val="28"/>
                <w:lang w:val="en-US"/>
              </w:rPr>
              <w:t xml:space="preserve">World Conference on International </w:t>
            </w:r>
            <w:r w:rsidR="00DD08B4">
              <w:rPr>
                <w:rFonts w:cstheme="minorHAnsi"/>
                <w:b/>
                <w:position w:val="6"/>
                <w:sz w:val="28"/>
                <w:szCs w:val="28"/>
                <w:lang w:val="en-US"/>
              </w:rPr>
              <w:br/>
            </w:r>
            <w:r w:rsidRPr="00DD08B4">
              <w:rPr>
                <w:rFonts w:cstheme="minorHAnsi"/>
                <w:b/>
                <w:position w:val="6"/>
                <w:sz w:val="28"/>
                <w:szCs w:val="28"/>
                <w:lang w:val="en-US"/>
              </w:rPr>
              <w:t>Telecommunications (WCIT-12)</w:t>
            </w:r>
            <w:r w:rsidRPr="00DD08B4">
              <w:rPr>
                <w:rFonts w:cstheme="minorHAnsi"/>
                <w:b/>
                <w:position w:val="6"/>
                <w:sz w:val="28"/>
                <w:szCs w:val="28"/>
                <w:lang w:val="en-US"/>
              </w:rPr>
              <w:br/>
            </w:r>
            <w:r w:rsidRPr="00F04067">
              <w:rPr>
                <w:rFonts w:cstheme="minorHAnsi"/>
                <w:b/>
                <w:bCs/>
                <w:position w:val="6"/>
                <w:sz w:val="22"/>
                <w:szCs w:val="22"/>
                <w:lang w:val="en-US"/>
              </w:rPr>
              <w:t>Dubai, 3-14 December 2012</w:t>
            </w:r>
          </w:p>
        </w:tc>
        <w:tc>
          <w:tcPr>
            <w:tcW w:w="3120" w:type="dxa"/>
          </w:tcPr>
          <w:p w:rsidR="00A066F1" w:rsidRPr="00D96B4B" w:rsidRDefault="00A066F1" w:rsidP="00A066F1">
            <w:pPr>
              <w:spacing w:before="0" w:line="240" w:lineRule="atLeast"/>
              <w:rPr>
                <w:rFonts w:cstheme="minorHAnsi"/>
              </w:rPr>
            </w:pPr>
            <w:bookmarkStart w:id="0" w:name="ditulogo"/>
            <w:bookmarkEnd w:id="0"/>
            <w:r w:rsidRPr="00D96B4B">
              <w:rPr>
                <w:rFonts w:cstheme="minorHAnsi"/>
                <w:noProof/>
                <w:lang w:val="en-US" w:eastAsia="zh-CN"/>
              </w:rPr>
              <w:drawing>
                <wp:inline distT="0" distB="0" distL="0" distR="0" wp14:anchorId="734D3F08" wp14:editId="7577FD3B">
                  <wp:extent cx="1762125" cy="7429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62125" cy="742950"/>
                          </a:xfrm>
                          <a:prstGeom prst="rect">
                            <a:avLst/>
                          </a:prstGeom>
                          <a:noFill/>
                          <a:ln>
                            <a:noFill/>
                          </a:ln>
                        </pic:spPr>
                      </pic:pic>
                    </a:graphicData>
                  </a:graphic>
                </wp:inline>
              </w:drawing>
            </w:r>
          </w:p>
        </w:tc>
      </w:tr>
      <w:tr w:rsidR="00A066F1" w:rsidRPr="00617BE4">
        <w:trPr>
          <w:cantSplit/>
        </w:trPr>
        <w:tc>
          <w:tcPr>
            <w:tcW w:w="6911" w:type="dxa"/>
            <w:tcBorders>
              <w:bottom w:val="single" w:sz="12" w:space="0" w:color="auto"/>
            </w:tcBorders>
          </w:tcPr>
          <w:p w:rsidR="00A066F1" w:rsidRPr="00D96B4B" w:rsidRDefault="00A066F1" w:rsidP="00A066F1">
            <w:pPr>
              <w:spacing w:before="0" w:after="48" w:line="240" w:lineRule="atLeast"/>
              <w:rPr>
                <w:rFonts w:cstheme="minorHAnsi"/>
                <w:b/>
                <w:smallCaps/>
                <w:szCs w:val="24"/>
              </w:rPr>
            </w:pPr>
            <w:bookmarkStart w:id="1" w:name="dhead"/>
          </w:p>
        </w:tc>
        <w:tc>
          <w:tcPr>
            <w:tcW w:w="3120" w:type="dxa"/>
            <w:tcBorders>
              <w:bottom w:val="single" w:sz="12" w:space="0" w:color="auto"/>
            </w:tcBorders>
          </w:tcPr>
          <w:p w:rsidR="00A066F1" w:rsidRPr="00D96B4B" w:rsidRDefault="00A066F1" w:rsidP="00A066F1">
            <w:pPr>
              <w:spacing w:before="0" w:line="240" w:lineRule="atLeast"/>
              <w:rPr>
                <w:rFonts w:cstheme="minorHAnsi"/>
                <w:szCs w:val="24"/>
              </w:rPr>
            </w:pPr>
          </w:p>
        </w:tc>
      </w:tr>
      <w:tr w:rsidR="00A066F1" w:rsidRPr="00C324A8">
        <w:trPr>
          <w:cantSplit/>
        </w:trPr>
        <w:tc>
          <w:tcPr>
            <w:tcW w:w="6911" w:type="dxa"/>
            <w:tcBorders>
              <w:top w:val="single" w:sz="12" w:space="0" w:color="auto"/>
            </w:tcBorders>
          </w:tcPr>
          <w:p w:rsidR="00A066F1" w:rsidRPr="00D96B4B" w:rsidRDefault="00A066F1" w:rsidP="00A066F1">
            <w:pPr>
              <w:spacing w:before="0" w:after="48" w:line="240" w:lineRule="atLeast"/>
              <w:rPr>
                <w:rFonts w:cstheme="minorHAnsi"/>
                <w:b/>
                <w:smallCaps/>
                <w:sz w:val="20"/>
              </w:rPr>
            </w:pPr>
          </w:p>
        </w:tc>
        <w:tc>
          <w:tcPr>
            <w:tcW w:w="3120" w:type="dxa"/>
            <w:tcBorders>
              <w:top w:val="single" w:sz="12" w:space="0" w:color="auto"/>
            </w:tcBorders>
          </w:tcPr>
          <w:p w:rsidR="00A066F1" w:rsidRPr="00D96B4B" w:rsidRDefault="00A066F1" w:rsidP="00A066F1">
            <w:pPr>
              <w:spacing w:before="0" w:line="240" w:lineRule="atLeast"/>
              <w:rPr>
                <w:rFonts w:cstheme="minorHAnsi"/>
                <w:sz w:val="20"/>
              </w:rPr>
            </w:pPr>
          </w:p>
        </w:tc>
      </w:tr>
      <w:tr w:rsidR="00A066F1" w:rsidRPr="00C324A8">
        <w:trPr>
          <w:cantSplit/>
          <w:trHeight w:val="23"/>
        </w:trPr>
        <w:tc>
          <w:tcPr>
            <w:tcW w:w="6911" w:type="dxa"/>
            <w:shd w:val="clear" w:color="auto" w:fill="auto"/>
          </w:tcPr>
          <w:p w:rsidR="00A066F1" w:rsidRPr="00D96B4B" w:rsidRDefault="00CA3770" w:rsidP="004131D4">
            <w:pPr>
              <w:pStyle w:val="Committee"/>
              <w:framePr w:hSpace="0" w:wrap="auto" w:hAnchor="text" w:yAlign="inline"/>
            </w:pPr>
            <w:bookmarkStart w:id="2" w:name="dnum" w:colFirst="1" w:colLast="1"/>
            <w:bookmarkStart w:id="3" w:name="dmeeting" w:colFirst="0" w:colLast="0"/>
            <w:bookmarkEnd w:id="1"/>
            <w:r>
              <w:t>PLENARY MEETING</w:t>
            </w:r>
          </w:p>
        </w:tc>
        <w:tc>
          <w:tcPr>
            <w:tcW w:w="3120" w:type="dxa"/>
          </w:tcPr>
          <w:p w:rsidR="00A066F1" w:rsidRPr="00D96B4B" w:rsidRDefault="00E55816" w:rsidP="00AA666F">
            <w:pPr>
              <w:tabs>
                <w:tab w:val="left" w:pos="851"/>
              </w:tabs>
              <w:spacing w:before="0" w:line="240" w:lineRule="atLeast"/>
              <w:rPr>
                <w:rFonts w:cstheme="minorHAnsi"/>
                <w:szCs w:val="24"/>
              </w:rPr>
            </w:pPr>
            <w:r>
              <w:rPr>
                <w:rFonts w:cstheme="minorHAnsi"/>
                <w:b/>
                <w:szCs w:val="24"/>
              </w:rPr>
              <w:t>Document 16</w:t>
            </w:r>
            <w:r w:rsidR="00A066F1" w:rsidRPr="00D96B4B">
              <w:rPr>
                <w:rFonts w:cstheme="minorHAnsi"/>
                <w:b/>
                <w:szCs w:val="24"/>
              </w:rPr>
              <w:t>-</w:t>
            </w:r>
            <w:r w:rsidR="005E10C9" w:rsidRPr="00D96B4B">
              <w:rPr>
                <w:rFonts w:cstheme="minorHAnsi"/>
                <w:b/>
                <w:szCs w:val="24"/>
              </w:rPr>
              <w:t>E</w:t>
            </w:r>
          </w:p>
        </w:tc>
      </w:tr>
      <w:tr w:rsidR="00A066F1" w:rsidRPr="00C324A8">
        <w:trPr>
          <w:cantSplit/>
          <w:trHeight w:val="23"/>
        </w:trPr>
        <w:tc>
          <w:tcPr>
            <w:tcW w:w="6911" w:type="dxa"/>
            <w:shd w:val="clear" w:color="auto" w:fill="auto"/>
          </w:tcPr>
          <w:p w:rsidR="00A066F1" w:rsidRPr="00D96B4B" w:rsidRDefault="00A066F1" w:rsidP="00A066F1">
            <w:pPr>
              <w:tabs>
                <w:tab w:val="left" w:pos="851"/>
              </w:tabs>
              <w:spacing w:before="0" w:line="240" w:lineRule="atLeast"/>
              <w:rPr>
                <w:rFonts w:cstheme="minorHAnsi"/>
                <w:b/>
                <w:szCs w:val="24"/>
              </w:rPr>
            </w:pPr>
            <w:bookmarkStart w:id="4" w:name="ddate" w:colFirst="1" w:colLast="1"/>
            <w:bookmarkStart w:id="5" w:name="dblank" w:colFirst="0" w:colLast="0"/>
            <w:bookmarkEnd w:id="2"/>
            <w:bookmarkEnd w:id="3"/>
          </w:p>
        </w:tc>
        <w:tc>
          <w:tcPr>
            <w:tcW w:w="3120" w:type="dxa"/>
          </w:tcPr>
          <w:p w:rsidR="00A066F1" w:rsidRPr="00D96B4B" w:rsidRDefault="00E55816" w:rsidP="007D06F0">
            <w:pPr>
              <w:spacing w:before="0" w:line="240" w:lineRule="atLeast"/>
              <w:rPr>
                <w:rFonts w:cstheme="minorHAnsi"/>
                <w:szCs w:val="24"/>
              </w:rPr>
            </w:pPr>
            <w:r w:rsidRPr="00D96B4B">
              <w:rPr>
                <w:rFonts w:cstheme="minorHAnsi"/>
                <w:b/>
                <w:szCs w:val="24"/>
              </w:rPr>
              <w:t>12 October 2012</w:t>
            </w:r>
          </w:p>
        </w:tc>
      </w:tr>
      <w:tr w:rsidR="00A066F1" w:rsidRPr="00C324A8">
        <w:trPr>
          <w:cantSplit/>
          <w:trHeight w:val="23"/>
        </w:trPr>
        <w:tc>
          <w:tcPr>
            <w:tcW w:w="6911" w:type="dxa"/>
            <w:shd w:val="clear" w:color="auto" w:fill="auto"/>
          </w:tcPr>
          <w:p w:rsidR="00A066F1" w:rsidRPr="00D96B4B" w:rsidRDefault="00A066F1" w:rsidP="00A066F1">
            <w:pPr>
              <w:tabs>
                <w:tab w:val="left" w:pos="851"/>
              </w:tabs>
              <w:spacing w:before="0" w:line="240" w:lineRule="atLeast"/>
              <w:rPr>
                <w:rFonts w:cstheme="minorHAnsi"/>
                <w:szCs w:val="24"/>
              </w:rPr>
            </w:pPr>
            <w:bookmarkStart w:id="6" w:name="dbluepink" w:colFirst="0" w:colLast="0"/>
            <w:bookmarkStart w:id="7" w:name="dorlang" w:colFirst="1" w:colLast="1"/>
            <w:bookmarkEnd w:id="4"/>
            <w:bookmarkEnd w:id="5"/>
          </w:p>
        </w:tc>
        <w:tc>
          <w:tcPr>
            <w:tcW w:w="3120" w:type="dxa"/>
          </w:tcPr>
          <w:p w:rsidR="00A066F1" w:rsidRPr="00D96B4B" w:rsidRDefault="00E55816" w:rsidP="00A066F1">
            <w:pPr>
              <w:tabs>
                <w:tab w:val="left" w:pos="993"/>
              </w:tabs>
              <w:spacing w:before="0"/>
              <w:rPr>
                <w:rFonts w:cstheme="minorHAnsi"/>
                <w:b/>
                <w:szCs w:val="24"/>
              </w:rPr>
            </w:pPr>
            <w:r w:rsidRPr="00D96B4B">
              <w:rPr>
                <w:rFonts w:cstheme="minorHAnsi"/>
                <w:b/>
                <w:szCs w:val="24"/>
              </w:rPr>
              <w:t>Original: English</w:t>
            </w:r>
          </w:p>
        </w:tc>
      </w:tr>
      <w:tr w:rsidR="00A066F1" w:rsidRPr="00C324A8" w:rsidTr="00D779AC">
        <w:trPr>
          <w:cantSplit/>
          <w:trHeight w:val="23"/>
        </w:trPr>
        <w:tc>
          <w:tcPr>
            <w:tcW w:w="10031" w:type="dxa"/>
            <w:gridSpan w:val="2"/>
            <w:shd w:val="clear" w:color="auto" w:fill="auto"/>
          </w:tcPr>
          <w:p w:rsidR="00A066F1" w:rsidRPr="00D96B4B" w:rsidRDefault="00A066F1" w:rsidP="00A066F1">
            <w:pPr>
              <w:tabs>
                <w:tab w:val="left" w:pos="993"/>
              </w:tabs>
              <w:spacing w:before="0"/>
              <w:rPr>
                <w:rFonts w:ascii="Verdana" w:hAnsi="Verdana"/>
                <w:b/>
                <w:szCs w:val="24"/>
              </w:rPr>
            </w:pPr>
          </w:p>
        </w:tc>
      </w:tr>
      <w:tr w:rsidR="00E55816" w:rsidRPr="00C324A8" w:rsidTr="00D779AC">
        <w:trPr>
          <w:cantSplit/>
          <w:trHeight w:val="23"/>
        </w:trPr>
        <w:tc>
          <w:tcPr>
            <w:tcW w:w="10031" w:type="dxa"/>
            <w:gridSpan w:val="2"/>
            <w:shd w:val="clear" w:color="auto" w:fill="auto"/>
          </w:tcPr>
          <w:p w:rsidR="00E55816" w:rsidRDefault="00E55816" w:rsidP="00CA3770">
            <w:pPr>
              <w:pStyle w:val="Source"/>
            </w:pPr>
            <w:r>
              <w:t xml:space="preserve">European </w:t>
            </w:r>
            <w:r w:rsidR="00CA3770">
              <w:t>Administration</w:t>
            </w:r>
            <w:r w:rsidR="00D779AC">
              <w:t>s</w:t>
            </w:r>
          </w:p>
        </w:tc>
      </w:tr>
      <w:tr w:rsidR="00E55816" w:rsidRPr="00C324A8" w:rsidTr="00D779AC">
        <w:trPr>
          <w:cantSplit/>
          <w:trHeight w:val="23"/>
        </w:trPr>
        <w:tc>
          <w:tcPr>
            <w:tcW w:w="10031" w:type="dxa"/>
            <w:gridSpan w:val="2"/>
            <w:shd w:val="clear" w:color="auto" w:fill="auto"/>
          </w:tcPr>
          <w:p w:rsidR="00E55816" w:rsidRDefault="007D5320" w:rsidP="00E55816">
            <w:pPr>
              <w:pStyle w:val="Title1"/>
            </w:pPr>
            <w:r>
              <w:t>EUROPEAN COMMON PROPOSALS FOR THE WORK OF THE CONFERENCE</w:t>
            </w:r>
          </w:p>
        </w:tc>
      </w:tr>
      <w:tr w:rsidR="00E55816" w:rsidRPr="00C324A8" w:rsidTr="00D779AC">
        <w:trPr>
          <w:cantSplit/>
          <w:trHeight w:val="23"/>
        </w:trPr>
        <w:tc>
          <w:tcPr>
            <w:tcW w:w="10031" w:type="dxa"/>
            <w:gridSpan w:val="2"/>
            <w:shd w:val="clear" w:color="auto" w:fill="auto"/>
          </w:tcPr>
          <w:p w:rsidR="00E55816" w:rsidRDefault="00E55816" w:rsidP="00E55816">
            <w:pPr>
              <w:pStyle w:val="Title2"/>
            </w:pPr>
          </w:p>
        </w:tc>
      </w:tr>
    </w:tbl>
    <w:p w:rsidR="00027463" w:rsidRPr="00214681" w:rsidRDefault="00027463" w:rsidP="00027463">
      <w:pPr>
        <w:pStyle w:val="Heading1"/>
      </w:pPr>
      <w:bookmarkStart w:id="8" w:name="_Toc327528757"/>
      <w:bookmarkEnd w:id="6"/>
      <w:bookmarkEnd w:id="7"/>
      <w:r w:rsidRPr="00214681">
        <w:t>European Common Proposals for the work of the Conference</w:t>
      </w:r>
      <w:bookmarkEnd w:id="8"/>
    </w:p>
    <w:p w:rsidR="00027463" w:rsidRPr="00214681" w:rsidRDefault="00027463" w:rsidP="00027463">
      <w:r w:rsidRPr="00214681">
        <w:t>This contribution presents the European Common Proposals (ECP) for World Conference on International Telecommunications (WCIT-12). These have been developed by the European Conference of Postal and Telecommunications Administrations (CEPT</w:t>
      </w:r>
      <w:r w:rsidRPr="00214681">
        <w:rPr>
          <w:rStyle w:val="FootnoteReference"/>
        </w:rPr>
        <w:footnoteReference w:id="1"/>
      </w:r>
      <w:r w:rsidRPr="00214681">
        <w:t xml:space="preserve">) Committee for ITU Policy (Com-ITU). </w:t>
      </w:r>
    </w:p>
    <w:p w:rsidR="00027463" w:rsidRPr="00214681" w:rsidRDefault="00027463" w:rsidP="00027463">
      <w:pPr>
        <w:pStyle w:val="Heading1"/>
      </w:pPr>
      <w:r w:rsidRPr="00214681">
        <w:t>Introduction</w:t>
      </w:r>
    </w:p>
    <w:p w:rsidR="00027463" w:rsidRPr="00214681" w:rsidRDefault="00027463" w:rsidP="00027463">
      <w:r w:rsidRPr="00214681">
        <w:t xml:space="preserve">The WCIT-12 is a significant event and a one of a kind opportunity for the revision of the International Telecommunication Regulations. </w:t>
      </w:r>
    </w:p>
    <w:p w:rsidR="00027463" w:rsidRPr="00214681" w:rsidRDefault="00027463" w:rsidP="00027463">
      <w:smartTag w:uri="urn:schemas-microsoft-com:office:smarttags" w:element="place">
        <w:r w:rsidRPr="00214681">
          <w:t>Europe</w:t>
        </w:r>
      </w:smartTag>
      <w:r w:rsidRPr="00214681">
        <w:t xml:space="preserve"> wishes to facilitate a worldwide consensus in many controversial topics. </w:t>
      </w:r>
    </w:p>
    <w:p w:rsidR="00027463" w:rsidRPr="00214681" w:rsidRDefault="00027463" w:rsidP="00027463">
      <w:r w:rsidRPr="00214681">
        <w:t xml:space="preserve">To this end and given the general competitiveness of international telecommunication services and the positive outcomes experienced especially by consumers, Europe is of the view that regulation is only requested where it is justifiable as unnecessary additional burden both to </w:t>
      </w:r>
      <w:smartTag w:uri="urn:schemas-microsoft-com:office:smarttags" w:element="place">
        <w:smartTag w:uri="urn:schemas-microsoft-com:office:smarttags" w:element="PlaceName">
          <w:r w:rsidRPr="00214681">
            <w:t>Member</w:t>
          </w:r>
        </w:smartTag>
        <w:r w:rsidRPr="00214681">
          <w:t xml:space="preserve"> </w:t>
        </w:r>
        <w:smartTag w:uri="urn:schemas-microsoft-com:office:smarttags" w:element="PlaceType">
          <w:r w:rsidRPr="00214681">
            <w:t>States</w:t>
          </w:r>
        </w:smartTag>
      </w:smartTag>
      <w:r w:rsidRPr="00214681">
        <w:t xml:space="preserve"> and private companies is not desirable for the development of international telecommunication services. </w:t>
      </w:r>
    </w:p>
    <w:p w:rsidR="00027463" w:rsidRPr="00214681" w:rsidRDefault="00027463" w:rsidP="00027463">
      <w:r w:rsidRPr="00214681">
        <w:t xml:space="preserve">In addition, </w:t>
      </w:r>
      <w:smartTag w:uri="urn:schemas-microsoft-com:office:smarttags" w:element="place">
        <w:r w:rsidRPr="00214681">
          <w:t>Europe</w:t>
        </w:r>
      </w:smartTag>
      <w:r w:rsidRPr="00214681">
        <w:t xml:space="preserve"> recalls that one-size-fits-all and prescriptive solutions are not advisable. In fact, the revised International Telecommunication Regulations are expected to be applicable, helpful and meaningful in every region and country of the world during a large number of years. This will not be achievable if there is a temptation to micro-manage the International Telecommunication </w:t>
      </w:r>
      <w:r w:rsidRPr="00214681">
        <w:lastRenderedPageBreak/>
        <w:t xml:space="preserve">services, as a positive provision to a given country may be meaningless or even harmful to its neighbour. </w:t>
      </w:r>
    </w:p>
    <w:p w:rsidR="00027463" w:rsidRPr="00214681" w:rsidRDefault="00027463" w:rsidP="00027463">
      <w:pPr>
        <w:jc w:val="both"/>
      </w:pPr>
      <w:smartTag w:uri="urn:schemas-microsoft-com:office:smarttags" w:element="place">
        <w:r w:rsidRPr="00214681">
          <w:t>Europe</w:t>
        </w:r>
      </w:smartTag>
      <w:r w:rsidRPr="00214681">
        <w:t xml:space="preserve"> considers that the WCIT-12 shall find win-win solutions.</w:t>
      </w:r>
    </w:p>
    <w:p w:rsidR="00027463" w:rsidRPr="00214681" w:rsidRDefault="00027463" w:rsidP="00027463">
      <w:pPr>
        <w:pStyle w:val="Heading1"/>
      </w:pPr>
      <w:r w:rsidRPr="00214681">
        <w:t>Criteria</w:t>
      </w:r>
    </w:p>
    <w:p w:rsidR="00027463" w:rsidRPr="00214681" w:rsidRDefault="00027463" w:rsidP="00027463">
      <w:r w:rsidRPr="00214681">
        <w:t xml:space="preserve">As indicated in contributions to the CWG WCIT-12, </w:t>
      </w:r>
      <w:smartTag w:uri="urn:schemas-microsoft-com:office:smarttags" w:element="place">
        <w:r w:rsidRPr="00214681">
          <w:t>Europe</w:t>
        </w:r>
      </w:smartTag>
      <w:r w:rsidRPr="00214681">
        <w:t xml:space="preserve"> agreed on a set of guiding criteria for the revision of the International Telecommunication Regulations (ITRs). </w:t>
      </w:r>
    </w:p>
    <w:p w:rsidR="00027463" w:rsidRPr="00214681" w:rsidRDefault="00027463" w:rsidP="00027463">
      <w:smartTag w:uri="urn:schemas-microsoft-com:office:smarttags" w:element="place">
        <w:r w:rsidRPr="00214681">
          <w:t>Europe</w:t>
        </w:r>
      </w:smartTag>
      <w:r w:rsidRPr="00214681">
        <w:t xml:space="preserve"> is of the view that such criteria are objective, balanced and have a legal basis, and therefore should be taken in utmost consideration by Member States.</w:t>
      </w:r>
    </w:p>
    <w:p w:rsidR="00027463" w:rsidRPr="00214681" w:rsidRDefault="00027463" w:rsidP="00027463">
      <w:pPr>
        <w:tabs>
          <w:tab w:val="left" w:pos="794"/>
        </w:tabs>
        <w:jc w:val="both"/>
      </w:pPr>
      <w:r w:rsidRPr="00214681">
        <w:t>The criteria are the following (presented in no particular order):</w:t>
      </w:r>
    </w:p>
    <w:p w:rsidR="00027463" w:rsidRPr="00214681" w:rsidRDefault="00027463" w:rsidP="00027463">
      <w:pPr>
        <w:pStyle w:val="Liststycke"/>
        <w:numPr>
          <w:ilvl w:val="0"/>
          <w:numId w:val="13"/>
        </w:numPr>
        <w:tabs>
          <w:tab w:val="clear" w:pos="1134"/>
          <w:tab w:val="clear" w:pos="1871"/>
          <w:tab w:val="clear" w:pos="2268"/>
          <w:tab w:val="left" w:pos="794"/>
        </w:tabs>
        <w:overflowPunct/>
        <w:autoSpaceDE/>
        <w:autoSpaceDN/>
        <w:adjustRightInd/>
        <w:ind w:left="794" w:hanging="284"/>
        <w:jc w:val="both"/>
        <w:textAlignment w:val="auto"/>
      </w:pPr>
      <w:r w:rsidRPr="00214681">
        <w:rPr>
          <w:b/>
          <w:szCs w:val="24"/>
        </w:rPr>
        <w:t xml:space="preserve">Criterion 1: </w:t>
      </w:r>
      <w:r w:rsidRPr="00214681">
        <w:rPr>
          <w:i/>
        </w:rPr>
        <w:t>As an International Treaty, the ITRs should address high level strategic and policy issues</w:t>
      </w:r>
    </w:p>
    <w:p w:rsidR="00027463" w:rsidRPr="00214681" w:rsidRDefault="00027463" w:rsidP="00027463">
      <w:pPr>
        <w:pStyle w:val="Liststycke"/>
        <w:tabs>
          <w:tab w:val="clear" w:pos="1134"/>
          <w:tab w:val="clear" w:pos="1871"/>
          <w:tab w:val="clear" w:pos="2268"/>
          <w:tab w:val="left" w:pos="794"/>
        </w:tabs>
        <w:overflowPunct/>
        <w:autoSpaceDE/>
        <w:autoSpaceDN/>
        <w:adjustRightInd/>
        <w:ind w:left="794"/>
        <w:contextualSpacing w:val="0"/>
        <w:textAlignment w:val="auto"/>
      </w:pPr>
      <w:r w:rsidRPr="00214681">
        <w:t xml:space="preserve">Europe considers of particular relevance the compliance with the principle that ITRs should contain high level strategic and policy issues concerning international telecommunications services and facilities (i.e. areas of relevance to be included in an International Treaty), meaning that </w:t>
      </w:r>
      <w:r w:rsidRPr="00214681">
        <w:rPr>
          <w:szCs w:val="24"/>
        </w:rPr>
        <w:t>the provisions should be flexible and sufficiently broad to apply over time</w:t>
      </w:r>
      <w:r w:rsidRPr="00214681">
        <w:t xml:space="preserve">.  </w:t>
      </w:r>
    </w:p>
    <w:p w:rsidR="00027463" w:rsidRPr="00214681" w:rsidRDefault="00027463" w:rsidP="00027463">
      <w:pPr>
        <w:pStyle w:val="Liststycke"/>
        <w:tabs>
          <w:tab w:val="clear" w:pos="1134"/>
          <w:tab w:val="clear" w:pos="1871"/>
          <w:tab w:val="clear" w:pos="2268"/>
          <w:tab w:val="left" w:pos="794"/>
        </w:tabs>
        <w:overflowPunct/>
        <w:autoSpaceDE/>
        <w:autoSpaceDN/>
        <w:adjustRightInd/>
        <w:ind w:left="794"/>
        <w:contextualSpacing w:val="0"/>
        <w:textAlignment w:val="auto"/>
      </w:pPr>
      <w:r w:rsidRPr="00214681">
        <w:t>In addition, the ITRs should safeguard the rights of telecoms operators and service providers to exercise commercial choice and to have operational and technology freedom in providing international telecommunications services and facilities.</w:t>
      </w:r>
    </w:p>
    <w:p w:rsidR="00027463" w:rsidRPr="00214681" w:rsidRDefault="00027463" w:rsidP="00027463">
      <w:pPr>
        <w:tabs>
          <w:tab w:val="left" w:pos="794"/>
        </w:tabs>
        <w:ind w:left="794"/>
      </w:pPr>
      <w:r w:rsidRPr="00214681">
        <w:t>The basis for this criterion is laid down in Resolution 171 “Preparations for the 2012 world conference on international telecommunications” (Guadalajara, 2010) which in its “Resolves further” reads that proposals for the revision of the ITRs shall “reflect, inter alia, strategic and policy principles, with a view to ensuring flexibility in order to accommodate technological advances” and “are of relevance to be included in an international treaty”.</w:t>
      </w:r>
    </w:p>
    <w:p w:rsidR="00027463" w:rsidRPr="00214681" w:rsidRDefault="00027463" w:rsidP="00027463">
      <w:pPr>
        <w:pStyle w:val="Liststycke"/>
        <w:numPr>
          <w:ilvl w:val="0"/>
          <w:numId w:val="13"/>
        </w:numPr>
        <w:tabs>
          <w:tab w:val="clear" w:pos="1134"/>
          <w:tab w:val="clear" w:pos="1871"/>
          <w:tab w:val="clear" w:pos="2268"/>
          <w:tab w:val="left" w:pos="794"/>
        </w:tabs>
        <w:overflowPunct/>
        <w:autoSpaceDE/>
        <w:autoSpaceDN/>
        <w:adjustRightInd/>
        <w:ind w:left="284" w:firstLine="283"/>
        <w:contextualSpacing w:val="0"/>
        <w:jc w:val="both"/>
        <w:textAlignment w:val="auto"/>
        <w:rPr>
          <w:b/>
          <w:szCs w:val="24"/>
        </w:rPr>
      </w:pPr>
      <w:r w:rsidRPr="00214681">
        <w:rPr>
          <w:b/>
          <w:szCs w:val="24"/>
        </w:rPr>
        <w:t xml:space="preserve">Criterion 2: </w:t>
      </w:r>
      <w:r w:rsidRPr="00214681">
        <w:rPr>
          <w:i/>
          <w:szCs w:val="24"/>
        </w:rPr>
        <w:t xml:space="preserve">Consistency with ITU Constitution, in particular the Preamble and Article 1 </w:t>
      </w:r>
    </w:p>
    <w:p w:rsidR="00027463" w:rsidRPr="00214681" w:rsidRDefault="00027463" w:rsidP="00027463">
      <w:pPr>
        <w:pStyle w:val="Liststycke"/>
        <w:tabs>
          <w:tab w:val="left" w:pos="794"/>
        </w:tabs>
        <w:ind w:left="794"/>
        <w:contextualSpacing w:val="0"/>
        <w:rPr>
          <w:color w:val="000000"/>
          <w:szCs w:val="24"/>
          <w:lang w:val="en-US"/>
        </w:rPr>
      </w:pPr>
      <w:r w:rsidRPr="00214681">
        <w:rPr>
          <w:szCs w:val="24"/>
        </w:rPr>
        <w:t xml:space="preserve">Europe acknowledges that Member States should, to the greatest extent practicable, comply with Recommendations </w:t>
      </w:r>
      <w:r w:rsidRPr="00214681">
        <w:t>of the ITU</w:t>
      </w:r>
      <w:r w:rsidRPr="00214681">
        <w:rPr>
          <w:szCs w:val="24"/>
        </w:rPr>
        <w:t xml:space="preserve">. However, it is considered that </w:t>
      </w:r>
      <w:r w:rsidRPr="00214681">
        <w:rPr>
          <w:color w:val="000000"/>
          <w:szCs w:val="24"/>
          <w:lang w:val="en-US"/>
        </w:rPr>
        <w:t>requirements for Member States:</w:t>
      </w:r>
    </w:p>
    <w:p w:rsidR="00027463" w:rsidRPr="00214681" w:rsidRDefault="00027463" w:rsidP="00027463">
      <w:pPr>
        <w:pStyle w:val="Liststycke"/>
        <w:numPr>
          <w:ilvl w:val="0"/>
          <w:numId w:val="14"/>
        </w:numPr>
        <w:tabs>
          <w:tab w:val="clear" w:pos="1134"/>
          <w:tab w:val="clear" w:pos="1871"/>
          <w:tab w:val="clear" w:pos="2268"/>
          <w:tab w:val="left" w:pos="794"/>
          <w:tab w:val="left" w:pos="1418"/>
        </w:tabs>
        <w:overflowPunct/>
        <w:autoSpaceDE/>
        <w:autoSpaceDN/>
        <w:adjustRightInd/>
        <w:ind w:left="1418" w:hanging="624"/>
        <w:contextualSpacing w:val="0"/>
        <w:jc w:val="both"/>
        <w:textAlignment w:val="auto"/>
        <w:rPr>
          <w:color w:val="000000"/>
          <w:szCs w:val="24"/>
        </w:rPr>
      </w:pPr>
      <w:r w:rsidRPr="00214681">
        <w:rPr>
          <w:color w:val="000000"/>
          <w:szCs w:val="24"/>
        </w:rPr>
        <w:t>to enforce ITU</w:t>
      </w:r>
      <w:r w:rsidRPr="00214681">
        <w:rPr>
          <w:szCs w:val="24"/>
        </w:rPr>
        <w:t xml:space="preserve">-T </w:t>
      </w:r>
      <w:r w:rsidRPr="00214681">
        <w:rPr>
          <w:color w:val="000000"/>
          <w:szCs w:val="24"/>
        </w:rPr>
        <w:t xml:space="preserve">Recommendations; </w:t>
      </w:r>
    </w:p>
    <w:p w:rsidR="00027463" w:rsidRPr="00214681" w:rsidRDefault="00027463" w:rsidP="00027463">
      <w:pPr>
        <w:pStyle w:val="Liststycke"/>
        <w:numPr>
          <w:ilvl w:val="0"/>
          <w:numId w:val="14"/>
        </w:numPr>
        <w:tabs>
          <w:tab w:val="clear" w:pos="1134"/>
          <w:tab w:val="clear" w:pos="1871"/>
          <w:tab w:val="clear" w:pos="2268"/>
          <w:tab w:val="left" w:pos="794"/>
          <w:tab w:val="left" w:pos="1418"/>
        </w:tabs>
        <w:overflowPunct/>
        <w:autoSpaceDE/>
        <w:autoSpaceDN/>
        <w:adjustRightInd/>
        <w:ind w:left="1418" w:hanging="624"/>
        <w:contextualSpacing w:val="0"/>
        <w:jc w:val="both"/>
        <w:textAlignment w:val="auto"/>
        <w:rPr>
          <w:color w:val="000000"/>
          <w:szCs w:val="24"/>
          <w:lang w:val="en-US"/>
        </w:rPr>
      </w:pPr>
      <w:r w:rsidRPr="00214681">
        <w:rPr>
          <w:color w:val="000000"/>
          <w:szCs w:val="24"/>
          <w:lang w:val="en-US"/>
        </w:rPr>
        <w:t xml:space="preserve">to introduce national measures to enforce ITU provisions </w:t>
      </w:r>
    </w:p>
    <w:p w:rsidR="00027463" w:rsidRPr="00214681" w:rsidRDefault="00027463" w:rsidP="00027463">
      <w:pPr>
        <w:tabs>
          <w:tab w:val="left" w:pos="794"/>
        </w:tabs>
        <w:ind w:left="794"/>
      </w:pPr>
      <w:r w:rsidRPr="00214681">
        <w:t xml:space="preserve">are inconsistent with the Preamble of the Constitution and with the purposes of the </w:t>
      </w:r>
      <w:smartTag w:uri="urn:schemas-microsoft-com:office:smarttags" w:element="place">
        <w:r w:rsidRPr="00214681">
          <w:t>Union</w:t>
        </w:r>
      </w:smartTag>
      <w:r w:rsidRPr="00214681">
        <w:t xml:space="preserve"> in Article 1 of the ITU Constitution and the scope and purposes of the ITRs as set out in its Article 1. Further, by their nature ITU-T Recommendations are non-binding, i.e. of voluntary application, and should not therefore be imposed as a matter of routine. </w:t>
      </w:r>
    </w:p>
    <w:p w:rsidR="00027463" w:rsidRPr="00214681" w:rsidRDefault="00027463" w:rsidP="00027463">
      <w:pPr>
        <w:tabs>
          <w:tab w:val="left" w:pos="794"/>
        </w:tabs>
        <w:ind w:left="794"/>
      </w:pPr>
      <w:r w:rsidRPr="00214681">
        <w:t>This does not mean that individual Member States cannot impose the matters covered by ITU-T Recommendations through measures such as national legislation and licence requirements if they so choose.</w:t>
      </w:r>
    </w:p>
    <w:p w:rsidR="00027463" w:rsidRPr="00214681" w:rsidRDefault="00027463" w:rsidP="00027463">
      <w:pPr>
        <w:tabs>
          <w:tab w:val="left" w:pos="794"/>
        </w:tabs>
        <w:ind w:left="794"/>
        <w:jc w:val="both"/>
      </w:pPr>
      <w:r w:rsidRPr="00214681">
        <w:t>These principles are acknowledged in provision 1.4 of the ITRs.</w:t>
      </w:r>
    </w:p>
    <w:p w:rsidR="00027463" w:rsidRPr="00214681" w:rsidRDefault="00027463" w:rsidP="00027463">
      <w:pPr>
        <w:tabs>
          <w:tab w:val="left" w:pos="794"/>
        </w:tabs>
        <w:ind w:left="794"/>
      </w:pPr>
      <w:r w:rsidRPr="00214681">
        <w:t xml:space="preserve">Therefore, bearing in mind that the Constitution of the Union does not provide ITU Recommendations with a binding force, </w:t>
      </w:r>
      <w:smartTag w:uri="urn:schemas-microsoft-com:office:smarttags" w:element="place">
        <w:r w:rsidRPr="00214681">
          <w:t>Europe</w:t>
        </w:r>
      </w:smartTag>
      <w:r w:rsidRPr="00214681">
        <w:t xml:space="preserve"> considers that the ITRs revision shall not b</w:t>
      </w:r>
      <w:bookmarkStart w:id="9" w:name="_GoBack"/>
      <w:bookmarkEnd w:id="9"/>
      <w:r w:rsidRPr="00214681">
        <w:t>e used to change the nature of</w:t>
      </w:r>
      <w:r w:rsidRPr="00214681">
        <w:rPr>
          <w:szCs w:val="24"/>
        </w:rPr>
        <w:t xml:space="preserve"> </w:t>
      </w:r>
      <w:r w:rsidRPr="00214681">
        <w:t>Recommendations of the ITU.</w:t>
      </w:r>
    </w:p>
    <w:p w:rsidR="00027463" w:rsidRPr="00214681" w:rsidRDefault="00027463" w:rsidP="00027463">
      <w:pPr>
        <w:pStyle w:val="Liststycke"/>
        <w:numPr>
          <w:ilvl w:val="0"/>
          <w:numId w:val="13"/>
        </w:numPr>
        <w:tabs>
          <w:tab w:val="clear" w:pos="1134"/>
          <w:tab w:val="clear" w:pos="1871"/>
          <w:tab w:val="clear" w:pos="2268"/>
          <w:tab w:val="left" w:pos="794"/>
        </w:tabs>
        <w:overflowPunct/>
        <w:autoSpaceDE/>
        <w:autoSpaceDN/>
        <w:adjustRightInd/>
        <w:ind w:left="851" w:hanging="284"/>
        <w:contextualSpacing w:val="0"/>
        <w:jc w:val="both"/>
        <w:textAlignment w:val="auto"/>
        <w:rPr>
          <w:i/>
          <w:szCs w:val="24"/>
        </w:rPr>
      </w:pPr>
      <w:r w:rsidRPr="00214681">
        <w:rPr>
          <w:b/>
          <w:szCs w:val="24"/>
        </w:rPr>
        <w:lastRenderedPageBreak/>
        <w:t xml:space="preserve">Criterion 3: </w:t>
      </w:r>
      <w:r w:rsidRPr="00214681">
        <w:rPr>
          <w:i/>
          <w:szCs w:val="24"/>
        </w:rPr>
        <w:t>Consistency with International agreements / legislation adopted by CEPT members</w:t>
      </w:r>
    </w:p>
    <w:p w:rsidR="00027463" w:rsidRPr="00214681" w:rsidRDefault="00027463" w:rsidP="00027463">
      <w:pPr>
        <w:tabs>
          <w:tab w:val="left" w:pos="851"/>
        </w:tabs>
        <w:ind w:left="851"/>
      </w:pPr>
      <w:r w:rsidRPr="00214681">
        <w:t xml:space="preserve">Over 100 countries have made commitments consequential to the Agreement on Basic Telecommunications Services in the Fourth Protocol of the General Agreement on Trade in Services (GATS). Therefore, proposals that are incompatible with the principles underlying the WTO Treaties or that undermine commitments contracted in this organisation cannot be supported. </w:t>
      </w:r>
    </w:p>
    <w:p w:rsidR="00027463" w:rsidRPr="00214681" w:rsidRDefault="00027463" w:rsidP="00027463">
      <w:pPr>
        <w:tabs>
          <w:tab w:val="left" w:pos="851"/>
        </w:tabs>
        <w:ind w:left="851"/>
      </w:pPr>
      <w:r w:rsidRPr="00214681">
        <w:t xml:space="preserve">In addition, considering that a large number of European countries are EU/EEA Members, </w:t>
      </w:r>
      <w:smartTag w:uri="urn:schemas-microsoft-com:office:smarttags" w:element="place">
        <w:r w:rsidRPr="00214681">
          <w:t>Europe</w:t>
        </w:r>
      </w:smartTag>
      <w:r w:rsidRPr="00214681">
        <w:t xml:space="preserve"> will not support proposals which are in contradiction to EU/EEA legislation.</w:t>
      </w:r>
    </w:p>
    <w:p w:rsidR="00027463" w:rsidRPr="00214681" w:rsidRDefault="00027463" w:rsidP="00027463">
      <w:pPr>
        <w:pStyle w:val="Liststycke"/>
        <w:numPr>
          <w:ilvl w:val="0"/>
          <w:numId w:val="13"/>
        </w:numPr>
        <w:tabs>
          <w:tab w:val="clear" w:pos="1134"/>
          <w:tab w:val="clear" w:pos="1871"/>
          <w:tab w:val="clear" w:pos="2268"/>
          <w:tab w:val="left" w:pos="794"/>
        </w:tabs>
        <w:overflowPunct/>
        <w:autoSpaceDE/>
        <w:autoSpaceDN/>
        <w:adjustRightInd/>
        <w:ind w:left="794" w:hanging="227"/>
        <w:contextualSpacing w:val="0"/>
        <w:textAlignment w:val="auto"/>
        <w:rPr>
          <w:i/>
          <w:szCs w:val="24"/>
        </w:rPr>
      </w:pPr>
      <w:r w:rsidRPr="00214681">
        <w:rPr>
          <w:b/>
          <w:szCs w:val="24"/>
        </w:rPr>
        <w:t xml:space="preserve">Criterion 4: </w:t>
      </w:r>
      <w:r w:rsidRPr="00214681">
        <w:rPr>
          <w:szCs w:val="24"/>
        </w:rPr>
        <w:t xml:space="preserve">Exclusion of </w:t>
      </w:r>
      <w:r w:rsidRPr="00214681">
        <w:rPr>
          <w:i/>
          <w:szCs w:val="24"/>
        </w:rPr>
        <w:t xml:space="preserve">Areas related to Member States' application of legal or policy principles which are within their sovereign rights </w:t>
      </w:r>
    </w:p>
    <w:p w:rsidR="00027463" w:rsidRPr="00214681" w:rsidRDefault="00027463" w:rsidP="00027463">
      <w:pPr>
        <w:tabs>
          <w:tab w:val="left" w:pos="794"/>
        </w:tabs>
        <w:ind w:left="794"/>
      </w:pPr>
      <w:r w:rsidRPr="00214681">
        <w:t>Europe will consider proposals related to national defence, national security, content, and cybercrime issues in the context of Resolves no. 3 of Resolution 130 (Rev. Guadalajara, 2010) “ITU shall focus resources and programmes on those areas of cybersecurity within its core mandate and expertise, notably the technical and development spheres, and not including areas related to Member States' application of legal or policy principles related to national defence, national security, content and cybercrime, which are within their sovereign rights”.</w:t>
      </w:r>
    </w:p>
    <w:p w:rsidR="00027463" w:rsidRPr="00214681" w:rsidRDefault="00027463" w:rsidP="00027463">
      <w:pPr>
        <w:pStyle w:val="Liststycke"/>
        <w:numPr>
          <w:ilvl w:val="0"/>
          <w:numId w:val="13"/>
        </w:numPr>
        <w:tabs>
          <w:tab w:val="clear" w:pos="1134"/>
          <w:tab w:val="clear" w:pos="1871"/>
          <w:tab w:val="clear" w:pos="2268"/>
          <w:tab w:val="left" w:pos="794"/>
        </w:tabs>
        <w:overflowPunct/>
        <w:autoSpaceDE/>
        <w:autoSpaceDN/>
        <w:adjustRightInd/>
        <w:ind w:left="794" w:hanging="227"/>
        <w:contextualSpacing w:val="0"/>
        <w:jc w:val="both"/>
        <w:textAlignment w:val="auto"/>
        <w:rPr>
          <w:i/>
          <w:szCs w:val="24"/>
        </w:rPr>
      </w:pPr>
      <w:r w:rsidRPr="00214681">
        <w:rPr>
          <w:b/>
          <w:szCs w:val="24"/>
        </w:rPr>
        <w:t>Criterion 5</w:t>
      </w:r>
      <w:r w:rsidRPr="00214681">
        <w:rPr>
          <w:i/>
          <w:szCs w:val="24"/>
        </w:rPr>
        <w:t xml:space="preserve">: Exclusion of areas not related to the Purpose and Scope of the ITRs </w:t>
      </w:r>
    </w:p>
    <w:p w:rsidR="00027463" w:rsidRPr="00214681" w:rsidRDefault="00027463" w:rsidP="00027463">
      <w:pPr>
        <w:tabs>
          <w:tab w:val="left" w:pos="794"/>
        </w:tabs>
        <w:ind w:left="794"/>
      </w:pPr>
      <w:smartTag w:uri="urn:schemas-microsoft-com:office:smarttags" w:element="place">
        <w:r w:rsidRPr="00214681">
          <w:rPr>
            <w:szCs w:val="24"/>
          </w:rPr>
          <w:t>Europe</w:t>
        </w:r>
      </w:smartTag>
      <w:r w:rsidRPr="00214681">
        <w:t xml:space="preserve"> stresses the importance of compliance with the Purpose and Scope of the ITRs, in particular with provisions:</w:t>
      </w:r>
    </w:p>
    <w:p w:rsidR="00027463" w:rsidRPr="00214681" w:rsidRDefault="00027463" w:rsidP="00027463">
      <w:pPr>
        <w:numPr>
          <w:ilvl w:val="0"/>
          <w:numId w:val="13"/>
        </w:numPr>
        <w:tabs>
          <w:tab w:val="clear" w:pos="1134"/>
          <w:tab w:val="clear" w:pos="1871"/>
          <w:tab w:val="clear" w:pos="2268"/>
          <w:tab w:val="left" w:pos="794"/>
          <w:tab w:val="left" w:pos="1418"/>
        </w:tabs>
        <w:overflowPunct/>
        <w:autoSpaceDE/>
        <w:autoSpaceDN/>
        <w:adjustRightInd/>
        <w:ind w:left="1418" w:hanging="624"/>
        <w:textAlignment w:val="auto"/>
      </w:pPr>
      <w:r w:rsidRPr="00214681">
        <w:t>1.1a): “These Regulations establish general principles which relate to the provision and operation of international telecommunication services offered to the public as well as to the underlying international telecommunication transport means used to provide such services. They also set rules applicable to administrations”.</w:t>
      </w:r>
    </w:p>
    <w:p w:rsidR="00027463" w:rsidRPr="00214681" w:rsidRDefault="00027463" w:rsidP="00027463">
      <w:pPr>
        <w:numPr>
          <w:ilvl w:val="0"/>
          <w:numId w:val="13"/>
        </w:numPr>
        <w:tabs>
          <w:tab w:val="clear" w:pos="1134"/>
          <w:tab w:val="clear" w:pos="1871"/>
          <w:tab w:val="clear" w:pos="2268"/>
          <w:tab w:val="left" w:pos="794"/>
          <w:tab w:val="left" w:pos="1418"/>
        </w:tabs>
        <w:overflowPunct/>
        <w:autoSpaceDE/>
        <w:autoSpaceDN/>
        <w:adjustRightInd/>
        <w:ind w:left="1418" w:hanging="624"/>
        <w:textAlignment w:val="auto"/>
      </w:pPr>
      <w:r w:rsidRPr="00214681">
        <w:t>1.3.) These Regulations are established with a view to facilitating global interconnection and interoperability of telecommunication facilities and to promoting the harmonious development and efficient operation of technical facilities, as well as the efficiency, usefulness and availability to the public of international telecommunication services.</w:t>
      </w:r>
    </w:p>
    <w:p w:rsidR="00027463" w:rsidRPr="00214681" w:rsidRDefault="00027463" w:rsidP="00027463">
      <w:pPr>
        <w:tabs>
          <w:tab w:val="left" w:pos="794"/>
        </w:tabs>
        <w:ind w:left="794"/>
        <w:rPr>
          <w:color w:val="000000"/>
        </w:rPr>
      </w:pPr>
      <w:r w:rsidRPr="00214681">
        <w:t xml:space="preserve">In this respect, </w:t>
      </w:r>
      <w:smartTag w:uri="urn:schemas-microsoft-com:office:smarttags" w:element="place">
        <w:r w:rsidRPr="00214681">
          <w:t>Europe</w:t>
        </w:r>
      </w:smartTag>
      <w:r w:rsidRPr="00214681">
        <w:t xml:space="preserve"> considers that proposals concerning national / regional telecommunication services or transport means should not be included in the ITRs. The compliance with this criterion is also linked to the Preambles of both the ITU Constitution and the ITRs which fully recognise “</w:t>
      </w:r>
      <w:r w:rsidRPr="00214681">
        <w:rPr>
          <w:color w:val="000000"/>
        </w:rPr>
        <w:t xml:space="preserve">the sovereign right of each State to regulate its telecommunication”. </w:t>
      </w:r>
    </w:p>
    <w:p w:rsidR="00027463" w:rsidRPr="00214681" w:rsidRDefault="00027463" w:rsidP="00027463">
      <w:pPr>
        <w:tabs>
          <w:tab w:val="left" w:pos="794"/>
        </w:tabs>
        <w:ind w:left="794"/>
        <w:rPr>
          <w:szCs w:val="24"/>
        </w:rPr>
      </w:pPr>
      <w:r w:rsidRPr="00214681">
        <w:t xml:space="preserve">Consistent with this criterion, </w:t>
      </w:r>
      <w:smartTag w:uri="urn:schemas-microsoft-com:office:smarttags" w:element="place">
        <w:r w:rsidRPr="00214681">
          <w:t>Europe</w:t>
        </w:r>
      </w:smartTag>
      <w:r w:rsidRPr="00214681">
        <w:t xml:space="preserve"> also notes that the </w:t>
      </w:r>
      <w:r w:rsidRPr="00214681">
        <w:rPr>
          <w:szCs w:val="24"/>
        </w:rPr>
        <w:t xml:space="preserve">existing basic structure of the ITRs should be maintained. </w:t>
      </w:r>
    </w:p>
    <w:p w:rsidR="00027463" w:rsidRPr="00214681" w:rsidRDefault="00027463" w:rsidP="00027463">
      <w:r w:rsidRPr="00472E66">
        <w:t xml:space="preserve">Taking in consideration the above mentioned criteria, </w:t>
      </w:r>
      <w:smartTag w:uri="urn:schemas-microsoft-com:office:smarttags" w:element="place">
        <w:r w:rsidRPr="00472E66">
          <w:t>Europe</w:t>
        </w:r>
      </w:smartTag>
      <w:r w:rsidRPr="00472E66">
        <w:t xml:space="preserve"> proposes the amendments to the ITRs as presented in </w:t>
      </w:r>
      <w:r>
        <w:t xml:space="preserve">the addendum to this document. </w:t>
      </w:r>
    </w:p>
    <w:p w:rsidR="00027463" w:rsidRPr="00680229" w:rsidRDefault="00027463" w:rsidP="00027463">
      <w:r w:rsidRPr="00680229">
        <w:t xml:space="preserve">The table of co-signatures by European administrations is provided in </w:t>
      </w:r>
      <w:r w:rsidRPr="00680229">
        <w:rPr>
          <w:b/>
          <w:bCs/>
        </w:rPr>
        <w:t xml:space="preserve">Annex </w:t>
      </w:r>
      <w:r>
        <w:rPr>
          <w:b/>
          <w:bCs/>
        </w:rPr>
        <w:t>1</w:t>
      </w:r>
      <w:r w:rsidRPr="00680229">
        <w:t>.</w:t>
      </w:r>
    </w:p>
    <w:p w:rsidR="00027463" w:rsidRDefault="00027463">
      <w:pPr>
        <w:tabs>
          <w:tab w:val="clear" w:pos="1134"/>
          <w:tab w:val="clear" w:pos="1871"/>
          <w:tab w:val="clear" w:pos="2268"/>
        </w:tabs>
        <w:overflowPunct/>
        <w:autoSpaceDE/>
        <w:autoSpaceDN/>
        <w:adjustRightInd/>
        <w:spacing w:before="0"/>
        <w:textAlignment w:val="auto"/>
      </w:pPr>
      <w:r>
        <w:br w:type="page"/>
      </w:r>
    </w:p>
    <w:p w:rsidR="00027463" w:rsidRPr="00027463" w:rsidRDefault="00027463" w:rsidP="00027463">
      <w:pPr>
        <w:pStyle w:val="AnnexNo"/>
        <w:rPr>
          <w:sz w:val="4"/>
          <w:szCs w:val="4"/>
        </w:rPr>
      </w:pPr>
    </w:p>
    <w:p w:rsidR="00027463" w:rsidRDefault="00027463" w:rsidP="00027463">
      <w:pPr>
        <w:pStyle w:val="AnnexNo"/>
        <w:spacing w:before="0" w:after="0"/>
      </w:pPr>
      <w:r>
        <w:t>Annex 1</w:t>
      </w:r>
    </w:p>
    <w:p w:rsidR="00027463" w:rsidRDefault="00027463" w:rsidP="00027463">
      <w:pPr>
        <w:pStyle w:val="Annextitle"/>
        <w:spacing w:before="120" w:after="80"/>
      </w:pPr>
      <w:r>
        <w:t xml:space="preserve">List of co-signatures of the European Common Proposals (ECPs) </w:t>
      </w:r>
    </w:p>
    <w:tbl>
      <w:tblPr>
        <w:tblW w:w="4693" w:type="dxa"/>
        <w:tblInd w:w="55" w:type="dxa"/>
        <w:tblCellMar>
          <w:left w:w="70" w:type="dxa"/>
          <w:right w:w="70" w:type="dxa"/>
        </w:tblCellMar>
        <w:tblLook w:val="0000" w:firstRow="0" w:lastRow="0" w:firstColumn="0" w:lastColumn="0" w:noHBand="0" w:noVBand="0"/>
      </w:tblPr>
      <w:tblGrid>
        <w:gridCol w:w="1858"/>
        <w:gridCol w:w="1559"/>
        <w:gridCol w:w="1276"/>
      </w:tblGrid>
      <w:tr w:rsidR="00027463" w:rsidRPr="00472E66" w:rsidTr="00027463">
        <w:trPr>
          <w:trHeight w:val="255"/>
        </w:trPr>
        <w:tc>
          <w:tcPr>
            <w:tcW w:w="1858" w:type="dxa"/>
            <w:tcBorders>
              <w:top w:val="single" w:sz="8" w:space="0" w:color="auto"/>
              <w:left w:val="single" w:sz="8" w:space="0" w:color="auto"/>
              <w:bottom w:val="single" w:sz="8" w:space="0" w:color="auto"/>
              <w:right w:val="single" w:sz="8" w:space="0" w:color="auto"/>
            </w:tcBorders>
            <w:shd w:val="clear" w:color="auto" w:fill="auto"/>
            <w:vAlign w:val="bottom"/>
          </w:tcPr>
          <w:p w:rsidR="00027463" w:rsidRPr="00562299" w:rsidRDefault="00027463" w:rsidP="00027463">
            <w:pPr>
              <w:tabs>
                <w:tab w:val="clear" w:pos="1134"/>
                <w:tab w:val="clear" w:pos="1871"/>
                <w:tab w:val="clear" w:pos="2268"/>
              </w:tabs>
              <w:overflowPunct/>
              <w:autoSpaceDE/>
              <w:autoSpaceDN/>
              <w:adjustRightInd/>
              <w:spacing w:before="0"/>
              <w:jc w:val="center"/>
              <w:textAlignment w:val="auto"/>
              <w:rPr>
                <w:rFonts w:eastAsia="Batang" w:cstheme="minorHAnsi"/>
                <w:b/>
                <w:bCs/>
                <w:sz w:val="20"/>
                <w:lang w:val="sv-SE" w:eastAsia="ko-KR"/>
              </w:rPr>
            </w:pPr>
            <w:r w:rsidRPr="00562299">
              <w:rPr>
                <w:rFonts w:eastAsia="Batang" w:cstheme="minorHAnsi"/>
                <w:b/>
                <w:bCs/>
                <w:sz w:val="20"/>
                <w:lang w:val="sv-SE" w:eastAsia="ko-KR"/>
              </w:rPr>
              <w:t>Member States</w:t>
            </w:r>
          </w:p>
        </w:tc>
        <w:tc>
          <w:tcPr>
            <w:tcW w:w="1559" w:type="dxa"/>
            <w:tcBorders>
              <w:top w:val="single" w:sz="8" w:space="0" w:color="auto"/>
              <w:left w:val="nil"/>
              <w:bottom w:val="single" w:sz="8" w:space="0" w:color="auto"/>
              <w:right w:val="single" w:sz="8" w:space="0" w:color="auto"/>
            </w:tcBorders>
            <w:shd w:val="clear" w:color="auto" w:fill="auto"/>
            <w:noWrap/>
            <w:vAlign w:val="bottom"/>
          </w:tcPr>
          <w:p w:rsidR="00027463" w:rsidRPr="00562299" w:rsidRDefault="00027463" w:rsidP="00027463">
            <w:pPr>
              <w:tabs>
                <w:tab w:val="clear" w:pos="1134"/>
                <w:tab w:val="clear" w:pos="1871"/>
                <w:tab w:val="clear" w:pos="2268"/>
              </w:tabs>
              <w:overflowPunct/>
              <w:autoSpaceDE/>
              <w:autoSpaceDN/>
              <w:adjustRightInd/>
              <w:spacing w:before="0"/>
              <w:jc w:val="center"/>
              <w:textAlignment w:val="auto"/>
              <w:rPr>
                <w:rFonts w:eastAsia="Batang" w:cstheme="minorHAnsi"/>
                <w:b/>
                <w:bCs/>
                <w:sz w:val="20"/>
                <w:lang w:val="sv-SE" w:eastAsia="ko-KR"/>
              </w:rPr>
            </w:pPr>
            <w:r w:rsidRPr="00562299">
              <w:rPr>
                <w:rFonts w:eastAsia="Batang" w:cstheme="minorHAnsi"/>
                <w:b/>
                <w:bCs/>
                <w:sz w:val="20"/>
                <w:lang w:val="sv-SE" w:eastAsia="ko-KR"/>
              </w:rPr>
              <w:t>Doc. 16(Add.1)</w:t>
            </w:r>
          </w:p>
        </w:tc>
        <w:tc>
          <w:tcPr>
            <w:tcW w:w="1276" w:type="dxa"/>
            <w:tcBorders>
              <w:top w:val="single" w:sz="8" w:space="0" w:color="auto"/>
              <w:left w:val="nil"/>
              <w:bottom w:val="single" w:sz="8" w:space="0" w:color="auto"/>
              <w:right w:val="single" w:sz="8" w:space="0" w:color="auto"/>
            </w:tcBorders>
          </w:tcPr>
          <w:p w:rsidR="00027463" w:rsidRPr="00027463" w:rsidRDefault="00027463" w:rsidP="00644CEB">
            <w:pPr>
              <w:tabs>
                <w:tab w:val="clear" w:pos="1134"/>
                <w:tab w:val="clear" w:pos="1871"/>
                <w:tab w:val="clear" w:pos="2268"/>
              </w:tabs>
              <w:overflowPunct/>
              <w:autoSpaceDE/>
              <w:autoSpaceDN/>
              <w:adjustRightInd/>
              <w:spacing w:before="0"/>
              <w:jc w:val="center"/>
              <w:textAlignment w:val="auto"/>
              <w:rPr>
                <w:rFonts w:eastAsia="Batang" w:cstheme="minorHAnsi"/>
                <w:sz w:val="20"/>
                <w:lang w:val="sv-SE" w:eastAsia="ko-KR"/>
              </w:rPr>
            </w:pPr>
          </w:p>
        </w:tc>
      </w:tr>
      <w:tr w:rsidR="00027463" w:rsidRPr="00472E66" w:rsidTr="00027463">
        <w:trPr>
          <w:trHeight w:val="199"/>
        </w:trPr>
        <w:tc>
          <w:tcPr>
            <w:tcW w:w="1858" w:type="dxa"/>
            <w:tcBorders>
              <w:top w:val="single" w:sz="4" w:space="0" w:color="auto"/>
              <w:left w:val="single" w:sz="8" w:space="0" w:color="auto"/>
              <w:bottom w:val="single" w:sz="8" w:space="0" w:color="auto"/>
              <w:right w:val="nil"/>
            </w:tcBorders>
            <w:shd w:val="clear" w:color="auto" w:fill="auto"/>
          </w:tcPr>
          <w:p w:rsidR="00027463" w:rsidRPr="00027463" w:rsidRDefault="00027463" w:rsidP="00027463">
            <w:pPr>
              <w:tabs>
                <w:tab w:val="clear" w:pos="1134"/>
                <w:tab w:val="clear" w:pos="1871"/>
                <w:tab w:val="clear" w:pos="2268"/>
              </w:tabs>
              <w:overflowPunct/>
              <w:autoSpaceDE/>
              <w:autoSpaceDN/>
              <w:adjustRightInd/>
              <w:spacing w:before="0"/>
              <w:jc w:val="center"/>
              <w:textAlignment w:val="auto"/>
              <w:rPr>
                <w:rFonts w:eastAsia="Batang" w:cstheme="minorHAnsi"/>
                <w:b/>
                <w:bCs/>
                <w:sz w:val="20"/>
                <w:lang w:val="sv-SE" w:eastAsia="ko-KR"/>
              </w:rPr>
            </w:pPr>
            <w:r w:rsidRPr="00027463">
              <w:rPr>
                <w:rFonts w:eastAsia="Batang" w:cstheme="minorHAnsi"/>
                <w:b/>
                <w:bCs/>
                <w:sz w:val="20"/>
                <w:lang w:val="sv-SE" w:eastAsia="ko-KR"/>
              </w:rPr>
              <w:t>ALB</w:t>
            </w:r>
          </w:p>
        </w:tc>
        <w:tc>
          <w:tcPr>
            <w:tcW w:w="1559" w:type="dxa"/>
            <w:tcBorders>
              <w:top w:val="single" w:sz="8" w:space="0" w:color="auto"/>
              <w:left w:val="single" w:sz="8" w:space="0" w:color="auto"/>
              <w:bottom w:val="single" w:sz="8" w:space="0" w:color="auto"/>
              <w:right w:val="single" w:sz="8" w:space="0" w:color="auto"/>
            </w:tcBorders>
            <w:shd w:val="clear" w:color="auto" w:fill="auto"/>
            <w:noWrap/>
            <w:vAlign w:val="center"/>
          </w:tcPr>
          <w:p w:rsidR="00027463" w:rsidRPr="00027463" w:rsidRDefault="00027463" w:rsidP="00027463">
            <w:pPr>
              <w:tabs>
                <w:tab w:val="clear" w:pos="1134"/>
                <w:tab w:val="clear" w:pos="1871"/>
                <w:tab w:val="clear" w:pos="2268"/>
              </w:tabs>
              <w:overflowPunct/>
              <w:autoSpaceDE/>
              <w:autoSpaceDN/>
              <w:adjustRightInd/>
              <w:spacing w:before="0"/>
              <w:jc w:val="center"/>
              <w:textAlignment w:val="auto"/>
              <w:rPr>
                <w:rFonts w:eastAsia="Batang" w:cstheme="minorHAnsi"/>
                <w:sz w:val="20"/>
                <w:lang w:val="sv-SE" w:eastAsia="ko-KR"/>
              </w:rPr>
            </w:pPr>
          </w:p>
        </w:tc>
        <w:tc>
          <w:tcPr>
            <w:tcW w:w="1276" w:type="dxa"/>
            <w:tcBorders>
              <w:top w:val="single" w:sz="8" w:space="0" w:color="auto"/>
              <w:left w:val="single" w:sz="8" w:space="0" w:color="auto"/>
              <w:bottom w:val="single" w:sz="8" w:space="0" w:color="auto"/>
              <w:right w:val="single" w:sz="8" w:space="0" w:color="auto"/>
            </w:tcBorders>
          </w:tcPr>
          <w:p w:rsidR="00027463" w:rsidRPr="00027463" w:rsidRDefault="00027463" w:rsidP="00644CEB">
            <w:pPr>
              <w:tabs>
                <w:tab w:val="clear" w:pos="1134"/>
                <w:tab w:val="clear" w:pos="1871"/>
                <w:tab w:val="clear" w:pos="2268"/>
              </w:tabs>
              <w:overflowPunct/>
              <w:autoSpaceDE/>
              <w:autoSpaceDN/>
              <w:adjustRightInd/>
              <w:spacing w:before="0"/>
              <w:textAlignment w:val="auto"/>
              <w:rPr>
                <w:rFonts w:eastAsia="Batang" w:cstheme="minorHAnsi"/>
                <w:sz w:val="20"/>
                <w:lang w:val="sv-SE" w:eastAsia="ko-KR"/>
              </w:rPr>
            </w:pPr>
          </w:p>
        </w:tc>
      </w:tr>
      <w:tr w:rsidR="00027463" w:rsidRPr="00472E66" w:rsidTr="00027463">
        <w:trPr>
          <w:trHeight w:val="199"/>
        </w:trPr>
        <w:tc>
          <w:tcPr>
            <w:tcW w:w="1858" w:type="dxa"/>
            <w:tcBorders>
              <w:top w:val="nil"/>
              <w:left w:val="single" w:sz="8" w:space="0" w:color="auto"/>
              <w:bottom w:val="single" w:sz="8" w:space="0" w:color="auto"/>
              <w:right w:val="nil"/>
            </w:tcBorders>
            <w:shd w:val="clear" w:color="auto" w:fill="auto"/>
          </w:tcPr>
          <w:p w:rsidR="00027463" w:rsidRPr="00027463" w:rsidRDefault="00027463" w:rsidP="00027463">
            <w:pPr>
              <w:tabs>
                <w:tab w:val="clear" w:pos="1134"/>
                <w:tab w:val="clear" w:pos="1871"/>
                <w:tab w:val="clear" w:pos="2268"/>
              </w:tabs>
              <w:overflowPunct/>
              <w:autoSpaceDE/>
              <w:autoSpaceDN/>
              <w:adjustRightInd/>
              <w:spacing w:before="0"/>
              <w:jc w:val="center"/>
              <w:textAlignment w:val="auto"/>
              <w:rPr>
                <w:rFonts w:eastAsia="Batang" w:cstheme="minorHAnsi"/>
                <w:b/>
                <w:bCs/>
                <w:sz w:val="20"/>
                <w:lang w:val="sv-SE" w:eastAsia="ko-KR"/>
              </w:rPr>
            </w:pPr>
            <w:r w:rsidRPr="00027463">
              <w:rPr>
                <w:rFonts w:eastAsia="Batang" w:cstheme="minorHAnsi"/>
                <w:b/>
                <w:bCs/>
                <w:sz w:val="20"/>
                <w:lang w:val="sv-SE" w:eastAsia="ko-KR"/>
              </w:rPr>
              <w:t>AND</w:t>
            </w:r>
          </w:p>
        </w:tc>
        <w:tc>
          <w:tcPr>
            <w:tcW w:w="1559" w:type="dxa"/>
            <w:tcBorders>
              <w:top w:val="nil"/>
              <w:left w:val="single" w:sz="8" w:space="0" w:color="auto"/>
              <w:bottom w:val="single" w:sz="8" w:space="0" w:color="auto"/>
              <w:right w:val="single" w:sz="8" w:space="0" w:color="auto"/>
            </w:tcBorders>
            <w:shd w:val="clear" w:color="auto" w:fill="auto"/>
            <w:noWrap/>
            <w:vAlign w:val="bottom"/>
          </w:tcPr>
          <w:p w:rsidR="00027463" w:rsidRPr="00027463" w:rsidRDefault="00027463" w:rsidP="00027463">
            <w:pPr>
              <w:tabs>
                <w:tab w:val="clear" w:pos="1134"/>
                <w:tab w:val="clear" w:pos="1871"/>
                <w:tab w:val="clear" w:pos="2268"/>
              </w:tabs>
              <w:overflowPunct/>
              <w:autoSpaceDE/>
              <w:autoSpaceDN/>
              <w:adjustRightInd/>
              <w:spacing w:before="0"/>
              <w:jc w:val="center"/>
              <w:textAlignment w:val="auto"/>
              <w:rPr>
                <w:rFonts w:eastAsia="Batang" w:cstheme="minorHAnsi"/>
                <w:sz w:val="20"/>
                <w:lang w:val="sv-SE" w:eastAsia="ko-KR"/>
              </w:rPr>
            </w:pPr>
          </w:p>
        </w:tc>
        <w:tc>
          <w:tcPr>
            <w:tcW w:w="1276" w:type="dxa"/>
            <w:tcBorders>
              <w:top w:val="nil"/>
              <w:left w:val="single" w:sz="8" w:space="0" w:color="auto"/>
              <w:bottom w:val="single" w:sz="8" w:space="0" w:color="auto"/>
              <w:right w:val="single" w:sz="8" w:space="0" w:color="auto"/>
            </w:tcBorders>
          </w:tcPr>
          <w:p w:rsidR="00027463" w:rsidRPr="00027463" w:rsidRDefault="00027463" w:rsidP="00644CEB">
            <w:pPr>
              <w:tabs>
                <w:tab w:val="clear" w:pos="1134"/>
                <w:tab w:val="clear" w:pos="1871"/>
                <w:tab w:val="clear" w:pos="2268"/>
              </w:tabs>
              <w:overflowPunct/>
              <w:autoSpaceDE/>
              <w:autoSpaceDN/>
              <w:adjustRightInd/>
              <w:spacing w:before="0"/>
              <w:textAlignment w:val="auto"/>
              <w:rPr>
                <w:rFonts w:eastAsia="Batang" w:cstheme="minorHAnsi"/>
                <w:sz w:val="20"/>
                <w:lang w:val="sv-SE" w:eastAsia="ko-KR"/>
              </w:rPr>
            </w:pPr>
          </w:p>
        </w:tc>
      </w:tr>
      <w:tr w:rsidR="00027463" w:rsidRPr="00472E66" w:rsidTr="00027463">
        <w:trPr>
          <w:trHeight w:val="199"/>
        </w:trPr>
        <w:tc>
          <w:tcPr>
            <w:tcW w:w="1858" w:type="dxa"/>
            <w:tcBorders>
              <w:top w:val="nil"/>
              <w:left w:val="single" w:sz="8" w:space="0" w:color="auto"/>
              <w:bottom w:val="single" w:sz="8" w:space="0" w:color="auto"/>
              <w:right w:val="nil"/>
            </w:tcBorders>
            <w:shd w:val="clear" w:color="auto" w:fill="auto"/>
          </w:tcPr>
          <w:p w:rsidR="00027463" w:rsidRPr="00027463" w:rsidRDefault="00027463" w:rsidP="00027463">
            <w:pPr>
              <w:tabs>
                <w:tab w:val="clear" w:pos="1134"/>
                <w:tab w:val="clear" w:pos="1871"/>
                <w:tab w:val="clear" w:pos="2268"/>
              </w:tabs>
              <w:overflowPunct/>
              <w:autoSpaceDE/>
              <w:autoSpaceDN/>
              <w:adjustRightInd/>
              <w:spacing w:before="0"/>
              <w:jc w:val="center"/>
              <w:textAlignment w:val="auto"/>
              <w:rPr>
                <w:rFonts w:eastAsia="Batang" w:cstheme="minorHAnsi"/>
                <w:b/>
                <w:bCs/>
                <w:sz w:val="20"/>
                <w:lang w:val="sv-SE" w:eastAsia="ko-KR"/>
              </w:rPr>
            </w:pPr>
            <w:r w:rsidRPr="00027463">
              <w:rPr>
                <w:rFonts w:eastAsia="Batang" w:cstheme="minorHAnsi"/>
                <w:b/>
                <w:bCs/>
                <w:sz w:val="20"/>
                <w:lang w:val="sv-SE" w:eastAsia="ko-KR"/>
              </w:rPr>
              <w:t>AUT</w:t>
            </w:r>
          </w:p>
        </w:tc>
        <w:tc>
          <w:tcPr>
            <w:tcW w:w="1559" w:type="dxa"/>
            <w:tcBorders>
              <w:top w:val="nil"/>
              <w:left w:val="single" w:sz="8" w:space="0" w:color="auto"/>
              <w:bottom w:val="single" w:sz="8" w:space="0" w:color="auto"/>
              <w:right w:val="single" w:sz="8" w:space="0" w:color="auto"/>
            </w:tcBorders>
            <w:shd w:val="clear" w:color="auto" w:fill="auto"/>
            <w:noWrap/>
            <w:vAlign w:val="bottom"/>
          </w:tcPr>
          <w:p w:rsidR="00027463" w:rsidRPr="00027463" w:rsidRDefault="00027463" w:rsidP="00027463">
            <w:pPr>
              <w:tabs>
                <w:tab w:val="clear" w:pos="1134"/>
                <w:tab w:val="clear" w:pos="1871"/>
                <w:tab w:val="clear" w:pos="2268"/>
              </w:tabs>
              <w:overflowPunct/>
              <w:autoSpaceDE/>
              <w:autoSpaceDN/>
              <w:adjustRightInd/>
              <w:spacing w:before="0"/>
              <w:jc w:val="center"/>
              <w:textAlignment w:val="auto"/>
              <w:rPr>
                <w:rFonts w:eastAsia="Batang" w:cstheme="minorHAnsi"/>
                <w:sz w:val="20"/>
                <w:lang w:val="sv-SE" w:eastAsia="ko-KR"/>
              </w:rPr>
            </w:pPr>
          </w:p>
        </w:tc>
        <w:tc>
          <w:tcPr>
            <w:tcW w:w="1276" w:type="dxa"/>
            <w:tcBorders>
              <w:top w:val="nil"/>
              <w:left w:val="single" w:sz="8" w:space="0" w:color="auto"/>
              <w:bottom w:val="single" w:sz="8" w:space="0" w:color="auto"/>
              <w:right w:val="single" w:sz="8" w:space="0" w:color="auto"/>
            </w:tcBorders>
          </w:tcPr>
          <w:p w:rsidR="00027463" w:rsidRPr="00027463" w:rsidRDefault="00027463" w:rsidP="00644CEB">
            <w:pPr>
              <w:tabs>
                <w:tab w:val="clear" w:pos="1134"/>
                <w:tab w:val="clear" w:pos="1871"/>
                <w:tab w:val="clear" w:pos="2268"/>
              </w:tabs>
              <w:overflowPunct/>
              <w:autoSpaceDE/>
              <w:autoSpaceDN/>
              <w:adjustRightInd/>
              <w:spacing w:before="0"/>
              <w:textAlignment w:val="auto"/>
              <w:rPr>
                <w:rFonts w:eastAsia="Batang" w:cstheme="minorHAnsi"/>
                <w:sz w:val="20"/>
                <w:lang w:val="sv-SE" w:eastAsia="ko-KR"/>
              </w:rPr>
            </w:pPr>
          </w:p>
        </w:tc>
      </w:tr>
      <w:tr w:rsidR="00027463" w:rsidRPr="00472E66" w:rsidTr="00027463">
        <w:trPr>
          <w:trHeight w:val="199"/>
        </w:trPr>
        <w:tc>
          <w:tcPr>
            <w:tcW w:w="1858" w:type="dxa"/>
            <w:tcBorders>
              <w:top w:val="nil"/>
              <w:left w:val="single" w:sz="8" w:space="0" w:color="auto"/>
              <w:bottom w:val="single" w:sz="8" w:space="0" w:color="auto"/>
              <w:right w:val="nil"/>
            </w:tcBorders>
            <w:shd w:val="clear" w:color="auto" w:fill="auto"/>
          </w:tcPr>
          <w:p w:rsidR="00027463" w:rsidRPr="00027463" w:rsidRDefault="00027463" w:rsidP="00027463">
            <w:pPr>
              <w:tabs>
                <w:tab w:val="clear" w:pos="1134"/>
                <w:tab w:val="clear" w:pos="1871"/>
                <w:tab w:val="clear" w:pos="2268"/>
              </w:tabs>
              <w:overflowPunct/>
              <w:autoSpaceDE/>
              <w:autoSpaceDN/>
              <w:adjustRightInd/>
              <w:spacing w:before="0"/>
              <w:jc w:val="center"/>
              <w:textAlignment w:val="auto"/>
              <w:rPr>
                <w:rFonts w:eastAsia="Batang" w:cstheme="minorHAnsi"/>
                <w:b/>
                <w:bCs/>
                <w:sz w:val="20"/>
                <w:lang w:val="sv-SE" w:eastAsia="ko-KR"/>
              </w:rPr>
            </w:pPr>
            <w:r w:rsidRPr="00027463">
              <w:rPr>
                <w:rFonts w:eastAsia="Batang" w:cstheme="minorHAnsi"/>
                <w:b/>
                <w:bCs/>
                <w:sz w:val="20"/>
                <w:lang w:val="sv-SE" w:eastAsia="ko-KR"/>
              </w:rPr>
              <w:t>AZE</w:t>
            </w:r>
          </w:p>
        </w:tc>
        <w:tc>
          <w:tcPr>
            <w:tcW w:w="1559" w:type="dxa"/>
            <w:tcBorders>
              <w:top w:val="nil"/>
              <w:left w:val="single" w:sz="8" w:space="0" w:color="auto"/>
              <w:bottom w:val="single" w:sz="8" w:space="0" w:color="auto"/>
              <w:right w:val="single" w:sz="8" w:space="0" w:color="auto"/>
            </w:tcBorders>
            <w:shd w:val="clear" w:color="auto" w:fill="auto"/>
            <w:noWrap/>
            <w:vAlign w:val="bottom"/>
          </w:tcPr>
          <w:p w:rsidR="00027463" w:rsidRPr="00027463" w:rsidRDefault="00027463" w:rsidP="00027463">
            <w:pPr>
              <w:tabs>
                <w:tab w:val="clear" w:pos="1134"/>
                <w:tab w:val="clear" w:pos="1871"/>
                <w:tab w:val="clear" w:pos="2268"/>
              </w:tabs>
              <w:overflowPunct/>
              <w:autoSpaceDE/>
              <w:autoSpaceDN/>
              <w:adjustRightInd/>
              <w:spacing w:before="0"/>
              <w:jc w:val="center"/>
              <w:textAlignment w:val="auto"/>
              <w:rPr>
                <w:rFonts w:eastAsia="Batang" w:cstheme="minorHAnsi"/>
                <w:sz w:val="20"/>
                <w:lang w:val="sv-SE" w:eastAsia="ko-KR"/>
              </w:rPr>
            </w:pPr>
          </w:p>
        </w:tc>
        <w:tc>
          <w:tcPr>
            <w:tcW w:w="1276" w:type="dxa"/>
            <w:tcBorders>
              <w:top w:val="nil"/>
              <w:left w:val="single" w:sz="8" w:space="0" w:color="auto"/>
              <w:bottom w:val="single" w:sz="8" w:space="0" w:color="auto"/>
              <w:right w:val="single" w:sz="8" w:space="0" w:color="auto"/>
            </w:tcBorders>
          </w:tcPr>
          <w:p w:rsidR="00027463" w:rsidRPr="00027463" w:rsidRDefault="00027463" w:rsidP="00644CEB">
            <w:pPr>
              <w:tabs>
                <w:tab w:val="clear" w:pos="1134"/>
                <w:tab w:val="clear" w:pos="1871"/>
                <w:tab w:val="clear" w:pos="2268"/>
              </w:tabs>
              <w:overflowPunct/>
              <w:autoSpaceDE/>
              <w:autoSpaceDN/>
              <w:adjustRightInd/>
              <w:spacing w:before="0"/>
              <w:textAlignment w:val="auto"/>
              <w:rPr>
                <w:rFonts w:eastAsia="Batang" w:cstheme="minorHAnsi"/>
                <w:sz w:val="20"/>
                <w:lang w:val="sv-SE" w:eastAsia="ko-KR"/>
              </w:rPr>
            </w:pPr>
          </w:p>
        </w:tc>
      </w:tr>
      <w:tr w:rsidR="00027463" w:rsidRPr="00472E66" w:rsidTr="00027463">
        <w:trPr>
          <w:trHeight w:val="199"/>
        </w:trPr>
        <w:tc>
          <w:tcPr>
            <w:tcW w:w="1858" w:type="dxa"/>
            <w:tcBorders>
              <w:top w:val="nil"/>
              <w:left w:val="single" w:sz="8" w:space="0" w:color="auto"/>
              <w:bottom w:val="single" w:sz="8" w:space="0" w:color="auto"/>
              <w:right w:val="nil"/>
            </w:tcBorders>
            <w:shd w:val="clear" w:color="auto" w:fill="auto"/>
          </w:tcPr>
          <w:p w:rsidR="00027463" w:rsidRPr="00027463" w:rsidRDefault="00027463" w:rsidP="00027463">
            <w:pPr>
              <w:tabs>
                <w:tab w:val="clear" w:pos="1134"/>
                <w:tab w:val="clear" w:pos="1871"/>
                <w:tab w:val="clear" w:pos="2268"/>
              </w:tabs>
              <w:overflowPunct/>
              <w:autoSpaceDE/>
              <w:autoSpaceDN/>
              <w:adjustRightInd/>
              <w:spacing w:before="0"/>
              <w:jc w:val="center"/>
              <w:textAlignment w:val="auto"/>
              <w:rPr>
                <w:rFonts w:eastAsia="Batang" w:cstheme="minorHAnsi"/>
                <w:b/>
                <w:bCs/>
                <w:sz w:val="20"/>
                <w:lang w:val="sv-SE" w:eastAsia="ko-KR"/>
              </w:rPr>
            </w:pPr>
            <w:r w:rsidRPr="00027463">
              <w:rPr>
                <w:rFonts w:eastAsia="Batang" w:cstheme="minorHAnsi"/>
                <w:b/>
                <w:bCs/>
                <w:sz w:val="20"/>
                <w:lang w:val="sv-SE" w:eastAsia="ko-KR"/>
              </w:rPr>
              <w:t>BEL</w:t>
            </w:r>
          </w:p>
        </w:tc>
        <w:tc>
          <w:tcPr>
            <w:tcW w:w="1559" w:type="dxa"/>
            <w:tcBorders>
              <w:top w:val="nil"/>
              <w:left w:val="single" w:sz="8" w:space="0" w:color="auto"/>
              <w:bottom w:val="single" w:sz="8" w:space="0" w:color="auto"/>
              <w:right w:val="single" w:sz="8" w:space="0" w:color="auto"/>
            </w:tcBorders>
            <w:shd w:val="clear" w:color="auto" w:fill="auto"/>
            <w:noWrap/>
            <w:vAlign w:val="bottom"/>
          </w:tcPr>
          <w:p w:rsidR="00027463" w:rsidRPr="00027463" w:rsidRDefault="00027463" w:rsidP="00027463">
            <w:pPr>
              <w:tabs>
                <w:tab w:val="clear" w:pos="1134"/>
                <w:tab w:val="clear" w:pos="1871"/>
                <w:tab w:val="clear" w:pos="2268"/>
              </w:tabs>
              <w:overflowPunct/>
              <w:autoSpaceDE/>
              <w:autoSpaceDN/>
              <w:adjustRightInd/>
              <w:spacing w:before="0"/>
              <w:jc w:val="center"/>
              <w:textAlignment w:val="auto"/>
              <w:rPr>
                <w:rFonts w:eastAsia="Batang" w:cstheme="minorHAnsi"/>
                <w:sz w:val="20"/>
                <w:lang w:val="sv-SE" w:eastAsia="ko-KR"/>
              </w:rPr>
            </w:pPr>
          </w:p>
        </w:tc>
        <w:tc>
          <w:tcPr>
            <w:tcW w:w="1276" w:type="dxa"/>
            <w:tcBorders>
              <w:top w:val="nil"/>
              <w:left w:val="single" w:sz="8" w:space="0" w:color="auto"/>
              <w:bottom w:val="single" w:sz="8" w:space="0" w:color="auto"/>
              <w:right w:val="single" w:sz="8" w:space="0" w:color="auto"/>
            </w:tcBorders>
          </w:tcPr>
          <w:p w:rsidR="00027463" w:rsidRPr="00027463" w:rsidRDefault="00027463" w:rsidP="00644CEB">
            <w:pPr>
              <w:tabs>
                <w:tab w:val="clear" w:pos="1134"/>
                <w:tab w:val="clear" w:pos="1871"/>
                <w:tab w:val="clear" w:pos="2268"/>
              </w:tabs>
              <w:overflowPunct/>
              <w:autoSpaceDE/>
              <w:autoSpaceDN/>
              <w:adjustRightInd/>
              <w:spacing w:before="0"/>
              <w:textAlignment w:val="auto"/>
              <w:rPr>
                <w:rFonts w:eastAsia="Batang" w:cstheme="minorHAnsi"/>
                <w:sz w:val="20"/>
                <w:lang w:val="sv-SE" w:eastAsia="ko-KR"/>
              </w:rPr>
            </w:pPr>
          </w:p>
        </w:tc>
      </w:tr>
      <w:tr w:rsidR="00027463" w:rsidRPr="00472E66" w:rsidTr="00027463">
        <w:trPr>
          <w:trHeight w:val="199"/>
        </w:trPr>
        <w:tc>
          <w:tcPr>
            <w:tcW w:w="1858" w:type="dxa"/>
            <w:tcBorders>
              <w:top w:val="nil"/>
              <w:left w:val="single" w:sz="8" w:space="0" w:color="auto"/>
              <w:bottom w:val="single" w:sz="8" w:space="0" w:color="auto"/>
              <w:right w:val="nil"/>
            </w:tcBorders>
            <w:shd w:val="clear" w:color="auto" w:fill="auto"/>
          </w:tcPr>
          <w:p w:rsidR="00027463" w:rsidRPr="00027463" w:rsidRDefault="00027463" w:rsidP="00027463">
            <w:pPr>
              <w:tabs>
                <w:tab w:val="clear" w:pos="1134"/>
                <w:tab w:val="clear" w:pos="1871"/>
                <w:tab w:val="clear" w:pos="2268"/>
              </w:tabs>
              <w:overflowPunct/>
              <w:autoSpaceDE/>
              <w:autoSpaceDN/>
              <w:adjustRightInd/>
              <w:spacing w:before="0"/>
              <w:jc w:val="center"/>
              <w:textAlignment w:val="auto"/>
              <w:rPr>
                <w:rFonts w:eastAsia="Batang" w:cstheme="minorHAnsi"/>
                <w:b/>
                <w:bCs/>
                <w:sz w:val="20"/>
                <w:lang w:val="sv-SE" w:eastAsia="ko-KR"/>
              </w:rPr>
            </w:pPr>
            <w:r w:rsidRPr="00027463">
              <w:rPr>
                <w:rFonts w:eastAsia="Batang" w:cstheme="minorHAnsi"/>
                <w:b/>
                <w:bCs/>
                <w:sz w:val="20"/>
                <w:lang w:val="sv-SE" w:eastAsia="ko-KR"/>
              </w:rPr>
              <w:t>BIH</w:t>
            </w:r>
          </w:p>
        </w:tc>
        <w:tc>
          <w:tcPr>
            <w:tcW w:w="1559" w:type="dxa"/>
            <w:tcBorders>
              <w:top w:val="nil"/>
              <w:left w:val="single" w:sz="8" w:space="0" w:color="auto"/>
              <w:bottom w:val="single" w:sz="8" w:space="0" w:color="auto"/>
              <w:right w:val="single" w:sz="8" w:space="0" w:color="auto"/>
            </w:tcBorders>
            <w:shd w:val="clear" w:color="auto" w:fill="auto"/>
            <w:noWrap/>
            <w:vAlign w:val="bottom"/>
          </w:tcPr>
          <w:p w:rsidR="00027463" w:rsidRPr="00027463" w:rsidRDefault="00027463" w:rsidP="00027463">
            <w:pPr>
              <w:tabs>
                <w:tab w:val="clear" w:pos="1134"/>
                <w:tab w:val="clear" w:pos="1871"/>
                <w:tab w:val="clear" w:pos="2268"/>
              </w:tabs>
              <w:overflowPunct/>
              <w:autoSpaceDE/>
              <w:autoSpaceDN/>
              <w:adjustRightInd/>
              <w:spacing w:before="0"/>
              <w:jc w:val="center"/>
              <w:textAlignment w:val="auto"/>
              <w:rPr>
                <w:rFonts w:eastAsia="Batang" w:cstheme="minorHAnsi"/>
                <w:sz w:val="20"/>
                <w:lang w:val="sv-SE" w:eastAsia="ko-KR"/>
              </w:rPr>
            </w:pPr>
          </w:p>
        </w:tc>
        <w:tc>
          <w:tcPr>
            <w:tcW w:w="1276" w:type="dxa"/>
            <w:tcBorders>
              <w:top w:val="nil"/>
              <w:left w:val="single" w:sz="8" w:space="0" w:color="auto"/>
              <w:bottom w:val="single" w:sz="8" w:space="0" w:color="auto"/>
              <w:right w:val="single" w:sz="8" w:space="0" w:color="auto"/>
            </w:tcBorders>
          </w:tcPr>
          <w:p w:rsidR="00027463" w:rsidRPr="00027463" w:rsidRDefault="00027463" w:rsidP="00644CEB">
            <w:pPr>
              <w:tabs>
                <w:tab w:val="clear" w:pos="1134"/>
                <w:tab w:val="clear" w:pos="1871"/>
                <w:tab w:val="clear" w:pos="2268"/>
              </w:tabs>
              <w:overflowPunct/>
              <w:autoSpaceDE/>
              <w:autoSpaceDN/>
              <w:adjustRightInd/>
              <w:spacing w:before="0"/>
              <w:textAlignment w:val="auto"/>
              <w:rPr>
                <w:rFonts w:eastAsia="Batang" w:cstheme="minorHAnsi"/>
                <w:sz w:val="20"/>
                <w:lang w:val="sv-SE" w:eastAsia="ko-KR"/>
              </w:rPr>
            </w:pPr>
          </w:p>
        </w:tc>
      </w:tr>
      <w:tr w:rsidR="00027463" w:rsidRPr="00472E66" w:rsidTr="00027463">
        <w:trPr>
          <w:trHeight w:val="199"/>
        </w:trPr>
        <w:tc>
          <w:tcPr>
            <w:tcW w:w="1858" w:type="dxa"/>
            <w:tcBorders>
              <w:top w:val="nil"/>
              <w:left w:val="single" w:sz="8" w:space="0" w:color="auto"/>
              <w:bottom w:val="single" w:sz="8" w:space="0" w:color="auto"/>
              <w:right w:val="nil"/>
            </w:tcBorders>
            <w:shd w:val="clear" w:color="auto" w:fill="auto"/>
          </w:tcPr>
          <w:p w:rsidR="00027463" w:rsidRPr="00027463" w:rsidRDefault="00027463" w:rsidP="00027463">
            <w:pPr>
              <w:tabs>
                <w:tab w:val="clear" w:pos="1134"/>
                <w:tab w:val="clear" w:pos="1871"/>
                <w:tab w:val="clear" w:pos="2268"/>
              </w:tabs>
              <w:overflowPunct/>
              <w:autoSpaceDE/>
              <w:autoSpaceDN/>
              <w:adjustRightInd/>
              <w:spacing w:before="0"/>
              <w:jc w:val="center"/>
              <w:textAlignment w:val="auto"/>
              <w:rPr>
                <w:rFonts w:eastAsia="Batang" w:cstheme="minorHAnsi"/>
                <w:b/>
                <w:bCs/>
                <w:sz w:val="20"/>
                <w:lang w:val="sv-SE" w:eastAsia="ko-KR"/>
              </w:rPr>
            </w:pPr>
            <w:r w:rsidRPr="00027463">
              <w:rPr>
                <w:rFonts w:eastAsia="Batang" w:cstheme="minorHAnsi"/>
                <w:b/>
                <w:bCs/>
                <w:sz w:val="20"/>
                <w:lang w:val="sv-SE" w:eastAsia="ko-KR"/>
              </w:rPr>
              <w:t>BLR</w:t>
            </w:r>
          </w:p>
        </w:tc>
        <w:tc>
          <w:tcPr>
            <w:tcW w:w="1559" w:type="dxa"/>
            <w:tcBorders>
              <w:top w:val="nil"/>
              <w:left w:val="single" w:sz="8" w:space="0" w:color="auto"/>
              <w:bottom w:val="single" w:sz="8" w:space="0" w:color="auto"/>
              <w:right w:val="single" w:sz="8" w:space="0" w:color="auto"/>
            </w:tcBorders>
            <w:shd w:val="clear" w:color="auto" w:fill="auto"/>
            <w:noWrap/>
            <w:vAlign w:val="bottom"/>
          </w:tcPr>
          <w:p w:rsidR="00027463" w:rsidRPr="00027463" w:rsidRDefault="00027463" w:rsidP="00027463">
            <w:pPr>
              <w:tabs>
                <w:tab w:val="clear" w:pos="1134"/>
                <w:tab w:val="clear" w:pos="1871"/>
                <w:tab w:val="clear" w:pos="2268"/>
              </w:tabs>
              <w:overflowPunct/>
              <w:autoSpaceDE/>
              <w:autoSpaceDN/>
              <w:adjustRightInd/>
              <w:spacing w:before="0"/>
              <w:jc w:val="center"/>
              <w:textAlignment w:val="auto"/>
              <w:rPr>
                <w:rFonts w:eastAsia="Batang" w:cstheme="minorHAnsi"/>
                <w:sz w:val="20"/>
                <w:lang w:val="sv-SE" w:eastAsia="ko-KR"/>
              </w:rPr>
            </w:pPr>
          </w:p>
        </w:tc>
        <w:tc>
          <w:tcPr>
            <w:tcW w:w="1276" w:type="dxa"/>
            <w:tcBorders>
              <w:top w:val="nil"/>
              <w:left w:val="single" w:sz="8" w:space="0" w:color="auto"/>
              <w:bottom w:val="single" w:sz="8" w:space="0" w:color="auto"/>
              <w:right w:val="single" w:sz="8" w:space="0" w:color="auto"/>
            </w:tcBorders>
          </w:tcPr>
          <w:p w:rsidR="00027463" w:rsidRPr="00027463" w:rsidRDefault="00027463" w:rsidP="00644CEB">
            <w:pPr>
              <w:tabs>
                <w:tab w:val="clear" w:pos="1134"/>
                <w:tab w:val="clear" w:pos="1871"/>
                <w:tab w:val="clear" w:pos="2268"/>
              </w:tabs>
              <w:overflowPunct/>
              <w:autoSpaceDE/>
              <w:autoSpaceDN/>
              <w:adjustRightInd/>
              <w:spacing w:before="0"/>
              <w:textAlignment w:val="auto"/>
              <w:rPr>
                <w:rFonts w:eastAsia="Batang" w:cstheme="minorHAnsi"/>
                <w:sz w:val="20"/>
                <w:lang w:val="sv-SE" w:eastAsia="ko-KR"/>
              </w:rPr>
            </w:pPr>
          </w:p>
        </w:tc>
      </w:tr>
      <w:tr w:rsidR="00027463" w:rsidRPr="00472E66" w:rsidTr="00027463">
        <w:trPr>
          <w:trHeight w:val="199"/>
        </w:trPr>
        <w:tc>
          <w:tcPr>
            <w:tcW w:w="1858" w:type="dxa"/>
            <w:tcBorders>
              <w:top w:val="nil"/>
              <w:left w:val="single" w:sz="8" w:space="0" w:color="auto"/>
              <w:bottom w:val="single" w:sz="8" w:space="0" w:color="auto"/>
              <w:right w:val="nil"/>
            </w:tcBorders>
            <w:shd w:val="clear" w:color="auto" w:fill="auto"/>
          </w:tcPr>
          <w:p w:rsidR="00027463" w:rsidRPr="00027463" w:rsidRDefault="00027463" w:rsidP="00027463">
            <w:pPr>
              <w:tabs>
                <w:tab w:val="clear" w:pos="1134"/>
                <w:tab w:val="clear" w:pos="1871"/>
                <w:tab w:val="clear" w:pos="2268"/>
              </w:tabs>
              <w:overflowPunct/>
              <w:autoSpaceDE/>
              <w:autoSpaceDN/>
              <w:adjustRightInd/>
              <w:spacing w:before="0"/>
              <w:jc w:val="center"/>
              <w:textAlignment w:val="auto"/>
              <w:rPr>
                <w:rFonts w:eastAsia="Batang" w:cstheme="minorHAnsi"/>
                <w:b/>
                <w:bCs/>
                <w:sz w:val="20"/>
                <w:lang w:val="sv-SE" w:eastAsia="ko-KR"/>
              </w:rPr>
            </w:pPr>
            <w:r w:rsidRPr="00027463">
              <w:rPr>
                <w:rFonts w:eastAsia="Batang" w:cstheme="minorHAnsi"/>
                <w:b/>
                <w:bCs/>
                <w:sz w:val="20"/>
                <w:lang w:val="sv-SE" w:eastAsia="ko-KR"/>
              </w:rPr>
              <w:t>BUL</w:t>
            </w:r>
          </w:p>
        </w:tc>
        <w:tc>
          <w:tcPr>
            <w:tcW w:w="1559" w:type="dxa"/>
            <w:tcBorders>
              <w:top w:val="nil"/>
              <w:left w:val="single" w:sz="8" w:space="0" w:color="auto"/>
              <w:bottom w:val="single" w:sz="8" w:space="0" w:color="auto"/>
              <w:right w:val="single" w:sz="8" w:space="0" w:color="auto"/>
            </w:tcBorders>
            <w:shd w:val="clear" w:color="auto" w:fill="auto"/>
            <w:noWrap/>
            <w:vAlign w:val="bottom"/>
          </w:tcPr>
          <w:p w:rsidR="00027463" w:rsidRPr="00027463" w:rsidRDefault="00027463" w:rsidP="00027463">
            <w:pPr>
              <w:tabs>
                <w:tab w:val="clear" w:pos="1134"/>
                <w:tab w:val="clear" w:pos="1871"/>
                <w:tab w:val="clear" w:pos="2268"/>
              </w:tabs>
              <w:overflowPunct/>
              <w:autoSpaceDE/>
              <w:autoSpaceDN/>
              <w:adjustRightInd/>
              <w:spacing w:before="0"/>
              <w:jc w:val="center"/>
              <w:textAlignment w:val="auto"/>
              <w:rPr>
                <w:rFonts w:eastAsia="Batang" w:cstheme="minorHAnsi"/>
                <w:sz w:val="20"/>
                <w:lang w:val="sv-SE" w:eastAsia="ko-KR"/>
              </w:rPr>
            </w:pPr>
          </w:p>
        </w:tc>
        <w:tc>
          <w:tcPr>
            <w:tcW w:w="1276" w:type="dxa"/>
            <w:tcBorders>
              <w:top w:val="nil"/>
              <w:left w:val="single" w:sz="8" w:space="0" w:color="auto"/>
              <w:bottom w:val="single" w:sz="8" w:space="0" w:color="auto"/>
              <w:right w:val="single" w:sz="8" w:space="0" w:color="auto"/>
            </w:tcBorders>
          </w:tcPr>
          <w:p w:rsidR="00027463" w:rsidRPr="00027463" w:rsidRDefault="00027463" w:rsidP="00644CEB">
            <w:pPr>
              <w:tabs>
                <w:tab w:val="clear" w:pos="1134"/>
                <w:tab w:val="clear" w:pos="1871"/>
                <w:tab w:val="clear" w:pos="2268"/>
              </w:tabs>
              <w:overflowPunct/>
              <w:autoSpaceDE/>
              <w:autoSpaceDN/>
              <w:adjustRightInd/>
              <w:spacing w:before="0"/>
              <w:textAlignment w:val="auto"/>
              <w:rPr>
                <w:rFonts w:eastAsia="Batang" w:cstheme="minorHAnsi"/>
                <w:sz w:val="20"/>
                <w:lang w:val="sv-SE" w:eastAsia="ko-KR"/>
              </w:rPr>
            </w:pPr>
          </w:p>
        </w:tc>
      </w:tr>
      <w:tr w:rsidR="00027463" w:rsidRPr="00472E66" w:rsidTr="00027463">
        <w:trPr>
          <w:trHeight w:val="199"/>
        </w:trPr>
        <w:tc>
          <w:tcPr>
            <w:tcW w:w="1858" w:type="dxa"/>
            <w:tcBorders>
              <w:top w:val="nil"/>
              <w:left w:val="single" w:sz="8" w:space="0" w:color="auto"/>
              <w:bottom w:val="single" w:sz="8" w:space="0" w:color="auto"/>
              <w:right w:val="nil"/>
            </w:tcBorders>
            <w:shd w:val="clear" w:color="auto" w:fill="auto"/>
          </w:tcPr>
          <w:p w:rsidR="00027463" w:rsidRPr="00027463" w:rsidRDefault="00027463" w:rsidP="00027463">
            <w:pPr>
              <w:tabs>
                <w:tab w:val="clear" w:pos="1134"/>
                <w:tab w:val="clear" w:pos="1871"/>
                <w:tab w:val="clear" w:pos="2268"/>
              </w:tabs>
              <w:overflowPunct/>
              <w:autoSpaceDE/>
              <w:autoSpaceDN/>
              <w:adjustRightInd/>
              <w:spacing w:before="0"/>
              <w:jc w:val="center"/>
              <w:textAlignment w:val="auto"/>
              <w:rPr>
                <w:rFonts w:eastAsia="Batang" w:cstheme="minorHAnsi"/>
                <w:b/>
                <w:bCs/>
                <w:sz w:val="20"/>
                <w:lang w:val="sv-SE" w:eastAsia="ko-KR"/>
              </w:rPr>
            </w:pPr>
            <w:r w:rsidRPr="00027463">
              <w:rPr>
                <w:rFonts w:eastAsia="Batang" w:cstheme="minorHAnsi"/>
                <w:b/>
                <w:bCs/>
                <w:sz w:val="20"/>
                <w:lang w:val="sv-SE" w:eastAsia="ko-KR"/>
              </w:rPr>
              <w:t>CVA</w:t>
            </w:r>
          </w:p>
        </w:tc>
        <w:tc>
          <w:tcPr>
            <w:tcW w:w="1559" w:type="dxa"/>
            <w:tcBorders>
              <w:top w:val="nil"/>
              <w:left w:val="single" w:sz="8" w:space="0" w:color="auto"/>
              <w:bottom w:val="single" w:sz="8" w:space="0" w:color="auto"/>
              <w:right w:val="single" w:sz="8" w:space="0" w:color="auto"/>
            </w:tcBorders>
            <w:shd w:val="clear" w:color="auto" w:fill="auto"/>
            <w:noWrap/>
            <w:vAlign w:val="bottom"/>
          </w:tcPr>
          <w:p w:rsidR="00027463" w:rsidRPr="00027463" w:rsidRDefault="00027463" w:rsidP="00027463">
            <w:pPr>
              <w:tabs>
                <w:tab w:val="clear" w:pos="1134"/>
                <w:tab w:val="clear" w:pos="1871"/>
                <w:tab w:val="clear" w:pos="2268"/>
              </w:tabs>
              <w:overflowPunct/>
              <w:autoSpaceDE/>
              <w:autoSpaceDN/>
              <w:adjustRightInd/>
              <w:spacing w:before="0"/>
              <w:jc w:val="center"/>
              <w:textAlignment w:val="auto"/>
              <w:rPr>
                <w:rFonts w:eastAsia="Batang" w:cstheme="minorHAnsi"/>
                <w:sz w:val="20"/>
                <w:lang w:val="sv-SE" w:eastAsia="ko-KR"/>
              </w:rPr>
            </w:pPr>
          </w:p>
        </w:tc>
        <w:tc>
          <w:tcPr>
            <w:tcW w:w="1276" w:type="dxa"/>
            <w:tcBorders>
              <w:top w:val="nil"/>
              <w:left w:val="single" w:sz="8" w:space="0" w:color="auto"/>
              <w:bottom w:val="single" w:sz="8" w:space="0" w:color="auto"/>
              <w:right w:val="single" w:sz="8" w:space="0" w:color="auto"/>
            </w:tcBorders>
          </w:tcPr>
          <w:p w:rsidR="00027463" w:rsidRPr="00027463" w:rsidRDefault="00027463" w:rsidP="00644CEB">
            <w:pPr>
              <w:tabs>
                <w:tab w:val="clear" w:pos="1134"/>
                <w:tab w:val="clear" w:pos="1871"/>
                <w:tab w:val="clear" w:pos="2268"/>
              </w:tabs>
              <w:overflowPunct/>
              <w:autoSpaceDE/>
              <w:autoSpaceDN/>
              <w:adjustRightInd/>
              <w:spacing w:before="0"/>
              <w:textAlignment w:val="auto"/>
              <w:rPr>
                <w:rFonts w:eastAsia="Batang" w:cstheme="minorHAnsi"/>
                <w:sz w:val="20"/>
                <w:lang w:val="sv-SE" w:eastAsia="ko-KR"/>
              </w:rPr>
            </w:pPr>
          </w:p>
        </w:tc>
      </w:tr>
      <w:tr w:rsidR="00027463" w:rsidRPr="00472E66" w:rsidTr="00027463">
        <w:trPr>
          <w:trHeight w:val="199"/>
        </w:trPr>
        <w:tc>
          <w:tcPr>
            <w:tcW w:w="1858" w:type="dxa"/>
            <w:tcBorders>
              <w:top w:val="nil"/>
              <w:left w:val="single" w:sz="8" w:space="0" w:color="auto"/>
              <w:bottom w:val="single" w:sz="8" w:space="0" w:color="auto"/>
              <w:right w:val="nil"/>
            </w:tcBorders>
            <w:shd w:val="clear" w:color="auto" w:fill="auto"/>
          </w:tcPr>
          <w:p w:rsidR="00027463" w:rsidRPr="00027463" w:rsidRDefault="00027463" w:rsidP="00027463">
            <w:pPr>
              <w:tabs>
                <w:tab w:val="clear" w:pos="1134"/>
                <w:tab w:val="clear" w:pos="1871"/>
                <w:tab w:val="clear" w:pos="2268"/>
              </w:tabs>
              <w:overflowPunct/>
              <w:autoSpaceDE/>
              <w:autoSpaceDN/>
              <w:adjustRightInd/>
              <w:spacing w:before="0"/>
              <w:jc w:val="center"/>
              <w:textAlignment w:val="auto"/>
              <w:rPr>
                <w:rFonts w:eastAsia="Batang" w:cstheme="minorHAnsi"/>
                <w:b/>
                <w:bCs/>
                <w:sz w:val="20"/>
                <w:lang w:val="sv-SE" w:eastAsia="ko-KR"/>
              </w:rPr>
            </w:pPr>
            <w:r w:rsidRPr="00027463">
              <w:rPr>
                <w:rFonts w:eastAsia="Batang" w:cstheme="minorHAnsi"/>
                <w:b/>
                <w:bCs/>
                <w:sz w:val="20"/>
                <w:lang w:val="sv-SE" w:eastAsia="ko-KR"/>
              </w:rPr>
              <w:t>CYP</w:t>
            </w:r>
          </w:p>
        </w:tc>
        <w:tc>
          <w:tcPr>
            <w:tcW w:w="1559" w:type="dxa"/>
            <w:tcBorders>
              <w:top w:val="nil"/>
              <w:left w:val="single" w:sz="8" w:space="0" w:color="auto"/>
              <w:bottom w:val="single" w:sz="8" w:space="0" w:color="auto"/>
              <w:right w:val="single" w:sz="8" w:space="0" w:color="auto"/>
            </w:tcBorders>
            <w:shd w:val="clear" w:color="auto" w:fill="auto"/>
            <w:noWrap/>
            <w:vAlign w:val="bottom"/>
          </w:tcPr>
          <w:p w:rsidR="00027463" w:rsidRPr="00027463" w:rsidRDefault="00027463" w:rsidP="00027463">
            <w:pPr>
              <w:tabs>
                <w:tab w:val="clear" w:pos="1134"/>
                <w:tab w:val="clear" w:pos="1871"/>
                <w:tab w:val="clear" w:pos="2268"/>
              </w:tabs>
              <w:overflowPunct/>
              <w:autoSpaceDE/>
              <w:autoSpaceDN/>
              <w:adjustRightInd/>
              <w:spacing w:before="0"/>
              <w:jc w:val="center"/>
              <w:textAlignment w:val="auto"/>
              <w:rPr>
                <w:rFonts w:eastAsia="Batang" w:cstheme="minorHAnsi"/>
                <w:sz w:val="20"/>
                <w:lang w:val="sv-SE" w:eastAsia="ko-KR"/>
              </w:rPr>
            </w:pPr>
          </w:p>
        </w:tc>
        <w:tc>
          <w:tcPr>
            <w:tcW w:w="1276" w:type="dxa"/>
            <w:tcBorders>
              <w:top w:val="nil"/>
              <w:left w:val="single" w:sz="8" w:space="0" w:color="auto"/>
              <w:bottom w:val="single" w:sz="8" w:space="0" w:color="auto"/>
              <w:right w:val="single" w:sz="8" w:space="0" w:color="auto"/>
            </w:tcBorders>
          </w:tcPr>
          <w:p w:rsidR="00027463" w:rsidRPr="00027463" w:rsidRDefault="00027463" w:rsidP="00644CEB">
            <w:pPr>
              <w:tabs>
                <w:tab w:val="clear" w:pos="1134"/>
                <w:tab w:val="clear" w:pos="1871"/>
                <w:tab w:val="clear" w:pos="2268"/>
              </w:tabs>
              <w:overflowPunct/>
              <w:autoSpaceDE/>
              <w:autoSpaceDN/>
              <w:adjustRightInd/>
              <w:spacing w:before="0"/>
              <w:textAlignment w:val="auto"/>
              <w:rPr>
                <w:rFonts w:eastAsia="Batang" w:cstheme="minorHAnsi"/>
                <w:sz w:val="20"/>
                <w:lang w:val="sv-SE" w:eastAsia="ko-KR"/>
              </w:rPr>
            </w:pPr>
          </w:p>
        </w:tc>
      </w:tr>
      <w:tr w:rsidR="00027463" w:rsidRPr="00472E66" w:rsidTr="00027463">
        <w:trPr>
          <w:trHeight w:val="199"/>
        </w:trPr>
        <w:tc>
          <w:tcPr>
            <w:tcW w:w="1858" w:type="dxa"/>
            <w:tcBorders>
              <w:top w:val="nil"/>
              <w:left w:val="single" w:sz="8" w:space="0" w:color="auto"/>
              <w:bottom w:val="single" w:sz="8" w:space="0" w:color="auto"/>
              <w:right w:val="nil"/>
            </w:tcBorders>
            <w:shd w:val="clear" w:color="auto" w:fill="auto"/>
          </w:tcPr>
          <w:p w:rsidR="00027463" w:rsidRPr="00027463" w:rsidRDefault="00027463" w:rsidP="00027463">
            <w:pPr>
              <w:tabs>
                <w:tab w:val="clear" w:pos="1134"/>
                <w:tab w:val="clear" w:pos="1871"/>
                <w:tab w:val="clear" w:pos="2268"/>
              </w:tabs>
              <w:overflowPunct/>
              <w:autoSpaceDE/>
              <w:autoSpaceDN/>
              <w:adjustRightInd/>
              <w:spacing w:before="0"/>
              <w:jc w:val="center"/>
              <w:textAlignment w:val="auto"/>
              <w:rPr>
                <w:rFonts w:eastAsia="Batang" w:cstheme="minorHAnsi"/>
                <w:b/>
                <w:bCs/>
                <w:sz w:val="20"/>
                <w:lang w:val="sv-SE" w:eastAsia="ko-KR"/>
              </w:rPr>
            </w:pPr>
            <w:r w:rsidRPr="00027463">
              <w:rPr>
                <w:rFonts w:eastAsia="Batang" w:cstheme="minorHAnsi"/>
                <w:b/>
                <w:bCs/>
                <w:sz w:val="20"/>
                <w:lang w:val="sv-SE" w:eastAsia="ko-KR"/>
              </w:rPr>
              <w:t>CZE</w:t>
            </w:r>
          </w:p>
        </w:tc>
        <w:tc>
          <w:tcPr>
            <w:tcW w:w="1559" w:type="dxa"/>
            <w:tcBorders>
              <w:top w:val="nil"/>
              <w:left w:val="single" w:sz="8" w:space="0" w:color="auto"/>
              <w:bottom w:val="single" w:sz="8" w:space="0" w:color="auto"/>
              <w:right w:val="single" w:sz="8" w:space="0" w:color="auto"/>
            </w:tcBorders>
            <w:shd w:val="clear" w:color="auto" w:fill="auto"/>
            <w:noWrap/>
            <w:vAlign w:val="bottom"/>
          </w:tcPr>
          <w:p w:rsidR="00027463" w:rsidRPr="00027463" w:rsidRDefault="00027463" w:rsidP="00027463">
            <w:pPr>
              <w:tabs>
                <w:tab w:val="clear" w:pos="1134"/>
                <w:tab w:val="clear" w:pos="1871"/>
                <w:tab w:val="clear" w:pos="2268"/>
              </w:tabs>
              <w:overflowPunct/>
              <w:autoSpaceDE/>
              <w:autoSpaceDN/>
              <w:adjustRightInd/>
              <w:spacing w:before="0"/>
              <w:jc w:val="center"/>
              <w:textAlignment w:val="auto"/>
              <w:rPr>
                <w:rFonts w:eastAsia="Batang" w:cstheme="minorHAnsi"/>
                <w:sz w:val="20"/>
                <w:lang w:val="sv-SE" w:eastAsia="ko-KR"/>
              </w:rPr>
            </w:pPr>
            <w:r w:rsidRPr="00027463">
              <w:rPr>
                <w:rFonts w:eastAsia="Batang" w:cstheme="minorHAnsi"/>
                <w:sz w:val="20"/>
                <w:lang w:val="sv-SE" w:eastAsia="ko-KR"/>
              </w:rPr>
              <w:t>Yes</w:t>
            </w:r>
          </w:p>
        </w:tc>
        <w:tc>
          <w:tcPr>
            <w:tcW w:w="1276" w:type="dxa"/>
            <w:tcBorders>
              <w:top w:val="nil"/>
              <w:left w:val="single" w:sz="8" w:space="0" w:color="auto"/>
              <w:bottom w:val="single" w:sz="8" w:space="0" w:color="auto"/>
              <w:right w:val="single" w:sz="8" w:space="0" w:color="auto"/>
            </w:tcBorders>
          </w:tcPr>
          <w:p w:rsidR="00027463" w:rsidRPr="00027463" w:rsidRDefault="00027463" w:rsidP="00644CEB">
            <w:pPr>
              <w:tabs>
                <w:tab w:val="clear" w:pos="1134"/>
                <w:tab w:val="clear" w:pos="1871"/>
                <w:tab w:val="clear" w:pos="2268"/>
              </w:tabs>
              <w:overflowPunct/>
              <w:autoSpaceDE/>
              <w:autoSpaceDN/>
              <w:adjustRightInd/>
              <w:spacing w:before="0"/>
              <w:textAlignment w:val="auto"/>
              <w:rPr>
                <w:rFonts w:eastAsia="Batang" w:cstheme="minorHAnsi"/>
                <w:sz w:val="20"/>
                <w:lang w:val="sv-SE" w:eastAsia="ko-KR"/>
              </w:rPr>
            </w:pPr>
          </w:p>
        </w:tc>
      </w:tr>
      <w:tr w:rsidR="00027463" w:rsidRPr="00472E66" w:rsidTr="00027463">
        <w:trPr>
          <w:trHeight w:val="199"/>
        </w:trPr>
        <w:tc>
          <w:tcPr>
            <w:tcW w:w="1858" w:type="dxa"/>
            <w:tcBorders>
              <w:top w:val="nil"/>
              <w:left w:val="single" w:sz="8" w:space="0" w:color="auto"/>
              <w:bottom w:val="single" w:sz="8" w:space="0" w:color="auto"/>
              <w:right w:val="single" w:sz="8" w:space="0" w:color="auto"/>
            </w:tcBorders>
            <w:shd w:val="clear" w:color="auto" w:fill="auto"/>
            <w:vAlign w:val="bottom"/>
          </w:tcPr>
          <w:p w:rsidR="00027463" w:rsidRPr="00027463" w:rsidRDefault="00027463" w:rsidP="00027463">
            <w:pPr>
              <w:tabs>
                <w:tab w:val="clear" w:pos="1134"/>
                <w:tab w:val="clear" w:pos="1871"/>
                <w:tab w:val="clear" w:pos="2268"/>
              </w:tabs>
              <w:overflowPunct/>
              <w:autoSpaceDE/>
              <w:autoSpaceDN/>
              <w:adjustRightInd/>
              <w:spacing w:before="0"/>
              <w:jc w:val="center"/>
              <w:textAlignment w:val="auto"/>
              <w:rPr>
                <w:rFonts w:eastAsia="Batang" w:cstheme="minorHAnsi"/>
                <w:b/>
                <w:bCs/>
                <w:sz w:val="20"/>
                <w:lang w:val="sv-SE" w:eastAsia="ko-KR"/>
              </w:rPr>
            </w:pPr>
            <w:r w:rsidRPr="00027463">
              <w:rPr>
                <w:rFonts w:eastAsia="Batang" w:cstheme="minorHAnsi"/>
                <w:b/>
                <w:bCs/>
                <w:sz w:val="20"/>
                <w:lang w:val="sv-SE" w:eastAsia="ko-KR"/>
              </w:rPr>
              <w:t>D</w:t>
            </w:r>
          </w:p>
        </w:tc>
        <w:tc>
          <w:tcPr>
            <w:tcW w:w="1559" w:type="dxa"/>
            <w:tcBorders>
              <w:top w:val="nil"/>
              <w:left w:val="nil"/>
              <w:bottom w:val="single" w:sz="8" w:space="0" w:color="auto"/>
              <w:right w:val="single" w:sz="8" w:space="0" w:color="auto"/>
            </w:tcBorders>
            <w:shd w:val="clear" w:color="auto" w:fill="auto"/>
            <w:noWrap/>
            <w:vAlign w:val="bottom"/>
          </w:tcPr>
          <w:p w:rsidR="00027463" w:rsidRPr="00027463" w:rsidRDefault="00027463" w:rsidP="00027463">
            <w:pPr>
              <w:tabs>
                <w:tab w:val="clear" w:pos="1134"/>
                <w:tab w:val="clear" w:pos="1871"/>
                <w:tab w:val="clear" w:pos="2268"/>
              </w:tabs>
              <w:overflowPunct/>
              <w:autoSpaceDE/>
              <w:autoSpaceDN/>
              <w:adjustRightInd/>
              <w:spacing w:before="0"/>
              <w:jc w:val="center"/>
              <w:textAlignment w:val="auto"/>
              <w:rPr>
                <w:rFonts w:eastAsia="Batang" w:cstheme="minorHAnsi"/>
                <w:sz w:val="20"/>
                <w:lang w:val="sv-SE" w:eastAsia="ko-KR"/>
              </w:rPr>
            </w:pPr>
            <w:r w:rsidRPr="00027463">
              <w:rPr>
                <w:rFonts w:eastAsia="Batang" w:cstheme="minorHAnsi"/>
                <w:sz w:val="20"/>
                <w:lang w:val="sv-SE" w:eastAsia="ko-KR"/>
              </w:rPr>
              <w:t>Yes</w:t>
            </w:r>
          </w:p>
        </w:tc>
        <w:tc>
          <w:tcPr>
            <w:tcW w:w="1276" w:type="dxa"/>
            <w:tcBorders>
              <w:top w:val="nil"/>
              <w:left w:val="nil"/>
              <w:bottom w:val="single" w:sz="8" w:space="0" w:color="auto"/>
              <w:right w:val="single" w:sz="8" w:space="0" w:color="auto"/>
            </w:tcBorders>
          </w:tcPr>
          <w:p w:rsidR="00027463" w:rsidRPr="00027463" w:rsidRDefault="00027463" w:rsidP="00644CEB">
            <w:pPr>
              <w:tabs>
                <w:tab w:val="clear" w:pos="1134"/>
                <w:tab w:val="clear" w:pos="1871"/>
                <w:tab w:val="clear" w:pos="2268"/>
              </w:tabs>
              <w:overflowPunct/>
              <w:autoSpaceDE/>
              <w:autoSpaceDN/>
              <w:adjustRightInd/>
              <w:spacing w:before="0"/>
              <w:textAlignment w:val="auto"/>
              <w:rPr>
                <w:rFonts w:eastAsia="Batang" w:cstheme="minorHAnsi"/>
                <w:sz w:val="20"/>
                <w:lang w:val="sv-SE" w:eastAsia="ko-KR"/>
              </w:rPr>
            </w:pPr>
          </w:p>
        </w:tc>
      </w:tr>
      <w:tr w:rsidR="00027463" w:rsidRPr="00472E66" w:rsidTr="00027463">
        <w:trPr>
          <w:trHeight w:val="199"/>
        </w:trPr>
        <w:tc>
          <w:tcPr>
            <w:tcW w:w="1858" w:type="dxa"/>
            <w:tcBorders>
              <w:top w:val="nil"/>
              <w:left w:val="single" w:sz="8" w:space="0" w:color="auto"/>
              <w:bottom w:val="single" w:sz="8" w:space="0" w:color="auto"/>
              <w:right w:val="nil"/>
            </w:tcBorders>
            <w:shd w:val="clear" w:color="auto" w:fill="auto"/>
          </w:tcPr>
          <w:p w:rsidR="00027463" w:rsidRPr="00027463" w:rsidRDefault="00027463" w:rsidP="00027463">
            <w:pPr>
              <w:tabs>
                <w:tab w:val="clear" w:pos="1134"/>
                <w:tab w:val="clear" w:pos="1871"/>
                <w:tab w:val="clear" w:pos="2268"/>
              </w:tabs>
              <w:overflowPunct/>
              <w:autoSpaceDE/>
              <w:autoSpaceDN/>
              <w:adjustRightInd/>
              <w:spacing w:before="0"/>
              <w:jc w:val="center"/>
              <w:textAlignment w:val="auto"/>
              <w:rPr>
                <w:rFonts w:eastAsia="Batang" w:cstheme="minorHAnsi"/>
                <w:b/>
                <w:bCs/>
                <w:sz w:val="20"/>
                <w:lang w:val="sv-SE" w:eastAsia="ko-KR"/>
              </w:rPr>
            </w:pPr>
            <w:r w:rsidRPr="00027463">
              <w:rPr>
                <w:rFonts w:eastAsia="Batang" w:cstheme="minorHAnsi"/>
                <w:b/>
                <w:bCs/>
                <w:sz w:val="20"/>
                <w:lang w:val="sv-SE" w:eastAsia="ko-KR"/>
              </w:rPr>
              <w:t>DNK</w:t>
            </w:r>
          </w:p>
        </w:tc>
        <w:tc>
          <w:tcPr>
            <w:tcW w:w="1559" w:type="dxa"/>
            <w:tcBorders>
              <w:top w:val="nil"/>
              <w:left w:val="single" w:sz="8" w:space="0" w:color="auto"/>
              <w:bottom w:val="single" w:sz="8" w:space="0" w:color="auto"/>
              <w:right w:val="single" w:sz="8" w:space="0" w:color="auto"/>
            </w:tcBorders>
            <w:shd w:val="clear" w:color="auto" w:fill="auto"/>
            <w:noWrap/>
            <w:vAlign w:val="bottom"/>
          </w:tcPr>
          <w:p w:rsidR="00027463" w:rsidRPr="00027463" w:rsidRDefault="00027463" w:rsidP="00027463">
            <w:pPr>
              <w:tabs>
                <w:tab w:val="clear" w:pos="1134"/>
                <w:tab w:val="clear" w:pos="1871"/>
                <w:tab w:val="clear" w:pos="2268"/>
              </w:tabs>
              <w:overflowPunct/>
              <w:autoSpaceDE/>
              <w:autoSpaceDN/>
              <w:adjustRightInd/>
              <w:spacing w:before="0"/>
              <w:jc w:val="center"/>
              <w:textAlignment w:val="auto"/>
              <w:rPr>
                <w:rFonts w:eastAsia="Batang" w:cstheme="minorHAnsi"/>
                <w:sz w:val="20"/>
                <w:lang w:val="sv-SE" w:eastAsia="ko-KR"/>
              </w:rPr>
            </w:pPr>
            <w:r w:rsidRPr="00027463">
              <w:rPr>
                <w:rFonts w:eastAsia="Batang" w:cstheme="minorHAnsi"/>
                <w:sz w:val="20"/>
                <w:lang w:val="sv-SE" w:eastAsia="ko-KR"/>
              </w:rPr>
              <w:t>Yes</w:t>
            </w:r>
          </w:p>
        </w:tc>
        <w:tc>
          <w:tcPr>
            <w:tcW w:w="1276" w:type="dxa"/>
            <w:tcBorders>
              <w:top w:val="nil"/>
              <w:left w:val="single" w:sz="8" w:space="0" w:color="auto"/>
              <w:bottom w:val="single" w:sz="8" w:space="0" w:color="auto"/>
              <w:right w:val="single" w:sz="8" w:space="0" w:color="auto"/>
            </w:tcBorders>
          </w:tcPr>
          <w:p w:rsidR="00027463" w:rsidRPr="00027463" w:rsidRDefault="00027463" w:rsidP="00644CEB">
            <w:pPr>
              <w:tabs>
                <w:tab w:val="clear" w:pos="1134"/>
                <w:tab w:val="clear" w:pos="1871"/>
                <w:tab w:val="clear" w:pos="2268"/>
              </w:tabs>
              <w:overflowPunct/>
              <w:autoSpaceDE/>
              <w:autoSpaceDN/>
              <w:adjustRightInd/>
              <w:spacing w:before="0"/>
              <w:textAlignment w:val="auto"/>
              <w:rPr>
                <w:rFonts w:eastAsia="Batang" w:cstheme="minorHAnsi"/>
                <w:sz w:val="20"/>
                <w:lang w:val="sv-SE" w:eastAsia="ko-KR"/>
              </w:rPr>
            </w:pPr>
          </w:p>
        </w:tc>
      </w:tr>
      <w:tr w:rsidR="00027463" w:rsidRPr="00472E66" w:rsidTr="00027463">
        <w:trPr>
          <w:trHeight w:val="199"/>
        </w:trPr>
        <w:tc>
          <w:tcPr>
            <w:tcW w:w="1858" w:type="dxa"/>
            <w:tcBorders>
              <w:top w:val="nil"/>
              <w:left w:val="single" w:sz="8" w:space="0" w:color="auto"/>
              <w:bottom w:val="single" w:sz="8" w:space="0" w:color="auto"/>
              <w:right w:val="nil"/>
            </w:tcBorders>
            <w:shd w:val="clear" w:color="auto" w:fill="auto"/>
          </w:tcPr>
          <w:p w:rsidR="00027463" w:rsidRPr="00027463" w:rsidRDefault="00027463" w:rsidP="00027463">
            <w:pPr>
              <w:tabs>
                <w:tab w:val="clear" w:pos="1134"/>
                <w:tab w:val="clear" w:pos="1871"/>
                <w:tab w:val="clear" w:pos="2268"/>
              </w:tabs>
              <w:overflowPunct/>
              <w:autoSpaceDE/>
              <w:autoSpaceDN/>
              <w:adjustRightInd/>
              <w:spacing w:before="0"/>
              <w:jc w:val="center"/>
              <w:textAlignment w:val="auto"/>
              <w:rPr>
                <w:rFonts w:eastAsia="Batang" w:cstheme="minorHAnsi"/>
                <w:b/>
                <w:bCs/>
                <w:color w:val="000000"/>
                <w:sz w:val="20"/>
                <w:lang w:val="sv-SE" w:eastAsia="ko-KR"/>
              </w:rPr>
            </w:pPr>
            <w:r w:rsidRPr="00027463">
              <w:rPr>
                <w:rFonts w:eastAsia="Batang" w:cstheme="minorHAnsi"/>
                <w:b/>
                <w:bCs/>
                <w:color w:val="000000"/>
                <w:sz w:val="20"/>
                <w:lang w:val="sv-SE" w:eastAsia="ko-KR"/>
              </w:rPr>
              <w:t>E</w:t>
            </w:r>
          </w:p>
        </w:tc>
        <w:tc>
          <w:tcPr>
            <w:tcW w:w="1559" w:type="dxa"/>
            <w:tcBorders>
              <w:top w:val="nil"/>
              <w:left w:val="single" w:sz="8" w:space="0" w:color="auto"/>
              <w:bottom w:val="single" w:sz="8" w:space="0" w:color="auto"/>
              <w:right w:val="single" w:sz="8" w:space="0" w:color="auto"/>
            </w:tcBorders>
            <w:shd w:val="clear" w:color="auto" w:fill="auto"/>
            <w:noWrap/>
            <w:vAlign w:val="bottom"/>
          </w:tcPr>
          <w:p w:rsidR="00027463" w:rsidRPr="00027463" w:rsidRDefault="00027463" w:rsidP="00027463">
            <w:pPr>
              <w:tabs>
                <w:tab w:val="clear" w:pos="1134"/>
                <w:tab w:val="clear" w:pos="1871"/>
                <w:tab w:val="clear" w:pos="2268"/>
              </w:tabs>
              <w:overflowPunct/>
              <w:autoSpaceDE/>
              <w:autoSpaceDN/>
              <w:adjustRightInd/>
              <w:spacing w:before="0"/>
              <w:jc w:val="center"/>
              <w:textAlignment w:val="auto"/>
              <w:rPr>
                <w:rFonts w:eastAsia="Batang" w:cstheme="minorHAnsi"/>
                <w:sz w:val="20"/>
                <w:lang w:val="sv-SE" w:eastAsia="ko-KR"/>
              </w:rPr>
            </w:pPr>
          </w:p>
        </w:tc>
        <w:tc>
          <w:tcPr>
            <w:tcW w:w="1276" w:type="dxa"/>
            <w:tcBorders>
              <w:top w:val="nil"/>
              <w:left w:val="single" w:sz="8" w:space="0" w:color="auto"/>
              <w:bottom w:val="single" w:sz="8" w:space="0" w:color="auto"/>
              <w:right w:val="single" w:sz="8" w:space="0" w:color="auto"/>
            </w:tcBorders>
          </w:tcPr>
          <w:p w:rsidR="00027463" w:rsidRPr="00027463" w:rsidRDefault="00027463" w:rsidP="00644CEB">
            <w:pPr>
              <w:tabs>
                <w:tab w:val="clear" w:pos="1134"/>
                <w:tab w:val="clear" w:pos="1871"/>
                <w:tab w:val="clear" w:pos="2268"/>
              </w:tabs>
              <w:overflowPunct/>
              <w:autoSpaceDE/>
              <w:autoSpaceDN/>
              <w:adjustRightInd/>
              <w:spacing w:before="0"/>
              <w:textAlignment w:val="auto"/>
              <w:rPr>
                <w:rFonts w:eastAsia="Batang" w:cstheme="minorHAnsi"/>
                <w:sz w:val="20"/>
                <w:lang w:val="sv-SE" w:eastAsia="ko-KR"/>
              </w:rPr>
            </w:pPr>
          </w:p>
        </w:tc>
      </w:tr>
      <w:tr w:rsidR="00027463" w:rsidRPr="00472E66" w:rsidTr="00027463">
        <w:trPr>
          <w:trHeight w:val="199"/>
        </w:trPr>
        <w:tc>
          <w:tcPr>
            <w:tcW w:w="1858" w:type="dxa"/>
            <w:tcBorders>
              <w:top w:val="nil"/>
              <w:left w:val="single" w:sz="8" w:space="0" w:color="auto"/>
              <w:bottom w:val="single" w:sz="8" w:space="0" w:color="auto"/>
              <w:right w:val="nil"/>
            </w:tcBorders>
            <w:shd w:val="clear" w:color="auto" w:fill="auto"/>
          </w:tcPr>
          <w:p w:rsidR="00027463" w:rsidRPr="00027463" w:rsidRDefault="00027463" w:rsidP="00027463">
            <w:pPr>
              <w:tabs>
                <w:tab w:val="clear" w:pos="1134"/>
                <w:tab w:val="clear" w:pos="1871"/>
                <w:tab w:val="clear" w:pos="2268"/>
              </w:tabs>
              <w:overflowPunct/>
              <w:autoSpaceDE/>
              <w:autoSpaceDN/>
              <w:adjustRightInd/>
              <w:spacing w:before="0"/>
              <w:jc w:val="center"/>
              <w:textAlignment w:val="auto"/>
              <w:rPr>
                <w:rFonts w:eastAsia="Batang" w:cstheme="minorHAnsi"/>
                <w:b/>
                <w:bCs/>
                <w:sz w:val="20"/>
                <w:lang w:val="sv-SE" w:eastAsia="ko-KR"/>
              </w:rPr>
            </w:pPr>
            <w:r w:rsidRPr="00027463">
              <w:rPr>
                <w:rFonts w:eastAsia="Batang" w:cstheme="minorHAnsi"/>
                <w:b/>
                <w:bCs/>
                <w:sz w:val="20"/>
                <w:lang w:val="sv-SE" w:eastAsia="ko-KR"/>
              </w:rPr>
              <w:t>EST</w:t>
            </w:r>
          </w:p>
        </w:tc>
        <w:tc>
          <w:tcPr>
            <w:tcW w:w="1559" w:type="dxa"/>
            <w:tcBorders>
              <w:top w:val="nil"/>
              <w:left w:val="single" w:sz="8" w:space="0" w:color="auto"/>
              <w:bottom w:val="single" w:sz="8" w:space="0" w:color="auto"/>
              <w:right w:val="single" w:sz="8" w:space="0" w:color="auto"/>
            </w:tcBorders>
            <w:shd w:val="clear" w:color="auto" w:fill="auto"/>
            <w:noWrap/>
            <w:vAlign w:val="bottom"/>
          </w:tcPr>
          <w:p w:rsidR="00027463" w:rsidRPr="00027463" w:rsidRDefault="00027463" w:rsidP="00027463">
            <w:pPr>
              <w:tabs>
                <w:tab w:val="clear" w:pos="1134"/>
                <w:tab w:val="clear" w:pos="1871"/>
                <w:tab w:val="clear" w:pos="2268"/>
              </w:tabs>
              <w:overflowPunct/>
              <w:autoSpaceDE/>
              <w:autoSpaceDN/>
              <w:adjustRightInd/>
              <w:spacing w:before="0"/>
              <w:jc w:val="center"/>
              <w:textAlignment w:val="auto"/>
              <w:rPr>
                <w:rFonts w:eastAsia="Batang" w:cstheme="minorHAnsi"/>
                <w:sz w:val="20"/>
                <w:lang w:val="sv-SE" w:eastAsia="ko-KR"/>
              </w:rPr>
            </w:pPr>
            <w:r w:rsidRPr="00027463">
              <w:rPr>
                <w:rFonts w:eastAsia="Batang" w:cstheme="minorHAnsi"/>
                <w:sz w:val="20"/>
                <w:lang w:val="sv-SE" w:eastAsia="ko-KR"/>
              </w:rPr>
              <w:t>Yes</w:t>
            </w:r>
          </w:p>
        </w:tc>
        <w:tc>
          <w:tcPr>
            <w:tcW w:w="1276" w:type="dxa"/>
            <w:tcBorders>
              <w:top w:val="nil"/>
              <w:left w:val="single" w:sz="8" w:space="0" w:color="auto"/>
              <w:bottom w:val="single" w:sz="8" w:space="0" w:color="auto"/>
              <w:right w:val="single" w:sz="8" w:space="0" w:color="auto"/>
            </w:tcBorders>
          </w:tcPr>
          <w:p w:rsidR="00027463" w:rsidRPr="00027463" w:rsidRDefault="00027463" w:rsidP="00644CEB">
            <w:pPr>
              <w:tabs>
                <w:tab w:val="clear" w:pos="1134"/>
                <w:tab w:val="clear" w:pos="1871"/>
                <w:tab w:val="clear" w:pos="2268"/>
              </w:tabs>
              <w:overflowPunct/>
              <w:autoSpaceDE/>
              <w:autoSpaceDN/>
              <w:adjustRightInd/>
              <w:spacing w:before="0"/>
              <w:textAlignment w:val="auto"/>
              <w:rPr>
                <w:rFonts w:eastAsia="Batang" w:cstheme="minorHAnsi"/>
                <w:sz w:val="20"/>
                <w:lang w:val="sv-SE" w:eastAsia="ko-KR"/>
              </w:rPr>
            </w:pPr>
          </w:p>
        </w:tc>
      </w:tr>
      <w:tr w:rsidR="00027463" w:rsidRPr="00472E66" w:rsidTr="00027463">
        <w:trPr>
          <w:trHeight w:val="199"/>
        </w:trPr>
        <w:tc>
          <w:tcPr>
            <w:tcW w:w="1858" w:type="dxa"/>
            <w:tcBorders>
              <w:top w:val="nil"/>
              <w:left w:val="single" w:sz="8" w:space="0" w:color="auto"/>
              <w:bottom w:val="single" w:sz="8" w:space="0" w:color="auto"/>
              <w:right w:val="single" w:sz="8" w:space="0" w:color="auto"/>
            </w:tcBorders>
            <w:shd w:val="clear" w:color="auto" w:fill="auto"/>
            <w:vAlign w:val="bottom"/>
          </w:tcPr>
          <w:p w:rsidR="00027463" w:rsidRPr="00027463" w:rsidRDefault="00027463" w:rsidP="00027463">
            <w:pPr>
              <w:tabs>
                <w:tab w:val="clear" w:pos="1134"/>
                <w:tab w:val="clear" w:pos="1871"/>
                <w:tab w:val="clear" w:pos="2268"/>
              </w:tabs>
              <w:overflowPunct/>
              <w:autoSpaceDE/>
              <w:autoSpaceDN/>
              <w:adjustRightInd/>
              <w:spacing w:before="0"/>
              <w:jc w:val="center"/>
              <w:textAlignment w:val="auto"/>
              <w:rPr>
                <w:rFonts w:eastAsia="Batang" w:cstheme="minorHAnsi"/>
                <w:b/>
                <w:bCs/>
                <w:sz w:val="20"/>
                <w:lang w:val="sv-SE" w:eastAsia="ko-KR"/>
              </w:rPr>
            </w:pPr>
            <w:r w:rsidRPr="00027463">
              <w:rPr>
                <w:rFonts w:eastAsia="Batang" w:cstheme="minorHAnsi"/>
                <w:b/>
                <w:bCs/>
                <w:sz w:val="20"/>
                <w:lang w:val="sv-SE" w:eastAsia="ko-KR"/>
              </w:rPr>
              <w:t>F</w:t>
            </w:r>
          </w:p>
        </w:tc>
        <w:tc>
          <w:tcPr>
            <w:tcW w:w="1559" w:type="dxa"/>
            <w:tcBorders>
              <w:top w:val="nil"/>
              <w:left w:val="nil"/>
              <w:bottom w:val="single" w:sz="8" w:space="0" w:color="auto"/>
              <w:right w:val="single" w:sz="8" w:space="0" w:color="auto"/>
            </w:tcBorders>
            <w:shd w:val="clear" w:color="auto" w:fill="auto"/>
            <w:noWrap/>
            <w:vAlign w:val="bottom"/>
          </w:tcPr>
          <w:p w:rsidR="00027463" w:rsidRPr="00027463" w:rsidRDefault="00027463" w:rsidP="00027463">
            <w:pPr>
              <w:tabs>
                <w:tab w:val="clear" w:pos="1134"/>
                <w:tab w:val="clear" w:pos="1871"/>
                <w:tab w:val="clear" w:pos="2268"/>
              </w:tabs>
              <w:overflowPunct/>
              <w:autoSpaceDE/>
              <w:autoSpaceDN/>
              <w:adjustRightInd/>
              <w:spacing w:before="0"/>
              <w:jc w:val="center"/>
              <w:textAlignment w:val="auto"/>
              <w:rPr>
                <w:rFonts w:eastAsia="Batang" w:cstheme="minorHAnsi"/>
                <w:sz w:val="20"/>
                <w:lang w:val="sv-SE" w:eastAsia="ko-KR"/>
              </w:rPr>
            </w:pPr>
          </w:p>
        </w:tc>
        <w:tc>
          <w:tcPr>
            <w:tcW w:w="1276" w:type="dxa"/>
            <w:tcBorders>
              <w:top w:val="nil"/>
              <w:left w:val="nil"/>
              <w:bottom w:val="single" w:sz="8" w:space="0" w:color="auto"/>
              <w:right w:val="single" w:sz="8" w:space="0" w:color="auto"/>
            </w:tcBorders>
          </w:tcPr>
          <w:p w:rsidR="00027463" w:rsidRPr="00027463" w:rsidRDefault="00027463" w:rsidP="00644CEB">
            <w:pPr>
              <w:tabs>
                <w:tab w:val="clear" w:pos="1134"/>
                <w:tab w:val="clear" w:pos="1871"/>
                <w:tab w:val="clear" w:pos="2268"/>
              </w:tabs>
              <w:overflowPunct/>
              <w:autoSpaceDE/>
              <w:autoSpaceDN/>
              <w:adjustRightInd/>
              <w:spacing w:before="0"/>
              <w:textAlignment w:val="auto"/>
              <w:rPr>
                <w:rFonts w:eastAsia="Batang" w:cstheme="minorHAnsi"/>
                <w:sz w:val="20"/>
                <w:lang w:val="sv-SE" w:eastAsia="ko-KR"/>
              </w:rPr>
            </w:pPr>
          </w:p>
        </w:tc>
      </w:tr>
      <w:tr w:rsidR="00027463" w:rsidRPr="00472E66" w:rsidTr="00027463">
        <w:trPr>
          <w:trHeight w:val="199"/>
        </w:trPr>
        <w:tc>
          <w:tcPr>
            <w:tcW w:w="1858" w:type="dxa"/>
            <w:tcBorders>
              <w:top w:val="nil"/>
              <w:left w:val="single" w:sz="8" w:space="0" w:color="auto"/>
              <w:bottom w:val="single" w:sz="8" w:space="0" w:color="auto"/>
              <w:right w:val="nil"/>
            </w:tcBorders>
            <w:shd w:val="clear" w:color="auto" w:fill="auto"/>
          </w:tcPr>
          <w:p w:rsidR="00027463" w:rsidRPr="00027463" w:rsidRDefault="00027463" w:rsidP="00027463">
            <w:pPr>
              <w:tabs>
                <w:tab w:val="clear" w:pos="1134"/>
                <w:tab w:val="clear" w:pos="1871"/>
                <w:tab w:val="clear" w:pos="2268"/>
              </w:tabs>
              <w:overflowPunct/>
              <w:autoSpaceDE/>
              <w:autoSpaceDN/>
              <w:adjustRightInd/>
              <w:spacing w:before="0"/>
              <w:jc w:val="center"/>
              <w:textAlignment w:val="auto"/>
              <w:rPr>
                <w:rFonts w:eastAsia="Batang" w:cstheme="minorHAnsi"/>
                <w:b/>
                <w:bCs/>
                <w:sz w:val="20"/>
                <w:lang w:val="sv-SE" w:eastAsia="ko-KR"/>
              </w:rPr>
            </w:pPr>
            <w:r w:rsidRPr="00027463">
              <w:rPr>
                <w:rFonts w:eastAsia="Batang" w:cstheme="minorHAnsi"/>
                <w:b/>
                <w:bCs/>
                <w:sz w:val="20"/>
                <w:lang w:val="sv-SE" w:eastAsia="ko-KR"/>
              </w:rPr>
              <w:t>FIN</w:t>
            </w:r>
          </w:p>
        </w:tc>
        <w:tc>
          <w:tcPr>
            <w:tcW w:w="1559" w:type="dxa"/>
            <w:tcBorders>
              <w:top w:val="nil"/>
              <w:left w:val="single" w:sz="8" w:space="0" w:color="auto"/>
              <w:bottom w:val="single" w:sz="8" w:space="0" w:color="auto"/>
              <w:right w:val="single" w:sz="8" w:space="0" w:color="auto"/>
            </w:tcBorders>
            <w:shd w:val="clear" w:color="auto" w:fill="auto"/>
            <w:noWrap/>
            <w:vAlign w:val="bottom"/>
          </w:tcPr>
          <w:p w:rsidR="00027463" w:rsidRPr="00027463" w:rsidRDefault="00027463" w:rsidP="00027463">
            <w:pPr>
              <w:tabs>
                <w:tab w:val="clear" w:pos="1134"/>
                <w:tab w:val="clear" w:pos="1871"/>
                <w:tab w:val="clear" w:pos="2268"/>
              </w:tabs>
              <w:overflowPunct/>
              <w:autoSpaceDE/>
              <w:autoSpaceDN/>
              <w:adjustRightInd/>
              <w:spacing w:before="0"/>
              <w:jc w:val="center"/>
              <w:textAlignment w:val="auto"/>
              <w:rPr>
                <w:rFonts w:eastAsia="Batang" w:cstheme="minorHAnsi"/>
                <w:sz w:val="20"/>
                <w:lang w:val="sv-SE" w:eastAsia="ko-KR"/>
              </w:rPr>
            </w:pPr>
            <w:r w:rsidRPr="00027463">
              <w:rPr>
                <w:rFonts w:eastAsia="Batang" w:cstheme="minorHAnsi"/>
                <w:sz w:val="20"/>
                <w:lang w:val="sv-SE" w:eastAsia="ko-KR"/>
              </w:rPr>
              <w:t>Yes</w:t>
            </w:r>
          </w:p>
        </w:tc>
        <w:tc>
          <w:tcPr>
            <w:tcW w:w="1276" w:type="dxa"/>
            <w:tcBorders>
              <w:top w:val="nil"/>
              <w:left w:val="single" w:sz="8" w:space="0" w:color="auto"/>
              <w:bottom w:val="single" w:sz="8" w:space="0" w:color="auto"/>
              <w:right w:val="single" w:sz="8" w:space="0" w:color="auto"/>
            </w:tcBorders>
          </w:tcPr>
          <w:p w:rsidR="00027463" w:rsidRPr="00027463" w:rsidRDefault="00027463" w:rsidP="00644CEB">
            <w:pPr>
              <w:tabs>
                <w:tab w:val="clear" w:pos="1134"/>
                <w:tab w:val="clear" w:pos="1871"/>
                <w:tab w:val="clear" w:pos="2268"/>
              </w:tabs>
              <w:overflowPunct/>
              <w:autoSpaceDE/>
              <w:autoSpaceDN/>
              <w:adjustRightInd/>
              <w:spacing w:before="0"/>
              <w:textAlignment w:val="auto"/>
              <w:rPr>
                <w:rFonts w:eastAsia="Batang" w:cstheme="minorHAnsi"/>
                <w:sz w:val="20"/>
                <w:lang w:val="sv-SE" w:eastAsia="ko-KR"/>
              </w:rPr>
            </w:pPr>
          </w:p>
        </w:tc>
      </w:tr>
      <w:tr w:rsidR="00027463" w:rsidRPr="00472E66" w:rsidTr="00027463">
        <w:trPr>
          <w:trHeight w:val="199"/>
        </w:trPr>
        <w:tc>
          <w:tcPr>
            <w:tcW w:w="1858" w:type="dxa"/>
            <w:tcBorders>
              <w:top w:val="nil"/>
              <w:left w:val="single" w:sz="8" w:space="0" w:color="auto"/>
              <w:bottom w:val="single" w:sz="8" w:space="0" w:color="auto"/>
              <w:right w:val="nil"/>
            </w:tcBorders>
            <w:shd w:val="clear" w:color="auto" w:fill="auto"/>
          </w:tcPr>
          <w:p w:rsidR="00027463" w:rsidRPr="00027463" w:rsidRDefault="00027463" w:rsidP="00027463">
            <w:pPr>
              <w:tabs>
                <w:tab w:val="clear" w:pos="1134"/>
                <w:tab w:val="clear" w:pos="1871"/>
                <w:tab w:val="clear" w:pos="2268"/>
              </w:tabs>
              <w:overflowPunct/>
              <w:autoSpaceDE/>
              <w:autoSpaceDN/>
              <w:adjustRightInd/>
              <w:spacing w:before="0"/>
              <w:jc w:val="center"/>
              <w:textAlignment w:val="auto"/>
              <w:rPr>
                <w:rFonts w:eastAsia="Batang" w:cstheme="minorHAnsi"/>
                <w:b/>
                <w:bCs/>
                <w:sz w:val="20"/>
                <w:lang w:val="sv-SE" w:eastAsia="ko-KR"/>
              </w:rPr>
            </w:pPr>
            <w:r w:rsidRPr="00027463">
              <w:rPr>
                <w:rFonts w:eastAsia="Batang" w:cstheme="minorHAnsi"/>
                <w:b/>
                <w:bCs/>
                <w:sz w:val="20"/>
                <w:lang w:val="sv-SE" w:eastAsia="ko-KR"/>
              </w:rPr>
              <w:t>G</w:t>
            </w:r>
          </w:p>
        </w:tc>
        <w:tc>
          <w:tcPr>
            <w:tcW w:w="1559" w:type="dxa"/>
            <w:tcBorders>
              <w:top w:val="nil"/>
              <w:left w:val="single" w:sz="8" w:space="0" w:color="auto"/>
              <w:bottom w:val="single" w:sz="8" w:space="0" w:color="auto"/>
              <w:right w:val="single" w:sz="8" w:space="0" w:color="auto"/>
            </w:tcBorders>
            <w:shd w:val="clear" w:color="auto" w:fill="auto"/>
            <w:noWrap/>
            <w:vAlign w:val="bottom"/>
          </w:tcPr>
          <w:p w:rsidR="00027463" w:rsidRPr="00027463" w:rsidRDefault="00027463" w:rsidP="00027463">
            <w:pPr>
              <w:tabs>
                <w:tab w:val="clear" w:pos="1134"/>
                <w:tab w:val="clear" w:pos="1871"/>
                <w:tab w:val="clear" w:pos="2268"/>
              </w:tabs>
              <w:overflowPunct/>
              <w:autoSpaceDE/>
              <w:autoSpaceDN/>
              <w:adjustRightInd/>
              <w:spacing w:before="0"/>
              <w:jc w:val="center"/>
              <w:textAlignment w:val="auto"/>
              <w:rPr>
                <w:rFonts w:eastAsia="Batang" w:cstheme="minorHAnsi"/>
                <w:sz w:val="20"/>
                <w:lang w:val="sv-SE" w:eastAsia="ko-KR"/>
              </w:rPr>
            </w:pPr>
            <w:r w:rsidRPr="00027463">
              <w:rPr>
                <w:rFonts w:eastAsia="Batang" w:cstheme="minorHAnsi"/>
                <w:sz w:val="20"/>
                <w:lang w:val="sv-SE" w:eastAsia="ko-KR"/>
              </w:rPr>
              <w:t>Yes</w:t>
            </w:r>
          </w:p>
        </w:tc>
        <w:tc>
          <w:tcPr>
            <w:tcW w:w="1276" w:type="dxa"/>
            <w:tcBorders>
              <w:top w:val="nil"/>
              <w:left w:val="single" w:sz="8" w:space="0" w:color="auto"/>
              <w:bottom w:val="single" w:sz="8" w:space="0" w:color="auto"/>
              <w:right w:val="single" w:sz="8" w:space="0" w:color="auto"/>
            </w:tcBorders>
          </w:tcPr>
          <w:p w:rsidR="00027463" w:rsidRPr="00027463" w:rsidRDefault="00027463" w:rsidP="00644CEB">
            <w:pPr>
              <w:tabs>
                <w:tab w:val="clear" w:pos="1134"/>
                <w:tab w:val="clear" w:pos="1871"/>
                <w:tab w:val="clear" w:pos="2268"/>
              </w:tabs>
              <w:overflowPunct/>
              <w:autoSpaceDE/>
              <w:autoSpaceDN/>
              <w:adjustRightInd/>
              <w:spacing w:before="0"/>
              <w:textAlignment w:val="auto"/>
              <w:rPr>
                <w:rFonts w:eastAsia="Batang" w:cstheme="minorHAnsi"/>
                <w:sz w:val="20"/>
                <w:lang w:val="sv-SE" w:eastAsia="ko-KR"/>
              </w:rPr>
            </w:pPr>
          </w:p>
        </w:tc>
      </w:tr>
      <w:tr w:rsidR="00027463" w:rsidRPr="00472E66" w:rsidTr="00027463">
        <w:trPr>
          <w:trHeight w:val="199"/>
        </w:trPr>
        <w:tc>
          <w:tcPr>
            <w:tcW w:w="1858" w:type="dxa"/>
            <w:tcBorders>
              <w:top w:val="nil"/>
              <w:left w:val="single" w:sz="8" w:space="0" w:color="auto"/>
              <w:bottom w:val="single" w:sz="8" w:space="0" w:color="auto"/>
              <w:right w:val="nil"/>
            </w:tcBorders>
            <w:shd w:val="clear" w:color="auto" w:fill="auto"/>
          </w:tcPr>
          <w:p w:rsidR="00027463" w:rsidRPr="00027463" w:rsidRDefault="00027463" w:rsidP="00027463">
            <w:pPr>
              <w:tabs>
                <w:tab w:val="clear" w:pos="1134"/>
                <w:tab w:val="clear" w:pos="1871"/>
                <w:tab w:val="clear" w:pos="2268"/>
              </w:tabs>
              <w:overflowPunct/>
              <w:autoSpaceDE/>
              <w:autoSpaceDN/>
              <w:adjustRightInd/>
              <w:spacing w:before="0"/>
              <w:jc w:val="center"/>
              <w:textAlignment w:val="auto"/>
              <w:rPr>
                <w:rFonts w:eastAsia="Batang" w:cstheme="minorHAnsi"/>
                <w:b/>
                <w:bCs/>
                <w:sz w:val="20"/>
                <w:lang w:val="sv-SE" w:eastAsia="ko-KR"/>
              </w:rPr>
            </w:pPr>
            <w:r w:rsidRPr="00027463">
              <w:rPr>
                <w:rFonts w:eastAsia="Batang" w:cstheme="minorHAnsi"/>
                <w:b/>
                <w:bCs/>
                <w:sz w:val="20"/>
                <w:lang w:val="sv-SE" w:eastAsia="ko-KR"/>
              </w:rPr>
              <w:t>GEO</w:t>
            </w:r>
          </w:p>
        </w:tc>
        <w:tc>
          <w:tcPr>
            <w:tcW w:w="1559" w:type="dxa"/>
            <w:tcBorders>
              <w:top w:val="nil"/>
              <w:left w:val="single" w:sz="8" w:space="0" w:color="auto"/>
              <w:bottom w:val="single" w:sz="8" w:space="0" w:color="auto"/>
              <w:right w:val="single" w:sz="8" w:space="0" w:color="auto"/>
            </w:tcBorders>
            <w:shd w:val="clear" w:color="auto" w:fill="auto"/>
            <w:noWrap/>
            <w:vAlign w:val="bottom"/>
          </w:tcPr>
          <w:p w:rsidR="00027463" w:rsidRPr="00027463" w:rsidRDefault="00027463" w:rsidP="00027463">
            <w:pPr>
              <w:tabs>
                <w:tab w:val="clear" w:pos="1134"/>
                <w:tab w:val="clear" w:pos="1871"/>
                <w:tab w:val="clear" w:pos="2268"/>
              </w:tabs>
              <w:overflowPunct/>
              <w:autoSpaceDE/>
              <w:autoSpaceDN/>
              <w:adjustRightInd/>
              <w:spacing w:before="0"/>
              <w:jc w:val="center"/>
              <w:textAlignment w:val="auto"/>
              <w:rPr>
                <w:rFonts w:eastAsia="Batang" w:cstheme="minorHAnsi"/>
                <w:sz w:val="20"/>
                <w:lang w:val="sv-SE" w:eastAsia="ko-KR"/>
              </w:rPr>
            </w:pPr>
          </w:p>
        </w:tc>
        <w:tc>
          <w:tcPr>
            <w:tcW w:w="1276" w:type="dxa"/>
            <w:tcBorders>
              <w:top w:val="nil"/>
              <w:left w:val="single" w:sz="8" w:space="0" w:color="auto"/>
              <w:bottom w:val="single" w:sz="8" w:space="0" w:color="auto"/>
              <w:right w:val="single" w:sz="8" w:space="0" w:color="auto"/>
            </w:tcBorders>
          </w:tcPr>
          <w:p w:rsidR="00027463" w:rsidRPr="00027463" w:rsidRDefault="00027463" w:rsidP="00644CEB">
            <w:pPr>
              <w:tabs>
                <w:tab w:val="clear" w:pos="1134"/>
                <w:tab w:val="clear" w:pos="1871"/>
                <w:tab w:val="clear" w:pos="2268"/>
              </w:tabs>
              <w:overflowPunct/>
              <w:autoSpaceDE/>
              <w:autoSpaceDN/>
              <w:adjustRightInd/>
              <w:spacing w:before="0"/>
              <w:textAlignment w:val="auto"/>
              <w:rPr>
                <w:rFonts w:eastAsia="Batang" w:cstheme="minorHAnsi"/>
                <w:sz w:val="20"/>
                <w:lang w:val="sv-SE" w:eastAsia="ko-KR"/>
              </w:rPr>
            </w:pPr>
          </w:p>
        </w:tc>
      </w:tr>
      <w:tr w:rsidR="00027463" w:rsidRPr="00472E66" w:rsidTr="00027463">
        <w:trPr>
          <w:trHeight w:val="199"/>
        </w:trPr>
        <w:tc>
          <w:tcPr>
            <w:tcW w:w="1858" w:type="dxa"/>
            <w:tcBorders>
              <w:top w:val="nil"/>
              <w:left w:val="single" w:sz="8" w:space="0" w:color="auto"/>
              <w:bottom w:val="single" w:sz="8" w:space="0" w:color="auto"/>
              <w:right w:val="nil"/>
            </w:tcBorders>
            <w:shd w:val="clear" w:color="auto" w:fill="auto"/>
          </w:tcPr>
          <w:p w:rsidR="00027463" w:rsidRPr="00027463" w:rsidRDefault="00027463" w:rsidP="00027463">
            <w:pPr>
              <w:tabs>
                <w:tab w:val="clear" w:pos="1134"/>
                <w:tab w:val="clear" w:pos="1871"/>
                <w:tab w:val="clear" w:pos="2268"/>
              </w:tabs>
              <w:overflowPunct/>
              <w:autoSpaceDE/>
              <w:autoSpaceDN/>
              <w:adjustRightInd/>
              <w:spacing w:before="0"/>
              <w:jc w:val="center"/>
              <w:textAlignment w:val="auto"/>
              <w:rPr>
                <w:rFonts w:eastAsia="Batang" w:cstheme="minorHAnsi"/>
                <w:b/>
                <w:bCs/>
                <w:sz w:val="20"/>
                <w:lang w:val="sv-SE" w:eastAsia="ko-KR"/>
              </w:rPr>
            </w:pPr>
            <w:r w:rsidRPr="00027463">
              <w:rPr>
                <w:rFonts w:eastAsia="Batang" w:cstheme="minorHAnsi"/>
                <w:b/>
                <w:bCs/>
                <w:sz w:val="20"/>
                <w:lang w:val="sv-SE" w:eastAsia="ko-KR"/>
              </w:rPr>
              <w:t>GRC</w:t>
            </w:r>
          </w:p>
        </w:tc>
        <w:tc>
          <w:tcPr>
            <w:tcW w:w="1559" w:type="dxa"/>
            <w:tcBorders>
              <w:top w:val="nil"/>
              <w:left w:val="single" w:sz="8" w:space="0" w:color="auto"/>
              <w:bottom w:val="single" w:sz="8" w:space="0" w:color="auto"/>
              <w:right w:val="single" w:sz="8" w:space="0" w:color="auto"/>
            </w:tcBorders>
            <w:shd w:val="clear" w:color="auto" w:fill="auto"/>
            <w:noWrap/>
            <w:vAlign w:val="bottom"/>
          </w:tcPr>
          <w:p w:rsidR="00027463" w:rsidRPr="00027463" w:rsidRDefault="00027463" w:rsidP="00027463">
            <w:pPr>
              <w:tabs>
                <w:tab w:val="clear" w:pos="1134"/>
                <w:tab w:val="clear" w:pos="1871"/>
                <w:tab w:val="clear" w:pos="2268"/>
              </w:tabs>
              <w:overflowPunct/>
              <w:autoSpaceDE/>
              <w:autoSpaceDN/>
              <w:adjustRightInd/>
              <w:spacing w:before="0"/>
              <w:jc w:val="center"/>
              <w:textAlignment w:val="auto"/>
              <w:rPr>
                <w:rFonts w:eastAsia="Batang" w:cstheme="minorHAnsi"/>
                <w:sz w:val="20"/>
                <w:lang w:val="sv-SE" w:eastAsia="ko-KR"/>
              </w:rPr>
            </w:pPr>
          </w:p>
        </w:tc>
        <w:tc>
          <w:tcPr>
            <w:tcW w:w="1276" w:type="dxa"/>
            <w:tcBorders>
              <w:top w:val="nil"/>
              <w:left w:val="single" w:sz="8" w:space="0" w:color="auto"/>
              <w:bottom w:val="single" w:sz="8" w:space="0" w:color="auto"/>
              <w:right w:val="single" w:sz="8" w:space="0" w:color="auto"/>
            </w:tcBorders>
          </w:tcPr>
          <w:p w:rsidR="00027463" w:rsidRPr="00027463" w:rsidRDefault="00027463" w:rsidP="00644CEB">
            <w:pPr>
              <w:tabs>
                <w:tab w:val="clear" w:pos="1134"/>
                <w:tab w:val="clear" w:pos="1871"/>
                <w:tab w:val="clear" w:pos="2268"/>
              </w:tabs>
              <w:overflowPunct/>
              <w:autoSpaceDE/>
              <w:autoSpaceDN/>
              <w:adjustRightInd/>
              <w:spacing w:before="0"/>
              <w:textAlignment w:val="auto"/>
              <w:rPr>
                <w:rFonts w:eastAsia="Batang" w:cstheme="minorHAnsi"/>
                <w:sz w:val="20"/>
                <w:lang w:val="sv-SE" w:eastAsia="ko-KR"/>
              </w:rPr>
            </w:pPr>
          </w:p>
        </w:tc>
      </w:tr>
      <w:tr w:rsidR="00027463" w:rsidRPr="00472E66" w:rsidTr="00027463">
        <w:trPr>
          <w:trHeight w:val="199"/>
        </w:trPr>
        <w:tc>
          <w:tcPr>
            <w:tcW w:w="1858" w:type="dxa"/>
            <w:tcBorders>
              <w:top w:val="nil"/>
              <w:left w:val="single" w:sz="8" w:space="0" w:color="auto"/>
              <w:bottom w:val="single" w:sz="8" w:space="0" w:color="auto"/>
              <w:right w:val="nil"/>
            </w:tcBorders>
            <w:shd w:val="clear" w:color="auto" w:fill="auto"/>
          </w:tcPr>
          <w:p w:rsidR="00027463" w:rsidRPr="00027463" w:rsidRDefault="00027463" w:rsidP="00027463">
            <w:pPr>
              <w:tabs>
                <w:tab w:val="clear" w:pos="1134"/>
                <w:tab w:val="clear" w:pos="1871"/>
                <w:tab w:val="clear" w:pos="2268"/>
              </w:tabs>
              <w:overflowPunct/>
              <w:autoSpaceDE/>
              <w:autoSpaceDN/>
              <w:adjustRightInd/>
              <w:spacing w:before="0"/>
              <w:jc w:val="center"/>
              <w:textAlignment w:val="auto"/>
              <w:rPr>
                <w:rFonts w:eastAsia="Batang" w:cstheme="minorHAnsi"/>
                <w:b/>
                <w:bCs/>
                <w:sz w:val="20"/>
                <w:lang w:val="sv-SE" w:eastAsia="ko-KR"/>
              </w:rPr>
            </w:pPr>
            <w:r w:rsidRPr="00027463">
              <w:rPr>
                <w:rFonts w:eastAsia="Batang" w:cstheme="minorHAnsi"/>
                <w:b/>
                <w:bCs/>
                <w:sz w:val="20"/>
                <w:lang w:val="sv-SE" w:eastAsia="ko-KR"/>
              </w:rPr>
              <w:t>HNG</w:t>
            </w:r>
          </w:p>
        </w:tc>
        <w:tc>
          <w:tcPr>
            <w:tcW w:w="1559" w:type="dxa"/>
            <w:tcBorders>
              <w:top w:val="nil"/>
              <w:left w:val="single" w:sz="8" w:space="0" w:color="auto"/>
              <w:bottom w:val="single" w:sz="8" w:space="0" w:color="auto"/>
              <w:right w:val="single" w:sz="8" w:space="0" w:color="auto"/>
            </w:tcBorders>
            <w:shd w:val="clear" w:color="auto" w:fill="auto"/>
            <w:noWrap/>
            <w:vAlign w:val="bottom"/>
          </w:tcPr>
          <w:p w:rsidR="00027463" w:rsidRPr="00027463" w:rsidRDefault="00027463" w:rsidP="00027463">
            <w:pPr>
              <w:tabs>
                <w:tab w:val="clear" w:pos="1134"/>
                <w:tab w:val="clear" w:pos="1871"/>
                <w:tab w:val="clear" w:pos="2268"/>
              </w:tabs>
              <w:overflowPunct/>
              <w:autoSpaceDE/>
              <w:autoSpaceDN/>
              <w:adjustRightInd/>
              <w:spacing w:before="0"/>
              <w:jc w:val="center"/>
              <w:textAlignment w:val="auto"/>
              <w:rPr>
                <w:rFonts w:eastAsia="Batang" w:cstheme="minorHAnsi"/>
                <w:sz w:val="20"/>
                <w:lang w:val="sv-SE" w:eastAsia="ko-KR"/>
              </w:rPr>
            </w:pPr>
            <w:r w:rsidRPr="00027463">
              <w:rPr>
                <w:rFonts w:eastAsia="Batang" w:cstheme="minorHAnsi"/>
                <w:sz w:val="20"/>
                <w:lang w:val="sv-SE" w:eastAsia="ko-KR"/>
              </w:rPr>
              <w:t>Yes</w:t>
            </w:r>
          </w:p>
        </w:tc>
        <w:tc>
          <w:tcPr>
            <w:tcW w:w="1276" w:type="dxa"/>
            <w:tcBorders>
              <w:top w:val="nil"/>
              <w:left w:val="single" w:sz="8" w:space="0" w:color="auto"/>
              <w:bottom w:val="single" w:sz="8" w:space="0" w:color="auto"/>
              <w:right w:val="single" w:sz="8" w:space="0" w:color="auto"/>
            </w:tcBorders>
          </w:tcPr>
          <w:p w:rsidR="00027463" w:rsidRPr="00027463" w:rsidRDefault="00027463" w:rsidP="00644CEB">
            <w:pPr>
              <w:tabs>
                <w:tab w:val="clear" w:pos="1134"/>
                <w:tab w:val="clear" w:pos="1871"/>
                <w:tab w:val="clear" w:pos="2268"/>
              </w:tabs>
              <w:overflowPunct/>
              <w:autoSpaceDE/>
              <w:autoSpaceDN/>
              <w:adjustRightInd/>
              <w:spacing w:before="0"/>
              <w:textAlignment w:val="auto"/>
              <w:rPr>
                <w:rFonts w:eastAsia="Batang" w:cstheme="minorHAnsi"/>
                <w:sz w:val="20"/>
                <w:lang w:val="sv-SE" w:eastAsia="ko-KR"/>
              </w:rPr>
            </w:pPr>
          </w:p>
        </w:tc>
      </w:tr>
      <w:tr w:rsidR="00027463" w:rsidRPr="00472E66" w:rsidTr="00027463">
        <w:trPr>
          <w:trHeight w:val="199"/>
        </w:trPr>
        <w:tc>
          <w:tcPr>
            <w:tcW w:w="1858" w:type="dxa"/>
            <w:tcBorders>
              <w:top w:val="nil"/>
              <w:left w:val="single" w:sz="8" w:space="0" w:color="auto"/>
              <w:bottom w:val="single" w:sz="8" w:space="0" w:color="auto"/>
              <w:right w:val="single" w:sz="8" w:space="0" w:color="auto"/>
            </w:tcBorders>
            <w:shd w:val="clear" w:color="auto" w:fill="auto"/>
            <w:vAlign w:val="bottom"/>
          </w:tcPr>
          <w:p w:rsidR="00027463" w:rsidRPr="00027463" w:rsidRDefault="00027463" w:rsidP="00027463">
            <w:pPr>
              <w:tabs>
                <w:tab w:val="clear" w:pos="1134"/>
                <w:tab w:val="clear" w:pos="1871"/>
                <w:tab w:val="clear" w:pos="2268"/>
              </w:tabs>
              <w:overflowPunct/>
              <w:autoSpaceDE/>
              <w:autoSpaceDN/>
              <w:adjustRightInd/>
              <w:spacing w:before="0"/>
              <w:jc w:val="center"/>
              <w:textAlignment w:val="auto"/>
              <w:rPr>
                <w:rFonts w:eastAsia="Batang" w:cstheme="minorHAnsi"/>
                <w:b/>
                <w:bCs/>
                <w:sz w:val="20"/>
                <w:lang w:val="sv-SE" w:eastAsia="ko-KR"/>
              </w:rPr>
            </w:pPr>
            <w:r w:rsidRPr="00027463">
              <w:rPr>
                <w:rFonts w:eastAsia="Batang" w:cstheme="minorHAnsi"/>
                <w:b/>
                <w:bCs/>
                <w:sz w:val="20"/>
                <w:lang w:val="sv-SE" w:eastAsia="ko-KR"/>
              </w:rPr>
              <w:t>HOL</w:t>
            </w:r>
          </w:p>
        </w:tc>
        <w:tc>
          <w:tcPr>
            <w:tcW w:w="1559" w:type="dxa"/>
            <w:tcBorders>
              <w:top w:val="nil"/>
              <w:left w:val="nil"/>
              <w:bottom w:val="single" w:sz="8" w:space="0" w:color="auto"/>
              <w:right w:val="single" w:sz="8" w:space="0" w:color="auto"/>
            </w:tcBorders>
            <w:shd w:val="clear" w:color="auto" w:fill="auto"/>
            <w:noWrap/>
            <w:vAlign w:val="bottom"/>
          </w:tcPr>
          <w:p w:rsidR="00027463" w:rsidRPr="00027463" w:rsidRDefault="00027463" w:rsidP="00027463">
            <w:pPr>
              <w:tabs>
                <w:tab w:val="clear" w:pos="1134"/>
                <w:tab w:val="clear" w:pos="1871"/>
                <w:tab w:val="clear" w:pos="2268"/>
              </w:tabs>
              <w:overflowPunct/>
              <w:autoSpaceDE/>
              <w:autoSpaceDN/>
              <w:adjustRightInd/>
              <w:spacing w:before="0"/>
              <w:jc w:val="center"/>
              <w:textAlignment w:val="auto"/>
              <w:rPr>
                <w:rFonts w:eastAsia="Batang" w:cstheme="minorHAnsi"/>
                <w:sz w:val="20"/>
                <w:lang w:val="sv-SE" w:eastAsia="ko-KR"/>
              </w:rPr>
            </w:pPr>
            <w:r w:rsidRPr="00027463">
              <w:rPr>
                <w:rFonts w:eastAsia="Batang" w:cstheme="minorHAnsi"/>
                <w:sz w:val="20"/>
                <w:lang w:val="sv-SE" w:eastAsia="ko-KR"/>
              </w:rPr>
              <w:t>Yes</w:t>
            </w:r>
          </w:p>
        </w:tc>
        <w:tc>
          <w:tcPr>
            <w:tcW w:w="1276" w:type="dxa"/>
            <w:tcBorders>
              <w:top w:val="nil"/>
              <w:left w:val="nil"/>
              <w:bottom w:val="single" w:sz="8" w:space="0" w:color="auto"/>
              <w:right w:val="single" w:sz="8" w:space="0" w:color="auto"/>
            </w:tcBorders>
          </w:tcPr>
          <w:p w:rsidR="00027463" w:rsidRPr="00027463" w:rsidRDefault="00027463" w:rsidP="00644CEB">
            <w:pPr>
              <w:tabs>
                <w:tab w:val="clear" w:pos="1134"/>
                <w:tab w:val="clear" w:pos="1871"/>
                <w:tab w:val="clear" w:pos="2268"/>
              </w:tabs>
              <w:overflowPunct/>
              <w:autoSpaceDE/>
              <w:autoSpaceDN/>
              <w:adjustRightInd/>
              <w:spacing w:before="0"/>
              <w:textAlignment w:val="auto"/>
              <w:rPr>
                <w:rFonts w:eastAsia="Batang" w:cstheme="minorHAnsi"/>
                <w:sz w:val="20"/>
                <w:lang w:val="sv-SE" w:eastAsia="ko-KR"/>
              </w:rPr>
            </w:pPr>
          </w:p>
        </w:tc>
      </w:tr>
      <w:tr w:rsidR="00027463" w:rsidRPr="00472E66" w:rsidTr="00027463">
        <w:trPr>
          <w:trHeight w:val="199"/>
        </w:trPr>
        <w:tc>
          <w:tcPr>
            <w:tcW w:w="1858" w:type="dxa"/>
            <w:tcBorders>
              <w:top w:val="nil"/>
              <w:left w:val="single" w:sz="8" w:space="0" w:color="auto"/>
              <w:bottom w:val="single" w:sz="8" w:space="0" w:color="auto"/>
              <w:right w:val="nil"/>
            </w:tcBorders>
            <w:shd w:val="clear" w:color="auto" w:fill="auto"/>
          </w:tcPr>
          <w:p w:rsidR="00027463" w:rsidRPr="00027463" w:rsidRDefault="00027463" w:rsidP="00027463">
            <w:pPr>
              <w:tabs>
                <w:tab w:val="clear" w:pos="1134"/>
                <w:tab w:val="clear" w:pos="1871"/>
                <w:tab w:val="clear" w:pos="2268"/>
              </w:tabs>
              <w:overflowPunct/>
              <w:autoSpaceDE/>
              <w:autoSpaceDN/>
              <w:adjustRightInd/>
              <w:spacing w:before="0"/>
              <w:jc w:val="center"/>
              <w:textAlignment w:val="auto"/>
              <w:rPr>
                <w:rFonts w:eastAsia="Batang" w:cstheme="minorHAnsi"/>
                <w:b/>
                <w:bCs/>
                <w:sz w:val="20"/>
                <w:lang w:val="sv-SE" w:eastAsia="ko-KR"/>
              </w:rPr>
            </w:pPr>
            <w:r w:rsidRPr="00027463">
              <w:rPr>
                <w:rFonts w:eastAsia="Batang" w:cstheme="minorHAnsi"/>
                <w:b/>
                <w:bCs/>
                <w:sz w:val="20"/>
                <w:lang w:val="sv-SE" w:eastAsia="ko-KR"/>
              </w:rPr>
              <w:t>HRV</w:t>
            </w:r>
          </w:p>
        </w:tc>
        <w:tc>
          <w:tcPr>
            <w:tcW w:w="1559" w:type="dxa"/>
            <w:tcBorders>
              <w:top w:val="nil"/>
              <w:left w:val="single" w:sz="8" w:space="0" w:color="auto"/>
              <w:bottom w:val="single" w:sz="8" w:space="0" w:color="auto"/>
              <w:right w:val="single" w:sz="8" w:space="0" w:color="auto"/>
            </w:tcBorders>
            <w:shd w:val="clear" w:color="auto" w:fill="auto"/>
            <w:noWrap/>
            <w:vAlign w:val="bottom"/>
          </w:tcPr>
          <w:p w:rsidR="00027463" w:rsidRPr="00027463" w:rsidRDefault="00027463" w:rsidP="00027463">
            <w:pPr>
              <w:tabs>
                <w:tab w:val="clear" w:pos="1134"/>
                <w:tab w:val="clear" w:pos="1871"/>
                <w:tab w:val="clear" w:pos="2268"/>
              </w:tabs>
              <w:overflowPunct/>
              <w:autoSpaceDE/>
              <w:autoSpaceDN/>
              <w:adjustRightInd/>
              <w:spacing w:before="0"/>
              <w:jc w:val="center"/>
              <w:textAlignment w:val="auto"/>
              <w:rPr>
                <w:rFonts w:eastAsia="Batang" w:cstheme="minorHAnsi"/>
                <w:sz w:val="20"/>
                <w:lang w:val="sv-SE" w:eastAsia="ko-KR"/>
              </w:rPr>
            </w:pPr>
            <w:r w:rsidRPr="00027463">
              <w:rPr>
                <w:rFonts w:eastAsia="Batang" w:cstheme="minorHAnsi"/>
                <w:sz w:val="20"/>
                <w:lang w:val="sv-SE" w:eastAsia="ko-KR"/>
              </w:rPr>
              <w:t>Yes</w:t>
            </w:r>
          </w:p>
        </w:tc>
        <w:tc>
          <w:tcPr>
            <w:tcW w:w="1276" w:type="dxa"/>
            <w:tcBorders>
              <w:top w:val="nil"/>
              <w:left w:val="single" w:sz="8" w:space="0" w:color="auto"/>
              <w:bottom w:val="single" w:sz="8" w:space="0" w:color="auto"/>
              <w:right w:val="single" w:sz="8" w:space="0" w:color="auto"/>
            </w:tcBorders>
          </w:tcPr>
          <w:p w:rsidR="00027463" w:rsidRPr="00027463" w:rsidRDefault="00027463" w:rsidP="00644CEB">
            <w:pPr>
              <w:tabs>
                <w:tab w:val="clear" w:pos="1134"/>
                <w:tab w:val="clear" w:pos="1871"/>
                <w:tab w:val="clear" w:pos="2268"/>
              </w:tabs>
              <w:overflowPunct/>
              <w:autoSpaceDE/>
              <w:autoSpaceDN/>
              <w:adjustRightInd/>
              <w:spacing w:before="0"/>
              <w:textAlignment w:val="auto"/>
              <w:rPr>
                <w:rFonts w:eastAsia="Batang" w:cstheme="minorHAnsi"/>
                <w:sz w:val="20"/>
                <w:lang w:val="sv-SE" w:eastAsia="ko-KR"/>
              </w:rPr>
            </w:pPr>
          </w:p>
        </w:tc>
      </w:tr>
      <w:tr w:rsidR="00027463" w:rsidRPr="00472E66" w:rsidTr="00027463">
        <w:trPr>
          <w:trHeight w:val="199"/>
        </w:trPr>
        <w:tc>
          <w:tcPr>
            <w:tcW w:w="1858" w:type="dxa"/>
            <w:tcBorders>
              <w:top w:val="nil"/>
              <w:left w:val="single" w:sz="8" w:space="0" w:color="auto"/>
              <w:bottom w:val="single" w:sz="8" w:space="0" w:color="auto"/>
              <w:right w:val="nil"/>
            </w:tcBorders>
            <w:shd w:val="clear" w:color="auto" w:fill="auto"/>
          </w:tcPr>
          <w:p w:rsidR="00027463" w:rsidRPr="00027463" w:rsidRDefault="00027463" w:rsidP="00027463">
            <w:pPr>
              <w:tabs>
                <w:tab w:val="clear" w:pos="1134"/>
                <w:tab w:val="clear" w:pos="1871"/>
                <w:tab w:val="clear" w:pos="2268"/>
              </w:tabs>
              <w:overflowPunct/>
              <w:autoSpaceDE/>
              <w:autoSpaceDN/>
              <w:adjustRightInd/>
              <w:spacing w:before="0"/>
              <w:jc w:val="center"/>
              <w:textAlignment w:val="auto"/>
              <w:rPr>
                <w:rFonts w:eastAsia="Batang" w:cstheme="minorHAnsi"/>
                <w:b/>
                <w:bCs/>
                <w:sz w:val="20"/>
                <w:lang w:val="sv-SE" w:eastAsia="ko-KR"/>
              </w:rPr>
            </w:pPr>
            <w:r w:rsidRPr="00027463">
              <w:rPr>
                <w:rFonts w:eastAsia="Batang" w:cstheme="minorHAnsi"/>
                <w:b/>
                <w:bCs/>
                <w:sz w:val="20"/>
                <w:lang w:val="sv-SE" w:eastAsia="ko-KR"/>
              </w:rPr>
              <w:t>I</w:t>
            </w:r>
          </w:p>
        </w:tc>
        <w:tc>
          <w:tcPr>
            <w:tcW w:w="1559" w:type="dxa"/>
            <w:tcBorders>
              <w:top w:val="nil"/>
              <w:left w:val="single" w:sz="8" w:space="0" w:color="auto"/>
              <w:bottom w:val="single" w:sz="8" w:space="0" w:color="auto"/>
              <w:right w:val="single" w:sz="8" w:space="0" w:color="auto"/>
            </w:tcBorders>
            <w:shd w:val="clear" w:color="auto" w:fill="auto"/>
            <w:noWrap/>
            <w:vAlign w:val="bottom"/>
          </w:tcPr>
          <w:p w:rsidR="00027463" w:rsidRPr="00027463" w:rsidRDefault="00027463" w:rsidP="00027463">
            <w:pPr>
              <w:tabs>
                <w:tab w:val="clear" w:pos="1134"/>
                <w:tab w:val="clear" w:pos="1871"/>
                <w:tab w:val="clear" w:pos="2268"/>
              </w:tabs>
              <w:overflowPunct/>
              <w:autoSpaceDE/>
              <w:autoSpaceDN/>
              <w:adjustRightInd/>
              <w:spacing w:before="0"/>
              <w:jc w:val="center"/>
              <w:textAlignment w:val="auto"/>
              <w:rPr>
                <w:rFonts w:eastAsia="Batang" w:cstheme="minorHAnsi"/>
                <w:sz w:val="20"/>
                <w:lang w:val="sv-SE" w:eastAsia="ko-KR"/>
              </w:rPr>
            </w:pPr>
          </w:p>
        </w:tc>
        <w:tc>
          <w:tcPr>
            <w:tcW w:w="1276" w:type="dxa"/>
            <w:tcBorders>
              <w:top w:val="nil"/>
              <w:left w:val="single" w:sz="8" w:space="0" w:color="auto"/>
              <w:bottom w:val="single" w:sz="8" w:space="0" w:color="auto"/>
              <w:right w:val="single" w:sz="8" w:space="0" w:color="auto"/>
            </w:tcBorders>
          </w:tcPr>
          <w:p w:rsidR="00027463" w:rsidRPr="00027463" w:rsidRDefault="00027463" w:rsidP="00644CEB">
            <w:pPr>
              <w:tabs>
                <w:tab w:val="clear" w:pos="1134"/>
                <w:tab w:val="clear" w:pos="1871"/>
                <w:tab w:val="clear" w:pos="2268"/>
              </w:tabs>
              <w:overflowPunct/>
              <w:autoSpaceDE/>
              <w:autoSpaceDN/>
              <w:adjustRightInd/>
              <w:spacing w:before="0"/>
              <w:textAlignment w:val="auto"/>
              <w:rPr>
                <w:rFonts w:eastAsia="Batang" w:cstheme="minorHAnsi"/>
                <w:sz w:val="20"/>
                <w:lang w:val="sv-SE" w:eastAsia="ko-KR"/>
              </w:rPr>
            </w:pPr>
          </w:p>
        </w:tc>
      </w:tr>
      <w:tr w:rsidR="00027463" w:rsidRPr="00472E66" w:rsidTr="00027463">
        <w:trPr>
          <w:trHeight w:val="199"/>
        </w:trPr>
        <w:tc>
          <w:tcPr>
            <w:tcW w:w="1858" w:type="dxa"/>
            <w:tcBorders>
              <w:top w:val="nil"/>
              <w:left w:val="single" w:sz="8" w:space="0" w:color="auto"/>
              <w:bottom w:val="single" w:sz="8" w:space="0" w:color="auto"/>
              <w:right w:val="nil"/>
            </w:tcBorders>
            <w:shd w:val="clear" w:color="auto" w:fill="auto"/>
          </w:tcPr>
          <w:p w:rsidR="00027463" w:rsidRPr="00027463" w:rsidRDefault="00027463" w:rsidP="00027463">
            <w:pPr>
              <w:tabs>
                <w:tab w:val="clear" w:pos="1134"/>
                <w:tab w:val="clear" w:pos="1871"/>
                <w:tab w:val="clear" w:pos="2268"/>
              </w:tabs>
              <w:overflowPunct/>
              <w:autoSpaceDE/>
              <w:autoSpaceDN/>
              <w:adjustRightInd/>
              <w:spacing w:before="0"/>
              <w:jc w:val="center"/>
              <w:textAlignment w:val="auto"/>
              <w:rPr>
                <w:rFonts w:eastAsia="Batang" w:cstheme="minorHAnsi"/>
                <w:b/>
                <w:bCs/>
                <w:sz w:val="20"/>
                <w:lang w:val="sv-SE" w:eastAsia="ko-KR"/>
              </w:rPr>
            </w:pPr>
            <w:r w:rsidRPr="00027463">
              <w:rPr>
                <w:rFonts w:eastAsia="Batang" w:cstheme="minorHAnsi"/>
                <w:b/>
                <w:bCs/>
                <w:sz w:val="20"/>
                <w:lang w:val="sv-SE" w:eastAsia="ko-KR"/>
              </w:rPr>
              <w:t>IRL</w:t>
            </w:r>
          </w:p>
        </w:tc>
        <w:tc>
          <w:tcPr>
            <w:tcW w:w="1559" w:type="dxa"/>
            <w:tcBorders>
              <w:top w:val="nil"/>
              <w:left w:val="single" w:sz="8" w:space="0" w:color="auto"/>
              <w:bottom w:val="single" w:sz="8" w:space="0" w:color="auto"/>
              <w:right w:val="single" w:sz="8" w:space="0" w:color="auto"/>
            </w:tcBorders>
            <w:shd w:val="clear" w:color="auto" w:fill="auto"/>
            <w:noWrap/>
            <w:vAlign w:val="bottom"/>
          </w:tcPr>
          <w:p w:rsidR="00027463" w:rsidRPr="00027463" w:rsidRDefault="00027463" w:rsidP="00027463">
            <w:pPr>
              <w:tabs>
                <w:tab w:val="clear" w:pos="1134"/>
                <w:tab w:val="clear" w:pos="1871"/>
                <w:tab w:val="clear" w:pos="2268"/>
              </w:tabs>
              <w:overflowPunct/>
              <w:autoSpaceDE/>
              <w:autoSpaceDN/>
              <w:adjustRightInd/>
              <w:spacing w:before="0"/>
              <w:jc w:val="center"/>
              <w:textAlignment w:val="auto"/>
              <w:rPr>
                <w:rFonts w:eastAsia="Batang" w:cstheme="minorHAnsi"/>
                <w:sz w:val="20"/>
                <w:lang w:val="sv-SE" w:eastAsia="ko-KR"/>
              </w:rPr>
            </w:pPr>
            <w:r w:rsidRPr="00027463">
              <w:rPr>
                <w:rFonts w:eastAsia="Batang" w:cstheme="minorHAnsi"/>
                <w:sz w:val="20"/>
                <w:lang w:val="sv-SE" w:eastAsia="ko-KR"/>
              </w:rPr>
              <w:t>Yes</w:t>
            </w:r>
          </w:p>
        </w:tc>
        <w:tc>
          <w:tcPr>
            <w:tcW w:w="1276" w:type="dxa"/>
            <w:tcBorders>
              <w:top w:val="nil"/>
              <w:left w:val="single" w:sz="8" w:space="0" w:color="auto"/>
              <w:bottom w:val="single" w:sz="8" w:space="0" w:color="auto"/>
              <w:right w:val="single" w:sz="8" w:space="0" w:color="auto"/>
            </w:tcBorders>
          </w:tcPr>
          <w:p w:rsidR="00027463" w:rsidRPr="00027463" w:rsidRDefault="00027463" w:rsidP="00644CEB">
            <w:pPr>
              <w:tabs>
                <w:tab w:val="clear" w:pos="1134"/>
                <w:tab w:val="clear" w:pos="1871"/>
                <w:tab w:val="clear" w:pos="2268"/>
              </w:tabs>
              <w:overflowPunct/>
              <w:autoSpaceDE/>
              <w:autoSpaceDN/>
              <w:adjustRightInd/>
              <w:spacing w:before="0"/>
              <w:textAlignment w:val="auto"/>
              <w:rPr>
                <w:rFonts w:eastAsia="Batang" w:cstheme="minorHAnsi"/>
                <w:sz w:val="20"/>
                <w:lang w:val="sv-SE" w:eastAsia="ko-KR"/>
              </w:rPr>
            </w:pPr>
          </w:p>
        </w:tc>
      </w:tr>
      <w:tr w:rsidR="00027463" w:rsidRPr="00472E66" w:rsidTr="00027463">
        <w:trPr>
          <w:trHeight w:val="199"/>
        </w:trPr>
        <w:tc>
          <w:tcPr>
            <w:tcW w:w="1858" w:type="dxa"/>
            <w:tcBorders>
              <w:top w:val="nil"/>
              <w:left w:val="single" w:sz="8" w:space="0" w:color="auto"/>
              <w:bottom w:val="single" w:sz="8" w:space="0" w:color="auto"/>
              <w:right w:val="nil"/>
            </w:tcBorders>
            <w:shd w:val="clear" w:color="auto" w:fill="auto"/>
          </w:tcPr>
          <w:p w:rsidR="00027463" w:rsidRPr="00027463" w:rsidRDefault="00027463" w:rsidP="00027463">
            <w:pPr>
              <w:tabs>
                <w:tab w:val="clear" w:pos="1134"/>
                <w:tab w:val="clear" w:pos="1871"/>
                <w:tab w:val="clear" w:pos="2268"/>
              </w:tabs>
              <w:overflowPunct/>
              <w:autoSpaceDE/>
              <w:autoSpaceDN/>
              <w:adjustRightInd/>
              <w:spacing w:before="0"/>
              <w:jc w:val="center"/>
              <w:textAlignment w:val="auto"/>
              <w:rPr>
                <w:rFonts w:eastAsia="Batang" w:cstheme="minorHAnsi"/>
                <w:b/>
                <w:bCs/>
                <w:sz w:val="20"/>
                <w:lang w:val="sv-SE" w:eastAsia="ko-KR"/>
              </w:rPr>
            </w:pPr>
            <w:r w:rsidRPr="00027463">
              <w:rPr>
                <w:rFonts w:eastAsia="Batang" w:cstheme="minorHAnsi"/>
                <w:b/>
                <w:bCs/>
                <w:sz w:val="20"/>
                <w:lang w:val="sv-SE" w:eastAsia="ko-KR"/>
              </w:rPr>
              <w:t>ISL</w:t>
            </w:r>
          </w:p>
        </w:tc>
        <w:tc>
          <w:tcPr>
            <w:tcW w:w="1559" w:type="dxa"/>
            <w:tcBorders>
              <w:top w:val="nil"/>
              <w:left w:val="single" w:sz="8" w:space="0" w:color="auto"/>
              <w:bottom w:val="single" w:sz="8" w:space="0" w:color="auto"/>
              <w:right w:val="single" w:sz="8" w:space="0" w:color="auto"/>
            </w:tcBorders>
            <w:shd w:val="clear" w:color="auto" w:fill="auto"/>
            <w:noWrap/>
            <w:vAlign w:val="bottom"/>
          </w:tcPr>
          <w:p w:rsidR="00027463" w:rsidRPr="00027463" w:rsidRDefault="00027463" w:rsidP="00027463">
            <w:pPr>
              <w:tabs>
                <w:tab w:val="clear" w:pos="1134"/>
                <w:tab w:val="clear" w:pos="1871"/>
                <w:tab w:val="clear" w:pos="2268"/>
              </w:tabs>
              <w:overflowPunct/>
              <w:autoSpaceDE/>
              <w:autoSpaceDN/>
              <w:adjustRightInd/>
              <w:spacing w:before="0"/>
              <w:jc w:val="center"/>
              <w:textAlignment w:val="auto"/>
              <w:rPr>
                <w:rFonts w:eastAsia="Batang" w:cstheme="minorHAnsi"/>
                <w:sz w:val="20"/>
                <w:lang w:val="sv-SE" w:eastAsia="ko-KR"/>
              </w:rPr>
            </w:pPr>
          </w:p>
        </w:tc>
        <w:tc>
          <w:tcPr>
            <w:tcW w:w="1276" w:type="dxa"/>
            <w:tcBorders>
              <w:top w:val="nil"/>
              <w:left w:val="single" w:sz="8" w:space="0" w:color="auto"/>
              <w:bottom w:val="single" w:sz="8" w:space="0" w:color="auto"/>
              <w:right w:val="single" w:sz="8" w:space="0" w:color="auto"/>
            </w:tcBorders>
          </w:tcPr>
          <w:p w:rsidR="00027463" w:rsidRPr="00027463" w:rsidRDefault="00027463" w:rsidP="00644CEB">
            <w:pPr>
              <w:tabs>
                <w:tab w:val="clear" w:pos="1134"/>
                <w:tab w:val="clear" w:pos="1871"/>
                <w:tab w:val="clear" w:pos="2268"/>
              </w:tabs>
              <w:overflowPunct/>
              <w:autoSpaceDE/>
              <w:autoSpaceDN/>
              <w:adjustRightInd/>
              <w:spacing w:before="0"/>
              <w:textAlignment w:val="auto"/>
              <w:rPr>
                <w:rFonts w:eastAsia="Batang" w:cstheme="minorHAnsi"/>
                <w:sz w:val="20"/>
                <w:lang w:val="sv-SE" w:eastAsia="ko-KR"/>
              </w:rPr>
            </w:pPr>
          </w:p>
        </w:tc>
      </w:tr>
      <w:tr w:rsidR="00027463" w:rsidRPr="00472E66" w:rsidTr="00027463">
        <w:trPr>
          <w:trHeight w:val="199"/>
        </w:trPr>
        <w:tc>
          <w:tcPr>
            <w:tcW w:w="1858" w:type="dxa"/>
            <w:tcBorders>
              <w:top w:val="nil"/>
              <w:left w:val="single" w:sz="8" w:space="0" w:color="auto"/>
              <w:bottom w:val="single" w:sz="8" w:space="0" w:color="auto"/>
              <w:right w:val="nil"/>
            </w:tcBorders>
            <w:shd w:val="clear" w:color="auto" w:fill="auto"/>
          </w:tcPr>
          <w:p w:rsidR="00027463" w:rsidRPr="00027463" w:rsidRDefault="00027463" w:rsidP="00027463">
            <w:pPr>
              <w:tabs>
                <w:tab w:val="clear" w:pos="1134"/>
                <w:tab w:val="clear" w:pos="1871"/>
                <w:tab w:val="clear" w:pos="2268"/>
              </w:tabs>
              <w:overflowPunct/>
              <w:autoSpaceDE/>
              <w:autoSpaceDN/>
              <w:adjustRightInd/>
              <w:spacing w:before="0"/>
              <w:jc w:val="center"/>
              <w:textAlignment w:val="auto"/>
              <w:rPr>
                <w:rFonts w:eastAsia="Batang" w:cstheme="minorHAnsi"/>
                <w:b/>
                <w:bCs/>
                <w:sz w:val="20"/>
                <w:lang w:val="sv-SE" w:eastAsia="ko-KR"/>
              </w:rPr>
            </w:pPr>
            <w:r w:rsidRPr="00027463">
              <w:rPr>
                <w:rFonts w:eastAsia="Batang" w:cstheme="minorHAnsi"/>
                <w:b/>
                <w:bCs/>
                <w:sz w:val="20"/>
                <w:lang w:val="sv-SE" w:eastAsia="ko-KR"/>
              </w:rPr>
              <w:t>LIE</w:t>
            </w:r>
          </w:p>
        </w:tc>
        <w:tc>
          <w:tcPr>
            <w:tcW w:w="1559" w:type="dxa"/>
            <w:tcBorders>
              <w:top w:val="nil"/>
              <w:left w:val="single" w:sz="8" w:space="0" w:color="auto"/>
              <w:bottom w:val="single" w:sz="8" w:space="0" w:color="auto"/>
              <w:right w:val="single" w:sz="8" w:space="0" w:color="auto"/>
            </w:tcBorders>
            <w:shd w:val="clear" w:color="auto" w:fill="auto"/>
            <w:noWrap/>
            <w:vAlign w:val="bottom"/>
          </w:tcPr>
          <w:p w:rsidR="00027463" w:rsidRPr="00027463" w:rsidRDefault="00027463" w:rsidP="00027463">
            <w:pPr>
              <w:tabs>
                <w:tab w:val="clear" w:pos="1134"/>
                <w:tab w:val="clear" w:pos="1871"/>
                <w:tab w:val="clear" w:pos="2268"/>
              </w:tabs>
              <w:overflowPunct/>
              <w:autoSpaceDE/>
              <w:autoSpaceDN/>
              <w:adjustRightInd/>
              <w:spacing w:before="0"/>
              <w:jc w:val="center"/>
              <w:textAlignment w:val="auto"/>
              <w:rPr>
                <w:rFonts w:eastAsia="Batang" w:cstheme="minorHAnsi"/>
                <w:sz w:val="20"/>
                <w:lang w:val="sv-SE" w:eastAsia="ko-KR"/>
              </w:rPr>
            </w:pPr>
          </w:p>
        </w:tc>
        <w:tc>
          <w:tcPr>
            <w:tcW w:w="1276" w:type="dxa"/>
            <w:tcBorders>
              <w:top w:val="nil"/>
              <w:left w:val="single" w:sz="8" w:space="0" w:color="auto"/>
              <w:bottom w:val="single" w:sz="8" w:space="0" w:color="auto"/>
              <w:right w:val="single" w:sz="8" w:space="0" w:color="auto"/>
            </w:tcBorders>
          </w:tcPr>
          <w:p w:rsidR="00027463" w:rsidRPr="00027463" w:rsidRDefault="00027463" w:rsidP="00644CEB">
            <w:pPr>
              <w:tabs>
                <w:tab w:val="clear" w:pos="1134"/>
                <w:tab w:val="clear" w:pos="1871"/>
                <w:tab w:val="clear" w:pos="2268"/>
              </w:tabs>
              <w:overflowPunct/>
              <w:autoSpaceDE/>
              <w:autoSpaceDN/>
              <w:adjustRightInd/>
              <w:spacing w:before="0"/>
              <w:textAlignment w:val="auto"/>
              <w:rPr>
                <w:rFonts w:eastAsia="Batang" w:cstheme="minorHAnsi"/>
                <w:sz w:val="20"/>
                <w:lang w:val="sv-SE" w:eastAsia="ko-KR"/>
              </w:rPr>
            </w:pPr>
          </w:p>
        </w:tc>
      </w:tr>
      <w:tr w:rsidR="00027463" w:rsidRPr="00472E66" w:rsidTr="00027463">
        <w:trPr>
          <w:trHeight w:val="199"/>
        </w:trPr>
        <w:tc>
          <w:tcPr>
            <w:tcW w:w="1858" w:type="dxa"/>
            <w:tcBorders>
              <w:top w:val="nil"/>
              <w:left w:val="single" w:sz="8" w:space="0" w:color="auto"/>
              <w:bottom w:val="single" w:sz="8" w:space="0" w:color="auto"/>
              <w:right w:val="nil"/>
            </w:tcBorders>
            <w:shd w:val="clear" w:color="auto" w:fill="auto"/>
          </w:tcPr>
          <w:p w:rsidR="00027463" w:rsidRPr="00027463" w:rsidRDefault="00027463" w:rsidP="00027463">
            <w:pPr>
              <w:tabs>
                <w:tab w:val="clear" w:pos="1134"/>
                <w:tab w:val="clear" w:pos="1871"/>
                <w:tab w:val="clear" w:pos="2268"/>
              </w:tabs>
              <w:overflowPunct/>
              <w:autoSpaceDE/>
              <w:autoSpaceDN/>
              <w:adjustRightInd/>
              <w:spacing w:before="0"/>
              <w:jc w:val="center"/>
              <w:textAlignment w:val="auto"/>
              <w:rPr>
                <w:rFonts w:eastAsia="Batang" w:cstheme="minorHAnsi"/>
                <w:b/>
                <w:bCs/>
                <w:sz w:val="20"/>
                <w:lang w:val="sv-SE" w:eastAsia="ko-KR"/>
              </w:rPr>
            </w:pPr>
            <w:r w:rsidRPr="00027463">
              <w:rPr>
                <w:rFonts w:eastAsia="Batang" w:cstheme="minorHAnsi"/>
                <w:b/>
                <w:bCs/>
                <w:sz w:val="20"/>
                <w:lang w:val="sv-SE" w:eastAsia="ko-KR"/>
              </w:rPr>
              <w:t>LTU</w:t>
            </w:r>
          </w:p>
        </w:tc>
        <w:tc>
          <w:tcPr>
            <w:tcW w:w="1559" w:type="dxa"/>
            <w:tcBorders>
              <w:top w:val="nil"/>
              <w:left w:val="single" w:sz="8" w:space="0" w:color="auto"/>
              <w:bottom w:val="single" w:sz="8" w:space="0" w:color="auto"/>
              <w:right w:val="single" w:sz="8" w:space="0" w:color="auto"/>
            </w:tcBorders>
            <w:shd w:val="clear" w:color="auto" w:fill="auto"/>
            <w:noWrap/>
            <w:vAlign w:val="bottom"/>
          </w:tcPr>
          <w:p w:rsidR="00027463" w:rsidRPr="00027463" w:rsidRDefault="00027463" w:rsidP="00027463">
            <w:pPr>
              <w:tabs>
                <w:tab w:val="clear" w:pos="1134"/>
                <w:tab w:val="clear" w:pos="1871"/>
                <w:tab w:val="clear" w:pos="2268"/>
              </w:tabs>
              <w:overflowPunct/>
              <w:autoSpaceDE/>
              <w:autoSpaceDN/>
              <w:adjustRightInd/>
              <w:spacing w:before="0"/>
              <w:jc w:val="center"/>
              <w:textAlignment w:val="auto"/>
              <w:rPr>
                <w:rFonts w:eastAsia="Batang" w:cstheme="minorHAnsi"/>
                <w:sz w:val="20"/>
                <w:lang w:val="sv-SE" w:eastAsia="ko-KR"/>
              </w:rPr>
            </w:pPr>
            <w:r w:rsidRPr="00027463">
              <w:rPr>
                <w:rFonts w:eastAsia="Batang" w:cstheme="minorHAnsi"/>
                <w:sz w:val="20"/>
                <w:lang w:val="sv-SE" w:eastAsia="ko-KR"/>
              </w:rPr>
              <w:t>Yes</w:t>
            </w:r>
          </w:p>
        </w:tc>
        <w:tc>
          <w:tcPr>
            <w:tcW w:w="1276" w:type="dxa"/>
            <w:tcBorders>
              <w:top w:val="nil"/>
              <w:left w:val="single" w:sz="8" w:space="0" w:color="auto"/>
              <w:bottom w:val="single" w:sz="8" w:space="0" w:color="auto"/>
              <w:right w:val="single" w:sz="8" w:space="0" w:color="auto"/>
            </w:tcBorders>
          </w:tcPr>
          <w:p w:rsidR="00027463" w:rsidRPr="00027463" w:rsidRDefault="00027463" w:rsidP="00644CEB">
            <w:pPr>
              <w:tabs>
                <w:tab w:val="clear" w:pos="1134"/>
                <w:tab w:val="clear" w:pos="1871"/>
                <w:tab w:val="clear" w:pos="2268"/>
              </w:tabs>
              <w:overflowPunct/>
              <w:autoSpaceDE/>
              <w:autoSpaceDN/>
              <w:adjustRightInd/>
              <w:spacing w:before="0"/>
              <w:textAlignment w:val="auto"/>
              <w:rPr>
                <w:rFonts w:eastAsia="Batang" w:cstheme="minorHAnsi"/>
                <w:sz w:val="20"/>
                <w:lang w:val="sv-SE" w:eastAsia="ko-KR"/>
              </w:rPr>
            </w:pPr>
          </w:p>
        </w:tc>
      </w:tr>
      <w:tr w:rsidR="00027463" w:rsidRPr="00472E66" w:rsidTr="00027463">
        <w:trPr>
          <w:trHeight w:val="199"/>
        </w:trPr>
        <w:tc>
          <w:tcPr>
            <w:tcW w:w="1858" w:type="dxa"/>
            <w:tcBorders>
              <w:top w:val="nil"/>
              <w:left w:val="single" w:sz="8" w:space="0" w:color="auto"/>
              <w:bottom w:val="single" w:sz="8" w:space="0" w:color="auto"/>
              <w:right w:val="nil"/>
            </w:tcBorders>
            <w:shd w:val="clear" w:color="auto" w:fill="auto"/>
          </w:tcPr>
          <w:p w:rsidR="00027463" w:rsidRPr="00027463" w:rsidRDefault="00027463" w:rsidP="00027463">
            <w:pPr>
              <w:tabs>
                <w:tab w:val="clear" w:pos="1134"/>
                <w:tab w:val="clear" w:pos="1871"/>
                <w:tab w:val="clear" w:pos="2268"/>
              </w:tabs>
              <w:overflowPunct/>
              <w:autoSpaceDE/>
              <w:autoSpaceDN/>
              <w:adjustRightInd/>
              <w:spacing w:before="0"/>
              <w:jc w:val="center"/>
              <w:textAlignment w:val="auto"/>
              <w:rPr>
                <w:rFonts w:eastAsia="Batang" w:cstheme="minorHAnsi"/>
                <w:b/>
                <w:bCs/>
                <w:sz w:val="20"/>
                <w:lang w:val="sv-SE" w:eastAsia="ko-KR"/>
              </w:rPr>
            </w:pPr>
            <w:r w:rsidRPr="00027463">
              <w:rPr>
                <w:rFonts w:eastAsia="Batang" w:cstheme="minorHAnsi"/>
                <w:b/>
                <w:bCs/>
                <w:sz w:val="20"/>
                <w:lang w:val="sv-SE" w:eastAsia="ko-KR"/>
              </w:rPr>
              <w:t>LUX</w:t>
            </w:r>
          </w:p>
        </w:tc>
        <w:tc>
          <w:tcPr>
            <w:tcW w:w="1559" w:type="dxa"/>
            <w:tcBorders>
              <w:top w:val="nil"/>
              <w:left w:val="single" w:sz="8" w:space="0" w:color="auto"/>
              <w:bottom w:val="single" w:sz="8" w:space="0" w:color="auto"/>
              <w:right w:val="single" w:sz="8" w:space="0" w:color="auto"/>
            </w:tcBorders>
            <w:shd w:val="clear" w:color="auto" w:fill="auto"/>
            <w:noWrap/>
            <w:vAlign w:val="bottom"/>
          </w:tcPr>
          <w:p w:rsidR="00027463" w:rsidRPr="00027463" w:rsidRDefault="00027463" w:rsidP="00027463">
            <w:pPr>
              <w:tabs>
                <w:tab w:val="clear" w:pos="1134"/>
                <w:tab w:val="clear" w:pos="1871"/>
                <w:tab w:val="clear" w:pos="2268"/>
              </w:tabs>
              <w:overflowPunct/>
              <w:autoSpaceDE/>
              <w:autoSpaceDN/>
              <w:adjustRightInd/>
              <w:spacing w:before="0"/>
              <w:jc w:val="center"/>
              <w:textAlignment w:val="auto"/>
              <w:rPr>
                <w:rFonts w:eastAsia="Batang" w:cstheme="minorHAnsi"/>
                <w:sz w:val="20"/>
                <w:lang w:val="sv-SE" w:eastAsia="ko-KR"/>
              </w:rPr>
            </w:pPr>
          </w:p>
        </w:tc>
        <w:tc>
          <w:tcPr>
            <w:tcW w:w="1276" w:type="dxa"/>
            <w:tcBorders>
              <w:top w:val="nil"/>
              <w:left w:val="single" w:sz="8" w:space="0" w:color="auto"/>
              <w:bottom w:val="single" w:sz="8" w:space="0" w:color="auto"/>
              <w:right w:val="single" w:sz="8" w:space="0" w:color="auto"/>
            </w:tcBorders>
          </w:tcPr>
          <w:p w:rsidR="00027463" w:rsidRPr="00027463" w:rsidRDefault="00027463" w:rsidP="00644CEB">
            <w:pPr>
              <w:tabs>
                <w:tab w:val="clear" w:pos="1134"/>
                <w:tab w:val="clear" w:pos="1871"/>
                <w:tab w:val="clear" w:pos="2268"/>
              </w:tabs>
              <w:overflowPunct/>
              <w:autoSpaceDE/>
              <w:autoSpaceDN/>
              <w:adjustRightInd/>
              <w:spacing w:before="0"/>
              <w:textAlignment w:val="auto"/>
              <w:rPr>
                <w:rFonts w:eastAsia="Batang" w:cstheme="minorHAnsi"/>
                <w:sz w:val="20"/>
                <w:lang w:val="sv-SE" w:eastAsia="ko-KR"/>
              </w:rPr>
            </w:pPr>
          </w:p>
        </w:tc>
      </w:tr>
      <w:tr w:rsidR="00027463" w:rsidRPr="00472E66" w:rsidTr="00027463">
        <w:trPr>
          <w:trHeight w:val="199"/>
        </w:trPr>
        <w:tc>
          <w:tcPr>
            <w:tcW w:w="1858" w:type="dxa"/>
            <w:tcBorders>
              <w:top w:val="nil"/>
              <w:left w:val="single" w:sz="8" w:space="0" w:color="auto"/>
              <w:bottom w:val="single" w:sz="8" w:space="0" w:color="auto"/>
              <w:right w:val="nil"/>
            </w:tcBorders>
            <w:shd w:val="clear" w:color="auto" w:fill="auto"/>
          </w:tcPr>
          <w:p w:rsidR="00027463" w:rsidRPr="00027463" w:rsidRDefault="00027463" w:rsidP="00027463">
            <w:pPr>
              <w:tabs>
                <w:tab w:val="clear" w:pos="1134"/>
                <w:tab w:val="clear" w:pos="1871"/>
                <w:tab w:val="clear" w:pos="2268"/>
              </w:tabs>
              <w:overflowPunct/>
              <w:autoSpaceDE/>
              <w:autoSpaceDN/>
              <w:adjustRightInd/>
              <w:spacing w:before="0"/>
              <w:jc w:val="center"/>
              <w:textAlignment w:val="auto"/>
              <w:rPr>
                <w:rFonts w:eastAsia="Batang" w:cstheme="minorHAnsi"/>
                <w:b/>
                <w:bCs/>
                <w:sz w:val="20"/>
                <w:lang w:val="sv-SE" w:eastAsia="ko-KR"/>
              </w:rPr>
            </w:pPr>
            <w:r w:rsidRPr="00027463">
              <w:rPr>
                <w:rFonts w:eastAsia="Batang" w:cstheme="minorHAnsi"/>
                <w:b/>
                <w:bCs/>
                <w:sz w:val="20"/>
                <w:lang w:val="sv-SE" w:eastAsia="ko-KR"/>
              </w:rPr>
              <w:t>LVA</w:t>
            </w:r>
          </w:p>
        </w:tc>
        <w:tc>
          <w:tcPr>
            <w:tcW w:w="1559" w:type="dxa"/>
            <w:tcBorders>
              <w:top w:val="nil"/>
              <w:left w:val="single" w:sz="8" w:space="0" w:color="auto"/>
              <w:bottom w:val="single" w:sz="8" w:space="0" w:color="auto"/>
              <w:right w:val="single" w:sz="8" w:space="0" w:color="auto"/>
            </w:tcBorders>
            <w:shd w:val="clear" w:color="auto" w:fill="auto"/>
            <w:noWrap/>
            <w:vAlign w:val="bottom"/>
          </w:tcPr>
          <w:p w:rsidR="00027463" w:rsidRPr="00027463" w:rsidRDefault="00027463" w:rsidP="00027463">
            <w:pPr>
              <w:tabs>
                <w:tab w:val="clear" w:pos="1134"/>
                <w:tab w:val="clear" w:pos="1871"/>
                <w:tab w:val="clear" w:pos="2268"/>
              </w:tabs>
              <w:overflowPunct/>
              <w:autoSpaceDE/>
              <w:autoSpaceDN/>
              <w:adjustRightInd/>
              <w:spacing w:before="0"/>
              <w:jc w:val="center"/>
              <w:textAlignment w:val="auto"/>
              <w:rPr>
                <w:rFonts w:eastAsia="Batang" w:cstheme="minorHAnsi"/>
                <w:sz w:val="20"/>
                <w:lang w:val="sv-SE" w:eastAsia="ko-KR"/>
              </w:rPr>
            </w:pPr>
          </w:p>
        </w:tc>
        <w:tc>
          <w:tcPr>
            <w:tcW w:w="1276" w:type="dxa"/>
            <w:tcBorders>
              <w:top w:val="nil"/>
              <w:left w:val="single" w:sz="8" w:space="0" w:color="auto"/>
              <w:bottom w:val="single" w:sz="8" w:space="0" w:color="auto"/>
              <w:right w:val="single" w:sz="8" w:space="0" w:color="auto"/>
            </w:tcBorders>
          </w:tcPr>
          <w:p w:rsidR="00027463" w:rsidRPr="00027463" w:rsidRDefault="00027463" w:rsidP="00644CEB">
            <w:pPr>
              <w:tabs>
                <w:tab w:val="clear" w:pos="1134"/>
                <w:tab w:val="clear" w:pos="1871"/>
                <w:tab w:val="clear" w:pos="2268"/>
              </w:tabs>
              <w:overflowPunct/>
              <w:autoSpaceDE/>
              <w:autoSpaceDN/>
              <w:adjustRightInd/>
              <w:spacing w:before="0"/>
              <w:textAlignment w:val="auto"/>
              <w:rPr>
                <w:rFonts w:eastAsia="Batang" w:cstheme="minorHAnsi"/>
                <w:sz w:val="20"/>
                <w:lang w:val="sv-SE" w:eastAsia="ko-KR"/>
              </w:rPr>
            </w:pPr>
          </w:p>
        </w:tc>
      </w:tr>
      <w:tr w:rsidR="00027463" w:rsidRPr="00472E66" w:rsidTr="00027463">
        <w:trPr>
          <w:trHeight w:val="199"/>
        </w:trPr>
        <w:tc>
          <w:tcPr>
            <w:tcW w:w="1858" w:type="dxa"/>
            <w:tcBorders>
              <w:top w:val="nil"/>
              <w:left w:val="single" w:sz="8" w:space="0" w:color="auto"/>
              <w:bottom w:val="single" w:sz="8" w:space="0" w:color="auto"/>
              <w:right w:val="nil"/>
            </w:tcBorders>
            <w:shd w:val="clear" w:color="auto" w:fill="auto"/>
          </w:tcPr>
          <w:p w:rsidR="00027463" w:rsidRPr="00027463" w:rsidRDefault="00027463" w:rsidP="00027463">
            <w:pPr>
              <w:tabs>
                <w:tab w:val="clear" w:pos="1134"/>
                <w:tab w:val="clear" w:pos="1871"/>
                <w:tab w:val="clear" w:pos="2268"/>
              </w:tabs>
              <w:overflowPunct/>
              <w:autoSpaceDE/>
              <w:autoSpaceDN/>
              <w:adjustRightInd/>
              <w:spacing w:before="0"/>
              <w:jc w:val="center"/>
              <w:textAlignment w:val="auto"/>
              <w:rPr>
                <w:rFonts w:eastAsia="Batang" w:cstheme="minorHAnsi"/>
                <w:b/>
                <w:bCs/>
                <w:sz w:val="20"/>
                <w:lang w:val="sv-SE" w:eastAsia="ko-KR"/>
              </w:rPr>
            </w:pPr>
            <w:r w:rsidRPr="00027463">
              <w:rPr>
                <w:rFonts w:eastAsia="Batang" w:cstheme="minorHAnsi"/>
                <w:b/>
                <w:bCs/>
                <w:sz w:val="20"/>
                <w:lang w:val="sv-SE" w:eastAsia="ko-KR"/>
              </w:rPr>
              <w:t>MCO</w:t>
            </w:r>
          </w:p>
        </w:tc>
        <w:tc>
          <w:tcPr>
            <w:tcW w:w="1559" w:type="dxa"/>
            <w:tcBorders>
              <w:top w:val="nil"/>
              <w:left w:val="single" w:sz="8" w:space="0" w:color="auto"/>
              <w:bottom w:val="single" w:sz="8" w:space="0" w:color="auto"/>
              <w:right w:val="single" w:sz="8" w:space="0" w:color="auto"/>
            </w:tcBorders>
            <w:shd w:val="clear" w:color="auto" w:fill="auto"/>
            <w:noWrap/>
            <w:vAlign w:val="bottom"/>
          </w:tcPr>
          <w:p w:rsidR="00027463" w:rsidRPr="00027463" w:rsidRDefault="00027463" w:rsidP="00027463">
            <w:pPr>
              <w:tabs>
                <w:tab w:val="clear" w:pos="1134"/>
                <w:tab w:val="clear" w:pos="1871"/>
                <w:tab w:val="clear" w:pos="2268"/>
              </w:tabs>
              <w:overflowPunct/>
              <w:autoSpaceDE/>
              <w:autoSpaceDN/>
              <w:adjustRightInd/>
              <w:spacing w:before="0"/>
              <w:jc w:val="center"/>
              <w:textAlignment w:val="auto"/>
              <w:rPr>
                <w:rFonts w:eastAsia="Batang" w:cstheme="minorHAnsi"/>
                <w:sz w:val="20"/>
                <w:lang w:val="sv-SE" w:eastAsia="ko-KR"/>
              </w:rPr>
            </w:pPr>
          </w:p>
        </w:tc>
        <w:tc>
          <w:tcPr>
            <w:tcW w:w="1276" w:type="dxa"/>
            <w:tcBorders>
              <w:top w:val="nil"/>
              <w:left w:val="single" w:sz="8" w:space="0" w:color="auto"/>
              <w:bottom w:val="single" w:sz="8" w:space="0" w:color="auto"/>
              <w:right w:val="single" w:sz="8" w:space="0" w:color="auto"/>
            </w:tcBorders>
          </w:tcPr>
          <w:p w:rsidR="00027463" w:rsidRPr="00027463" w:rsidRDefault="00027463" w:rsidP="00644CEB">
            <w:pPr>
              <w:tabs>
                <w:tab w:val="clear" w:pos="1134"/>
                <w:tab w:val="clear" w:pos="1871"/>
                <w:tab w:val="clear" w:pos="2268"/>
              </w:tabs>
              <w:overflowPunct/>
              <w:autoSpaceDE/>
              <w:autoSpaceDN/>
              <w:adjustRightInd/>
              <w:spacing w:before="0"/>
              <w:textAlignment w:val="auto"/>
              <w:rPr>
                <w:rFonts w:eastAsia="Batang" w:cstheme="minorHAnsi"/>
                <w:sz w:val="20"/>
                <w:lang w:val="sv-SE" w:eastAsia="ko-KR"/>
              </w:rPr>
            </w:pPr>
          </w:p>
        </w:tc>
      </w:tr>
      <w:tr w:rsidR="00027463" w:rsidRPr="00472E66" w:rsidTr="00027463">
        <w:trPr>
          <w:trHeight w:val="199"/>
        </w:trPr>
        <w:tc>
          <w:tcPr>
            <w:tcW w:w="1858" w:type="dxa"/>
            <w:tcBorders>
              <w:top w:val="nil"/>
              <w:left w:val="single" w:sz="8" w:space="0" w:color="auto"/>
              <w:bottom w:val="single" w:sz="8" w:space="0" w:color="auto"/>
              <w:right w:val="nil"/>
            </w:tcBorders>
            <w:shd w:val="clear" w:color="auto" w:fill="auto"/>
          </w:tcPr>
          <w:p w:rsidR="00027463" w:rsidRPr="00027463" w:rsidRDefault="00027463" w:rsidP="00027463">
            <w:pPr>
              <w:tabs>
                <w:tab w:val="clear" w:pos="1134"/>
                <w:tab w:val="clear" w:pos="1871"/>
                <w:tab w:val="clear" w:pos="2268"/>
              </w:tabs>
              <w:overflowPunct/>
              <w:autoSpaceDE/>
              <w:autoSpaceDN/>
              <w:adjustRightInd/>
              <w:spacing w:before="0"/>
              <w:jc w:val="center"/>
              <w:textAlignment w:val="auto"/>
              <w:rPr>
                <w:rFonts w:eastAsia="Batang" w:cstheme="minorHAnsi"/>
                <w:b/>
                <w:bCs/>
                <w:sz w:val="20"/>
                <w:lang w:val="sv-SE" w:eastAsia="ko-KR"/>
              </w:rPr>
            </w:pPr>
            <w:r w:rsidRPr="00027463">
              <w:rPr>
                <w:rFonts w:eastAsia="Batang" w:cstheme="minorHAnsi"/>
                <w:b/>
                <w:bCs/>
                <w:sz w:val="20"/>
                <w:lang w:val="sv-SE" w:eastAsia="ko-KR"/>
              </w:rPr>
              <w:t>MDA</w:t>
            </w:r>
          </w:p>
        </w:tc>
        <w:tc>
          <w:tcPr>
            <w:tcW w:w="1559" w:type="dxa"/>
            <w:tcBorders>
              <w:top w:val="nil"/>
              <w:left w:val="single" w:sz="8" w:space="0" w:color="auto"/>
              <w:bottom w:val="single" w:sz="8" w:space="0" w:color="auto"/>
              <w:right w:val="single" w:sz="8" w:space="0" w:color="auto"/>
            </w:tcBorders>
            <w:shd w:val="clear" w:color="auto" w:fill="auto"/>
            <w:noWrap/>
            <w:vAlign w:val="bottom"/>
          </w:tcPr>
          <w:p w:rsidR="00027463" w:rsidRPr="00027463" w:rsidRDefault="00027463" w:rsidP="00027463">
            <w:pPr>
              <w:tabs>
                <w:tab w:val="clear" w:pos="1134"/>
                <w:tab w:val="clear" w:pos="1871"/>
                <w:tab w:val="clear" w:pos="2268"/>
              </w:tabs>
              <w:overflowPunct/>
              <w:autoSpaceDE/>
              <w:autoSpaceDN/>
              <w:adjustRightInd/>
              <w:spacing w:before="0"/>
              <w:jc w:val="center"/>
              <w:textAlignment w:val="auto"/>
              <w:rPr>
                <w:rFonts w:eastAsia="Batang" w:cstheme="minorHAnsi"/>
                <w:sz w:val="20"/>
                <w:lang w:val="sv-SE" w:eastAsia="ko-KR"/>
              </w:rPr>
            </w:pPr>
          </w:p>
        </w:tc>
        <w:tc>
          <w:tcPr>
            <w:tcW w:w="1276" w:type="dxa"/>
            <w:tcBorders>
              <w:top w:val="nil"/>
              <w:left w:val="single" w:sz="8" w:space="0" w:color="auto"/>
              <w:bottom w:val="single" w:sz="8" w:space="0" w:color="auto"/>
              <w:right w:val="single" w:sz="8" w:space="0" w:color="auto"/>
            </w:tcBorders>
          </w:tcPr>
          <w:p w:rsidR="00027463" w:rsidRPr="00027463" w:rsidRDefault="00027463" w:rsidP="00644CEB">
            <w:pPr>
              <w:tabs>
                <w:tab w:val="clear" w:pos="1134"/>
                <w:tab w:val="clear" w:pos="1871"/>
                <w:tab w:val="clear" w:pos="2268"/>
              </w:tabs>
              <w:overflowPunct/>
              <w:autoSpaceDE/>
              <w:autoSpaceDN/>
              <w:adjustRightInd/>
              <w:spacing w:before="0"/>
              <w:textAlignment w:val="auto"/>
              <w:rPr>
                <w:rFonts w:eastAsia="Batang" w:cstheme="minorHAnsi"/>
                <w:sz w:val="20"/>
                <w:lang w:val="sv-SE" w:eastAsia="ko-KR"/>
              </w:rPr>
            </w:pPr>
          </w:p>
        </w:tc>
      </w:tr>
      <w:tr w:rsidR="00027463" w:rsidRPr="00472E66" w:rsidTr="00027463">
        <w:trPr>
          <w:trHeight w:val="199"/>
        </w:trPr>
        <w:tc>
          <w:tcPr>
            <w:tcW w:w="1858" w:type="dxa"/>
            <w:tcBorders>
              <w:top w:val="nil"/>
              <w:left w:val="single" w:sz="8" w:space="0" w:color="auto"/>
              <w:bottom w:val="single" w:sz="8" w:space="0" w:color="auto"/>
              <w:right w:val="nil"/>
            </w:tcBorders>
            <w:shd w:val="clear" w:color="auto" w:fill="auto"/>
          </w:tcPr>
          <w:p w:rsidR="00027463" w:rsidRPr="00027463" w:rsidRDefault="00027463" w:rsidP="00027463">
            <w:pPr>
              <w:tabs>
                <w:tab w:val="clear" w:pos="1134"/>
                <w:tab w:val="clear" w:pos="1871"/>
                <w:tab w:val="clear" w:pos="2268"/>
              </w:tabs>
              <w:overflowPunct/>
              <w:autoSpaceDE/>
              <w:autoSpaceDN/>
              <w:adjustRightInd/>
              <w:spacing w:before="0"/>
              <w:jc w:val="center"/>
              <w:textAlignment w:val="auto"/>
              <w:rPr>
                <w:rFonts w:eastAsia="Batang" w:cstheme="minorHAnsi"/>
                <w:b/>
                <w:bCs/>
                <w:sz w:val="20"/>
                <w:lang w:val="sv-SE" w:eastAsia="ko-KR"/>
              </w:rPr>
            </w:pPr>
            <w:r w:rsidRPr="00027463">
              <w:rPr>
                <w:rFonts w:eastAsia="Batang" w:cstheme="minorHAnsi"/>
                <w:b/>
                <w:bCs/>
                <w:sz w:val="20"/>
                <w:lang w:val="sv-SE" w:eastAsia="ko-KR"/>
              </w:rPr>
              <w:t>MKD</w:t>
            </w:r>
          </w:p>
        </w:tc>
        <w:tc>
          <w:tcPr>
            <w:tcW w:w="1559" w:type="dxa"/>
            <w:tcBorders>
              <w:top w:val="nil"/>
              <w:left w:val="single" w:sz="8" w:space="0" w:color="auto"/>
              <w:bottom w:val="single" w:sz="8" w:space="0" w:color="auto"/>
              <w:right w:val="single" w:sz="8" w:space="0" w:color="auto"/>
            </w:tcBorders>
            <w:shd w:val="clear" w:color="auto" w:fill="auto"/>
            <w:noWrap/>
            <w:vAlign w:val="bottom"/>
          </w:tcPr>
          <w:p w:rsidR="00027463" w:rsidRPr="00027463" w:rsidRDefault="00027463" w:rsidP="00027463">
            <w:pPr>
              <w:tabs>
                <w:tab w:val="clear" w:pos="1134"/>
                <w:tab w:val="clear" w:pos="1871"/>
                <w:tab w:val="clear" w:pos="2268"/>
              </w:tabs>
              <w:overflowPunct/>
              <w:autoSpaceDE/>
              <w:autoSpaceDN/>
              <w:adjustRightInd/>
              <w:spacing w:before="0"/>
              <w:jc w:val="center"/>
              <w:textAlignment w:val="auto"/>
              <w:rPr>
                <w:rFonts w:eastAsia="Batang" w:cstheme="minorHAnsi"/>
                <w:sz w:val="20"/>
                <w:lang w:val="sv-SE" w:eastAsia="ko-KR"/>
              </w:rPr>
            </w:pPr>
          </w:p>
        </w:tc>
        <w:tc>
          <w:tcPr>
            <w:tcW w:w="1276" w:type="dxa"/>
            <w:tcBorders>
              <w:top w:val="nil"/>
              <w:left w:val="single" w:sz="8" w:space="0" w:color="auto"/>
              <w:bottom w:val="single" w:sz="8" w:space="0" w:color="auto"/>
              <w:right w:val="single" w:sz="8" w:space="0" w:color="auto"/>
            </w:tcBorders>
          </w:tcPr>
          <w:p w:rsidR="00027463" w:rsidRPr="00027463" w:rsidRDefault="00027463" w:rsidP="00644CEB">
            <w:pPr>
              <w:tabs>
                <w:tab w:val="clear" w:pos="1134"/>
                <w:tab w:val="clear" w:pos="1871"/>
                <w:tab w:val="clear" w:pos="2268"/>
              </w:tabs>
              <w:overflowPunct/>
              <w:autoSpaceDE/>
              <w:autoSpaceDN/>
              <w:adjustRightInd/>
              <w:spacing w:before="0"/>
              <w:textAlignment w:val="auto"/>
              <w:rPr>
                <w:rFonts w:eastAsia="Batang" w:cstheme="minorHAnsi"/>
                <w:sz w:val="20"/>
                <w:lang w:val="sv-SE" w:eastAsia="ko-KR"/>
              </w:rPr>
            </w:pPr>
          </w:p>
        </w:tc>
      </w:tr>
      <w:tr w:rsidR="00027463" w:rsidRPr="00472E66" w:rsidTr="00027463">
        <w:trPr>
          <w:trHeight w:val="199"/>
        </w:trPr>
        <w:tc>
          <w:tcPr>
            <w:tcW w:w="1858" w:type="dxa"/>
            <w:tcBorders>
              <w:top w:val="nil"/>
              <w:left w:val="single" w:sz="8" w:space="0" w:color="auto"/>
              <w:bottom w:val="single" w:sz="8" w:space="0" w:color="auto"/>
              <w:right w:val="nil"/>
            </w:tcBorders>
            <w:shd w:val="clear" w:color="auto" w:fill="auto"/>
          </w:tcPr>
          <w:p w:rsidR="00027463" w:rsidRPr="00027463" w:rsidRDefault="00027463" w:rsidP="00027463">
            <w:pPr>
              <w:tabs>
                <w:tab w:val="clear" w:pos="1134"/>
                <w:tab w:val="clear" w:pos="1871"/>
                <w:tab w:val="clear" w:pos="2268"/>
              </w:tabs>
              <w:overflowPunct/>
              <w:autoSpaceDE/>
              <w:autoSpaceDN/>
              <w:adjustRightInd/>
              <w:spacing w:before="0"/>
              <w:jc w:val="center"/>
              <w:textAlignment w:val="auto"/>
              <w:rPr>
                <w:rFonts w:eastAsia="Batang" w:cstheme="minorHAnsi"/>
                <w:b/>
                <w:bCs/>
                <w:sz w:val="20"/>
                <w:lang w:val="sv-SE" w:eastAsia="ko-KR"/>
              </w:rPr>
            </w:pPr>
            <w:r w:rsidRPr="00027463">
              <w:rPr>
                <w:rFonts w:eastAsia="Batang" w:cstheme="minorHAnsi"/>
                <w:b/>
                <w:bCs/>
                <w:sz w:val="20"/>
                <w:lang w:val="sv-SE" w:eastAsia="ko-KR"/>
              </w:rPr>
              <w:t>MLT</w:t>
            </w:r>
          </w:p>
        </w:tc>
        <w:tc>
          <w:tcPr>
            <w:tcW w:w="1559" w:type="dxa"/>
            <w:tcBorders>
              <w:top w:val="nil"/>
              <w:left w:val="single" w:sz="8" w:space="0" w:color="auto"/>
              <w:bottom w:val="single" w:sz="8" w:space="0" w:color="auto"/>
              <w:right w:val="single" w:sz="8" w:space="0" w:color="auto"/>
            </w:tcBorders>
            <w:shd w:val="clear" w:color="auto" w:fill="auto"/>
            <w:noWrap/>
            <w:vAlign w:val="bottom"/>
          </w:tcPr>
          <w:p w:rsidR="00027463" w:rsidRPr="00027463" w:rsidRDefault="00027463" w:rsidP="00027463">
            <w:pPr>
              <w:tabs>
                <w:tab w:val="clear" w:pos="1134"/>
                <w:tab w:val="clear" w:pos="1871"/>
                <w:tab w:val="clear" w:pos="2268"/>
              </w:tabs>
              <w:overflowPunct/>
              <w:autoSpaceDE/>
              <w:autoSpaceDN/>
              <w:adjustRightInd/>
              <w:spacing w:before="0"/>
              <w:jc w:val="center"/>
              <w:textAlignment w:val="auto"/>
              <w:rPr>
                <w:rFonts w:eastAsia="Batang" w:cstheme="minorHAnsi"/>
                <w:sz w:val="20"/>
                <w:lang w:val="sv-SE" w:eastAsia="ko-KR"/>
              </w:rPr>
            </w:pPr>
          </w:p>
        </w:tc>
        <w:tc>
          <w:tcPr>
            <w:tcW w:w="1276" w:type="dxa"/>
            <w:tcBorders>
              <w:top w:val="nil"/>
              <w:left w:val="single" w:sz="8" w:space="0" w:color="auto"/>
              <w:bottom w:val="single" w:sz="8" w:space="0" w:color="auto"/>
              <w:right w:val="single" w:sz="8" w:space="0" w:color="auto"/>
            </w:tcBorders>
          </w:tcPr>
          <w:p w:rsidR="00027463" w:rsidRPr="00027463" w:rsidRDefault="00027463" w:rsidP="00644CEB">
            <w:pPr>
              <w:tabs>
                <w:tab w:val="clear" w:pos="1134"/>
                <w:tab w:val="clear" w:pos="1871"/>
                <w:tab w:val="clear" w:pos="2268"/>
              </w:tabs>
              <w:overflowPunct/>
              <w:autoSpaceDE/>
              <w:autoSpaceDN/>
              <w:adjustRightInd/>
              <w:spacing w:before="0"/>
              <w:textAlignment w:val="auto"/>
              <w:rPr>
                <w:rFonts w:eastAsia="Batang" w:cstheme="minorHAnsi"/>
                <w:sz w:val="20"/>
                <w:lang w:val="sv-SE" w:eastAsia="ko-KR"/>
              </w:rPr>
            </w:pPr>
          </w:p>
        </w:tc>
      </w:tr>
      <w:tr w:rsidR="00027463" w:rsidRPr="00472E66" w:rsidTr="00027463">
        <w:trPr>
          <w:trHeight w:val="199"/>
        </w:trPr>
        <w:tc>
          <w:tcPr>
            <w:tcW w:w="1858" w:type="dxa"/>
            <w:tcBorders>
              <w:top w:val="nil"/>
              <w:left w:val="single" w:sz="8" w:space="0" w:color="auto"/>
              <w:bottom w:val="single" w:sz="8" w:space="0" w:color="auto"/>
              <w:right w:val="nil"/>
            </w:tcBorders>
            <w:shd w:val="clear" w:color="auto" w:fill="auto"/>
          </w:tcPr>
          <w:p w:rsidR="00027463" w:rsidRPr="00027463" w:rsidRDefault="00027463" w:rsidP="00027463">
            <w:pPr>
              <w:tabs>
                <w:tab w:val="clear" w:pos="1134"/>
                <w:tab w:val="clear" w:pos="1871"/>
                <w:tab w:val="clear" w:pos="2268"/>
              </w:tabs>
              <w:overflowPunct/>
              <w:autoSpaceDE/>
              <w:autoSpaceDN/>
              <w:adjustRightInd/>
              <w:spacing w:before="0"/>
              <w:jc w:val="center"/>
              <w:textAlignment w:val="auto"/>
              <w:rPr>
                <w:rFonts w:eastAsia="Batang" w:cstheme="minorHAnsi"/>
                <w:b/>
                <w:bCs/>
                <w:sz w:val="20"/>
                <w:lang w:val="sv-SE" w:eastAsia="ko-KR"/>
              </w:rPr>
            </w:pPr>
            <w:r w:rsidRPr="00027463">
              <w:rPr>
                <w:rFonts w:eastAsia="Batang" w:cstheme="minorHAnsi"/>
                <w:b/>
                <w:bCs/>
                <w:sz w:val="20"/>
                <w:lang w:val="sv-SE" w:eastAsia="ko-KR"/>
              </w:rPr>
              <w:t>MNE</w:t>
            </w:r>
          </w:p>
        </w:tc>
        <w:tc>
          <w:tcPr>
            <w:tcW w:w="1559" w:type="dxa"/>
            <w:tcBorders>
              <w:top w:val="nil"/>
              <w:left w:val="single" w:sz="8" w:space="0" w:color="auto"/>
              <w:bottom w:val="single" w:sz="8" w:space="0" w:color="auto"/>
              <w:right w:val="single" w:sz="8" w:space="0" w:color="auto"/>
            </w:tcBorders>
            <w:shd w:val="clear" w:color="auto" w:fill="auto"/>
            <w:noWrap/>
            <w:vAlign w:val="bottom"/>
          </w:tcPr>
          <w:p w:rsidR="00027463" w:rsidRPr="00027463" w:rsidRDefault="00027463" w:rsidP="00027463">
            <w:pPr>
              <w:tabs>
                <w:tab w:val="clear" w:pos="1134"/>
                <w:tab w:val="clear" w:pos="1871"/>
                <w:tab w:val="clear" w:pos="2268"/>
              </w:tabs>
              <w:overflowPunct/>
              <w:autoSpaceDE/>
              <w:autoSpaceDN/>
              <w:adjustRightInd/>
              <w:spacing w:before="0"/>
              <w:jc w:val="center"/>
              <w:textAlignment w:val="auto"/>
              <w:rPr>
                <w:rFonts w:eastAsia="Batang" w:cstheme="minorHAnsi"/>
                <w:sz w:val="20"/>
                <w:lang w:val="sv-SE" w:eastAsia="ko-KR"/>
              </w:rPr>
            </w:pPr>
          </w:p>
        </w:tc>
        <w:tc>
          <w:tcPr>
            <w:tcW w:w="1276" w:type="dxa"/>
            <w:tcBorders>
              <w:top w:val="nil"/>
              <w:left w:val="single" w:sz="8" w:space="0" w:color="auto"/>
              <w:bottom w:val="single" w:sz="8" w:space="0" w:color="auto"/>
              <w:right w:val="single" w:sz="8" w:space="0" w:color="auto"/>
            </w:tcBorders>
          </w:tcPr>
          <w:p w:rsidR="00027463" w:rsidRPr="00027463" w:rsidRDefault="00027463" w:rsidP="00644CEB">
            <w:pPr>
              <w:tabs>
                <w:tab w:val="clear" w:pos="1134"/>
                <w:tab w:val="clear" w:pos="1871"/>
                <w:tab w:val="clear" w:pos="2268"/>
              </w:tabs>
              <w:overflowPunct/>
              <w:autoSpaceDE/>
              <w:autoSpaceDN/>
              <w:adjustRightInd/>
              <w:spacing w:before="0"/>
              <w:textAlignment w:val="auto"/>
              <w:rPr>
                <w:rFonts w:eastAsia="Batang" w:cstheme="minorHAnsi"/>
                <w:sz w:val="20"/>
                <w:lang w:val="sv-SE" w:eastAsia="ko-KR"/>
              </w:rPr>
            </w:pPr>
          </w:p>
        </w:tc>
      </w:tr>
      <w:tr w:rsidR="00027463" w:rsidRPr="00472E66" w:rsidTr="00027463">
        <w:trPr>
          <w:trHeight w:val="199"/>
        </w:trPr>
        <w:tc>
          <w:tcPr>
            <w:tcW w:w="1858" w:type="dxa"/>
            <w:tcBorders>
              <w:top w:val="nil"/>
              <w:left w:val="single" w:sz="8" w:space="0" w:color="auto"/>
              <w:bottom w:val="single" w:sz="8" w:space="0" w:color="auto"/>
              <w:right w:val="nil"/>
            </w:tcBorders>
            <w:shd w:val="clear" w:color="auto" w:fill="auto"/>
          </w:tcPr>
          <w:p w:rsidR="00027463" w:rsidRPr="00027463" w:rsidRDefault="00027463" w:rsidP="00027463">
            <w:pPr>
              <w:tabs>
                <w:tab w:val="clear" w:pos="1134"/>
                <w:tab w:val="clear" w:pos="1871"/>
                <w:tab w:val="clear" w:pos="2268"/>
              </w:tabs>
              <w:overflowPunct/>
              <w:autoSpaceDE/>
              <w:autoSpaceDN/>
              <w:adjustRightInd/>
              <w:spacing w:before="0"/>
              <w:jc w:val="center"/>
              <w:textAlignment w:val="auto"/>
              <w:rPr>
                <w:rFonts w:eastAsia="Batang" w:cstheme="minorHAnsi"/>
                <w:b/>
                <w:bCs/>
                <w:sz w:val="20"/>
                <w:lang w:val="sv-SE" w:eastAsia="ko-KR"/>
              </w:rPr>
            </w:pPr>
            <w:r w:rsidRPr="00027463">
              <w:rPr>
                <w:rFonts w:eastAsia="Batang" w:cstheme="minorHAnsi"/>
                <w:b/>
                <w:bCs/>
                <w:sz w:val="20"/>
                <w:lang w:val="sv-SE" w:eastAsia="ko-KR"/>
              </w:rPr>
              <w:t>NOR</w:t>
            </w:r>
          </w:p>
        </w:tc>
        <w:tc>
          <w:tcPr>
            <w:tcW w:w="1559" w:type="dxa"/>
            <w:tcBorders>
              <w:top w:val="nil"/>
              <w:left w:val="single" w:sz="8" w:space="0" w:color="auto"/>
              <w:bottom w:val="single" w:sz="8" w:space="0" w:color="auto"/>
              <w:right w:val="single" w:sz="8" w:space="0" w:color="auto"/>
            </w:tcBorders>
            <w:shd w:val="clear" w:color="auto" w:fill="auto"/>
            <w:noWrap/>
            <w:vAlign w:val="bottom"/>
          </w:tcPr>
          <w:p w:rsidR="00027463" w:rsidRPr="00027463" w:rsidRDefault="00027463" w:rsidP="00027463">
            <w:pPr>
              <w:tabs>
                <w:tab w:val="clear" w:pos="1134"/>
                <w:tab w:val="clear" w:pos="1871"/>
                <w:tab w:val="clear" w:pos="2268"/>
              </w:tabs>
              <w:overflowPunct/>
              <w:autoSpaceDE/>
              <w:autoSpaceDN/>
              <w:adjustRightInd/>
              <w:spacing w:before="0"/>
              <w:jc w:val="center"/>
              <w:textAlignment w:val="auto"/>
              <w:rPr>
                <w:rFonts w:eastAsia="Batang" w:cstheme="minorHAnsi"/>
                <w:sz w:val="20"/>
                <w:lang w:val="sv-SE" w:eastAsia="ko-KR"/>
              </w:rPr>
            </w:pPr>
            <w:r w:rsidRPr="00027463">
              <w:rPr>
                <w:rFonts w:eastAsia="Batang" w:cstheme="minorHAnsi"/>
                <w:sz w:val="20"/>
                <w:lang w:val="sv-SE" w:eastAsia="ko-KR"/>
              </w:rPr>
              <w:t>Yes</w:t>
            </w:r>
          </w:p>
        </w:tc>
        <w:tc>
          <w:tcPr>
            <w:tcW w:w="1276" w:type="dxa"/>
            <w:tcBorders>
              <w:top w:val="nil"/>
              <w:left w:val="single" w:sz="8" w:space="0" w:color="auto"/>
              <w:bottom w:val="single" w:sz="8" w:space="0" w:color="auto"/>
              <w:right w:val="single" w:sz="8" w:space="0" w:color="auto"/>
            </w:tcBorders>
          </w:tcPr>
          <w:p w:rsidR="00027463" w:rsidRPr="00027463" w:rsidRDefault="00027463" w:rsidP="00644CEB">
            <w:pPr>
              <w:tabs>
                <w:tab w:val="clear" w:pos="1134"/>
                <w:tab w:val="clear" w:pos="1871"/>
                <w:tab w:val="clear" w:pos="2268"/>
              </w:tabs>
              <w:overflowPunct/>
              <w:autoSpaceDE/>
              <w:autoSpaceDN/>
              <w:adjustRightInd/>
              <w:spacing w:before="0"/>
              <w:textAlignment w:val="auto"/>
              <w:rPr>
                <w:rFonts w:eastAsia="Batang" w:cstheme="minorHAnsi"/>
                <w:sz w:val="20"/>
                <w:lang w:val="sv-SE" w:eastAsia="ko-KR"/>
              </w:rPr>
            </w:pPr>
          </w:p>
        </w:tc>
      </w:tr>
      <w:tr w:rsidR="00027463" w:rsidRPr="00472E66" w:rsidTr="00027463">
        <w:trPr>
          <w:trHeight w:val="199"/>
        </w:trPr>
        <w:tc>
          <w:tcPr>
            <w:tcW w:w="1858" w:type="dxa"/>
            <w:tcBorders>
              <w:top w:val="nil"/>
              <w:left w:val="single" w:sz="8" w:space="0" w:color="auto"/>
              <w:bottom w:val="single" w:sz="8" w:space="0" w:color="auto"/>
              <w:right w:val="nil"/>
            </w:tcBorders>
            <w:shd w:val="clear" w:color="auto" w:fill="auto"/>
          </w:tcPr>
          <w:p w:rsidR="00027463" w:rsidRPr="00027463" w:rsidRDefault="00027463" w:rsidP="00027463">
            <w:pPr>
              <w:tabs>
                <w:tab w:val="clear" w:pos="1134"/>
                <w:tab w:val="clear" w:pos="1871"/>
                <w:tab w:val="clear" w:pos="2268"/>
              </w:tabs>
              <w:overflowPunct/>
              <w:autoSpaceDE/>
              <w:autoSpaceDN/>
              <w:adjustRightInd/>
              <w:spacing w:before="0"/>
              <w:jc w:val="center"/>
              <w:textAlignment w:val="auto"/>
              <w:rPr>
                <w:rFonts w:eastAsia="Batang" w:cstheme="minorHAnsi"/>
                <w:b/>
                <w:bCs/>
                <w:sz w:val="20"/>
                <w:lang w:val="sv-SE" w:eastAsia="ko-KR"/>
              </w:rPr>
            </w:pPr>
            <w:r w:rsidRPr="00027463">
              <w:rPr>
                <w:rFonts w:eastAsia="Batang" w:cstheme="minorHAnsi"/>
                <w:b/>
                <w:bCs/>
                <w:sz w:val="20"/>
                <w:lang w:val="sv-SE" w:eastAsia="ko-KR"/>
              </w:rPr>
              <w:t>POL</w:t>
            </w:r>
          </w:p>
        </w:tc>
        <w:tc>
          <w:tcPr>
            <w:tcW w:w="1559" w:type="dxa"/>
            <w:tcBorders>
              <w:top w:val="nil"/>
              <w:left w:val="single" w:sz="8" w:space="0" w:color="auto"/>
              <w:bottom w:val="single" w:sz="8" w:space="0" w:color="auto"/>
              <w:right w:val="single" w:sz="8" w:space="0" w:color="auto"/>
            </w:tcBorders>
            <w:shd w:val="clear" w:color="auto" w:fill="auto"/>
            <w:noWrap/>
            <w:vAlign w:val="bottom"/>
          </w:tcPr>
          <w:p w:rsidR="00027463" w:rsidRPr="00027463" w:rsidRDefault="00027463" w:rsidP="00027463">
            <w:pPr>
              <w:tabs>
                <w:tab w:val="clear" w:pos="1134"/>
                <w:tab w:val="clear" w:pos="1871"/>
                <w:tab w:val="clear" w:pos="2268"/>
              </w:tabs>
              <w:overflowPunct/>
              <w:autoSpaceDE/>
              <w:autoSpaceDN/>
              <w:adjustRightInd/>
              <w:spacing w:before="0"/>
              <w:jc w:val="center"/>
              <w:textAlignment w:val="auto"/>
              <w:rPr>
                <w:rFonts w:eastAsia="Batang" w:cstheme="minorHAnsi"/>
                <w:sz w:val="20"/>
                <w:lang w:val="sv-SE" w:eastAsia="ko-KR"/>
              </w:rPr>
            </w:pPr>
          </w:p>
        </w:tc>
        <w:tc>
          <w:tcPr>
            <w:tcW w:w="1276" w:type="dxa"/>
            <w:tcBorders>
              <w:top w:val="nil"/>
              <w:left w:val="single" w:sz="8" w:space="0" w:color="auto"/>
              <w:bottom w:val="single" w:sz="8" w:space="0" w:color="auto"/>
              <w:right w:val="single" w:sz="8" w:space="0" w:color="auto"/>
            </w:tcBorders>
          </w:tcPr>
          <w:p w:rsidR="00027463" w:rsidRPr="00027463" w:rsidRDefault="00027463" w:rsidP="00644CEB">
            <w:pPr>
              <w:tabs>
                <w:tab w:val="clear" w:pos="1134"/>
                <w:tab w:val="clear" w:pos="1871"/>
                <w:tab w:val="clear" w:pos="2268"/>
              </w:tabs>
              <w:overflowPunct/>
              <w:autoSpaceDE/>
              <w:autoSpaceDN/>
              <w:adjustRightInd/>
              <w:spacing w:before="0"/>
              <w:textAlignment w:val="auto"/>
              <w:rPr>
                <w:rFonts w:eastAsia="Batang" w:cstheme="minorHAnsi"/>
                <w:sz w:val="20"/>
                <w:lang w:val="sv-SE" w:eastAsia="ko-KR"/>
              </w:rPr>
            </w:pPr>
          </w:p>
        </w:tc>
      </w:tr>
      <w:tr w:rsidR="00027463" w:rsidRPr="00472E66" w:rsidTr="00027463">
        <w:trPr>
          <w:trHeight w:val="199"/>
        </w:trPr>
        <w:tc>
          <w:tcPr>
            <w:tcW w:w="1858" w:type="dxa"/>
            <w:tcBorders>
              <w:top w:val="nil"/>
              <w:left w:val="single" w:sz="8" w:space="0" w:color="auto"/>
              <w:bottom w:val="single" w:sz="8" w:space="0" w:color="auto"/>
              <w:right w:val="nil"/>
            </w:tcBorders>
            <w:shd w:val="clear" w:color="auto" w:fill="auto"/>
          </w:tcPr>
          <w:p w:rsidR="00027463" w:rsidRPr="00027463" w:rsidRDefault="00027463" w:rsidP="00027463">
            <w:pPr>
              <w:tabs>
                <w:tab w:val="clear" w:pos="1134"/>
                <w:tab w:val="clear" w:pos="1871"/>
                <w:tab w:val="clear" w:pos="2268"/>
              </w:tabs>
              <w:overflowPunct/>
              <w:autoSpaceDE/>
              <w:autoSpaceDN/>
              <w:adjustRightInd/>
              <w:spacing w:before="0"/>
              <w:jc w:val="center"/>
              <w:textAlignment w:val="auto"/>
              <w:rPr>
                <w:rFonts w:eastAsia="Batang" w:cstheme="minorHAnsi"/>
                <w:b/>
                <w:bCs/>
                <w:sz w:val="20"/>
                <w:lang w:val="sv-SE" w:eastAsia="ko-KR"/>
              </w:rPr>
            </w:pPr>
            <w:r w:rsidRPr="00027463">
              <w:rPr>
                <w:rFonts w:eastAsia="Batang" w:cstheme="minorHAnsi"/>
                <w:b/>
                <w:bCs/>
                <w:sz w:val="20"/>
                <w:lang w:val="sv-SE" w:eastAsia="ko-KR"/>
              </w:rPr>
              <w:t>POR</w:t>
            </w:r>
          </w:p>
        </w:tc>
        <w:tc>
          <w:tcPr>
            <w:tcW w:w="1559" w:type="dxa"/>
            <w:tcBorders>
              <w:top w:val="nil"/>
              <w:left w:val="single" w:sz="8" w:space="0" w:color="auto"/>
              <w:bottom w:val="single" w:sz="8" w:space="0" w:color="auto"/>
              <w:right w:val="single" w:sz="8" w:space="0" w:color="auto"/>
            </w:tcBorders>
            <w:shd w:val="clear" w:color="auto" w:fill="auto"/>
            <w:noWrap/>
            <w:vAlign w:val="bottom"/>
          </w:tcPr>
          <w:p w:rsidR="00027463" w:rsidRPr="00027463" w:rsidRDefault="00027463" w:rsidP="00027463">
            <w:pPr>
              <w:tabs>
                <w:tab w:val="clear" w:pos="1134"/>
                <w:tab w:val="clear" w:pos="1871"/>
                <w:tab w:val="clear" w:pos="2268"/>
              </w:tabs>
              <w:overflowPunct/>
              <w:autoSpaceDE/>
              <w:autoSpaceDN/>
              <w:adjustRightInd/>
              <w:spacing w:before="0"/>
              <w:jc w:val="center"/>
              <w:textAlignment w:val="auto"/>
              <w:rPr>
                <w:rFonts w:eastAsia="Batang" w:cstheme="minorHAnsi"/>
                <w:sz w:val="20"/>
                <w:lang w:val="sv-SE" w:eastAsia="ko-KR"/>
              </w:rPr>
            </w:pPr>
            <w:r w:rsidRPr="00027463">
              <w:rPr>
                <w:rFonts w:eastAsia="Batang" w:cstheme="minorHAnsi"/>
                <w:sz w:val="20"/>
                <w:lang w:val="sv-SE" w:eastAsia="ko-KR"/>
              </w:rPr>
              <w:t>Yes</w:t>
            </w:r>
          </w:p>
        </w:tc>
        <w:tc>
          <w:tcPr>
            <w:tcW w:w="1276" w:type="dxa"/>
            <w:tcBorders>
              <w:top w:val="nil"/>
              <w:left w:val="single" w:sz="8" w:space="0" w:color="auto"/>
              <w:bottom w:val="single" w:sz="8" w:space="0" w:color="auto"/>
              <w:right w:val="single" w:sz="8" w:space="0" w:color="auto"/>
            </w:tcBorders>
          </w:tcPr>
          <w:p w:rsidR="00027463" w:rsidRPr="00027463" w:rsidRDefault="00027463" w:rsidP="00644CEB">
            <w:pPr>
              <w:tabs>
                <w:tab w:val="clear" w:pos="1134"/>
                <w:tab w:val="clear" w:pos="1871"/>
                <w:tab w:val="clear" w:pos="2268"/>
              </w:tabs>
              <w:overflowPunct/>
              <w:autoSpaceDE/>
              <w:autoSpaceDN/>
              <w:adjustRightInd/>
              <w:spacing w:before="0"/>
              <w:textAlignment w:val="auto"/>
              <w:rPr>
                <w:rFonts w:eastAsia="Batang" w:cstheme="minorHAnsi"/>
                <w:sz w:val="20"/>
                <w:lang w:val="sv-SE" w:eastAsia="ko-KR"/>
              </w:rPr>
            </w:pPr>
          </w:p>
        </w:tc>
      </w:tr>
      <w:tr w:rsidR="00027463" w:rsidRPr="00472E66" w:rsidTr="00027463">
        <w:trPr>
          <w:trHeight w:val="199"/>
        </w:trPr>
        <w:tc>
          <w:tcPr>
            <w:tcW w:w="1858" w:type="dxa"/>
            <w:tcBorders>
              <w:top w:val="nil"/>
              <w:left w:val="single" w:sz="8" w:space="0" w:color="auto"/>
              <w:bottom w:val="single" w:sz="8" w:space="0" w:color="auto"/>
              <w:right w:val="nil"/>
            </w:tcBorders>
            <w:shd w:val="clear" w:color="auto" w:fill="auto"/>
          </w:tcPr>
          <w:p w:rsidR="00027463" w:rsidRPr="00027463" w:rsidRDefault="00027463" w:rsidP="00027463">
            <w:pPr>
              <w:tabs>
                <w:tab w:val="clear" w:pos="1134"/>
                <w:tab w:val="clear" w:pos="1871"/>
                <w:tab w:val="clear" w:pos="2268"/>
              </w:tabs>
              <w:overflowPunct/>
              <w:autoSpaceDE/>
              <w:autoSpaceDN/>
              <w:adjustRightInd/>
              <w:spacing w:before="0"/>
              <w:jc w:val="center"/>
              <w:textAlignment w:val="auto"/>
              <w:rPr>
                <w:rFonts w:eastAsia="Batang" w:cstheme="minorHAnsi"/>
                <w:b/>
                <w:bCs/>
                <w:sz w:val="20"/>
                <w:lang w:val="sv-SE" w:eastAsia="ko-KR"/>
              </w:rPr>
            </w:pPr>
            <w:r w:rsidRPr="00027463">
              <w:rPr>
                <w:rFonts w:eastAsia="Batang" w:cstheme="minorHAnsi"/>
                <w:b/>
                <w:bCs/>
                <w:sz w:val="20"/>
                <w:lang w:val="sv-SE" w:eastAsia="ko-KR"/>
              </w:rPr>
              <w:t>ROU</w:t>
            </w:r>
          </w:p>
        </w:tc>
        <w:tc>
          <w:tcPr>
            <w:tcW w:w="1559" w:type="dxa"/>
            <w:tcBorders>
              <w:top w:val="nil"/>
              <w:left w:val="single" w:sz="8" w:space="0" w:color="auto"/>
              <w:bottom w:val="single" w:sz="8" w:space="0" w:color="auto"/>
              <w:right w:val="single" w:sz="8" w:space="0" w:color="auto"/>
            </w:tcBorders>
            <w:shd w:val="clear" w:color="auto" w:fill="auto"/>
            <w:noWrap/>
            <w:vAlign w:val="bottom"/>
          </w:tcPr>
          <w:p w:rsidR="00027463" w:rsidRPr="00027463" w:rsidRDefault="00027463" w:rsidP="00027463">
            <w:pPr>
              <w:tabs>
                <w:tab w:val="clear" w:pos="1134"/>
                <w:tab w:val="clear" w:pos="1871"/>
                <w:tab w:val="clear" w:pos="2268"/>
              </w:tabs>
              <w:overflowPunct/>
              <w:autoSpaceDE/>
              <w:autoSpaceDN/>
              <w:adjustRightInd/>
              <w:spacing w:before="0"/>
              <w:jc w:val="center"/>
              <w:textAlignment w:val="auto"/>
              <w:rPr>
                <w:rFonts w:eastAsia="Batang" w:cstheme="minorHAnsi"/>
                <w:sz w:val="20"/>
                <w:lang w:val="sv-SE" w:eastAsia="ko-KR"/>
              </w:rPr>
            </w:pPr>
            <w:r w:rsidRPr="00027463">
              <w:rPr>
                <w:rFonts w:eastAsia="Batang" w:cstheme="minorHAnsi"/>
                <w:sz w:val="20"/>
                <w:lang w:val="sv-SE" w:eastAsia="ko-KR"/>
              </w:rPr>
              <w:t>Yes</w:t>
            </w:r>
          </w:p>
        </w:tc>
        <w:tc>
          <w:tcPr>
            <w:tcW w:w="1276" w:type="dxa"/>
            <w:tcBorders>
              <w:top w:val="nil"/>
              <w:left w:val="single" w:sz="8" w:space="0" w:color="auto"/>
              <w:bottom w:val="single" w:sz="8" w:space="0" w:color="auto"/>
              <w:right w:val="single" w:sz="8" w:space="0" w:color="auto"/>
            </w:tcBorders>
          </w:tcPr>
          <w:p w:rsidR="00027463" w:rsidRPr="00027463" w:rsidRDefault="00027463" w:rsidP="00644CEB">
            <w:pPr>
              <w:tabs>
                <w:tab w:val="clear" w:pos="1134"/>
                <w:tab w:val="clear" w:pos="1871"/>
                <w:tab w:val="clear" w:pos="2268"/>
              </w:tabs>
              <w:overflowPunct/>
              <w:autoSpaceDE/>
              <w:autoSpaceDN/>
              <w:adjustRightInd/>
              <w:spacing w:before="0"/>
              <w:textAlignment w:val="auto"/>
              <w:rPr>
                <w:rFonts w:eastAsia="Batang" w:cstheme="minorHAnsi"/>
                <w:sz w:val="20"/>
                <w:lang w:val="sv-SE" w:eastAsia="ko-KR"/>
              </w:rPr>
            </w:pPr>
          </w:p>
        </w:tc>
      </w:tr>
      <w:tr w:rsidR="00027463" w:rsidRPr="00472E66" w:rsidTr="00027463">
        <w:trPr>
          <w:trHeight w:val="199"/>
        </w:trPr>
        <w:tc>
          <w:tcPr>
            <w:tcW w:w="1858" w:type="dxa"/>
            <w:tcBorders>
              <w:top w:val="nil"/>
              <w:left w:val="single" w:sz="8" w:space="0" w:color="auto"/>
              <w:bottom w:val="single" w:sz="8" w:space="0" w:color="auto"/>
              <w:right w:val="nil"/>
            </w:tcBorders>
            <w:shd w:val="clear" w:color="auto" w:fill="auto"/>
          </w:tcPr>
          <w:p w:rsidR="00027463" w:rsidRPr="00027463" w:rsidRDefault="00027463" w:rsidP="00027463">
            <w:pPr>
              <w:tabs>
                <w:tab w:val="clear" w:pos="1134"/>
                <w:tab w:val="clear" w:pos="1871"/>
                <w:tab w:val="clear" w:pos="2268"/>
              </w:tabs>
              <w:overflowPunct/>
              <w:autoSpaceDE/>
              <w:autoSpaceDN/>
              <w:adjustRightInd/>
              <w:spacing w:before="0"/>
              <w:jc w:val="center"/>
              <w:textAlignment w:val="auto"/>
              <w:rPr>
                <w:rFonts w:eastAsia="Batang" w:cstheme="minorHAnsi"/>
                <w:b/>
                <w:bCs/>
                <w:sz w:val="20"/>
                <w:lang w:val="sv-SE" w:eastAsia="ko-KR"/>
              </w:rPr>
            </w:pPr>
            <w:r w:rsidRPr="00027463">
              <w:rPr>
                <w:rFonts w:eastAsia="Batang" w:cstheme="minorHAnsi"/>
                <w:b/>
                <w:bCs/>
                <w:sz w:val="20"/>
                <w:lang w:val="sv-SE" w:eastAsia="ko-KR"/>
              </w:rPr>
              <w:t>RUS</w:t>
            </w:r>
          </w:p>
        </w:tc>
        <w:tc>
          <w:tcPr>
            <w:tcW w:w="1559" w:type="dxa"/>
            <w:tcBorders>
              <w:top w:val="nil"/>
              <w:left w:val="single" w:sz="8" w:space="0" w:color="auto"/>
              <w:bottom w:val="single" w:sz="8" w:space="0" w:color="auto"/>
              <w:right w:val="single" w:sz="8" w:space="0" w:color="auto"/>
            </w:tcBorders>
            <w:shd w:val="clear" w:color="auto" w:fill="auto"/>
            <w:noWrap/>
            <w:vAlign w:val="bottom"/>
          </w:tcPr>
          <w:p w:rsidR="00027463" w:rsidRPr="00027463" w:rsidRDefault="00027463" w:rsidP="00027463">
            <w:pPr>
              <w:tabs>
                <w:tab w:val="clear" w:pos="1134"/>
                <w:tab w:val="clear" w:pos="1871"/>
                <w:tab w:val="clear" w:pos="2268"/>
              </w:tabs>
              <w:overflowPunct/>
              <w:autoSpaceDE/>
              <w:autoSpaceDN/>
              <w:adjustRightInd/>
              <w:spacing w:before="0"/>
              <w:jc w:val="center"/>
              <w:textAlignment w:val="auto"/>
              <w:rPr>
                <w:rFonts w:eastAsia="Batang" w:cstheme="minorHAnsi"/>
                <w:sz w:val="20"/>
                <w:lang w:val="sv-SE" w:eastAsia="ko-KR"/>
              </w:rPr>
            </w:pPr>
          </w:p>
        </w:tc>
        <w:tc>
          <w:tcPr>
            <w:tcW w:w="1276" w:type="dxa"/>
            <w:tcBorders>
              <w:top w:val="nil"/>
              <w:left w:val="single" w:sz="8" w:space="0" w:color="auto"/>
              <w:bottom w:val="single" w:sz="8" w:space="0" w:color="auto"/>
              <w:right w:val="single" w:sz="8" w:space="0" w:color="auto"/>
            </w:tcBorders>
          </w:tcPr>
          <w:p w:rsidR="00027463" w:rsidRPr="00027463" w:rsidRDefault="00027463" w:rsidP="00644CEB">
            <w:pPr>
              <w:tabs>
                <w:tab w:val="clear" w:pos="1134"/>
                <w:tab w:val="clear" w:pos="1871"/>
                <w:tab w:val="clear" w:pos="2268"/>
              </w:tabs>
              <w:overflowPunct/>
              <w:autoSpaceDE/>
              <w:autoSpaceDN/>
              <w:adjustRightInd/>
              <w:spacing w:before="0"/>
              <w:textAlignment w:val="auto"/>
              <w:rPr>
                <w:rFonts w:eastAsia="Batang" w:cstheme="minorHAnsi"/>
                <w:sz w:val="20"/>
                <w:lang w:val="sv-SE" w:eastAsia="ko-KR"/>
              </w:rPr>
            </w:pPr>
          </w:p>
        </w:tc>
      </w:tr>
      <w:tr w:rsidR="00027463" w:rsidRPr="00472E66" w:rsidTr="00027463">
        <w:trPr>
          <w:trHeight w:val="199"/>
        </w:trPr>
        <w:tc>
          <w:tcPr>
            <w:tcW w:w="1858" w:type="dxa"/>
            <w:tcBorders>
              <w:top w:val="nil"/>
              <w:left w:val="single" w:sz="8" w:space="0" w:color="auto"/>
              <w:bottom w:val="single" w:sz="8" w:space="0" w:color="auto"/>
              <w:right w:val="nil"/>
            </w:tcBorders>
            <w:shd w:val="clear" w:color="auto" w:fill="auto"/>
          </w:tcPr>
          <w:p w:rsidR="00027463" w:rsidRPr="00027463" w:rsidRDefault="00027463" w:rsidP="00027463">
            <w:pPr>
              <w:tabs>
                <w:tab w:val="clear" w:pos="1134"/>
                <w:tab w:val="clear" w:pos="1871"/>
                <w:tab w:val="clear" w:pos="2268"/>
              </w:tabs>
              <w:overflowPunct/>
              <w:autoSpaceDE/>
              <w:autoSpaceDN/>
              <w:adjustRightInd/>
              <w:spacing w:before="0"/>
              <w:jc w:val="center"/>
              <w:textAlignment w:val="auto"/>
              <w:rPr>
                <w:rFonts w:eastAsia="Batang" w:cstheme="minorHAnsi"/>
                <w:b/>
                <w:bCs/>
                <w:sz w:val="20"/>
                <w:lang w:val="sv-SE" w:eastAsia="ko-KR"/>
              </w:rPr>
            </w:pPr>
            <w:r w:rsidRPr="00027463">
              <w:rPr>
                <w:rFonts w:eastAsia="Batang" w:cstheme="minorHAnsi"/>
                <w:b/>
                <w:bCs/>
                <w:sz w:val="20"/>
                <w:lang w:val="sv-SE" w:eastAsia="ko-KR"/>
              </w:rPr>
              <w:t>S</w:t>
            </w:r>
          </w:p>
        </w:tc>
        <w:tc>
          <w:tcPr>
            <w:tcW w:w="1559" w:type="dxa"/>
            <w:tcBorders>
              <w:top w:val="nil"/>
              <w:left w:val="single" w:sz="8" w:space="0" w:color="auto"/>
              <w:bottom w:val="single" w:sz="8" w:space="0" w:color="auto"/>
              <w:right w:val="single" w:sz="8" w:space="0" w:color="auto"/>
            </w:tcBorders>
            <w:shd w:val="clear" w:color="auto" w:fill="auto"/>
            <w:noWrap/>
            <w:vAlign w:val="bottom"/>
          </w:tcPr>
          <w:p w:rsidR="00027463" w:rsidRPr="00027463" w:rsidRDefault="00027463" w:rsidP="00027463">
            <w:pPr>
              <w:tabs>
                <w:tab w:val="clear" w:pos="1134"/>
                <w:tab w:val="clear" w:pos="1871"/>
                <w:tab w:val="clear" w:pos="2268"/>
              </w:tabs>
              <w:overflowPunct/>
              <w:autoSpaceDE/>
              <w:autoSpaceDN/>
              <w:adjustRightInd/>
              <w:spacing w:before="0"/>
              <w:jc w:val="center"/>
              <w:textAlignment w:val="auto"/>
              <w:rPr>
                <w:rFonts w:eastAsia="Batang" w:cstheme="minorHAnsi"/>
                <w:sz w:val="20"/>
                <w:lang w:val="sv-SE" w:eastAsia="ko-KR"/>
              </w:rPr>
            </w:pPr>
          </w:p>
        </w:tc>
        <w:tc>
          <w:tcPr>
            <w:tcW w:w="1276" w:type="dxa"/>
            <w:tcBorders>
              <w:top w:val="nil"/>
              <w:left w:val="single" w:sz="8" w:space="0" w:color="auto"/>
              <w:bottom w:val="single" w:sz="8" w:space="0" w:color="auto"/>
              <w:right w:val="single" w:sz="8" w:space="0" w:color="auto"/>
            </w:tcBorders>
          </w:tcPr>
          <w:p w:rsidR="00027463" w:rsidRPr="00027463" w:rsidRDefault="00027463" w:rsidP="00644CEB">
            <w:pPr>
              <w:tabs>
                <w:tab w:val="clear" w:pos="1134"/>
                <w:tab w:val="clear" w:pos="1871"/>
                <w:tab w:val="clear" w:pos="2268"/>
              </w:tabs>
              <w:overflowPunct/>
              <w:autoSpaceDE/>
              <w:autoSpaceDN/>
              <w:adjustRightInd/>
              <w:spacing w:before="0"/>
              <w:textAlignment w:val="auto"/>
              <w:rPr>
                <w:rFonts w:eastAsia="Batang" w:cstheme="minorHAnsi"/>
                <w:sz w:val="20"/>
                <w:lang w:val="sv-SE" w:eastAsia="ko-KR"/>
              </w:rPr>
            </w:pPr>
          </w:p>
        </w:tc>
      </w:tr>
      <w:tr w:rsidR="00027463" w:rsidRPr="00472E66" w:rsidTr="00027463">
        <w:trPr>
          <w:trHeight w:val="199"/>
        </w:trPr>
        <w:tc>
          <w:tcPr>
            <w:tcW w:w="1858" w:type="dxa"/>
            <w:tcBorders>
              <w:top w:val="nil"/>
              <w:left w:val="single" w:sz="8" w:space="0" w:color="auto"/>
              <w:bottom w:val="single" w:sz="8" w:space="0" w:color="auto"/>
              <w:right w:val="nil"/>
            </w:tcBorders>
            <w:shd w:val="clear" w:color="auto" w:fill="auto"/>
          </w:tcPr>
          <w:p w:rsidR="00027463" w:rsidRPr="00027463" w:rsidRDefault="00027463" w:rsidP="00027463">
            <w:pPr>
              <w:tabs>
                <w:tab w:val="clear" w:pos="1134"/>
                <w:tab w:val="clear" w:pos="1871"/>
                <w:tab w:val="clear" w:pos="2268"/>
              </w:tabs>
              <w:overflowPunct/>
              <w:autoSpaceDE/>
              <w:autoSpaceDN/>
              <w:adjustRightInd/>
              <w:spacing w:before="0"/>
              <w:jc w:val="center"/>
              <w:textAlignment w:val="auto"/>
              <w:rPr>
                <w:rFonts w:eastAsia="Batang" w:cstheme="minorHAnsi"/>
                <w:b/>
                <w:bCs/>
                <w:sz w:val="20"/>
                <w:lang w:val="sv-SE" w:eastAsia="ko-KR"/>
              </w:rPr>
            </w:pPr>
            <w:r w:rsidRPr="00027463">
              <w:rPr>
                <w:rFonts w:eastAsia="Batang" w:cstheme="minorHAnsi"/>
                <w:b/>
                <w:bCs/>
                <w:sz w:val="20"/>
                <w:lang w:val="sv-SE" w:eastAsia="ko-KR"/>
              </w:rPr>
              <w:t>SMR</w:t>
            </w:r>
          </w:p>
        </w:tc>
        <w:tc>
          <w:tcPr>
            <w:tcW w:w="1559" w:type="dxa"/>
            <w:tcBorders>
              <w:top w:val="nil"/>
              <w:left w:val="single" w:sz="8" w:space="0" w:color="auto"/>
              <w:bottom w:val="single" w:sz="8" w:space="0" w:color="auto"/>
              <w:right w:val="single" w:sz="8" w:space="0" w:color="auto"/>
            </w:tcBorders>
            <w:shd w:val="clear" w:color="auto" w:fill="auto"/>
            <w:noWrap/>
            <w:vAlign w:val="bottom"/>
          </w:tcPr>
          <w:p w:rsidR="00027463" w:rsidRPr="00027463" w:rsidRDefault="00027463" w:rsidP="00027463">
            <w:pPr>
              <w:tabs>
                <w:tab w:val="clear" w:pos="1134"/>
                <w:tab w:val="clear" w:pos="1871"/>
                <w:tab w:val="clear" w:pos="2268"/>
              </w:tabs>
              <w:overflowPunct/>
              <w:autoSpaceDE/>
              <w:autoSpaceDN/>
              <w:adjustRightInd/>
              <w:spacing w:before="0"/>
              <w:jc w:val="center"/>
              <w:textAlignment w:val="auto"/>
              <w:rPr>
                <w:rFonts w:eastAsia="Batang" w:cstheme="minorHAnsi"/>
                <w:sz w:val="20"/>
                <w:lang w:val="sv-SE" w:eastAsia="ko-KR"/>
              </w:rPr>
            </w:pPr>
          </w:p>
        </w:tc>
        <w:tc>
          <w:tcPr>
            <w:tcW w:w="1276" w:type="dxa"/>
            <w:tcBorders>
              <w:top w:val="nil"/>
              <w:left w:val="single" w:sz="8" w:space="0" w:color="auto"/>
              <w:bottom w:val="single" w:sz="8" w:space="0" w:color="auto"/>
              <w:right w:val="single" w:sz="8" w:space="0" w:color="auto"/>
            </w:tcBorders>
          </w:tcPr>
          <w:p w:rsidR="00027463" w:rsidRPr="00027463" w:rsidRDefault="00027463" w:rsidP="00644CEB">
            <w:pPr>
              <w:tabs>
                <w:tab w:val="clear" w:pos="1134"/>
                <w:tab w:val="clear" w:pos="1871"/>
                <w:tab w:val="clear" w:pos="2268"/>
              </w:tabs>
              <w:overflowPunct/>
              <w:autoSpaceDE/>
              <w:autoSpaceDN/>
              <w:adjustRightInd/>
              <w:spacing w:before="0"/>
              <w:textAlignment w:val="auto"/>
              <w:rPr>
                <w:rFonts w:eastAsia="Batang" w:cstheme="minorHAnsi"/>
                <w:sz w:val="20"/>
                <w:lang w:val="sv-SE" w:eastAsia="ko-KR"/>
              </w:rPr>
            </w:pPr>
          </w:p>
        </w:tc>
      </w:tr>
      <w:tr w:rsidR="00027463" w:rsidRPr="00472E66" w:rsidTr="00027463">
        <w:trPr>
          <w:trHeight w:val="199"/>
        </w:trPr>
        <w:tc>
          <w:tcPr>
            <w:tcW w:w="1858" w:type="dxa"/>
            <w:tcBorders>
              <w:top w:val="nil"/>
              <w:left w:val="single" w:sz="8" w:space="0" w:color="auto"/>
              <w:bottom w:val="single" w:sz="8" w:space="0" w:color="auto"/>
              <w:right w:val="nil"/>
            </w:tcBorders>
            <w:shd w:val="clear" w:color="auto" w:fill="auto"/>
          </w:tcPr>
          <w:p w:rsidR="00027463" w:rsidRPr="00027463" w:rsidRDefault="00027463" w:rsidP="00027463">
            <w:pPr>
              <w:tabs>
                <w:tab w:val="clear" w:pos="1134"/>
                <w:tab w:val="clear" w:pos="1871"/>
                <w:tab w:val="clear" w:pos="2268"/>
              </w:tabs>
              <w:overflowPunct/>
              <w:autoSpaceDE/>
              <w:autoSpaceDN/>
              <w:adjustRightInd/>
              <w:spacing w:before="0"/>
              <w:jc w:val="center"/>
              <w:textAlignment w:val="auto"/>
              <w:rPr>
                <w:rFonts w:eastAsia="Batang" w:cstheme="minorHAnsi"/>
                <w:b/>
                <w:bCs/>
                <w:sz w:val="20"/>
                <w:lang w:val="sv-SE" w:eastAsia="ko-KR"/>
              </w:rPr>
            </w:pPr>
            <w:r w:rsidRPr="00027463">
              <w:rPr>
                <w:rFonts w:eastAsia="Batang" w:cstheme="minorHAnsi"/>
                <w:b/>
                <w:bCs/>
                <w:sz w:val="20"/>
                <w:lang w:val="sv-SE" w:eastAsia="ko-KR"/>
              </w:rPr>
              <w:t>SRB</w:t>
            </w:r>
          </w:p>
        </w:tc>
        <w:tc>
          <w:tcPr>
            <w:tcW w:w="1559" w:type="dxa"/>
            <w:tcBorders>
              <w:top w:val="nil"/>
              <w:left w:val="single" w:sz="8" w:space="0" w:color="auto"/>
              <w:bottom w:val="single" w:sz="8" w:space="0" w:color="auto"/>
              <w:right w:val="single" w:sz="8" w:space="0" w:color="auto"/>
            </w:tcBorders>
            <w:shd w:val="clear" w:color="auto" w:fill="auto"/>
            <w:noWrap/>
            <w:vAlign w:val="bottom"/>
          </w:tcPr>
          <w:p w:rsidR="00027463" w:rsidRPr="00027463" w:rsidRDefault="00027463" w:rsidP="00027463">
            <w:pPr>
              <w:tabs>
                <w:tab w:val="clear" w:pos="1134"/>
                <w:tab w:val="clear" w:pos="1871"/>
                <w:tab w:val="clear" w:pos="2268"/>
              </w:tabs>
              <w:overflowPunct/>
              <w:autoSpaceDE/>
              <w:autoSpaceDN/>
              <w:adjustRightInd/>
              <w:spacing w:before="0"/>
              <w:jc w:val="center"/>
              <w:textAlignment w:val="auto"/>
              <w:rPr>
                <w:rFonts w:eastAsia="Batang" w:cstheme="minorHAnsi"/>
                <w:sz w:val="20"/>
                <w:lang w:val="sv-SE" w:eastAsia="ko-KR"/>
              </w:rPr>
            </w:pPr>
          </w:p>
        </w:tc>
        <w:tc>
          <w:tcPr>
            <w:tcW w:w="1276" w:type="dxa"/>
            <w:tcBorders>
              <w:top w:val="nil"/>
              <w:left w:val="single" w:sz="8" w:space="0" w:color="auto"/>
              <w:bottom w:val="single" w:sz="8" w:space="0" w:color="auto"/>
              <w:right w:val="single" w:sz="8" w:space="0" w:color="auto"/>
            </w:tcBorders>
          </w:tcPr>
          <w:p w:rsidR="00027463" w:rsidRPr="00027463" w:rsidRDefault="00027463" w:rsidP="00644CEB">
            <w:pPr>
              <w:tabs>
                <w:tab w:val="clear" w:pos="1134"/>
                <w:tab w:val="clear" w:pos="1871"/>
                <w:tab w:val="clear" w:pos="2268"/>
              </w:tabs>
              <w:overflowPunct/>
              <w:autoSpaceDE/>
              <w:autoSpaceDN/>
              <w:adjustRightInd/>
              <w:spacing w:before="0"/>
              <w:textAlignment w:val="auto"/>
              <w:rPr>
                <w:rFonts w:eastAsia="Batang" w:cstheme="minorHAnsi"/>
                <w:sz w:val="20"/>
                <w:lang w:val="sv-SE" w:eastAsia="ko-KR"/>
              </w:rPr>
            </w:pPr>
          </w:p>
        </w:tc>
      </w:tr>
      <w:tr w:rsidR="00027463" w:rsidRPr="00472E66" w:rsidTr="00027463">
        <w:trPr>
          <w:trHeight w:val="199"/>
        </w:trPr>
        <w:tc>
          <w:tcPr>
            <w:tcW w:w="1858" w:type="dxa"/>
            <w:tcBorders>
              <w:top w:val="nil"/>
              <w:left w:val="single" w:sz="8" w:space="0" w:color="auto"/>
              <w:bottom w:val="single" w:sz="8" w:space="0" w:color="auto"/>
              <w:right w:val="nil"/>
            </w:tcBorders>
            <w:shd w:val="clear" w:color="auto" w:fill="auto"/>
          </w:tcPr>
          <w:p w:rsidR="00027463" w:rsidRPr="00027463" w:rsidRDefault="00027463" w:rsidP="00027463">
            <w:pPr>
              <w:tabs>
                <w:tab w:val="clear" w:pos="1134"/>
                <w:tab w:val="clear" w:pos="1871"/>
                <w:tab w:val="clear" w:pos="2268"/>
              </w:tabs>
              <w:overflowPunct/>
              <w:autoSpaceDE/>
              <w:autoSpaceDN/>
              <w:adjustRightInd/>
              <w:spacing w:before="0"/>
              <w:jc w:val="center"/>
              <w:textAlignment w:val="auto"/>
              <w:rPr>
                <w:rFonts w:eastAsia="Batang" w:cstheme="minorHAnsi"/>
                <w:b/>
                <w:bCs/>
                <w:sz w:val="20"/>
                <w:lang w:val="sv-SE" w:eastAsia="ko-KR"/>
              </w:rPr>
            </w:pPr>
            <w:r w:rsidRPr="00027463">
              <w:rPr>
                <w:rFonts w:eastAsia="Batang" w:cstheme="minorHAnsi"/>
                <w:b/>
                <w:bCs/>
                <w:sz w:val="20"/>
                <w:lang w:val="sv-SE" w:eastAsia="ko-KR"/>
              </w:rPr>
              <w:t>SUI</w:t>
            </w:r>
          </w:p>
        </w:tc>
        <w:tc>
          <w:tcPr>
            <w:tcW w:w="1559" w:type="dxa"/>
            <w:tcBorders>
              <w:top w:val="nil"/>
              <w:left w:val="single" w:sz="8" w:space="0" w:color="auto"/>
              <w:bottom w:val="single" w:sz="8" w:space="0" w:color="auto"/>
              <w:right w:val="single" w:sz="8" w:space="0" w:color="auto"/>
            </w:tcBorders>
            <w:shd w:val="clear" w:color="auto" w:fill="auto"/>
            <w:noWrap/>
            <w:vAlign w:val="bottom"/>
          </w:tcPr>
          <w:p w:rsidR="00027463" w:rsidRPr="00027463" w:rsidRDefault="00027463" w:rsidP="00027463">
            <w:pPr>
              <w:tabs>
                <w:tab w:val="clear" w:pos="1134"/>
                <w:tab w:val="clear" w:pos="1871"/>
                <w:tab w:val="clear" w:pos="2268"/>
              </w:tabs>
              <w:overflowPunct/>
              <w:autoSpaceDE/>
              <w:autoSpaceDN/>
              <w:adjustRightInd/>
              <w:spacing w:before="0"/>
              <w:jc w:val="center"/>
              <w:textAlignment w:val="auto"/>
              <w:rPr>
                <w:rFonts w:eastAsia="Batang" w:cstheme="minorHAnsi"/>
                <w:sz w:val="20"/>
                <w:lang w:val="sv-SE" w:eastAsia="ko-KR"/>
              </w:rPr>
            </w:pPr>
            <w:r w:rsidRPr="00027463">
              <w:rPr>
                <w:rFonts w:eastAsia="Batang" w:cstheme="minorHAnsi"/>
                <w:sz w:val="20"/>
                <w:lang w:val="sv-SE" w:eastAsia="ko-KR"/>
              </w:rPr>
              <w:t>Yes</w:t>
            </w:r>
          </w:p>
        </w:tc>
        <w:tc>
          <w:tcPr>
            <w:tcW w:w="1276" w:type="dxa"/>
            <w:tcBorders>
              <w:top w:val="nil"/>
              <w:left w:val="single" w:sz="8" w:space="0" w:color="auto"/>
              <w:bottom w:val="single" w:sz="8" w:space="0" w:color="auto"/>
              <w:right w:val="single" w:sz="8" w:space="0" w:color="auto"/>
            </w:tcBorders>
          </w:tcPr>
          <w:p w:rsidR="00027463" w:rsidRPr="00027463" w:rsidRDefault="00027463" w:rsidP="00644CEB">
            <w:pPr>
              <w:tabs>
                <w:tab w:val="clear" w:pos="1134"/>
                <w:tab w:val="clear" w:pos="1871"/>
                <w:tab w:val="clear" w:pos="2268"/>
              </w:tabs>
              <w:overflowPunct/>
              <w:autoSpaceDE/>
              <w:autoSpaceDN/>
              <w:adjustRightInd/>
              <w:spacing w:before="0"/>
              <w:textAlignment w:val="auto"/>
              <w:rPr>
                <w:rFonts w:eastAsia="Batang" w:cstheme="minorHAnsi"/>
                <w:sz w:val="20"/>
                <w:lang w:val="sv-SE" w:eastAsia="ko-KR"/>
              </w:rPr>
            </w:pPr>
          </w:p>
        </w:tc>
      </w:tr>
      <w:tr w:rsidR="00027463" w:rsidRPr="00472E66" w:rsidTr="00027463">
        <w:trPr>
          <w:trHeight w:val="199"/>
        </w:trPr>
        <w:tc>
          <w:tcPr>
            <w:tcW w:w="1858" w:type="dxa"/>
            <w:tcBorders>
              <w:top w:val="nil"/>
              <w:left w:val="single" w:sz="8" w:space="0" w:color="auto"/>
              <w:bottom w:val="single" w:sz="8" w:space="0" w:color="auto"/>
              <w:right w:val="nil"/>
            </w:tcBorders>
            <w:shd w:val="clear" w:color="auto" w:fill="auto"/>
          </w:tcPr>
          <w:p w:rsidR="00027463" w:rsidRPr="00027463" w:rsidRDefault="00027463" w:rsidP="00027463">
            <w:pPr>
              <w:tabs>
                <w:tab w:val="clear" w:pos="1134"/>
                <w:tab w:val="clear" w:pos="1871"/>
                <w:tab w:val="clear" w:pos="2268"/>
              </w:tabs>
              <w:overflowPunct/>
              <w:autoSpaceDE/>
              <w:autoSpaceDN/>
              <w:adjustRightInd/>
              <w:spacing w:before="0"/>
              <w:jc w:val="center"/>
              <w:textAlignment w:val="auto"/>
              <w:rPr>
                <w:rFonts w:eastAsia="Batang" w:cstheme="minorHAnsi"/>
                <w:b/>
                <w:bCs/>
                <w:sz w:val="20"/>
                <w:lang w:val="sv-SE" w:eastAsia="ko-KR"/>
              </w:rPr>
            </w:pPr>
            <w:r w:rsidRPr="00027463">
              <w:rPr>
                <w:rFonts w:eastAsia="Batang" w:cstheme="minorHAnsi"/>
                <w:b/>
                <w:bCs/>
                <w:sz w:val="20"/>
                <w:lang w:val="sv-SE" w:eastAsia="ko-KR"/>
              </w:rPr>
              <w:t>SVK</w:t>
            </w:r>
          </w:p>
        </w:tc>
        <w:tc>
          <w:tcPr>
            <w:tcW w:w="1559" w:type="dxa"/>
            <w:tcBorders>
              <w:top w:val="nil"/>
              <w:left w:val="single" w:sz="8" w:space="0" w:color="auto"/>
              <w:bottom w:val="single" w:sz="8" w:space="0" w:color="auto"/>
              <w:right w:val="single" w:sz="8" w:space="0" w:color="auto"/>
            </w:tcBorders>
            <w:shd w:val="clear" w:color="auto" w:fill="auto"/>
            <w:noWrap/>
            <w:vAlign w:val="bottom"/>
          </w:tcPr>
          <w:p w:rsidR="00027463" w:rsidRPr="00027463" w:rsidRDefault="00027463" w:rsidP="00027463">
            <w:pPr>
              <w:tabs>
                <w:tab w:val="clear" w:pos="1134"/>
                <w:tab w:val="clear" w:pos="1871"/>
                <w:tab w:val="clear" w:pos="2268"/>
              </w:tabs>
              <w:overflowPunct/>
              <w:autoSpaceDE/>
              <w:autoSpaceDN/>
              <w:adjustRightInd/>
              <w:spacing w:before="0"/>
              <w:jc w:val="center"/>
              <w:textAlignment w:val="auto"/>
              <w:rPr>
                <w:rFonts w:eastAsia="Batang" w:cstheme="minorHAnsi"/>
                <w:sz w:val="20"/>
                <w:lang w:val="sv-SE" w:eastAsia="ko-KR"/>
              </w:rPr>
            </w:pPr>
            <w:r w:rsidRPr="00027463">
              <w:rPr>
                <w:rFonts w:eastAsia="Batang" w:cstheme="minorHAnsi"/>
                <w:sz w:val="20"/>
                <w:lang w:val="sv-SE" w:eastAsia="ko-KR"/>
              </w:rPr>
              <w:t>Yes</w:t>
            </w:r>
          </w:p>
        </w:tc>
        <w:tc>
          <w:tcPr>
            <w:tcW w:w="1276" w:type="dxa"/>
            <w:tcBorders>
              <w:top w:val="nil"/>
              <w:left w:val="single" w:sz="8" w:space="0" w:color="auto"/>
              <w:bottom w:val="single" w:sz="8" w:space="0" w:color="auto"/>
              <w:right w:val="single" w:sz="8" w:space="0" w:color="auto"/>
            </w:tcBorders>
          </w:tcPr>
          <w:p w:rsidR="00027463" w:rsidRPr="00027463" w:rsidRDefault="00027463" w:rsidP="00644CEB">
            <w:pPr>
              <w:tabs>
                <w:tab w:val="clear" w:pos="1134"/>
                <w:tab w:val="clear" w:pos="1871"/>
                <w:tab w:val="clear" w:pos="2268"/>
              </w:tabs>
              <w:overflowPunct/>
              <w:autoSpaceDE/>
              <w:autoSpaceDN/>
              <w:adjustRightInd/>
              <w:spacing w:before="0"/>
              <w:textAlignment w:val="auto"/>
              <w:rPr>
                <w:rFonts w:eastAsia="Batang" w:cstheme="minorHAnsi"/>
                <w:sz w:val="20"/>
                <w:lang w:val="sv-SE" w:eastAsia="ko-KR"/>
              </w:rPr>
            </w:pPr>
          </w:p>
        </w:tc>
      </w:tr>
      <w:tr w:rsidR="00027463" w:rsidRPr="00472E66" w:rsidTr="00027463">
        <w:trPr>
          <w:trHeight w:val="199"/>
        </w:trPr>
        <w:tc>
          <w:tcPr>
            <w:tcW w:w="1858" w:type="dxa"/>
            <w:tcBorders>
              <w:top w:val="nil"/>
              <w:left w:val="single" w:sz="8" w:space="0" w:color="auto"/>
              <w:bottom w:val="single" w:sz="8" w:space="0" w:color="auto"/>
              <w:right w:val="nil"/>
            </w:tcBorders>
            <w:shd w:val="clear" w:color="auto" w:fill="auto"/>
          </w:tcPr>
          <w:p w:rsidR="00027463" w:rsidRPr="00027463" w:rsidRDefault="00027463" w:rsidP="00027463">
            <w:pPr>
              <w:tabs>
                <w:tab w:val="clear" w:pos="1134"/>
                <w:tab w:val="clear" w:pos="1871"/>
                <w:tab w:val="clear" w:pos="2268"/>
              </w:tabs>
              <w:overflowPunct/>
              <w:autoSpaceDE/>
              <w:autoSpaceDN/>
              <w:adjustRightInd/>
              <w:spacing w:before="0"/>
              <w:jc w:val="center"/>
              <w:textAlignment w:val="auto"/>
              <w:rPr>
                <w:rFonts w:eastAsia="Batang" w:cstheme="minorHAnsi"/>
                <w:b/>
                <w:bCs/>
                <w:sz w:val="20"/>
                <w:lang w:val="sv-SE" w:eastAsia="ko-KR"/>
              </w:rPr>
            </w:pPr>
            <w:r w:rsidRPr="00027463">
              <w:rPr>
                <w:rFonts w:eastAsia="Batang" w:cstheme="minorHAnsi"/>
                <w:b/>
                <w:bCs/>
                <w:sz w:val="20"/>
                <w:lang w:val="sv-SE" w:eastAsia="ko-KR"/>
              </w:rPr>
              <w:t>SVN</w:t>
            </w:r>
          </w:p>
        </w:tc>
        <w:tc>
          <w:tcPr>
            <w:tcW w:w="1559" w:type="dxa"/>
            <w:tcBorders>
              <w:top w:val="nil"/>
              <w:left w:val="single" w:sz="8" w:space="0" w:color="auto"/>
              <w:bottom w:val="single" w:sz="8" w:space="0" w:color="auto"/>
              <w:right w:val="single" w:sz="8" w:space="0" w:color="auto"/>
            </w:tcBorders>
            <w:shd w:val="clear" w:color="auto" w:fill="auto"/>
            <w:noWrap/>
            <w:vAlign w:val="bottom"/>
          </w:tcPr>
          <w:p w:rsidR="00027463" w:rsidRPr="00027463" w:rsidRDefault="00027463" w:rsidP="00027463">
            <w:pPr>
              <w:tabs>
                <w:tab w:val="clear" w:pos="1134"/>
                <w:tab w:val="clear" w:pos="1871"/>
                <w:tab w:val="clear" w:pos="2268"/>
              </w:tabs>
              <w:overflowPunct/>
              <w:autoSpaceDE/>
              <w:autoSpaceDN/>
              <w:adjustRightInd/>
              <w:spacing w:before="0"/>
              <w:jc w:val="center"/>
              <w:textAlignment w:val="auto"/>
              <w:rPr>
                <w:rFonts w:eastAsia="Batang" w:cstheme="minorHAnsi"/>
                <w:sz w:val="20"/>
                <w:lang w:val="sv-SE" w:eastAsia="ko-KR"/>
              </w:rPr>
            </w:pPr>
          </w:p>
        </w:tc>
        <w:tc>
          <w:tcPr>
            <w:tcW w:w="1276" w:type="dxa"/>
            <w:tcBorders>
              <w:top w:val="nil"/>
              <w:left w:val="single" w:sz="8" w:space="0" w:color="auto"/>
              <w:bottom w:val="single" w:sz="8" w:space="0" w:color="auto"/>
              <w:right w:val="single" w:sz="8" w:space="0" w:color="auto"/>
            </w:tcBorders>
          </w:tcPr>
          <w:p w:rsidR="00027463" w:rsidRPr="00027463" w:rsidRDefault="00027463" w:rsidP="00644CEB">
            <w:pPr>
              <w:tabs>
                <w:tab w:val="clear" w:pos="1134"/>
                <w:tab w:val="clear" w:pos="1871"/>
                <w:tab w:val="clear" w:pos="2268"/>
              </w:tabs>
              <w:overflowPunct/>
              <w:autoSpaceDE/>
              <w:autoSpaceDN/>
              <w:adjustRightInd/>
              <w:spacing w:before="0"/>
              <w:textAlignment w:val="auto"/>
              <w:rPr>
                <w:rFonts w:eastAsia="Batang" w:cstheme="minorHAnsi"/>
                <w:sz w:val="20"/>
                <w:lang w:val="sv-SE" w:eastAsia="ko-KR"/>
              </w:rPr>
            </w:pPr>
          </w:p>
        </w:tc>
      </w:tr>
      <w:tr w:rsidR="00027463" w:rsidRPr="00472E66" w:rsidTr="00027463">
        <w:trPr>
          <w:trHeight w:val="199"/>
        </w:trPr>
        <w:tc>
          <w:tcPr>
            <w:tcW w:w="1858" w:type="dxa"/>
            <w:tcBorders>
              <w:top w:val="nil"/>
              <w:left w:val="single" w:sz="8" w:space="0" w:color="auto"/>
              <w:bottom w:val="single" w:sz="8" w:space="0" w:color="auto"/>
              <w:right w:val="nil"/>
            </w:tcBorders>
            <w:shd w:val="clear" w:color="auto" w:fill="auto"/>
          </w:tcPr>
          <w:p w:rsidR="00027463" w:rsidRPr="00027463" w:rsidRDefault="00027463" w:rsidP="00027463">
            <w:pPr>
              <w:tabs>
                <w:tab w:val="clear" w:pos="1134"/>
                <w:tab w:val="clear" w:pos="1871"/>
                <w:tab w:val="clear" w:pos="2268"/>
              </w:tabs>
              <w:overflowPunct/>
              <w:autoSpaceDE/>
              <w:autoSpaceDN/>
              <w:adjustRightInd/>
              <w:spacing w:before="0"/>
              <w:jc w:val="center"/>
              <w:textAlignment w:val="auto"/>
              <w:rPr>
                <w:rFonts w:eastAsia="Batang" w:cstheme="minorHAnsi"/>
                <w:b/>
                <w:bCs/>
                <w:sz w:val="20"/>
                <w:lang w:val="sv-SE" w:eastAsia="ko-KR"/>
              </w:rPr>
            </w:pPr>
            <w:r w:rsidRPr="00027463">
              <w:rPr>
                <w:rFonts w:eastAsia="Batang" w:cstheme="minorHAnsi"/>
                <w:b/>
                <w:bCs/>
                <w:sz w:val="20"/>
                <w:lang w:val="sv-SE" w:eastAsia="ko-KR"/>
              </w:rPr>
              <w:t>TUR</w:t>
            </w:r>
          </w:p>
        </w:tc>
        <w:tc>
          <w:tcPr>
            <w:tcW w:w="1559" w:type="dxa"/>
            <w:tcBorders>
              <w:top w:val="nil"/>
              <w:left w:val="single" w:sz="8" w:space="0" w:color="auto"/>
              <w:bottom w:val="single" w:sz="8" w:space="0" w:color="auto"/>
              <w:right w:val="single" w:sz="8" w:space="0" w:color="auto"/>
            </w:tcBorders>
            <w:shd w:val="clear" w:color="auto" w:fill="auto"/>
            <w:noWrap/>
            <w:vAlign w:val="bottom"/>
          </w:tcPr>
          <w:p w:rsidR="00027463" w:rsidRPr="00027463" w:rsidRDefault="00027463" w:rsidP="00027463">
            <w:pPr>
              <w:tabs>
                <w:tab w:val="clear" w:pos="1134"/>
                <w:tab w:val="clear" w:pos="1871"/>
                <w:tab w:val="clear" w:pos="2268"/>
              </w:tabs>
              <w:overflowPunct/>
              <w:autoSpaceDE/>
              <w:autoSpaceDN/>
              <w:adjustRightInd/>
              <w:spacing w:before="0"/>
              <w:jc w:val="center"/>
              <w:textAlignment w:val="auto"/>
              <w:rPr>
                <w:rFonts w:eastAsia="Batang" w:cstheme="minorHAnsi"/>
                <w:sz w:val="20"/>
                <w:lang w:val="sv-SE" w:eastAsia="ko-KR"/>
              </w:rPr>
            </w:pPr>
          </w:p>
        </w:tc>
        <w:tc>
          <w:tcPr>
            <w:tcW w:w="1276" w:type="dxa"/>
            <w:tcBorders>
              <w:top w:val="nil"/>
              <w:left w:val="single" w:sz="8" w:space="0" w:color="auto"/>
              <w:bottom w:val="single" w:sz="8" w:space="0" w:color="auto"/>
              <w:right w:val="single" w:sz="8" w:space="0" w:color="auto"/>
            </w:tcBorders>
          </w:tcPr>
          <w:p w:rsidR="00027463" w:rsidRPr="00027463" w:rsidRDefault="00027463" w:rsidP="00644CEB">
            <w:pPr>
              <w:tabs>
                <w:tab w:val="clear" w:pos="1134"/>
                <w:tab w:val="clear" w:pos="1871"/>
                <w:tab w:val="clear" w:pos="2268"/>
              </w:tabs>
              <w:overflowPunct/>
              <w:autoSpaceDE/>
              <w:autoSpaceDN/>
              <w:adjustRightInd/>
              <w:spacing w:before="0"/>
              <w:textAlignment w:val="auto"/>
              <w:rPr>
                <w:rFonts w:eastAsia="Batang" w:cstheme="minorHAnsi"/>
                <w:sz w:val="20"/>
                <w:lang w:val="sv-SE" w:eastAsia="ko-KR"/>
              </w:rPr>
            </w:pPr>
          </w:p>
        </w:tc>
      </w:tr>
      <w:tr w:rsidR="00027463" w:rsidRPr="00472E66" w:rsidTr="00027463">
        <w:trPr>
          <w:trHeight w:val="199"/>
        </w:trPr>
        <w:tc>
          <w:tcPr>
            <w:tcW w:w="1858" w:type="dxa"/>
            <w:tcBorders>
              <w:top w:val="nil"/>
              <w:left w:val="single" w:sz="8" w:space="0" w:color="auto"/>
              <w:bottom w:val="single" w:sz="8" w:space="0" w:color="auto"/>
              <w:right w:val="nil"/>
            </w:tcBorders>
            <w:shd w:val="clear" w:color="auto" w:fill="auto"/>
          </w:tcPr>
          <w:p w:rsidR="00027463" w:rsidRPr="00027463" w:rsidRDefault="00027463" w:rsidP="00027463">
            <w:pPr>
              <w:tabs>
                <w:tab w:val="clear" w:pos="1134"/>
                <w:tab w:val="clear" w:pos="1871"/>
                <w:tab w:val="clear" w:pos="2268"/>
              </w:tabs>
              <w:overflowPunct/>
              <w:autoSpaceDE/>
              <w:autoSpaceDN/>
              <w:adjustRightInd/>
              <w:spacing w:before="0"/>
              <w:jc w:val="center"/>
              <w:textAlignment w:val="auto"/>
              <w:rPr>
                <w:rFonts w:eastAsia="Batang" w:cstheme="minorHAnsi"/>
                <w:b/>
                <w:bCs/>
                <w:sz w:val="20"/>
                <w:lang w:val="sv-SE" w:eastAsia="ko-KR"/>
              </w:rPr>
            </w:pPr>
            <w:r w:rsidRPr="00027463">
              <w:rPr>
                <w:rFonts w:eastAsia="Batang" w:cstheme="minorHAnsi"/>
                <w:b/>
                <w:bCs/>
                <w:sz w:val="20"/>
                <w:lang w:val="sv-SE" w:eastAsia="ko-KR"/>
              </w:rPr>
              <w:t>UKR</w:t>
            </w:r>
          </w:p>
        </w:tc>
        <w:tc>
          <w:tcPr>
            <w:tcW w:w="1559" w:type="dxa"/>
            <w:tcBorders>
              <w:top w:val="nil"/>
              <w:left w:val="single" w:sz="8" w:space="0" w:color="auto"/>
              <w:bottom w:val="single" w:sz="8" w:space="0" w:color="auto"/>
              <w:right w:val="single" w:sz="8" w:space="0" w:color="auto"/>
            </w:tcBorders>
            <w:shd w:val="clear" w:color="auto" w:fill="auto"/>
            <w:noWrap/>
            <w:vAlign w:val="bottom"/>
          </w:tcPr>
          <w:p w:rsidR="00027463" w:rsidRPr="00027463" w:rsidRDefault="00027463" w:rsidP="00027463">
            <w:pPr>
              <w:tabs>
                <w:tab w:val="clear" w:pos="1134"/>
                <w:tab w:val="clear" w:pos="1871"/>
                <w:tab w:val="clear" w:pos="2268"/>
              </w:tabs>
              <w:overflowPunct/>
              <w:autoSpaceDE/>
              <w:autoSpaceDN/>
              <w:adjustRightInd/>
              <w:spacing w:before="0"/>
              <w:jc w:val="center"/>
              <w:textAlignment w:val="auto"/>
              <w:rPr>
                <w:rFonts w:eastAsia="Batang" w:cstheme="minorHAnsi"/>
                <w:sz w:val="20"/>
                <w:lang w:val="sv-SE" w:eastAsia="ko-KR"/>
              </w:rPr>
            </w:pPr>
          </w:p>
        </w:tc>
        <w:tc>
          <w:tcPr>
            <w:tcW w:w="1276" w:type="dxa"/>
            <w:tcBorders>
              <w:top w:val="nil"/>
              <w:left w:val="single" w:sz="8" w:space="0" w:color="auto"/>
              <w:bottom w:val="single" w:sz="8" w:space="0" w:color="auto"/>
              <w:right w:val="single" w:sz="8" w:space="0" w:color="auto"/>
            </w:tcBorders>
          </w:tcPr>
          <w:p w:rsidR="00027463" w:rsidRPr="00027463" w:rsidRDefault="00027463" w:rsidP="00644CEB">
            <w:pPr>
              <w:tabs>
                <w:tab w:val="clear" w:pos="1134"/>
                <w:tab w:val="clear" w:pos="1871"/>
                <w:tab w:val="clear" w:pos="2268"/>
              </w:tabs>
              <w:overflowPunct/>
              <w:autoSpaceDE/>
              <w:autoSpaceDN/>
              <w:adjustRightInd/>
              <w:spacing w:before="0"/>
              <w:textAlignment w:val="auto"/>
              <w:rPr>
                <w:rFonts w:eastAsia="Batang" w:cstheme="minorHAnsi"/>
                <w:sz w:val="20"/>
                <w:lang w:val="sv-SE" w:eastAsia="ko-KR"/>
              </w:rPr>
            </w:pPr>
          </w:p>
        </w:tc>
      </w:tr>
      <w:tr w:rsidR="00027463" w:rsidRPr="00472E66" w:rsidTr="00562299">
        <w:tc>
          <w:tcPr>
            <w:tcW w:w="1858" w:type="dxa"/>
            <w:tcBorders>
              <w:top w:val="nil"/>
              <w:left w:val="nil"/>
              <w:bottom w:val="single" w:sz="8" w:space="0" w:color="auto"/>
              <w:right w:val="nil"/>
            </w:tcBorders>
            <w:shd w:val="clear" w:color="auto" w:fill="auto"/>
            <w:noWrap/>
            <w:vAlign w:val="bottom"/>
          </w:tcPr>
          <w:p w:rsidR="00027463" w:rsidRPr="00562299" w:rsidRDefault="00027463" w:rsidP="00027463">
            <w:pPr>
              <w:tabs>
                <w:tab w:val="clear" w:pos="1134"/>
                <w:tab w:val="clear" w:pos="1871"/>
                <w:tab w:val="clear" w:pos="2268"/>
              </w:tabs>
              <w:overflowPunct/>
              <w:autoSpaceDE/>
              <w:autoSpaceDN/>
              <w:adjustRightInd/>
              <w:spacing w:before="0"/>
              <w:jc w:val="center"/>
              <w:textAlignment w:val="auto"/>
              <w:rPr>
                <w:rFonts w:eastAsia="Batang" w:cstheme="minorHAnsi"/>
                <w:b/>
                <w:bCs/>
                <w:sz w:val="10"/>
                <w:szCs w:val="10"/>
                <w:lang w:val="sv-SE" w:eastAsia="ko-KR"/>
              </w:rPr>
            </w:pPr>
          </w:p>
        </w:tc>
        <w:tc>
          <w:tcPr>
            <w:tcW w:w="1559" w:type="dxa"/>
            <w:tcBorders>
              <w:top w:val="nil"/>
              <w:left w:val="nil"/>
              <w:bottom w:val="single" w:sz="8" w:space="0" w:color="auto"/>
              <w:right w:val="nil"/>
            </w:tcBorders>
            <w:shd w:val="clear" w:color="auto" w:fill="auto"/>
            <w:noWrap/>
            <w:vAlign w:val="bottom"/>
          </w:tcPr>
          <w:p w:rsidR="00027463" w:rsidRPr="00562299" w:rsidRDefault="00027463" w:rsidP="00027463">
            <w:pPr>
              <w:tabs>
                <w:tab w:val="clear" w:pos="1134"/>
                <w:tab w:val="clear" w:pos="1871"/>
                <w:tab w:val="clear" w:pos="2268"/>
              </w:tabs>
              <w:overflowPunct/>
              <w:autoSpaceDE/>
              <w:autoSpaceDN/>
              <w:adjustRightInd/>
              <w:spacing w:before="0"/>
              <w:jc w:val="center"/>
              <w:textAlignment w:val="auto"/>
              <w:rPr>
                <w:rFonts w:eastAsia="Batang" w:cstheme="minorHAnsi"/>
                <w:sz w:val="10"/>
                <w:szCs w:val="10"/>
                <w:lang w:val="sv-SE" w:eastAsia="ko-KR"/>
              </w:rPr>
            </w:pPr>
          </w:p>
        </w:tc>
        <w:tc>
          <w:tcPr>
            <w:tcW w:w="1276" w:type="dxa"/>
            <w:tcBorders>
              <w:top w:val="nil"/>
              <w:left w:val="nil"/>
              <w:bottom w:val="single" w:sz="8" w:space="0" w:color="auto"/>
              <w:right w:val="nil"/>
            </w:tcBorders>
          </w:tcPr>
          <w:p w:rsidR="00027463" w:rsidRPr="00562299" w:rsidRDefault="00027463" w:rsidP="00644CEB">
            <w:pPr>
              <w:tabs>
                <w:tab w:val="clear" w:pos="1134"/>
                <w:tab w:val="clear" w:pos="1871"/>
                <w:tab w:val="clear" w:pos="2268"/>
              </w:tabs>
              <w:overflowPunct/>
              <w:autoSpaceDE/>
              <w:autoSpaceDN/>
              <w:adjustRightInd/>
              <w:spacing w:before="0"/>
              <w:textAlignment w:val="auto"/>
              <w:rPr>
                <w:rFonts w:eastAsia="Batang" w:cstheme="minorHAnsi"/>
                <w:sz w:val="10"/>
                <w:szCs w:val="10"/>
                <w:lang w:val="sv-SE" w:eastAsia="ko-KR"/>
              </w:rPr>
            </w:pPr>
          </w:p>
        </w:tc>
      </w:tr>
      <w:tr w:rsidR="00027463" w:rsidRPr="00472E66" w:rsidTr="00027463">
        <w:trPr>
          <w:trHeight w:val="240"/>
        </w:trPr>
        <w:tc>
          <w:tcPr>
            <w:tcW w:w="1858" w:type="dxa"/>
            <w:tcBorders>
              <w:top w:val="single" w:sz="8" w:space="0" w:color="auto"/>
              <w:left w:val="single" w:sz="8" w:space="0" w:color="auto"/>
              <w:bottom w:val="single" w:sz="8" w:space="0" w:color="auto"/>
              <w:right w:val="single" w:sz="8" w:space="0" w:color="auto"/>
            </w:tcBorders>
            <w:shd w:val="clear" w:color="auto" w:fill="auto"/>
            <w:noWrap/>
            <w:vAlign w:val="bottom"/>
          </w:tcPr>
          <w:p w:rsidR="00027463" w:rsidRPr="00027463" w:rsidRDefault="00027463" w:rsidP="00027463">
            <w:pPr>
              <w:tabs>
                <w:tab w:val="clear" w:pos="1134"/>
                <w:tab w:val="clear" w:pos="1871"/>
                <w:tab w:val="clear" w:pos="2268"/>
              </w:tabs>
              <w:overflowPunct/>
              <w:autoSpaceDE/>
              <w:autoSpaceDN/>
              <w:adjustRightInd/>
              <w:spacing w:before="0"/>
              <w:jc w:val="center"/>
              <w:textAlignment w:val="auto"/>
              <w:rPr>
                <w:rFonts w:eastAsia="Batang" w:cstheme="minorHAnsi"/>
                <w:b/>
                <w:bCs/>
                <w:sz w:val="20"/>
                <w:lang w:val="sv-SE" w:eastAsia="ko-KR"/>
              </w:rPr>
            </w:pPr>
            <w:r w:rsidRPr="00027463">
              <w:rPr>
                <w:rFonts w:eastAsia="Batang" w:cstheme="minorHAnsi"/>
                <w:b/>
                <w:bCs/>
                <w:sz w:val="20"/>
                <w:lang w:val="sv-SE" w:eastAsia="ko-KR"/>
              </w:rPr>
              <w:t>Total</w:t>
            </w:r>
          </w:p>
        </w:tc>
        <w:tc>
          <w:tcPr>
            <w:tcW w:w="1559" w:type="dxa"/>
            <w:tcBorders>
              <w:top w:val="single" w:sz="8" w:space="0" w:color="auto"/>
              <w:left w:val="single" w:sz="8" w:space="0" w:color="auto"/>
              <w:bottom w:val="single" w:sz="8" w:space="0" w:color="auto"/>
              <w:right w:val="single" w:sz="8" w:space="0" w:color="auto"/>
            </w:tcBorders>
            <w:shd w:val="clear" w:color="auto" w:fill="auto"/>
            <w:noWrap/>
            <w:vAlign w:val="center"/>
          </w:tcPr>
          <w:p w:rsidR="00027463" w:rsidRPr="00027463" w:rsidRDefault="00027463" w:rsidP="00027463">
            <w:pPr>
              <w:tabs>
                <w:tab w:val="clear" w:pos="1134"/>
                <w:tab w:val="clear" w:pos="1871"/>
                <w:tab w:val="clear" w:pos="2268"/>
              </w:tabs>
              <w:overflowPunct/>
              <w:autoSpaceDE/>
              <w:autoSpaceDN/>
              <w:adjustRightInd/>
              <w:spacing w:before="0"/>
              <w:jc w:val="center"/>
              <w:textAlignment w:val="auto"/>
              <w:rPr>
                <w:rFonts w:eastAsia="Batang" w:cstheme="minorHAnsi"/>
                <w:sz w:val="20"/>
                <w:lang w:val="sv-SE" w:eastAsia="ko-KR"/>
              </w:rPr>
            </w:pPr>
            <w:r w:rsidRPr="00027463">
              <w:rPr>
                <w:rFonts w:eastAsia="Batang" w:cstheme="minorHAnsi"/>
                <w:sz w:val="20"/>
                <w:lang w:val="sv-SE" w:eastAsia="ko-KR"/>
              </w:rPr>
              <w:t>16</w:t>
            </w:r>
          </w:p>
        </w:tc>
        <w:tc>
          <w:tcPr>
            <w:tcW w:w="1276" w:type="dxa"/>
            <w:tcBorders>
              <w:top w:val="single" w:sz="8" w:space="0" w:color="auto"/>
              <w:left w:val="single" w:sz="8" w:space="0" w:color="auto"/>
              <w:bottom w:val="single" w:sz="8" w:space="0" w:color="auto"/>
              <w:right w:val="single" w:sz="8" w:space="0" w:color="auto"/>
            </w:tcBorders>
          </w:tcPr>
          <w:p w:rsidR="00027463" w:rsidRPr="00027463" w:rsidRDefault="00027463" w:rsidP="00644CEB">
            <w:pPr>
              <w:tabs>
                <w:tab w:val="clear" w:pos="1134"/>
                <w:tab w:val="clear" w:pos="1871"/>
                <w:tab w:val="clear" w:pos="2268"/>
              </w:tabs>
              <w:overflowPunct/>
              <w:autoSpaceDE/>
              <w:autoSpaceDN/>
              <w:adjustRightInd/>
              <w:spacing w:before="0"/>
              <w:jc w:val="center"/>
              <w:textAlignment w:val="auto"/>
              <w:rPr>
                <w:rFonts w:eastAsia="Batang" w:cstheme="minorHAnsi"/>
                <w:sz w:val="20"/>
                <w:lang w:val="sv-SE" w:eastAsia="ko-KR"/>
              </w:rPr>
            </w:pPr>
          </w:p>
        </w:tc>
      </w:tr>
    </w:tbl>
    <w:p w:rsidR="00027463" w:rsidRPr="00027463" w:rsidRDefault="00027463" w:rsidP="00027463">
      <w:pPr>
        <w:rPr>
          <w:sz w:val="2"/>
          <w:szCs w:val="2"/>
        </w:rPr>
      </w:pPr>
    </w:p>
    <w:sectPr w:rsidR="00027463" w:rsidRPr="00027463" w:rsidSect="00027463">
      <w:headerReference w:type="default" r:id="rId10"/>
      <w:footerReference w:type="even" r:id="rId11"/>
      <w:footerReference w:type="first" r:id="rId12"/>
      <w:pgSz w:w="11907" w:h="16840" w:code="9"/>
      <w:pgMar w:top="1134" w:right="1134" w:bottom="1134"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5DE8" w:rsidRDefault="00765DE8">
      <w:r>
        <w:separator/>
      </w:r>
    </w:p>
  </w:endnote>
  <w:endnote w:type="continuationSeparator" w:id="0">
    <w:p w:rsidR="00765DE8" w:rsidRDefault="00765D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5DE8" w:rsidRDefault="00765DE8">
    <w:pPr>
      <w:framePr w:wrap="around" w:vAnchor="text" w:hAnchor="margin" w:xAlign="right" w:y="1"/>
    </w:pPr>
    <w:r>
      <w:fldChar w:fldCharType="begin"/>
    </w:r>
    <w:r>
      <w:instrText xml:space="preserve">PAGE  </w:instrText>
    </w:r>
    <w:r>
      <w:fldChar w:fldCharType="end"/>
    </w:r>
  </w:p>
  <w:p w:rsidR="00765DE8" w:rsidRPr="0041348E" w:rsidRDefault="00765DE8">
    <w:pPr>
      <w:ind w:right="360"/>
      <w:rPr>
        <w:lang w:val="en-US"/>
      </w:rPr>
    </w:pPr>
    <w:r>
      <w:fldChar w:fldCharType="begin"/>
    </w:r>
    <w:r w:rsidRPr="0041348E">
      <w:rPr>
        <w:lang w:val="en-US"/>
      </w:rPr>
      <w:instrText xml:space="preserve"> FILENAME \p  \* MERGEFORMAT </w:instrText>
    </w:r>
    <w:r>
      <w:fldChar w:fldCharType="separate"/>
    </w:r>
    <w:r w:rsidR="00EC2078">
      <w:rPr>
        <w:noProof/>
        <w:lang w:val="en-US"/>
      </w:rPr>
      <w:t>P:\SPM\GBS\wcit-12\doc\016-cept\016e.docx</w:t>
    </w:r>
    <w:r>
      <w:fldChar w:fldCharType="end"/>
    </w:r>
    <w:r w:rsidRPr="0041348E">
      <w:rPr>
        <w:lang w:val="en-US"/>
      </w:rPr>
      <w:tab/>
    </w:r>
    <w:r>
      <w:fldChar w:fldCharType="begin"/>
    </w:r>
    <w:r>
      <w:instrText xml:space="preserve"> SAVEDATE \@ DD.MM.YY </w:instrText>
    </w:r>
    <w:r>
      <w:fldChar w:fldCharType="separate"/>
    </w:r>
    <w:r w:rsidR="00EC2078">
      <w:rPr>
        <w:noProof/>
      </w:rPr>
      <w:t>18.10.12</w:t>
    </w:r>
    <w:r>
      <w:fldChar w:fldCharType="end"/>
    </w:r>
    <w:r w:rsidRPr="0041348E">
      <w:rPr>
        <w:lang w:val="en-US"/>
      </w:rPr>
      <w:tab/>
    </w:r>
    <w:r>
      <w:fldChar w:fldCharType="begin"/>
    </w:r>
    <w:r>
      <w:instrText xml:space="preserve"> PRINTDATE \@ DD.MM.YY </w:instrText>
    </w:r>
    <w:r>
      <w:fldChar w:fldCharType="separate"/>
    </w:r>
    <w:r w:rsidR="00EC2078">
      <w:rPr>
        <w:noProof/>
      </w:rPr>
      <w:t>18.10.12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5DE8" w:rsidRPr="000822BE" w:rsidRDefault="00765DE8" w:rsidP="00F21A1D">
    <w:pPr>
      <w:pStyle w:val="Footer"/>
      <w:rPr>
        <w:lang w:val="fr-FR"/>
      </w:rPr>
    </w:pPr>
    <w:r>
      <w:fldChar w:fldCharType="begin"/>
    </w:r>
    <w:r w:rsidRPr="000822BE">
      <w:rPr>
        <w:lang w:val="fr-FR"/>
      </w:rPr>
      <w:instrText xml:space="preserve"> FILENAME \p  \* MERGEFORMAT </w:instrText>
    </w:r>
    <w:r>
      <w:fldChar w:fldCharType="separate"/>
    </w:r>
    <w:r w:rsidR="00EC2078">
      <w:rPr>
        <w:lang w:val="fr-FR"/>
      </w:rPr>
      <w:t>P:\SPM\GBS\wcit-12\doc\016-cept\016e.docx</w:t>
    </w:r>
    <w:r>
      <w:fldChar w:fldCharType="end"/>
    </w:r>
    <w:r w:rsidRPr="000822BE">
      <w:rPr>
        <w:lang w:val="fr-FR"/>
      </w:rPr>
      <w:tab/>
    </w:r>
    <w:r>
      <w:fldChar w:fldCharType="begin"/>
    </w:r>
    <w:r>
      <w:instrText xml:space="preserve"> SAVEDATE \@ DD.MM.YY </w:instrText>
    </w:r>
    <w:r>
      <w:fldChar w:fldCharType="separate"/>
    </w:r>
    <w:r w:rsidR="00EC2078">
      <w:t>18.10.12</w:t>
    </w:r>
    <w:r>
      <w:fldChar w:fldCharType="end"/>
    </w:r>
    <w:r w:rsidRPr="000822BE">
      <w:rPr>
        <w:lang w:val="fr-FR"/>
      </w:rPr>
      <w:tab/>
    </w:r>
    <w:r>
      <w:fldChar w:fldCharType="begin"/>
    </w:r>
    <w:r>
      <w:instrText xml:space="preserve"> PRINTDATE \@ DD.MM.YY </w:instrText>
    </w:r>
    <w:r>
      <w:fldChar w:fldCharType="separate"/>
    </w:r>
    <w:r w:rsidR="00EC2078">
      <w:t>18.10.12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5DE8" w:rsidRDefault="00765DE8">
      <w:r>
        <w:rPr>
          <w:b/>
        </w:rPr>
        <w:t>_______________</w:t>
      </w:r>
    </w:p>
  </w:footnote>
  <w:footnote w:type="continuationSeparator" w:id="0">
    <w:p w:rsidR="00765DE8" w:rsidRDefault="00765DE8">
      <w:r>
        <w:continuationSeparator/>
      </w:r>
    </w:p>
  </w:footnote>
  <w:footnote w:id="1">
    <w:p w:rsidR="00027463" w:rsidRDefault="00027463" w:rsidP="00027463">
      <w:pPr>
        <w:pStyle w:val="FootnoteText"/>
      </w:pPr>
      <w:r>
        <w:rPr>
          <w:rStyle w:val="FootnoteReference"/>
        </w:rPr>
        <w:footnoteRef/>
      </w:r>
      <w:r>
        <w:t xml:space="preserve"> </w:t>
      </w:r>
      <w:r>
        <w:tab/>
      </w:r>
      <w:r w:rsidRPr="00D263C2">
        <w:rPr>
          <w:sz w:val="20"/>
        </w:rPr>
        <w:t xml:space="preserve">Members of CEPT (Europe) are: </w:t>
      </w:r>
      <w:hyperlink w:history="1">
        <w:r w:rsidRPr="00D263C2">
          <w:rPr>
            <w:sz w:val="20"/>
          </w:rPr>
          <w:t>Albania (Republic of)</w:t>
        </w:r>
      </w:hyperlink>
      <w:r w:rsidRPr="00D263C2">
        <w:rPr>
          <w:sz w:val="20"/>
        </w:rPr>
        <w:t xml:space="preserve">, </w:t>
      </w:r>
      <w:hyperlink w:history="1">
        <w:r w:rsidRPr="00D263C2">
          <w:rPr>
            <w:sz w:val="20"/>
          </w:rPr>
          <w:t>Andorra (Principality of)</w:t>
        </w:r>
      </w:hyperlink>
      <w:r w:rsidRPr="00D263C2">
        <w:rPr>
          <w:sz w:val="20"/>
        </w:rPr>
        <w:t xml:space="preserve">, Austria, </w:t>
      </w:r>
      <w:hyperlink w:history="1">
        <w:r w:rsidRPr="00D263C2">
          <w:rPr>
            <w:sz w:val="20"/>
          </w:rPr>
          <w:t>Azerbaijani Republic</w:t>
        </w:r>
      </w:hyperlink>
      <w:r w:rsidRPr="00D263C2">
        <w:rPr>
          <w:sz w:val="20"/>
        </w:rPr>
        <w:t>, </w:t>
      </w:r>
      <w:hyperlink w:history="1">
        <w:r w:rsidRPr="00D263C2">
          <w:rPr>
            <w:sz w:val="20"/>
          </w:rPr>
          <w:t>Belarus (Republic of)</w:t>
        </w:r>
      </w:hyperlink>
      <w:r w:rsidRPr="00D263C2">
        <w:rPr>
          <w:sz w:val="20"/>
        </w:rPr>
        <w:t xml:space="preserve">, Belgium, Bosnia and Herzegovina, </w:t>
      </w:r>
      <w:hyperlink w:history="1">
        <w:r w:rsidRPr="00D263C2">
          <w:rPr>
            <w:sz w:val="20"/>
          </w:rPr>
          <w:t>Bulgaria (Republic of)</w:t>
        </w:r>
      </w:hyperlink>
      <w:r w:rsidRPr="00D263C2">
        <w:rPr>
          <w:sz w:val="20"/>
        </w:rPr>
        <w:t xml:space="preserve">, </w:t>
      </w:r>
      <w:hyperlink w:history="1">
        <w:r w:rsidRPr="00D263C2">
          <w:rPr>
            <w:sz w:val="20"/>
          </w:rPr>
          <w:t>Croatia (Republic of)</w:t>
        </w:r>
      </w:hyperlink>
      <w:r w:rsidRPr="00D263C2">
        <w:rPr>
          <w:sz w:val="20"/>
        </w:rPr>
        <w:t xml:space="preserve">, </w:t>
      </w:r>
      <w:hyperlink w:history="1">
        <w:r w:rsidRPr="00D263C2">
          <w:rPr>
            <w:sz w:val="20"/>
          </w:rPr>
          <w:t>Cyprus (Republic of)</w:t>
        </w:r>
      </w:hyperlink>
      <w:r w:rsidRPr="00D263C2">
        <w:rPr>
          <w:sz w:val="20"/>
        </w:rPr>
        <w:t xml:space="preserve">, Czech Republic, Denmark, </w:t>
      </w:r>
      <w:hyperlink w:history="1">
        <w:r w:rsidRPr="00D263C2">
          <w:rPr>
            <w:sz w:val="20"/>
          </w:rPr>
          <w:t>Estonia (Republic of)</w:t>
        </w:r>
      </w:hyperlink>
      <w:r w:rsidRPr="00D263C2">
        <w:rPr>
          <w:sz w:val="20"/>
        </w:rPr>
        <w:t xml:space="preserve">, Finland, France, Georgia, </w:t>
      </w:r>
      <w:hyperlink w:history="1">
        <w:r w:rsidRPr="00D263C2">
          <w:rPr>
            <w:sz w:val="20"/>
          </w:rPr>
          <w:t>Germany (Federal Republic of)</w:t>
        </w:r>
      </w:hyperlink>
      <w:r w:rsidRPr="00D263C2">
        <w:rPr>
          <w:sz w:val="20"/>
        </w:rPr>
        <w:t xml:space="preserve">, Greece, </w:t>
      </w:r>
      <w:hyperlink w:history="1">
        <w:r w:rsidRPr="00D263C2">
          <w:rPr>
            <w:sz w:val="20"/>
          </w:rPr>
          <w:t>Hungary (Republic of)</w:t>
        </w:r>
      </w:hyperlink>
      <w:r w:rsidRPr="00D263C2">
        <w:rPr>
          <w:sz w:val="20"/>
        </w:rPr>
        <w:t xml:space="preserve">, Iceland, Ireland, Italy, </w:t>
      </w:r>
      <w:hyperlink w:history="1">
        <w:r w:rsidRPr="00D263C2">
          <w:rPr>
            <w:sz w:val="20"/>
          </w:rPr>
          <w:t>Latvia (Republic of)</w:t>
        </w:r>
      </w:hyperlink>
      <w:r w:rsidRPr="00D263C2">
        <w:rPr>
          <w:sz w:val="20"/>
        </w:rPr>
        <w:t xml:space="preserve">, </w:t>
      </w:r>
      <w:hyperlink w:history="1">
        <w:r w:rsidRPr="00D263C2">
          <w:rPr>
            <w:sz w:val="20"/>
          </w:rPr>
          <w:t>Liechtenstein (Principality of)</w:t>
        </w:r>
      </w:hyperlink>
      <w:r w:rsidRPr="00D263C2">
        <w:rPr>
          <w:sz w:val="20"/>
        </w:rPr>
        <w:t xml:space="preserve">, </w:t>
      </w:r>
      <w:hyperlink w:history="1">
        <w:r w:rsidRPr="00D263C2">
          <w:rPr>
            <w:sz w:val="20"/>
          </w:rPr>
          <w:t>Lithuania (Republic of)</w:t>
        </w:r>
      </w:hyperlink>
      <w:r w:rsidRPr="00D263C2">
        <w:rPr>
          <w:sz w:val="20"/>
        </w:rPr>
        <w:t xml:space="preserve">, Luxembourg, Malta, </w:t>
      </w:r>
      <w:hyperlink w:history="1">
        <w:r w:rsidRPr="00D263C2">
          <w:rPr>
            <w:sz w:val="20"/>
          </w:rPr>
          <w:t>Moldova (Republic of)</w:t>
        </w:r>
      </w:hyperlink>
      <w:r w:rsidRPr="00D263C2">
        <w:rPr>
          <w:sz w:val="20"/>
        </w:rPr>
        <w:t xml:space="preserve">, </w:t>
      </w:r>
      <w:hyperlink w:history="1">
        <w:r w:rsidRPr="00D263C2">
          <w:rPr>
            <w:sz w:val="20"/>
          </w:rPr>
          <w:t>Monaco (Principality of)</w:t>
        </w:r>
      </w:hyperlink>
      <w:r w:rsidRPr="00D263C2">
        <w:rPr>
          <w:sz w:val="20"/>
        </w:rPr>
        <w:t xml:space="preserve">, </w:t>
      </w:r>
      <w:hyperlink w:history="1">
        <w:r w:rsidRPr="00D263C2">
          <w:rPr>
            <w:sz w:val="20"/>
          </w:rPr>
          <w:t>Montenegro (Republic of)</w:t>
        </w:r>
      </w:hyperlink>
      <w:r w:rsidRPr="00D263C2">
        <w:rPr>
          <w:sz w:val="20"/>
        </w:rPr>
        <w:t xml:space="preserve">, </w:t>
      </w:r>
      <w:hyperlink w:history="1">
        <w:r w:rsidRPr="00D263C2">
          <w:rPr>
            <w:sz w:val="20"/>
          </w:rPr>
          <w:t>Netherlands (Kingdom of the)</w:t>
        </w:r>
      </w:hyperlink>
      <w:r w:rsidRPr="00D263C2">
        <w:rPr>
          <w:sz w:val="20"/>
        </w:rPr>
        <w:t xml:space="preserve">, Norway, </w:t>
      </w:r>
      <w:hyperlink w:history="1">
        <w:r w:rsidRPr="00D263C2">
          <w:rPr>
            <w:sz w:val="20"/>
          </w:rPr>
          <w:t>Poland (Republic of)</w:t>
        </w:r>
      </w:hyperlink>
      <w:r w:rsidRPr="00D263C2">
        <w:rPr>
          <w:sz w:val="20"/>
        </w:rPr>
        <w:t xml:space="preserve">, Portugal, Romania, Russian Federation, </w:t>
      </w:r>
      <w:hyperlink w:history="1">
        <w:r w:rsidRPr="00D263C2">
          <w:rPr>
            <w:sz w:val="20"/>
          </w:rPr>
          <w:t>San Marino (Republic of)</w:t>
        </w:r>
      </w:hyperlink>
      <w:r w:rsidRPr="00D263C2">
        <w:rPr>
          <w:sz w:val="20"/>
        </w:rPr>
        <w:t xml:space="preserve">, </w:t>
      </w:r>
      <w:hyperlink w:history="1">
        <w:r w:rsidRPr="00D263C2">
          <w:rPr>
            <w:sz w:val="20"/>
          </w:rPr>
          <w:t>Serbia (Republic of )</w:t>
        </w:r>
      </w:hyperlink>
      <w:r w:rsidRPr="00D263C2">
        <w:rPr>
          <w:sz w:val="20"/>
        </w:rPr>
        <w:t>, </w:t>
      </w:r>
      <w:hyperlink w:history="1">
        <w:r w:rsidRPr="00D263C2">
          <w:rPr>
            <w:sz w:val="20"/>
          </w:rPr>
          <w:t>Slovak Republic</w:t>
        </w:r>
      </w:hyperlink>
      <w:r w:rsidRPr="00D263C2">
        <w:rPr>
          <w:sz w:val="20"/>
        </w:rPr>
        <w:t xml:space="preserve">, </w:t>
      </w:r>
      <w:hyperlink w:history="1">
        <w:r w:rsidRPr="00D263C2">
          <w:rPr>
            <w:sz w:val="20"/>
          </w:rPr>
          <w:t>Slovenia (Republic of)</w:t>
        </w:r>
      </w:hyperlink>
      <w:r w:rsidRPr="00D263C2">
        <w:rPr>
          <w:sz w:val="20"/>
        </w:rPr>
        <w:t xml:space="preserve">, Spain, Sweden, </w:t>
      </w:r>
      <w:hyperlink w:history="1">
        <w:r w:rsidRPr="00D263C2">
          <w:rPr>
            <w:sz w:val="20"/>
          </w:rPr>
          <w:t>Switzerland (Confederation of)</w:t>
        </w:r>
      </w:hyperlink>
      <w:r w:rsidRPr="00D263C2">
        <w:rPr>
          <w:sz w:val="20"/>
        </w:rPr>
        <w:t xml:space="preserve">, The former Yugoslav Republic of Macedonia, Turkey, Ukraine, United Kingdom of Great Britain and Northern Ireland, </w:t>
      </w:r>
      <w:hyperlink w:history="1">
        <w:r w:rsidRPr="00D263C2">
          <w:rPr>
            <w:sz w:val="20"/>
          </w:rPr>
          <w:t>Vatican City</w:t>
        </w:r>
      </w:hyperlink>
      <w:r w:rsidRPr="00D263C2">
        <w:rPr>
          <w:sz w:val="20"/>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5DE8" w:rsidRDefault="00765DE8" w:rsidP="00187BD9">
    <w:pPr>
      <w:pStyle w:val="Header"/>
    </w:pPr>
    <w:r>
      <w:fldChar w:fldCharType="begin"/>
    </w:r>
    <w:r>
      <w:instrText xml:space="preserve"> PAGE  \* MERGEFORMAT </w:instrText>
    </w:r>
    <w:r>
      <w:fldChar w:fldCharType="separate"/>
    </w:r>
    <w:r w:rsidR="00EC2078">
      <w:rPr>
        <w:noProof/>
      </w:rPr>
      <w:t>3</w:t>
    </w:r>
    <w:r>
      <w:fldChar w:fldCharType="end"/>
    </w:r>
  </w:p>
  <w:p w:rsidR="00765DE8" w:rsidRPr="00A066F1" w:rsidRDefault="00765DE8" w:rsidP="00027463">
    <w:pPr>
      <w:pStyle w:val="Header"/>
      <w:ind w:left="567" w:hanging="567"/>
    </w:pPr>
    <w:r>
      <w:t>WCI</w:t>
    </w:r>
    <w:r>
      <w:rPr>
        <w:lang w:val="en-US"/>
      </w:rPr>
      <w:t>T</w:t>
    </w:r>
    <w:r>
      <w:t>12/</w:t>
    </w:r>
    <w:bookmarkStart w:id="10" w:name="OLE_LINK1"/>
    <w:bookmarkStart w:id="11" w:name="OLE_LINK2"/>
    <w:bookmarkStart w:id="12" w:name="OLE_LINK3"/>
    <w:r>
      <w:t>16</w:t>
    </w:r>
    <w:bookmarkEnd w:id="10"/>
    <w:bookmarkEnd w:id="11"/>
    <w:bookmarkEnd w:id="12"/>
    <w:r>
      <w:t>-</w:t>
    </w:r>
    <w:r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6C68E6C"/>
    <w:lvl w:ilvl="0">
      <w:start w:val="1"/>
      <w:numFmt w:val="decimal"/>
      <w:lvlText w:val="%1."/>
      <w:lvlJc w:val="left"/>
      <w:pPr>
        <w:tabs>
          <w:tab w:val="num" w:pos="1492"/>
        </w:tabs>
        <w:ind w:left="1492" w:hanging="360"/>
      </w:pPr>
    </w:lvl>
  </w:abstractNum>
  <w:abstractNum w:abstractNumId="1">
    <w:nsid w:val="FFFFFF7D"/>
    <w:multiLevelType w:val="singleLevel"/>
    <w:tmpl w:val="248C75AC"/>
    <w:lvl w:ilvl="0">
      <w:start w:val="1"/>
      <w:numFmt w:val="decimal"/>
      <w:lvlText w:val="%1."/>
      <w:lvlJc w:val="left"/>
      <w:pPr>
        <w:tabs>
          <w:tab w:val="num" w:pos="1209"/>
        </w:tabs>
        <w:ind w:left="1209" w:hanging="360"/>
      </w:pPr>
    </w:lvl>
  </w:abstractNum>
  <w:abstractNum w:abstractNumId="2">
    <w:nsid w:val="FFFFFF7E"/>
    <w:multiLevelType w:val="singleLevel"/>
    <w:tmpl w:val="20BE8E28"/>
    <w:lvl w:ilvl="0">
      <w:start w:val="1"/>
      <w:numFmt w:val="decimal"/>
      <w:lvlText w:val="%1."/>
      <w:lvlJc w:val="left"/>
      <w:pPr>
        <w:tabs>
          <w:tab w:val="num" w:pos="926"/>
        </w:tabs>
        <w:ind w:left="926" w:hanging="360"/>
      </w:pPr>
    </w:lvl>
  </w:abstractNum>
  <w:abstractNum w:abstractNumId="3">
    <w:nsid w:val="FFFFFF7F"/>
    <w:multiLevelType w:val="singleLevel"/>
    <w:tmpl w:val="E1565C58"/>
    <w:lvl w:ilvl="0">
      <w:start w:val="1"/>
      <w:numFmt w:val="decimal"/>
      <w:lvlText w:val="%1."/>
      <w:lvlJc w:val="left"/>
      <w:pPr>
        <w:tabs>
          <w:tab w:val="num" w:pos="643"/>
        </w:tabs>
        <w:ind w:left="643" w:hanging="360"/>
      </w:pPr>
    </w:lvl>
  </w:abstractNum>
  <w:abstractNum w:abstractNumId="4">
    <w:nsid w:val="FFFFFF80"/>
    <w:multiLevelType w:val="singleLevel"/>
    <w:tmpl w:val="CC66E6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0CCA1B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31EAAB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CBA297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6582370"/>
    <w:lvl w:ilvl="0">
      <w:start w:val="1"/>
      <w:numFmt w:val="decimal"/>
      <w:lvlText w:val="%1."/>
      <w:lvlJc w:val="left"/>
      <w:pPr>
        <w:tabs>
          <w:tab w:val="num" w:pos="360"/>
        </w:tabs>
        <w:ind w:left="360" w:hanging="360"/>
      </w:pPr>
    </w:lvl>
  </w:abstractNum>
  <w:abstractNum w:abstractNumId="9">
    <w:nsid w:val="FFFFFF89"/>
    <w:multiLevelType w:val="singleLevel"/>
    <w:tmpl w:val="D6F65AC8"/>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B39284A0"/>
    <w:lvl w:ilvl="0">
      <w:numFmt w:val="decimal"/>
      <w:lvlText w:val="*"/>
      <w:lvlJc w:val="left"/>
    </w:lvl>
  </w:abstractNum>
  <w:abstractNum w:abstractNumId="11">
    <w:nsid w:val="6A162F04"/>
    <w:multiLevelType w:val="hybridMultilevel"/>
    <w:tmpl w:val="332EDD06"/>
    <w:lvl w:ilvl="0" w:tplc="08160001">
      <w:start w:val="1"/>
      <w:numFmt w:val="bullet"/>
      <w:lvlText w:val=""/>
      <w:lvlJc w:val="left"/>
      <w:pPr>
        <w:ind w:left="720" w:hanging="360"/>
      </w:pPr>
      <w:rPr>
        <w:rFonts w:ascii="Symbol" w:hAnsi="Symbol" w:hint="default"/>
      </w:rPr>
    </w:lvl>
    <w:lvl w:ilvl="1" w:tplc="08160003">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2">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D173F5A"/>
    <w:multiLevelType w:val="hybridMultilevel"/>
    <w:tmpl w:val="9D5C675A"/>
    <w:lvl w:ilvl="0" w:tplc="17104146">
      <w:start w:val="1"/>
      <w:numFmt w:val="lowerRoman"/>
      <w:lvlText w:val="(%1)"/>
      <w:lvlJc w:val="left"/>
      <w:pPr>
        <w:ind w:left="1004" w:hanging="720"/>
      </w:pPr>
      <w:rPr>
        <w:rFonts w:hint="default"/>
      </w:rPr>
    </w:lvl>
    <w:lvl w:ilvl="1" w:tplc="08160019" w:tentative="1">
      <w:start w:val="1"/>
      <w:numFmt w:val="lowerLetter"/>
      <w:lvlText w:val="%2."/>
      <w:lvlJc w:val="left"/>
      <w:pPr>
        <w:ind w:left="1364" w:hanging="360"/>
      </w:pPr>
    </w:lvl>
    <w:lvl w:ilvl="2" w:tplc="0816001B" w:tentative="1">
      <w:start w:val="1"/>
      <w:numFmt w:val="lowerRoman"/>
      <w:lvlText w:val="%3."/>
      <w:lvlJc w:val="right"/>
      <w:pPr>
        <w:ind w:left="2084" w:hanging="180"/>
      </w:pPr>
    </w:lvl>
    <w:lvl w:ilvl="3" w:tplc="0816000F" w:tentative="1">
      <w:start w:val="1"/>
      <w:numFmt w:val="decimal"/>
      <w:lvlText w:val="%4."/>
      <w:lvlJc w:val="left"/>
      <w:pPr>
        <w:ind w:left="2804" w:hanging="360"/>
      </w:pPr>
    </w:lvl>
    <w:lvl w:ilvl="4" w:tplc="08160019" w:tentative="1">
      <w:start w:val="1"/>
      <w:numFmt w:val="lowerLetter"/>
      <w:lvlText w:val="%5."/>
      <w:lvlJc w:val="left"/>
      <w:pPr>
        <w:ind w:left="3524" w:hanging="360"/>
      </w:pPr>
    </w:lvl>
    <w:lvl w:ilvl="5" w:tplc="0816001B" w:tentative="1">
      <w:start w:val="1"/>
      <w:numFmt w:val="lowerRoman"/>
      <w:lvlText w:val="%6."/>
      <w:lvlJc w:val="right"/>
      <w:pPr>
        <w:ind w:left="4244" w:hanging="180"/>
      </w:pPr>
    </w:lvl>
    <w:lvl w:ilvl="6" w:tplc="0816000F" w:tentative="1">
      <w:start w:val="1"/>
      <w:numFmt w:val="decimal"/>
      <w:lvlText w:val="%7."/>
      <w:lvlJc w:val="left"/>
      <w:pPr>
        <w:ind w:left="4964" w:hanging="360"/>
      </w:pPr>
    </w:lvl>
    <w:lvl w:ilvl="7" w:tplc="08160019" w:tentative="1">
      <w:start w:val="1"/>
      <w:numFmt w:val="lowerLetter"/>
      <w:lvlText w:val="%8."/>
      <w:lvlJc w:val="left"/>
      <w:pPr>
        <w:ind w:left="5684" w:hanging="360"/>
      </w:pPr>
    </w:lvl>
    <w:lvl w:ilvl="8" w:tplc="0816001B" w:tentative="1">
      <w:start w:val="1"/>
      <w:numFmt w:val="lowerRoman"/>
      <w:lvlText w:val="%9."/>
      <w:lvlJc w:val="right"/>
      <w:pPr>
        <w:ind w:left="6404" w:hanging="180"/>
      </w:p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12"/>
  </w:num>
  <w:num w:numId="4">
    <w:abstractNumId w:val="9"/>
  </w:num>
  <w:num w:numId="5">
    <w:abstractNumId w:val="7"/>
  </w:num>
  <w:num w:numId="6">
    <w:abstractNumId w:val="6"/>
  </w:num>
  <w:num w:numId="7">
    <w:abstractNumId w:val="5"/>
  </w:num>
  <w:num w:numId="8">
    <w:abstractNumId w:val="4"/>
  </w:num>
  <w:num w:numId="9">
    <w:abstractNumId w:val="3"/>
  </w:num>
  <w:num w:numId="10">
    <w:abstractNumId w:val="2"/>
  </w:num>
  <w:num w:numId="11">
    <w:abstractNumId w:val="1"/>
  </w:num>
  <w:num w:numId="12">
    <w:abstractNumId w:val="0"/>
  </w:num>
  <w:num w:numId="13">
    <w:abstractNumId w:val="11"/>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6F1"/>
    <w:rsid w:val="000041EA"/>
    <w:rsid w:val="0001182B"/>
    <w:rsid w:val="00022A29"/>
    <w:rsid w:val="00027463"/>
    <w:rsid w:val="000355FD"/>
    <w:rsid w:val="00051E39"/>
    <w:rsid w:val="00077239"/>
    <w:rsid w:val="000822BE"/>
    <w:rsid w:val="00086491"/>
    <w:rsid w:val="00091346"/>
    <w:rsid w:val="000F73FF"/>
    <w:rsid w:val="00114CF7"/>
    <w:rsid w:val="00123B68"/>
    <w:rsid w:val="00126F2E"/>
    <w:rsid w:val="00146F6F"/>
    <w:rsid w:val="00152957"/>
    <w:rsid w:val="001769F8"/>
    <w:rsid w:val="00187BD9"/>
    <w:rsid w:val="00190B55"/>
    <w:rsid w:val="00194C14"/>
    <w:rsid w:val="00194CFB"/>
    <w:rsid w:val="001C3B5F"/>
    <w:rsid w:val="001D058F"/>
    <w:rsid w:val="002009EA"/>
    <w:rsid w:val="00202CA0"/>
    <w:rsid w:val="002154A6"/>
    <w:rsid w:val="002255B3"/>
    <w:rsid w:val="00271316"/>
    <w:rsid w:val="002D58BE"/>
    <w:rsid w:val="003013EE"/>
    <w:rsid w:val="00377BD3"/>
    <w:rsid w:val="00384088"/>
    <w:rsid w:val="0039169B"/>
    <w:rsid w:val="003A22EA"/>
    <w:rsid w:val="003A7F8C"/>
    <w:rsid w:val="003B532E"/>
    <w:rsid w:val="003B6F14"/>
    <w:rsid w:val="003D0F8B"/>
    <w:rsid w:val="004131D4"/>
    <w:rsid w:val="0041348E"/>
    <w:rsid w:val="004365D5"/>
    <w:rsid w:val="00447308"/>
    <w:rsid w:val="004765FF"/>
    <w:rsid w:val="00492075"/>
    <w:rsid w:val="004969AD"/>
    <w:rsid w:val="004B13CB"/>
    <w:rsid w:val="004B4FDF"/>
    <w:rsid w:val="004D248B"/>
    <w:rsid w:val="004D5D5C"/>
    <w:rsid w:val="0050139F"/>
    <w:rsid w:val="00521223"/>
    <w:rsid w:val="0055140B"/>
    <w:rsid w:val="00562299"/>
    <w:rsid w:val="005964AB"/>
    <w:rsid w:val="005C099A"/>
    <w:rsid w:val="005C31A5"/>
    <w:rsid w:val="005E10C9"/>
    <w:rsid w:val="005E61DD"/>
    <w:rsid w:val="006023DF"/>
    <w:rsid w:val="00602835"/>
    <w:rsid w:val="00657DE0"/>
    <w:rsid w:val="00685313"/>
    <w:rsid w:val="006A6E9B"/>
    <w:rsid w:val="006B2E3D"/>
    <w:rsid w:val="006B7C2A"/>
    <w:rsid w:val="006C23DA"/>
    <w:rsid w:val="006E3D45"/>
    <w:rsid w:val="00703886"/>
    <w:rsid w:val="007149F9"/>
    <w:rsid w:val="00733A30"/>
    <w:rsid w:val="00745AEE"/>
    <w:rsid w:val="007479EA"/>
    <w:rsid w:val="00750F10"/>
    <w:rsid w:val="00765DE8"/>
    <w:rsid w:val="007742CA"/>
    <w:rsid w:val="007D06F0"/>
    <w:rsid w:val="007D45E3"/>
    <w:rsid w:val="007D5320"/>
    <w:rsid w:val="007E55DC"/>
    <w:rsid w:val="00800972"/>
    <w:rsid w:val="00804475"/>
    <w:rsid w:val="00811633"/>
    <w:rsid w:val="00821CEF"/>
    <w:rsid w:val="00832828"/>
    <w:rsid w:val="00872FC8"/>
    <w:rsid w:val="008845D0"/>
    <w:rsid w:val="008B43F2"/>
    <w:rsid w:val="008B6CFF"/>
    <w:rsid w:val="009274B4"/>
    <w:rsid w:val="00934EA2"/>
    <w:rsid w:val="00944A5C"/>
    <w:rsid w:val="00952A66"/>
    <w:rsid w:val="009C56E5"/>
    <w:rsid w:val="009E5FC8"/>
    <w:rsid w:val="009E687A"/>
    <w:rsid w:val="00A03C5C"/>
    <w:rsid w:val="00A066F1"/>
    <w:rsid w:val="00A141AF"/>
    <w:rsid w:val="00A16D29"/>
    <w:rsid w:val="00A20E5E"/>
    <w:rsid w:val="00A30305"/>
    <w:rsid w:val="00A31D2D"/>
    <w:rsid w:val="00A4600A"/>
    <w:rsid w:val="00A538A6"/>
    <w:rsid w:val="00A54C25"/>
    <w:rsid w:val="00A633AA"/>
    <w:rsid w:val="00A710E7"/>
    <w:rsid w:val="00A7372E"/>
    <w:rsid w:val="00A93B85"/>
    <w:rsid w:val="00AA0B18"/>
    <w:rsid w:val="00AA666F"/>
    <w:rsid w:val="00B639E9"/>
    <w:rsid w:val="00B817CD"/>
    <w:rsid w:val="00BB3A95"/>
    <w:rsid w:val="00C0018F"/>
    <w:rsid w:val="00C20466"/>
    <w:rsid w:val="00C214ED"/>
    <w:rsid w:val="00C234E6"/>
    <w:rsid w:val="00C324A8"/>
    <w:rsid w:val="00C54517"/>
    <w:rsid w:val="00C64CD8"/>
    <w:rsid w:val="00C97C68"/>
    <w:rsid w:val="00CA1A47"/>
    <w:rsid w:val="00CA3770"/>
    <w:rsid w:val="00CC247A"/>
    <w:rsid w:val="00CE5E47"/>
    <w:rsid w:val="00CF020F"/>
    <w:rsid w:val="00CF2B5B"/>
    <w:rsid w:val="00D14CE0"/>
    <w:rsid w:val="00D5651D"/>
    <w:rsid w:val="00D74898"/>
    <w:rsid w:val="00D779AC"/>
    <w:rsid w:val="00D801ED"/>
    <w:rsid w:val="00D925C2"/>
    <w:rsid w:val="00D936BC"/>
    <w:rsid w:val="00D96530"/>
    <w:rsid w:val="00D96B4B"/>
    <w:rsid w:val="00DD08B4"/>
    <w:rsid w:val="00DD44AF"/>
    <w:rsid w:val="00DE2AC3"/>
    <w:rsid w:val="00DE5692"/>
    <w:rsid w:val="00DF6F8E"/>
    <w:rsid w:val="00E03C94"/>
    <w:rsid w:val="00E26226"/>
    <w:rsid w:val="00E45D05"/>
    <w:rsid w:val="00E55816"/>
    <w:rsid w:val="00E55AEF"/>
    <w:rsid w:val="00E976C1"/>
    <w:rsid w:val="00EA12E5"/>
    <w:rsid w:val="00EC2078"/>
    <w:rsid w:val="00F02766"/>
    <w:rsid w:val="00F04067"/>
    <w:rsid w:val="00F05BD4"/>
    <w:rsid w:val="00F21A1D"/>
    <w:rsid w:val="00F65C19"/>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Ref,de nota al pie"/>
    <w:basedOn w:val="DefaultParagraphFont"/>
    <w:rsid w:val="002154A6"/>
    <w:rPr>
      <w:rFonts w:asciiTheme="minorHAnsi" w:hAnsiTheme="minorHAnsi"/>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fn"/>
    <w:basedOn w:val="Normal"/>
    <w:link w:val="FootnoteTextChar"/>
    <w:rsid w:val="00745AEE"/>
    <w:pPr>
      <w:keepLines/>
      <w:tabs>
        <w:tab w:val="left" w:pos="255"/>
      </w:tabs>
    </w:p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fn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2268"/>
        <w:tab w:val="left" w:pos="170"/>
        <w:tab w:val="left" w:pos="737"/>
        <w:tab w:val="left" w:pos="2977"/>
        <w:tab w:val="left" w:pos="3266"/>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194C14"/>
    <w:pPr>
      <w:tabs>
        <w:tab w:val="clear" w:pos="1134"/>
        <w:tab w:val="clear" w:pos="2268"/>
      </w:tabs>
      <w:overflowPunct/>
      <w:autoSpaceDE/>
      <w:autoSpaceDN/>
      <w:adjustRightInd/>
      <w:spacing w:before="0"/>
      <w:jc w:val="center"/>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customStyle="1" w:styleId="NormalaftertitleChar">
    <w:name w:val="Normal after title Char"/>
    <w:link w:val="Normalaftertitle"/>
    <w:locked/>
    <w:rsid w:val="00703886"/>
    <w:rPr>
      <w:rFonts w:asciiTheme="minorHAnsi" w:hAnsiTheme="minorHAnsi"/>
      <w:sz w:val="24"/>
      <w:lang w:val="en-GB" w:eastAsia="en-US"/>
    </w:rPr>
  </w:style>
  <w:style w:type="paragraph" w:customStyle="1" w:styleId="Liststycke">
    <w:name w:val="Liststycke"/>
    <w:basedOn w:val="Normal"/>
    <w:uiPriority w:val="34"/>
    <w:qFormat/>
    <w:rsid w:val="00027463"/>
    <w:pPr>
      <w:ind w:left="720"/>
      <w:contextualSpacing/>
    </w:pPr>
    <w:rPr>
      <w:rFonts w:ascii="Calibri" w:hAnsi="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Ref,de nota al pie"/>
    <w:basedOn w:val="DefaultParagraphFont"/>
    <w:rsid w:val="002154A6"/>
    <w:rPr>
      <w:rFonts w:asciiTheme="minorHAnsi" w:hAnsiTheme="minorHAnsi"/>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fn"/>
    <w:basedOn w:val="Normal"/>
    <w:link w:val="FootnoteTextChar"/>
    <w:rsid w:val="00745AEE"/>
    <w:pPr>
      <w:keepLines/>
      <w:tabs>
        <w:tab w:val="left" w:pos="255"/>
      </w:tabs>
    </w:p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fn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2268"/>
        <w:tab w:val="left" w:pos="170"/>
        <w:tab w:val="left" w:pos="737"/>
        <w:tab w:val="left" w:pos="2977"/>
        <w:tab w:val="left" w:pos="3266"/>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194C14"/>
    <w:pPr>
      <w:tabs>
        <w:tab w:val="clear" w:pos="1134"/>
        <w:tab w:val="clear" w:pos="2268"/>
      </w:tabs>
      <w:overflowPunct/>
      <w:autoSpaceDE/>
      <w:autoSpaceDN/>
      <w:adjustRightInd/>
      <w:spacing w:before="0"/>
      <w:jc w:val="center"/>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customStyle="1" w:styleId="NormalaftertitleChar">
    <w:name w:val="Normal after title Char"/>
    <w:link w:val="Normalaftertitle"/>
    <w:locked/>
    <w:rsid w:val="00703886"/>
    <w:rPr>
      <w:rFonts w:asciiTheme="minorHAnsi" w:hAnsiTheme="minorHAnsi"/>
      <w:sz w:val="24"/>
      <w:lang w:val="en-GB" w:eastAsia="en-US"/>
    </w:rPr>
  </w:style>
  <w:style w:type="paragraph" w:customStyle="1" w:styleId="Liststycke">
    <w:name w:val="Liststycke"/>
    <w:basedOn w:val="Normal"/>
    <w:uiPriority w:val="34"/>
    <w:qFormat/>
    <w:rsid w:val="00027463"/>
    <w:pPr>
      <w:ind w:left="720"/>
      <w:contextualSpacing/>
    </w:pPr>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CIT12-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7E942E-30AB-4E62-BBB7-8EF71619E3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PE_WCIT12-E.dotx</Template>
  <TotalTime>7</TotalTime>
  <Pages>4</Pages>
  <Words>1159</Words>
  <Characters>6806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S12-WCIT12-C-0016!A1!MSW-E</vt:lpstr>
    </vt:vector>
  </TitlesOfParts>
  <Manager>General Secretariat - Pool</Manager>
  <Company>International Telecommunication Union (ITU)</Company>
  <LinksUpToDate>false</LinksUpToDate>
  <CharactersWithSpaces>7950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S12-WCIT12-C-0016!A1!MSW-E</dc:title>
  <dc:subject>World Conference on International Telecommunications (WCIT)</dc:subject>
  <dc:creator>Documents Proposals Manager (DPM)</dc:creator>
  <cp:keywords>DPM_v5.2.22_prod</cp:keywords>
  <dc:description/>
  <cp:lastModifiedBy>Janin, Patricia</cp:lastModifiedBy>
  <cp:revision>5</cp:revision>
  <cp:lastPrinted>2012-10-18T05:26:00Z</cp:lastPrinted>
  <dcterms:created xsi:type="dcterms:W3CDTF">2012-10-12T13:43:00Z</dcterms:created>
  <dcterms:modified xsi:type="dcterms:W3CDTF">2012-10-18T05:26:00Z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