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73B21E83" wp14:editId="1349826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D86DCF" w:rsidTr="00336C1A">
        <w:trPr>
          <w:cantSplit/>
        </w:trPr>
        <w:tc>
          <w:tcPr>
            <w:tcW w:w="6770" w:type="dxa"/>
          </w:tcPr>
          <w:p w:rsidR="00D86DCF" w:rsidRPr="00BD6EF3" w:rsidRDefault="00D86DCF" w:rsidP="00D86DCF">
            <w:pPr>
              <w:pStyle w:val="Adress"/>
              <w:framePr w:hSpace="0" w:wrap="auto" w:xAlign="left" w:yAlign="inline"/>
              <w:rPr>
                <w:rtl/>
              </w:rPr>
            </w:pPr>
            <w:r>
              <w:rPr>
                <w:rFonts w:hint="cs"/>
                <w:rtl/>
              </w:rPr>
              <w:t>الجلسة العامة</w:t>
            </w:r>
          </w:p>
        </w:tc>
        <w:tc>
          <w:tcPr>
            <w:tcW w:w="3119" w:type="dxa"/>
            <w:vAlign w:val="center"/>
          </w:tcPr>
          <w:p w:rsidR="00D86DCF" w:rsidRPr="00067864" w:rsidRDefault="00D86DCF" w:rsidP="00D86DCF">
            <w:pPr>
              <w:pStyle w:val="Adress"/>
              <w:framePr w:hSpace="0" w:wrap="auto" w:xAlign="left" w:yAlign="inline"/>
              <w:rPr>
                <w:rFonts w:ascii="Calibri" w:hAnsi="Calibri"/>
                <w:sz w:val="22"/>
                <w:rtl/>
              </w:rPr>
            </w:pPr>
            <w:r>
              <w:rPr>
                <w:rFonts w:ascii="Calibri" w:hAnsi="Calibri" w:hint="cs"/>
                <w:sz w:val="22"/>
                <w:rtl/>
              </w:rPr>
              <w:t>ا</w:t>
            </w:r>
            <w:r w:rsidRPr="00067864">
              <w:rPr>
                <w:rFonts w:ascii="Calibri" w:hAnsi="Calibri" w:hint="cs"/>
                <w:sz w:val="22"/>
                <w:rtl/>
              </w:rPr>
              <w:t xml:space="preserve">لوثيقة </w:t>
            </w:r>
            <w:r>
              <w:rPr>
                <w:rFonts w:ascii="Calibri" w:hAnsi="Calibri"/>
                <w:sz w:val="22"/>
              </w:rPr>
              <w:t>16</w:t>
            </w:r>
            <w:r w:rsidRPr="00067864">
              <w:rPr>
                <w:rFonts w:ascii="Calibri" w:hAnsi="Calibri"/>
                <w:sz w:val="22"/>
              </w:rPr>
              <w:t>-A</w:t>
            </w:r>
          </w:p>
        </w:tc>
      </w:tr>
      <w:tr w:rsidR="00D86DCF" w:rsidTr="00336C1A">
        <w:trPr>
          <w:cantSplit/>
        </w:trPr>
        <w:tc>
          <w:tcPr>
            <w:tcW w:w="6770" w:type="dxa"/>
          </w:tcPr>
          <w:p w:rsidR="00D86DCF" w:rsidRPr="00BD6EF3" w:rsidRDefault="00D86DCF" w:rsidP="00D86DCF">
            <w:pPr>
              <w:pStyle w:val="Adress"/>
              <w:framePr w:hSpace="0" w:wrap="auto" w:xAlign="left" w:yAlign="inline"/>
              <w:rPr>
                <w:rtl/>
              </w:rPr>
            </w:pPr>
          </w:p>
        </w:tc>
        <w:tc>
          <w:tcPr>
            <w:tcW w:w="3119" w:type="dxa"/>
            <w:vAlign w:val="center"/>
          </w:tcPr>
          <w:p w:rsidR="00D86DCF" w:rsidRPr="00067864" w:rsidRDefault="00D86DCF" w:rsidP="00D86DCF">
            <w:pPr>
              <w:pStyle w:val="Adress"/>
              <w:framePr w:hSpace="0" w:wrap="auto" w:xAlign="left" w:yAlign="inline"/>
              <w:rPr>
                <w:rFonts w:ascii="Calibri" w:hAnsi="Calibri"/>
                <w:sz w:val="22"/>
              </w:rPr>
            </w:pPr>
            <w:r w:rsidRPr="00067864">
              <w:rPr>
                <w:rFonts w:ascii="Calibri" w:hAnsi="Calibri"/>
                <w:sz w:val="22"/>
              </w:rPr>
              <w:t>1</w:t>
            </w:r>
            <w:r>
              <w:rPr>
                <w:rFonts w:ascii="Calibri" w:hAnsi="Calibri"/>
                <w:sz w:val="22"/>
              </w:rPr>
              <w:t>2</w:t>
            </w:r>
            <w:r w:rsidRPr="00067864">
              <w:rPr>
                <w:rFonts w:ascii="Calibri" w:hAnsi="Calibri" w:hint="cs"/>
                <w:sz w:val="22"/>
                <w:rtl/>
              </w:rPr>
              <w:t xml:space="preserve"> </w:t>
            </w:r>
            <w:r>
              <w:rPr>
                <w:rFonts w:ascii="Calibri" w:hAnsi="Calibri" w:hint="cs"/>
                <w:sz w:val="22"/>
                <w:rtl/>
              </w:rPr>
              <w:t>أكتوبر</w:t>
            </w:r>
            <w:r w:rsidRPr="00067864">
              <w:rPr>
                <w:rFonts w:ascii="Calibri" w:hAnsi="Calibri" w:hint="cs"/>
                <w:sz w:val="22"/>
                <w:rtl/>
              </w:rPr>
              <w:t xml:space="preserve"> </w:t>
            </w:r>
            <w:r w:rsidRPr="00067864">
              <w:rPr>
                <w:rFonts w:ascii="Calibri" w:hAnsi="Calibri"/>
                <w:sz w:val="22"/>
              </w:rPr>
              <w:t>2012</w:t>
            </w:r>
          </w:p>
        </w:tc>
      </w:tr>
      <w:tr w:rsidR="00D86DCF" w:rsidTr="00336C1A">
        <w:trPr>
          <w:cantSplit/>
        </w:trPr>
        <w:tc>
          <w:tcPr>
            <w:tcW w:w="6770" w:type="dxa"/>
          </w:tcPr>
          <w:p w:rsidR="00D86DCF" w:rsidRPr="00BD6EF3" w:rsidRDefault="00D86DCF" w:rsidP="00D86DCF">
            <w:pPr>
              <w:pStyle w:val="Adress"/>
              <w:framePr w:hSpace="0" w:wrap="auto" w:xAlign="left" w:yAlign="inline"/>
              <w:rPr>
                <w:rFonts w:eastAsia="SimSun" w:hint="eastAsia"/>
                <w:rtl/>
              </w:rPr>
            </w:pPr>
          </w:p>
        </w:tc>
        <w:tc>
          <w:tcPr>
            <w:tcW w:w="3119" w:type="dxa"/>
            <w:vAlign w:val="center"/>
          </w:tcPr>
          <w:p w:rsidR="00D86DCF" w:rsidRPr="00067864" w:rsidRDefault="00D86DCF" w:rsidP="00D86DCF">
            <w:pPr>
              <w:pStyle w:val="Adress"/>
              <w:framePr w:hSpace="0" w:wrap="auto" w:xAlign="left" w:yAlign="inline"/>
              <w:rPr>
                <w:rFonts w:ascii="Calibri" w:eastAsia="SimSun" w:hAnsi="Calibri"/>
                <w:sz w:val="22"/>
                <w:rtl/>
                <w:lang w:bidi="ar-SA"/>
              </w:rPr>
            </w:pPr>
            <w:r w:rsidRPr="00067864">
              <w:rPr>
                <w:rFonts w:ascii="Calibri" w:eastAsia="SimSun" w:hAnsi="Calibri"/>
                <w:sz w:val="22"/>
                <w:rtl/>
              </w:rPr>
              <w:t xml:space="preserve">الأصل: </w:t>
            </w:r>
            <w:r>
              <w:rPr>
                <w:rFonts w:ascii="Calibri" w:eastAsia="SimSun" w:hAnsi="Calibri" w:hint="cs"/>
                <w:sz w:val="22"/>
                <w:rtl/>
              </w:rPr>
              <w:t>بالإنكليزية</w:t>
            </w:r>
          </w:p>
        </w:tc>
      </w:tr>
      <w:tr w:rsidR="00D86DCF" w:rsidTr="00336C1A">
        <w:trPr>
          <w:cantSplit/>
        </w:trPr>
        <w:tc>
          <w:tcPr>
            <w:tcW w:w="9889" w:type="dxa"/>
            <w:gridSpan w:val="2"/>
          </w:tcPr>
          <w:p w:rsidR="00D86DCF" w:rsidRPr="00E621A3" w:rsidRDefault="00D86DCF" w:rsidP="00D86DCF">
            <w:pPr>
              <w:pStyle w:val="Source"/>
              <w:rPr>
                <w:rtl/>
              </w:rPr>
            </w:pPr>
            <w:r w:rsidRPr="008204AC">
              <w:rPr>
                <w:rFonts w:ascii="Traditional Arabic" w:eastAsia="SimSun" w:hAnsi="Traditional Arabic"/>
                <w:rtl/>
              </w:rPr>
              <w:t>الإدارات الأوروبية</w:t>
            </w:r>
          </w:p>
        </w:tc>
      </w:tr>
      <w:tr w:rsidR="00D86DCF" w:rsidTr="00336C1A">
        <w:trPr>
          <w:cantSplit/>
        </w:trPr>
        <w:tc>
          <w:tcPr>
            <w:tcW w:w="9889" w:type="dxa"/>
            <w:gridSpan w:val="2"/>
          </w:tcPr>
          <w:p w:rsidR="00D86DCF" w:rsidRPr="00E51BFA" w:rsidRDefault="00D86DCF" w:rsidP="00D86DCF">
            <w:pPr>
              <w:pStyle w:val="Title1"/>
            </w:pPr>
            <w:r>
              <w:rPr>
                <w:rtl/>
              </w:rPr>
              <w:t>مقترحات أوروبية مشتركة بشأن أعمال المؤتمر</w:t>
            </w:r>
          </w:p>
        </w:tc>
      </w:tr>
      <w:tr w:rsidR="00280E04" w:rsidTr="00336C1A">
        <w:trPr>
          <w:cantSplit/>
        </w:trPr>
        <w:tc>
          <w:tcPr>
            <w:tcW w:w="9889" w:type="dxa"/>
            <w:gridSpan w:val="2"/>
          </w:tcPr>
          <w:p w:rsidR="00280E04" w:rsidRPr="00837F43" w:rsidRDefault="00280E04" w:rsidP="00837F43">
            <w:pPr>
              <w:pStyle w:val="Title2"/>
            </w:pPr>
          </w:p>
        </w:tc>
      </w:tr>
    </w:tbl>
    <w:p w:rsidR="00F16602" w:rsidRPr="00837F43" w:rsidRDefault="00837F43" w:rsidP="00937883">
      <w:pPr>
        <w:pStyle w:val="Headingb"/>
        <w:spacing w:before="120"/>
        <w:rPr>
          <w:rtl/>
        </w:rPr>
      </w:pPr>
      <w:r w:rsidRPr="00837F43">
        <w:rPr>
          <w:rFonts w:hint="eastAsia"/>
          <w:rtl/>
        </w:rPr>
        <w:t>مقترحات</w:t>
      </w:r>
      <w:r w:rsidRPr="00837F43">
        <w:rPr>
          <w:rtl/>
        </w:rPr>
        <w:t xml:space="preserve"> </w:t>
      </w:r>
      <w:r w:rsidRPr="00837F43">
        <w:rPr>
          <w:rFonts w:hint="eastAsia"/>
          <w:rtl/>
        </w:rPr>
        <w:t>أوروبية</w:t>
      </w:r>
      <w:r w:rsidRPr="00837F43">
        <w:rPr>
          <w:rtl/>
        </w:rPr>
        <w:t xml:space="preserve"> </w:t>
      </w:r>
      <w:r w:rsidRPr="00837F43">
        <w:rPr>
          <w:rFonts w:hint="eastAsia"/>
          <w:rtl/>
        </w:rPr>
        <w:t>مشتركة</w:t>
      </w:r>
      <w:r w:rsidRPr="00837F43">
        <w:rPr>
          <w:rtl/>
        </w:rPr>
        <w:t xml:space="preserve"> </w:t>
      </w:r>
      <w:r w:rsidRPr="00837F43">
        <w:rPr>
          <w:rFonts w:hint="eastAsia"/>
          <w:rtl/>
        </w:rPr>
        <w:t>بشأن</w:t>
      </w:r>
      <w:r w:rsidRPr="00837F43">
        <w:rPr>
          <w:rtl/>
        </w:rPr>
        <w:t xml:space="preserve"> </w:t>
      </w:r>
      <w:r w:rsidRPr="00837F43">
        <w:rPr>
          <w:rFonts w:hint="eastAsia"/>
          <w:rtl/>
        </w:rPr>
        <w:t>أعمال</w:t>
      </w:r>
      <w:r w:rsidRPr="00837F43">
        <w:rPr>
          <w:rtl/>
        </w:rPr>
        <w:t xml:space="preserve"> </w:t>
      </w:r>
      <w:r w:rsidRPr="00837F43">
        <w:rPr>
          <w:rFonts w:hint="eastAsia"/>
          <w:rtl/>
        </w:rPr>
        <w:t>المؤتمر</w:t>
      </w:r>
    </w:p>
    <w:p w:rsidR="00837F43" w:rsidRPr="004F5733" w:rsidRDefault="004F5733" w:rsidP="00937883">
      <w:pPr>
        <w:rPr>
          <w:rtl/>
        </w:rPr>
      </w:pPr>
      <w:r>
        <w:rPr>
          <w:rFonts w:hint="cs"/>
          <w:rtl/>
          <w:lang w:bidi="ar-EG"/>
        </w:rPr>
        <w:t xml:space="preserve">تقدم هذه المساهمة المقترحات الأوروبية المشتركة </w:t>
      </w:r>
      <w:r w:rsidR="00D948FA">
        <w:rPr>
          <w:rFonts w:hint="cs"/>
          <w:rtl/>
          <w:lang w:bidi="ar-EG"/>
        </w:rPr>
        <w:t>لل</w:t>
      </w:r>
      <w:r>
        <w:rPr>
          <w:rFonts w:hint="cs"/>
          <w:rtl/>
          <w:lang w:bidi="ar-EG"/>
        </w:rPr>
        <w:t>مؤتمر العالمي للاتصالات الدولية</w:t>
      </w:r>
      <w:r w:rsidR="00937883">
        <w:rPr>
          <w:rFonts w:hint="eastAsia"/>
          <w:rtl/>
          <w:lang w:bidi="ar-EG"/>
        </w:rPr>
        <w:t> </w:t>
      </w:r>
      <w:r>
        <w:rPr>
          <w:lang w:bidi="ar-EG"/>
        </w:rPr>
        <w:t>(WCIT-12)</w:t>
      </w:r>
      <w:r w:rsidR="00D948FA">
        <w:rPr>
          <w:rFonts w:hint="cs"/>
          <w:rtl/>
          <w:lang w:bidi="ar-EG"/>
        </w:rPr>
        <w:t xml:space="preserve">. وقد </w:t>
      </w:r>
      <w:r w:rsidR="00D948FA" w:rsidRPr="002C6DFD">
        <w:rPr>
          <w:rFonts w:hint="cs"/>
          <w:rtl/>
          <w:lang w:bidi="ar-EG"/>
        </w:rPr>
        <w:t xml:space="preserve">أعدت هذه المقترحات اللجنة التابعة </w:t>
      </w:r>
      <w:r w:rsidR="00D948FA" w:rsidRPr="002C6DFD">
        <w:rPr>
          <w:rFonts w:hint="cs"/>
          <w:rtl/>
        </w:rPr>
        <w:t>ل</w:t>
      </w:r>
      <w:r w:rsidR="00D948FA">
        <w:rPr>
          <w:rFonts w:hint="cs"/>
          <w:rtl/>
        </w:rPr>
        <w:t>إدارات ا</w:t>
      </w:r>
      <w:r w:rsidR="00D948FA" w:rsidRPr="002C6DFD">
        <w:rPr>
          <w:rFonts w:hint="cs"/>
          <w:rtl/>
        </w:rPr>
        <w:t>لمؤتمر الأوروبي لإدارات البريد والاتصالات</w:t>
      </w:r>
      <w:r w:rsidR="00937883">
        <w:rPr>
          <w:rFonts w:hint="eastAsia"/>
          <w:rtl/>
        </w:rPr>
        <w:t> </w:t>
      </w:r>
      <w:r w:rsidR="00D948FA" w:rsidRPr="002C6DFD">
        <w:t>(</w:t>
      </w:r>
      <w:r w:rsidR="00D948FA" w:rsidRPr="006B6495">
        <w:rPr>
          <w:position w:val="6"/>
          <w:sz w:val="18"/>
        </w:rPr>
        <w:footnoteReference w:id="1"/>
      </w:r>
      <w:r w:rsidR="00D948FA" w:rsidRPr="002C6DFD">
        <w:t>CEPT)</w:t>
      </w:r>
      <w:r w:rsidR="00D948FA" w:rsidRPr="002C6DFD">
        <w:rPr>
          <w:rFonts w:hint="cs"/>
          <w:rtl/>
        </w:rPr>
        <w:t xml:space="preserve"> المعنية بالسياسة العامة بشأن الاتحاد الدولي للاتصالات</w:t>
      </w:r>
      <w:r w:rsidR="00937883">
        <w:rPr>
          <w:rFonts w:hint="eastAsia"/>
          <w:rtl/>
        </w:rPr>
        <w:t> </w:t>
      </w:r>
      <w:r w:rsidR="00D948FA" w:rsidRPr="002C6DFD">
        <w:t>(Com-ITU)</w:t>
      </w:r>
      <w:r w:rsidR="00D948FA" w:rsidRPr="002C6DFD">
        <w:rPr>
          <w:rFonts w:hint="cs"/>
          <w:rtl/>
        </w:rPr>
        <w:t>.</w:t>
      </w:r>
    </w:p>
    <w:p w:rsidR="00837F43" w:rsidRPr="000F1F8B" w:rsidRDefault="00DE3B38" w:rsidP="00A5493F">
      <w:pPr>
        <w:pStyle w:val="Headingb"/>
        <w:rPr>
          <w:rtl/>
        </w:rPr>
      </w:pPr>
      <w:r w:rsidRPr="000F1F8B">
        <w:rPr>
          <w:rFonts w:hint="cs"/>
          <w:rtl/>
        </w:rPr>
        <w:t>مقدمة</w:t>
      </w:r>
    </w:p>
    <w:p w:rsidR="00DE3B38" w:rsidRDefault="00DE3B38" w:rsidP="00937883">
      <w:pPr>
        <w:rPr>
          <w:rtl/>
          <w:lang w:bidi="ar-EG"/>
        </w:rPr>
      </w:pPr>
      <w:r>
        <w:rPr>
          <w:rFonts w:hint="cs"/>
          <w:rtl/>
          <w:lang w:bidi="ar-EG"/>
        </w:rPr>
        <w:t xml:space="preserve">المؤتمر العالمي للاتصالات الدولية لعام </w:t>
      </w:r>
      <w:r>
        <w:rPr>
          <w:lang w:bidi="ar-EG"/>
        </w:rPr>
        <w:t>2012</w:t>
      </w:r>
      <w:r>
        <w:rPr>
          <w:rFonts w:hint="cs"/>
          <w:rtl/>
          <w:lang w:bidi="ar-EG"/>
        </w:rPr>
        <w:t xml:space="preserve"> </w:t>
      </w:r>
      <w:r w:rsidR="00AC5E82">
        <w:rPr>
          <w:rFonts w:hint="cs"/>
          <w:rtl/>
          <w:lang w:bidi="ar-EG"/>
        </w:rPr>
        <w:t>حدث هام</w:t>
      </w:r>
      <w:r>
        <w:rPr>
          <w:rFonts w:hint="cs"/>
          <w:rtl/>
          <w:lang w:bidi="ar-EG"/>
        </w:rPr>
        <w:t xml:space="preserve"> و</w:t>
      </w:r>
      <w:r w:rsidR="000F1F8B">
        <w:rPr>
          <w:rFonts w:hint="cs"/>
          <w:rtl/>
          <w:lang w:bidi="ar-EG"/>
        </w:rPr>
        <w:t>يتيح فرصة فريدة لمراجعة لوائح الاتصالات الدولية.</w:t>
      </w:r>
    </w:p>
    <w:p w:rsidR="00B20C6C" w:rsidRPr="00DE3B38" w:rsidRDefault="00B20C6C" w:rsidP="00937883">
      <w:pPr>
        <w:rPr>
          <w:rtl/>
          <w:lang w:bidi="ar-EG"/>
        </w:rPr>
      </w:pPr>
      <w:r>
        <w:rPr>
          <w:rFonts w:hint="cs"/>
          <w:rtl/>
          <w:lang w:bidi="ar-EG"/>
        </w:rPr>
        <w:t xml:space="preserve">وتود أوروبا تيسير توافق </w:t>
      </w:r>
      <w:r w:rsidR="0080238B">
        <w:rPr>
          <w:rFonts w:hint="cs"/>
          <w:rtl/>
          <w:lang w:bidi="ar-EG"/>
        </w:rPr>
        <w:t>ا</w:t>
      </w:r>
      <w:r>
        <w:rPr>
          <w:rFonts w:hint="cs"/>
          <w:rtl/>
          <w:lang w:bidi="ar-EG"/>
        </w:rPr>
        <w:t>لآراء على الصعيد العالمي فيما يتعلق بالعديد من المواضيع</w:t>
      </w:r>
      <w:r w:rsidR="00DA043A">
        <w:rPr>
          <w:rFonts w:hint="cs"/>
          <w:rtl/>
          <w:lang w:bidi="ar-EG"/>
        </w:rPr>
        <w:t xml:space="preserve"> المثيرة للجدل.</w:t>
      </w:r>
    </w:p>
    <w:p w:rsidR="00837F43" w:rsidRDefault="00BE788A" w:rsidP="00937883">
      <w:pPr>
        <w:rPr>
          <w:rtl/>
          <w:lang w:bidi="ar-EG"/>
        </w:rPr>
      </w:pPr>
      <w:r>
        <w:rPr>
          <w:rFonts w:hint="cs"/>
          <w:rtl/>
          <w:lang w:bidi="ar-EG"/>
        </w:rPr>
        <w:t>وتحقيقاً لهذه الغاية ونظراً للقدرة التنافسية العامة لخدمات الاتصالات الدولية والنتائج الإيجابية</w:t>
      </w:r>
      <w:r w:rsidR="00B96474">
        <w:rPr>
          <w:rFonts w:hint="cs"/>
          <w:rtl/>
          <w:lang w:bidi="ar-EG"/>
        </w:rPr>
        <w:t xml:space="preserve"> التي يشهدها المستهلكون بوجه خاص، ترى أوروبا أن التنظيم مطلوب فقط </w:t>
      </w:r>
      <w:r w:rsidR="007E3936">
        <w:rPr>
          <w:rFonts w:hint="cs"/>
          <w:rtl/>
          <w:lang w:bidi="ar-EG"/>
        </w:rPr>
        <w:t>عندما يكون</w:t>
      </w:r>
      <w:r w:rsidR="00B96474">
        <w:rPr>
          <w:rFonts w:hint="cs"/>
          <w:rtl/>
          <w:lang w:bidi="ar-EG"/>
        </w:rPr>
        <w:t xml:space="preserve"> له ما يبرره </w:t>
      </w:r>
      <w:r w:rsidR="006A194A">
        <w:rPr>
          <w:rFonts w:hint="cs"/>
          <w:rtl/>
          <w:lang w:bidi="ar-EG"/>
        </w:rPr>
        <w:t>علماً</w:t>
      </w:r>
      <w:r w:rsidR="00053295">
        <w:rPr>
          <w:rFonts w:hint="cs"/>
          <w:rtl/>
          <w:lang w:bidi="ar-EG"/>
        </w:rPr>
        <w:t xml:space="preserve"> أن ال</w:t>
      </w:r>
      <w:r w:rsidR="00B96474">
        <w:rPr>
          <w:rFonts w:hint="cs"/>
          <w:rtl/>
          <w:lang w:bidi="ar-EG"/>
        </w:rPr>
        <w:t xml:space="preserve">أعباء </w:t>
      </w:r>
      <w:r w:rsidR="00053295">
        <w:rPr>
          <w:rFonts w:hint="cs"/>
          <w:rtl/>
          <w:lang w:bidi="ar-EG"/>
        </w:rPr>
        <w:t>ال</w:t>
      </w:r>
      <w:r w:rsidR="00B96474">
        <w:rPr>
          <w:rFonts w:hint="cs"/>
          <w:rtl/>
          <w:lang w:bidi="ar-EG"/>
        </w:rPr>
        <w:t xml:space="preserve">إضافية </w:t>
      </w:r>
      <w:r w:rsidR="006A194A">
        <w:rPr>
          <w:rFonts w:hint="cs"/>
          <w:rtl/>
          <w:lang w:bidi="ar-EG"/>
        </w:rPr>
        <w:t>غير الضرورية</w:t>
      </w:r>
      <w:r w:rsidR="00B96474">
        <w:rPr>
          <w:rFonts w:hint="cs"/>
          <w:rtl/>
          <w:lang w:bidi="ar-EG"/>
        </w:rPr>
        <w:t xml:space="preserve"> </w:t>
      </w:r>
      <w:r w:rsidR="00053295">
        <w:rPr>
          <w:rFonts w:hint="cs"/>
          <w:rtl/>
          <w:lang w:bidi="ar-EG"/>
        </w:rPr>
        <w:t>التي تقع على كاهل</w:t>
      </w:r>
      <w:r w:rsidR="00B96474">
        <w:rPr>
          <w:rFonts w:hint="cs"/>
          <w:rtl/>
          <w:lang w:bidi="ar-EG"/>
        </w:rPr>
        <w:t xml:space="preserve"> الدول الأعضاء والشركات الخاصة </w:t>
      </w:r>
      <w:r w:rsidR="00053295">
        <w:rPr>
          <w:rFonts w:hint="cs"/>
          <w:rtl/>
          <w:lang w:bidi="ar-EG"/>
        </w:rPr>
        <w:t>غير مرغوبة لتطوير خدمات الاتصالات الدولية.</w:t>
      </w:r>
    </w:p>
    <w:p w:rsidR="00837F43" w:rsidRPr="003C4C62" w:rsidRDefault="008D6696" w:rsidP="00A5493F">
      <w:pPr>
        <w:rPr>
          <w:spacing w:val="-4"/>
          <w:rtl/>
          <w:lang w:bidi="ar-EG"/>
        </w:rPr>
      </w:pPr>
      <w:r w:rsidRPr="003C4C62">
        <w:rPr>
          <w:rFonts w:hint="cs"/>
          <w:spacing w:val="-4"/>
          <w:rtl/>
          <w:lang w:bidi="ar-EG"/>
        </w:rPr>
        <w:t xml:space="preserve">وعلاوة على ذلك، </w:t>
      </w:r>
      <w:r w:rsidR="00EC5597" w:rsidRPr="003C4C62">
        <w:rPr>
          <w:rFonts w:hint="cs"/>
          <w:spacing w:val="-4"/>
          <w:rtl/>
          <w:lang w:bidi="ar-EG"/>
        </w:rPr>
        <w:t>تشير أوروبا إلى أنه لا يُنصح بحل واحد يلائم الجميع وبالحلول الإلزامية.</w:t>
      </w:r>
      <w:r w:rsidR="005C4951" w:rsidRPr="003C4C62">
        <w:rPr>
          <w:rFonts w:hint="cs"/>
          <w:spacing w:val="-4"/>
          <w:rtl/>
          <w:lang w:bidi="ar-EG"/>
        </w:rPr>
        <w:t xml:space="preserve"> </w:t>
      </w:r>
      <w:r w:rsidR="009B7D42" w:rsidRPr="003C4C62">
        <w:rPr>
          <w:rFonts w:hint="cs"/>
          <w:spacing w:val="-4"/>
          <w:rtl/>
          <w:lang w:bidi="ar-EG"/>
        </w:rPr>
        <w:t xml:space="preserve">وفي الواقع، من المتوقع أن تكون لوائح الاتصالات الدولية المنقحة قابلة للتطبيق ومفيدة وملائمة في كل منطقة وبلد في العالم خلال </w:t>
      </w:r>
      <w:r w:rsidR="00B04E26" w:rsidRPr="003C4C62">
        <w:rPr>
          <w:rFonts w:hint="cs"/>
          <w:spacing w:val="-4"/>
          <w:rtl/>
          <w:lang w:bidi="ar-EG"/>
        </w:rPr>
        <w:t>سنوات عدة.</w:t>
      </w:r>
      <w:r w:rsidR="002E2CC2" w:rsidRPr="003C4C62">
        <w:rPr>
          <w:rFonts w:hint="cs"/>
          <w:spacing w:val="-4"/>
          <w:rtl/>
          <w:lang w:bidi="ar-EG"/>
        </w:rPr>
        <w:t xml:space="preserve"> ولن </w:t>
      </w:r>
      <w:r w:rsidR="00A55702" w:rsidRPr="003C4C62">
        <w:rPr>
          <w:rFonts w:hint="cs"/>
          <w:spacing w:val="-4"/>
          <w:rtl/>
          <w:lang w:bidi="ar-EG"/>
        </w:rPr>
        <w:t>يتحقق</w:t>
      </w:r>
      <w:r w:rsidR="002E2CC2" w:rsidRPr="003C4C62">
        <w:rPr>
          <w:rFonts w:hint="cs"/>
          <w:spacing w:val="-4"/>
          <w:rtl/>
          <w:lang w:bidi="ar-EG"/>
        </w:rPr>
        <w:t xml:space="preserve"> ذلك </w:t>
      </w:r>
      <w:r w:rsidR="00447728" w:rsidRPr="003C4C62">
        <w:rPr>
          <w:rFonts w:hint="cs"/>
          <w:spacing w:val="-4"/>
          <w:rtl/>
          <w:lang w:bidi="ar-EG"/>
        </w:rPr>
        <w:t>إذا كان هناك إغراء</w:t>
      </w:r>
      <w:r w:rsidR="002E2CC2" w:rsidRPr="003C4C62">
        <w:rPr>
          <w:rFonts w:hint="cs"/>
          <w:spacing w:val="-4"/>
          <w:rtl/>
          <w:lang w:bidi="ar-EG"/>
        </w:rPr>
        <w:t xml:space="preserve"> </w:t>
      </w:r>
      <w:r w:rsidR="00447728" w:rsidRPr="003C4C62">
        <w:rPr>
          <w:rFonts w:hint="cs"/>
          <w:spacing w:val="-4"/>
          <w:rtl/>
          <w:lang w:bidi="ar-EG"/>
        </w:rPr>
        <w:t>ب</w:t>
      </w:r>
      <w:r w:rsidR="002E2CC2" w:rsidRPr="003C4C62">
        <w:rPr>
          <w:rFonts w:hint="cs"/>
          <w:spacing w:val="-4"/>
          <w:rtl/>
          <w:lang w:bidi="ar-EG"/>
        </w:rPr>
        <w:t>اتباع إدارة تفصيلية لخدمات الاتصالات الدولية</w:t>
      </w:r>
      <w:r w:rsidR="00310581" w:rsidRPr="003C4C62">
        <w:rPr>
          <w:rFonts w:hint="cs"/>
          <w:spacing w:val="-4"/>
          <w:rtl/>
          <w:lang w:bidi="ar-EG"/>
        </w:rPr>
        <w:t xml:space="preserve">، علماً أن حكماً إيجابياً بالنسبة إلى بلد </w:t>
      </w:r>
      <w:r w:rsidR="00B9785B" w:rsidRPr="003C4C62">
        <w:rPr>
          <w:rFonts w:hint="cs"/>
          <w:spacing w:val="-4"/>
          <w:rtl/>
          <w:lang w:bidi="ar-EG"/>
        </w:rPr>
        <w:t>ما</w:t>
      </w:r>
      <w:r w:rsidR="00310581" w:rsidRPr="003C4C62">
        <w:rPr>
          <w:rFonts w:hint="cs"/>
          <w:spacing w:val="-4"/>
          <w:rtl/>
          <w:lang w:bidi="ar-EG"/>
        </w:rPr>
        <w:t xml:space="preserve"> قد يكون </w:t>
      </w:r>
      <w:r w:rsidR="00A53430" w:rsidRPr="003C4C62">
        <w:rPr>
          <w:rFonts w:hint="cs"/>
          <w:spacing w:val="-4"/>
          <w:rtl/>
          <w:lang w:bidi="ar-EG"/>
        </w:rPr>
        <w:t xml:space="preserve">غير </w:t>
      </w:r>
      <w:r w:rsidR="00B16379" w:rsidRPr="003C4C62">
        <w:rPr>
          <w:rFonts w:hint="cs"/>
          <w:spacing w:val="-4"/>
          <w:rtl/>
          <w:lang w:bidi="ar-EG"/>
        </w:rPr>
        <w:t>مجد أو</w:t>
      </w:r>
      <w:r w:rsidR="00A5493F" w:rsidRPr="003C4C62">
        <w:rPr>
          <w:rFonts w:hint="eastAsia"/>
          <w:spacing w:val="-4"/>
          <w:rtl/>
          <w:lang w:bidi="ar-EG"/>
        </w:rPr>
        <w:t> </w:t>
      </w:r>
      <w:r w:rsidR="00B16379" w:rsidRPr="003C4C62">
        <w:rPr>
          <w:rFonts w:hint="cs"/>
          <w:spacing w:val="-4"/>
          <w:rtl/>
          <w:lang w:bidi="ar-EG"/>
        </w:rPr>
        <w:t>حتى ضار</w:t>
      </w:r>
      <w:r w:rsidR="007F7B1B">
        <w:rPr>
          <w:rFonts w:hint="cs"/>
          <w:spacing w:val="-4"/>
          <w:rtl/>
          <w:lang w:bidi="ar-EG"/>
        </w:rPr>
        <w:t>اً</w:t>
      </w:r>
      <w:r w:rsidR="00B16379" w:rsidRPr="003C4C62">
        <w:rPr>
          <w:rFonts w:hint="cs"/>
          <w:spacing w:val="-4"/>
          <w:rtl/>
          <w:lang w:bidi="ar-EG"/>
        </w:rPr>
        <w:t xml:space="preserve"> بالنسبة إلى بلد مجاور.</w:t>
      </w:r>
    </w:p>
    <w:p w:rsidR="00C43F3E" w:rsidRPr="00C43F3E" w:rsidRDefault="00C43F3E" w:rsidP="007F7B1B">
      <w:pPr>
        <w:rPr>
          <w:rtl/>
          <w:lang w:bidi="ar-EG"/>
        </w:rPr>
      </w:pPr>
      <w:r>
        <w:rPr>
          <w:rFonts w:hint="cs"/>
          <w:rtl/>
          <w:lang w:bidi="ar-EG"/>
        </w:rPr>
        <w:lastRenderedPageBreak/>
        <w:t>وترى أوروبا أنه يتعين على المؤتمر إيجاد حلول</w:t>
      </w:r>
      <w:r w:rsidR="00D20B32">
        <w:rPr>
          <w:rFonts w:hint="cs"/>
          <w:rtl/>
          <w:lang w:bidi="ar-EG"/>
        </w:rPr>
        <w:t xml:space="preserve"> تعود بالنفع على الجميع.</w:t>
      </w:r>
    </w:p>
    <w:p w:rsidR="00837F43" w:rsidRDefault="00837F43" w:rsidP="00937883">
      <w:pPr>
        <w:pStyle w:val="Headingb"/>
        <w:spacing w:before="120"/>
        <w:rPr>
          <w:rtl/>
        </w:rPr>
      </w:pPr>
      <w:r>
        <w:rPr>
          <w:rFonts w:hint="cs"/>
          <w:rtl/>
        </w:rPr>
        <w:t>المعايي‍ر</w:t>
      </w:r>
    </w:p>
    <w:p w:rsidR="00837F43" w:rsidRDefault="004D1105" w:rsidP="00021FDA">
      <w:pPr>
        <w:rPr>
          <w:rtl/>
        </w:rPr>
      </w:pPr>
      <w:r>
        <w:rPr>
          <w:rFonts w:hint="cs"/>
          <w:rtl/>
        </w:rPr>
        <w:t>وافقت أوروبا على مجموعة من المعايير التوجيهية بشأن مراجعة لوائح الاتصالات الدولية</w:t>
      </w:r>
      <w:r w:rsidR="00C73D98">
        <w:rPr>
          <w:rFonts w:hint="eastAsia"/>
          <w:rtl/>
        </w:rPr>
        <w:t> </w:t>
      </w:r>
      <w:r w:rsidR="00741C31">
        <w:t>(ITR)</w:t>
      </w:r>
      <w:r w:rsidR="00741C31">
        <w:rPr>
          <w:rFonts w:hint="cs"/>
          <w:rtl/>
        </w:rPr>
        <w:t xml:space="preserve"> </w:t>
      </w:r>
      <w:r>
        <w:rPr>
          <w:rFonts w:hint="cs"/>
          <w:rtl/>
        </w:rPr>
        <w:t>على النحو المبين في</w:t>
      </w:r>
      <w:r w:rsidR="00F76DFD">
        <w:rPr>
          <w:rFonts w:hint="eastAsia"/>
          <w:rtl/>
        </w:rPr>
        <w:t> </w:t>
      </w:r>
      <w:r>
        <w:rPr>
          <w:rFonts w:hint="cs"/>
          <w:rtl/>
        </w:rPr>
        <w:t>المساهمات المقدمة إلى فريق العمل التابع للمجلس المعني</w:t>
      </w:r>
      <w:r w:rsidR="007F7B1B">
        <w:rPr>
          <w:rFonts w:hint="cs"/>
          <w:rtl/>
        </w:rPr>
        <w:t xml:space="preserve"> بالتحضير للمؤتمر</w:t>
      </w:r>
      <w:r w:rsidR="00C73D98">
        <w:rPr>
          <w:rFonts w:hint="eastAsia"/>
          <w:rtl/>
        </w:rPr>
        <w:t> </w:t>
      </w:r>
      <w:r>
        <w:rPr>
          <w:lang w:bidi="ar-EG"/>
        </w:rPr>
        <w:t>WCIT-12</w:t>
      </w:r>
      <w:r>
        <w:rPr>
          <w:rFonts w:hint="cs"/>
          <w:rtl/>
        </w:rPr>
        <w:t>.</w:t>
      </w:r>
    </w:p>
    <w:p w:rsidR="00F5074B" w:rsidRPr="007F7B1B" w:rsidRDefault="00367C38" w:rsidP="004359B9">
      <w:pPr>
        <w:rPr>
          <w:spacing w:val="-4"/>
          <w:rtl/>
          <w:lang w:bidi="ar-EG"/>
        </w:rPr>
      </w:pPr>
      <w:r w:rsidRPr="007F7B1B">
        <w:rPr>
          <w:rFonts w:hint="cs"/>
          <w:spacing w:val="-4"/>
          <w:rtl/>
        </w:rPr>
        <w:t>و</w:t>
      </w:r>
      <w:r w:rsidR="00F5074B" w:rsidRPr="007F7B1B">
        <w:rPr>
          <w:rFonts w:hint="cs"/>
          <w:spacing w:val="-4"/>
          <w:rtl/>
        </w:rPr>
        <w:t>ترى أوروبا أن هذه المعايير موضوعية</w:t>
      </w:r>
      <w:r w:rsidR="007F7B1B" w:rsidRPr="007F7B1B">
        <w:rPr>
          <w:rFonts w:hint="cs"/>
          <w:spacing w:val="-4"/>
          <w:rtl/>
        </w:rPr>
        <w:t xml:space="preserve"> </w:t>
      </w:r>
      <w:r w:rsidR="006352F2">
        <w:rPr>
          <w:rFonts w:hint="cs"/>
          <w:spacing w:val="-4"/>
          <w:rtl/>
        </w:rPr>
        <w:t xml:space="preserve">ومتوازنة </w:t>
      </w:r>
      <w:r w:rsidR="007F7B1B" w:rsidRPr="007F7B1B">
        <w:rPr>
          <w:rFonts w:hint="cs"/>
          <w:spacing w:val="-4"/>
          <w:rtl/>
        </w:rPr>
        <w:t>وتقوم على</w:t>
      </w:r>
      <w:r w:rsidR="00F5074B" w:rsidRPr="007F7B1B">
        <w:rPr>
          <w:rFonts w:hint="cs"/>
          <w:spacing w:val="-4"/>
          <w:rtl/>
        </w:rPr>
        <w:t xml:space="preserve"> أساس قانوني ومن ثم، يتعين على الدول الأعضاء أن تنظر فيها </w:t>
      </w:r>
      <w:r w:rsidR="00F5074B" w:rsidRPr="007F7B1B">
        <w:rPr>
          <w:rFonts w:hint="cs"/>
          <w:spacing w:val="-4"/>
          <w:rtl/>
          <w:lang w:bidi="ar-EG"/>
        </w:rPr>
        <w:t>بعناية.</w:t>
      </w:r>
    </w:p>
    <w:p w:rsidR="00837F43" w:rsidRDefault="00837F43" w:rsidP="00937883">
      <w:pPr>
        <w:rPr>
          <w:rtl/>
          <w:lang w:bidi="ar-EG"/>
        </w:rPr>
      </w:pPr>
      <w:r w:rsidRPr="00837F43">
        <w:rPr>
          <w:rtl/>
        </w:rPr>
        <w:t>المعايير هي كالتالي (مدرجة في غير ترتيب محدد):</w:t>
      </w:r>
    </w:p>
    <w:p w:rsidR="00837F43" w:rsidRPr="00772693" w:rsidRDefault="00837F43" w:rsidP="00E43AC7">
      <w:pPr>
        <w:ind w:left="567" w:hanging="284"/>
        <w:rPr>
          <w:i/>
          <w:iCs/>
          <w:spacing w:val="-4"/>
          <w:lang w:bidi="ar-EG"/>
        </w:rPr>
      </w:pPr>
      <w:r w:rsidRPr="006E48BC">
        <w:rPr>
          <w:sz w:val="26"/>
          <w:szCs w:val="26"/>
          <w:rtl/>
          <w:lang w:bidi="ar-EG"/>
        </w:rPr>
        <w:t>•</w:t>
      </w:r>
      <w:r>
        <w:rPr>
          <w:rtl/>
          <w:lang w:bidi="ar-EG"/>
        </w:rPr>
        <w:tab/>
      </w:r>
      <w:r w:rsidRPr="00772693">
        <w:rPr>
          <w:b/>
          <w:bCs/>
          <w:spacing w:val="-4"/>
          <w:rtl/>
          <w:lang w:bidi="ar-EG"/>
        </w:rPr>
        <w:t xml:space="preserve">المعيار </w:t>
      </w:r>
      <w:r w:rsidRPr="00772693">
        <w:rPr>
          <w:b/>
          <w:bCs/>
          <w:spacing w:val="-4"/>
          <w:lang w:bidi="ar-EG"/>
        </w:rPr>
        <w:t>1</w:t>
      </w:r>
      <w:r w:rsidRPr="00772693">
        <w:rPr>
          <w:b/>
          <w:bCs/>
          <w:spacing w:val="-4"/>
          <w:rtl/>
          <w:lang w:bidi="ar-EG"/>
        </w:rPr>
        <w:t xml:space="preserve">: </w:t>
      </w:r>
      <w:r w:rsidR="008D691B">
        <w:rPr>
          <w:rFonts w:hint="cs"/>
          <w:i/>
          <w:iCs/>
          <w:spacing w:val="-4"/>
          <w:rtl/>
          <w:lang w:bidi="ar-EG"/>
        </w:rPr>
        <w:t xml:space="preserve">ينبغي </w:t>
      </w:r>
      <w:r w:rsidR="0055090E">
        <w:rPr>
          <w:rFonts w:hint="cs"/>
          <w:i/>
          <w:iCs/>
          <w:spacing w:val="-4"/>
          <w:rtl/>
          <w:lang w:bidi="ar-EG"/>
        </w:rPr>
        <w:t>ل</w:t>
      </w:r>
      <w:r w:rsidR="008D691B">
        <w:rPr>
          <w:rFonts w:hint="cs"/>
          <w:i/>
          <w:iCs/>
          <w:spacing w:val="-4"/>
          <w:rtl/>
          <w:lang w:bidi="ar-EG"/>
        </w:rPr>
        <w:t>لوائح الاتصالات الدولية</w:t>
      </w:r>
      <w:r w:rsidR="0055090E">
        <w:rPr>
          <w:rFonts w:hint="cs"/>
          <w:i/>
          <w:iCs/>
          <w:spacing w:val="-4"/>
          <w:rtl/>
          <w:lang w:bidi="ar-EG"/>
        </w:rPr>
        <w:t xml:space="preserve"> </w:t>
      </w:r>
      <w:r w:rsidR="00467F14">
        <w:rPr>
          <w:rFonts w:hint="cs"/>
          <w:i/>
          <w:iCs/>
          <w:spacing w:val="-4"/>
          <w:rtl/>
          <w:lang w:bidi="ar-EG"/>
        </w:rPr>
        <w:t>بوصفها معاهدة دولية،</w:t>
      </w:r>
      <w:r w:rsidR="00E43AC7">
        <w:rPr>
          <w:rFonts w:hint="cs"/>
          <w:i/>
          <w:iCs/>
          <w:spacing w:val="-4"/>
          <w:rtl/>
          <w:lang w:bidi="ar-EG"/>
        </w:rPr>
        <w:t xml:space="preserve"> أن تعالج</w:t>
      </w:r>
      <w:r w:rsidR="008D691B">
        <w:rPr>
          <w:rFonts w:hint="cs"/>
          <w:i/>
          <w:iCs/>
          <w:spacing w:val="-4"/>
          <w:rtl/>
          <w:lang w:bidi="ar-EG"/>
        </w:rPr>
        <w:t xml:space="preserve"> قضايا استراتيجية وسياسية رفيعة المستوى </w:t>
      </w:r>
    </w:p>
    <w:p w:rsidR="001572B9" w:rsidRDefault="00837F43" w:rsidP="00C73D98">
      <w:pPr>
        <w:ind w:left="567" w:hanging="567"/>
        <w:rPr>
          <w:rtl/>
          <w:lang w:bidi="ar-EG"/>
        </w:rPr>
      </w:pPr>
      <w:r>
        <w:rPr>
          <w:rtl/>
          <w:lang w:bidi="ar-EG"/>
        </w:rPr>
        <w:tab/>
      </w:r>
      <w:r w:rsidR="00E31543">
        <w:rPr>
          <w:rFonts w:hint="cs"/>
          <w:rtl/>
          <w:lang w:bidi="ar-EG"/>
        </w:rPr>
        <w:t>ترى أوروبا</w:t>
      </w:r>
      <w:r>
        <w:rPr>
          <w:rtl/>
          <w:lang w:bidi="ar-EG"/>
        </w:rPr>
        <w:t xml:space="preserve"> أهمية خاصة ل</w:t>
      </w:r>
      <w:r w:rsidR="00367C38">
        <w:rPr>
          <w:rFonts w:hint="cs"/>
          <w:rtl/>
          <w:lang w:bidi="ar-EG"/>
        </w:rPr>
        <w:t>لامتثال ل</w:t>
      </w:r>
      <w:r>
        <w:rPr>
          <w:rtl/>
          <w:lang w:bidi="ar-EG"/>
        </w:rPr>
        <w:t>لمبدأ الذي ينادي بأن تتضمن لوائح الاتصالات الدولية مسائل استراتيجية وسياسية رفيعة المستوى تتعلق بخدمات الاتصالات الدولية ومرافقها (أي</w:t>
      </w:r>
      <w:r w:rsidR="00944079">
        <w:rPr>
          <w:rFonts w:hint="cs"/>
          <w:rtl/>
          <w:lang w:bidi="ar-EG"/>
        </w:rPr>
        <w:t> </w:t>
      </w:r>
      <w:r>
        <w:rPr>
          <w:rtl/>
          <w:lang w:bidi="ar-EG"/>
        </w:rPr>
        <w:t>المجالات ذات الصلة التي يتعين إدراجها في معاهدة دولية)</w:t>
      </w:r>
      <w:r w:rsidR="006B3C81">
        <w:rPr>
          <w:rFonts w:hint="cs"/>
          <w:rtl/>
          <w:lang w:bidi="ar-EG"/>
        </w:rPr>
        <w:t xml:space="preserve">، مما يعني أن </w:t>
      </w:r>
      <w:r w:rsidR="001572B9">
        <w:rPr>
          <w:rFonts w:hint="cs"/>
          <w:rtl/>
          <w:lang w:bidi="ar-EG"/>
        </w:rPr>
        <w:t xml:space="preserve">الأحكام ينبغي </w:t>
      </w:r>
      <w:r w:rsidR="001572B9">
        <w:rPr>
          <w:rtl/>
          <w:lang w:bidi="ar-EG"/>
        </w:rPr>
        <w:t>أن تكون مرنة وشاملة بما يكفي لتطبيقها على المدى الطويل</w:t>
      </w:r>
      <w:r w:rsidR="001572B9">
        <w:rPr>
          <w:rFonts w:hint="cs"/>
          <w:rtl/>
          <w:lang w:bidi="ar-EG"/>
        </w:rPr>
        <w:t>.</w:t>
      </w:r>
    </w:p>
    <w:p w:rsidR="00837F43" w:rsidRPr="006E48BC" w:rsidRDefault="00487EBA" w:rsidP="00C73D98">
      <w:pPr>
        <w:ind w:left="567" w:hanging="567"/>
        <w:rPr>
          <w:spacing w:val="-4"/>
          <w:rtl/>
          <w:lang w:bidi="ar-EG"/>
        </w:rPr>
      </w:pPr>
      <w:r w:rsidRPr="006E48BC">
        <w:rPr>
          <w:rFonts w:hint="cs"/>
          <w:spacing w:val="-4"/>
          <w:rtl/>
          <w:lang w:bidi="ar-EG"/>
        </w:rPr>
        <w:tab/>
        <w:t>وإضافة إلى ذلك، ينبغي للوائح الاتصالات الدولية أن تصون حقوق</w:t>
      </w:r>
      <w:r w:rsidR="00837F43" w:rsidRPr="006E48BC">
        <w:rPr>
          <w:spacing w:val="-4"/>
          <w:rtl/>
          <w:lang w:bidi="ar-EG"/>
        </w:rPr>
        <w:t xml:space="preserve"> مشغلي الاتصالات وموردي الخدمات في </w:t>
      </w:r>
      <w:r w:rsidRPr="006E48BC">
        <w:rPr>
          <w:rFonts w:hint="cs"/>
          <w:spacing w:val="-4"/>
          <w:rtl/>
          <w:lang w:bidi="ar-EG"/>
        </w:rPr>
        <w:t xml:space="preserve">ممارسة </w:t>
      </w:r>
      <w:r w:rsidR="00837F43" w:rsidRPr="006E48BC">
        <w:rPr>
          <w:spacing w:val="-4"/>
          <w:rtl/>
          <w:lang w:bidi="ar-EG"/>
        </w:rPr>
        <w:t>اختيارهم التجاري وأن يتمتعوا بالحرية التشغيلية والتكنولوجية إبان توفيرهم لخدمات الاتصالات الدولية ومرافقها.</w:t>
      </w:r>
    </w:p>
    <w:p w:rsidR="00837F43" w:rsidRDefault="00837F43" w:rsidP="00346038">
      <w:pPr>
        <w:ind w:left="567" w:hanging="567"/>
        <w:rPr>
          <w:rtl/>
          <w:lang w:bidi="ar-EG"/>
        </w:rPr>
      </w:pPr>
      <w:r>
        <w:rPr>
          <w:rtl/>
          <w:lang w:bidi="ar-EG"/>
        </w:rPr>
        <w:tab/>
        <w:t>ويبرز الأساس الخاص بهذا المعيار في القرار</w:t>
      </w:r>
      <w:r w:rsidR="00346038">
        <w:rPr>
          <w:rFonts w:hint="cs"/>
          <w:rtl/>
          <w:lang w:bidi="ar-EG"/>
        </w:rPr>
        <w:t> </w:t>
      </w:r>
      <w:r>
        <w:rPr>
          <w:lang w:bidi="ar-EG"/>
        </w:rPr>
        <w:t>171</w:t>
      </w:r>
      <w:r>
        <w:rPr>
          <w:rtl/>
          <w:lang w:bidi="ar-EG"/>
        </w:rPr>
        <w:t xml:space="preserve"> (غوادالاخارا، </w:t>
      </w:r>
      <w:r>
        <w:rPr>
          <w:lang w:bidi="ar-EG"/>
        </w:rPr>
        <w:t>2010</w:t>
      </w:r>
      <w:r>
        <w:rPr>
          <w:rtl/>
          <w:lang w:bidi="ar-EG"/>
        </w:rPr>
        <w:t>) "الأعمال التحضيرية للمؤتمر العالمي للاتصالات الدولية لعام</w:t>
      </w:r>
      <w:r w:rsidR="00346038">
        <w:rPr>
          <w:rFonts w:hint="cs"/>
          <w:rtl/>
          <w:lang w:bidi="ar-EG"/>
        </w:rPr>
        <w:t> </w:t>
      </w:r>
      <w:r>
        <w:rPr>
          <w:lang w:bidi="ar-EG"/>
        </w:rPr>
        <w:t>2012</w:t>
      </w:r>
      <w:r>
        <w:rPr>
          <w:rtl/>
          <w:lang w:bidi="ar-EG"/>
        </w:rPr>
        <w:t>" والذي ينص في فقرته "</w:t>
      </w:r>
      <w:r w:rsidRPr="00FD3B96">
        <w:rPr>
          <w:i/>
          <w:iCs/>
          <w:rtl/>
          <w:lang w:bidi="ar-EG"/>
        </w:rPr>
        <w:t>يقرر كذلك</w:t>
      </w:r>
      <w:r>
        <w:rPr>
          <w:rtl/>
          <w:lang w:bidi="ar-EG"/>
        </w:rPr>
        <w:t xml:space="preserve">" على ضرورة أن تكون المقترحات الخاصة بمراجعة الاتصالات الدولية </w:t>
      </w:r>
      <w:r w:rsidR="007A4EED">
        <w:rPr>
          <w:rFonts w:hint="cs"/>
          <w:rtl/>
          <w:lang w:bidi="ar-EG"/>
        </w:rPr>
        <w:t>"</w:t>
      </w:r>
      <w:r w:rsidR="007A4EED" w:rsidRPr="007A4EED">
        <w:rPr>
          <w:rFonts w:hint="cs"/>
          <w:rtl/>
        </w:rPr>
        <w:t>معبرة ضمن جملة أمور</w:t>
      </w:r>
      <w:r w:rsidR="007A4EED" w:rsidRPr="00E14F0A">
        <w:rPr>
          <w:rFonts w:hint="cs"/>
          <w:rtl/>
        </w:rPr>
        <w:t xml:space="preserve"> عن مبادئ استراتيجية وسياساتية، بغية ضمان المرونة اللازمة لا</w:t>
      </w:r>
      <w:r w:rsidR="007A4EED" w:rsidRPr="00E14F0A">
        <w:rPr>
          <w:rFonts w:hint="eastAsia"/>
          <w:rtl/>
        </w:rPr>
        <w:t>ستيعاب</w:t>
      </w:r>
      <w:r w:rsidR="007A4EED" w:rsidRPr="00E14F0A">
        <w:rPr>
          <w:rtl/>
        </w:rPr>
        <w:t xml:space="preserve"> </w:t>
      </w:r>
      <w:r w:rsidR="007A4EED" w:rsidRPr="00E14F0A">
        <w:rPr>
          <w:rFonts w:hint="eastAsia"/>
          <w:rtl/>
        </w:rPr>
        <w:t>التطورات</w:t>
      </w:r>
      <w:r w:rsidR="007A4EED" w:rsidRPr="00E14F0A">
        <w:rPr>
          <w:rFonts w:hint="cs"/>
          <w:rtl/>
        </w:rPr>
        <w:t> </w:t>
      </w:r>
      <w:r w:rsidR="007A4EED" w:rsidRPr="00E14F0A">
        <w:rPr>
          <w:rFonts w:hint="eastAsia"/>
          <w:rtl/>
        </w:rPr>
        <w:t>التكنولوجية</w:t>
      </w:r>
      <w:r w:rsidR="007A4EED">
        <w:rPr>
          <w:rFonts w:hint="cs"/>
          <w:rtl/>
          <w:lang w:bidi="ar-EG"/>
        </w:rPr>
        <w:t>" و"</w:t>
      </w:r>
      <w:r w:rsidR="007A4EED" w:rsidRPr="00786181">
        <w:rPr>
          <w:rFonts w:hint="eastAsia"/>
          <w:rtl/>
        </w:rPr>
        <w:t>على</w:t>
      </w:r>
      <w:r w:rsidR="007A4EED" w:rsidRPr="00786181">
        <w:rPr>
          <w:rtl/>
        </w:rPr>
        <w:t xml:space="preserve"> </w:t>
      </w:r>
      <w:r w:rsidR="007A4EED" w:rsidRPr="00786181">
        <w:rPr>
          <w:rFonts w:hint="eastAsia"/>
          <w:rtl/>
        </w:rPr>
        <w:t>درجة</w:t>
      </w:r>
      <w:r w:rsidR="007A4EED" w:rsidRPr="00786181">
        <w:rPr>
          <w:rtl/>
        </w:rPr>
        <w:t xml:space="preserve"> </w:t>
      </w:r>
      <w:r w:rsidR="007A4EED" w:rsidRPr="00786181">
        <w:rPr>
          <w:rFonts w:hint="eastAsia"/>
          <w:rtl/>
        </w:rPr>
        <w:t>كافية</w:t>
      </w:r>
      <w:r w:rsidR="007A4EED" w:rsidRPr="00786181">
        <w:rPr>
          <w:rtl/>
        </w:rPr>
        <w:t xml:space="preserve"> </w:t>
      </w:r>
      <w:r w:rsidR="007A4EED" w:rsidRPr="00786181">
        <w:rPr>
          <w:rFonts w:hint="eastAsia"/>
          <w:rtl/>
        </w:rPr>
        <w:t>من</w:t>
      </w:r>
      <w:r w:rsidR="007A4EED" w:rsidRPr="00786181">
        <w:rPr>
          <w:rtl/>
        </w:rPr>
        <w:t xml:space="preserve"> </w:t>
      </w:r>
      <w:r w:rsidR="007A4EED" w:rsidRPr="00786181">
        <w:rPr>
          <w:rFonts w:hint="eastAsia"/>
          <w:rtl/>
        </w:rPr>
        <w:t>الملاءمة</w:t>
      </w:r>
      <w:r w:rsidR="007A4EED" w:rsidRPr="00786181">
        <w:rPr>
          <w:rtl/>
        </w:rPr>
        <w:t xml:space="preserve"> </w:t>
      </w:r>
      <w:r w:rsidR="007A4EED" w:rsidRPr="00786181">
        <w:rPr>
          <w:rFonts w:hint="eastAsia"/>
          <w:rtl/>
        </w:rPr>
        <w:t>بحيث</w:t>
      </w:r>
      <w:r w:rsidR="007A4EED" w:rsidRPr="00786181">
        <w:rPr>
          <w:rtl/>
        </w:rPr>
        <w:t xml:space="preserve"> </w:t>
      </w:r>
      <w:r w:rsidR="007A4EED" w:rsidRPr="00786181">
        <w:rPr>
          <w:rFonts w:hint="eastAsia"/>
          <w:rtl/>
        </w:rPr>
        <w:t>تدرَج</w:t>
      </w:r>
      <w:r w:rsidR="007A4EED" w:rsidRPr="00786181">
        <w:rPr>
          <w:rtl/>
        </w:rPr>
        <w:t xml:space="preserve"> </w:t>
      </w:r>
      <w:r w:rsidR="007A4EED" w:rsidRPr="00786181">
        <w:rPr>
          <w:rFonts w:hint="eastAsia"/>
          <w:rtl/>
        </w:rPr>
        <w:t>في</w:t>
      </w:r>
      <w:r w:rsidR="007A4EED" w:rsidRPr="00786181">
        <w:rPr>
          <w:rtl/>
        </w:rPr>
        <w:t xml:space="preserve"> </w:t>
      </w:r>
      <w:r w:rsidR="007A4EED" w:rsidRPr="00786181">
        <w:rPr>
          <w:rFonts w:hint="eastAsia"/>
          <w:rtl/>
        </w:rPr>
        <w:t>معاهدة</w:t>
      </w:r>
      <w:r w:rsidR="007A4EED" w:rsidRPr="00786181">
        <w:rPr>
          <w:rtl/>
        </w:rPr>
        <w:t xml:space="preserve"> </w:t>
      </w:r>
      <w:r w:rsidR="007A4EED" w:rsidRPr="00786181">
        <w:rPr>
          <w:rFonts w:hint="eastAsia"/>
          <w:rtl/>
        </w:rPr>
        <w:t>دولية</w:t>
      </w:r>
      <w:r w:rsidR="007A4EED">
        <w:rPr>
          <w:rFonts w:hint="cs"/>
          <w:rtl/>
        </w:rPr>
        <w:t>".</w:t>
      </w:r>
    </w:p>
    <w:p w:rsidR="00837F43" w:rsidRPr="005E0DD2" w:rsidRDefault="00837F43" w:rsidP="00C73D98">
      <w:pPr>
        <w:ind w:left="567" w:hanging="284"/>
        <w:rPr>
          <w:i/>
          <w:iCs/>
          <w:rtl/>
          <w:lang w:bidi="ar-EG"/>
        </w:rPr>
      </w:pPr>
      <w:r w:rsidRPr="006E48BC">
        <w:rPr>
          <w:sz w:val="26"/>
          <w:szCs w:val="26"/>
          <w:rtl/>
          <w:lang w:bidi="ar-EG"/>
        </w:rPr>
        <w:t>•</w:t>
      </w:r>
      <w:r>
        <w:rPr>
          <w:rtl/>
          <w:lang w:bidi="ar-EG"/>
        </w:rPr>
        <w:tab/>
      </w:r>
      <w:r>
        <w:rPr>
          <w:b/>
          <w:bCs/>
          <w:rtl/>
          <w:lang w:bidi="ar-EG"/>
        </w:rPr>
        <w:t xml:space="preserve">المعيار </w:t>
      </w:r>
      <w:r>
        <w:rPr>
          <w:b/>
          <w:bCs/>
          <w:lang w:bidi="ar-EG"/>
        </w:rPr>
        <w:t>2</w:t>
      </w:r>
      <w:r>
        <w:rPr>
          <w:b/>
          <w:bCs/>
          <w:rtl/>
          <w:lang w:bidi="ar-EG"/>
        </w:rPr>
        <w:t xml:space="preserve">: </w:t>
      </w:r>
      <w:r>
        <w:rPr>
          <w:i/>
          <w:iCs/>
          <w:rtl/>
          <w:lang w:bidi="ar-EG"/>
        </w:rPr>
        <w:t xml:space="preserve">الاتساق مع </w:t>
      </w:r>
      <w:r w:rsidR="005E0DD2">
        <w:rPr>
          <w:i/>
          <w:iCs/>
          <w:rtl/>
          <w:lang w:bidi="ar-EG"/>
        </w:rPr>
        <w:t>دستور الاتحاد</w:t>
      </w:r>
      <w:r w:rsidR="005E0DD2">
        <w:rPr>
          <w:rFonts w:hint="cs"/>
          <w:i/>
          <w:iCs/>
          <w:rtl/>
          <w:lang w:bidi="ar-EG"/>
        </w:rPr>
        <w:t xml:space="preserve">، لا سيما </w:t>
      </w:r>
      <w:r w:rsidR="00E95BB1">
        <w:rPr>
          <w:rFonts w:hint="cs"/>
          <w:i/>
          <w:iCs/>
          <w:rtl/>
          <w:lang w:bidi="ar-EG"/>
        </w:rPr>
        <w:t>التمهيد</w:t>
      </w:r>
      <w:r w:rsidR="005E0DD2">
        <w:rPr>
          <w:rFonts w:hint="cs"/>
          <w:i/>
          <w:iCs/>
          <w:rtl/>
          <w:lang w:bidi="ar-EG"/>
        </w:rPr>
        <w:t xml:space="preserve"> والمادة </w:t>
      </w:r>
      <w:r w:rsidR="005E0DD2">
        <w:rPr>
          <w:i/>
          <w:iCs/>
          <w:lang w:bidi="ar-EG"/>
        </w:rPr>
        <w:t>1</w:t>
      </w:r>
      <w:r w:rsidR="005E0DD2">
        <w:rPr>
          <w:rFonts w:hint="cs"/>
          <w:i/>
          <w:iCs/>
          <w:rtl/>
          <w:lang w:bidi="ar-EG"/>
        </w:rPr>
        <w:t xml:space="preserve"> </w:t>
      </w:r>
    </w:p>
    <w:p w:rsidR="00837F43" w:rsidRDefault="00837F43" w:rsidP="00C73D98">
      <w:pPr>
        <w:ind w:left="567" w:hanging="567"/>
        <w:rPr>
          <w:rtl/>
          <w:lang w:bidi="ar-EG"/>
        </w:rPr>
      </w:pPr>
      <w:r>
        <w:rPr>
          <w:rtl/>
          <w:lang w:bidi="ar-EG"/>
        </w:rPr>
        <w:tab/>
      </w:r>
      <w:r w:rsidR="006846A3">
        <w:rPr>
          <w:rFonts w:hint="cs"/>
          <w:rtl/>
          <w:lang w:bidi="ar-EG"/>
        </w:rPr>
        <w:t>تعترف</w:t>
      </w:r>
      <w:r w:rsidR="00266DC4">
        <w:rPr>
          <w:rFonts w:hint="cs"/>
          <w:rtl/>
          <w:lang w:bidi="ar-EG"/>
        </w:rPr>
        <w:t xml:space="preserve"> أوروبا</w:t>
      </w:r>
      <w:r>
        <w:rPr>
          <w:rtl/>
          <w:lang w:bidi="ar-EG"/>
        </w:rPr>
        <w:t xml:space="preserve"> أنه ينبغي للدول الأعضاء الامتثال، إلى أقصى حد ممكن عملياً، لتوصيات الاتحاد الدولي للاتصالات. بيد أنه</w:t>
      </w:r>
      <w:r w:rsidR="00AC3C6E">
        <w:rPr>
          <w:rFonts w:hint="cs"/>
          <w:rtl/>
          <w:lang w:bidi="ar-EG"/>
        </w:rPr>
        <w:t>ا</w:t>
      </w:r>
      <w:r>
        <w:rPr>
          <w:rtl/>
          <w:lang w:bidi="ar-EG"/>
        </w:rPr>
        <w:t xml:space="preserve"> </w:t>
      </w:r>
      <w:r w:rsidR="00AC3C6E">
        <w:rPr>
          <w:rFonts w:hint="cs"/>
          <w:rtl/>
          <w:lang w:bidi="ar-EG"/>
        </w:rPr>
        <w:t>ت</w:t>
      </w:r>
      <w:r>
        <w:rPr>
          <w:rtl/>
          <w:lang w:bidi="ar-EG"/>
        </w:rPr>
        <w:t xml:space="preserve">رى </w:t>
      </w:r>
      <w:r w:rsidR="00E43AC7">
        <w:rPr>
          <w:rFonts w:hint="cs"/>
          <w:rtl/>
          <w:lang w:bidi="ar-EG"/>
        </w:rPr>
        <w:t xml:space="preserve">أن </w:t>
      </w:r>
      <w:r>
        <w:rPr>
          <w:rtl/>
          <w:lang w:bidi="ar-EG"/>
        </w:rPr>
        <w:t>ضرورة أن تقوم الإدارات</w:t>
      </w:r>
      <w:r w:rsidR="005D3012">
        <w:rPr>
          <w:rFonts w:hint="cs"/>
          <w:rtl/>
          <w:lang w:bidi="ar-EG"/>
        </w:rPr>
        <w:t xml:space="preserve"> بما يلي</w:t>
      </w:r>
      <w:r>
        <w:rPr>
          <w:rtl/>
          <w:lang w:bidi="ar-EG"/>
        </w:rPr>
        <w:t>:</w:t>
      </w:r>
    </w:p>
    <w:p w:rsidR="00837F43" w:rsidRDefault="00837F43" w:rsidP="003E0771">
      <w:pPr>
        <w:tabs>
          <w:tab w:val="clear" w:pos="1134"/>
          <w:tab w:val="left" w:pos="1275"/>
        </w:tabs>
        <w:ind w:left="567"/>
        <w:rPr>
          <w:rtl/>
          <w:lang w:bidi="ar-EG"/>
        </w:rPr>
      </w:pPr>
      <w:r>
        <w:rPr>
          <w:rtl/>
          <w:lang w:bidi="ar-EG"/>
        </w:rPr>
        <w:t>’</w:t>
      </w:r>
      <w:r>
        <w:rPr>
          <w:lang w:bidi="ar-EG"/>
        </w:rPr>
        <w:t>1</w:t>
      </w:r>
      <w:r>
        <w:rPr>
          <w:rtl/>
          <w:lang w:bidi="ar-EG"/>
        </w:rPr>
        <w:t>‘</w:t>
      </w:r>
      <w:r>
        <w:rPr>
          <w:rtl/>
          <w:lang w:bidi="ar-EG"/>
        </w:rPr>
        <w:tab/>
        <w:t>إنفاذ توصيات الاتحاد؛</w:t>
      </w:r>
    </w:p>
    <w:p w:rsidR="00837F43" w:rsidRDefault="00837F43" w:rsidP="003E0771">
      <w:pPr>
        <w:tabs>
          <w:tab w:val="clear" w:pos="1134"/>
          <w:tab w:val="left" w:pos="1275"/>
        </w:tabs>
        <w:ind w:left="567"/>
        <w:rPr>
          <w:rtl/>
          <w:lang w:bidi="ar-EG"/>
        </w:rPr>
      </w:pPr>
      <w:r>
        <w:rPr>
          <w:rtl/>
          <w:lang w:bidi="ar-EG"/>
        </w:rPr>
        <w:t>’</w:t>
      </w:r>
      <w:r>
        <w:rPr>
          <w:lang w:bidi="ar-EG"/>
        </w:rPr>
        <w:t>2</w:t>
      </w:r>
      <w:r>
        <w:rPr>
          <w:rtl/>
          <w:lang w:bidi="ar-EG"/>
        </w:rPr>
        <w:t>‘</w:t>
      </w:r>
      <w:r>
        <w:rPr>
          <w:rtl/>
          <w:lang w:bidi="ar-EG"/>
        </w:rPr>
        <w:tab/>
        <w:t>اتخاذ تدابير وطنية لإنفاذ أحكام الاتحاد،</w:t>
      </w:r>
    </w:p>
    <w:p w:rsidR="00837F43" w:rsidRDefault="00837F43" w:rsidP="00E43AC7">
      <w:pPr>
        <w:ind w:left="567" w:hanging="567"/>
        <w:rPr>
          <w:rtl/>
          <w:lang w:bidi="ar-EG"/>
        </w:rPr>
      </w:pPr>
      <w:r>
        <w:rPr>
          <w:rtl/>
          <w:lang w:bidi="ar-EG"/>
        </w:rPr>
        <w:tab/>
      </w:r>
      <w:r w:rsidR="00E43AC7">
        <w:rPr>
          <w:rFonts w:hint="cs"/>
          <w:rtl/>
          <w:lang w:bidi="ar-EG"/>
        </w:rPr>
        <w:t xml:space="preserve">لا تتسق </w:t>
      </w:r>
      <w:r>
        <w:rPr>
          <w:rtl/>
          <w:lang w:bidi="ar-EG"/>
        </w:rPr>
        <w:t xml:space="preserve">مع </w:t>
      </w:r>
      <w:r w:rsidR="00E43AC7">
        <w:rPr>
          <w:rFonts w:hint="cs"/>
          <w:rtl/>
          <w:lang w:bidi="ar-EG"/>
        </w:rPr>
        <w:t xml:space="preserve">ديباجة </w:t>
      </w:r>
      <w:r>
        <w:rPr>
          <w:rtl/>
          <w:lang w:bidi="ar-EG"/>
        </w:rPr>
        <w:t xml:space="preserve">الدستور ومع أهداف الاتحاد الواردة في المادة </w:t>
      </w:r>
      <w:r>
        <w:rPr>
          <w:lang w:bidi="ar-EG"/>
        </w:rPr>
        <w:t>1</w:t>
      </w:r>
      <w:r>
        <w:rPr>
          <w:rtl/>
          <w:lang w:bidi="ar-EG"/>
        </w:rPr>
        <w:t xml:space="preserve"> من الدستور ومع الغرض </w:t>
      </w:r>
      <w:r w:rsidR="00E43AC7">
        <w:rPr>
          <w:rtl/>
          <w:lang w:bidi="ar-EG"/>
        </w:rPr>
        <w:t>من لوائح الاتصالات الدولية و</w:t>
      </w:r>
      <w:r w:rsidR="00E43AC7">
        <w:rPr>
          <w:rFonts w:hint="cs"/>
          <w:rtl/>
          <w:lang w:bidi="ar-EG"/>
        </w:rPr>
        <w:t>مجال</w:t>
      </w:r>
      <w:r>
        <w:rPr>
          <w:rtl/>
          <w:lang w:bidi="ar-EG"/>
        </w:rPr>
        <w:t xml:space="preserve"> تطبيقها </w:t>
      </w:r>
      <w:r w:rsidR="00E43AC7">
        <w:rPr>
          <w:rFonts w:hint="cs"/>
          <w:rtl/>
          <w:lang w:bidi="ar-EG"/>
        </w:rPr>
        <w:t xml:space="preserve">المحددين </w:t>
      </w:r>
      <w:r>
        <w:rPr>
          <w:rtl/>
          <w:lang w:bidi="ar-EG"/>
        </w:rPr>
        <w:t xml:space="preserve">في مادتها رقم </w:t>
      </w:r>
      <w:r>
        <w:rPr>
          <w:lang w:bidi="ar-EG"/>
        </w:rPr>
        <w:t>1</w:t>
      </w:r>
      <w:r>
        <w:rPr>
          <w:rtl/>
          <w:lang w:bidi="ar-EG"/>
        </w:rPr>
        <w:t>. كما أنه، نتيجة لطبيعتها، فإن توصيات قطاع تقييس الاتصالات غير ملزمة، أي أنها تطبق طوعياً، وينبغي على ذلك ألا تفرض كمسألة روتينية.</w:t>
      </w:r>
    </w:p>
    <w:p w:rsidR="00837F43" w:rsidRDefault="00837F43" w:rsidP="00C73D98">
      <w:pPr>
        <w:ind w:left="567" w:hanging="567"/>
        <w:rPr>
          <w:rtl/>
          <w:lang w:bidi="ar-EG"/>
        </w:rPr>
      </w:pPr>
      <w:r>
        <w:rPr>
          <w:rtl/>
          <w:lang w:bidi="ar-EG"/>
        </w:rPr>
        <w:tab/>
        <w:t>ولا يعني ذلك ألا</w:t>
      </w:r>
      <w:r w:rsidR="00B12807">
        <w:rPr>
          <w:rtl/>
          <w:lang w:bidi="ar-EG"/>
        </w:rPr>
        <w:t xml:space="preserve"> تفرض ف</w:t>
      </w:r>
      <w:r>
        <w:rPr>
          <w:rtl/>
          <w:lang w:bidi="ar-EG"/>
        </w:rPr>
        <w:t>رادى الدول الأعضاء المسائل التي تغطيها توصيات قطاع تقييس الاتصالات من خلال تدابير على غرار التشريعات والشروط الوطنية لمنح التراخيص إذا ما ارتأت ذلك.</w:t>
      </w:r>
    </w:p>
    <w:p w:rsidR="00837F43" w:rsidRDefault="00837F43" w:rsidP="00C73D98">
      <w:pPr>
        <w:ind w:left="567" w:hanging="567"/>
        <w:rPr>
          <w:rtl/>
          <w:lang w:bidi="ar-EG"/>
        </w:rPr>
      </w:pPr>
      <w:r>
        <w:rPr>
          <w:rtl/>
          <w:lang w:bidi="ar-EG"/>
        </w:rPr>
        <w:tab/>
        <w:t xml:space="preserve">وهذان المبدآن مقرّ بهما في الحكم </w:t>
      </w:r>
      <w:r>
        <w:rPr>
          <w:lang w:bidi="ar-EG"/>
        </w:rPr>
        <w:t>4.1</w:t>
      </w:r>
      <w:r>
        <w:rPr>
          <w:rtl/>
          <w:lang w:bidi="ar-EG"/>
        </w:rPr>
        <w:t xml:space="preserve"> من لوائح الاتصالات الدولية.</w:t>
      </w:r>
    </w:p>
    <w:p w:rsidR="00837F43" w:rsidRDefault="00837F43" w:rsidP="00B16E8B">
      <w:pPr>
        <w:ind w:left="567" w:hanging="567"/>
        <w:rPr>
          <w:rtl/>
          <w:lang w:bidi="ar-EG"/>
        </w:rPr>
      </w:pPr>
      <w:r>
        <w:rPr>
          <w:rtl/>
          <w:lang w:bidi="ar-EG"/>
        </w:rPr>
        <w:tab/>
        <w:t>وعلى ذلك،</w:t>
      </w:r>
      <w:r w:rsidR="00E43AC7">
        <w:rPr>
          <w:rFonts w:hint="cs"/>
          <w:rtl/>
          <w:lang w:bidi="ar-EG"/>
        </w:rPr>
        <w:t xml:space="preserve"> وأخذاً بعين</w:t>
      </w:r>
      <w:bookmarkStart w:id="1" w:name="_GoBack"/>
      <w:bookmarkEnd w:id="1"/>
      <w:r>
        <w:rPr>
          <w:rtl/>
          <w:lang w:bidi="ar-EG"/>
        </w:rPr>
        <w:t xml:space="preserve"> الاعتبار أن دستور الاتحاد لا يعطي توصيات الاتحاد صفة إلزامية، يرى المؤتمر الأوروبي لإدارات البريد والاتصالات ضرورة ألا تستعمل مراجعة لوائح الاتصالات الدولية لتغيير طبيعة توصيات الاتحاد.</w:t>
      </w:r>
    </w:p>
    <w:p w:rsidR="00837F43" w:rsidRPr="00163A2B" w:rsidRDefault="00837F43" w:rsidP="00C73D98">
      <w:pPr>
        <w:ind w:left="567" w:hanging="284"/>
        <w:rPr>
          <w:i/>
          <w:iCs/>
          <w:rtl/>
          <w:lang w:bidi="ar-EG"/>
        </w:rPr>
      </w:pPr>
      <w:r w:rsidRPr="006E48BC">
        <w:rPr>
          <w:sz w:val="26"/>
          <w:szCs w:val="26"/>
          <w:rtl/>
          <w:lang w:bidi="ar-EG"/>
        </w:rPr>
        <w:t>•</w:t>
      </w:r>
      <w:r>
        <w:rPr>
          <w:rtl/>
          <w:lang w:bidi="ar-EG"/>
        </w:rPr>
        <w:tab/>
      </w:r>
      <w:r>
        <w:rPr>
          <w:b/>
          <w:bCs/>
          <w:rtl/>
          <w:lang w:bidi="ar-EG"/>
        </w:rPr>
        <w:t xml:space="preserve">المعيار </w:t>
      </w:r>
      <w:r>
        <w:rPr>
          <w:b/>
          <w:bCs/>
          <w:lang w:bidi="ar-EG"/>
        </w:rPr>
        <w:t>3</w:t>
      </w:r>
      <w:r>
        <w:rPr>
          <w:b/>
          <w:bCs/>
          <w:rtl/>
          <w:lang w:bidi="ar-EG"/>
        </w:rPr>
        <w:t xml:space="preserve">: </w:t>
      </w:r>
      <w:r>
        <w:rPr>
          <w:i/>
          <w:iCs/>
          <w:rtl/>
          <w:lang w:bidi="ar-EG"/>
        </w:rPr>
        <w:t xml:space="preserve">الاتساق مع الاتفاقات/التشريعات الدولية </w:t>
      </w:r>
      <w:r w:rsidR="00E36CAB">
        <w:rPr>
          <w:rFonts w:hint="cs"/>
          <w:i/>
          <w:iCs/>
          <w:rtl/>
          <w:lang w:bidi="ar-EG"/>
        </w:rPr>
        <w:t>التي اعتمدها</w:t>
      </w:r>
      <w:r>
        <w:rPr>
          <w:i/>
          <w:iCs/>
          <w:rtl/>
          <w:lang w:bidi="ar-EG"/>
        </w:rPr>
        <w:t xml:space="preserve"> أعضاء المؤتمر الأوروبي لإدارات البريد والاتصالات</w:t>
      </w:r>
    </w:p>
    <w:p w:rsidR="00837F43" w:rsidRPr="00E43AC7" w:rsidRDefault="00837F43" w:rsidP="00E43AC7">
      <w:pPr>
        <w:ind w:left="567" w:hanging="567"/>
        <w:rPr>
          <w:spacing w:val="-4"/>
          <w:rtl/>
          <w:lang w:bidi="ar-EG"/>
        </w:rPr>
      </w:pPr>
      <w:r>
        <w:rPr>
          <w:rtl/>
          <w:lang w:bidi="ar-EG"/>
        </w:rPr>
        <w:tab/>
      </w:r>
      <w:r w:rsidR="00E43AC7" w:rsidRPr="00E43AC7">
        <w:rPr>
          <w:rFonts w:hint="cs"/>
          <w:spacing w:val="-4"/>
          <w:rtl/>
          <w:lang w:bidi="ar-EG"/>
        </w:rPr>
        <w:t xml:space="preserve">التزم </w:t>
      </w:r>
      <w:r w:rsidRPr="00E43AC7">
        <w:rPr>
          <w:spacing w:val="-4"/>
          <w:rtl/>
          <w:lang w:bidi="ar-EG"/>
        </w:rPr>
        <w:t xml:space="preserve">أكثر من </w:t>
      </w:r>
      <w:r w:rsidRPr="00E43AC7">
        <w:rPr>
          <w:spacing w:val="-4"/>
          <w:lang w:bidi="ar-EG"/>
        </w:rPr>
        <w:t>100</w:t>
      </w:r>
      <w:r w:rsidRPr="00E43AC7">
        <w:rPr>
          <w:spacing w:val="-4"/>
          <w:rtl/>
          <w:lang w:bidi="ar-EG"/>
        </w:rPr>
        <w:t xml:space="preserve"> بلد من بينهم عدد كبير من أعضاء المؤتمر الأوروبي لإدارات البريد والاتصالات بتعهدات</w:t>
      </w:r>
      <w:r w:rsidR="00E43AC7" w:rsidRPr="00E43AC7">
        <w:rPr>
          <w:rFonts w:hint="cs"/>
          <w:spacing w:val="-4"/>
          <w:rtl/>
          <w:lang w:bidi="ar-EG"/>
        </w:rPr>
        <w:t xml:space="preserve"> بناءً على اتفاق خدمات الاتصالات الأساسية</w:t>
      </w:r>
      <w:r w:rsidRPr="00E43AC7">
        <w:rPr>
          <w:spacing w:val="-4"/>
          <w:rtl/>
          <w:lang w:bidi="ar-EG"/>
        </w:rPr>
        <w:t xml:space="preserve"> في</w:t>
      </w:r>
      <w:r w:rsidR="00944079" w:rsidRPr="00E43AC7">
        <w:rPr>
          <w:rFonts w:hint="cs"/>
          <w:spacing w:val="-4"/>
          <w:rtl/>
          <w:lang w:bidi="ar-EG"/>
        </w:rPr>
        <w:t> </w:t>
      </w:r>
      <w:r w:rsidRPr="00E43AC7">
        <w:rPr>
          <w:spacing w:val="-4"/>
          <w:rtl/>
          <w:lang w:bidi="ar-EG"/>
        </w:rPr>
        <w:t>البروتوكول الرابع</w:t>
      </w:r>
      <w:r w:rsidR="00E43AC7" w:rsidRPr="00E43AC7">
        <w:rPr>
          <w:rFonts w:hint="cs"/>
          <w:spacing w:val="-4"/>
          <w:rtl/>
          <w:lang w:bidi="ar-EG"/>
        </w:rPr>
        <w:t xml:space="preserve"> للاتفاق العام للتجارة في الخدمات</w:t>
      </w:r>
      <w:r w:rsidR="00E43AC7" w:rsidRPr="00E43AC7">
        <w:rPr>
          <w:rFonts w:hint="eastAsia"/>
          <w:spacing w:val="-4"/>
          <w:rtl/>
          <w:lang w:bidi="ar-EG"/>
        </w:rPr>
        <w:t> </w:t>
      </w:r>
      <w:r w:rsidR="00E43AC7" w:rsidRPr="00E43AC7">
        <w:rPr>
          <w:spacing w:val="-4"/>
          <w:lang w:bidi="ar-EG"/>
        </w:rPr>
        <w:t>(GATS)</w:t>
      </w:r>
      <w:r w:rsidRPr="00E43AC7">
        <w:rPr>
          <w:spacing w:val="-4"/>
          <w:rtl/>
          <w:lang w:bidi="ar-EG"/>
        </w:rPr>
        <w:t xml:space="preserve">. ومن ثم، </w:t>
      </w:r>
      <w:r w:rsidR="00F55F1B" w:rsidRPr="00E43AC7">
        <w:rPr>
          <w:spacing w:val="-4"/>
          <w:rtl/>
          <w:lang w:bidi="ar-EG"/>
        </w:rPr>
        <w:t xml:space="preserve">لا يمكن </w:t>
      </w:r>
      <w:r w:rsidR="00F55F1B" w:rsidRPr="00E43AC7">
        <w:rPr>
          <w:spacing w:val="-4"/>
          <w:rtl/>
          <w:lang w:bidi="ar-EG"/>
        </w:rPr>
        <w:lastRenderedPageBreak/>
        <w:t xml:space="preserve">تأييد المقترحات التي </w:t>
      </w:r>
      <w:r w:rsidR="00F55F1B" w:rsidRPr="00E43AC7">
        <w:rPr>
          <w:rFonts w:hint="cs"/>
          <w:spacing w:val="-4"/>
          <w:rtl/>
          <w:lang w:bidi="ar-EG"/>
        </w:rPr>
        <w:t>تتنافى مع ا</w:t>
      </w:r>
      <w:r w:rsidRPr="00E43AC7">
        <w:rPr>
          <w:spacing w:val="-4"/>
          <w:rtl/>
          <w:lang w:bidi="ar-EG"/>
        </w:rPr>
        <w:t xml:space="preserve">لمبادئ </w:t>
      </w:r>
      <w:r w:rsidR="007E5294" w:rsidRPr="00E43AC7">
        <w:rPr>
          <w:rFonts w:hint="cs"/>
          <w:spacing w:val="-4"/>
          <w:rtl/>
          <w:lang w:bidi="ar-EG"/>
        </w:rPr>
        <w:t>التي تنطوي عليها معاهدات منظمة التجارة العالمية أو التي تقوض الالتزامات</w:t>
      </w:r>
      <w:r w:rsidR="00E43AC7" w:rsidRPr="00E43AC7">
        <w:rPr>
          <w:rFonts w:hint="cs"/>
          <w:spacing w:val="-4"/>
          <w:rtl/>
          <w:lang w:bidi="ar-EG"/>
        </w:rPr>
        <w:t xml:space="preserve"> المتفق</w:t>
      </w:r>
      <w:r w:rsidR="007E5294" w:rsidRPr="00E43AC7">
        <w:rPr>
          <w:rFonts w:hint="cs"/>
          <w:spacing w:val="-4"/>
          <w:rtl/>
          <w:lang w:bidi="ar-EG"/>
        </w:rPr>
        <w:t xml:space="preserve"> عليها في هذه المنظمة</w:t>
      </w:r>
      <w:r w:rsidRPr="00E43AC7">
        <w:rPr>
          <w:spacing w:val="-4"/>
          <w:rtl/>
          <w:lang w:bidi="ar-EG"/>
        </w:rPr>
        <w:t>.</w:t>
      </w:r>
    </w:p>
    <w:p w:rsidR="00837F43" w:rsidRDefault="00837F43" w:rsidP="00C73D98">
      <w:pPr>
        <w:ind w:left="567" w:hanging="567"/>
        <w:rPr>
          <w:rtl/>
          <w:lang w:bidi="ar-EG"/>
        </w:rPr>
      </w:pPr>
      <w:r>
        <w:rPr>
          <w:rtl/>
          <w:lang w:bidi="ar-EG"/>
        </w:rPr>
        <w:tab/>
        <w:t xml:space="preserve">كما أنه </w:t>
      </w:r>
      <w:r w:rsidR="00BD2B93">
        <w:rPr>
          <w:rFonts w:hint="cs"/>
          <w:rtl/>
          <w:lang w:bidi="ar-EG"/>
        </w:rPr>
        <w:t>نظراً</w:t>
      </w:r>
      <w:r>
        <w:rPr>
          <w:rtl/>
          <w:lang w:bidi="ar-EG"/>
        </w:rPr>
        <w:t xml:space="preserve"> </w:t>
      </w:r>
      <w:r w:rsidR="00BD2B93">
        <w:rPr>
          <w:rFonts w:hint="cs"/>
          <w:rtl/>
          <w:lang w:bidi="ar-EG"/>
        </w:rPr>
        <w:t>ل</w:t>
      </w:r>
      <w:r>
        <w:rPr>
          <w:rtl/>
          <w:lang w:bidi="ar-EG"/>
        </w:rPr>
        <w:t xml:space="preserve">أن هناك عدداً كبيراً من </w:t>
      </w:r>
      <w:r w:rsidR="006B1906">
        <w:rPr>
          <w:rFonts w:hint="cs"/>
          <w:rtl/>
          <w:lang w:bidi="ar-EG"/>
        </w:rPr>
        <w:t>البلدان الأوروبية</w:t>
      </w:r>
      <w:r>
        <w:rPr>
          <w:rtl/>
          <w:lang w:bidi="ar-EG"/>
        </w:rPr>
        <w:t xml:space="preserve"> ه</w:t>
      </w:r>
      <w:r w:rsidR="006B1906">
        <w:rPr>
          <w:rFonts w:hint="cs"/>
          <w:rtl/>
          <w:lang w:bidi="ar-EG"/>
        </w:rPr>
        <w:t>ي</w:t>
      </w:r>
      <w:r>
        <w:rPr>
          <w:rtl/>
          <w:lang w:bidi="ar-EG"/>
        </w:rPr>
        <w:t xml:space="preserve"> أعضاء كذلك في</w:t>
      </w:r>
      <w:r w:rsidR="00A370C8">
        <w:rPr>
          <w:rFonts w:hint="cs"/>
          <w:rtl/>
          <w:lang w:bidi="ar-EG"/>
        </w:rPr>
        <w:t> </w:t>
      </w:r>
      <w:r w:rsidR="006B1906">
        <w:rPr>
          <w:rtl/>
          <w:lang w:bidi="ar-EG"/>
        </w:rPr>
        <w:t>الاتحاد الأوروبي</w:t>
      </w:r>
      <w:r w:rsidR="006B1906">
        <w:rPr>
          <w:rFonts w:hint="cs"/>
          <w:rtl/>
          <w:lang w:bidi="ar-EG"/>
        </w:rPr>
        <w:t>/</w:t>
      </w:r>
      <w:r>
        <w:rPr>
          <w:rtl/>
          <w:lang w:bidi="ar-EG"/>
        </w:rPr>
        <w:t xml:space="preserve">المنطقة الاقتصادية </w:t>
      </w:r>
      <w:r w:rsidR="00603506">
        <w:rPr>
          <w:rFonts w:hint="cs"/>
          <w:rtl/>
          <w:lang w:bidi="ar-EG"/>
        </w:rPr>
        <w:t xml:space="preserve">الأوروبية، فإن أوروبا لن تؤيد المقترحات التي تتعارض مع تشريعات </w:t>
      </w:r>
      <w:r w:rsidR="00603506">
        <w:rPr>
          <w:rtl/>
          <w:lang w:bidi="ar-EG"/>
        </w:rPr>
        <w:t>الاتحاد الأوروبي</w:t>
      </w:r>
      <w:r w:rsidR="00603506">
        <w:rPr>
          <w:rFonts w:hint="cs"/>
          <w:rtl/>
          <w:lang w:bidi="ar-EG"/>
        </w:rPr>
        <w:t>/</w:t>
      </w:r>
      <w:r w:rsidR="00603506">
        <w:rPr>
          <w:rtl/>
          <w:lang w:bidi="ar-EG"/>
        </w:rPr>
        <w:t xml:space="preserve">المنطقة الاقتصادية </w:t>
      </w:r>
      <w:r w:rsidR="00603506">
        <w:rPr>
          <w:rFonts w:hint="cs"/>
          <w:rtl/>
          <w:lang w:bidi="ar-EG"/>
        </w:rPr>
        <w:t>الأوروبية.</w:t>
      </w:r>
    </w:p>
    <w:p w:rsidR="00837F43" w:rsidRPr="00E46806" w:rsidRDefault="00837F43" w:rsidP="008C5F1C">
      <w:pPr>
        <w:ind w:left="567" w:hanging="284"/>
        <w:rPr>
          <w:i/>
          <w:iCs/>
          <w:rtl/>
          <w:lang w:bidi="ar-EG"/>
        </w:rPr>
      </w:pPr>
      <w:r w:rsidRPr="006E48BC">
        <w:rPr>
          <w:sz w:val="26"/>
          <w:szCs w:val="26"/>
          <w:rtl/>
          <w:lang w:bidi="ar-EG"/>
        </w:rPr>
        <w:t>•</w:t>
      </w:r>
      <w:r>
        <w:rPr>
          <w:b/>
          <w:bCs/>
          <w:rtl/>
          <w:lang w:bidi="ar-EG"/>
        </w:rPr>
        <w:tab/>
        <w:t xml:space="preserve">المعيار </w:t>
      </w:r>
      <w:r>
        <w:rPr>
          <w:b/>
          <w:bCs/>
          <w:lang w:bidi="ar-EG"/>
        </w:rPr>
        <w:t>4</w:t>
      </w:r>
      <w:r>
        <w:rPr>
          <w:b/>
          <w:bCs/>
          <w:rtl/>
          <w:lang w:bidi="ar-EG"/>
        </w:rPr>
        <w:t xml:space="preserve">: </w:t>
      </w:r>
      <w:r w:rsidR="00631765" w:rsidRPr="00631765">
        <w:rPr>
          <w:rFonts w:hint="cs"/>
          <w:i/>
          <w:iCs/>
          <w:rtl/>
          <w:lang w:bidi="ar-EG"/>
        </w:rPr>
        <w:t>استبعاد</w:t>
      </w:r>
      <w:r w:rsidR="00B84BEC">
        <w:rPr>
          <w:rFonts w:hint="cs"/>
          <w:rtl/>
          <w:lang w:bidi="ar-EG"/>
        </w:rPr>
        <w:t xml:space="preserve"> </w:t>
      </w:r>
      <w:r w:rsidRPr="00E46806">
        <w:rPr>
          <w:i/>
          <w:iCs/>
          <w:rtl/>
          <w:lang w:bidi="ar-EG"/>
        </w:rPr>
        <w:t>المجالات ذات الصلة بتطبيق الدول الأعضاء لمبادئ قانونية أو مبادئ متعلقة بالسياسات والتي تقع في</w:t>
      </w:r>
      <w:r w:rsidR="008C5F1C">
        <w:rPr>
          <w:rFonts w:hint="cs"/>
          <w:i/>
          <w:iCs/>
          <w:rtl/>
          <w:lang w:bidi="ar-EG"/>
        </w:rPr>
        <w:t> </w:t>
      </w:r>
      <w:r w:rsidRPr="00E46806">
        <w:rPr>
          <w:i/>
          <w:iCs/>
          <w:rtl/>
          <w:lang w:bidi="ar-EG"/>
        </w:rPr>
        <w:t>صميم حقوقها السيادية</w:t>
      </w:r>
    </w:p>
    <w:p w:rsidR="00837F43" w:rsidRDefault="00837F43" w:rsidP="00CA04FA">
      <w:pPr>
        <w:ind w:left="567" w:hanging="567"/>
        <w:rPr>
          <w:rtl/>
          <w:lang w:bidi="ar-EG"/>
        </w:rPr>
      </w:pPr>
      <w:r>
        <w:rPr>
          <w:rtl/>
          <w:lang w:bidi="ar-EG"/>
        </w:rPr>
        <w:tab/>
        <w:t>س</w:t>
      </w:r>
      <w:r w:rsidR="002B3AF7">
        <w:rPr>
          <w:rFonts w:hint="cs"/>
          <w:rtl/>
          <w:lang w:bidi="ar-EG"/>
        </w:rPr>
        <w:t>ت</w:t>
      </w:r>
      <w:r>
        <w:rPr>
          <w:rtl/>
          <w:lang w:bidi="ar-EG"/>
        </w:rPr>
        <w:t xml:space="preserve">نظر </w:t>
      </w:r>
      <w:r w:rsidR="002B3AF7">
        <w:rPr>
          <w:rFonts w:hint="cs"/>
          <w:rtl/>
          <w:lang w:bidi="ar-EG"/>
        </w:rPr>
        <w:t>أوروبا</w:t>
      </w:r>
      <w:r>
        <w:rPr>
          <w:rtl/>
          <w:lang w:bidi="ar-EG"/>
        </w:rPr>
        <w:t xml:space="preserve"> في المقترحات ذات الصلة بقضايا متعلقة بالدفاع والأمن الوطنيين والمحتوى والجريمة السيبرانية في سياق الفقرة </w:t>
      </w:r>
      <w:r>
        <w:rPr>
          <w:lang w:bidi="ar-EG"/>
        </w:rPr>
        <w:t>3</w:t>
      </w:r>
      <w:r>
        <w:rPr>
          <w:rtl/>
          <w:lang w:bidi="ar-EG"/>
        </w:rPr>
        <w:t xml:space="preserve"> من </w:t>
      </w:r>
      <w:r>
        <w:rPr>
          <w:i/>
          <w:iCs/>
          <w:rtl/>
          <w:lang w:bidi="ar-EG"/>
        </w:rPr>
        <w:t>يقرر</w:t>
      </w:r>
      <w:r>
        <w:rPr>
          <w:rtl/>
          <w:lang w:bidi="ar-EG"/>
        </w:rPr>
        <w:t xml:space="preserve"> من القرار</w:t>
      </w:r>
      <w:r w:rsidR="00CA04FA">
        <w:rPr>
          <w:rFonts w:hint="cs"/>
          <w:rtl/>
          <w:lang w:bidi="ar-EG"/>
        </w:rPr>
        <w:t> </w:t>
      </w:r>
      <w:r>
        <w:rPr>
          <w:lang w:bidi="ar-EG"/>
        </w:rPr>
        <w:t>130</w:t>
      </w:r>
      <w:r>
        <w:rPr>
          <w:rtl/>
          <w:lang w:bidi="ar-EG"/>
        </w:rPr>
        <w:t xml:space="preserve"> (المراجع في غوادالاخارا، </w:t>
      </w:r>
      <w:r>
        <w:rPr>
          <w:lang w:bidi="ar-EG"/>
        </w:rPr>
        <w:t>2010</w:t>
      </w:r>
      <w:r>
        <w:rPr>
          <w:rtl/>
          <w:lang w:bidi="ar-EG"/>
        </w:rPr>
        <w:t>) "أن يركز الاتحاد موارده وبرامجه على مجالات الأمن السيبراني التي تندرج ضمن اختصاصاته وخبراته الأساسية، وتحديداً الجوانب التقنية والتنموية، مع استبعاد 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w:t>
      </w:r>
    </w:p>
    <w:p w:rsidR="00837F43" w:rsidRPr="00E46806" w:rsidRDefault="00837F43" w:rsidP="00C73D98">
      <w:pPr>
        <w:tabs>
          <w:tab w:val="clear" w:pos="1134"/>
          <w:tab w:val="left" w:pos="708"/>
        </w:tabs>
        <w:ind w:left="567" w:hanging="284"/>
        <w:rPr>
          <w:rtl/>
          <w:lang w:bidi="ar-EG"/>
        </w:rPr>
      </w:pPr>
      <w:r w:rsidRPr="006E48BC">
        <w:rPr>
          <w:sz w:val="26"/>
          <w:szCs w:val="26"/>
          <w:rtl/>
          <w:lang w:bidi="ar-EG"/>
        </w:rPr>
        <w:t>•</w:t>
      </w:r>
      <w:r>
        <w:rPr>
          <w:rtl/>
          <w:lang w:bidi="ar-EG"/>
        </w:rPr>
        <w:tab/>
      </w:r>
      <w:r>
        <w:rPr>
          <w:b/>
          <w:bCs/>
          <w:rtl/>
          <w:lang w:bidi="ar-EG"/>
        </w:rPr>
        <w:t xml:space="preserve">المعيار </w:t>
      </w:r>
      <w:r>
        <w:rPr>
          <w:b/>
          <w:bCs/>
          <w:lang w:bidi="ar-EG"/>
        </w:rPr>
        <w:t>5</w:t>
      </w:r>
      <w:r>
        <w:rPr>
          <w:b/>
          <w:bCs/>
          <w:rtl/>
          <w:lang w:bidi="ar-EG"/>
        </w:rPr>
        <w:t>:</w:t>
      </w:r>
      <w:r w:rsidRPr="00B12807">
        <w:rPr>
          <w:b/>
          <w:bCs/>
          <w:i/>
          <w:iCs/>
          <w:rtl/>
          <w:lang w:bidi="ar-EG"/>
        </w:rPr>
        <w:t xml:space="preserve"> </w:t>
      </w:r>
      <w:r w:rsidRPr="00B12807">
        <w:rPr>
          <w:i/>
          <w:iCs/>
          <w:rtl/>
          <w:lang w:bidi="ar-EG"/>
        </w:rPr>
        <w:t>استبعاد المجالات التي لا تتصل بالغرض من لوائح الاتصالات الدولية ومجال تطبيقها</w:t>
      </w:r>
    </w:p>
    <w:p w:rsidR="00837F43" w:rsidRDefault="00837F43" w:rsidP="00276742">
      <w:pPr>
        <w:ind w:left="567" w:hanging="567"/>
        <w:rPr>
          <w:rtl/>
          <w:lang w:bidi="ar-EG"/>
        </w:rPr>
      </w:pPr>
      <w:r>
        <w:rPr>
          <w:rtl/>
          <w:lang w:bidi="ar-EG"/>
        </w:rPr>
        <w:tab/>
      </w:r>
      <w:r w:rsidR="0073431C">
        <w:rPr>
          <w:rFonts w:hint="cs"/>
          <w:rtl/>
          <w:lang w:bidi="ar-EG"/>
        </w:rPr>
        <w:t>ت</w:t>
      </w:r>
      <w:r>
        <w:rPr>
          <w:rtl/>
          <w:lang w:bidi="ar-EG"/>
        </w:rPr>
        <w:t xml:space="preserve">ؤكد </w:t>
      </w:r>
      <w:r w:rsidR="0073431C">
        <w:rPr>
          <w:rFonts w:hint="cs"/>
          <w:rtl/>
          <w:lang w:bidi="ar-EG"/>
        </w:rPr>
        <w:t>أوروبا</w:t>
      </w:r>
      <w:r>
        <w:rPr>
          <w:rtl/>
          <w:lang w:bidi="ar-EG"/>
        </w:rPr>
        <w:t xml:space="preserve"> على أهمية الامتثال للغرض من لوائح الاتصالات الدولية ومجال تطبيقها، خاصة الأحكام التالية:</w:t>
      </w:r>
    </w:p>
    <w:p w:rsidR="00837F43" w:rsidRDefault="00837F43" w:rsidP="00E43AC7">
      <w:pPr>
        <w:ind w:left="1417" w:hanging="850"/>
        <w:rPr>
          <w:rtl/>
          <w:lang w:bidi="ar-EG"/>
        </w:rPr>
      </w:pPr>
      <w:r w:rsidRPr="00CA04FA">
        <w:rPr>
          <w:sz w:val="26"/>
          <w:szCs w:val="26"/>
          <w:rtl/>
          <w:lang w:bidi="ar-EG"/>
        </w:rPr>
        <w:t>•</w:t>
      </w:r>
      <w:r>
        <w:rPr>
          <w:rtl/>
          <w:lang w:bidi="ar-EG"/>
        </w:rPr>
        <w:tab/>
      </w:r>
      <w:r w:rsidRPr="00E60D16">
        <w:rPr>
          <w:lang w:bidi="ar-EG"/>
        </w:rPr>
        <w:t>1.1</w:t>
      </w:r>
      <w:r w:rsidRPr="00E60D16">
        <w:rPr>
          <w:rtl/>
          <w:lang w:bidi="ar-EG"/>
        </w:rPr>
        <w:t>أ</w:t>
      </w:r>
      <w:r>
        <w:rPr>
          <w:rtl/>
          <w:lang w:bidi="ar-EG"/>
        </w:rPr>
        <w:t xml:space="preserve">): "تضع هذه اللوائح المبادئ العامة المتعلقة بتوفير وتشغيل الخدمات الدولية للاتصالات المقدمة للجمهور وبوسائل النقل الأساسية للاتصالات </w:t>
      </w:r>
      <w:r w:rsidR="00E43AC7">
        <w:rPr>
          <w:rtl/>
          <w:lang w:bidi="ar-EG"/>
        </w:rPr>
        <w:t xml:space="preserve">الدولية </w:t>
      </w:r>
      <w:r>
        <w:rPr>
          <w:rtl/>
          <w:lang w:bidi="ar-EG"/>
        </w:rPr>
        <w:t>المستخدمة لتوفير هذه الخدمات. كما تحدد القواعد المطبقة على الإدارات".</w:t>
      </w:r>
    </w:p>
    <w:p w:rsidR="00837F43" w:rsidRDefault="00837F43" w:rsidP="00CA04FA">
      <w:pPr>
        <w:ind w:left="1417" w:hanging="850"/>
        <w:rPr>
          <w:rtl/>
          <w:lang w:bidi="ar-EG"/>
        </w:rPr>
      </w:pPr>
      <w:r w:rsidRPr="00CA04FA">
        <w:rPr>
          <w:sz w:val="26"/>
          <w:szCs w:val="26"/>
          <w:rtl/>
          <w:lang w:bidi="ar-EG"/>
        </w:rPr>
        <w:t>•</w:t>
      </w:r>
      <w:r>
        <w:rPr>
          <w:rtl/>
          <w:lang w:bidi="ar-EG"/>
        </w:rPr>
        <w:tab/>
      </w:r>
      <w:r w:rsidRPr="00E60D16">
        <w:rPr>
          <w:lang w:bidi="ar-EG"/>
        </w:rPr>
        <w:t>3.1</w:t>
      </w:r>
      <w:r>
        <w:rPr>
          <w:rtl/>
          <w:lang w:bidi="ar-EG"/>
        </w:rPr>
        <w:t>) 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 وفائدتها وتيسّرها للجمهور.</w:t>
      </w:r>
    </w:p>
    <w:p w:rsidR="00837F43" w:rsidRDefault="00837F43" w:rsidP="00192E0C">
      <w:pPr>
        <w:ind w:left="567" w:hanging="567"/>
        <w:rPr>
          <w:rtl/>
          <w:lang w:bidi="ar-EG"/>
        </w:rPr>
      </w:pPr>
      <w:r>
        <w:rPr>
          <w:rtl/>
          <w:lang w:bidi="ar-EG"/>
        </w:rPr>
        <w:tab/>
        <w:t xml:space="preserve">وفي هذا الصدد، </w:t>
      </w:r>
      <w:r w:rsidR="00AD4736">
        <w:rPr>
          <w:rFonts w:hint="cs"/>
          <w:rtl/>
          <w:lang w:bidi="ar-EG"/>
        </w:rPr>
        <w:t>ترى أوروبا</w:t>
      </w:r>
      <w:r>
        <w:rPr>
          <w:rtl/>
          <w:lang w:bidi="ar-EG"/>
        </w:rPr>
        <w:t xml:space="preserve"> أن المقترحات المتعلقة بخدمات الاتصالات</w:t>
      </w:r>
      <w:r w:rsidR="00EE6770">
        <w:rPr>
          <w:rFonts w:hint="cs"/>
          <w:rtl/>
          <w:lang w:bidi="ar-EG"/>
        </w:rPr>
        <w:t xml:space="preserve"> أو وسائل النقل</w:t>
      </w:r>
      <w:r>
        <w:rPr>
          <w:rtl/>
          <w:lang w:bidi="ar-EG"/>
        </w:rPr>
        <w:t xml:space="preserve"> الوطنية</w:t>
      </w:r>
      <w:r w:rsidR="00EE6770">
        <w:rPr>
          <w:rFonts w:hint="cs"/>
          <w:rtl/>
          <w:lang w:bidi="ar-EG"/>
        </w:rPr>
        <w:t>/الإقليمية</w:t>
      </w:r>
      <w:r>
        <w:rPr>
          <w:rtl/>
          <w:lang w:bidi="ar-EG"/>
        </w:rPr>
        <w:t xml:space="preserve"> ينبغي عدم إدراجها ضمن لوائح الاتصالات الدولية. ويرتبط الامتثال لهذا المعيار </w:t>
      </w:r>
      <w:r w:rsidR="00EE6770">
        <w:rPr>
          <w:rFonts w:hint="cs"/>
          <w:rtl/>
          <w:lang w:bidi="ar-EG"/>
        </w:rPr>
        <w:t>أيضاً</w:t>
      </w:r>
      <w:r w:rsidR="00192E0C">
        <w:rPr>
          <w:rFonts w:hint="cs"/>
          <w:rtl/>
          <w:lang w:bidi="ar-EG"/>
        </w:rPr>
        <w:t xml:space="preserve"> بالإقرار التام في ديباجتي</w:t>
      </w:r>
      <w:r>
        <w:rPr>
          <w:rtl/>
          <w:lang w:bidi="ar-EG"/>
        </w:rPr>
        <w:t xml:space="preserve"> دستور الاتحاد ولوائح الاتصالات الدولية "بالحق السيادي لكل بلد في</w:t>
      </w:r>
      <w:r w:rsidR="00A370C8">
        <w:rPr>
          <w:rFonts w:hint="cs"/>
          <w:rtl/>
          <w:lang w:bidi="ar-EG"/>
        </w:rPr>
        <w:t> </w:t>
      </w:r>
      <w:r>
        <w:rPr>
          <w:rtl/>
          <w:lang w:bidi="ar-EG"/>
        </w:rPr>
        <w:t>تنظيم اتصالاته".</w:t>
      </w:r>
    </w:p>
    <w:p w:rsidR="00AE3335" w:rsidRDefault="004B092A" w:rsidP="00276742">
      <w:pPr>
        <w:ind w:firstLine="567"/>
        <w:rPr>
          <w:rtl/>
          <w:lang w:bidi="ar-EG"/>
        </w:rPr>
      </w:pPr>
      <w:r>
        <w:rPr>
          <w:rFonts w:hint="cs"/>
          <w:rtl/>
          <w:lang w:bidi="ar-EG"/>
        </w:rPr>
        <w:t>وتمشياً مع هذا المعيار، تشير أوروباً أيضاً إلى ضرورة الحفاظ على الهيكل الأساسي الحالي للوائح الاتصالات الدولية.</w:t>
      </w:r>
    </w:p>
    <w:p w:rsidR="00AE3335" w:rsidRPr="00C73D98" w:rsidRDefault="00467016" w:rsidP="00192E0C">
      <w:pPr>
        <w:rPr>
          <w:spacing w:val="-4"/>
          <w:rtl/>
          <w:lang w:bidi="ar-EG"/>
        </w:rPr>
      </w:pPr>
      <w:r w:rsidRPr="00C73D98">
        <w:rPr>
          <w:rFonts w:hint="cs"/>
          <w:spacing w:val="-4"/>
          <w:rtl/>
          <w:lang w:bidi="ar-EG"/>
        </w:rPr>
        <w:t xml:space="preserve">وأخذاً </w:t>
      </w:r>
      <w:r w:rsidR="00192E0C">
        <w:rPr>
          <w:rFonts w:hint="cs"/>
          <w:spacing w:val="-4"/>
          <w:rtl/>
          <w:lang w:bidi="ar-EG"/>
        </w:rPr>
        <w:t xml:space="preserve">بعين الاعتبار </w:t>
      </w:r>
      <w:r w:rsidRPr="00C73D98">
        <w:rPr>
          <w:rFonts w:hint="cs"/>
          <w:spacing w:val="-4"/>
          <w:rtl/>
        </w:rPr>
        <w:t>المعايير</w:t>
      </w:r>
      <w:r w:rsidR="00192E0C">
        <w:rPr>
          <w:rFonts w:hint="cs"/>
          <w:spacing w:val="-4"/>
          <w:rtl/>
          <w:lang w:bidi="ar-EG"/>
        </w:rPr>
        <w:t xml:space="preserve"> المذكورة أعلاه</w:t>
      </w:r>
      <w:r w:rsidRPr="00C73D98">
        <w:rPr>
          <w:rFonts w:hint="cs"/>
          <w:spacing w:val="-4"/>
          <w:rtl/>
          <w:lang w:bidi="ar-EG"/>
        </w:rPr>
        <w:t xml:space="preserve">، </w:t>
      </w:r>
      <w:r w:rsidR="00B12807">
        <w:rPr>
          <w:rFonts w:hint="cs"/>
          <w:spacing w:val="-4"/>
          <w:rtl/>
          <w:lang w:bidi="ar-EG"/>
        </w:rPr>
        <w:t>تقترح أوروبا</w:t>
      </w:r>
      <w:r w:rsidR="00A31FA4" w:rsidRPr="00C73D98">
        <w:rPr>
          <w:rFonts w:hint="cs"/>
          <w:spacing w:val="-4"/>
          <w:rtl/>
          <w:lang w:bidi="ar-EG"/>
        </w:rPr>
        <w:t xml:space="preserve"> تعديل لوائح الاتصالات الدولية على النحو المبين في الإضافة لهذه الوثيقة</w:t>
      </w:r>
      <w:r w:rsidR="00071185" w:rsidRPr="00C73D98">
        <w:rPr>
          <w:rFonts w:hint="cs"/>
          <w:spacing w:val="-4"/>
          <w:rtl/>
          <w:lang w:bidi="ar-EG"/>
        </w:rPr>
        <w:t>.</w:t>
      </w:r>
      <w:r w:rsidR="00A31FA4" w:rsidRPr="00C73D98">
        <w:rPr>
          <w:rFonts w:hint="cs"/>
          <w:spacing w:val="-4"/>
          <w:rtl/>
          <w:lang w:bidi="ar-EG"/>
        </w:rPr>
        <w:t xml:space="preserve"> </w:t>
      </w:r>
    </w:p>
    <w:p w:rsidR="00837F43" w:rsidRDefault="00AE3335" w:rsidP="00937883">
      <w:pPr>
        <w:rPr>
          <w:lang w:bidi="ar-EG"/>
        </w:rPr>
      </w:pPr>
      <w:r>
        <w:rPr>
          <w:rFonts w:hint="cs"/>
          <w:rtl/>
        </w:rPr>
        <w:t xml:space="preserve">يتضمن </w:t>
      </w:r>
      <w:r w:rsidRPr="00EC58C5">
        <w:rPr>
          <w:rFonts w:hint="cs"/>
          <w:b/>
          <w:bCs/>
          <w:rtl/>
        </w:rPr>
        <w:t xml:space="preserve">الملحق </w:t>
      </w:r>
      <w:r w:rsidRPr="00EC58C5">
        <w:rPr>
          <w:b/>
          <w:bCs/>
        </w:rPr>
        <w:t>1</w:t>
      </w:r>
      <w:r>
        <w:rPr>
          <w:rFonts w:hint="cs"/>
          <w:rtl/>
          <w:lang w:bidi="ar-EG"/>
        </w:rPr>
        <w:t xml:space="preserve"> </w:t>
      </w:r>
      <w:r w:rsidR="00DF16BF">
        <w:rPr>
          <w:rFonts w:hint="cs"/>
          <w:rtl/>
          <w:lang w:bidi="ar-EG"/>
        </w:rPr>
        <w:t>ب</w:t>
      </w:r>
      <w:r>
        <w:rPr>
          <w:rFonts w:hint="cs"/>
          <w:rtl/>
          <w:lang w:bidi="ar-EG"/>
        </w:rPr>
        <w:t xml:space="preserve">هذه الوثيقة جدول </w:t>
      </w:r>
      <w:r w:rsidR="00DF16BF">
        <w:rPr>
          <w:rFonts w:hint="cs"/>
          <w:rtl/>
          <w:lang w:bidi="ar-EG"/>
        </w:rPr>
        <w:t>الإدارات</w:t>
      </w:r>
      <w:r>
        <w:rPr>
          <w:rFonts w:hint="cs"/>
          <w:rtl/>
          <w:lang w:bidi="ar-EG"/>
        </w:rPr>
        <w:t xml:space="preserve"> الأوروبية </w:t>
      </w:r>
      <w:r w:rsidR="00D30815">
        <w:rPr>
          <w:rFonts w:hint="cs"/>
          <w:rtl/>
          <w:lang w:bidi="ar-EG"/>
        </w:rPr>
        <w:t>المؤيدة</w:t>
      </w:r>
      <w:r w:rsidR="00DF16BF">
        <w:rPr>
          <w:rFonts w:hint="cs"/>
          <w:rtl/>
          <w:lang w:bidi="ar-EG"/>
        </w:rPr>
        <w:t xml:space="preserve"> </w:t>
      </w:r>
      <w:r w:rsidR="00290A67">
        <w:rPr>
          <w:rFonts w:hint="cs"/>
          <w:rtl/>
          <w:lang w:bidi="ar-EG"/>
        </w:rPr>
        <w:t>ل</w:t>
      </w:r>
      <w:r w:rsidR="00DF16BF">
        <w:rPr>
          <w:rFonts w:hint="cs"/>
          <w:rtl/>
          <w:lang w:bidi="ar-EG"/>
        </w:rPr>
        <w:t>هذه ا</w:t>
      </w:r>
      <w:r>
        <w:rPr>
          <w:rFonts w:hint="cs"/>
          <w:rtl/>
          <w:lang w:bidi="ar-EG"/>
        </w:rPr>
        <w:t>لمقترحات.</w:t>
      </w:r>
    </w:p>
    <w:p w:rsidR="00837F43" w:rsidRPr="00BE5270" w:rsidRDefault="008F4626" w:rsidP="00CA04FA">
      <w:pPr>
        <w:pStyle w:val="AnnexNo"/>
        <w:rPr>
          <w:rtl/>
        </w:rPr>
      </w:pPr>
      <w:r w:rsidRPr="00BE5270">
        <w:rPr>
          <w:rtl/>
        </w:rPr>
        <w:br w:type="page"/>
      </w:r>
      <w:r w:rsidR="00837F43" w:rsidRPr="00CA04FA">
        <w:rPr>
          <w:rFonts w:hint="cs"/>
          <w:rtl/>
        </w:rPr>
        <w:lastRenderedPageBreak/>
        <w:t>الملحـق</w:t>
      </w:r>
      <w:r w:rsidR="00837F43" w:rsidRPr="00BE5270">
        <w:rPr>
          <w:rFonts w:hint="cs"/>
          <w:rtl/>
        </w:rPr>
        <w:t xml:space="preserve"> </w:t>
      </w:r>
      <w:r w:rsidR="00837F43" w:rsidRPr="00BE5270">
        <w:t>1</w:t>
      </w:r>
    </w:p>
    <w:p w:rsidR="00837F43" w:rsidRPr="00CA04FA" w:rsidRDefault="00837F43" w:rsidP="00F309E6">
      <w:pPr>
        <w:pStyle w:val="AnnexNotitle"/>
        <w:spacing w:before="240" w:after="240"/>
        <w:rPr>
          <w:rFonts w:cstheme="minorHAnsi"/>
          <w:bCs/>
          <w:sz w:val="28"/>
          <w:szCs w:val="28"/>
          <w:rtl/>
          <w:lang w:bidi="ar-EG"/>
        </w:rPr>
      </w:pPr>
      <w:r w:rsidRPr="00CA04FA">
        <w:rPr>
          <w:rFonts w:hint="cs"/>
          <w:bCs/>
          <w:rtl/>
          <w:lang w:bidi="ar-EG"/>
        </w:rPr>
        <w:t xml:space="preserve">قائمة الدول </w:t>
      </w:r>
      <w:r w:rsidR="00D30815" w:rsidRPr="00CA04FA">
        <w:rPr>
          <w:rFonts w:hint="cs"/>
          <w:bCs/>
          <w:rtl/>
          <w:lang w:bidi="ar-EG"/>
        </w:rPr>
        <w:t>المؤيدة</w:t>
      </w:r>
      <w:r w:rsidRPr="00CA04FA">
        <w:rPr>
          <w:rFonts w:hint="cs"/>
          <w:bCs/>
          <w:rtl/>
          <w:lang w:bidi="ar-EG"/>
        </w:rPr>
        <w:t xml:space="preserve"> </w:t>
      </w:r>
      <w:r w:rsidR="00D30815" w:rsidRPr="00CA04FA">
        <w:rPr>
          <w:rFonts w:hint="cs"/>
          <w:bCs/>
          <w:rtl/>
          <w:lang w:bidi="ar-EG"/>
        </w:rPr>
        <w:t>ل</w:t>
      </w:r>
      <w:r w:rsidRPr="00CA04FA">
        <w:rPr>
          <w:rFonts w:hint="cs"/>
          <w:bCs/>
          <w:rtl/>
          <w:lang w:bidi="ar-EG"/>
        </w:rPr>
        <w:t xml:space="preserve">لمقترحات الأوروبية المشتركة </w:t>
      </w:r>
      <w:r w:rsidRPr="00CA04FA">
        <w:rPr>
          <w:rFonts w:cstheme="minorHAnsi"/>
          <w:bCs/>
          <w:sz w:val="28"/>
          <w:szCs w:val="28"/>
          <w:lang w:bidi="ar-EG"/>
        </w:rPr>
        <w:t>(ECP)</w:t>
      </w:r>
    </w:p>
    <w:tbl>
      <w:tblPr>
        <w:bidiVisual/>
        <w:tblW w:w="4693" w:type="dxa"/>
        <w:tblInd w:w="55" w:type="dxa"/>
        <w:tblCellMar>
          <w:left w:w="70" w:type="dxa"/>
          <w:right w:w="70" w:type="dxa"/>
        </w:tblCellMar>
        <w:tblLook w:val="0000" w:firstRow="0" w:lastRow="0" w:firstColumn="0" w:lastColumn="0" w:noHBand="0" w:noVBand="0"/>
      </w:tblPr>
      <w:tblGrid>
        <w:gridCol w:w="1858"/>
        <w:gridCol w:w="1559"/>
        <w:gridCol w:w="1276"/>
      </w:tblGrid>
      <w:tr w:rsidR="004936BD" w:rsidRPr="004936BD" w:rsidTr="004936BD">
        <w:trPr>
          <w:trHeight w:val="255"/>
          <w:tblHeader/>
        </w:trPr>
        <w:tc>
          <w:tcPr>
            <w:tcW w:w="1858" w:type="dxa"/>
            <w:tcBorders>
              <w:top w:val="single" w:sz="8" w:space="0" w:color="auto"/>
              <w:left w:val="single" w:sz="8" w:space="0" w:color="auto"/>
              <w:bottom w:val="single" w:sz="8" w:space="0" w:color="auto"/>
              <w:right w:val="single" w:sz="8" w:space="0" w:color="auto"/>
            </w:tcBorders>
            <w:shd w:val="clear" w:color="auto" w:fill="auto"/>
            <w:vAlign w:val="bottom"/>
          </w:tcPr>
          <w:p w:rsidR="004936BD" w:rsidRPr="00E60D16" w:rsidRDefault="004936BD" w:rsidP="00E60D16">
            <w:pPr>
              <w:pStyle w:val="Tablehead"/>
              <w:rPr>
                <w:rFonts w:eastAsia="Batang"/>
                <w:rtl/>
              </w:rPr>
            </w:pPr>
            <w:r w:rsidRPr="00E60D16">
              <w:rPr>
                <w:rFonts w:eastAsia="Batang" w:hint="cs"/>
                <w:rtl/>
              </w:rPr>
              <w:t>الدول الأعضاء</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4936BD" w:rsidRPr="00E60D16" w:rsidRDefault="004936BD" w:rsidP="00E60D16">
            <w:pPr>
              <w:pStyle w:val="Tablehead"/>
              <w:rPr>
                <w:rFonts w:eastAsia="Batang"/>
              </w:rPr>
            </w:pPr>
            <w:r w:rsidRPr="00E60D16">
              <w:rPr>
                <w:rFonts w:eastAsia="Batang" w:hint="cs"/>
                <w:rtl/>
              </w:rPr>
              <w:t xml:space="preserve">الوثيقة </w:t>
            </w:r>
            <w:r w:rsidRPr="00E60D16">
              <w:rPr>
                <w:rFonts w:eastAsia="Batang"/>
              </w:rPr>
              <w:t>16(Add.1)</w:t>
            </w:r>
          </w:p>
        </w:tc>
        <w:tc>
          <w:tcPr>
            <w:tcW w:w="1276" w:type="dxa"/>
            <w:tcBorders>
              <w:top w:val="single" w:sz="8" w:space="0" w:color="auto"/>
              <w:left w:val="nil"/>
              <w:bottom w:val="single" w:sz="8" w:space="0" w:color="auto"/>
              <w:right w:val="single" w:sz="8" w:space="0" w:color="auto"/>
            </w:tcBorders>
          </w:tcPr>
          <w:p w:rsidR="004936BD" w:rsidRPr="00E60D16" w:rsidRDefault="004936BD" w:rsidP="00E60D16">
            <w:pPr>
              <w:pStyle w:val="Tablehead"/>
              <w:rPr>
                <w:rFonts w:eastAsia="Batang"/>
              </w:rPr>
            </w:pPr>
          </w:p>
        </w:tc>
      </w:tr>
      <w:tr w:rsidR="004936BD" w:rsidRPr="004936BD" w:rsidTr="004936BD">
        <w:trPr>
          <w:trHeight w:val="199"/>
          <w:tblHeader/>
        </w:trPr>
        <w:tc>
          <w:tcPr>
            <w:tcW w:w="1858" w:type="dxa"/>
            <w:tcBorders>
              <w:top w:val="single" w:sz="4" w:space="0" w:color="auto"/>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ALB</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936BD" w:rsidRPr="00E60D16" w:rsidRDefault="004936BD" w:rsidP="00E60D16">
            <w:pPr>
              <w:pStyle w:val="TabletextS5"/>
              <w:jc w:val="center"/>
              <w:rPr>
                <w:rFonts w:eastAsia="Batang"/>
                <w:lang w:val="sv-SE" w:eastAsia="ko-KR"/>
              </w:rPr>
            </w:pPr>
          </w:p>
        </w:tc>
        <w:tc>
          <w:tcPr>
            <w:tcW w:w="1276" w:type="dxa"/>
            <w:tcBorders>
              <w:top w:val="single" w:sz="8" w:space="0" w:color="auto"/>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AND</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AUT</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AZE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BEL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BIH</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BLR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BUL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CVA</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CYP</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CZE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single" w:sz="8" w:space="0" w:color="auto"/>
            </w:tcBorders>
            <w:shd w:val="clear" w:color="auto" w:fill="auto"/>
            <w:vAlign w:val="bottom"/>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D</w:t>
            </w:r>
          </w:p>
        </w:tc>
        <w:tc>
          <w:tcPr>
            <w:tcW w:w="1559" w:type="dxa"/>
            <w:tcBorders>
              <w:top w:val="nil"/>
              <w:left w:val="nil"/>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nil"/>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DNK</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color w:val="000000"/>
                <w:lang w:val="sv-SE" w:eastAsia="ko-KR"/>
              </w:rPr>
            </w:pPr>
            <w:r w:rsidRPr="00E60D16">
              <w:rPr>
                <w:rFonts w:eastAsia="Batang"/>
                <w:b/>
                <w:bCs/>
                <w:color w:val="000000"/>
                <w:lang w:val="sv-SE" w:eastAsia="ko-KR"/>
              </w:rPr>
              <w:t>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EST</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single" w:sz="8" w:space="0" w:color="auto"/>
            </w:tcBorders>
            <w:shd w:val="clear" w:color="auto" w:fill="auto"/>
            <w:vAlign w:val="bottom"/>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F</w:t>
            </w:r>
          </w:p>
        </w:tc>
        <w:tc>
          <w:tcPr>
            <w:tcW w:w="1559" w:type="dxa"/>
            <w:tcBorders>
              <w:top w:val="nil"/>
              <w:left w:val="nil"/>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nil"/>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FIN</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G</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GEO</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GRC</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HNG</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single" w:sz="8" w:space="0" w:color="auto"/>
            </w:tcBorders>
            <w:shd w:val="clear" w:color="auto" w:fill="auto"/>
            <w:vAlign w:val="bottom"/>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HOL</w:t>
            </w:r>
          </w:p>
        </w:tc>
        <w:tc>
          <w:tcPr>
            <w:tcW w:w="1559" w:type="dxa"/>
            <w:tcBorders>
              <w:top w:val="nil"/>
              <w:left w:val="nil"/>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nil"/>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HRV</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I</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IRL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ISL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LIE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LTU</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5A7226"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LUX</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LVA</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MCO</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MDA</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MKD</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MLT</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MNE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4936BD" w:rsidRPr="004936BD" w:rsidTr="00E60D16">
        <w:trPr>
          <w:trHeight w:val="199"/>
          <w:tblHeader/>
        </w:trPr>
        <w:tc>
          <w:tcPr>
            <w:tcW w:w="1858" w:type="dxa"/>
            <w:tcBorders>
              <w:top w:val="nil"/>
              <w:left w:val="single" w:sz="8" w:space="0" w:color="auto"/>
              <w:bottom w:val="single" w:sz="8" w:space="0" w:color="auto"/>
              <w:right w:val="nil"/>
            </w:tcBorders>
            <w:shd w:val="clear" w:color="auto" w:fill="auto"/>
          </w:tcPr>
          <w:p w:rsidR="004936BD" w:rsidRPr="00E60D16" w:rsidRDefault="004936BD" w:rsidP="00E60D16">
            <w:pPr>
              <w:pStyle w:val="TabletextS5"/>
              <w:jc w:val="center"/>
              <w:rPr>
                <w:rFonts w:eastAsia="Batang"/>
                <w:b/>
                <w:bCs/>
                <w:lang w:val="sv-SE" w:eastAsia="ko-KR"/>
              </w:rPr>
            </w:pPr>
            <w:r w:rsidRPr="00E60D16">
              <w:rPr>
                <w:rFonts w:eastAsia="Batang"/>
                <w:b/>
                <w:bCs/>
                <w:lang w:val="sv-SE" w:eastAsia="ko-KR"/>
              </w:rPr>
              <w:t>NOR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4936BD" w:rsidRPr="00E60D16" w:rsidRDefault="004936BD"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4936BD" w:rsidRPr="00E60D16" w:rsidRDefault="004936BD" w:rsidP="00E60D16">
            <w:pPr>
              <w:pStyle w:val="TabletextS5"/>
              <w:jc w:val="center"/>
              <w:rPr>
                <w:rFonts w:eastAsia="Batang"/>
                <w:b/>
                <w:bCs/>
                <w:lang w:val="sv-SE" w:eastAsia="ko-KR"/>
              </w:rPr>
            </w:pPr>
          </w:p>
        </w:tc>
      </w:tr>
      <w:tr w:rsidR="00E60D16" w:rsidRPr="004936BD" w:rsidTr="00E60D16">
        <w:trPr>
          <w:trHeight w:val="199"/>
          <w:tblHeader/>
        </w:trPr>
        <w:tc>
          <w:tcPr>
            <w:tcW w:w="1858" w:type="dxa"/>
            <w:tcBorders>
              <w:top w:val="single" w:sz="8" w:space="0" w:color="auto"/>
              <w:left w:val="single" w:sz="8" w:space="0" w:color="auto"/>
              <w:bottom w:val="single" w:sz="8" w:space="0" w:color="auto"/>
              <w:right w:val="nil"/>
            </w:tcBorders>
            <w:shd w:val="clear" w:color="auto" w:fill="auto"/>
            <w:vAlign w:val="bottom"/>
          </w:tcPr>
          <w:p w:rsidR="00E60D16" w:rsidRPr="00E60D16" w:rsidRDefault="00E60D16" w:rsidP="00C73D98">
            <w:pPr>
              <w:pStyle w:val="Tablehead"/>
              <w:rPr>
                <w:rFonts w:eastAsia="Batang"/>
                <w:rtl/>
              </w:rPr>
            </w:pPr>
            <w:r w:rsidRPr="00E60D16">
              <w:rPr>
                <w:rFonts w:eastAsia="Batang" w:hint="cs"/>
                <w:rtl/>
              </w:rPr>
              <w:lastRenderedPageBreak/>
              <w:t>الدول الأعضاء</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E60D16" w:rsidRPr="00E60D16" w:rsidRDefault="00E60D16" w:rsidP="00C73D98">
            <w:pPr>
              <w:pStyle w:val="Tablehead"/>
              <w:rPr>
                <w:rFonts w:eastAsia="Batang"/>
              </w:rPr>
            </w:pPr>
            <w:r w:rsidRPr="00E60D16">
              <w:rPr>
                <w:rFonts w:eastAsia="Batang" w:hint="cs"/>
                <w:rtl/>
              </w:rPr>
              <w:t xml:space="preserve">الوثيقة </w:t>
            </w:r>
            <w:r w:rsidRPr="00E60D16">
              <w:rPr>
                <w:rFonts w:eastAsia="Batang"/>
              </w:rPr>
              <w:t>16(Add.1)</w:t>
            </w:r>
          </w:p>
        </w:tc>
        <w:tc>
          <w:tcPr>
            <w:tcW w:w="1276" w:type="dxa"/>
            <w:tcBorders>
              <w:top w:val="single" w:sz="8" w:space="0" w:color="auto"/>
              <w:left w:val="single" w:sz="8" w:space="0" w:color="auto"/>
              <w:bottom w:val="single" w:sz="8" w:space="0" w:color="auto"/>
              <w:right w:val="single" w:sz="8" w:space="0" w:color="auto"/>
            </w:tcBorders>
          </w:tcPr>
          <w:p w:rsidR="00E60D16" w:rsidRPr="00E60D16" w:rsidRDefault="00E60D16" w:rsidP="00C73D98">
            <w:pPr>
              <w:pStyle w:val="Tablehead"/>
              <w:rPr>
                <w:rFonts w:eastAsia="Batang"/>
              </w:rPr>
            </w:pPr>
          </w:p>
        </w:tc>
      </w:tr>
      <w:tr w:rsidR="00F40CD4"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F40CD4" w:rsidRPr="00F40CD4" w:rsidRDefault="00F40CD4" w:rsidP="00E60D16">
            <w:pPr>
              <w:pStyle w:val="TabletextS5"/>
              <w:jc w:val="center"/>
              <w:rPr>
                <w:rFonts w:eastAsia="Batang"/>
                <w:b/>
                <w:bCs/>
                <w:lang w:eastAsia="ko-KR"/>
              </w:rPr>
            </w:pPr>
            <w:r>
              <w:rPr>
                <w:rFonts w:eastAsia="Batang"/>
                <w:b/>
                <w:bCs/>
                <w:lang w:eastAsia="ko-KR"/>
              </w:rPr>
              <w:t>POL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F40CD4" w:rsidRPr="00E60D16" w:rsidRDefault="00F40CD4" w:rsidP="00E60D16">
            <w:pPr>
              <w:pStyle w:val="TabletextS5"/>
              <w:jc w:val="center"/>
              <w:rPr>
                <w:rFonts w:eastAsia="Batang"/>
                <w:rtl/>
                <w:lang w:val="sv-SE" w:eastAsia="ko-KR"/>
              </w:rPr>
            </w:pPr>
          </w:p>
        </w:tc>
        <w:tc>
          <w:tcPr>
            <w:tcW w:w="1276" w:type="dxa"/>
            <w:tcBorders>
              <w:top w:val="nil"/>
              <w:left w:val="single" w:sz="8" w:space="0" w:color="auto"/>
              <w:bottom w:val="single" w:sz="8" w:space="0" w:color="auto"/>
              <w:right w:val="single" w:sz="8" w:space="0" w:color="auto"/>
            </w:tcBorders>
          </w:tcPr>
          <w:p w:rsidR="00F40CD4" w:rsidRPr="00E60D16" w:rsidRDefault="00F40CD4"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POR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ROU</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RUS</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S</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SMR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SRB</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SUI</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SVK</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r w:rsidRPr="00E60D16">
              <w:rPr>
                <w:rFonts w:eastAsia="Batang" w:hint="cs"/>
                <w:rtl/>
                <w:lang w:val="sv-SE" w:eastAsia="ko-KR"/>
              </w:rPr>
              <w:t>نعم</w:t>
            </w: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SVN</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TUR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199"/>
          <w:tblHeader/>
        </w:trPr>
        <w:tc>
          <w:tcPr>
            <w:tcW w:w="1858" w:type="dxa"/>
            <w:tcBorders>
              <w:top w:val="nil"/>
              <w:left w:val="single" w:sz="8" w:space="0" w:color="auto"/>
              <w:bottom w:val="single" w:sz="8" w:space="0" w:color="auto"/>
              <w:right w:val="nil"/>
            </w:tcBorders>
            <w:shd w:val="clear" w:color="auto" w:fill="auto"/>
          </w:tcPr>
          <w:p w:rsidR="00E60D16" w:rsidRPr="00E60D16" w:rsidRDefault="00E60D16" w:rsidP="00E60D16">
            <w:pPr>
              <w:pStyle w:val="TabletextS5"/>
              <w:jc w:val="center"/>
              <w:rPr>
                <w:rFonts w:eastAsia="Batang"/>
                <w:b/>
                <w:bCs/>
                <w:lang w:val="sv-SE" w:eastAsia="ko-KR"/>
              </w:rPr>
            </w:pPr>
            <w:r w:rsidRPr="00E60D16">
              <w:rPr>
                <w:rFonts w:eastAsia="Batang"/>
                <w:b/>
                <w:bCs/>
                <w:lang w:val="sv-SE" w:eastAsia="ko-KR"/>
              </w:rPr>
              <w:t>UKR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lang w:val="sv-SE" w:eastAsia="ko-KR"/>
              </w:rPr>
            </w:pPr>
          </w:p>
        </w:tc>
        <w:tc>
          <w:tcPr>
            <w:tcW w:w="1276" w:type="dxa"/>
            <w:tcBorders>
              <w:top w:val="nil"/>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blHeader/>
        </w:trPr>
        <w:tc>
          <w:tcPr>
            <w:tcW w:w="1858" w:type="dxa"/>
            <w:tcBorders>
              <w:top w:val="nil"/>
              <w:left w:val="nil"/>
              <w:bottom w:val="single" w:sz="8" w:space="0" w:color="auto"/>
              <w:right w:val="nil"/>
            </w:tcBorders>
            <w:shd w:val="clear" w:color="auto" w:fill="auto"/>
            <w:noWrap/>
            <w:vAlign w:val="bottom"/>
          </w:tcPr>
          <w:p w:rsidR="00E60D16" w:rsidRPr="00E60D16" w:rsidRDefault="00E60D16" w:rsidP="00E60D16">
            <w:pPr>
              <w:pStyle w:val="TabletextS5"/>
              <w:jc w:val="center"/>
              <w:rPr>
                <w:rFonts w:eastAsia="Batang"/>
                <w:b/>
                <w:bCs/>
                <w:lang w:val="sv-SE" w:eastAsia="ko-KR"/>
              </w:rPr>
            </w:pPr>
          </w:p>
        </w:tc>
        <w:tc>
          <w:tcPr>
            <w:tcW w:w="1559" w:type="dxa"/>
            <w:tcBorders>
              <w:top w:val="nil"/>
              <w:left w:val="nil"/>
              <w:bottom w:val="single" w:sz="8" w:space="0" w:color="auto"/>
              <w:right w:val="nil"/>
            </w:tcBorders>
            <w:shd w:val="clear" w:color="auto" w:fill="auto"/>
            <w:noWrap/>
            <w:vAlign w:val="bottom"/>
          </w:tcPr>
          <w:p w:rsidR="00E60D16" w:rsidRPr="00E60D16" w:rsidRDefault="00E60D16" w:rsidP="00E60D16">
            <w:pPr>
              <w:pStyle w:val="TabletextS5"/>
              <w:jc w:val="center"/>
              <w:rPr>
                <w:rFonts w:eastAsia="Batang"/>
                <w:lang w:val="sv-SE" w:eastAsia="ko-KR"/>
              </w:rPr>
            </w:pPr>
          </w:p>
        </w:tc>
        <w:tc>
          <w:tcPr>
            <w:tcW w:w="1276" w:type="dxa"/>
            <w:tcBorders>
              <w:top w:val="nil"/>
              <w:left w:val="nil"/>
              <w:bottom w:val="single" w:sz="8" w:space="0" w:color="auto"/>
              <w:right w:val="nil"/>
            </w:tcBorders>
          </w:tcPr>
          <w:p w:rsidR="00E60D16" w:rsidRPr="00E60D16" w:rsidRDefault="00E60D16" w:rsidP="00E60D16">
            <w:pPr>
              <w:pStyle w:val="TabletextS5"/>
              <w:jc w:val="center"/>
              <w:rPr>
                <w:rFonts w:eastAsia="Batang"/>
                <w:b/>
                <w:bCs/>
                <w:lang w:val="sv-SE" w:eastAsia="ko-KR"/>
              </w:rPr>
            </w:pPr>
          </w:p>
        </w:tc>
      </w:tr>
      <w:tr w:rsidR="00E60D16" w:rsidRPr="004936BD" w:rsidTr="004936BD">
        <w:trPr>
          <w:trHeight w:val="240"/>
          <w:tblHeader/>
        </w:trPr>
        <w:tc>
          <w:tcPr>
            <w:tcW w:w="1858" w:type="dxa"/>
            <w:tcBorders>
              <w:top w:val="single" w:sz="8" w:space="0" w:color="auto"/>
              <w:left w:val="single" w:sz="8" w:space="0" w:color="auto"/>
              <w:bottom w:val="single" w:sz="8" w:space="0" w:color="auto"/>
              <w:right w:val="single" w:sz="8" w:space="0" w:color="auto"/>
            </w:tcBorders>
            <w:shd w:val="clear" w:color="auto" w:fill="auto"/>
            <w:noWrap/>
            <w:vAlign w:val="bottom"/>
          </w:tcPr>
          <w:p w:rsidR="00E60D16" w:rsidRPr="00E60D16" w:rsidRDefault="00E60D16" w:rsidP="00E60D16">
            <w:pPr>
              <w:pStyle w:val="TabletextS5"/>
              <w:jc w:val="center"/>
              <w:rPr>
                <w:rFonts w:eastAsia="Batang"/>
                <w:b/>
                <w:bCs/>
                <w:lang w:val="sv-SE" w:eastAsia="ko-KR"/>
              </w:rPr>
            </w:pPr>
            <w:r w:rsidRPr="00E60D16">
              <w:rPr>
                <w:rFonts w:eastAsia="Batang" w:hint="cs"/>
                <w:b/>
                <w:bCs/>
                <w:rtl/>
                <w:lang w:val="sv-SE" w:eastAsia="ko-KR"/>
              </w:rPr>
              <w:t>المجموع</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0D16" w:rsidRPr="00E60D16" w:rsidRDefault="00E60D16" w:rsidP="00E60D16">
            <w:pPr>
              <w:pStyle w:val="TabletextS5"/>
              <w:jc w:val="center"/>
              <w:rPr>
                <w:rFonts w:eastAsia="Batang"/>
                <w:lang w:val="sv-SE" w:eastAsia="ko-KR"/>
              </w:rPr>
            </w:pPr>
            <w:r w:rsidRPr="00E60D16">
              <w:rPr>
                <w:rFonts w:eastAsia="Batang"/>
                <w:lang w:val="sv-SE" w:eastAsia="ko-KR"/>
              </w:rPr>
              <w:t>16</w:t>
            </w:r>
          </w:p>
        </w:tc>
        <w:tc>
          <w:tcPr>
            <w:tcW w:w="1276" w:type="dxa"/>
            <w:tcBorders>
              <w:top w:val="single" w:sz="8" w:space="0" w:color="auto"/>
              <w:left w:val="single" w:sz="8" w:space="0" w:color="auto"/>
              <w:bottom w:val="single" w:sz="8" w:space="0" w:color="auto"/>
              <w:right w:val="single" w:sz="8" w:space="0" w:color="auto"/>
            </w:tcBorders>
          </w:tcPr>
          <w:p w:rsidR="00E60D16" w:rsidRPr="00E60D16" w:rsidRDefault="00E60D16" w:rsidP="00E60D16">
            <w:pPr>
              <w:pStyle w:val="TabletextS5"/>
              <w:jc w:val="center"/>
              <w:rPr>
                <w:rFonts w:eastAsia="Batang"/>
                <w:b/>
                <w:bCs/>
                <w:lang w:val="sv-SE" w:eastAsia="ko-KR"/>
              </w:rPr>
            </w:pPr>
          </w:p>
        </w:tc>
      </w:tr>
    </w:tbl>
    <w:p w:rsidR="004936BD" w:rsidRPr="004936BD" w:rsidRDefault="004936BD" w:rsidP="004936BD">
      <w:pPr>
        <w:rPr>
          <w:rtl/>
          <w:lang w:bidi="ar-EG"/>
        </w:rPr>
      </w:pPr>
    </w:p>
    <w:p w:rsidR="00837F43" w:rsidRPr="00492246" w:rsidRDefault="00837F43" w:rsidP="00C412F3">
      <w:pPr>
        <w:spacing w:before="600"/>
        <w:jc w:val="center"/>
        <w:rPr>
          <w:lang w:bidi="ar-EG"/>
        </w:rPr>
      </w:pPr>
      <w:r w:rsidRPr="00492246">
        <w:rPr>
          <w:rFonts w:hint="cs"/>
          <w:rtl/>
          <w:lang w:bidi="ar-EG"/>
        </w:rPr>
        <w:t>___________</w:t>
      </w:r>
    </w:p>
    <w:sectPr w:rsidR="00837F43" w:rsidRPr="00492246"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98" w:rsidRDefault="00C73D98" w:rsidP="002919E1">
      <w:r>
        <w:separator/>
      </w:r>
    </w:p>
    <w:p w:rsidR="00C73D98" w:rsidRDefault="00C73D98" w:rsidP="002919E1"/>
    <w:p w:rsidR="00C73D98" w:rsidRDefault="00C73D98" w:rsidP="002919E1"/>
    <w:p w:rsidR="00C73D98" w:rsidRDefault="00C73D98"/>
  </w:endnote>
  <w:endnote w:type="continuationSeparator" w:id="0">
    <w:p w:rsidR="00C73D98" w:rsidRDefault="00C73D98" w:rsidP="002919E1">
      <w:r>
        <w:continuationSeparator/>
      </w:r>
    </w:p>
    <w:p w:rsidR="00C73D98" w:rsidRDefault="00C73D98" w:rsidP="002919E1"/>
    <w:p w:rsidR="00C73D98" w:rsidRDefault="00C73D98" w:rsidP="002919E1"/>
    <w:p w:rsidR="00C73D98" w:rsidRDefault="00C73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8" w:rsidRPr="00D86DCF" w:rsidRDefault="00C73D98" w:rsidP="00D86DCF">
    <w:pPr>
      <w:pStyle w:val="Footer"/>
      <w:tabs>
        <w:tab w:val="clear" w:pos="2268"/>
      </w:tabs>
      <w:rPr>
        <w:rtl/>
        <w:lang w:bidi="ar-EG"/>
      </w:rPr>
    </w:pPr>
    <w:r>
      <w:fldChar w:fldCharType="begin"/>
    </w:r>
    <w:r w:rsidRPr="00336C1A">
      <w:instrText xml:space="preserve"> FILENAME \p \* MERGEFORMAT </w:instrText>
    </w:r>
    <w:r>
      <w:fldChar w:fldCharType="separate"/>
    </w:r>
    <w:r w:rsidR="00F40CD4">
      <w:rPr>
        <w:noProof/>
      </w:rPr>
      <w:t>P:\ARA\SG\CONF-SG\WCIT12\000\016A.docx</w:t>
    </w:r>
    <w:r>
      <w:fldChar w:fldCharType="end"/>
    </w:r>
    <w:r w:rsidRPr="00336C1A">
      <w:t xml:space="preserve">   (</w:t>
    </w:r>
    <w:r>
      <w:rPr>
        <w:rFonts w:hint="cs"/>
        <w:rtl/>
      </w:rPr>
      <w:t>333922</w:t>
    </w:r>
    <w:r w:rsidRPr="00336C1A">
      <w:t>)</w:t>
    </w:r>
    <w:r w:rsidRPr="00336C1A">
      <w:tab/>
    </w:r>
    <w:r w:rsidRPr="00B12661">
      <w:fldChar w:fldCharType="begin"/>
    </w:r>
    <w:r w:rsidRPr="00B12661">
      <w:instrText xml:space="preserve"> savedate \@ dd.MM.yy </w:instrText>
    </w:r>
    <w:r w:rsidRPr="00B12661">
      <w:fldChar w:fldCharType="separate"/>
    </w:r>
    <w:r w:rsidR="006352F2">
      <w:rPr>
        <w:noProof/>
      </w:rPr>
      <w:t>08.11.12</w:t>
    </w:r>
    <w:r w:rsidRPr="00B12661">
      <w:fldChar w:fldCharType="end"/>
    </w:r>
    <w:r w:rsidRPr="00336C1A">
      <w:tab/>
    </w:r>
    <w:r w:rsidRPr="00B12661">
      <w:fldChar w:fldCharType="begin"/>
    </w:r>
    <w:r w:rsidRPr="00B12661">
      <w:instrText xml:space="preserve"> printdate \@ dd.MM.yy </w:instrText>
    </w:r>
    <w:r w:rsidRPr="00B12661">
      <w:fldChar w:fldCharType="separate"/>
    </w:r>
    <w:r w:rsidR="00F40CD4">
      <w:rPr>
        <w:noProof/>
      </w:rPr>
      <w:t>08.11.12</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8" w:rsidRPr="00336C1A" w:rsidRDefault="00C73D98" w:rsidP="00D86DCF">
    <w:pPr>
      <w:pStyle w:val="Footer"/>
      <w:tabs>
        <w:tab w:val="clear" w:pos="2268"/>
      </w:tabs>
    </w:pPr>
    <w:r>
      <w:fldChar w:fldCharType="begin"/>
    </w:r>
    <w:r w:rsidRPr="00336C1A">
      <w:instrText xml:space="preserve"> FILENAME \p \* MERGEFORMAT </w:instrText>
    </w:r>
    <w:r>
      <w:fldChar w:fldCharType="separate"/>
    </w:r>
    <w:r w:rsidR="00F40CD4">
      <w:rPr>
        <w:noProof/>
      </w:rPr>
      <w:t>P:\ARA\SG\CONF-SG\WCIT12\000\016A.docx</w:t>
    </w:r>
    <w:r>
      <w:fldChar w:fldCharType="end"/>
    </w:r>
    <w:r w:rsidRPr="00336C1A">
      <w:t xml:space="preserve">   (</w:t>
    </w:r>
    <w:r>
      <w:rPr>
        <w:rFonts w:hint="cs"/>
        <w:rtl/>
      </w:rPr>
      <w:t>333922</w:t>
    </w:r>
    <w:r w:rsidRPr="00336C1A">
      <w:t>)</w:t>
    </w:r>
    <w:r w:rsidRPr="00336C1A">
      <w:tab/>
    </w:r>
    <w:r w:rsidRPr="00B12661">
      <w:fldChar w:fldCharType="begin"/>
    </w:r>
    <w:r w:rsidRPr="00B12661">
      <w:instrText xml:space="preserve"> savedate \@ dd.MM.yy </w:instrText>
    </w:r>
    <w:r w:rsidRPr="00B12661">
      <w:fldChar w:fldCharType="separate"/>
    </w:r>
    <w:r w:rsidR="006352F2">
      <w:rPr>
        <w:noProof/>
      </w:rPr>
      <w:t>08.11.12</w:t>
    </w:r>
    <w:r w:rsidRPr="00B12661">
      <w:fldChar w:fldCharType="end"/>
    </w:r>
    <w:r w:rsidRPr="00336C1A">
      <w:tab/>
    </w:r>
    <w:r w:rsidRPr="00B12661">
      <w:fldChar w:fldCharType="begin"/>
    </w:r>
    <w:r w:rsidRPr="00B12661">
      <w:instrText xml:space="preserve"> printdate \@ dd.MM.yy </w:instrText>
    </w:r>
    <w:r w:rsidRPr="00B12661">
      <w:fldChar w:fldCharType="separate"/>
    </w:r>
    <w:r w:rsidR="00F40CD4">
      <w:rPr>
        <w:noProof/>
      </w:rPr>
      <w:t>08.11.12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98" w:rsidRDefault="00C73D98" w:rsidP="002919E1">
      <w:r>
        <w:t>___________________</w:t>
      </w:r>
    </w:p>
  </w:footnote>
  <w:footnote w:type="continuationSeparator" w:id="0">
    <w:p w:rsidR="00C73D98" w:rsidRDefault="00C73D98" w:rsidP="002919E1">
      <w:r>
        <w:continuationSeparator/>
      </w:r>
    </w:p>
    <w:p w:rsidR="00C73D98" w:rsidRDefault="00C73D98" w:rsidP="002919E1"/>
    <w:p w:rsidR="00C73D98" w:rsidRDefault="00C73D98" w:rsidP="002919E1"/>
    <w:p w:rsidR="00C73D98" w:rsidRDefault="00C73D98"/>
  </w:footnote>
  <w:footnote w:id="1">
    <w:p w:rsidR="00C73D98" w:rsidRDefault="00C73D98" w:rsidP="00D948FA">
      <w:pPr>
        <w:pStyle w:val="FootnoteText"/>
        <w:spacing w:after="120"/>
        <w:ind w:left="0" w:firstLine="0"/>
      </w:pPr>
      <w:r>
        <w:rPr>
          <w:rStyle w:val="FootnoteReference"/>
        </w:rPr>
        <w:footnoteRef/>
      </w:r>
      <w:r>
        <w:rPr>
          <w:rFonts w:hint="cs"/>
          <w:rtl/>
        </w:rPr>
        <w:tab/>
        <w:t xml:space="preserve">أعضاء المؤتمر الأوروبي لإدارات البريد والاتصالات </w:t>
      </w:r>
      <w:r>
        <w:t>(CEPT)</w:t>
      </w:r>
      <w:r>
        <w:rPr>
          <w:rFonts w:hint="cs"/>
          <w:rtl/>
        </w:rPr>
        <w:t xml:space="preserve"> (أوروبا): جمهورية ألبانيا، إمارة أندورا، النمسا، جمهورية أذربيجان، جمهورية بيلاروس، بلجيكا، البوسنة والهرسك، جمهورية بلغاريا، جمهورية كرواتيا، جمهورية قبرص، </w:t>
      </w:r>
      <w:r w:rsidRPr="00DE1D90">
        <w:rPr>
          <w:rFonts w:hint="cs"/>
          <w:sz w:val="24"/>
          <w:rtl/>
          <w:lang w:val="fr-FR"/>
        </w:rPr>
        <w:t>الجمهورية التشيكية</w:t>
      </w:r>
      <w:r>
        <w:rPr>
          <w:rFonts w:hint="cs"/>
          <w:rtl/>
        </w:rPr>
        <w:t>، الدانمارك، جمهورية إستونيا، فنلندا، فرنسا، جورجيا، جمهورية ألمانيا الاتحادية، اليونان، جمهورية هنغاريا، أيسلندا، أيرلندا، إيطاليا، جمهورية لاتفيا، إمارة ليختنشتاين، جمهورية ليتوانيا، لكسمبرغ، مالطة، جمهورية مولدوفا، إمارة</w:t>
      </w:r>
      <w:r>
        <w:rPr>
          <w:rFonts w:hint="eastAsia"/>
          <w:rtl/>
        </w:rPr>
        <w:t> </w:t>
      </w:r>
      <w:r>
        <w:rPr>
          <w:rFonts w:hint="cs"/>
          <w:rtl/>
        </w:rPr>
        <w:t>موناكو، جمهورية الجبل الأسود، مملكة هولندا، النرويج، جمهورية بولندا، البرتغال، رومانيا، الاتحاد الروسي، جمهورية سان مارينو، جمهورية صربيا، الجمهورية السلوفاكية، جمهورية سلوفينيا، إسبانيا، السويد، الاتحاد السويسري، جمهورية مقدونيا اليوغوسلافية السابقة، تركيا، أوكرانيا، المملكة المتحدة لبريطانيا العظمى وأيرلندا الشمالية، دولة مدينة الفاتيكان.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8" w:rsidRDefault="00C73D98" w:rsidP="002919E1"/>
  <w:p w:rsidR="00C73D98" w:rsidRDefault="00C73D98" w:rsidP="002919E1"/>
  <w:p w:rsidR="00C73D98" w:rsidRDefault="00C73D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8" w:rsidRPr="0088384B" w:rsidRDefault="00C73D98"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16E8B">
      <w:rPr>
        <w:rStyle w:val="PageNumber"/>
        <w:noProof/>
      </w:rPr>
      <w:t>2</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16-</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21FDA"/>
    <w:rsid w:val="00040C94"/>
    <w:rsid w:val="000425FC"/>
    <w:rsid w:val="00044D43"/>
    <w:rsid w:val="00051907"/>
    <w:rsid w:val="00053295"/>
    <w:rsid w:val="00071185"/>
    <w:rsid w:val="00075A3F"/>
    <w:rsid w:val="000A1B16"/>
    <w:rsid w:val="000B5404"/>
    <w:rsid w:val="000D1708"/>
    <w:rsid w:val="000E2AFC"/>
    <w:rsid w:val="000E6D30"/>
    <w:rsid w:val="000F05F5"/>
    <w:rsid w:val="000F0A3B"/>
    <w:rsid w:val="000F1F8B"/>
    <w:rsid w:val="000F518F"/>
    <w:rsid w:val="0010081C"/>
    <w:rsid w:val="001013E3"/>
    <w:rsid w:val="00132112"/>
    <w:rsid w:val="001464F2"/>
    <w:rsid w:val="001572B9"/>
    <w:rsid w:val="00167364"/>
    <w:rsid w:val="001903B2"/>
    <w:rsid w:val="00192E0C"/>
    <w:rsid w:val="001E190C"/>
    <w:rsid w:val="001E54F6"/>
    <w:rsid w:val="001E5A8C"/>
    <w:rsid w:val="00201A0A"/>
    <w:rsid w:val="002075D4"/>
    <w:rsid w:val="00211B2A"/>
    <w:rsid w:val="0022007D"/>
    <w:rsid w:val="00232325"/>
    <w:rsid w:val="002333A0"/>
    <w:rsid w:val="00245C49"/>
    <w:rsid w:val="002543CF"/>
    <w:rsid w:val="0025779C"/>
    <w:rsid w:val="0026062E"/>
    <w:rsid w:val="00260F50"/>
    <w:rsid w:val="00261EF7"/>
    <w:rsid w:val="00266DC4"/>
    <w:rsid w:val="0027069F"/>
    <w:rsid w:val="00276742"/>
    <w:rsid w:val="00280E04"/>
    <w:rsid w:val="00281F5F"/>
    <w:rsid w:val="002843E4"/>
    <w:rsid w:val="00290A67"/>
    <w:rsid w:val="002919E1"/>
    <w:rsid w:val="00295917"/>
    <w:rsid w:val="00296071"/>
    <w:rsid w:val="002A4572"/>
    <w:rsid w:val="002A7E2E"/>
    <w:rsid w:val="002B16D8"/>
    <w:rsid w:val="002B3AF7"/>
    <w:rsid w:val="002D5F64"/>
    <w:rsid w:val="002D6FBF"/>
    <w:rsid w:val="002E2CC2"/>
    <w:rsid w:val="002E48BF"/>
    <w:rsid w:val="002E61C2"/>
    <w:rsid w:val="002F7D6C"/>
    <w:rsid w:val="003045B7"/>
    <w:rsid w:val="00310581"/>
    <w:rsid w:val="00336C1A"/>
    <w:rsid w:val="00346038"/>
    <w:rsid w:val="003569E1"/>
    <w:rsid w:val="00367C38"/>
    <w:rsid w:val="003815E2"/>
    <w:rsid w:val="00381FAD"/>
    <w:rsid w:val="003923B1"/>
    <w:rsid w:val="003965FE"/>
    <w:rsid w:val="003B27AD"/>
    <w:rsid w:val="003B4F23"/>
    <w:rsid w:val="003C12F6"/>
    <w:rsid w:val="003C3A13"/>
    <w:rsid w:val="003C4C62"/>
    <w:rsid w:val="003E02EF"/>
    <w:rsid w:val="003E0771"/>
    <w:rsid w:val="003E1D90"/>
    <w:rsid w:val="00400CD4"/>
    <w:rsid w:val="004147B9"/>
    <w:rsid w:val="00422C04"/>
    <w:rsid w:val="00423EE6"/>
    <w:rsid w:val="00426144"/>
    <w:rsid w:val="004359B9"/>
    <w:rsid w:val="00447728"/>
    <w:rsid w:val="00467016"/>
    <w:rsid w:val="00467F14"/>
    <w:rsid w:val="00470CBD"/>
    <w:rsid w:val="00487EBA"/>
    <w:rsid w:val="004909DD"/>
    <w:rsid w:val="004936BD"/>
    <w:rsid w:val="004A05E6"/>
    <w:rsid w:val="004A34A8"/>
    <w:rsid w:val="004A6C66"/>
    <w:rsid w:val="004A7AA0"/>
    <w:rsid w:val="004B092A"/>
    <w:rsid w:val="004C11BC"/>
    <w:rsid w:val="004D1105"/>
    <w:rsid w:val="004D4AE6"/>
    <w:rsid w:val="004F5733"/>
    <w:rsid w:val="00505FCA"/>
    <w:rsid w:val="005169F4"/>
    <w:rsid w:val="005210D1"/>
    <w:rsid w:val="00523146"/>
    <w:rsid w:val="00523275"/>
    <w:rsid w:val="00531DC7"/>
    <w:rsid w:val="005350B0"/>
    <w:rsid w:val="00546A99"/>
    <w:rsid w:val="0055090E"/>
    <w:rsid w:val="00553411"/>
    <w:rsid w:val="00564746"/>
    <w:rsid w:val="0056512C"/>
    <w:rsid w:val="00576D0A"/>
    <w:rsid w:val="00584333"/>
    <w:rsid w:val="005953EC"/>
    <w:rsid w:val="005A7226"/>
    <w:rsid w:val="005B00A1"/>
    <w:rsid w:val="005C29C8"/>
    <w:rsid w:val="005C4951"/>
    <w:rsid w:val="005C5D25"/>
    <w:rsid w:val="005D007F"/>
    <w:rsid w:val="005D3012"/>
    <w:rsid w:val="005D5A36"/>
    <w:rsid w:val="005D72A4"/>
    <w:rsid w:val="005E0DD2"/>
    <w:rsid w:val="005F05CC"/>
    <w:rsid w:val="005F65DE"/>
    <w:rsid w:val="00603506"/>
    <w:rsid w:val="006315B5"/>
    <w:rsid w:val="00631765"/>
    <w:rsid w:val="006352F2"/>
    <w:rsid w:val="00642AE0"/>
    <w:rsid w:val="0065562F"/>
    <w:rsid w:val="0066225A"/>
    <w:rsid w:val="00670FFF"/>
    <w:rsid w:val="006767A9"/>
    <w:rsid w:val="00680A66"/>
    <w:rsid w:val="00681391"/>
    <w:rsid w:val="006846A3"/>
    <w:rsid w:val="006A09EC"/>
    <w:rsid w:val="006A12AC"/>
    <w:rsid w:val="006A194A"/>
    <w:rsid w:val="006A2162"/>
    <w:rsid w:val="006B1906"/>
    <w:rsid w:val="006B3C81"/>
    <w:rsid w:val="006B4B90"/>
    <w:rsid w:val="006B6495"/>
    <w:rsid w:val="006B658C"/>
    <w:rsid w:val="006C1FA6"/>
    <w:rsid w:val="006D2674"/>
    <w:rsid w:val="006E38D0"/>
    <w:rsid w:val="006E465B"/>
    <w:rsid w:val="006E48BC"/>
    <w:rsid w:val="006F70BF"/>
    <w:rsid w:val="007064B1"/>
    <w:rsid w:val="00716B1D"/>
    <w:rsid w:val="007248EC"/>
    <w:rsid w:val="00731150"/>
    <w:rsid w:val="0073431C"/>
    <w:rsid w:val="00736DCC"/>
    <w:rsid w:val="00741855"/>
    <w:rsid w:val="00741C31"/>
    <w:rsid w:val="00742B73"/>
    <w:rsid w:val="00750A13"/>
    <w:rsid w:val="00751251"/>
    <w:rsid w:val="007610E7"/>
    <w:rsid w:val="007636AE"/>
    <w:rsid w:val="00771F7E"/>
    <w:rsid w:val="00773E9C"/>
    <w:rsid w:val="00776F6B"/>
    <w:rsid w:val="00777694"/>
    <w:rsid w:val="00786A7E"/>
    <w:rsid w:val="007A0802"/>
    <w:rsid w:val="007A4EED"/>
    <w:rsid w:val="007B1FCA"/>
    <w:rsid w:val="007C2C12"/>
    <w:rsid w:val="007C3CFA"/>
    <w:rsid w:val="007E0E8B"/>
    <w:rsid w:val="007E3936"/>
    <w:rsid w:val="007E5294"/>
    <w:rsid w:val="007F08CA"/>
    <w:rsid w:val="007F5B87"/>
    <w:rsid w:val="007F76DB"/>
    <w:rsid w:val="007F7B1B"/>
    <w:rsid w:val="007F7FC3"/>
    <w:rsid w:val="0080238B"/>
    <w:rsid w:val="00810482"/>
    <w:rsid w:val="00817568"/>
    <w:rsid w:val="008204AC"/>
    <w:rsid w:val="008261C2"/>
    <w:rsid w:val="00830D96"/>
    <w:rsid w:val="00837F43"/>
    <w:rsid w:val="008417E8"/>
    <w:rsid w:val="00841808"/>
    <w:rsid w:val="00844AC1"/>
    <w:rsid w:val="0085569D"/>
    <w:rsid w:val="00855B59"/>
    <w:rsid w:val="00857D84"/>
    <w:rsid w:val="008657CB"/>
    <w:rsid w:val="0088384B"/>
    <w:rsid w:val="00893E53"/>
    <w:rsid w:val="008A1137"/>
    <w:rsid w:val="008A1788"/>
    <w:rsid w:val="008A4185"/>
    <w:rsid w:val="008A6552"/>
    <w:rsid w:val="008B4E93"/>
    <w:rsid w:val="008C5F1C"/>
    <w:rsid w:val="008D6696"/>
    <w:rsid w:val="008D691B"/>
    <w:rsid w:val="008D6ACC"/>
    <w:rsid w:val="008D7AF0"/>
    <w:rsid w:val="008E32DD"/>
    <w:rsid w:val="008F4626"/>
    <w:rsid w:val="009004DF"/>
    <w:rsid w:val="00904AA5"/>
    <w:rsid w:val="00937883"/>
    <w:rsid w:val="00944079"/>
    <w:rsid w:val="0094798E"/>
    <w:rsid w:val="00951718"/>
    <w:rsid w:val="00960962"/>
    <w:rsid w:val="00972CE0"/>
    <w:rsid w:val="009A3D30"/>
    <w:rsid w:val="009A7E73"/>
    <w:rsid w:val="009B7D42"/>
    <w:rsid w:val="009D6348"/>
    <w:rsid w:val="009E613F"/>
    <w:rsid w:val="009F042B"/>
    <w:rsid w:val="00A03FD6"/>
    <w:rsid w:val="00A10369"/>
    <w:rsid w:val="00A116A8"/>
    <w:rsid w:val="00A22AE9"/>
    <w:rsid w:val="00A26758"/>
    <w:rsid w:val="00A26D0E"/>
    <w:rsid w:val="00A278E9"/>
    <w:rsid w:val="00A31FA4"/>
    <w:rsid w:val="00A3451F"/>
    <w:rsid w:val="00A36268"/>
    <w:rsid w:val="00A370C8"/>
    <w:rsid w:val="00A40B2C"/>
    <w:rsid w:val="00A53430"/>
    <w:rsid w:val="00A5493F"/>
    <w:rsid w:val="00A55702"/>
    <w:rsid w:val="00A658F9"/>
    <w:rsid w:val="00A66D2B"/>
    <w:rsid w:val="00A870AD"/>
    <w:rsid w:val="00A9645C"/>
    <w:rsid w:val="00AB2A33"/>
    <w:rsid w:val="00AC1275"/>
    <w:rsid w:val="00AC3C6E"/>
    <w:rsid w:val="00AC5E82"/>
    <w:rsid w:val="00AC7395"/>
    <w:rsid w:val="00AD4736"/>
    <w:rsid w:val="00AD690F"/>
    <w:rsid w:val="00AD69DD"/>
    <w:rsid w:val="00AE3335"/>
    <w:rsid w:val="00AF41D1"/>
    <w:rsid w:val="00B01623"/>
    <w:rsid w:val="00B033DF"/>
    <w:rsid w:val="00B04E26"/>
    <w:rsid w:val="00B07CEE"/>
    <w:rsid w:val="00B12661"/>
    <w:rsid w:val="00B12807"/>
    <w:rsid w:val="00B16379"/>
    <w:rsid w:val="00B16E8B"/>
    <w:rsid w:val="00B1714C"/>
    <w:rsid w:val="00B20C6C"/>
    <w:rsid w:val="00B357E9"/>
    <w:rsid w:val="00B4164D"/>
    <w:rsid w:val="00B425C1"/>
    <w:rsid w:val="00B535DF"/>
    <w:rsid w:val="00B606BA"/>
    <w:rsid w:val="00B627B9"/>
    <w:rsid w:val="00B66817"/>
    <w:rsid w:val="00B71E3B"/>
    <w:rsid w:val="00B721D5"/>
    <w:rsid w:val="00B81CB5"/>
    <w:rsid w:val="00B8351F"/>
    <w:rsid w:val="00B84BEC"/>
    <w:rsid w:val="00B86C44"/>
    <w:rsid w:val="00B96474"/>
    <w:rsid w:val="00B9785B"/>
    <w:rsid w:val="00BA7D44"/>
    <w:rsid w:val="00BD2B93"/>
    <w:rsid w:val="00BD6EF3"/>
    <w:rsid w:val="00BE5270"/>
    <w:rsid w:val="00BE69C3"/>
    <w:rsid w:val="00BE788A"/>
    <w:rsid w:val="00C057D0"/>
    <w:rsid w:val="00C1165E"/>
    <w:rsid w:val="00C22074"/>
    <w:rsid w:val="00C2377B"/>
    <w:rsid w:val="00C3693C"/>
    <w:rsid w:val="00C412F3"/>
    <w:rsid w:val="00C43F3E"/>
    <w:rsid w:val="00C53F6F"/>
    <w:rsid w:val="00C5489D"/>
    <w:rsid w:val="00C71759"/>
    <w:rsid w:val="00C73D98"/>
    <w:rsid w:val="00C8199C"/>
    <w:rsid w:val="00C84112"/>
    <w:rsid w:val="00C841EB"/>
    <w:rsid w:val="00C8665F"/>
    <w:rsid w:val="00C917B5"/>
    <w:rsid w:val="00C922E4"/>
    <w:rsid w:val="00C94DFA"/>
    <w:rsid w:val="00CA04FA"/>
    <w:rsid w:val="00CA298C"/>
    <w:rsid w:val="00CB2BF9"/>
    <w:rsid w:val="00CB4300"/>
    <w:rsid w:val="00CB454E"/>
    <w:rsid w:val="00CC030E"/>
    <w:rsid w:val="00CC68C4"/>
    <w:rsid w:val="00CC79A4"/>
    <w:rsid w:val="00CD0FDE"/>
    <w:rsid w:val="00CE0E68"/>
    <w:rsid w:val="00CE5BA4"/>
    <w:rsid w:val="00D20B32"/>
    <w:rsid w:val="00D23527"/>
    <w:rsid w:val="00D25120"/>
    <w:rsid w:val="00D30815"/>
    <w:rsid w:val="00D419CB"/>
    <w:rsid w:val="00D44E3F"/>
    <w:rsid w:val="00D525F5"/>
    <w:rsid w:val="00D535D0"/>
    <w:rsid w:val="00D703ED"/>
    <w:rsid w:val="00D81703"/>
    <w:rsid w:val="00D82929"/>
    <w:rsid w:val="00D84214"/>
    <w:rsid w:val="00D86DCF"/>
    <w:rsid w:val="00D943E5"/>
    <w:rsid w:val="00D948FA"/>
    <w:rsid w:val="00DA043A"/>
    <w:rsid w:val="00DA1AE0"/>
    <w:rsid w:val="00DA2629"/>
    <w:rsid w:val="00DB1C4E"/>
    <w:rsid w:val="00DC29DD"/>
    <w:rsid w:val="00DC7C0E"/>
    <w:rsid w:val="00DE3B38"/>
    <w:rsid w:val="00DF16BF"/>
    <w:rsid w:val="00DF2A6A"/>
    <w:rsid w:val="00DF3B72"/>
    <w:rsid w:val="00E22C9B"/>
    <w:rsid w:val="00E2489D"/>
    <w:rsid w:val="00E26520"/>
    <w:rsid w:val="00E31543"/>
    <w:rsid w:val="00E343A3"/>
    <w:rsid w:val="00E36CAB"/>
    <w:rsid w:val="00E43AC7"/>
    <w:rsid w:val="00E51BFA"/>
    <w:rsid w:val="00E60D16"/>
    <w:rsid w:val="00E621A3"/>
    <w:rsid w:val="00E833BC"/>
    <w:rsid w:val="00E8580E"/>
    <w:rsid w:val="00E95BB1"/>
    <w:rsid w:val="00EA1B76"/>
    <w:rsid w:val="00EA77D7"/>
    <w:rsid w:val="00EB0DF3"/>
    <w:rsid w:val="00EC09B9"/>
    <w:rsid w:val="00EC5597"/>
    <w:rsid w:val="00EC58C5"/>
    <w:rsid w:val="00ED048C"/>
    <w:rsid w:val="00EE6770"/>
    <w:rsid w:val="00EE6C40"/>
    <w:rsid w:val="00EF38AF"/>
    <w:rsid w:val="00EF71BA"/>
    <w:rsid w:val="00F055F8"/>
    <w:rsid w:val="00F10CB4"/>
    <w:rsid w:val="00F11B3D"/>
    <w:rsid w:val="00F14763"/>
    <w:rsid w:val="00F16212"/>
    <w:rsid w:val="00F16602"/>
    <w:rsid w:val="00F25B80"/>
    <w:rsid w:val="00F2685F"/>
    <w:rsid w:val="00F309E6"/>
    <w:rsid w:val="00F350C8"/>
    <w:rsid w:val="00F40CD4"/>
    <w:rsid w:val="00F5074B"/>
    <w:rsid w:val="00F55F1B"/>
    <w:rsid w:val="00F60634"/>
    <w:rsid w:val="00F76DFD"/>
    <w:rsid w:val="00F8654D"/>
    <w:rsid w:val="00F900C9"/>
    <w:rsid w:val="00F92C96"/>
    <w:rsid w:val="00FA0D4E"/>
    <w:rsid w:val="00FB0753"/>
    <w:rsid w:val="00FB1C74"/>
    <w:rsid w:val="00FB5CC8"/>
    <w:rsid w:val="00FC2CD0"/>
    <w:rsid w:val="00FD0594"/>
    <w:rsid w:val="00FF4FFF"/>
    <w:rsid w:val="00FF7A2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aliases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nnexNotitle">
    <w:name w:val="Annex_No &amp; title"/>
    <w:basedOn w:val="Normal"/>
    <w:next w:val="Normal"/>
    <w:rsid w:val="00837F4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aliases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nnexNotitle">
    <w:name w:val="Annex_No &amp; title"/>
    <w:basedOn w:val="Normal"/>
    <w:next w:val="Normal"/>
    <w:rsid w:val="00837F4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CCC41-CBF2-4EB4-8C4B-5130945C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41</TotalTime>
  <Pages>5</Pages>
  <Words>1061</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S12-WCIT12-C-0016!!MSW-A</vt:lpstr>
    </vt:vector>
  </TitlesOfParts>
  <Manager>General Secretariat - Pool</Manager>
  <Company>International Telecommunication Union (ITU)</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S12-WCIT12-C-0016!!MSW-A</dc:title>
  <dc:subject>World Conference on International Telecommunications (WCIT)</dc:subject>
  <dc:creator>Documents Proposals Manager (DPM)</dc:creator>
  <cp:keywords>DPM_v5.2.25.0_prod</cp:keywords>
  <cp:lastModifiedBy>Hany, Samuel</cp:lastModifiedBy>
  <cp:revision>26</cp:revision>
  <cp:lastPrinted>2012-11-08T07:34:00Z</cp:lastPrinted>
  <dcterms:created xsi:type="dcterms:W3CDTF">2012-11-07T09:11:00Z</dcterms:created>
  <dcterms:modified xsi:type="dcterms:W3CDTF">2012-11-08T08:02:00Z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