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E22C9B" w:rsidRDefault="00E22C9B" w:rsidP="00104E6B">
            <w:pPr>
              <w:pStyle w:val="LOGO"/>
              <w:framePr w:hSpace="0" w:wrap="auto" w:xAlign="left" w:yAlign="inline"/>
              <w:rPr>
                <w:rtl/>
              </w:rPr>
            </w:pPr>
            <w:r w:rsidRPr="00E22C9B">
              <w:rPr>
                <w:rFonts w:ascii="Calibri" w:eastAsia="ヒラギノ角ゴ Pro W3" w:hAnsi="Calibri" w:hint="cs"/>
                <w:w w:val="110"/>
                <w:rtl/>
              </w:rPr>
              <w:t>المؤتمر العالمي للاتصالات الدولية</w:t>
            </w:r>
            <w:r w:rsidR="00104E6B">
              <w:rPr>
                <w:rFonts w:ascii="Calibri" w:eastAsia="ヒラギノ角ゴ Pro W3" w:hAnsi="Calibri"/>
                <w:w w:val="110"/>
                <w:rtl/>
              </w:rPr>
              <w:br/>
            </w:r>
            <w:r w:rsidRPr="00E22C9B">
              <w:rPr>
                <w:rFonts w:ascii="Calibri" w:eastAsia="ヒラギノ角ゴ Pro W3" w:hAnsi="Calibri" w:hint="cs"/>
                <w:w w:val="110"/>
                <w:rtl/>
              </w:rPr>
              <w:t xml:space="preserve">لعام </w:t>
            </w:r>
            <w:r w:rsidRPr="00E22C9B">
              <w:rPr>
                <w:rFonts w:ascii="Calibri" w:eastAsia="ヒラギノ角ゴ Pro W3" w:hAnsi="Calibri"/>
                <w:w w:val="110"/>
                <w:sz w:val="28"/>
                <w:szCs w:val="28"/>
              </w:rPr>
              <w:t>2012</w:t>
            </w:r>
            <w:r w:rsidRPr="00E22C9B">
              <w:rPr>
                <w:rFonts w:ascii="Calibri" w:eastAsia="ヒラギノ角ゴ Pro W3" w:hAnsi="Calibri" w:hint="cs"/>
                <w:w w:val="110"/>
                <w:sz w:val="28"/>
                <w:szCs w:val="28"/>
                <w:rtl/>
              </w:rPr>
              <w:t xml:space="preserve"> </w:t>
            </w:r>
            <w:r w:rsidRPr="00E22C9B">
              <w:rPr>
                <w:rFonts w:ascii="Calibri" w:hAnsi="Calibri"/>
                <w:w w:val="110"/>
                <w:sz w:val="28"/>
                <w:szCs w:val="28"/>
              </w:rPr>
              <w:t>(WCIT-12)</w:t>
            </w:r>
            <w:r w:rsidRPr="00E22C9B">
              <w:rPr>
                <w:rFonts w:ascii="Calibri" w:hAnsi="Calibri"/>
                <w:w w:val="110"/>
              </w:rPr>
              <w:br/>
            </w:r>
            <w:r w:rsidRPr="00E22C9B">
              <w:rPr>
                <w:rFonts w:hint="cs"/>
                <w:sz w:val="30"/>
                <w:szCs w:val="30"/>
                <w:rtl/>
              </w:rPr>
              <w:t xml:space="preserve"> </w:t>
            </w:r>
            <w:r w:rsidRPr="00E22C9B">
              <w:rPr>
                <w:rFonts w:hint="cs"/>
                <w:sz w:val="34"/>
                <w:szCs w:val="34"/>
                <w:rtl/>
              </w:rPr>
              <w:t>دبي،</w:t>
            </w:r>
            <w:r w:rsidRPr="00E22C9B">
              <w:rPr>
                <w:rFonts w:hint="cs"/>
                <w:sz w:val="30"/>
                <w:szCs w:val="30"/>
                <w:rtl/>
              </w:rPr>
              <w:t xml:space="preserve"> </w:t>
            </w:r>
            <w:r w:rsidRPr="00E22C9B">
              <w:rPr>
                <w:rFonts w:asciiTheme="minorHAnsi" w:hAnsiTheme="minorHAnsi" w:cstheme="minorHAnsi"/>
                <w:sz w:val="25"/>
                <w:szCs w:val="25"/>
              </w:rPr>
              <w:t>14-3</w:t>
            </w:r>
            <w:r w:rsidRPr="00E22C9B">
              <w:rPr>
                <w:rFonts w:asciiTheme="minorHAnsi" w:hAnsiTheme="minorHAnsi" w:cstheme="minorHAnsi"/>
                <w:sz w:val="25"/>
                <w:szCs w:val="25"/>
                <w:rtl/>
              </w:rPr>
              <w:t xml:space="preserve"> </w:t>
            </w:r>
            <w:r w:rsidR="00FA4B0B">
              <w:rPr>
                <w:rFonts w:hint="cs"/>
                <w:sz w:val="34"/>
                <w:szCs w:val="34"/>
                <w:rtl/>
              </w:rPr>
              <w:t>ديسمبر</w:t>
            </w:r>
            <w:r w:rsidRPr="00E22C9B">
              <w:rPr>
                <w:rFonts w:hint="cs"/>
                <w:sz w:val="30"/>
                <w:szCs w:val="30"/>
                <w:rtl/>
              </w:rPr>
              <w:t xml:space="preserve"> </w:t>
            </w:r>
            <w:r w:rsidRPr="00E22C9B">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47423910" wp14:editId="5294039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280E04" w:rsidTr="00336C1A">
        <w:trPr>
          <w:cantSplit/>
        </w:trPr>
        <w:tc>
          <w:tcPr>
            <w:tcW w:w="6770" w:type="dxa"/>
          </w:tcPr>
          <w:p w:rsidR="00280E04" w:rsidRPr="00641FF4" w:rsidRDefault="00280E04" w:rsidP="003F7D7C">
            <w:pPr>
              <w:pStyle w:val="Committee"/>
              <w:framePr w:hSpace="0" w:wrap="auto" w:yAlign="inline"/>
              <w:rPr>
                <w:rtl/>
              </w:rPr>
            </w:pPr>
            <w:r w:rsidRPr="00641FF4">
              <w:rPr>
                <w:rFonts w:eastAsia="SimSun"/>
                <w:rtl/>
              </w:rPr>
              <w:t>الجلسة العامة</w:t>
            </w:r>
          </w:p>
        </w:tc>
        <w:tc>
          <w:tcPr>
            <w:tcW w:w="3119" w:type="dxa"/>
            <w:vAlign w:val="center"/>
          </w:tcPr>
          <w:p w:rsidR="00280E04" w:rsidRPr="00641FF4" w:rsidRDefault="00280E04" w:rsidP="00641FF4">
            <w:pPr>
              <w:pStyle w:val="Adress"/>
              <w:framePr w:hSpace="0" w:wrap="auto" w:xAlign="left" w:yAlign="inline"/>
              <w:rPr>
                <w:rFonts w:ascii="Calibri" w:hAnsi="Calibri"/>
                <w:sz w:val="22"/>
                <w:rtl/>
                <w:lang w:bidi="ar-SY"/>
              </w:rPr>
            </w:pPr>
            <w:r w:rsidRPr="00641FF4">
              <w:rPr>
                <w:rFonts w:ascii="Calibri" w:hAnsi="Calibri"/>
                <w:sz w:val="22"/>
                <w:rtl/>
              </w:rPr>
              <w:t>الوثيقة</w:t>
            </w:r>
            <w:r w:rsidR="00641FF4" w:rsidRPr="00641FF4">
              <w:rPr>
                <w:rFonts w:ascii="Calibri" w:hAnsi="Calibri" w:hint="cs"/>
                <w:sz w:val="22"/>
                <w:rtl/>
              </w:rPr>
              <w:t xml:space="preserve"> </w:t>
            </w:r>
            <w:r w:rsidR="00641FF4" w:rsidRPr="00641FF4">
              <w:rPr>
                <w:rFonts w:ascii="Calibri" w:hAnsi="Calibri"/>
                <w:sz w:val="22"/>
              </w:rPr>
              <w:t>8-A</w:t>
            </w:r>
          </w:p>
        </w:tc>
      </w:tr>
      <w:tr w:rsidR="00280E04" w:rsidTr="00336C1A">
        <w:trPr>
          <w:cantSplit/>
        </w:trPr>
        <w:tc>
          <w:tcPr>
            <w:tcW w:w="6770" w:type="dxa"/>
          </w:tcPr>
          <w:p w:rsidR="00280E04" w:rsidRPr="00641FF4" w:rsidRDefault="00280E04" w:rsidP="00336C1A">
            <w:pPr>
              <w:pStyle w:val="Adress"/>
              <w:framePr w:hSpace="0" w:wrap="auto" w:xAlign="left" w:yAlign="inline"/>
              <w:rPr>
                <w:rFonts w:ascii="Calibri" w:hAnsi="Calibri"/>
                <w:sz w:val="22"/>
                <w:rtl/>
              </w:rPr>
            </w:pPr>
          </w:p>
        </w:tc>
        <w:tc>
          <w:tcPr>
            <w:tcW w:w="3119" w:type="dxa"/>
            <w:vAlign w:val="center"/>
          </w:tcPr>
          <w:p w:rsidR="00280E04" w:rsidRPr="00641FF4" w:rsidRDefault="00641FF4" w:rsidP="00641FF4">
            <w:pPr>
              <w:pStyle w:val="Adress"/>
              <w:framePr w:hSpace="0" w:wrap="auto" w:xAlign="left" w:yAlign="inline"/>
              <w:rPr>
                <w:rFonts w:ascii="Calibri" w:hAnsi="Calibri"/>
                <w:sz w:val="22"/>
                <w:rtl/>
                <w:lang w:bidi="ar-SY"/>
              </w:rPr>
            </w:pPr>
            <w:r w:rsidRPr="00641FF4">
              <w:rPr>
                <w:rFonts w:ascii="Calibri" w:eastAsia="SimSun" w:hAnsi="Calibri"/>
                <w:sz w:val="22"/>
              </w:rPr>
              <w:t>3</w:t>
            </w:r>
            <w:r w:rsidR="00280E04" w:rsidRPr="00641FF4">
              <w:rPr>
                <w:rFonts w:ascii="Calibri" w:eastAsia="SimSun" w:hAnsi="Calibri"/>
                <w:sz w:val="22"/>
                <w:rtl/>
              </w:rPr>
              <w:t xml:space="preserve"> أغسطس </w:t>
            </w:r>
            <w:r w:rsidRPr="00641FF4">
              <w:rPr>
                <w:rFonts w:ascii="Calibri" w:eastAsia="SimSun" w:hAnsi="Calibri"/>
                <w:sz w:val="22"/>
              </w:rPr>
              <w:t>2012</w:t>
            </w:r>
          </w:p>
        </w:tc>
      </w:tr>
      <w:tr w:rsidR="00280E04" w:rsidTr="00336C1A">
        <w:trPr>
          <w:cantSplit/>
        </w:trPr>
        <w:tc>
          <w:tcPr>
            <w:tcW w:w="6770" w:type="dxa"/>
          </w:tcPr>
          <w:p w:rsidR="00280E04" w:rsidRPr="00641FF4" w:rsidRDefault="00280E04" w:rsidP="00336C1A">
            <w:pPr>
              <w:pStyle w:val="Adress"/>
              <w:framePr w:hSpace="0" w:wrap="auto" w:xAlign="left" w:yAlign="inline"/>
              <w:rPr>
                <w:rFonts w:ascii="Calibri" w:eastAsia="SimSun" w:hAnsi="Calibri"/>
                <w:sz w:val="22"/>
                <w:rtl/>
              </w:rPr>
            </w:pPr>
          </w:p>
        </w:tc>
        <w:tc>
          <w:tcPr>
            <w:tcW w:w="3119" w:type="dxa"/>
            <w:vAlign w:val="center"/>
          </w:tcPr>
          <w:p w:rsidR="00280E04" w:rsidRPr="00641FF4" w:rsidRDefault="00280E04" w:rsidP="00336C1A">
            <w:pPr>
              <w:pStyle w:val="Adress"/>
              <w:framePr w:hSpace="0" w:wrap="auto" w:xAlign="left" w:yAlign="inline"/>
              <w:rPr>
                <w:rFonts w:ascii="Calibri" w:eastAsia="SimSun" w:hAnsi="Calibri"/>
                <w:sz w:val="22"/>
              </w:rPr>
            </w:pPr>
            <w:r w:rsidRPr="00641FF4">
              <w:rPr>
                <w:rFonts w:ascii="Calibri" w:eastAsia="SimSun" w:hAnsi="Calibri"/>
                <w:sz w:val="22"/>
                <w:rtl/>
              </w:rPr>
              <w:t>الأصل: بالإنكليزية</w:t>
            </w:r>
          </w:p>
        </w:tc>
      </w:tr>
      <w:tr w:rsidR="00280E04" w:rsidTr="00336C1A">
        <w:trPr>
          <w:cantSplit/>
        </w:trPr>
        <w:tc>
          <w:tcPr>
            <w:tcW w:w="9889" w:type="dxa"/>
            <w:gridSpan w:val="2"/>
          </w:tcPr>
          <w:p w:rsidR="00280E04" w:rsidRDefault="00280E04" w:rsidP="00336C1A">
            <w:pPr>
              <w:pStyle w:val="Adress"/>
              <w:framePr w:hSpace="0" w:wrap="auto" w:xAlign="left" w:yAlign="inline"/>
              <w:rPr>
                <w:rFonts w:eastAsia="SimSun" w:hint="eastAsia"/>
              </w:rPr>
            </w:pP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جمه</w:t>
            </w:r>
            <w:bookmarkStart w:id="1" w:name="_GoBack"/>
            <w:bookmarkEnd w:id="1"/>
            <w:r w:rsidRPr="008204AC">
              <w:rPr>
                <w:rFonts w:ascii="Traditional Arabic" w:eastAsia="SimSun" w:hAnsi="Traditional Arabic"/>
                <w:rtl/>
              </w:rPr>
              <w:t>ورية إندونيسيا</w:t>
            </w:r>
          </w:p>
        </w:tc>
      </w:tr>
      <w:tr w:rsidR="00280E04" w:rsidTr="00336C1A">
        <w:trPr>
          <w:cantSplit/>
        </w:trPr>
        <w:tc>
          <w:tcPr>
            <w:tcW w:w="9889" w:type="dxa"/>
            <w:gridSpan w:val="2"/>
          </w:tcPr>
          <w:p w:rsidR="00280E04" w:rsidRPr="00BD6EF3" w:rsidRDefault="00280E04" w:rsidP="00336C1A">
            <w:pPr>
              <w:pStyle w:val="Title1"/>
              <w:spacing w:before="240"/>
              <w:rPr>
                <w:rtl/>
              </w:rPr>
            </w:pPr>
            <w:r w:rsidRPr="008204AC">
              <w:rPr>
                <w:rFonts w:ascii="Traditional Arabic" w:eastAsia="SimSun" w:hAnsi="Traditional Arabic"/>
                <w:rtl/>
              </w:rPr>
              <w:t>مقترحات بشأن أعمال المؤتمر</w:t>
            </w:r>
          </w:p>
        </w:tc>
      </w:tr>
      <w:tr w:rsidR="00280E04" w:rsidTr="00336C1A">
        <w:trPr>
          <w:cantSplit/>
        </w:trPr>
        <w:tc>
          <w:tcPr>
            <w:tcW w:w="9889" w:type="dxa"/>
            <w:gridSpan w:val="2"/>
          </w:tcPr>
          <w:p w:rsidR="00280E04" w:rsidRPr="00641FF4" w:rsidRDefault="00280E04" w:rsidP="00A078B5">
            <w:pPr>
              <w:pStyle w:val="Title2"/>
              <w:rPr>
                <w:rFonts w:ascii="Calibri" w:hAnsi="Calibri"/>
                <w:rtl/>
              </w:rPr>
            </w:pPr>
            <w:r w:rsidRPr="00641FF4">
              <w:rPr>
                <w:rFonts w:ascii="Calibri" w:eastAsia="SimSun" w:hAnsi="Calibri"/>
                <w:rtl/>
              </w:rPr>
              <w:t xml:space="preserve">مقترح لمراجعة المادتين </w:t>
            </w:r>
            <w:r w:rsidR="00641FF4" w:rsidRPr="00641FF4">
              <w:rPr>
                <w:rFonts w:ascii="Calibri" w:eastAsia="SimSun" w:hAnsi="Calibri"/>
              </w:rPr>
              <w:t>1</w:t>
            </w:r>
            <w:r w:rsidRPr="00641FF4">
              <w:rPr>
                <w:rFonts w:ascii="Calibri" w:eastAsia="SimSun" w:hAnsi="Calibri"/>
                <w:rtl/>
              </w:rPr>
              <w:t xml:space="preserve"> و</w:t>
            </w:r>
            <w:r w:rsidR="00641FF4" w:rsidRPr="00641FF4">
              <w:rPr>
                <w:rFonts w:ascii="Calibri" w:eastAsia="SimSun" w:hAnsi="Calibri"/>
              </w:rPr>
              <w:t>3</w:t>
            </w:r>
            <w:r w:rsidRPr="00641FF4">
              <w:rPr>
                <w:rFonts w:ascii="Calibri" w:eastAsia="SimSun" w:hAnsi="Calibri"/>
                <w:rtl/>
              </w:rPr>
              <w:t xml:space="preserve"> من أجل "بناء الثقة والأمن</w:t>
            </w:r>
            <w:r w:rsidR="00A078B5">
              <w:rPr>
                <w:rFonts w:ascii="Calibri" w:eastAsia="SimSun" w:hAnsi="Calibri" w:hint="cs"/>
                <w:rtl/>
              </w:rPr>
              <w:br/>
            </w:r>
            <w:r w:rsidRPr="00641FF4">
              <w:rPr>
                <w:rFonts w:ascii="Calibri" w:eastAsia="SimSun" w:hAnsi="Calibri"/>
                <w:rtl/>
              </w:rPr>
              <w:t>في استعمال تكنولوجيا المعلومات والاتصالات"</w:t>
            </w:r>
          </w:p>
        </w:tc>
      </w:tr>
    </w:tbl>
    <w:p w:rsidR="00641FF4" w:rsidRDefault="00641FF4" w:rsidP="00E22C9B">
      <w:pPr>
        <w:rPr>
          <w:rtl/>
        </w:rPr>
      </w:pPr>
    </w:p>
    <w:p w:rsidR="00A078B5" w:rsidRDefault="00A078B5" w:rsidP="00A078B5">
      <w:pPr>
        <w:pStyle w:val="Headingb"/>
        <w:rPr>
          <w:rtl/>
        </w:rPr>
      </w:pPr>
      <w:r>
        <w:rPr>
          <w:rFonts w:hint="cs"/>
          <w:rtl/>
        </w:rPr>
        <w:t>مقدمة</w:t>
      </w:r>
    </w:p>
    <w:p w:rsidR="00641FF4" w:rsidRDefault="00641FF4" w:rsidP="00641FF4">
      <w:pPr>
        <w:rPr>
          <w:rtl/>
          <w:lang w:bidi="ar-EG"/>
        </w:rPr>
      </w:pPr>
      <w:r>
        <w:rPr>
          <w:rFonts w:hint="cs"/>
          <w:noProof/>
          <w:rtl/>
          <w:lang w:bidi="ar-EG"/>
        </w:rPr>
        <w:t xml:space="preserve">يعترف دستور الاتحاد في مقدمته اعترافاً كاملاً بالحق السيادي لكل بلد في تنظيم أطره القانونية للأمن السيبراني، </w:t>
      </w:r>
      <w:r>
        <w:rPr>
          <w:rFonts w:hint="cs"/>
          <w:rtl/>
          <w:lang w:bidi="ar-EG"/>
        </w:rPr>
        <w:t>وأعيد تأكيد هذا الاعتراف في مقدمة لوائح الاتصالات الدولية الحالية.</w:t>
      </w:r>
    </w:p>
    <w:p w:rsidR="00641FF4" w:rsidRDefault="00641FF4" w:rsidP="00641FF4">
      <w:pPr>
        <w:rPr>
          <w:rtl/>
          <w:lang w:bidi="ar-EG"/>
        </w:rPr>
      </w:pPr>
      <w:r>
        <w:rPr>
          <w:rFonts w:hint="cs"/>
          <w:rtl/>
          <w:lang w:bidi="ar-EG"/>
        </w:rPr>
        <w:t>وسيكون من مصلحة المجتمع الدولي أن يخضع الحق السيادي لكل بلد للتنسيق على المستوى التنظيمي بحيث يتم التوصل إلى حل مقبول وعادل لجميع أصحاب المصلحة. وينبغي إيلاء الاهتمام الواجب لاستفادة مقدمي الخدمات والأطراف المعنية وأصحاب المصلحة الآخرين من كل تطور في مجال تكنولوجيا المعلومات والاتصالات (على الصعيد الوطني و/أو الصعيد العالمي) يكون له آثار عالمية مباشرة أو غير مباشرة. وإن البحث عن فرص الأعمال التجارية دون الاهتمام بضمان التوزيع العادل للإيرادات و/أو الإخفاق في توفير تدابير أمنية مقبولة والاعتراف قدر المستطاع بالأحكام التنظيمية الوطنية المختلفة سوف يؤدي، من جملة أمور، إلى إضعاف روح التعاون المتبادل مما يضر بالأمن السيبراني العالمي ويؤثر سلباً على الجهود المبذولة لمكافحة الجريمة السيبرانية.</w:t>
      </w:r>
    </w:p>
    <w:p w:rsidR="00641FF4" w:rsidRPr="003676EF" w:rsidRDefault="00641FF4" w:rsidP="00A078B5">
      <w:pPr>
        <w:pStyle w:val="Headingb"/>
        <w:rPr>
          <w:rtl/>
        </w:rPr>
      </w:pPr>
      <w:r w:rsidRPr="003676EF">
        <w:rPr>
          <w:rFonts w:hint="cs"/>
          <w:rtl/>
        </w:rPr>
        <w:t xml:space="preserve">الحاجة الملحة </w:t>
      </w:r>
      <w:r>
        <w:rPr>
          <w:rFonts w:hint="cs"/>
          <w:rtl/>
        </w:rPr>
        <w:t xml:space="preserve">إلى </w:t>
      </w:r>
      <w:r w:rsidRPr="003676EF">
        <w:rPr>
          <w:rFonts w:hint="cs"/>
          <w:rtl/>
        </w:rPr>
        <w:t>تعزيز الحلقات الأضعف في السلسلة العالمية</w:t>
      </w:r>
    </w:p>
    <w:p w:rsidR="00641FF4" w:rsidRDefault="00641FF4" w:rsidP="00641FF4">
      <w:pPr>
        <w:rPr>
          <w:rtl/>
          <w:lang w:bidi="ar-EG"/>
        </w:rPr>
      </w:pPr>
      <w:r>
        <w:rPr>
          <w:rFonts w:hint="cs"/>
          <w:rtl/>
          <w:lang w:bidi="ar-EG"/>
        </w:rPr>
        <w:t>ندرك جميعاً أن قوة السلسلة العالمية وأمنها يعتمدان على قوة الحلقات الأضعف وأمنها. ومن ثم، تمثل البلدان النامية وخاصة أقل البلدان نمواً القاسم المشترك الأصغر.</w:t>
      </w:r>
    </w:p>
    <w:p w:rsidR="00641FF4" w:rsidRDefault="00641FF4" w:rsidP="00641FF4">
      <w:pPr>
        <w:rPr>
          <w:rtl/>
          <w:lang w:bidi="ar-EG"/>
        </w:rPr>
      </w:pPr>
      <w:r>
        <w:rPr>
          <w:rFonts w:hint="cs"/>
          <w:rtl/>
          <w:lang w:bidi="ar-EG"/>
        </w:rPr>
        <w:t xml:space="preserve">يتعين إضافة نص تنظيمي إلى لوائح الاتصالات الدولية الجديدة يبين على الأقل الروح النبيلة للتعاون المتبادل الذي ينبغي أن يسود بين الإدارات ومقدمي الخدمات وأصحاب المصلحة الآخرين لتعزيز الأمن السيبراني العالمي ومكافحة الجريمة السيبرانية. </w:t>
      </w:r>
    </w:p>
    <w:p w:rsidR="00641FF4" w:rsidRPr="00104E6B" w:rsidRDefault="00641FF4" w:rsidP="00104E6B">
      <w:pPr>
        <w:rPr>
          <w:spacing w:val="-2"/>
          <w:rtl/>
          <w:lang w:bidi="ar-EG"/>
        </w:rPr>
      </w:pPr>
      <w:r w:rsidRPr="00104E6B">
        <w:rPr>
          <w:rFonts w:hint="cs"/>
          <w:spacing w:val="-2"/>
          <w:rtl/>
          <w:lang w:bidi="ar-EG"/>
        </w:rPr>
        <w:lastRenderedPageBreak/>
        <w:t>وهذا التوجه النبيل، لن يقتصر على دعم الجهود التي تبذلها البلدان وإنما سيشجع أيضاً الروح المطلوبة لتعزيز تنفيذ القرار</w:t>
      </w:r>
      <w:r w:rsidR="00E51041" w:rsidRPr="00104E6B">
        <w:rPr>
          <w:rFonts w:hint="eastAsia"/>
          <w:spacing w:val="-2"/>
          <w:rtl/>
          <w:lang w:bidi="ar-EG"/>
        </w:rPr>
        <w:t> </w:t>
      </w:r>
      <w:r w:rsidRPr="00104E6B">
        <w:rPr>
          <w:spacing w:val="-2"/>
          <w:lang w:bidi="ar-EG"/>
        </w:rPr>
        <w:t>130</w:t>
      </w:r>
      <w:r w:rsidR="00104E6B" w:rsidRPr="00104E6B">
        <w:rPr>
          <w:rFonts w:hint="eastAsia"/>
          <w:spacing w:val="-2"/>
          <w:rtl/>
          <w:lang w:bidi="ar-EG"/>
        </w:rPr>
        <w:t> </w:t>
      </w:r>
      <w:r w:rsidRPr="00104E6B">
        <w:rPr>
          <w:rFonts w:hint="cs"/>
          <w:spacing w:val="-2"/>
          <w:rtl/>
          <w:lang w:bidi="ar-EG"/>
        </w:rPr>
        <w:t xml:space="preserve">(المراجع في غوادالاخارا، </w:t>
      </w:r>
      <w:r w:rsidRPr="00104E6B">
        <w:rPr>
          <w:spacing w:val="-2"/>
          <w:lang w:bidi="ar-EG"/>
        </w:rPr>
        <w:t>(2010</w:t>
      </w:r>
      <w:r w:rsidRPr="00104E6B">
        <w:rPr>
          <w:rFonts w:hint="cs"/>
          <w:spacing w:val="-2"/>
          <w:rtl/>
          <w:lang w:bidi="ar-EG"/>
        </w:rPr>
        <w:t xml:space="preserve">، والقرارين </w:t>
      </w:r>
      <w:r w:rsidRPr="00104E6B">
        <w:rPr>
          <w:spacing w:val="-2"/>
          <w:lang w:bidi="ar-EG"/>
        </w:rPr>
        <w:t>63/55</w:t>
      </w:r>
      <w:r w:rsidRPr="00104E6B">
        <w:rPr>
          <w:rFonts w:hint="cs"/>
          <w:spacing w:val="-2"/>
          <w:rtl/>
          <w:lang w:bidi="ar-EG"/>
        </w:rPr>
        <w:t xml:space="preserve"> </w:t>
      </w:r>
      <w:r w:rsidRPr="00104E6B">
        <w:rPr>
          <w:spacing w:val="-2"/>
          <w:lang w:bidi="ar-EG"/>
        </w:rPr>
        <w:t>(2000)</w:t>
      </w:r>
      <w:r w:rsidRPr="00104E6B">
        <w:rPr>
          <w:rFonts w:hint="cs"/>
          <w:spacing w:val="-2"/>
          <w:rtl/>
          <w:lang w:bidi="ar-EG"/>
        </w:rPr>
        <w:t xml:space="preserve"> و</w:t>
      </w:r>
      <w:r w:rsidRPr="00104E6B">
        <w:rPr>
          <w:spacing w:val="-2"/>
          <w:lang w:bidi="ar-EG"/>
        </w:rPr>
        <w:t>121/56</w:t>
      </w:r>
      <w:r w:rsidRPr="00104E6B">
        <w:rPr>
          <w:rFonts w:hint="cs"/>
          <w:spacing w:val="-2"/>
          <w:rtl/>
          <w:lang w:bidi="ar-EG"/>
        </w:rPr>
        <w:t xml:space="preserve"> </w:t>
      </w:r>
      <w:r w:rsidRPr="00104E6B">
        <w:rPr>
          <w:spacing w:val="-2"/>
          <w:lang w:bidi="ar-EG"/>
        </w:rPr>
        <w:t>(2001)</w:t>
      </w:r>
      <w:r w:rsidRPr="00104E6B">
        <w:rPr>
          <w:rFonts w:hint="cs"/>
          <w:spacing w:val="-2"/>
          <w:rtl/>
          <w:lang w:bidi="ar-EG"/>
        </w:rPr>
        <w:t xml:space="preserve"> للأمم المتحدة بشأن مكافحة إساءة استعمال تكنولوجيا المعلومات والاتصالات لأغراض إجرامية حيث </w:t>
      </w:r>
      <w:r w:rsidR="00610DDE" w:rsidRPr="00104E6B">
        <w:rPr>
          <w:rFonts w:hint="cs"/>
          <w:spacing w:val="-2"/>
          <w:rtl/>
          <w:lang w:bidi="ar-EG"/>
        </w:rPr>
        <w:t xml:space="preserve">تعتبر </w:t>
      </w:r>
      <w:r w:rsidRPr="00104E6B">
        <w:rPr>
          <w:rFonts w:hint="cs"/>
          <w:spacing w:val="-2"/>
          <w:rtl/>
          <w:lang w:bidi="ar-EG"/>
        </w:rPr>
        <w:t>الحاجة إلى التعاون والتنسيق بين الدول بالغة الأهمية.</w:t>
      </w:r>
    </w:p>
    <w:p w:rsidR="00641FF4" w:rsidRDefault="00A078B5" w:rsidP="00A078B5">
      <w:pPr>
        <w:pStyle w:val="Headingb"/>
        <w:rPr>
          <w:rtl/>
        </w:rPr>
      </w:pPr>
      <w:r>
        <w:rPr>
          <w:rFonts w:hint="cs"/>
          <w:rtl/>
        </w:rPr>
        <w:t>ال</w:t>
      </w:r>
      <w:r w:rsidR="00641FF4" w:rsidRPr="00C20C8B">
        <w:rPr>
          <w:rFonts w:hint="cs"/>
          <w:rtl/>
        </w:rPr>
        <w:t>مقترحات</w:t>
      </w:r>
    </w:p>
    <w:p w:rsidR="00641FF4" w:rsidRPr="00E64380" w:rsidRDefault="00641FF4" w:rsidP="00104E6B">
      <w:pPr>
        <w:rPr>
          <w:rtl/>
          <w:lang w:bidi="ar-EG"/>
        </w:rPr>
      </w:pPr>
      <w:r>
        <w:rPr>
          <w:rFonts w:hint="cs"/>
          <w:rtl/>
          <w:lang w:bidi="ar-EG"/>
        </w:rPr>
        <w:t xml:space="preserve">بغية وضع آلية تنظيمية دنيا، </w:t>
      </w:r>
      <w:r w:rsidRPr="00BD265A">
        <w:rPr>
          <w:rFonts w:hint="cs"/>
          <w:rtl/>
          <w:lang w:bidi="ar-EG"/>
        </w:rPr>
        <w:t>تقترح إندوني</w:t>
      </w:r>
      <w:r>
        <w:rPr>
          <w:rFonts w:hint="cs"/>
          <w:rtl/>
          <w:lang w:bidi="ar-EG"/>
        </w:rPr>
        <w:t xml:space="preserve">سيا أن يعتمد المؤتمر العالمي للاتصالات الدولية لعام </w:t>
      </w:r>
      <w:r>
        <w:rPr>
          <w:lang w:bidi="ar-EG"/>
        </w:rPr>
        <w:t>2012</w:t>
      </w:r>
      <w:r>
        <w:rPr>
          <w:rFonts w:hint="cs"/>
          <w:rtl/>
          <w:lang w:bidi="ar-EG"/>
        </w:rPr>
        <w:t xml:space="preserve"> بنوداً جديدة في المادة</w:t>
      </w:r>
      <w:r w:rsidR="00E51041">
        <w:rPr>
          <w:rFonts w:hint="eastAsia"/>
          <w:rtl/>
          <w:lang w:bidi="ar-EG"/>
        </w:rPr>
        <w:t> </w:t>
      </w:r>
      <w:r>
        <w:rPr>
          <w:lang w:bidi="ar-EG"/>
        </w:rPr>
        <w:t>1</w:t>
      </w:r>
      <w:r>
        <w:rPr>
          <w:rFonts w:hint="cs"/>
          <w:rtl/>
          <w:lang w:bidi="ar-EG"/>
        </w:rPr>
        <w:t xml:space="preserve"> "</w:t>
      </w:r>
      <w:r w:rsidR="00E51041">
        <w:rPr>
          <w:rFonts w:hint="cs"/>
          <w:rtl/>
          <w:lang w:bidi="ar-EG"/>
        </w:rPr>
        <w:t xml:space="preserve">الغرض </w:t>
      </w:r>
      <w:r w:rsidR="00494BD8">
        <w:rPr>
          <w:rFonts w:hint="cs"/>
          <w:rtl/>
        </w:rPr>
        <w:t xml:space="preserve">من اللوائح </w:t>
      </w:r>
      <w:r>
        <w:rPr>
          <w:rFonts w:hint="cs"/>
          <w:rtl/>
        </w:rPr>
        <w:t>ومجال تطبيقها" وفي المادة</w:t>
      </w:r>
      <w:r w:rsidR="00E51041">
        <w:rPr>
          <w:rFonts w:hint="eastAsia"/>
          <w:rtl/>
        </w:rPr>
        <w:t> </w:t>
      </w:r>
      <w:r>
        <w:t>3</w:t>
      </w:r>
      <w:r>
        <w:rPr>
          <w:rFonts w:hint="cs"/>
          <w:rtl/>
          <w:lang w:bidi="ar-EG"/>
        </w:rPr>
        <w:t xml:space="preserve"> "الشبكة الدولية" من أجل بناء الثقة والأمن في استعمال تكنولوجيا المعلومات والاتصالات.</w:t>
      </w:r>
    </w:p>
    <w:p w:rsidR="00641FF4" w:rsidRDefault="00641FF4" w:rsidP="00A078B5">
      <w:pPr>
        <w:pStyle w:val="ArtNo"/>
        <w:rPr>
          <w:rtl/>
        </w:rPr>
      </w:pPr>
      <w:r>
        <w:rPr>
          <w:rFonts w:hint="cs"/>
          <w:rtl/>
        </w:rPr>
        <w:t>الم</w:t>
      </w:r>
      <w:r w:rsidR="00B132D4">
        <w:rPr>
          <w:rFonts w:hint="cs"/>
          <w:rtl/>
        </w:rPr>
        <w:t>ـ</w:t>
      </w:r>
      <w:r>
        <w:rPr>
          <w:rFonts w:hint="cs"/>
          <w:rtl/>
        </w:rPr>
        <w:t xml:space="preserve">ادة </w:t>
      </w:r>
      <w:r>
        <w:t>1</w:t>
      </w:r>
    </w:p>
    <w:p w:rsidR="00641FF4" w:rsidRDefault="00B132D4" w:rsidP="00104E6B">
      <w:pPr>
        <w:pStyle w:val="Arttitle"/>
        <w:rPr>
          <w:rtl/>
        </w:rPr>
      </w:pPr>
      <w:r>
        <w:rPr>
          <w:rFonts w:hint="cs"/>
          <w:rtl/>
        </w:rPr>
        <w:t>ال</w:t>
      </w:r>
      <w:r w:rsidR="00641FF4" w:rsidRPr="0033778D">
        <w:rPr>
          <w:rFonts w:hint="cs"/>
          <w:rtl/>
        </w:rPr>
        <w:t xml:space="preserve">غرض </w:t>
      </w:r>
      <w:r>
        <w:rPr>
          <w:rFonts w:hint="cs"/>
          <w:rtl/>
        </w:rPr>
        <w:t xml:space="preserve">من اللوائح </w:t>
      </w:r>
      <w:r w:rsidR="00641FF4" w:rsidRPr="0033778D">
        <w:rPr>
          <w:rFonts w:hint="cs"/>
          <w:rtl/>
        </w:rPr>
        <w:t>ومجال تطبيقها</w:t>
      </w:r>
    </w:p>
    <w:p w:rsidR="006F2FB4" w:rsidRPr="00A078B5" w:rsidRDefault="00766020">
      <w:pPr>
        <w:pStyle w:val="Proposal"/>
        <w:rPr>
          <w:b w:val="0"/>
          <w:bCs w:val="0"/>
        </w:rPr>
      </w:pPr>
      <w:r>
        <w:t>ADD</w:t>
      </w:r>
      <w:r w:rsidRPr="00A078B5">
        <w:rPr>
          <w:b w:val="0"/>
          <w:bCs w:val="0"/>
        </w:rPr>
        <w:tab/>
        <w:t>INS/8/1</w:t>
      </w:r>
    </w:p>
    <w:p w:rsidR="00641FF4" w:rsidRDefault="00641FF4" w:rsidP="00B132D4">
      <w:pPr>
        <w:rPr>
          <w:rtl/>
          <w:lang w:bidi="ar-EG"/>
        </w:rPr>
      </w:pPr>
      <w:r>
        <w:rPr>
          <w:rStyle w:val="Artdef"/>
        </w:rPr>
        <w:t>12A</w:t>
      </w:r>
      <w:r>
        <w:rPr>
          <w:rStyle w:val="Artdef"/>
          <w:rFonts w:hint="cs"/>
          <w:rtl/>
          <w:lang w:bidi="ar-EG"/>
        </w:rPr>
        <w:tab/>
      </w:r>
      <w:r w:rsidRPr="00ED05CE">
        <w:rPr>
          <w:rStyle w:val="Artdef"/>
          <w:b w:val="0"/>
          <w:bCs/>
          <w:lang w:bidi="ar-EG"/>
        </w:rPr>
        <w:t>8A.1</w:t>
      </w:r>
      <w:r>
        <w:rPr>
          <w:rStyle w:val="Artdef"/>
          <w:rFonts w:hint="cs"/>
          <w:rtl/>
          <w:lang w:bidi="ar-EG"/>
        </w:rPr>
        <w:tab/>
      </w:r>
      <w:r>
        <w:rPr>
          <w:rFonts w:hint="cs"/>
          <w:rtl/>
          <w:lang w:bidi="ar-EG"/>
        </w:rPr>
        <w:t xml:space="preserve">تتعاون الدول الأعضاء في إنشاء إطار قانوني عالمي يقوم على روح </w:t>
      </w:r>
      <w:r w:rsidR="00B132D4">
        <w:rPr>
          <w:rFonts w:hint="cs"/>
          <w:rtl/>
          <w:lang w:bidi="ar-EG"/>
        </w:rPr>
        <w:t xml:space="preserve">التعاون المتبادل </w:t>
      </w:r>
      <w:r>
        <w:rPr>
          <w:rFonts w:hint="cs"/>
          <w:rtl/>
          <w:lang w:bidi="ar-EG"/>
        </w:rPr>
        <w:t xml:space="preserve">لبناء الثقة والأمن في استعمال تكنولوجيا المعلومات والاتصالات من أجل تحقيق الأمن السيبراني </w:t>
      </w:r>
      <w:r w:rsidR="00B132D4">
        <w:rPr>
          <w:rFonts w:hint="cs"/>
          <w:rtl/>
          <w:lang w:bidi="ar-EG"/>
        </w:rPr>
        <w:t xml:space="preserve">مما </w:t>
      </w:r>
      <w:r>
        <w:rPr>
          <w:rFonts w:hint="cs"/>
          <w:rtl/>
          <w:lang w:bidi="ar-EG"/>
        </w:rPr>
        <w:t>يحدّ من الاستعمال غير المشروع لتكنولوجيا المعلومات والاتصالات بما في ذلك مكافحة الجريمة السيبرانية والحماية من التهديدات السيبرانية.</w:t>
      </w:r>
    </w:p>
    <w:p w:rsidR="00A078B5" w:rsidRPr="00A078B5" w:rsidRDefault="00A078B5" w:rsidP="00A078B5">
      <w:pPr>
        <w:pStyle w:val="Reasons"/>
        <w:rPr>
          <w:b w:val="0"/>
          <w:bCs w:val="0"/>
        </w:rPr>
      </w:pPr>
      <w:r>
        <w:rPr>
          <w:rtl/>
        </w:rPr>
        <w:t>الأسباب:</w:t>
      </w:r>
      <w:r>
        <w:tab/>
      </w:r>
      <w:r w:rsidRPr="00A078B5">
        <w:rPr>
          <w:rFonts w:hint="cs"/>
          <w:b w:val="0"/>
          <w:bCs w:val="0"/>
          <w:rtl/>
          <w:lang w:bidi="ar-EG"/>
        </w:rPr>
        <w:t>ينطوي المقترح على روح التعاون المتبادل الذي ينبغي أن يسود بين الدول الأعضاء لإقامة بيئة عالمية متسقة لمصلحة جميع الأمم في سبيل "بناء الثقة والأمن في استعمال تكنولوجيا المعلومات والاتصالات" مع الاعتراف بالحق السيادي لكل عضو أيضاً.</w:t>
      </w:r>
    </w:p>
    <w:p w:rsidR="00641FF4" w:rsidRDefault="00641FF4" w:rsidP="00A078B5">
      <w:pPr>
        <w:pStyle w:val="ArtNo"/>
        <w:rPr>
          <w:rtl/>
        </w:rPr>
      </w:pPr>
      <w:r>
        <w:rPr>
          <w:rFonts w:hint="cs"/>
          <w:rtl/>
        </w:rPr>
        <w:t>الم</w:t>
      </w:r>
      <w:r w:rsidR="00A078B5">
        <w:rPr>
          <w:rFonts w:hint="cs"/>
          <w:rtl/>
        </w:rPr>
        <w:t>ـ</w:t>
      </w:r>
      <w:r>
        <w:rPr>
          <w:rFonts w:hint="cs"/>
          <w:rtl/>
        </w:rPr>
        <w:t xml:space="preserve">ادة </w:t>
      </w:r>
      <w:r>
        <w:t>3</w:t>
      </w:r>
    </w:p>
    <w:p w:rsidR="006F2FB4" w:rsidRDefault="00641FF4" w:rsidP="00A078B5">
      <w:pPr>
        <w:pStyle w:val="Arttitle"/>
      </w:pPr>
      <w:r w:rsidRPr="00097470">
        <w:rPr>
          <w:rFonts w:hint="cs"/>
          <w:rtl/>
        </w:rPr>
        <w:t>الشبكة الدولية</w:t>
      </w:r>
    </w:p>
    <w:p w:rsidR="006F2FB4" w:rsidRPr="00A078B5" w:rsidRDefault="00766020">
      <w:pPr>
        <w:pStyle w:val="Proposal"/>
        <w:rPr>
          <w:b w:val="0"/>
          <w:bCs w:val="0"/>
        </w:rPr>
      </w:pPr>
      <w:r>
        <w:t>ADD</w:t>
      </w:r>
      <w:r w:rsidRPr="00A078B5">
        <w:rPr>
          <w:b w:val="0"/>
          <w:bCs w:val="0"/>
        </w:rPr>
        <w:tab/>
        <w:t>INS/8/2</w:t>
      </w:r>
    </w:p>
    <w:p w:rsidR="00641FF4" w:rsidRDefault="00641FF4" w:rsidP="00A078B5">
      <w:pPr>
        <w:rPr>
          <w:rtl/>
          <w:lang w:bidi="ar-EG"/>
        </w:rPr>
      </w:pPr>
      <w:r>
        <w:rPr>
          <w:rStyle w:val="Artdef"/>
        </w:rPr>
        <w:t>31A</w:t>
      </w:r>
      <w:r>
        <w:rPr>
          <w:rFonts w:hint="cs"/>
          <w:rtl/>
          <w:lang w:bidi="ar-EG"/>
        </w:rPr>
        <w:tab/>
      </w:r>
      <w:r>
        <w:rPr>
          <w:lang w:bidi="ar-EG"/>
        </w:rPr>
        <w:t>4A.3</w:t>
      </w:r>
      <w:r>
        <w:rPr>
          <w:rFonts w:hint="cs"/>
          <w:rtl/>
          <w:lang w:bidi="ar-EG"/>
        </w:rPr>
        <w:tab/>
        <w:t>إن الإدارات ومقدمي الخدمات</w:t>
      </w:r>
      <w:r w:rsidRPr="007960B8">
        <w:rPr>
          <w:rFonts w:hint="cs"/>
          <w:rtl/>
          <w:lang w:bidi="ar-EG"/>
        </w:rPr>
        <w:t xml:space="preserve"> </w:t>
      </w:r>
      <w:r>
        <w:rPr>
          <w:rFonts w:hint="cs"/>
          <w:rtl/>
          <w:lang w:bidi="ar-EG"/>
        </w:rPr>
        <w:t xml:space="preserve">الذين يستعملون الشبكة الدولية، إذ يسلمون بالحق السيادي لكل عضو في تنظيم، من جملة أمور، مستوى قبول المعلومات في بلادهم، يولون </w:t>
      </w:r>
      <w:r w:rsidR="00A078B5">
        <w:rPr>
          <w:rFonts w:hint="cs"/>
          <w:rtl/>
          <w:lang w:bidi="ar-EG"/>
        </w:rPr>
        <w:t>الاهتمام</w:t>
      </w:r>
      <w:r>
        <w:rPr>
          <w:rFonts w:hint="cs"/>
          <w:rtl/>
          <w:lang w:bidi="ar-EG"/>
        </w:rPr>
        <w:t xml:space="preserve"> الواجب للتعاون من أجل التوفيق بين مصالحهم المختلفة مع مراعاة آثارها على مستوى الجريمة السيبرانية.</w:t>
      </w:r>
    </w:p>
    <w:p w:rsidR="006F2FB4" w:rsidRPr="00A078B5" w:rsidRDefault="00766020" w:rsidP="00A078B5">
      <w:pPr>
        <w:pStyle w:val="Reasons"/>
        <w:rPr>
          <w:rFonts w:ascii="Calibri" w:hAnsi="Calibri"/>
          <w:b w:val="0"/>
          <w:bCs w:val="0"/>
          <w:rtl/>
          <w:lang w:bidi="ar-EG"/>
        </w:rPr>
      </w:pPr>
      <w:r>
        <w:rPr>
          <w:rtl/>
        </w:rPr>
        <w:t>الأسباب:</w:t>
      </w:r>
      <w:r w:rsidRPr="00A078B5">
        <w:rPr>
          <w:b w:val="0"/>
          <w:bCs w:val="0"/>
        </w:rPr>
        <w:tab/>
      </w:r>
      <w:r w:rsidR="00A078B5" w:rsidRPr="00A078B5">
        <w:rPr>
          <w:rFonts w:ascii="Calibri" w:hAnsi="Calibri" w:hint="cs"/>
          <w:b w:val="0"/>
          <w:bCs w:val="0"/>
          <w:rtl/>
          <w:lang w:bidi="ar-EG"/>
        </w:rPr>
        <w:t>هذه آلية تنظيمية دنيا تلزم الإدارات ومقدمي الخدمات بمراعاة التدابير اللازمة لتسوية القضايا المتصلة بالمستويات المختلفة لقبول المواد الإباحية التي يُستغل فيها الأطفال والقضايا الأخرى المتصلة بالجريمة السيبرانية.</w:t>
      </w:r>
    </w:p>
    <w:p w:rsidR="00A078B5" w:rsidRPr="00A078B5" w:rsidRDefault="00A078B5" w:rsidP="00A078B5">
      <w:pPr>
        <w:spacing w:before="600"/>
        <w:jc w:val="center"/>
        <w:rPr>
          <w:lang w:bidi="ar-EG"/>
        </w:rPr>
      </w:pPr>
      <w:r>
        <w:rPr>
          <w:rFonts w:hint="cs"/>
          <w:rtl/>
          <w:lang w:bidi="ar-EG"/>
        </w:rPr>
        <w:t>___________</w:t>
      </w:r>
    </w:p>
    <w:sectPr w:rsidR="00A078B5" w:rsidRPr="00A078B5"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0B" w:rsidRDefault="009A460B" w:rsidP="002919E1">
      <w:r>
        <w:separator/>
      </w:r>
    </w:p>
    <w:p w:rsidR="009A460B" w:rsidRDefault="009A460B" w:rsidP="002919E1"/>
    <w:p w:rsidR="009A460B" w:rsidRDefault="009A460B" w:rsidP="002919E1"/>
    <w:p w:rsidR="009A460B" w:rsidRDefault="009A460B"/>
  </w:endnote>
  <w:endnote w:type="continuationSeparator" w:id="0">
    <w:p w:rsidR="009A460B" w:rsidRDefault="009A460B" w:rsidP="002919E1">
      <w:r>
        <w:continuationSeparator/>
      </w:r>
    </w:p>
    <w:p w:rsidR="009A460B" w:rsidRDefault="009A460B" w:rsidP="002919E1"/>
    <w:p w:rsidR="009A460B" w:rsidRDefault="009A460B" w:rsidP="002919E1"/>
    <w:p w:rsidR="009A460B" w:rsidRDefault="009A4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336C1A" w:rsidRDefault="00281F5F" w:rsidP="00E51041">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2D208E">
      <w:rPr>
        <w:noProof/>
      </w:rPr>
      <w:t>P:\ARA\SG\CONF-SG\WCIT12\000\008A.docx</w:t>
    </w:r>
    <w:r w:rsidRPr="00CB4300">
      <w:fldChar w:fldCharType="end"/>
    </w:r>
    <w:r w:rsidRPr="00336C1A">
      <w:t xml:space="preserve"> </w:t>
    </w:r>
    <w:r w:rsidR="00E51041">
      <w:t xml:space="preserve"> </w:t>
    </w:r>
    <w:r w:rsidRPr="00336C1A">
      <w:t xml:space="preserve"> (</w:t>
    </w:r>
    <w:r w:rsidR="00E51041">
      <w:t>330687</w:t>
    </w:r>
    <w:r w:rsidRPr="00336C1A">
      <w:t>)</w:t>
    </w:r>
    <w:r w:rsidRPr="00336C1A">
      <w:tab/>
    </w:r>
    <w:r w:rsidRPr="00CB4300">
      <w:fldChar w:fldCharType="begin"/>
    </w:r>
    <w:r w:rsidRPr="00CB4300">
      <w:instrText xml:space="preserve"> savedate \@ dd.MM.yy </w:instrText>
    </w:r>
    <w:r w:rsidRPr="00CB4300">
      <w:fldChar w:fldCharType="separate"/>
    </w:r>
    <w:r w:rsidR="003F7D7C">
      <w:rPr>
        <w:noProof/>
      </w:rPr>
      <w:t>26.09.12</w:t>
    </w:r>
    <w:r w:rsidRPr="00CB4300">
      <w:fldChar w:fldCharType="end"/>
    </w:r>
    <w:r w:rsidRPr="00336C1A">
      <w:tab/>
    </w:r>
    <w:r w:rsidRPr="00CB4300">
      <w:fldChar w:fldCharType="begin"/>
    </w:r>
    <w:r w:rsidRPr="00CB4300">
      <w:instrText xml:space="preserve"> printdate \@ dd.MM.yy </w:instrText>
    </w:r>
    <w:r w:rsidRPr="00CB4300">
      <w:fldChar w:fldCharType="separate"/>
    </w:r>
    <w:r w:rsidR="002D208E">
      <w:rPr>
        <w:noProof/>
      </w:rPr>
      <w:t>05.09.12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336C1A" w:rsidRDefault="00281F5F" w:rsidP="00E51041">
    <w:pPr>
      <w:pStyle w:val="Footer"/>
      <w:tabs>
        <w:tab w:val="clear" w:pos="2268"/>
      </w:tabs>
    </w:pPr>
    <w:r>
      <w:fldChar w:fldCharType="begin"/>
    </w:r>
    <w:r w:rsidRPr="00336C1A">
      <w:instrText xml:space="preserve"> FILENAME \p \* MERGEFORMAT </w:instrText>
    </w:r>
    <w:r>
      <w:fldChar w:fldCharType="separate"/>
    </w:r>
    <w:r w:rsidR="002D208E">
      <w:rPr>
        <w:noProof/>
      </w:rPr>
      <w:t>P:\ARA\SG\CONF-SG\WCIT12\000\008A.docx</w:t>
    </w:r>
    <w:r>
      <w:fldChar w:fldCharType="end"/>
    </w:r>
    <w:r w:rsidRPr="00336C1A">
      <w:t xml:space="preserve">   (</w:t>
    </w:r>
    <w:r w:rsidR="00E51041">
      <w:t>330687</w:t>
    </w:r>
    <w:r w:rsidRPr="00336C1A">
      <w:t>)</w:t>
    </w:r>
    <w:r w:rsidRPr="00336C1A">
      <w:tab/>
    </w:r>
    <w:r w:rsidRPr="00B12661">
      <w:fldChar w:fldCharType="begin"/>
    </w:r>
    <w:r w:rsidRPr="00B12661">
      <w:instrText xml:space="preserve"> savedate \@ dd.MM.yy </w:instrText>
    </w:r>
    <w:r w:rsidRPr="00B12661">
      <w:fldChar w:fldCharType="separate"/>
    </w:r>
    <w:r w:rsidR="003F7D7C">
      <w:rPr>
        <w:noProof/>
      </w:rPr>
      <w:t>26.09.12</w:t>
    </w:r>
    <w:r w:rsidRPr="00B12661">
      <w:fldChar w:fldCharType="end"/>
    </w:r>
    <w:r w:rsidRPr="00336C1A">
      <w:tab/>
    </w:r>
    <w:r w:rsidRPr="00B12661">
      <w:fldChar w:fldCharType="begin"/>
    </w:r>
    <w:r w:rsidRPr="00B12661">
      <w:instrText xml:space="preserve"> printdate \@ dd.MM.yy </w:instrText>
    </w:r>
    <w:r w:rsidRPr="00B12661">
      <w:fldChar w:fldCharType="separate"/>
    </w:r>
    <w:r w:rsidR="002D208E">
      <w:rPr>
        <w:noProof/>
      </w:rPr>
      <w:t>05.09.12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0B" w:rsidRDefault="009A460B" w:rsidP="002919E1">
      <w:r>
        <w:t>___________________</w:t>
      </w:r>
    </w:p>
  </w:footnote>
  <w:footnote w:type="continuationSeparator" w:id="0">
    <w:p w:rsidR="009A460B" w:rsidRDefault="009A460B" w:rsidP="002919E1">
      <w:r>
        <w:continuationSeparator/>
      </w:r>
    </w:p>
    <w:p w:rsidR="009A460B" w:rsidRDefault="009A460B" w:rsidP="002919E1"/>
    <w:p w:rsidR="009A460B" w:rsidRDefault="009A460B" w:rsidP="002919E1"/>
    <w:p w:rsidR="009A460B" w:rsidRDefault="009A46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88384B" w:rsidRDefault="00281F5F"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A7EA2">
      <w:rPr>
        <w:rStyle w:val="PageNumber"/>
        <w:noProof/>
      </w:rPr>
      <w:t>2</w:t>
    </w:r>
    <w:r w:rsidRPr="0088384B">
      <w:rPr>
        <w:rStyle w:val="PageNumber"/>
      </w:rPr>
      <w:fldChar w:fldCharType="end"/>
    </w:r>
    <w:r>
      <w:rPr>
        <w:rStyle w:val="PageNumber"/>
        <w:rtl/>
      </w:rPr>
      <w:br/>
    </w:r>
    <w:r w:rsidR="00336C1A">
      <w:rPr>
        <w:rStyle w:val="PageNumber"/>
      </w:rPr>
      <w:t>WCIT</w:t>
    </w:r>
    <w:r w:rsidRPr="0088384B">
      <w:rPr>
        <w:rStyle w:val="PageNumber"/>
      </w:rPr>
      <w:t>12</w:t>
    </w:r>
    <w:r w:rsidR="00642AE0" w:rsidRPr="0088384B">
      <w:rPr>
        <w:rStyle w:val="PageNumber"/>
      </w:rPr>
      <w:t>/</w:t>
    </w:r>
    <w:r w:rsidR="00642AE0">
      <w:rPr>
        <w:rStyle w:val="PageNumber"/>
      </w:rPr>
      <w:t>8-</w:t>
    </w:r>
    <w:r w:rsidR="00642AE0"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C20D8"/>
    <w:rsid w:val="000D1708"/>
    <w:rsid w:val="000E2AFC"/>
    <w:rsid w:val="000E6D30"/>
    <w:rsid w:val="000F05F5"/>
    <w:rsid w:val="000F518F"/>
    <w:rsid w:val="0010081C"/>
    <w:rsid w:val="001013E3"/>
    <w:rsid w:val="00104E6B"/>
    <w:rsid w:val="001464F2"/>
    <w:rsid w:val="00167364"/>
    <w:rsid w:val="00183D81"/>
    <w:rsid w:val="001903B2"/>
    <w:rsid w:val="001E190C"/>
    <w:rsid w:val="001E54F6"/>
    <w:rsid w:val="001E5A8C"/>
    <w:rsid w:val="002015F3"/>
    <w:rsid w:val="00201A0A"/>
    <w:rsid w:val="002075D4"/>
    <w:rsid w:val="00211B2A"/>
    <w:rsid w:val="002333A0"/>
    <w:rsid w:val="002543CF"/>
    <w:rsid w:val="0025779C"/>
    <w:rsid w:val="0026062E"/>
    <w:rsid w:val="00260F50"/>
    <w:rsid w:val="00261EF7"/>
    <w:rsid w:val="0027069F"/>
    <w:rsid w:val="00280E04"/>
    <w:rsid w:val="00281F5F"/>
    <w:rsid w:val="002843E4"/>
    <w:rsid w:val="002919E1"/>
    <w:rsid w:val="00295917"/>
    <w:rsid w:val="00296071"/>
    <w:rsid w:val="00296D69"/>
    <w:rsid w:val="002A4572"/>
    <w:rsid w:val="002A7E2E"/>
    <w:rsid w:val="002B16D8"/>
    <w:rsid w:val="002D208E"/>
    <w:rsid w:val="002D5F64"/>
    <w:rsid w:val="002D6FBF"/>
    <w:rsid w:val="002E48BF"/>
    <w:rsid w:val="002E61C2"/>
    <w:rsid w:val="00336C1A"/>
    <w:rsid w:val="003569E1"/>
    <w:rsid w:val="003815E2"/>
    <w:rsid w:val="00381FAD"/>
    <w:rsid w:val="003923B1"/>
    <w:rsid w:val="003965FE"/>
    <w:rsid w:val="003B27AD"/>
    <w:rsid w:val="003B4F23"/>
    <w:rsid w:val="003C12F6"/>
    <w:rsid w:val="003C3A13"/>
    <w:rsid w:val="003E02EF"/>
    <w:rsid w:val="003E1D90"/>
    <w:rsid w:val="003F7D7C"/>
    <w:rsid w:val="00400CD4"/>
    <w:rsid w:val="004147B9"/>
    <w:rsid w:val="00422C04"/>
    <w:rsid w:val="00423EE6"/>
    <w:rsid w:val="00426144"/>
    <w:rsid w:val="00470CBD"/>
    <w:rsid w:val="004909DD"/>
    <w:rsid w:val="00490E7D"/>
    <w:rsid w:val="00494BD8"/>
    <w:rsid w:val="004A05E6"/>
    <w:rsid w:val="004A34A8"/>
    <w:rsid w:val="004A6C66"/>
    <w:rsid w:val="004A7AA0"/>
    <w:rsid w:val="004C11BC"/>
    <w:rsid w:val="004D4AE6"/>
    <w:rsid w:val="00505FCA"/>
    <w:rsid w:val="005169F4"/>
    <w:rsid w:val="005210D1"/>
    <w:rsid w:val="00523146"/>
    <w:rsid w:val="00523275"/>
    <w:rsid w:val="00531DC7"/>
    <w:rsid w:val="005350B0"/>
    <w:rsid w:val="00546A99"/>
    <w:rsid w:val="00553411"/>
    <w:rsid w:val="00564746"/>
    <w:rsid w:val="0056512C"/>
    <w:rsid w:val="00576D0A"/>
    <w:rsid w:val="00584333"/>
    <w:rsid w:val="005953EC"/>
    <w:rsid w:val="005B00A1"/>
    <w:rsid w:val="005C29C8"/>
    <w:rsid w:val="005C5D25"/>
    <w:rsid w:val="005D72A4"/>
    <w:rsid w:val="005F05CC"/>
    <w:rsid w:val="005F65DE"/>
    <w:rsid w:val="00610DDE"/>
    <w:rsid w:val="006315B5"/>
    <w:rsid w:val="00641FF4"/>
    <w:rsid w:val="00642AE0"/>
    <w:rsid w:val="0065562F"/>
    <w:rsid w:val="00680A66"/>
    <w:rsid w:val="00681391"/>
    <w:rsid w:val="006A12AC"/>
    <w:rsid w:val="006A2162"/>
    <w:rsid w:val="006B4B90"/>
    <w:rsid w:val="006B658C"/>
    <w:rsid w:val="006D2674"/>
    <w:rsid w:val="006E38D0"/>
    <w:rsid w:val="006E465B"/>
    <w:rsid w:val="006F2FB4"/>
    <w:rsid w:val="006F70BF"/>
    <w:rsid w:val="00716B1D"/>
    <w:rsid w:val="007248EC"/>
    <w:rsid w:val="00731150"/>
    <w:rsid w:val="00736DCC"/>
    <w:rsid w:val="00741855"/>
    <w:rsid w:val="00742B73"/>
    <w:rsid w:val="00751251"/>
    <w:rsid w:val="007610E7"/>
    <w:rsid w:val="00766020"/>
    <w:rsid w:val="00771F7E"/>
    <w:rsid w:val="00773E9C"/>
    <w:rsid w:val="00776F6B"/>
    <w:rsid w:val="00777694"/>
    <w:rsid w:val="00786A7E"/>
    <w:rsid w:val="007A0802"/>
    <w:rsid w:val="007A7EA2"/>
    <w:rsid w:val="007B1FCA"/>
    <w:rsid w:val="007C2C12"/>
    <w:rsid w:val="007C3CFA"/>
    <w:rsid w:val="007E0E8B"/>
    <w:rsid w:val="007F08CA"/>
    <w:rsid w:val="007F7FC3"/>
    <w:rsid w:val="00810482"/>
    <w:rsid w:val="00817568"/>
    <w:rsid w:val="008204AC"/>
    <w:rsid w:val="008261C2"/>
    <w:rsid w:val="00830D96"/>
    <w:rsid w:val="008417E8"/>
    <w:rsid w:val="0085569D"/>
    <w:rsid w:val="00855B59"/>
    <w:rsid w:val="00856702"/>
    <w:rsid w:val="00857D84"/>
    <w:rsid w:val="008657CB"/>
    <w:rsid w:val="00881D95"/>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9450C"/>
    <w:rsid w:val="009A3D30"/>
    <w:rsid w:val="009A460B"/>
    <w:rsid w:val="009D6348"/>
    <w:rsid w:val="009E36EA"/>
    <w:rsid w:val="009E613F"/>
    <w:rsid w:val="009E62F3"/>
    <w:rsid w:val="009F042B"/>
    <w:rsid w:val="00A03FD6"/>
    <w:rsid w:val="00A078B5"/>
    <w:rsid w:val="00A10369"/>
    <w:rsid w:val="00A116A8"/>
    <w:rsid w:val="00A22AE9"/>
    <w:rsid w:val="00A26758"/>
    <w:rsid w:val="00A26D0E"/>
    <w:rsid w:val="00A278E9"/>
    <w:rsid w:val="00A3451F"/>
    <w:rsid w:val="00A36268"/>
    <w:rsid w:val="00A40B2C"/>
    <w:rsid w:val="00A66D2B"/>
    <w:rsid w:val="00A870AD"/>
    <w:rsid w:val="00A9645C"/>
    <w:rsid w:val="00AB2A33"/>
    <w:rsid w:val="00AC1275"/>
    <w:rsid w:val="00AC7395"/>
    <w:rsid w:val="00AD690F"/>
    <w:rsid w:val="00AD69DD"/>
    <w:rsid w:val="00AF41D1"/>
    <w:rsid w:val="00B01623"/>
    <w:rsid w:val="00B033DF"/>
    <w:rsid w:val="00B07CEE"/>
    <w:rsid w:val="00B12661"/>
    <w:rsid w:val="00B132D4"/>
    <w:rsid w:val="00B1714C"/>
    <w:rsid w:val="00B357E9"/>
    <w:rsid w:val="00B4164D"/>
    <w:rsid w:val="00B425C1"/>
    <w:rsid w:val="00B606BA"/>
    <w:rsid w:val="00B66817"/>
    <w:rsid w:val="00B71E3B"/>
    <w:rsid w:val="00B721D5"/>
    <w:rsid w:val="00B81CB5"/>
    <w:rsid w:val="00B8351F"/>
    <w:rsid w:val="00B86C44"/>
    <w:rsid w:val="00BA7D44"/>
    <w:rsid w:val="00BD6EF3"/>
    <w:rsid w:val="00BE5AFA"/>
    <w:rsid w:val="00BE69C3"/>
    <w:rsid w:val="00C057D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2143"/>
    <w:rsid w:val="00CE0E68"/>
    <w:rsid w:val="00CE5BA4"/>
    <w:rsid w:val="00D25120"/>
    <w:rsid w:val="00D419CB"/>
    <w:rsid w:val="00D44E3F"/>
    <w:rsid w:val="00D525F5"/>
    <w:rsid w:val="00D535D0"/>
    <w:rsid w:val="00D81703"/>
    <w:rsid w:val="00D82929"/>
    <w:rsid w:val="00D84214"/>
    <w:rsid w:val="00D943E5"/>
    <w:rsid w:val="00DA1AE0"/>
    <w:rsid w:val="00DA76A5"/>
    <w:rsid w:val="00DC29DD"/>
    <w:rsid w:val="00DC7C0E"/>
    <w:rsid w:val="00DF2A6A"/>
    <w:rsid w:val="00DF3B72"/>
    <w:rsid w:val="00E22C9B"/>
    <w:rsid w:val="00E2489D"/>
    <w:rsid w:val="00E26520"/>
    <w:rsid w:val="00E343A3"/>
    <w:rsid w:val="00E51041"/>
    <w:rsid w:val="00E51BFA"/>
    <w:rsid w:val="00E621A3"/>
    <w:rsid w:val="00E833BC"/>
    <w:rsid w:val="00E8580E"/>
    <w:rsid w:val="00EA1B76"/>
    <w:rsid w:val="00EA77D7"/>
    <w:rsid w:val="00EC09B9"/>
    <w:rsid w:val="00ED048C"/>
    <w:rsid w:val="00EE6C40"/>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A4B0B"/>
    <w:rsid w:val="00FB0753"/>
    <w:rsid w:val="00FB5CC8"/>
    <w:rsid w:val="00FC2CD0"/>
    <w:rsid w:val="00FD0594"/>
    <w:rsid w:val="00FF4FFF"/>
    <w:rsid w:val="00FF56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5695"/>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856702"/>
    <w:pPr>
      <w:keepNext/>
      <w:spacing w:before="240"/>
      <w:outlineLvl w:val="0"/>
    </w:pPr>
    <w:rPr>
      <w:b/>
      <w:bCs/>
      <w:sz w:val="24"/>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9450C"/>
    <w:pPr>
      <w:framePr w:wrap="around" w:xAlign="left" w:y="-6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F5695"/>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856702"/>
    <w:pPr>
      <w:keepNext/>
      <w:spacing w:before="240"/>
      <w:outlineLvl w:val="0"/>
    </w:pPr>
    <w:rPr>
      <w:b/>
      <w:bCs/>
      <w:sz w:val="24"/>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9450C"/>
    <w:pPr>
      <w:framePr w:wrap="around" w:xAlign="left" w:y="-6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BCCD-5F51-4D9F-8FC5-0837101B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S12-WCIT12-C-0008!!MSW-A</dc:title>
  <dc:subject>World Conference on International Telecommunications (WCIT)</dc:subject>
  <dc:creator>Documents Proposals Manager (DPM)</dc:creator>
  <cp:keywords>DPM_v5.2.0_prod</cp:keywords>
  <cp:lastModifiedBy>brouard</cp:lastModifiedBy>
  <cp:revision>5</cp:revision>
  <cp:lastPrinted>2012-09-05T10:04:00Z</cp:lastPrinted>
  <dcterms:created xsi:type="dcterms:W3CDTF">2012-09-26T14:17:00Z</dcterms:created>
  <dcterms:modified xsi:type="dcterms:W3CDTF">2012-09-26T14:21:00Z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