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A1" w:rsidRDefault="00F673A1" w:rsidP="00A17011">
      <w:pPr>
        <w:pStyle w:val="Restitle"/>
        <w:spacing w:before="0"/>
        <w:rPr>
          <w:rFonts w:asciiTheme="majorBidi" w:hAnsiTheme="majorBidi" w:cstheme="majorBidi"/>
          <w:b w:val="0"/>
          <w:bCs/>
          <w:spacing w:val="20"/>
          <w:sz w:val="24"/>
          <w:szCs w:val="24"/>
        </w:rPr>
      </w:pPr>
      <w:bookmarkStart w:id="0" w:name="_Toc337471285"/>
      <w:bookmarkStart w:id="1" w:name="_Toc254678309"/>
    </w:p>
    <w:p w:rsidR="00F673A1" w:rsidRDefault="00F673A1" w:rsidP="00A17011">
      <w:pPr>
        <w:pStyle w:val="Restitle"/>
        <w:spacing w:before="0"/>
        <w:rPr>
          <w:rFonts w:asciiTheme="majorBidi" w:hAnsiTheme="majorBidi" w:cstheme="majorBidi"/>
          <w:b w:val="0"/>
          <w:bCs/>
          <w:spacing w:val="20"/>
          <w:sz w:val="24"/>
          <w:szCs w:val="24"/>
        </w:rPr>
      </w:pPr>
    </w:p>
    <w:p w:rsidR="00F673A1" w:rsidRDefault="00F673A1" w:rsidP="00A17011">
      <w:pPr>
        <w:pStyle w:val="Restitle"/>
        <w:spacing w:before="0"/>
        <w:rPr>
          <w:rFonts w:asciiTheme="majorBidi" w:hAnsiTheme="majorBidi" w:cstheme="majorBidi"/>
          <w:b w:val="0"/>
          <w:bCs/>
          <w:spacing w:val="20"/>
          <w:sz w:val="24"/>
          <w:szCs w:val="24"/>
        </w:rPr>
      </w:pPr>
    </w:p>
    <w:p w:rsidR="00106CA9" w:rsidRPr="00E23D6E" w:rsidRDefault="00106CA9" w:rsidP="00A17011">
      <w:pPr>
        <w:pStyle w:val="Restitle"/>
        <w:spacing w:before="0"/>
        <w:rPr>
          <w:rFonts w:asciiTheme="majorBidi" w:hAnsiTheme="majorBidi" w:cstheme="majorBidi"/>
          <w:b w:val="0"/>
          <w:bCs/>
          <w:spacing w:val="20"/>
          <w:sz w:val="32"/>
          <w:szCs w:val="32"/>
          <w:lang w:val="fr-CH"/>
        </w:rPr>
      </w:pPr>
      <w:bookmarkStart w:id="2" w:name="_Toc463595250"/>
      <w:bookmarkStart w:id="3" w:name="_Toc463611675"/>
      <w:bookmarkStart w:id="4" w:name="_Toc463612100"/>
      <w:bookmarkStart w:id="5" w:name="_Toc463613010"/>
      <w:bookmarkStart w:id="6" w:name="_Toc463613264"/>
      <w:bookmarkStart w:id="7" w:name="_Toc463614678"/>
      <w:bookmarkStart w:id="8" w:name="_Toc463615401"/>
      <w:bookmarkStart w:id="9" w:name="_Toc463616124"/>
      <w:r w:rsidRPr="00E23D6E">
        <w:rPr>
          <w:rFonts w:asciiTheme="majorBidi" w:hAnsiTheme="majorBidi" w:cstheme="majorBidi"/>
          <w:b w:val="0"/>
          <w:bCs/>
          <w:spacing w:val="20"/>
          <w:sz w:val="32"/>
          <w:szCs w:val="32"/>
          <w:lang w:val="fr-CH"/>
        </w:rPr>
        <w:t>Union</w:t>
      </w:r>
      <w:bookmarkEnd w:id="0"/>
      <w:r w:rsidR="00E23D6E" w:rsidRPr="00E23D6E">
        <w:rPr>
          <w:rFonts w:asciiTheme="majorBidi" w:hAnsiTheme="majorBidi" w:cstheme="majorBidi"/>
          <w:b w:val="0"/>
          <w:bCs/>
          <w:spacing w:val="20"/>
          <w:sz w:val="32"/>
          <w:szCs w:val="32"/>
          <w:lang w:val="fr-CH"/>
        </w:rPr>
        <w:t xml:space="preserve"> internationale des télécommunication</w:t>
      </w:r>
      <w:bookmarkEnd w:id="2"/>
      <w:bookmarkEnd w:id="3"/>
      <w:bookmarkEnd w:id="4"/>
      <w:bookmarkEnd w:id="5"/>
      <w:bookmarkEnd w:id="6"/>
      <w:bookmarkEnd w:id="7"/>
      <w:bookmarkEnd w:id="8"/>
      <w:bookmarkEnd w:id="9"/>
      <w:r w:rsidR="00A17011">
        <w:rPr>
          <w:rFonts w:asciiTheme="majorBidi" w:hAnsiTheme="majorBidi" w:cstheme="majorBidi"/>
          <w:b w:val="0"/>
          <w:bCs/>
          <w:spacing w:val="20"/>
          <w:sz w:val="32"/>
          <w:szCs w:val="32"/>
          <w:lang w:val="fr-CH"/>
        </w:rPr>
        <w:t>s</w:t>
      </w:r>
    </w:p>
    <w:p w:rsidR="00106CA9" w:rsidRPr="00E23D6E" w:rsidRDefault="00106CA9" w:rsidP="00A17011">
      <w:pPr>
        <w:jc w:val="center"/>
        <w:rPr>
          <w:rFonts w:asciiTheme="majorBidi" w:hAnsiTheme="majorBidi" w:cstheme="majorBidi"/>
          <w:szCs w:val="24"/>
          <w:lang w:val="fr-CH"/>
        </w:rPr>
      </w:pPr>
    </w:p>
    <w:p w:rsidR="00106CA9" w:rsidRPr="00E23D6E" w:rsidRDefault="00106CA9" w:rsidP="00A17011">
      <w:pPr>
        <w:jc w:val="center"/>
        <w:rPr>
          <w:rFonts w:asciiTheme="majorBidi" w:hAnsiTheme="majorBidi" w:cstheme="majorBidi"/>
          <w:szCs w:val="24"/>
          <w:lang w:val="fr-CH"/>
        </w:rPr>
      </w:pPr>
    </w:p>
    <w:p w:rsidR="00106CA9" w:rsidRPr="00E23D6E" w:rsidRDefault="00106CA9" w:rsidP="00A17011">
      <w:pPr>
        <w:jc w:val="center"/>
        <w:rPr>
          <w:rFonts w:asciiTheme="majorBidi" w:hAnsiTheme="majorBidi" w:cstheme="majorBidi"/>
          <w:szCs w:val="24"/>
          <w:lang w:val="fr-CH"/>
        </w:rPr>
      </w:pPr>
    </w:p>
    <w:p w:rsidR="00106CA9" w:rsidRPr="00E23D6E" w:rsidRDefault="00106CA9" w:rsidP="00A17011">
      <w:pPr>
        <w:jc w:val="center"/>
        <w:rPr>
          <w:rFonts w:asciiTheme="majorBidi" w:hAnsiTheme="majorBidi" w:cstheme="majorBidi"/>
          <w:szCs w:val="24"/>
          <w:lang w:val="fr-CH"/>
        </w:rPr>
      </w:pPr>
    </w:p>
    <w:p w:rsidR="00C67CB3" w:rsidRPr="00E23D6E" w:rsidRDefault="00C67CB3" w:rsidP="00A17011">
      <w:pPr>
        <w:jc w:val="center"/>
        <w:rPr>
          <w:rFonts w:asciiTheme="majorBidi" w:hAnsiTheme="majorBidi" w:cstheme="majorBidi"/>
          <w:szCs w:val="24"/>
          <w:lang w:val="fr-CH"/>
        </w:rPr>
      </w:pPr>
    </w:p>
    <w:p w:rsidR="00C67CB3" w:rsidRPr="00E23D6E" w:rsidRDefault="00C67CB3" w:rsidP="00A17011">
      <w:pPr>
        <w:jc w:val="center"/>
        <w:rPr>
          <w:rFonts w:asciiTheme="majorBidi" w:hAnsiTheme="majorBidi" w:cstheme="majorBidi"/>
          <w:szCs w:val="24"/>
          <w:lang w:val="fr-CH"/>
        </w:rPr>
      </w:pPr>
    </w:p>
    <w:p w:rsidR="00C67CB3" w:rsidRPr="00E23D6E" w:rsidRDefault="00C67CB3" w:rsidP="00A17011">
      <w:pPr>
        <w:jc w:val="center"/>
        <w:rPr>
          <w:rFonts w:asciiTheme="majorBidi" w:hAnsiTheme="majorBidi" w:cstheme="majorBidi"/>
          <w:szCs w:val="24"/>
          <w:lang w:val="fr-CH"/>
        </w:rPr>
      </w:pPr>
    </w:p>
    <w:p w:rsidR="00C67CB3" w:rsidRPr="00E23D6E" w:rsidRDefault="00C67CB3" w:rsidP="00A17011">
      <w:pPr>
        <w:jc w:val="center"/>
        <w:rPr>
          <w:rFonts w:asciiTheme="majorBidi" w:hAnsiTheme="majorBidi" w:cstheme="majorBidi"/>
          <w:szCs w:val="24"/>
          <w:lang w:val="fr-CH"/>
        </w:rPr>
      </w:pPr>
    </w:p>
    <w:p w:rsidR="00C67CB3" w:rsidRPr="00E23D6E" w:rsidRDefault="00C67CB3" w:rsidP="00A17011">
      <w:pPr>
        <w:jc w:val="center"/>
        <w:rPr>
          <w:rFonts w:asciiTheme="majorBidi" w:hAnsiTheme="majorBidi" w:cstheme="majorBidi"/>
          <w:szCs w:val="24"/>
          <w:lang w:val="fr-CH"/>
        </w:rPr>
      </w:pPr>
    </w:p>
    <w:p w:rsidR="00C67CB3" w:rsidRPr="00E23D6E" w:rsidRDefault="00C67CB3" w:rsidP="00A17011">
      <w:pPr>
        <w:jc w:val="center"/>
        <w:rPr>
          <w:rFonts w:asciiTheme="majorBidi" w:hAnsiTheme="majorBidi" w:cstheme="majorBidi"/>
          <w:b/>
          <w:bCs/>
          <w:sz w:val="36"/>
          <w:szCs w:val="36"/>
          <w:lang w:val="fr-CH"/>
        </w:rPr>
      </w:pPr>
    </w:p>
    <w:p w:rsidR="00106CA9" w:rsidRPr="00E23D6E" w:rsidRDefault="00106CA9" w:rsidP="005834F5">
      <w:pPr>
        <w:jc w:val="center"/>
        <w:rPr>
          <w:rFonts w:asciiTheme="majorBidi" w:hAnsiTheme="majorBidi" w:cstheme="majorBidi"/>
          <w:b/>
          <w:bCs/>
          <w:sz w:val="44"/>
          <w:szCs w:val="44"/>
          <w:lang w:val="fr-CH"/>
        </w:rPr>
      </w:pPr>
      <w:r w:rsidRPr="00E23D6E">
        <w:rPr>
          <w:rFonts w:asciiTheme="majorBidi" w:hAnsiTheme="majorBidi" w:cstheme="majorBidi"/>
          <w:b/>
          <w:bCs/>
          <w:sz w:val="44"/>
          <w:szCs w:val="44"/>
          <w:lang w:val="fr-CH"/>
        </w:rPr>
        <w:t>Conf</w:t>
      </w:r>
      <w:r w:rsidR="00E23D6E">
        <w:rPr>
          <w:rFonts w:asciiTheme="majorBidi" w:hAnsiTheme="majorBidi" w:cstheme="majorBidi"/>
          <w:b/>
          <w:bCs/>
          <w:sz w:val="44"/>
          <w:szCs w:val="44"/>
          <w:lang w:val="fr-CH"/>
        </w:rPr>
        <w:t>é</w:t>
      </w:r>
      <w:r w:rsidRPr="00E23D6E">
        <w:rPr>
          <w:rFonts w:asciiTheme="majorBidi" w:hAnsiTheme="majorBidi" w:cstheme="majorBidi"/>
          <w:b/>
          <w:bCs/>
          <w:sz w:val="44"/>
          <w:szCs w:val="44"/>
          <w:lang w:val="fr-CH"/>
        </w:rPr>
        <w:t>rence</w:t>
      </w:r>
      <w:r w:rsidR="00E23D6E">
        <w:rPr>
          <w:rFonts w:asciiTheme="majorBidi" w:hAnsiTheme="majorBidi" w:cstheme="majorBidi"/>
          <w:b/>
          <w:bCs/>
          <w:sz w:val="44"/>
          <w:szCs w:val="44"/>
          <w:lang w:val="fr-CH"/>
        </w:rPr>
        <w:t xml:space="preserve"> mondiale des</w:t>
      </w:r>
      <w:r w:rsidRPr="00E23D6E">
        <w:rPr>
          <w:rFonts w:asciiTheme="majorBidi" w:hAnsiTheme="majorBidi" w:cstheme="majorBidi"/>
          <w:b/>
          <w:bCs/>
          <w:sz w:val="44"/>
          <w:szCs w:val="44"/>
          <w:lang w:val="fr-CH"/>
        </w:rPr>
        <w:t xml:space="preserve"> </w:t>
      </w:r>
      <w:r w:rsidR="00A819C8">
        <w:rPr>
          <w:rFonts w:asciiTheme="majorBidi" w:hAnsiTheme="majorBidi" w:cstheme="majorBidi"/>
          <w:b/>
          <w:bCs/>
          <w:sz w:val="44"/>
          <w:szCs w:val="44"/>
          <w:lang w:val="fr-CH"/>
        </w:rPr>
        <w:t>r</w:t>
      </w:r>
      <w:r w:rsidR="00E23D6E" w:rsidRPr="00E23D6E">
        <w:rPr>
          <w:rFonts w:asciiTheme="majorBidi" w:hAnsiTheme="majorBidi" w:cstheme="majorBidi"/>
          <w:b/>
          <w:bCs/>
          <w:sz w:val="44"/>
          <w:szCs w:val="44"/>
          <w:lang w:val="fr-CH"/>
        </w:rPr>
        <w:t>adiocommunication</w:t>
      </w:r>
      <w:r w:rsidR="00A819C8">
        <w:rPr>
          <w:rFonts w:asciiTheme="majorBidi" w:hAnsiTheme="majorBidi" w:cstheme="majorBidi"/>
          <w:b/>
          <w:bCs/>
          <w:sz w:val="44"/>
          <w:szCs w:val="44"/>
          <w:lang w:val="fr-CH"/>
        </w:rPr>
        <w:t>s</w:t>
      </w:r>
      <w:r w:rsidR="005834F5">
        <w:rPr>
          <w:rFonts w:asciiTheme="majorBidi" w:hAnsiTheme="majorBidi" w:cstheme="majorBidi"/>
          <w:b/>
          <w:bCs/>
          <w:sz w:val="44"/>
          <w:szCs w:val="44"/>
          <w:lang w:val="fr-CH"/>
        </w:rPr>
        <w:br/>
      </w:r>
      <w:r w:rsidR="00F90674">
        <w:rPr>
          <w:rFonts w:asciiTheme="majorBidi" w:hAnsiTheme="majorBidi" w:cstheme="majorBidi"/>
          <w:b/>
          <w:bCs/>
          <w:sz w:val="44"/>
          <w:szCs w:val="44"/>
          <w:lang w:val="fr-CH"/>
        </w:rPr>
        <w:t xml:space="preserve">de </w:t>
      </w:r>
      <w:r w:rsidR="00B556B4" w:rsidRPr="00E23D6E">
        <w:rPr>
          <w:rFonts w:asciiTheme="majorBidi" w:hAnsiTheme="majorBidi" w:cstheme="majorBidi"/>
          <w:b/>
          <w:bCs/>
          <w:sz w:val="44"/>
          <w:szCs w:val="44"/>
          <w:lang w:val="fr-CH"/>
        </w:rPr>
        <w:t>2019</w:t>
      </w:r>
      <w:r w:rsidRPr="00E23D6E">
        <w:rPr>
          <w:rFonts w:asciiTheme="majorBidi" w:hAnsiTheme="majorBidi" w:cstheme="majorBidi"/>
          <w:b/>
          <w:bCs/>
          <w:sz w:val="44"/>
          <w:szCs w:val="44"/>
          <w:lang w:val="fr-CH"/>
        </w:rPr>
        <w:br/>
        <w:t>(C</w:t>
      </w:r>
      <w:r w:rsidR="00CB5204">
        <w:rPr>
          <w:rFonts w:asciiTheme="majorBidi" w:hAnsiTheme="majorBidi" w:cstheme="majorBidi"/>
          <w:b/>
          <w:bCs/>
          <w:sz w:val="44"/>
          <w:szCs w:val="44"/>
          <w:lang w:val="fr-CH"/>
        </w:rPr>
        <w:t>MR</w:t>
      </w:r>
      <w:r w:rsidRPr="00E23D6E">
        <w:rPr>
          <w:rFonts w:asciiTheme="majorBidi" w:hAnsiTheme="majorBidi" w:cstheme="majorBidi"/>
          <w:b/>
          <w:bCs/>
          <w:sz w:val="44"/>
          <w:szCs w:val="44"/>
          <w:lang w:val="fr-CH"/>
        </w:rPr>
        <w:t>-</w:t>
      </w:r>
      <w:r w:rsidR="00E23D6E">
        <w:rPr>
          <w:rFonts w:asciiTheme="majorBidi" w:hAnsiTheme="majorBidi" w:cstheme="majorBidi"/>
          <w:b/>
          <w:bCs/>
          <w:sz w:val="44"/>
          <w:szCs w:val="44"/>
          <w:lang w:val="fr-CH"/>
        </w:rPr>
        <w:t>19</w:t>
      </w:r>
      <w:r w:rsidRPr="00E23D6E">
        <w:rPr>
          <w:rFonts w:asciiTheme="majorBidi" w:hAnsiTheme="majorBidi" w:cstheme="majorBidi"/>
          <w:b/>
          <w:bCs/>
          <w:sz w:val="44"/>
          <w:szCs w:val="44"/>
          <w:lang w:val="fr-CH"/>
        </w:rPr>
        <w:t>)</w:t>
      </w:r>
    </w:p>
    <w:p w:rsidR="00C67CB3" w:rsidRPr="00E23D6E" w:rsidRDefault="00C67CB3" w:rsidP="00A17011">
      <w:pPr>
        <w:jc w:val="center"/>
        <w:rPr>
          <w:rFonts w:asciiTheme="majorBidi" w:hAnsiTheme="majorBidi" w:cstheme="majorBidi"/>
          <w:b/>
          <w:bCs/>
          <w:sz w:val="36"/>
          <w:szCs w:val="36"/>
          <w:lang w:val="fr-CH"/>
        </w:rPr>
      </w:pPr>
    </w:p>
    <w:p w:rsidR="00106CA9" w:rsidRDefault="00C03421" w:rsidP="00A17011">
      <w:pPr>
        <w:jc w:val="center"/>
        <w:rPr>
          <w:rStyle w:val="Hyperlink"/>
          <w:rFonts w:asciiTheme="majorBidi" w:hAnsiTheme="majorBidi" w:cstheme="majorBidi"/>
          <w:sz w:val="36"/>
          <w:szCs w:val="36"/>
        </w:rPr>
      </w:pPr>
      <w:hyperlink r:id="rId8" w:history="1">
        <w:r w:rsidR="00EC4551" w:rsidRPr="00C67CB3">
          <w:rPr>
            <w:rStyle w:val="Hyperlink"/>
            <w:rFonts w:asciiTheme="majorBidi" w:hAnsiTheme="majorBidi" w:cstheme="majorBidi"/>
            <w:sz w:val="36"/>
            <w:szCs w:val="36"/>
          </w:rPr>
          <w:t>www.itu.int/go/wrc-19</w:t>
        </w:r>
      </w:hyperlink>
    </w:p>
    <w:p w:rsidR="00C67CB3" w:rsidRPr="00C67CB3" w:rsidRDefault="00C67CB3" w:rsidP="00A17011">
      <w:pPr>
        <w:jc w:val="center"/>
        <w:rPr>
          <w:rFonts w:asciiTheme="majorBidi" w:hAnsiTheme="majorBidi" w:cstheme="majorBidi"/>
          <w:sz w:val="36"/>
          <w:szCs w:val="36"/>
        </w:rPr>
      </w:pPr>
    </w:p>
    <w:p w:rsidR="00106CA9" w:rsidRPr="00C67CB3" w:rsidRDefault="00F90674" w:rsidP="00A17011">
      <w:pPr>
        <w:jc w:val="center"/>
        <w:rPr>
          <w:rFonts w:asciiTheme="majorBidi" w:hAnsiTheme="majorBidi" w:cstheme="majorBidi"/>
          <w:i/>
          <w:iCs/>
          <w:sz w:val="36"/>
          <w:szCs w:val="36"/>
        </w:rPr>
      </w:pPr>
      <w:r>
        <w:rPr>
          <w:rFonts w:asciiTheme="majorBidi" w:hAnsiTheme="majorBidi" w:cstheme="majorBidi"/>
          <w:i/>
          <w:iCs/>
          <w:sz w:val="36"/>
          <w:szCs w:val="36"/>
        </w:rPr>
        <w:t>Ordre du jour et Résolutions</w:t>
      </w:r>
    </w:p>
    <w:p w:rsidR="00106CA9" w:rsidRPr="00C67CB3" w:rsidRDefault="00106CA9" w:rsidP="00A17011">
      <w:pPr>
        <w:jc w:val="center"/>
        <w:rPr>
          <w:rFonts w:asciiTheme="majorBidi" w:hAnsiTheme="majorBidi" w:cstheme="majorBidi"/>
          <w:sz w:val="36"/>
          <w:szCs w:val="36"/>
        </w:rPr>
      </w:pPr>
    </w:p>
    <w:p w:rsidR="00106CA9" w:rsidRPr="00C67CB3" w:rsidRDefault="00106CA9" w:rsidP="00A17011">
      <w:pPr>
        <w:jc w:val="center"/>
        <w:rPr>
          <w:rFonts w:asciiTheme="majorBidi" w:hAnsiTheme="majorBidi" w:cstheme="majorBidi"/>
          <w:sz w:val="36"/>
          <w:szCs w:val="36"/>
        </w:rPr>
      </w:pPr>
    </w:p>
    <w:p w:rsidR="00106CA9" w:rsidRPr="004C120E" w:rsidRDefault="00200892" w:rsidP="009E4E7C">
      <w:pPr>
        <w:spacing w:line="480" w:lineRule="auto"/>
        <w:jc w:val="center"/>
        <w:rPr>
          <w:rFonts w:asciiTheme="majorBidi" w:hAnsiTheme="majorBidi" w:cstheme="majorBidi"/>
          <w:szCs w:val="24"/>
        </w:rPr>
      </w:pPr>
      <w:r>
        <w:rPr>
          <w:rFonts w:asciiTheme="majorBidi" w:hAnsiTheme="majorBidi" w:cstheme="majorBidi"/>
          <w:szCs w:val="24"/>
        </w:rPr>
        <w:t>(révisé le 15 août 2017)</w:t>
      </w:r>
    </w:p>
    <w:p w:rsidR="00106CA9" w:rsidRPr="004C120E" w:rsidRDefault="00106CA9" w:rsidP="00A17011">
      <w:pPr>
        <w:jc w:val="center"/>
        <w:rPr>
          <w:rFonts w:asciiTheme="majorBidi" w:hAnsiTheme="majorBidi" w:cstheme="majorBidi"/>
          <w:szCs w:val="24"/>
        </w:rPr>
      </w:pPr>
    </w:p>
    <w:p w:rsidR="00106CA9" w:rsidRPr="004C120E" w:rsidRDefault="00106CA9" w:rsidP="00A17011">
      <w:pPr>
        <w:rPr>
          <w:rFonts w:asciiTheme="majorBidi" w:hAnsiTheme="majorBidi" w:cstheme="majorBidi"/>
          <w:szCs w:val="24"/>
        </w:rPr>
      </w:pPr>
    </w:p>
    <w:p w:rsidR="00106CA9" w:rsidRPr="004C120E" w:rsidRDefault="00106CA9" w:rsidP="00A17011">
      <w:pPr>
        <w:rPr>
          <w:rFonts w:asciiTheme="majorBidi" w:hAnsiTheme="majorBidi" w:cstheme="majorBidi"/>
          <w:szCs w:val="24"/>
        </w:rPr>
      </w:pPr>
    </w:p>
    <w:p w:rsidR="00106CA9" w:rsidRPr="004C120E" w:rsidRDefault="00106CA9" w:rsidP="00A17011">
      <w:pPr>
        <w:rPr>
          <w:rFonts w:asciiTheme="majorBidi" w:hAnsiTheme="majorBidi" w:cstheme="majorBidi"/>
          <w:szCs w:val="24"/>
        </w:rPr>
      </w:pPr>
    </w:p>
    <w:p w:rsidR="00B32EC0" w:rsidRPr="004C120E" w:rsidRDefault="00FD0D34" w:rsidP="00A17011">
      <w:pPr>
        <w:jc w:val="right"/>
        <w:rPr>
          <w:rFonts w:asciiTheme="majorBidi" w:hAnsiTheme="majorBidi" w:cstheme="majorBidi"/>
          <w:szCs w:val="24"/>
        </w:rPr>
      </w:pPr>
      <w:r w:rsidRPr="004C120E">
        <w:rPr>
          <w:rFonts w:asciiTheme="majorBidi" w:hAnsiTheme="majorBidi" w:cstheme="majorBidi"/>
          <w:noProof/>
          <w:szCs w:val="24"/>
          <w:lang w:val="en-US" w:eastAsia="zh-CN"/>
        </w:rPr>
        <w:drawing>
          <wp:anchor distT="0" distB="0" distL="114300" distR="114300" simplePos="0" relativeHeight="251661312" behindDoc="1" locked="0" layoutInCell="1" allowOverlap="1" wp14:anchorId="69FE2ECF" wp14:editId="5756A419">
            <wp:simplePos x="0" y="0"/>
            <wp:positionH relativeFrom="margin">
              <wp:align>right</wp:align>
            </wp:positionH>
            <wp:positionV relativeFrom="paragraph">
              <wp:posOffset>1098550</wp:posOffset>
            </wp:positionV>
            <wp:extent cx="1317625" cy="1317625"/>
            <wp:effectExtent l="0" t="0" r="0" b="0"/>
            <wp:wrapTight wrapText="bothSides">
              <wp:wrapPolygon edited="0">
                <wp:start x="0" y="0"/>
                <wp:lineTo x="0" y="21236"/>
                <wp:lineTo x="21236" y="21236"/>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R110-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7625" cy="1317625"/>
                    </a:xfrm>
                    <a:prstGeom prst="rect">
                      <a:avLst/>
                    </a:prstGeom>
                  </pic:spPr>
                </pic:pic>
              </a:graphicData>
            </a:graphic>
            <wp14:sizeRelH relativeFrom="page">
              <wp14:pctWidth>0</wp14:pctWidth>
            </wp14:sizeRelH>
            <wp14:sizeRelV relativeFrom="page">
              <wp14:pctHeight>0</wp14:pctHeight>
            </wp14:sizeRelV>
          </wp:anchor>
        </w:drawing>
      </w:r>
      <w:r w:rsidR="00C67CB3" w:rsidRPr="004C120E">
        <w:rPr>
          <w:rFonts w:asciiTheme="majorBidi" w:hAnsiTheme="majorBidi" w:cstheme="majorBidi"/>
          <w:noProof/>
          <w:szCs w:val="24"/>
          <w:lang w:val="en-US" w:eastAsia="zh-CN"/>
        </w:rPr>
        <w:drawing>
          <wp:anchor distT="0" distB="0" distL="114300" distR="114300" simplePos="0" relativeHeight="251660288" behindDoc="1" locked="0" layoutInCell="1" allowOverlap="1" wp14:anchorId="31E23850" wp14:editId="4E9717C0">
            <wp:simplePos x="0" y="0"/>
            <wp:positionH relativeFrom="page">
              <wp:posOffset>473710</wp:posOffset>
            </wp:positionH>
            <wp:positionV relativeFrom="margin">
              <wp:posOffset>8522970</wp:posOffset>
            </wp:positionV>
            <wp:extent cx="1090295" cy="1229995"/>
            <wp:effectExtent l="0" t="0" r="0" b="8255"/>
            <wp:wrapNone/>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0295" cy="1229995"/>
                    </a:xfrm>
                    <a:prstGeom prst="rect">
                      <a:avLst/>
                    </a:prstGeom>
                  </pic:spPr>
                </pic:pic>
              </a:graphicData>
            </a:graphic>
            <wp14:sizeRelH relativeFrom="margin">
              <wp14:pctWidth>0</wp14:pctWidth>
            </wp14:sizeRelH>
            <wp14:sizeRelV relativeFrom="margin">
              <wp14:pctHeight>0</wp14:pctHeight>
            </wp14:sizeRelV>
          </wp:anchor>
        </w:drawing>
      </w:r>
      <w:r w:rsidR="00B32EC0" w:rsidRPr="004C120E">
        <w:rPr>
          <w:rFonts w:asciiTheme="majorBidi" w:hAnsiTheme="majorBidi" w:cstheme="majorBidi"/>
          <w:szCs w:val="24"/>
        </w:rPr>
        <w:br w:type="page"/>
      </w:r>
    </w:p>
    <w:p w:rsidR="00AB2B4C" w:rsidRPr="004C120E" w:rsidRDefault="00AB2B4C"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4C120E" w:rsidRDefault="009F1BC7" w:rsidP="00A17011">
      <w:pPr>
        <w:rPr>
          <w:rFonts w:asciiTheme="majorBidi" w:hAnsiTheme="majorBidi" w:cstheme="majorBidi"/>
          <w:szCs w:val="24"/>
        </w:rPr>
      </w:pPr>
    </w:p>
    <w:p w:rsidR="009F1BC7" w:rsidRPr="00E23D6E" w:rsidRDefault="00F673A1" w:rsidP="00A17011">
      <w:pPr>
        <w:tabs>
          <w:tab w:val="left" w:pos="794"/>
          <w:tab w:val="left" w:pos="1191"/>
          <w:tab w:val="left" w:pos="1588"/>
          <w:tab w:val="left" w:pos="1985"/>
        </w:tabs>
        <w:spacing w:before="360"/>
        <w:jc w:val="center"/>
        <w:rPr>
          <w:rFonts w:asciiTheme="majorBidi" w:hAnsiTheme="majorBidi" w:cstheme="majorBidi"/>
          <w:szCs w:val="24"/>
          <w:lang w:val="fr-CH"/>
        </w:rPr>
      </w:pPr>
      <w:r w:rsidRPr="00E23D6E">
        <w:rPr>
          <w:rFonts w:asciiTheme="majorBidi" w:hAnsiTheme="majorBidi" w:cstheme="majorBidi"/>
          <w:szCs w:val="24"/>
          <w:lang w:val="fr-CH"/>
        </w:rPr>
        <w:t>©</w:t>
      </w:r>
      <w:r w:rsidR="009F1BC7" w:rsidRPr="00E23D6E">
        <w:rPr>
          <w:rFonts w:asciiTheme="majorBidi" w:hAnsiTheme="majorBidi" w:cstheme="majorBidi"/>
          <w:szCs w:val="24"/>
          <w:lang w:val="fr-CH"/>
        </w:rPr>
        <w:t>  U</w:t>
      </w:r>
      <w:r w:rsidR="00E23D6E">
        <w:rPr>
          <w:rFonts w:asciiTheme="majorBidi" w:hAnsiTheme="majorBidi" w:cstheme="majorBidi"/>
          <w:szCs w:val="24"/>
          <w:lang w:val="fr-CH"/>
        </w:rPr>
        <w:t>IT</w:t>
      </w:r>
      <w:r w:rsidR="009F1BC7" w:rsidRPr="00E23D6E">
        <w:rPr>
          <w:rFonts w:asciiTheme="majorBidi" w:hAnsiTheme="majorBidi" w:cstheme="majorBidi"/>
          <w:szCs w:val="24"/>
          <w:lang w:val="fr-CH"/>
        </w:rPr>
        <w:t>  </w:t>
      </w:r>
      <w:r w:rsidR="00E23D6E" w:rsidRPr="00E23D6E">
        <w:rPr>
          <w:rFonts w:asciiTheme="majorBidi" w:hAnsiTheme="majorBidi" w:cstheme="majorBidi"/>
          <w:szCs w:val="24"/>
          <w:lang w:val="fr-CH"/>
        </w:rPr>
        <w:t>2016</w:t>
      </w:r>
    </w:p>
    <w:p w:rsidR="009F1BC7" w:rsidRPr="00E23D6E" w:rsidRDefault="00E23D6E" w:rsidP="00A17011">
      <w:pPr>
        <w:tabs>
          <w:tab w:val="left" w:pos="794"/>
          <w:tab w:val="left" w:pos="1191"/>
          <w:tab w:val="left" w:pos="1588"/>
          <w:tab w:val="left" w:pos="1985"/>
        </w:tabs>
        <w:rPr>
          <w:rFonts w:asciiTheme="majorBidi" w:hAnsiTheme="majorBidi" w:cstheme="majorBidi"/>
          <w:szCs w:val="24"/>
          <w:lang w:val="fr-CH"/>
        </w:rPr>
      </w:pPr>
      <w:r w:rsidRPr="00FE63F3">
        <w:rPr>
          <w:rFonts w:asciiTheme="majorBidi" w:hAnsiTheme="majorBidi" w:cstheme="majorBidi"/>
          <w:szCs w:val="24"/>
        </w:rPr>
        <w:t xml:space="preserve">Tous droits réservés. </w:t>
      </w:r>
      <w:r w:rsidRPr="00E23D6E">
        <w:rPr>
          <w:rFonts w:asciiTheme="majorBidi" w:hAnsiTheme="majorBidi" w:cstheme="majorBidi"/>
          <w:szCs w:val="24"/>
          <w:lang w:val="fr-CH"/>
        </w:rPr>
        <w:t>Aucune partie de cette publication ne peut être reproduite, par quelque procédé que ce soit, sans l'accord écrit préalable de l'UIT.</w:t>
      </w:r>
    </w:p>
    <w:p w:rsidR="009F1BC7" w:rsidRPr="00E23D6E" w:rsidRDefault="009F1BC7" w:rsidP="00A17011">
      <w:pPr>
        <w:rPr>
          <w:rFonts w:asciiTheme="majorBidi" w:hAnsiTheme="majorBidi" w:cstheme="majorBidi"/>
          <w:szCs w:val="24"/>
          <w:lang w:val="fr-CH"/>
        </w:rPr>
        <w:sectPr w:rsidR="009F1BC7" w:rsidRPr="00E23D6E" w:rsidSect="004C120E">
          <w:footerReference w:type="even" r:id="rId11"/>
          <w:footerReference w:type="default" r:id="rId12"/>
          <w:pgSz w:w="11907" w:h="16839" w:code="9"/>
          <w:pgMar w:top="737" w:right="794" w:bottom="737" w:left="794" w:header="284" w:footer="284" w:gutter="0"/>
          <w:pgNumType w:fmt="lowerRoman"/>
          <w:cols w:space="720"/>
          <w:vAlign w:val="both"/>
          <w:noEndnote/>
          <w:docGrid w:linePitch="218"/>
        </w:sectPr>
      </w:pPr>
    </w:p>
    <w:p w:rsidR="00B556B4" w:rsidRPr="00A17011" w:rsidRDefault="00E23D6E" w:rsidP="00A17011">
      <w:pPr>
        <w:pStyle w:val="Restitle"/>
        <w:rPr>
          <w:rFonts w:asciiTheme="majorBidi" w:hAnsiTheme="majorBidi" w:cstheme="majorBidi"/>
          <w:sz w:val="24"/>
          <w:szCs w:val="24"/>
          <w:lang w:val="fr-CH"/>
        </w:rPr>
      </w:pPr>
      <w:bookmarkStart w:id="10" w:name="_Toc463595251"/>
      <w:bookmarkStart w:id="11" w:name="_Toc463611676"/>
      <w:bookmarkStart w:id="12" w:name="_Toc463612101"/>
      <w:bookmarkStart w:id="13" w:name="_Toc463613011"/>
      <w:bookmarkStart w:id="14" w:name="_Toc463613265"/>
      <w:bookmarkStart w:id="15" w:name="_Toc463614679"/>
      <w:bookmarkStart w:id="16" w:name="_Toc463615402"/>
      <w:bookmarkStart w:id="17" w:name="_Toc463616125"/>
      <w:bookmarkStart w:id="18" w:name="_Toc337471286"/>
      <w:r w:rsidRPr="00A17011">
        <w:rPr>
          <w:rFonts w:asciiTheme="majorBidi" w:hAnsiTheme="majorBidi" w:cstheme="majorBidi"/>
          <w:sz w:val="24"/>
          <w:szCs w:val="24"/>
          <w:lang w:val="fr-CH"/>
        </w:rPr>
        <w:lastRenderedPageBreak/>
        <w:t>TABLE DES MATIÈRES</w:t>
      </w:r>
      <w:bookmarkEnd w:id="10"/>
      <w:bookmarkEnd w:id="11"/>
      <w:bookmarkEnd w:id="12"/>
      <w:bookmarkEnd w:id="13"/>
      <w:bookmarkEnd w:id="14"/>
      <w:bookmarkEnd w:id="15"/>
      <w:bookmarkEnd w:id="16"/>
      <w:bookmarkEnd w:id="17"/>
    </w:p>
    <w:p w:rsidR="00491F03" w:rsidRDefault="00491F03" w:rsidP="005834F5">
      <w:pPr>
        <w:rPr>
          <w:rFonts w:asciiTheme="majorBidi" w:hAnsiTheme="majorBidi" w:cstheme="majorBidi"/>
          <w:webHidden/>
          <w:szCs w:val="24"/>
          <w:lang w:val="fr-CH"/>
        </w:rPr>
      </w:pPr>
      <w:r w:rsidRPr="00A17011">
        <w:rPr>
          <w:rFonts w:asciiTheme="majorBidi" w:hAnsiTheme="majorBidi" w:cstheme="majorBidi"/>
          <w:webHidden/>
          <w:szCs w:val="24"/>
          <w:u w:val="single"/>
          <w:lang w:val="fr-CH"/>
        </w:rPr>
        <w:t>Note</w:t>
      </w:r>
      <w:r w:rsidRPr="00A17011">
        <w:rPr>
          <w:rFonts w:asciiTheme="majorBidi" w:hAnsiTheme="majorBidi" w:cstheme="majorBidi"/>
          <w:webHidden/>
          <w:szCs w:val="24"/>
          <w:lang w:val="fr-CH"/>
        </w:rPr>
        <w:t xml:space="preserve">: </w:t>
      </w:r>
      <w:r w:rsidR="00F90674" w:rsidRPr="00F90674">
        <w:rPr>
          <w:rFonts w:asciiTheme="majorBidi" w:hAnsiTheme="majorBidi" w:cstheme="majorBidi"/>
          <w:webHidden/>
          <w:szCs w:val="24"/>
          <w:lang w:val="fr-CH"/>
        </w:rPr>
        <w:t xml:space="preserve">Dans la liste </w:t>
      </w:r>
      <w:r w:rsidR="00CB1977" w:rsidRPr="00F90674">
        <w:rPr>
          <w:rFonts w:asciiTheme="majorBidi" w:hAnsiTheme="majorBidi" w:cstheme="majorBidi"/>
          <w:webHidden/>
          <w:szCs w:val="24"/>
          <w:lang w:val="fr-CH"/>
        </w:rPr>
        <w:t>ci-après</w:t>
      </w:r>
      <w:r w:rsidRPr="00A17011">
        <w:rPr>
          <w:rFonts w:asciiTheme="majorBidi" w:hAnsiTheme="majorBidi" w:cstheme="majorBidi"/>
          <w:webHidden/>
          <w:szCs w:val="24"/>
          <w:lang w:val="fr-CH"/>
        </w:rPr>
        <w:t xml:space="preserve">, </w:t>
      </w:r>
      <w:r w:rsidR="00A17011">
        <w:rPr>
          <w:rFonts w:asciiTheme="majorBidi" w:hAnsiTheme="majorBidi" w:cstheme="majorBidi"/>
          <w:webHidden/>
          <w:szCs w:val="24"/>
          <w:lang w:val="fr-CH"/>
        </w:rPr>
        <w:t>«AI»</w:t>
      </w:r>
      <w:r w:rsidR="00F90674" w:rsidRPr="00F90674">
        <w:rPr>
          <w:rFonts w:asciiTheme="majorBidi" w:hAnsiTheme="majorBidi" w:cstheme="majorBidi"/>
          <w:webHidden/>
          <w:szCs w:val="24"/>
          <w:lang w:val="fr-CH"/>
        </w:rPr>
        <w:t xml:space="preserve"> renvoie à des points de l'ordre du jour de la CMR-19 et </w:t>
      </w:r>
      <w:r w:rsidR="00A17011">
        <w:rPr>
          <w:rFonts w:asciiTheme="majorBidi" w:hAnsiTheme="majorBidi" w:cstheme="majorBidi"/>
          <w:webHidden/>
          <w:szCs w:val="24"/>
          <w:lang w:val="fr-CH"/>
        </w:rPr>
        <w:t>«PAI»</w:t>
      </w:r>
      <w:r w:rsidRPr="00A17011">
        <w:rPr>
          <w:rFonts w:asciiTheme="majorBidi" w:hAnsiTheme="majorBidi" w:cstheme="majorBidi"/>
          <w:webHidden/>
          <w:szCs w:val="24"/>
          <w:lang w:val="fr-CH"/>
        </w:rPr>
        <w:t xml:space="preserve"> </w:t>
      </w:r>
      <w:r w:rsidR="00F90674" w:rsidRPr="00F90674">
        <w:rPr>
          <w:rFonts w:asciiTheme="majorBidi" w:hAnsiTheme="majorBidi" w:cstheme="majorBidi"/>
          <w:webHidden/>
          <w:szCs w:val="24"/>
          <w:lang w:val="fr-CH"/>
        </w:rPr>
        <w:t xml:space="preserve">à des points de l'ordre du jour préliminaire de la CMR-23; </w:t>
      </w:r>
      <w:r w:rsidR="00A17011">
        <w:rPr>
          <w:rFonts w:asciiTheme="majorBidi" w:hAnsiTheme="majorBidi" w:cstheme="majorBidi"/>
          <w:webHidden/>
          <w:szCs w:val="24"/>
          <w:lang w:val="fr-CH"/>
        </w:rPr>
        <w:t>«9.1.1»</w:t>
      </w:r>
      <w:r w:rsidR="00A71789" w:rsidRPr="00F90674">
        <w:rPr>
          <w:rFonts w:asciiTheme="majorBidi" w:hAnsiTheme="majorBidi" w:cstheme="majorBidi"/>
          <w:webHidden/>
          <w:szCs w:val="24"/>
          <w:lang w:val="fr-CH"/>
        </w:rPr>
        <w:t xml:space="preserve"> </w:t>
      </w:r>
      <w:r w:rsidR="00F90674" w:rsidRPr="00F90674">
        <w:rPr>
          <w:rFonts w:asciiTheme="majorBidi" w:hAnsiTheme="majorBidi" w:cstheme="majorBidi"/>
          <w:webHidden/>
          <w:szCs w:val="24"/>
          <w:lang w:val="fr-CH"/>
        </w:rPr>
        <w:t>à</w:t>
      </w:r>
      <w:r w:rsidR="00A17011">
        <w:rPr>
          <w:rFonts w:asciiTheme="majorBidi" w:hAnsiTheme="majorBidi" w:cstheme="majorBidi"/>
          <w:webHidden/>
          <w:szCs w:val="24"/>
          <w:lang w:val="fr-CH"/>
        </w:rPr>
        <w:t xml:space="preserve"> «</w:t>
      </w:r>
      <w:r w:rsidR="00A71789" w:rsidRPr="00F90674">
        <w:rPr>
          <w:rFonts w:asciiTheme="majorBidi" w:hAnsiTheme="majorBidi" w:cstheme="majorBidi"/>
          <w:webHidden/>
          <w:szCs w:val="24"/>
          <w:lang w:val="fr-CH"/>
        </w:rPr>
        <w:t>9.1.9</w:t>
      </w:r>
      <w:r w:rsidR="00A17011">
        <w:rPr>
          <w:rFonts w:asciiTheme="majorBidi" w:hAnsiTheme="majorBidi" w:cstheme="majorBidi"/>
          <w:webHidden/>
          <w:szCs w:val="24"/>
          <w:lang w:val="fr-CH"/>
        </w:rPr>
        <w:t>»</w:t>
      </w:r>
      <w:r w:rsidR="005834F5">
        <w:rPr>
          <w:rFonts w:asciiTheme="majorBidi" w:hAnsiTheme="majorBidi" w:cstheme="majorBidi"/>
          <w:webHidden/>
          <w:szCs w:val="24"/>
          <w:lang w:val="fr-CH"/>
        </w:rPr>
        <w:t xml:space="preserve"> </w:t>
      </w:r>
      <w:r w:rsidR="00F90674" w:rsidRPr="00F90674">
        <w:rPr>
          <w:rFonts w:asciiTheme="majorBidi" w:hAnsiTheme="majorBidi" w:cstheme="majorBidi"/>
          <w:webHidden/>
          <w:szCs w:val="24"/>
          <w:lang w:val="fr-CH"/>
        </w:rPr>
        <w:t>sont les numéros donnés</w:t>
      </w:r>
      <w:r w:rsidR="00A71789" w:rsidRPr="00F90674">
        <w:rPr>
          <w:rFonts w:asciiTheme="majorBidi" w:hAnsiTheme="majorBidi" w:cstheme="majorBidi"/>
          <w:webHidden/>
          <w:szCs w:val="24"/>
          <w:lang w:val="fr-CH"/>
        </w:rPr>
        <w:t xml:space="preserve"> </w:t>
      </w:r>
      <w:r w:rsidR="00F90674">
        <w:rPr>
          <w:rFonts w:asciiTheme="majorBidi" w:hAnsiTheme="majorBidi" w:cstheme="majorBidi"/>
          <w:webHidden/>
          <w:szCs w:val="24"/>
          <w:lang w:val="fr-CH"/>
        </w:rPr>
        <w:t xml:space="preserve">aux neuf questions qui </w:t>
      </w:r>
      <w:r w:rsidR="00F90674" w:rsidRPr="00F90674">
        <w:rPr>
          <w:rFonts w:asciiTheme="majorBidi" w:hAnsiTheme="majorBidi" w:cstheme="majorBidi"/>
          <w:webHidden/>
          <w:szCs w:val="24"/>
          <w:lang w:val="fr-CH"/>
        </w:rPr>
        <w:t>ont été</w:t>
      </w:r>
      <w:r w:rsidR="00F90674">
        <w:rPr>
          <w:rFonts w:asciiTheme="majorBidi" w:hAnsiTheme="majorBidi" w:cstheme="majorBidi"/>
          <w:webHidden/>
          <w:szCs w:val="24"/>
          <w:lang w:val="fr-CH"/>
        </w:rPr>
        <w:t xml:space="preserve"> identifiées dans les Résolutions de la CMR-15</w:t>
      </w:r>
      <w:r w:rsidR="00F90674" w:rsidRPr="00F90674">
        <w:rPr>
          <w:rFonts w:asciiTheme="majorBidi" w:hAnsiTheme="majorBidi" w:cstheme="majorBidi"/>
          <w:webHidden/>
          <w:szCs w:val="24"/>
          <w:lang w:val="fr-CH"/>
        </w:rPr>
        <w:t xml:space="preserve"> </w:t>
      </w:r>
      <w:r w:rsidR="00F90674">
        <w:rPr>
          <w:rFonts w:asciiTheme="majorBidi" w:hAnsiTheme="majorBidi" w:cstheme="majorBidi"/>
          <w:webHidden/>
          <w:szCs w:val="24"/>
          <w:lang w:val="fr-CH"/>
        </w:rPr>
        <w:t>en vue de l'élaboration</w:t>
      </w:r>
      <w:r w:rsidR="00A71789" w:rsidRPr="00F90674">
        <w:rPr>
          <w:rFonts w:asciiTheme="majorBidi" w:hAnsiTheme="majorBidi" w:cstheme="majorBidi"/>
          <w:szCs w:val="24"/>
          <w:lang w:val="fr-CH"/>
        </w:rPr>
        <w:t xml:space="preserve"> </w:t>
      </w:r>
      <w:r w:rsidR="00F90674">
        <w:rPr>
          <w:rFonts w:asciiTheme="majorBidi" w:hAnsiTheme="majorBidi" w:cstheme="majorBidi"/>
          <w:szCs w:val="24"/>
          <w:lang w:val="fr-CH"/>
        </w:rPr>
        <w:t>du point 9.1 de l'ordre du jour</w:t>
      </w:r>
      <w:r w:rsidR="00A71789" w:rsidRPr="00F90674">
        <w:rPr>
          <w:rFonts w:asciiTheme="majorBidi" w:hAnsiTheme="majorBidi" w:cstheme="majorBidi"/>
          <w:szCs w:val="24"/>
          <w:lang w:val="fr-CH"/>
        </w:rPr>
        <w:t xml:space="preserve"> (</w:t>
      </w:r>
      <w:r w:rsidR="00F90674">
        <w:rPr>
          <w:rFonts w:asciiTheme="majorBidi" w:hAnsiTheme="majorBidi" w:cstheme="majorBidi"/>
          <w:szCs w:val="24"/>
          <w:lang w:val="fr-CH"/>
        </w:rPr>
        <w:t>se reporter aux résultats de la première session de la Réunion de préparation à la Conférence en vue de la CMR-19 (RPC19</w:t>
      </w:r>
      <w:r w:rsidR="003347FA">
        <w:rPr>
          <w:rFonts w:asciiTheme="majorBidi" w:hAnsiTheme="majorBidi" w:cstheme="majorBidi"/>
          <w:szCs w:val="24"/>
          <w:lang w:val="fr-CH"/>
        </w:rPr>
        <w:t>-1</w:t>
      </w:r>
      <w:r w:rsidR="00F90674">
        <w:rPr>
          <w:rFonts w:asciiTheme="majorBidi" w:hAnsiTheme="majorBidi" w:cstheme="majorBidi"/>
          <w:szCs w:val="24"/>
          <w:lang w:val="fr-CH"/>
        </w:rPr>
        <w:t>)</w:t>
      </w:r>
      <w:r w:rsidR="00D74410">
        <w:rPr>
          <w:rFonts w:asciiTheme="majorBidi" w:hAnsiTheme="majorBidi" w:cstheme="majorBidi"/>
          <w:szCs w:val="24"/>
          <w:lang w:val="fr-CH"/>
        </w:rPr>
        <w:t xml:space="preserve"> </w:t>
      </w:r>
      <w:r w:rsidR="003347FA">
        <w:rPr>
          <w:rFonts w:asciiTheme="majorBidi" w:hAnsiTheme="majorBidi" w:cstheme="majorBidi"/>
          <w:szCs w:val="24"/>
          <w:lang w:val="fr-CH"/>
        </w:rPr>
        <w:t>da</w:t>
      </w:r>
      <w:r w:rsidR="00A17011">
        <w:rPr>
          <w:rFonts w:asciiTheme="majorBidi" w:hAnsiTheme="majorBidi" w:cstheme="majorBidi"/>
          <w:szCs w:val="24"/>
          <w:lang w:val="fr-CH"/>
        </w:rPr>
        <w:t>ns la Circulaire administrative</w:t>
      </w:r>
      <w:r w:rsidR="00A71789" w:rsidRPr="00F90674">
        <w:rPr>
          <w:rFonts w:asciiTheme="majorBidi" w:hAnsiTheme="majorBidi" w:cstheme="majorBidi"/>
          <w:szCs w:val="24"/>
          <w:lang w:val="fr-CH"/>
        </w:rPr>
        <w:t xml:space="preserve"> </w:t>
      </w:r>
      <w:hyperlink r:id="rId13" w:history="1">
        <w:r w:rsidR="00A71789" w:rsidRPr="00F90674">
          <w:rPr>
            <w:rStyle w:val="Hyperlink"/>
            <w:rFonts w:asciiTheme="majorBidi" w:hAnsiTheme="majorBidi" w:cstheme="majorBidi"/>
            <w:szCs w:val="24"/>
            <w:lang w:val="fr-CH"/>
          </w:rPr>
          <w:t>CA/226</w:t>
        </w:r>
      </w:hyperlink>
      <w:r w:rsidR="00A71789" w:rsidRPr="00F90674">
        <w:rPr>
          <w:rFonts w:asciiTheme="majorBidi" w:hAnsiTheme="majorBidi" w:cstheme="majorBidi"/>
          <w:webHidden/>
          <w:szCs w:val="24"/>
          <w:lang w:val="fr-CH"/>
        </w:rPr>
        <w:t>)</w:t>
      </w:r>
      <w:r w:rsidRPr="00A17011">
        <w:rPr>
          <w:rFonts w:asciiTheme="majorBidi" w:hAnsiTheme="majorBidi" w:cstheme="majorBidi"/>
          <w:webHidden/>
          <w:szCs w:val="24"/>
          <w:lang w:val="fr-CH"/>
        </w:rPr>
        <w:t>.</w:t>
      </w:r>
    </w:p>
    <w:p w:rsidR="00A17011" w:rsidRPr="00F90674" w:rsidRDefault="00A17011" w:rsidP="00A17011">
      <w:pPr>
        <w:rPr>
          <w:rFonts w:asciiTheme="majorBidi" w:hAnsiTheme="majorBidi" w:cstheme="majorBidi"/>
          <w:webHidden/>
          <w:szCs w:val="24"/>
          <w:lang w:val="fr-CH"/>
        </w:rPr>
      </w:pPr>
    </w:p>
    <w:p w:rsidR="00C844AB" w:rsidRDefault="00D01CD1" w:rsidP="00A17011">
      <w:pPr>
        <w:pStyle w:val="toc0"/>
        <w:rPr>
          <w:rFonts w:eastAsiaTheme="minorEastAsia"/>
          <w:noProof/>
          <w:lang w:val="en-US" w:eastAsia="zh-CN"/>
        </w:rPr>
      </w:pPr>
      <w:r w:rsidRPr="00F90674">
        <w:rPr>
          <w:rFonts w:eastAsiaTheme="minorEastAsia"/>
          <w:noProof/>
          <w:lang w:val="fr-CH" w:eastAsia="zh-CN"/>
        </w:rPr>
        <w:tab/>
      </w:r>
      <w:r w:rsidR="00C844AB" w:rsidRPr="00C844AB">
        <w:rPr>
          <w:rFonts w:eastAsiaTheme="minorEastAsia"/>
          <w:noProof/>
          <w:lang w:val="en-US" w:eastAsia="zh-CN"/>
        </w:rPr>
        <w:t>Page</w:t>
      </w:r>
    </w:p>
    <w:sdt>
      <w:sdtPr>
        <w:rPr>
          <w:rFonts w:asciiTheme="majorBidi" w:hAnsiTheme="majorBidi" w:cstheme="majorBidi"/>
          <w:noProof/>
          <w:szCs w:val="24"/>
        </w:rPr>
        <w:id w:val="1579562335"/>
        <w:docPartObj>
          <w:docPartGallery w:val="Table of Contents"/>
          <w:docPartUnique/>
        </w:docPartObj>
      </w:sdtPr>
      <w:sdtEndPr>
        <w:rPr>
          <w:b/>
          <w:bCs/>
        </w:rPr>
      </w:sdtEndPr>
      <w:sdtContent>
        <w:p w:rsidR="007B6371" w:rsidRDefault="007B6371" w:rsidP="00A17011">
          <w:pPr>
            <w:pStyle w:val="TOC1"/>
            <w:spacing w:before="60" w:after="80"/>
            <w:rPr>
              <w:rFonts w:asciiTheme="minorHAnsi" w:eastAsiaTheme="minorEastAsia" w:hAnsiTheme="minorHAnsi" w:cstheme="minorBidi"/>
              <w:noProof/>
              <w:sz w:val="22"/>
              <w:szCs w:val="22"/>
              <w:lang w:val="en-US" w:eastAsia="zh-CN"/>
            </w:rPr>
          </w:pPr>
          <w:r>
            <w:rPr>
              <w:rFonts w:asciiTheme="majorBidi" w:hAnsiTheme="majorBidi" w:cstheme="majorBidi"/>
              <w:noProof/>
              <w:szCs w:val="24"/>
            </w:rPr>
            <w:fldChar w:fldCharType="begin"/>
          </w:r>
          <w:r>
            <w:rPr>
              <w:rFonts w:asciiTheme="majorBidi" w:hAnsiTheme="majorBidi" w:cstheme="majorBidi"/>
              <w:noProof/>
              <w:szCs w:val="24"/>
            </w:rPr>
            <w:instrText xml:space="preserve"> TOC \o "1-1" \h \z \t "Res_No,1,Res_title,1" </w:instrText>
          </w:r>
          <w:r>
            <w:rPr>
              <w:rFonts w:asciiTheme="majorBidi" w:hAnsiTheme="majorBidi" w:cstheme="majorBidi"/>
              <w:noProof/>
              <w:szCs w:val="24"/>
            </w:rPr>
            <w:fldChar w:fldCharType="separate"/>
          </w:r>
          <w:hyperlink w:anchor="_Toc463616126" w:history="1">
            <w:r w:rsidRPr="009C5F88">
              <w:rPr>
                <w:rStyle w:val="Hyperlink"/>
                <w:rFonts w:asciiTheme="majorBidi" w:hAnsiTheme="majorBidi" w:cstheme="majorBidi"/>
                <w:noProof/>
                <w:lang w:val="fr-CH"/>
              </w:rPr>
              <w:t>PRÉFACE</w:t>
            </w:r>
            <w:r>
              <w:rPr>
                <w:noProof/>
                <w:webHidden/>
              </w:rPr>
              <w:tab/>
            </w:r>
            <w:r>
              <w:rPr>
                <w:noProof/>
                <w:webHidden/>
              </w:rPr>
              <w:tab/>
            </w:r>
            <w:r>
              <w:rPr>
                <w:noProof/>
                <w:webHidden/>
              </w:rPr>
              <w:fldChar w:fldCharType="begin"/>
            </w:r>
            <w:r>
              <w:rPr>
                <w:noProof/>
                <w:webHidden/>
              </w:rPr>
              <w:instrText xml:space="preserve"> PAGEREF _Toc463616126 \h </w:instrText>
            </w:r>
            <w:r>
              <w:rPr>
                <w:noProof/>
                <w:webHidden/>
              </w:rPr>
            </w:r>
            <w:r>
              <w:rPr>
                <w:noProof/>
                <w:webHidden/>
              </w:rPr>
              <w:fldChar w:fldCharType="separate"/>
            </w:r>
            <w:r>
              <w:rPr>
                <w:noProof/>
                <w:webHidden/>
              </w:rPr>
              <w:t>1</w:t>
            </w:r>
            <w:r>
              <w:rPr>
                <w:noProof/>
                <w:webHidden/>
              </w:rPr>
              <w:fldChar w:fldCharType="end"/>
            </w:r>
          </w:hyperlink>
        </w:p>
        <w:p w:rsidR="001C64BC" w:rsidRDefault="00C03421" w:rsidP="00C6044E">
          <w:pPr>
            <w:pStyle w:val="TOC1"/>
            <w:spacing w:before="60" w:after="80" w:line="480" w:lineRule="auto"/>
            <w:rPr>
              <w:rStyle w:val="Hyperlink"/>
              <w:noProof/>
            </w:rPr>
          </w:pPr>
          <w:hyperlink w:anchor="_Toc463616127" w:history="1">
            <w:r w:rsidR="007B6371" w:rsidRPr="009C5F88">
              <w:rPr>
                <w:rStyle w:val="Hyperlink"/>
                <w:noProof/>
              </w:rPr>
              <w:t>RÉSOLUTION 1380 (C16</w:t>
            </w:r>
            <w:r w:rsidR="009E4E7C" w:rsidRPr="009E4E7C">
              <w:rPr>
                <w:rStyle w:val="Hyperlink"/>
                <w:noProof/>
              </w:rPr>
              <w:t xml:space="preserve">, </w:t>
            </w:r>
            <w:r w:rsidR="00C6044E" w:rsidRPr="00C6044E">
              <w:rPr>
                <w:rStyle w:val="Hyperlink"/>
                <w:noProof/>
              </w:rPr>
              <w:t>dernière mod.</w:t>
            </w:r>
            <w:r w:rsidR="00C6044E">
              <w:rPr>
                <w:rStyle w:val="Hyperlink"/>
                <w:noProof/>
              </w:rPr>
              <w:t xml:space="preserve"> </w:t>
            </w:r>
            <w:r w:rsidR="009E4E7C" w:rsidRPr="009E4E7C">
              <w:rPr>
                <w:rStyle w:val="Hyperlink"/>
                <w:noProof/>
              </w:rPr>
              <w:t>C17</w:t>
            </w:r>
            <w:r w:rsidR="007B6371" w:rsidRPr="009C5F88">
              <w:rPr>
                <w:rStyle w:val="Hyperlink"/>
                <w:noProof/>
              </w:rPr>
              <w:t>)</w:t>
            </w:r>
          </w:hyperlink>
          <w:r w:rsidR="001C64BC">
            <w:rPr>
              <w:rStyle w:val="Hyperlink"/>
              <w:noProof/>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28" w:history="1">
            <w:r w:rsidR="007B6371" w:rsidRPr="009C5F88">
              <w:rPr>
                <w:rStyle w:val="Hyperlink"/>
                <w:noProof/>
              </w:rPr>
              <w:t>Lieu, dates et ordre du jour de la Conférence mo</w:t>
            </w:r>
            <w:r>
              <w:rPr>
                <w:rStyle w:val="Hyperlink"/>
                <w:noProof/>
              </w:rPr>
              <w:t>ndiale  des radiocommunications</w:t>
            </w:r>
            <w:r>
              <w:rPr>
                <w:rStyle w:val="Hyperlink"/>
                <w:noProof/>
              </w:rPr>
              <w:br/>
            </w:r>
            <w:r w:rsidR="007B6371" w:rsidRPr="009C5F88">
              <w:rPr>
                <w:rStyle w:val="Hyperlink"/>
                <w:noProof/>
              </w:rPr>
              <w:t>(CMR-19)</w:t>
            </w:r>
            <w:r w:rsidR="007B6371">
              <w:rPr>
                <w:noProof/>
                <w:webHidden/>
              </w:rPr>
              <w:tab/>
            </w:r>
            <w:r>
              <w:rPr>
                <w:noProof/>
                <w:webHidden/>
              </w:rPr>
              <w:tab/>
            </w:r>
            <w:r w:rsidR="007B6371">
              <w:rPr>
                <w:noProof/>
                <w:webHidden/>
              </w:rPr>
              <w:fldChar w:fldCharType="begin"/>
            </w:r>
            <w:r w:rsidR="007B6371">
              <w:rPr>
                <w:noProof/>
                <w:webHidden/>
              </w:rPr>
              <w:instrText xml:space="preserve"> PAGEREF _Toc463616128 \h </w:instrText>
            </w:r>
            <w:r w:rsidR="007B6371">
              <w:rPr>
                <w:noProof/>
                <w:webHidden/>
              </w:rPr>
            </w:r>
            <w:r w:rsidR="007B6371">
              <w:rPr>
                <w:noProof/>
                <w:webHidden/>
              </w:rPr>
              <w:fldChar w:fldCharType="separate"/>
            </w:r>
            <w:r w:rsidR="007B6371">
              <w:rPr>
                <w:noProof/>
                <w:webHidden/>
              </w:rPr>
              <w:t>2</w:t>
            </w:r>
            <w:r w:rsidR="007B6371">
              <w:rPr>
                <w:noProof/>
                <w:webHidden/>
              </w:rPr>
              <w:fldChar w:fldCharType="end"/>
            </w:r>
          </w:hyperlink>
        </w:p>
        <w:p w:rsidR="001C64BC" w:rsidRDefault="00C03421" w:rsidP="00A17011">
          <w:pPr>
            <w:pStyle w:val="TOC1"/>
            <w:spacing w:before="60" w:after="80"/>
            <w:rPr>
              <w:rStyle w:val="Hyperlink"/>
              <w:noProof/>
            </w:rPr>
          </w:pPr>
          <w:hyperlink w:anchor="_Toc463616129" w:history="1">
            <w:r w:rsidR="007B6371" w:rsidRPr="009C5F88">
              <w:rPr>
                <w:rStyle w:val="Hyperlink"/>
                <w:noProof/>
              </w:rPr>
              <w:t>RÉSOLUTION 809 (CMR</w:t>
            </w:r>
            <w:r w:rsidR="007B6371" w:rsidRPr="009C5F88">
              <w:rPr>
                <w:rStyle w:val="Hyperlink"/>
                <w:noProof/>
              </w:rPr>
              <w:noBreakHyphen/>
              <w:t>15)</w:t>
            </w:r>
          </w:hyperlink>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30" w:history="1">
            <w:r w:rsidR="007B6371" w:rsidRPr="009C5F88">
              <w:rPr>
                <w:rStyle w:val="Hyperlink"/>
                <w:noProof/>
              </w:rPr>
              <w:t xml:space="preserve">Ordre du jour de </w:t>
            </w:r>
            <w:r w:rsidR="007B6371" w:rsidRPr="001C64BC">
              <w:rPr>
                <w:rStyle w:val="Hyperlink"/>
                <w:rFonts w:asciiTheme="majorBidi" w:hAnsiTheme="majorBidi" w:cstheme="majorBidi"/>
                <w:noProof/>
                <w:sz w:val="23"/>
                <w:szCs w:val="23"/>
                <w:lang w:val="en-GB"/>
              </w:rPr>
              <w:t>la</w:t>
            </w:r>
            <w:r w:rsidR="007B6371" w:rsidRPr="009C5F88">
              <w:rPr>
                <w:rStyle w:val="Hyperlink"/>
                <w:noProof/>
              </w:rPr>
              <w:t xml:space="preserve">  Conférence mondiale des radiocommunications</w:t>
            </w:r>
            <w:r w:rsidR="0007728F">
              <w:rPr>
                <w:rStyle w:val="Hyperlink"/>
                <w:noProof/>
              </w:rPr>
              <w:t xml:space="preserve"> </w:t>
            </w:r>
            <w:r w:rsidR="007B6371" w:rsidRPr="009C5F88">
              <w:rPr>
                <w:rStyle w:val="Hyperlink"/>
                <w:noProof/>
              </w:rPr>
              <w:t>de 2019</w:t>
            </w:r>
            <w:r w:rsidR="007B6371">
              <w:rPr>
                <w:noProof/>
                <w:webHidden/>
              </w:rPr>
              <w:tab/>
            </w:r>
            <w:r w:rsidR="007B6371">
              <w:rPr>
                <w:noProof/>
                <w:webHidden/>
              </w:rPr>
              <w:tab/>
            </w:r>
            <w:r w:rsidR="007B6371">
              <w:rPr>
                <w:noProof/>
                <w:webHidden/>
              </w:rPr>
              <w:fldChar w:fldCharType="begin"/>
            </w:r>
            <w:r w:rsidR="007B6371">
              <w:rPr>
                <w:noProof/>
                <w:webHidden/>
              </w:rPr>
              <w:instrText xml:space="preserve"> PAGEREF _Toc463616130 \h </w:instrText>
            </w:r>
            <w:r w:rsidR="007B6371">
              <w:rPr>
                <w:noProof/>
                <w:webHidden/>
              </w:rPr>
            </w:r>
            <w:r w:rsidR="007B6371">
              <w:rPr>
                <w:noProof/>
                <w:webHidden/>
              </w:rPr>
              <w:fldChar w:fldCharType="separate"/>
            </w:r>
            <w:r w:rsidR="007B6371">
              <w:rPr>
                <w:noProof/>
                <w:webHidden/>
              </w:rPr>
              <w:t>7</w:t>
            </w:r>
            <w:r w:rsidR="007B6371">
              <w:rPr>
                <w:noProof/>
                <w:webHidden/>
              </w:rPr>
              <w:fldChar w:fldCharType="end"/>
            </w:r>
          </w:hyperlink>
        </w:p>
        <w:p w:rsidR="002F712B" w:rsidRDefault="00C03421" w:rsidP="00A17011">
          <w:pPr>
            <w:pStyle w:val="TOC1"/>
            <w:spacing w:before="60" w:after="80"/>
            <w:rPr>
              <w:rStyle w:val="Hyperlink"/>
              <w:noProof/>
            </w:rPr>
          </w:pPr>
          <w:hyperlink w:anchor="_Toc463616131" w:history="1">
            <w:r w:rsidR="007B6371" w:rsidRPr="009C5F88">
              <w:rPr>
                <w:rStyle w:val="Hyperlink"/>
                <w:noProof/>
              </w:rPr>
              <w:t>RÉSOLUTION 810 (CMR</w:t>
            </w:r>
            <w:r w:rsidR="007B6371" w:rsidRPr="009C5F88">
              <w:rPr>
                <w:rStyle w:val="Hyperlink"/>
                <w:noProof/>
              </w:rPr>
              <w:noBreakHyphen/>
              <w:t>15)</w:t>
            </w:r>
          </w:hyperlink>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32" w:history="1">
            <w:r w:rsidR="007B6371" w:rsidRPr="009C5F88">
              <w:rPr>
                <w:rStyle w:val="Hyperlink"/>
                <w:noProof/>
              </w:rPr>
              <w:t>Ordre du jour préliminaire de la Conférence mondiale des radiocommunications</w:t>
            </w:r>
            <w:r w:rsidR="00891FF1">
              <w:rPr>
                <w:rStyle w:val="Hyperlink"/>
                <w:noProof/>
              </w:rPr>
              <w:t xml:space="preserve"> </w:t>
            </w:r>
            <w:r w:rsidR="00891FF1">
              <w:rPr>
                <w:rStyle w:val="Hyperlink"/>
                <w:noProof/>
              </w:rPr>
              <w:br/>
            </w:r>
            <w:r w:rsidR="007B6371" w:rsidRPr="009C5F88">
              <w:rPr>
                <w:rStyle w:val="Hyperlink"/>
                <w:noProof/>
              </w:rPr>
              <w:t>de 2023</w:t>
            </w:r>
            <w:r w:rsidR="007B6371">
              <w:rPr>
                <w:noProof/>
                <w:webHidden/>
              </w:rPr>
              <w:tab/>
            </w:r>
            <w:r>
              <w:rPr>
                <w:noProof/>
                <w:webHidden/>
              </w:rPr>
              <w:tab/>
            </w:r>
            <w:r w:rsidR="007B6371">
              <w:rPr>
                <w:noProof/>
                <w:webHidden/>
              </w:rPr>
              <w:fldChar w:fldCharType="begin"/>
            </w:r>
            <w:r w:rsidR="007B6371">
              <w:rPr>
                <w:noProof/>
                <w:webHidden/>
              </w:rPr>
              <w:instrText xml:space="preserve"> PAGEREF _Toc463616132 \h </w:instrText>
            </w:r>
            <w:r w:rsidR="007B6371">
              <w:rPr>
                <w:noProof/>
                <w:webHidden/>
              </w:rPr>
            </w:r>
            <w:r w:rsidR="007B6371">
              <w:rPr>
                <w:noProof/>
                <w:webHidden/>
              </w:rPr>
              <w:fldChar w:fldCharType="separate"/>
            </w:r>
            <w:r w:rsidR="007B6371">
              <w:rPr>
                <w:noProof/>
                <w:webHidden/>
              </w:rPr>
              <w:t>11</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33" w:history="1">
            <w:r w:rsidR="007B6371" w:rsidRPr="009C5F88">
              <w:rPr>
                <w:rStyle w:val="Hyperlink"/>
                <w:noProof/>
              </w:rPr>
              <w:t>RÉSOLUTION 26 (Rév.CMR-07)</w:t>
            </w:r>
          </w:hyperlink>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34" w:history="1">
            <w:r w:rsidR="007B6371" w:rsidRPr="009C5F88">
              <w:rPr>
                <w:rStyle w:val="Hyperlink"/>
                <w:noProof/>
              </w:rPr>
              <w:t xml:space="preserve">Renvois du Tableau d'attribution des bandes de fréquences dans l'Article 5 </w:t>
            </w:r>
            <w:r>
              <w:rPr>
                <w:rStyle w:val="Hyperlink"/>
                <w:noProof/>
              </w:rPr>
              <w:br/>
            </w:r>
            <w:r w:rsidR="007B6371" w:rsidRPr="009C5F88">
              <w:rPr>
                <w:rStyle w:val="Hyperlink"/>
                <w:noProof/>
              </w:rPr>
              <w:t>du Règlement des radiocommunications</w:t>
            </w:r>
            <w:r w:rsidR="007B6371">
              <w:rPr>
                <w:noProof/>
                <w:webHidden/>
              </w:rPr>
              <w:tab/>
            </w:r>
            <w:r>
              <w:rPr>
                <w:noProof/>
                <w:webHidden/>
              </w:rPr>
              <w:tab/>
            </w:r>
            <w:r w:rsidR="007B6371">
              <w:rPr>
                <w:noProof/>
                <w:webHidden/>
              </w:rPr>
              <w:fldChar w:fldCharType="begin"/>
            </w:r>
            <w:r w:rsidR="007B6371">
              <w:rPr>
                <w:noProof/>
                <w:webHidden/>
              </w:rPr>
              <w:instrText xml:space="preserve"> PAGEREF _Toc463616134 \h </w:instrText>
            </w:r>
            <w:r w:rsidR="007B6371">
              <w:rPr>
                <w:noProof/>
                <w:webHidden/>
              </w:rPr>
            </w:r>
            <w:r w:rsidR="007B6371">
              <w:rPr>
                <w:noProof/>
                <w:webHidden/>
              </w:rPr>
              <w:fldChar w:fldCharType="separate"/>
            </w:r>
            <w:r w:rsidR="007B6371">
              <w:rPr>
                <w:noProof/>
                <w:webHidden/>
              </w:rPr>
              <w:t>13</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35" w:history="1">
            <w:r w:rsidR="007B6371" w:rsidRPr="009C5F88">
              <w:rPr>
                <w:rStyle w:val="Hyperlink"/>
                <w:noProof/>
              </w:rPr>
              <w:t>RÉSOLUTION 27 (Rév.CMR</w:t>
            </w:r>
            <w:r w:rsidR="007B6371" w:rsidRPr="009C5F88">
              <w:rPr>
                <w:rStyle w:val="Hyperlink"/>
                <w:noProof/>
              </w:rPr>
              <w:noBreakHyphen/>
              <w:t>12)</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36" w:history="1">
            <w:r w:rsidR="007B6371" w:rsidRPr="009C5F88">
              <w:rPr>
                <w:rStyle w:val="Hyperlink"/>
                <w:noProof/>
              </w:rPr>
              <w:t>Utilisation de l'incorporation par référence dans le Règlement des radiocommunications</w:t>
            </w:r>
            <w:r w:rsidR="007B6371">
              <w:rPr>
                <w:noProof/>
                <w:webHidden/>
              </w:rPr>
              <w:tab/>
            </w:r>
            <w:r w:rsidR="007B6371">
              <w:rPr>
                <w:noProof/>
                <w:webHidden/>
              </w:rPr>
              <w:fldChar w:fldCharType="begin"/>
            </w:r>
            <w:r w:rsidR="007B6371">
              <w:rPr>
                <w:noProof/>
                <w:webHidden/>
              </w:rPr>
              <w:instrText xml:space="preserve"> PAGEREF _Toc463616136 \h </w:instrText>
            </w:r>
            <w:r w:rsidR="007B6371">
              <w:rPr>
                <w:noProof/>
                <w:webHidden/>
              </w:rPr>
            </w:r>
            <w:r w:rsidR="007B6371">
              <w:rPr>
                <w:noProof/>
                <w:webHidden/>
              </w:rPr>
              <w:fldChar w:fldCharType="separate"/>
            </w:r>
            <w:r w:rsidR="007B6371">
              <w:rPr>
                <w:noProof/>
                <w:webHidden/>
              </w:rPr>
              <w:t>15</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37" w:history="1">
            <w:r w:rsidR="007B6371" w:rsidRPr="009C5F88">
              <w:rPr>
                <w:rStyle w:val="Hyperlink"/>
                <w:noProof/>
              </w:rPr>
              <w:t>RÉSOLUTION 28 (Rév.CMR-15)</w:t>
            </w:r>
          </w:hyperlink>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38" w:history="1">
            <w:r w:rsidR="007B6371" w:rsidRPr="009C5F88">
              <w:rPr>
                <w:rStyle w:val="Hyperlink"/>
                <w:noProof/>
              </w:rPr>
              <w:t>Révision des références aux textes des Recommandations UIT-R incorporés par référence dans le Règlement des radiocommunications</w:t>
            </w:r>
            <w:r w:rsidR="007B6371">
              <w:rPr>
                <w:noProof/>
                <w:webHidden/>
              </w:rPr>
              <w:tab/>
            </w:r>
            <w:r>
              <w:rPr>
                <w:noProof/>
                <w:webHidden/>
              </w:rPr>
              <w:tab/>
            </w:r>
            <w:r w:rsidR="007B6371">
              <w:rPr>
                <w:noProof/>
                <w:webHidden/>
              </w:rPr>
              <w:fldChar w:fldCharType="begin"/>
            </w:r>
            <w:r w:rsidR="007B6371">
              <w:rPr>
                <w:noProof/>
                <w:webHidden/>
              </w:rPr>
              <w:instrText xml:space="preserve"> PAGEREF _Toc463616138 \h </w:instrText>
            </w:r>
            <w:r w:rsidR="007B6371">
              <w:rPr>
                <w:noProof/>
                <w:webHidden/>
              </w:rPr>
            </w:r>
            <w:r w:rsidR="007B6371">
              <w:rPr>
                <w:noProof/>
                <w:webHidden/>
              </w:rPr>
              <w:fldChar w:fldCharType="separate"/>
            </w:r>
            <w:r w:rsidR="007B6371">
              <w:rPr>
                <w:noProof/>
                <w:webHidden/>
              </w:rPr>
              <w:t>19</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39" w:history="1">
            <w:r w:rsidR="007B6371" w:rsidRPr="009C5F88">
              <w:rPr>
                <w:rStyle w:val="Hyperlink"/>
                <w:noProof/>
              </w:rPr>
              <w:t>RÉSOLUTION 80 (Rév.CMR-07)</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40" w:history="1">
            <w:r w:rsidR="007B6371" w:rsidRPr="009C5F88">
              <w:rPr>
                <w:rStyle w:val="Hyperlink"/>
                <w:noProof/>
              </w:rPr>
              <w:t>Procédure de diligence due dans l'application des principes  énoncés dans la Constitution</w:t>
            </w:r>
            <w:r w:rsidR="007B6371">
              <w:rPr>
                <w:noProof/>
                <w:webHidden/>
              </w:rPr>
              <w:tab/>
            </w:r>
            <w:r w:rsidR="007B6371">
              <w:rPr>
                <w:noProof/>
                <w:webHidden/>
              </w:rPr>
              <w:fldChar w:fldCharType="begin"/>
            </w:r>
            <w:r w:rsidR="007B6371">
              <w:rPr>
                <w:noProof/>
                <w:webHidden/>
              </w:rPr>
              <w:instrText xml:space="preserve"> PAGEREF _Toc463616140 \h </w:instrText>
            </w:r>
            <w:r w:rsidR="007B6371">
              <w:rPr>
                <w:noProof/>
                <w:webHidden/>
              </w:rPr>
            </w:r>
            <w:r w:rsidR="007B6371">
              <w:rPr>
                <w:noProof/>
                <w:webHidden/>
              </w:rPr>
              <w:fldChar w:fldCharType="separate"/>
            </w:r>
            <w:r w:rsidR="007B6371">
              <w:rPr>
                <w:noProof/>
                <w:webHidden/>
              </w:rPr>
              <w:t>21</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41" w:history="1">
            <w:r w:rsidR="007B6371" w:rsidRPr="009C5F88">
              <w:rPr>
                <w:rStyle w:val="Hyperlink"/>
                <w:noProof/>
              </w:rPr>
              <w:t>RÉSOLUTION 86 (Rév.CMR</w:t>
            </w:r>
            <w:r w:rsidR="007B6371" w:rsidRPr="009C5F88">
              <w:rPr>
                <w:rStyle w:val="Hyperlink"/>
                <w:noProof/>
              </w:rPr>
              <w:noBreakHyphen/>
              <w:t>07)</w:t>
            </w:r>
          </w:hyperlink>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42" w:history="1">
            <w:r w:rsidR="007B6371" w:rsidRPr="009C5F88">
              <w:rPr>
                <w:rStyle w:val="Hyperlink"/>
                <w:noProof/>
              </w:rPr>
              <w:t>Mise en œuvre de la Résolution 86 (Rév. Marrakech, 2002) de la Conférence de plénipotentiaires</w:t>
            </w:r>
            <w:r w:rsidR="007B6371">
              <w:rPr>
                <w:noProof/>
                <w:webHidden/>
              </w:rPr>
              <w:tab/>
            </w:r>
            <w:r>
              <w:rPr>
                <w:noProof/>
                <w:webHidden/>
              </w:rPr>
              <w:tab/>
            </w:r>
            <w:r w:rsidR="007B6371">
              <w:rPr>
                <w:noProof/>
                <w:webHidden/>
              </w:rPr>
              <w:fldChar w:fldCharType="begin"/>
            </w:r>
            <w:r w:rsidR="007B6371">
              <w:rPr>
                <w:noProof/>
                <w:webHidden/>
              </w:rPr>
              <w:instrText xml:space="preserve"> PAGEREF _Toc463616142 \h </w:instrText>
            </w:r>
            <w:r w:rsidR="007B6371">
              <w:rPr>
                <w:noProof/>
                <w:webHidden/>
              </w:rPr>
            </w:r>
            <w:r w:rsidR="007B6371">
              <w:rPr>
                <w:noProof/>
                <w:webHidden/>
              </w:rPr>
              <w:fldChar w:fldCharType="separate"/>
            </w:r>
            <w:r w:rsidR="007B6371">
              <w:rPr>
                <w:noProof/>
                <w:webHidden/>
              </w:rPr>
              <w:t>24</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43" w:history="1">
            <w:r w:rsidR="007B6371" w:rsidRPr="009C5F88">
              <w:rPr>
                <w:rStyle w:val="Hyperlink"/>
                <w:noProof/>
              </w:rPr>
              <w:t xml:space="preserve">RÉSOLUTION 86 (Rév. </w:t>
            </w:r>
            <w:r w:rsidR="00803987">
              <w:rPr>
                <w:rStyle w:val="Hyperlink"/>
                <w:noProof/>
              </w:rPr>
              <w:t>Marrakech</w:t>
            </w:r>
            <w:r w:rsidR="007B6371" w:rsidRPr="009C5F88">
              <w:rPr>
                <w:rStyle w:val="Hyperlink"/>
                <w:noProof/>
              </w:rPr>
              <w:t>, 2002)</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44" w:history="1">
            <w:r w:rsidR="007B6371" w:rsidRPr="009C5F88">
              <w:rPr>
                <w:rStyle w:val="Hyperlink"/>
                <w:noProof/>
                <w:lang w:val="fr-CH"/>
              </w:rPr>
              <w:t>Procédures de publication anticipée, de coordination, de notification et d'inscription des assignations de fréquence relatives aux réseaux à satellite</w:t>
            </w:r>
            <w:r w:rsidR="007B6371">
              <w:rPr>
                <w:noProof/>
                <w:webHidden/>
              </w:rPr>
              <w:tab/>
            </w:r>
            <w:r>
              <w:rPr>
                <w:noProof/>
                <w:webHidden/>
              </w:rPr>
              <w:tab/>
            </w:r>
            <w:r w:rsidR="007B6371">
              <w:rPr>
                <w:noProof/>
                <w:webHidden/>
              </w:rPr>
              <w:fldChar w:fldCharType="begin"/>
            </w:r>
            <w:r w:rsidR="007B6371">
              <w:rPr>
                <w:noProof/>
                <w:webHidden/>
              </w:rPr>
              <w:instrText xml:space="preserve"> PAGEREF _Toc463616144 \h </w:instrText>
            </w:r>
            <w:r w:rsidR="007B6371">
              <w:rPr>
                <w:noProof/>
                <w:webHidden/>
              </w:rPr>
            </w:r>
            <w:r w:rsidR="007B6371">
              <w:rPr>
                <w:noProof/>
                <w:webHidden/>
              </w:rPr>
              <w:fldChar w:fldCharType="separate"/>
            </w:r>
            <w:r w:rsidR="007B6371">
              <w:rPr>
                <w:noProof/>
                <w:webHidden/>
              </w:rPr>
              <w:t>25</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45" w:history="1">
            <w:r w:rsidR="007B6371" w:rsidRPr="009C5F88">
              <w:rPr>
                <w:rStyle w:val="Hyperlink"/>
                <w:noProof/>
              </w:rPr>
              <w:t>RÉSOLUTION 95 (Rév.CMR-07)</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noProof/>
            </w:rPr>
          </w:pPr>
          <w:r w:rsidRPr="002F712B">
            <w:rPr>
              <w:rStyle w:val="Hyperlink"/>
              <w:noProof/>
              <w:u w:val="none"/>
            </w:rPr>
            <w:tab/>
          </w:r>
          <w:hyperlink w:anchor="_Toc463616146" w:history="1">
            <w:r w:rsidR="007B6371" w:rsidRPr="009C5F88">
              <w:rPr>
                <w:rStyle w:val="Hyperlink"/>
                <w:noProof/>
              </w:rPr>
              <w:t>Examen général des Résolutions et R</w:t>
            </w:r>
            <w:r w:rsidR="00F56016">
              <w:rPr>
                <w:rStyle w:val="Hyperlink"/>
                <w:noProof/>
              </w:rPr>
              <w:t xml:space="preserve">ecommandations des conférences </w:t>
            </w:r>
            <w:r w:rsidR="00F56016">
              <w:rPr>
                <w:rStyle w:val="Hyperlink"/>
                <w:noProof/>
              </w:rPr>
              <w:br/>
            </w:r>
            <w:r w:rsidR="007B6371" w:rsidRPr="009C5F88">
              <w:rPr>
                <w:rStyle w:val="Hyperlink"/>
                <w:noProof/>
              </w:rPr>
              <w:t xml:space="preserve">administratives mondiales des radiocommunications et des  conférences </w:t>
            </w:r>
            <w:r w:rsidR="00F56016">
              <w:rPr>
                <w:rStyle w:val="Hyperlink"/>
                <w:noProof/>
              </w:rPr>
              <w:br/>
            </w:r>
            <w:r w:rsidR="007B6371" w:rsidRPr="009C5F88">
              <w:rPr>
                <w:rStyle w:val="Hyperlink"/>
                <w:noProof/>
              </w:rPr>
              <w:t>mondiales des radiocommunications</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_Toc463616146 \h </w:instrText>
            </w:r>
            <w:r w:rsidR="007B6371">
              <w:rPr>
                <w:noProof/>
                <w:webHidden/>
              </w:rPr>
            </w:r>
            <w:r w:rsidR="007B6371">
              <w:rPr>
                <w:noProof/>
                <w:webHidden/>
              </w:rPr>
              <w:fldChar w:fldCharType="separate"/>
            </w:r>
            <w:r w:rsidR="007B6371">
              <w:rPr>
                <w:noProof/>
                <w:webHidden/>
              </w:rPr>
              <w:t>27</w:t>
            </w:r>
            <w:r w:rsidR="007B6371">
              <w:rPr>
                <w:noProof/>
                <w:webHidden/>
              </w:rPr>
              <w:fldChar w:fldCharType="end"/>
            </w:r>
          </w:hyperlink>
        </w:p>
        <w:p w:rsidR="00A17011" w:rsidRDefault="00A17011" w:rsidP="00A17011">
          <w:pPr>
            <w:pStyle w:val="TOC1"/>
            <w:spacing w:before="60" w:after="80"/>
            <w:rPr>
              <w:noProof/>
            </w:rPr>
          </w:pPr>
        </w:p>
        <w:p w:rsidR="00A17011" w:rsidRDefault="00A17011" w:rsidP="00A17011">
          <w:pPr>
            <w:pStyle w:val="TOC1"/>
            <w:spacing w:before="60" w:after="80"/>
            <w:rPr>
              <w:noProof/>
            </w:rPr>
          </w:pPr>
        </w:p>
        <w:p w:rsidR="00A17011" w:rsidRDefault="00A17011" w:rsidP="00A17011">
          <w:pPr>
            <w:pStyle w:val="TOC1"/>
            <w:spacing w:before="60" w:after="80"/>
            <w:rPr>
              <w:noProof/>
            </w:rPr>
          </w:pPr>
        </w:p>
        <w:p w:rsidR="00A17011" w:rsidRDefault="00A17011" w:rsidP="00A17011">
          <w:pPr>
            <w:pStyle w:val="TOC1"/>
            <w:spacing w:before="60" w:after="80"/>
            <w:rPr>
              <w:rFonts w:asciiTheme="minorHAnsi" w:eastAsiaTheme="minorEastAsia" w:hAnsiTheme="minorHAnsi" w:cstheme="minorBidi"/>
              <w:noProof/>
              <w:sz w:val="22"/>
              <w:szCs w:val="22"/>
              <w:lang w:val="en-US" w:eastAsia="zh-CN"/>
            </w:rPr>
          </w:pPr>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47" w:history="1">
            <w:r w:rsidR="007B6371" w:rsidRPr="009C5F88">
              <w:rPr>
                <w:rStyle w:val="Hyperlink"/>
                <w:noProof/>
              </w:rPr>
              <w:t>RÉSOLUTION 157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48" w:history="1">
            <w:r w:rsidR="007B6371" w:rsidRPr="009C5F88">
              <w:rPr>
                <w:rStyle w:val="Hyperlink"/>
                <w:noProof/>
                <w:lang w:val="fr-CH"/>
              </w:rPr>
              <w:t xml:space="preserve">Etude des questions techniques et opérationnelles et des dispositions réglementaires relatives aux nouveaux systèmes à satellites non géostationnaires dans les bandes de fréquences 3 700-4 200 MHz, 4 500-4 800 MHz, et 5 925-6 425 MHz et </w:t>
            </w:r>
            <w:r w:rsidR="00F56016">
              <w:rPr>
                <w:rStyle w:val="Hyperlink"/>
                <w:noProof/>
                <w:lang w:val="fr-CH"/>
              </w:rPr>
              <w:br/>
            </w:r>
            <w:r w:rsidR="007B6371" w:rsidRPr="009C5F88">
              <w:rPr>
                <w:rStyle w:val="Hyperlink"/>
                <w:noProof/>
                <w:lang w:val="fr-CH"/>
              </w:rPr>
              <w:t>6 725-7 025 MHz attribuées au service fixe par satellite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_Toc463616148 \h </w:instrText>
            </w:r>
            <w:r w:rsidR="007B6371">
              <w:rPr>
                <w:noProof/>
                <w:webHidden/>
              </w:rPr>
            </w:r>
            <w:r w:rsidR="007B6371">
              <w:rPr>
                <w:noProof/>
                <w:webHidden/>
              </w:rPr>
              <w:fldChar w:fldCharType="separate"/>
            </w:r>
            <w:r w:rsidR="007B6371">
              <w:rPr>
                <w:noProof/>
                <w:webHidden/>
              </w:rPr>
              <w:t>29</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49" w:history="1">
            <w:r w:rsidR="007B6371" w:rsidRPr="009C5F88">
              <w:rPr>
                <w:rStyle w:val="Hyperlink"/>
                <w:noProof/>
              </w:rPr>
              <w:t>RÉSOLUTION 158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50" w:history="1">
            <w:r w:rsidR="007B6371" w:rsidRPr="009C5F88">
              <w:rPr>
                <w:rStyle w:val="Hyperlink"/>
                <w:noProof/>
                <w:lang w:val="fr-CH"/>
              </w:rPr>
              <w:t>Utilisation des bandes de fréquences 17,7-19,7 GHz (espace vers Terre)</w:t>
            </w:r>
            <w:r w:rsidR="00F56016">
              <w:rPr>
                <w:rStyle w:val="Hyperlink"/>
                <w:noProof/>
                <w:lang w:val="fr-CH"/>
              </w:rPr>
              <w:br/>
            </w:r>
            <w:r w:rsidR="007B6371" w:rsidRPr="009C5F88">
              <w:rPr>
                <w:rStyle w:val="Hyperlink"/>
                <w:noProof/>
                <w:lang w:val="fr-CH"/>
              </w:rPr>
              <w:t>et 27,5</w:t>
            </w:r>
            <w:r w:rsidR="007B6371" w:rsidRPr="009C5F88">
              <w:rPr>
                <w:rStyle w:val="Hyperlink"/>
                <w:noProof/>
                <w:lang w:val="fr-CH"/>
              </w:rPr>
              <w:noBreakHyphen/>
              <w:t>29,5 GHz (Terre vers espace) par les stations terriennes en  mouvement communiquant avec des stations spatiales  géostationnaires du service fixe par satellite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_Toc463616150 \h </w:instrText>
            </w:r>
            <w:r w:rsidR="007B6371">
              <w:rPr>
                <w:noProof/>
                <w:webHidden/>
              </w:rPr>
            </w:r>
            <w:r w:rsidR="007B6371">
              <w:rPr>
                <w:noProof/>
                <w:webHidden/>
              </w:rPr>
              <w:fldChar w:fldCharType="separate"/>
            </w:r>
            <w:r w:rsidR="007B6371">
              <w:rPr>
                <w:noProof/>
                <w:webHidden/>
              </w:rPr>
              <w:t>32</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51" w:history="1">
            <w:r w:rsidR="007B6371" w:rsidRPr="009C5F88">
              <w:rPr>
                <w:rStyle w:val="Hyperlink"/>
                <w:noProof/>
              </w:rPr>
              <w:t>RÉSOLUTION 159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52" w:history="1">
            <w:r w:rsidR="007B6371" w:rsidRPr="009C5F88">
              <w:rPr>
                <w:rStyle w:val="Hyperlink"/>
                <w:noProof/>
              </w:rPr>
              <w:t>Etudes des questions techniques et opérationnelles et des dispositions réglementaires relatives aux systèmes à satellites non géostationnaires  du service fixe par satellite dans les bandes de fréquences 37,5-39,5 GHz  (espace vers Terre), 39,5</w:t>
            </w:r>
            <w:r w:rsidR="007B6371" w:rsidRPr="009C5F88">
              <w:rPr>
                <w:rStyle w:val="Hyperlink"/>
                <w:noProof/>
              </w:rPr>
              <w:noBreakHyphen/>
              <w:t>42,5 GHz (espace vers Terre), 47,2-50,2 GHz  (Terre vers espace) et 50,4-51,4 GHz (Terre vers espace)</w:t>
            </w:r>
            <w:r w:rsidR="007B6371">
              <w:rPr>
                <w:noProof/>
                <w:webHidden/>
              </w:rPr>
              <w:tab/>
            </w:r>
            <w:r w:rsidR="007B6371">
              <w:rPr>
                <w:noProof/>
                <w:webHidden/>
              </w:rPr>
              <w:fldChar w:fldCharType="begin"/>
            </w:r>
            <w:r w:rsidR="007B6371">
              <w:rPr>
                <w:noProof/>
                <w:webHidden/>
              </w:rPr>
              <w:instrText xml:space="preserve"> PAGEREF _Toc463616152 \h </w:instrText>
            </w:r>
            <w:r w:rsidR="007B6371">
              <w:rPr>
                <w:noProof/>
                <w:webHidden/>
              </w:rPr>
            </w:r>
            <w:r w:rsidR="007B6371">
              <w:rPr>
                <w:noProof/>
                <w:webHidden/>
              </w:rPr>
              <w:fldChar w:fldCharType="separate"/>
            </w:r>
            <w:r w:rsidR="007B6371">
              <w:rPr>
                <w:noProof/>
                <w:webHidden/>
              </w:rPr>
              <w:t>36</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53" w:history="1">
            <w:r w:rsidR="007B6371" w:rsidRPr="009C5F88">
              <w:rPr>
                <w:rStyle w:val="Hyperlink"/>
                <w:noProof/>
              </w:rPr>
              <w:t>RÉSOLUTION 160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54" w:history="1">
            <w:r w:rsidR="007B6371" w:rsidRPr="009C5F88">
              <w:rPr>
                <w:rStyle w:val="Hyperlink"/>
                <w:noProof/>
                <w:lang w:val="fr-CH"/>
              </w:rPr>
              <w:t xml:space="preserve">Faciliter l'accès aux applications large bande assurées par les stations </w:t>
            </w:r>
            <w:r w:rsidR="00F56016">
              <w:rPr>
                <w:rStyle w:val="Hyperlink"/>
                <w:noProof/>
                <w:lang w:val="fr-CH"/>
              </w:rPr>
              <w:br/>
            </w:r>
            <w:r w:rsidR="007B6371" w:rsidRPr="009C5F88">
              <w:rPr>
                <w:rStyle w:val="Hyperlink"/>
                <w:noProof/>
                <w:lang w:val="fr-CH"/>
              </w:rPr>
              <w:t>placées sur des plates-formes à haute altitude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_Toc463616154 \h </w:instrText>
            </w:r>
            <w:r w:rsidR="007B6371">
              <w:rPr>
                <w:noProof/>
                <w:webHidden/>
              </w:rPr>
            </w:r>
            <w:r w:rsidR="007B6371">
              <w:rPr>
                <w:noProof/>
                <w:webHidden/>
              </w:rPr>
              <w:fldChar w:fldCharType="separate"/>
            </w:r>
            <w:r w:rsidR="007B6371">
              <w:rPr>
                <w:noProof/>
                <w:webHidden/>
              </w:rPr>
              <w:t>39</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55" w:history="1">
            <w:r w:rsidR="007B6371" w:rsidRPr="009C5F88">
              <w:rPr>
                <w:rStyle w:val="Hyperlink"/>
                <w:noProof/>
              </w:rPr>
              <w:t>RÉSOLUTION 161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56" w:history="1">
            <w:r w:rsidR="007B6371" w:rsidRPr="009C5F88">
              <w:rPr>
                <w:rStyle w:val="Hyperlink"/>
                <w:noProof/>
                <w:lang w:val="fr-CH"/>
              </w:rPr>
              <w:t>Etudes relatives aux besoins de spectre et à l'a</w:t>
            </w:r>
            <w:r w:rsidR="00F56016">
              <w:rPr>
                <w:rStyle w:val="Hyperlink"/>
                <w:noProof/>
                <w:lang w:val="fr-CH"/>
              </w:rPr>
              <w:t>ttribution possible de la bande</w:t>
            </w:r>
            <w:r w:rsidR="00F56016">
              <w:rPr>
                <w:rStyle w:val="Hyperlink"/>
                <w:noProof/>
                <w:lang w:val="fr-CH"/>
              </w:rPr>
              <w:br/>
            </w:r>
            <w:r w:rsidR="007B6371" w:rsidRPr="009C5F88">
              <w:rPr>
                <w:rStyle w:val="Hyperlink"/>
                <w:noProof/>
                <w:lang w:val="fr-CH"/>
              </w:rPr>
              <w:t xml:space="preserve">de fréquences </w:t>
            </w:r>
            <w:r w:rsidR="007B6371" w:rsidRPr="009C5F88">
              <w:rPr>
                <w:rStyle w:val="Hyperlink"/>
                <w:noProof/>
              </w:rPr>
              <w:t xml:space="preserve">37,5-39,5 GHz </w:t>
            </w:r>
            <w:r w:rsidR="007B6371" w:rsidRPr="009C5F88">
              <w:rPr>
                <w:rStyle w:val="Hyperlink"/>
                <w:noProof/>
                <w:lang w:val="fr-CH"/>
              </w:rPr>
              <w:t>au service fixe par satellite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_Toc463616156 \h </w:instrText>
            </w:r>
            <w:r w:rsidR="007B6371">
              <w:rPr>
                <w:noProof/>
                <w:webHidden/>
              </w:rPr>
            </w:r>
            <w:r w:rsidR="007B6371">
              <w:rPr>
                <w:noProof/>
                <w:webHidden/>
              </w:rPr>
              <w:fldChar w:fldCharType="separate"/>
            </w:r>
            <w:r w:rsidR="007B6371">
              <w:rPr>
                <w:noProof/>
                <w:webHidden/>
              </w:rPr>
              <w:t>42</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57" w:history="1">
            <w:r w:rsidR="007B6371" w:rsidRPr="009C5F88">
              <w:rPr>
                <w:rStyle w:val="Hyperlink"/>
                <w:noProof/>
              </w:rPr>
              <w:t>RÉSOLUTION 162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58" w:history="1">
            <w:r w:rsidR="007B6371" w:rsidRPr="009C5F88">
              <w:rPr>
                <w:rStyle w:val="Hyperlink"/>
                <w:noProof/>
                <w:lang w:val="fr-CH"/>
              </w:rPr>
              <w:t>Etudes relatives aux besoins de spectre et à l'attribution possible de la</w:t>
            </w:r>
            <w:r w:rsidR="00F56016">
              <w:rPr>
                <w:rStyle w:val="Hyperlink"/>
                <w:noProof/>
                <w:lang w:val="fr-CH"/>
              </w:rPr>
              <w:t xml:space="preserve"> </w:t>
            </w:r>
            <w:r w:rsidR="007B6371" w:rsidRPr="009C5F88">
              <w:rPr>
                <w:rStyle w:val="Hyperlink"/>
                <w:noProof/>
                <w:lang w:val="fr-CH"/>
              </w:rPr>
              <w:t>bande</w:t>
            </w:r>
            <w:r w:rsidR="00F56016">
              <w:rPr>
                <w:rStyle w:val="Hyperlink"/>
                <w:noProof/>
                <w:lang w:val="fr-CH"/>
              </w:rPr>
              <w:br/>
            </w:r>
            <w:r w:rsidR="007B6371" w:rsidRPr="009C5F88">
              <w:rPr>
                <w:rStyle w:val="Hyperlink"/>
                <w:noProof/>
                <w:lang w:val="fr-CH"/>
              </w:rPr>
              <w:t>de</w:t>
            </w:r>
            <w:r w:rsidR="00F56016">
              <w:rPr>
                <w:rStyle w:val="Hyperlink"/>
                <w:noProof/>
                <w:lang w:val="fr-CH"/>
              </w:rPr>
              <w:t xml:space="preserve"> </w:t>
            </w:r>
            <w:r w:rsidR="007B6371" w:rsidRPr="009C5F88">
              <w:rPr>
                <w:rStyle w:val="Hyperlink"/>
                <w:noProof/>
                <w:lang w:val="fr-CH"/>
              </w:rPr>
              <w:t xml:space="preserve">fréquences </w:t>
            </w:r>
            <w:r w:rsidR="007B6371" w:rsidRPr="009C5F88">
              <w:rPr>
                <w:rStyle w:val="Hyperlink"/>
                <w:noProof/>
              </w:rPr>
              <w:t xml:space="preserve">51,4-52,4 GHz </w:t>
            </w:r>
            <w:r w:rsidR="007B6371" w:rsidRPr="009C5F88">
              <w:rPr>
                <w:rStyle w:val="Hyperlink"/>
                <w:noProof/>
                <w:lang w:val="fr-CH"/>
              </w:rPr>
              <w:t>au service fixe p</w:t>
            </w:r>
            <w:r w:rsidR="00F56016">
              <w:rPr>
                <w:rStyle w:val="Hyperlink"/>
                <w:noProof/>
                <w:lang w:val="fr-CH"/>
              </w:rPr>
              <w:t xml:space="preserve">ar satellite </w:t>
            </w:r>
            <w:r w:rsidR="007B6371" w:rsidRPr="009C5F88">
              <w:rPr>
                <w:rStyle w:val="Hyperlink"/>
                <w:noProof/>
              </w:rPr>
              <w:t xml:space="preserve">(Terre vers </w:t>
            </w:r>
            <w:r w:rsidR="00F56016">
              <w:rPr>
                <w:rStyle w:val="Hyperlink"/>
                <w:noProof/>
              </w:rPr>
              <w:t>e</w:t>
            </w:r>
            <w:r w:rsidR="007B6371" w:rsidRPr="009C5F88">
              <w:rPr>
                <w:rStyle w:val="Hyperlink"/>
                <w:noProof/>
              </w:rPr>
              <w:t>space)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_Toc463616158 \h </w:instrText>
            </w:r>
            <w:r w:rsidR="007B6371">
              <w:rPr>
                <w:noProof/>
                <w:webHidden/>
              </w:rPr>
            </w:r>
            <w:r w:rsidR="007B6371">
              <w:rPr>
                <w:noProof/>
                <w:webHidden/>
              </w:rPr>
              <w:fldChar w:fldCharType="separate"/>
            </w:r>
            <w:r w:rsidR="007B6371">
              <w:rPr>
                <w:noProof/>
                <w:webHidden/>
              </w:rPr>
              <w:t>44</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59" w:history="1">
            <w:r w:rsidR="007B6371" w:rsidRPr="009C5F88">
              <w:rPr>
                <w:rStyle w:val="Hyperlink"/>
                <w:noProof/>
              </w:rPr>
              <w:t>RÉSOLUTION 212 (Rév.CMR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60" w:history="1">
            <w:r w:rsidR="007B6371" w:rsidRPr="009C5F88">
              <w:rPr>
                <w:rStyle w:val="Hyperlink"/>
                <w:noProof/>
                <w:lang w:val="fr-CH"/>
              </w:rPr>
              <w:t>Mise en œuvre des Télécommunications mobiles internationales dans les bandes de fréquences 1 885</w:t>
            </w:r>
            <w:r w:rsidR="007B6371" w:rsidRPr="009C5F88">
              <w:rPr>
                <w:rStyle w:val="Hyperlink"/>
                <w:noProof/>
                <w:lang w:val="fr-CH"/>
              </w:rPr>
              <w:noBreakHyphen/>
              <w:t>2 025 MHz et 2 110</w:t>
            </w:r>
            <w:r w:rsidR="007B6371" w:rsidRPr="009C5F88">
              <w:rPr>
                <w:rStyle w:val="Hyperlink"/>
                <w:noProof/>
                <w:lang w:val="fr-CH"/>
              </w:rPr>
              <w:noBreakHyphen/>
              <w:t>2 200 MHz</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_Toc463616160 \h </w:instrText>
            </w:r>
            <w:r w:rsidR="007B6371">
              <w:rPr>
                <w:noProof/>
                <w:webHidden/>
              </w:rPr>
            </w:r>
            <w:r w:rsidR="007B6371">
              <w:rPr>
                <w:noProof/>
                <w:webHidden/>
              </w:rPr>
              <w:fldChar w:fldCharType="separate"/>
            </w:r>
            <w:r w:rsidR="007B6371">
              <w:rPr>
                <w:noProof/>
                <w:webHidden/>
              </w:rPr>
              <w:t>46</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61" w:history="1">
            <w:r w:rsidR="007B6371" w:rsidRPr="009C5F88">
              <w:rPr>
                <w:rStyle w:val="Hyperlink"/>
                <w:noProof/>
              </w:rPr>
              <w:t>RÉSOLUTION 235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62" w:history="1">
            <w:r w:rsidR="007B6371" w:rsidRPr="009C5F88">
              <w:rPr>
                <w:rStyle w:val="Hyperlink"/>
                <w:noProof/>
                <w:lang w:eastAsia="nl-NL"/>
              </w:rPr>
              <w:t>Examen de l</w:t>
            </w:r>
            <w:r w:rsidR="00CC57A2">
              <w:rPr>
                <w:rStyle w:val="Hyperlink"/>
                <w:noProof/>
                <w:lang w:eastAsia="nl-NL"/>
              </w:rPr>
              <w:t>'</w:t>
            </w:r>
            <w:r w:rsidR="007B6371" w:rsidRPr="009C5F88">
              <w:rPr>
                <w:rStyle w:val="Hyperlink"/>
                <w:noProof/>
                <w:lang w:eastAsia="nl-NL"/>
              </w:rPr>
              <w:t>utilisation du spect</w:t>
            </w:r>
            <w:r w:rsidR="00F56016">
              <w:rPr>
                <w:rStyle w:val="Hyperlink"/>
                <w:noProof/>
                <w:lang w:eastAsia="nl-NL"/>
              </w:rPr>
              <w:t xml:space="preserve">re dans la bande de fréquences </w:t>
            </w:r>
            <w:r w:rsidR="007B6371" w:rsidRPr="009C5F88">
              <w:rPr>
                <w:rStyle w:val="Hyperlink"/>
                <w:noProof/>
                <w:lang w:eastAsia="nl-NL"/>
              </w:rPr>
              <w:t xml:space="preserve">470-960 MHz </w:t>
            </w:r>
            <w:r w:rsidR="00F56016">
              <w:rPr>
                <w:rStyle w:val="Hyperlink"/>
                <w:noProof/>
                <w:lang w:eastAsia="nl-NL"/>
              </w:rPr>
              <w:br/>
            </w:r>
            <w:r w:rsidR="007B6371" w:rsidRPr="009C5F88">
              <w:rPr>
                <w:rStyle w:val="Hyperlink"/>
                <w:noProof/>
                <w:lang w:eastAsia="nl-NL"/>
              </w:rPr>
              <w:t>en Région 1</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_Toc463616162 \h </w:instrText>
            </w:r>
            <w:r w:rsidR="007B6371">
              <w:rPr>
                <w:noProof/>
                <w:webHidden/>
              </w:rPr>
            </w:r>
            <w:r w:rsidR="007B6371">
              <w:rPr>
                <w:noProof/>
                <w:webHidden/>
              </w:rPr>
              <w:fldChar w:fldCharType="separate"/>
            </w:r>
            <w:r w:rsidR="007B6371">
              <w:rPr>
                <w:noProof/>
                <w:webHidden/>
              </w:rPr>
              <w:t>48</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63" w:history="1">
            <w:r w:rsidR="007B6371" w:rsidRPr="009C5F88">
              <w:rPr>
                <w:rStyle w:val="Hyperlink"/>
                <w:noProof/>
              </w:rPr>
              <w:t>RÉSOLUTION 236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64" w:history="1">
            <w:r w:rsidR="007B6371" w:rsidRPr="009C5F88">
              <w:rPr>
                <w:rStyle w:val="Hyperlink"/>
                <w:rFonts w:eastAsia="SimSun"/>
                <w:noProof/>
                <w:lang w:eastAsia="zh-CN"/>
              </w:rPr>
              <w:t>Systèmes de radiocommunication ferroviaires train/voie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_Toc463616164 \h </w:instrText>
            </w:r>
            <w:r w:rsidR="007B6371">
              <w:rPr>
                <w:noProof/>
                <w:webHidden/>
              </w:rPr>
            </w:r>
            <w:r w:rsidR="007B6371">
              <w:rPr>
                <w:noProof/>
                <w:webHidden/>
              </w:rPr>
              <w:fldChar w:fldCharType="separate"/>
            </w:r>
            <w:r w:rsidR="007B6371">
              <w:rPr>
                <w:noProof/>
                <w:webHidden/>
              </w:rPr>
              <w:t>51</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65" w:history="1">
            <w:r w:rsidR="007B6371" w:rsidRPr="009C5F88">
              <w:rPr>
                <w:rStyle w:val="Hyperlink"/>
                <w:noProof/>
              </w:rPr>
              <w:t>RÉSOLUTION 237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66" w:history="1">
            <w:r w:rsidR="007B6371" w:rsidRPr="009C5F88">
              <w:rPr>
                <w:rStyle w:val="Hyperlink"/>
                <w:noProof/>
                <w:lang w:val="fr-CH"/>
              </w:rPr>
              <w:t>Applications des systèmes de transport intelligents</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_Toc463616166 \h </w:instrText>
            </w:r>
            <w:r w:rsidR="007B6371">
              <w:rPr>
                <w:noProof/>
                <w:webHidden/>
              </w:rPr>
            </w:r>
            <w:r w:rsidR="007B6371">
              <w:rPr>
                <w:noProof/>
                <w:webHidden/>
              </w:rPr>
              <w:fldChar w:fldCharType="separate"/>
            </w:r>
            <w:r w:rsidR="007B6371">
              <w:rPr>
                <w:noProof/>
                <w:webHidden/>
              </w:rPr>
              <w:t>53</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67" w:history="1">
            <w:r w:rsidR="007B6371" w:rsidRPr="009C5F88">
              <w:rPr>
                <w:rStyle w:val="Hyperlink"/>
                <w:noProof/>
              </w:rPr>
              <w:t xml:space="preserve">RÉSOLUTION </w:t>
            </w:r>
            <w:r w:rsidR="007B6371" w:rsidRPr="009C5F88">
              <w:rPr>
                <w:rStyle w:val="Hyperlink"/>
                <w:rFonts w:eastAsia="SimSun"/>
                <w:noProof/>
              </w:rPr>
              <w:t>238</w:t>
            </w:r>
            <w:r w:rsidR="007B6371" w:rsidRPr="009C5F88">
              <w:rPr>
                <w:rStyle w:val="Hyperlink"/>
                <w:noProof/>
              </w:rPr>
              <w:t xml:space="preserve">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68" w:history="1">
            <w:r w:rsidR="007B6371" w:rsidRPr="009C5F88">
              <w:rPr>
                <w:rStyle w:val="Hyperlink"/>
                <w:noProof/>
              </w:rPr>
              <w:t xml:space="preserve">Etudes sur les questions liées aux fréquences </w:t>
            </w:r>
            <w:r w:rsidR="007B6371" w:rsidRPr="009C5F88">
              <w:rPr>
                <w:rStyle w:val="Hyperlink"/>
                <w:noProof/>
                <w:lang w:eastAsia="ko-KR"/>
              </w:rPr>
              <w:t xml:space="preserve">en vue de l'identification de bandes de fréquences pour les Télécommunications mobiles internationales (IMT), y compris </w:t>
            </w:r>
            <w:r w:rsidR="00891FF1">
              <w:rPr>
                <w:rStyle w:val="Hyperlink"/>
                <w:noProof/>
                <w:lang w:eastAsia="ko-KR"/>
              </w:rPr>
              <w:br/>
            </w:r>
            <w:r w:rsidR="007B6371" w:rsidRPr="009C5F88">
              <w:rPr>
                <w:rStyle w:val="Hyperlink"/>
                <w:noProof/>
                <w:lang w:eastAsia="ko-KR"/>
              </w:rPr>
              <w:t xml:space="preserve">des attributions additionnelles possibles </w:t>
            </w:r>
            <w:r w:rsidR="007B6371" w:rsidRPr="009C5F88">
              <w:rPr>
                <w:rStyle w:val="Hyperlink"/>
                <w:noProof/>
              </w:rPr>
              <w:t>à</w:t>
            </w:r>
            <w:r w:rsidR="007B6371" w:rsidRPr="009C5F88">
              <w:rPr>
                <w:rStyle w:val="Hyperlink"/>
                <w:noProof/>
                <w:lang w:eastAsia="ko-KR"/>
              </w:rPr>
              <w:t xml:space="preserve"> titre primaire au service mobile </w:t>
            </w:r>
            <w:r w:rsidR="007B6371" w:rsidRPr="009C5F88">
              <w:rPr>
                <w:rStyle w:val="Hyperlink"/>
                <w:noProof/>
              </w:rPr>
              <w:t xml:space="preserve">dans une </w:t>
            </w:r>
            <w:r w:rsidR="00891FF1">
              <w:rPr>
                <w:rStyle w:val="Hyperlink"/>
                <w:noProof/>
              </w:rPr>
              <w:br/>
            </w:r>
            <w:r w:rsidR="007B6371" w:rsidRPr="009C5F88">
              <w:rPr>
                <w:rStyle w:val="Hyperlink"/>
                <w:noProof/>
              </w:rPr>
              <w:t>ou plusieurs parties de la</w:t>
            </w:r>
            <w:r w:rsidR="007B6371" w:rsidRPr="009C5F88">
              <w:rPr>
                <w:rStyle w:val="Hyperlink"/>
                <w:bCs/>
                <w:noProof/>
                <w:lang w:eastAsia="ja-JP"/>
              </w:rPr>
              <w:t xml:space="preserve"> gamme de fréquences comprise entre 24,25 et 86 GHz </w:t>
            </w:r>
            <w:r w:rsidR="00891FF1">
              <w:rPr>
                <w:rStyle w:val="Hyperlink"/>
                <w:bCs/>
                <w:noProof/>
                <w:lang w:eastAsia="ja-JP"/>
              </w:rPr>
              <w:br/>
            </w:r>
            <w:r w:rsidR="007B6371" w:rsidRPr="009C5F88">
              <w:rPr>
                <w:rStyle w:val="Hyperlink"/>
                <w:noProof/>
              </w:rPr>
              <w:t>pour le développement futur des</w:t>
            </w:r>
            <w:r w:rsidR="007B6371" w:rsidRPr="009C5F88">
              <w:rPr>
                <w:rStyle w:val="Hyperlink"/>
                <w:bCs/>
                <w:noProof/>
                <w:lang w:eastAsia="ja-JP"/>
              </w:rPr>
              <w:t xml:space="preserve"> IMT à l'horizon 2020 et au-delà</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_Toc463616168 \h </w:instrText>
            </w:r>
            <w:r w:rsidR="007B6371">
              <w:rPr>
                <w:noProof/>
                <w:webHidden/>
              </w:rPr>
            </w:r>
            <w:r w:rsidR="007B6371">
              <w:rPr>
                <w:noProof/>
                <w:webHidden/>
              </w:rPr>
              <w:fldChar w:fldCharType="separate"/>
            </w:r>
            <w:r w:rsidR="007B6371">
              <w:rPr>
                <w:noProof/>
                <w:webHidden/>
              </w:rPr>
              <w:t>55</w:t>
            </w:r>
            <w:r w:rsidR="007B6371">
              <w:rPr>
                <w:noProof/>
                <w:webHidden/>
              </w:rPr>
              <w:fldChar w:fldCharType="end"/>
            </w:r>
          </w:hyperlink>
        </w:p>
        <w:p w:rsidR="002F712B" w:rsidRDefault="002F712B" w:rsidP="00A17011">
          <w:pPr>
            <w:pStyle w:val="TOC1"/>
            <w:spacing w:before="60" w:after="80"/>
            <w:rPr>
              <w:rStyle w:val="Hyperlink"/>
              <w:noProof/>
            </w:rPr>
          </w:pPr>
        </w:p>
        <w:p w:rsidR="00A17011" w:rsidRDefault="00A17011" w:rsidP="00A17011">
          <w:pPr>
            <w:pStyle w:val="TOC1"/>
            <w:spacing w:before="60" w:after="80"/>
            <w:rPr>
              <w:rStyle w:val="Hyperlink"/>
              <w:noProof/>
            </w:rPr>
          </w:pPr>
        </w:p>
        <w:p w:rsidR="00A17011" w:rsidRDefault="00A17011" w:rsidP="00A17011">
          <w:pPr>
            <w:pStyle w:val="TOC1"/>
            <w:spacing w:before="60" w:after="80"/>
            <w:rPr>
              <w:rStyle w:val="Hyperlink"/>
              <w:noProof/>
            </w:rPr>
          </w:pPr>
        </w:p>
        <w:p w:rsidR="00A17011" w:rsidRDefault="00A17011" w:rsidP="00A17011">
          <w:pPr>
            <w:pStyle w:val="TOC1"/>
            <w:spacing w:before="60" w:after="80"/>
            <w:rPr>
              <w:rStyle w:val="Hyperlink"/>
              <w:noProof/>
            </w:rPr>
          </w:pPr>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69" w:history="1">
            <w:r w:rsidR="007B6371" w:rsidRPr="009C5F88">
              <w:rPr>
                <w:rStyle w:val="Hyperlink"/>
                <w:noProof/>
              </w:rPr>
              <w:t>RÉSOLUTION 239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70" w:history="1">
            <w:r w:rsidR="007B6371" w:rsidRPr="009C5F88">
              <w:rPr>
                <w:rStyle w:val="Hyperlink"/>
                <w:noProof/>
                <w:lang w:val="fr-CH"/>
              </w:rPr>
              <w:t>Etudes relatives aux systèmes d'accès hertzien, y compris les réseaux locaux</w:t>
            </w:r>
            <w:r w:rsidR="00F56016">
              <w:rPr>
                <w:rStyle w:val="Hyperlink"/>
                <w:noProof/>
                <w:lang w:val="fr-CH"/>
              </w:rPr>
              <w:br/>
            </w:r>
            <w:r w:rsidR="007B6371" w:rsidRPr="009C5F88">
              <w:rPr>
                <w:rStyle w:val="Hyperlink"/>
                <w:noProof/>
                <w:lang w:val="fr-CH"/>
              </w:rPr>
              <w:t xml:space="preserve">hertziens, dans les bandes de fréquences comprises  entre 5 150 MHz et </w:t>
            </w:r>
            <w:r w:rsidR="00F56016">
              <w:rPr>
                <w:rStyle w:val="Hyperlink"/>
                <w:noProof/>
              </w:rPr>
              <w:t>5 </w:t>
            </w:r>
            <w:r w:rsidR="007B6371" w:rsidRPr="009C5F88">
              <w:rPr>
                <w:rStyle w:val="Hyperlink"/>
                <w:noProof/>
              </w:rPr>
              <w:t>925</w:t>
            </w:r>
            <w:r w:rsidR="007B6371" w:rsidRPr="009C5F88">
              <w:rPr>
                <w:rStyle w:val="Hyperlink"/>
                <w:noProof/>
                <w:lang w:val="fr-CH"/>
              </w:rPr>
              <w:t>MHz</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_Toc463616170 \h </w:instrText>
            </w:r>
            <w:r w:rsidR="007B6371">
              <w:rPr>
                <w:noProof/>
                <w:webHidden/>
              </w:rPr>
            </w:r>
            <w:r w:rsidR="007B6371">
              <w:rPr>
                <w:noProof/>
                <w:webHidden/>
              </w:rPr>
              <w:fldChar w:fldCharType="separate"/>
            </w:r>
            <w:r w:rsidR="007B6371">
              <w:rPr>
                <w:noProof/>
                <w:webHidden/>
              </w:rPr>
              <w:t>58</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71" w:history="1">
            <w:r w:rsidR="007B6371" w:rsidRPr="009C5F88">
              <w:rPr>
                <w:rStyle w:val="Hyperlink"/>
                <w:noProof/>
              </w:rPr>
              <w:t>RÉSOLUTION 359 (Rév.CMR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72" w:history="1">
            <w:r w:rsidR="007B6371" w:rsidRPr="009C5F88">
              <w:rPr>
                <w:rStyle w:val="Hyperlink"/>
                <w:noProof/>
              </w:rPr>
              <w:t xml:space="preserve">Examen de dispositions réglementaires relatives à la mise à jour et la </w:t>
            </w:r>
            <w:r w:rsidR="00B71B1C">
              <w:rPr>
                <w:rStyle w:val="Hyperlink"/>
                <w:noProof/>
              </w:rPr>
              <w:br/>
            </w:r>
            <w:r w:rsidR="007B6371" w:rsidRPr="009C5F88">
              <w:rPr>
                <w:rStyle w:val="Hyperlink"/>
                <w:noProof/>
              </w:rPr>
              <w:t>modernisation</w:t>
            </w:r>
            <w:r w:rsidR="00B71B1C">
              <w:rPr>
                <w:rStyle w:val="Hyperlink"/>
                <w:noProof/>
              </w:rPr>
              <w:t xml:space="preserve"> </w:t>
            </w:r>
            <w:r w:rsidR="00891FF1">
              <w:rPr>
                <w:rStyle w:val="Hyperlink"/>
                <w:noProof/>
              </w:rPr>
              <w:t>d</w:t>
            </w:r>
            <w:r w:rsidR="007B6371" w:rsidRPr="009C5F88">
              <w:rPr>
                <w:rStyle w:val="Hyperlink"/>
                <w:noProof/>
              </w:rPr>
              <w:t>u Système mondial de détresse et de sécurité en mer</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_Toc463616172 \h </w:instrText>
            </w:r>
            <w:r w:rsidR="007B6371">
              <w:rPr>
                <w:noProof/>
                <w:webHidden/>
              </w:rPr>
            </w:r>
            <w:r w:rsidR="007B6371">
              <w:rPr>
                <w:noProof/>
                <w:webHidden/>
              </w:rPr>
              <w:fldChar w:fldCharType="separate"/>
            </w:r>
            <w:r w:rsidR="007B6371">
              <w:rPr>
                <w:noProof/>
                <w:webHidden/>
              </w:rPr>
              <w:t>62</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73" w:history="1">
            <w:r w:rsidR="007B6371" w:rsidRPr="009C5F88">
              <w:rPr>
                <w:rStyle w:val="Hyperlink"/>
                <w:noProof/>
              </w:rPr>
              <w:t>RÉSOLUTION 360 (Rév.CMR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74" w:history="1">
            <w:r w:rsidR="007B6371" w:rsidRPr="009C5F88">
              <w:rPr>
                <w:rStyle w:val="Hyperlink"/>
                <w:noProof/>
                <w:lang w:val="fr-CH"/>
              </w:rPr>
              <w:t xml:space="preserve">Examen des dispositions réglementaires et des attributions de fréquences au </w:t>
            </w:r>
            <w:r w:rsidR="00B71B1C">
              <w:rPr>
                <w:rStyle w:val="Hyperlink"/>
                <w:noProof/>
                <w:lang w:val="fr-CH"/>
              </w:rPr>
              <w:br/>
            </w:r>
            <w:r w:rsidR="007B6371" w:rsidRPr="009C5F88">
              <w:rPr>
                <w:rStyle w:val="Hyperlink"/>
                <w:noProof/>
                <w:lang w:val="fr-CH"/>
              </w:rPr>
              <w:t xml:space="preserve">service mobile maritime par satellite pour permettre l'exploitation de la </w:t>
            </w:r>
            <w:r w:rsidR="00B71B1C">
              <w:rPr>
                <w:rStyle w:val="Hyperlink"/>
                <w:noProof/>
                <w:lang w:val="fr-CH"/>
              </w:rPr>
              <w:br/>
            </w:r>
            <w:r w:rsidR="007B6371" w:rsidRPr="009C5F88">
              <w:rPr>
                <w:rStyle w:val="Hyperlink"/>
                <w:noProof/>
                <w:lang w:val="fr-CH"/>
              </w:rPr>
              <w:t xml:space="preserve">composante satellite du système d'échange de données en ondes  métriques </w:t>
            </w:r>
            <w:r w:rsidR="00B71B1C">
              <w:rPr>
                <w:rStyle w:val="Hyperlink"/>
                <w:noProof/>
                <w:lang w:val="fr-CH"/>
              </w:rPr>
              <w:br/>
            </w:r>
            <w:r w:rsidR="007B6371" w:rsidRPr="009C5F88">
              <w:rPr>
                <w:rStyle w:val="Hyperlink"/>
                <w:noProof/>
                <w:lang w:val="fr-CH"/>
              </w:rPr>
              <w:t>et l'amélioration des radiocommunications maritimes</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_Toc463616174 \h </w:instrText>
            </w:r>
            <w:r w:rsidR="007B6371">
              <w:rPr>
                <w:noProof/>
                <w:webHidden/>
              </w:rPr>
            </w:r>
            <w:r w:rsidR="007B6371">
              <w:rPr>
                <w:noProof/>
                <w:webHidden/>
              </w:rPr>
              <w:fldChar w:fldCharType="separate"/>
            </w:r>
            <w:r w:rsidR="007B6371">
              <w:rPr>
                <w:noProof/>
                <w:webHidden/>
              </w:rPr>
              <w:t>64</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75" w:history="1">
            <w:r w:rsidR="007B6371" w:rsidRPr="009C5F88">
              <w:rPr>
                <w:rStyle w:val="Hyperlink"/>
                <w:noProof/>
              </w:rPr>
              <w:t>RÉSOLUTION 361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76" w:history="1">
            <w:r w:rsidR="007B6371" w:rsidRPr="009C5F88">
              <w:rPr>
                <w:rStyle w:val="Hyperlink"/>
                <w:noProof/>
              </w:rPr>
              <w:t>Examen de dispositions réglementaires relatives à la modernisa</w:t>
            </w:r>
            <w:r w:rsidR="00F56016">
              <w:rPr>
                <w:rStyle w:val="Hyperlink"/>
                <w:noProof/>
              </w:rPr>
              <w:t xml:space="preserve">tion </w:t>
            </w:r>
            <w:r w:rsidR="007B6371" w:rsidRPr="009C5F88">
              <w:rPr>
                <w:rStyle w:val="Hyperlink"/>
                <w:noProof/>
              </w:rPr>
              <w:t xml:space="preserve">du </w:t>
            </w:r>
            <w:r w:rsidR="00F56016">
              <w:rPr>
                <w:rStyle w:val="Hyperlink"/>
                <w:noProof/>
              </w:rPr>
              <w:br/>
            </w:r>
            <w:r w:rsidR="007B6371" w:rsidRPr="009C5F88">
              <w:rPr>
                <w:rStyle w:val="Hyperlink"/>
                <w:noProof/>
              </w:rPr>
              <w:t xml:space="preserve">Système mondial de détresse et de sécurité en mer  et à la mise en oeuvre </w:t>
            </w:r>
            <w:r w:rsidR="00F56016">
              <w:rPr>
                <w:rStyle w:val="Hyperlink"/>
                <w:noProof/>
              </w:rPr>
              <w:br/>
            </w:r>
            <w:r w:rsidR="007B6371" w:rsidRPr="009C5F88">
              <w:rPr>
                <w:rStyle w:val="Hyperlink"/>
                <w:noProof/>
              </w:rPr>
              <w:t>de la navigation électronique</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_Toc463616176 \h </w:instrText>
            </w:r>
            <w:r w:rsidR="007B6371">
              <w:rPr>
                <w:noProof/>
                <w:webHidden/>
              </w:rPr>
            </w:r>
            <w:r w:rsidR="007B6371">
              <w:rPr>
                <w:noProof/>
                <w:webHidden/>
              </w:rPr>
              <w:fldChar w:fldCharType="separate"/>
            </w:r>
            <w:r w:rsidR="007B6371">
              <w:rPr>
                <w:noProof/>
                <w:webHidden/>
              </w:rPr>
              <w:t>67</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77" w:history="1">
            <w:r w:rsidR="007B6371" w:rsidRPr="009C5F88">
              <w:rPr>
                <w:rStyle w:val="Hyperlink"/>
                <w:noProof/>
              </w:rPr>
              <w:t>RÉSOLUTION 362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78" w:history="1">
            <w:r w:rsidR="007B6371" w:rsidRPr="009C5F88">
              <w:rPr>
                <w:rStyle w:val="Hyperlink"/>
                <w:noProof/>
              </w:rPr>
              <w:t xml:space="preserve">Dispositifs de radiocommunication maritimes autonomes fonctionnant dans </w:t>
            </w:r>
            <w:r w:rsidR="00F56016">
              <w:rPr>
                <w:rStyle w:val="Hyperlink"/>
                <w:noProof/>
              </w:rPr>
              <w:br/>
            </w:r>
            <w:r w:rsidR="007B6371" w:rsidRPr="009C5F88">
              <w:rPr>
                <w:rStyle w:val="Hyperlink"/>
                <w:noProof/>
              </w:rPr>
              <w:t>la bande de fréquences 156-162,05 MHz</w:t>
            </w:r>
            <w:r w:rsidR="007B6371">
              <w:rPr>
                <w:noProof/>
                <w:webHidden/>
              </w:rPr>
              <w:tab/>
            </w:r>
            <w:r w:rsidR="00F56016">
              <w:rPr>
                <w:noProof/>
                <w:webHidden/>
              </w:rPr>
              <w:tab/>
            </w:r>
            <w:r w:rsidR="007B6371">
              <w:rPr>
                <w:noProof/>
                <w:webHidden/>
              </w:rPr>
              <w:fldChar w:fldCharType="begin"/>
            </w:r>
            <w:r w:rsidR="007B6371">
              <w:rPr>
                <w:noProof/>
                <w:webHidden/>
              </w:rPr>
              <w:instrText xml:space="preserve"> PAGEREF _Toc463616178 \h </w:instrText>
            </w:r>
            <w:r w:rsidR="007B6371">
              <w:rPr>
                <w:noProof/>
                <w:webHidden/>
              </w:rPr>
            </w:r>
            <w:r w:rsidR="007B6371">
              <w:rPr>
                <w:noProof/>
                <w:webHidden/>
              </w:rPr>
              <w:fldChar w:fldCharType="separate"/>
            </w:r>
            <w:r w:rsidR="007B6371">
              <w:rPr>
                <w:noProof/>
                <w:webHidden/>
              </w:rPr>
              <w:t>69</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79" w:history="1">
            <w:r w:rsidR="007B6371" w:rsidRPr="009C5F88">
              <w:rPr>
                <w:rStyle w:val="Hyperlink"/>
                <w:noProof/>
              </w:rPr>
              <w:t xml:space="preserve">RÉSOLUTION </w:t>
            </w:r>
            <w:r w:rsidR="007B6371" w:rsidRPr="009C5F88">
              <w:rPr>
                <w:rStyle w:val="Hyperlink"/>
                <w:rFonts w:asciiTheme="majorBidi" w:hAnsiTheme="majorBidi" w:cstheme="majorBidi"/>
                <w:noProof/>
              </w:rPr>
              <w:t>426</w:t>
            </w:r>
            <w:r w:rsidR="007B6371" w:rsidRPr="009C5F88">
              <w:rPr>
                <w:rStyle w:val="Hyperlink"/>
                <w:noProof/>
              </w:rPr>
              <w:t xml:space="preserve">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80" w:history="1">
            <w:r w:rsidR="007B6371" w:rsidRPr="009C5F88">
              <w:rPr>
                <w:rStyle w:val="Hyperlink"/>
                <w:noProof/>
                <w:lang w:val="fr-CH"/>
              </w:rPr>
              <w:t xml:space="preserve">Etudes relatives aux besoins de fréquences et aux dispositions réglementaires </w:t>
            </w:r>
            <w:r w:rsidR="00B71B1C">
              <w:rPr>
                <w:rStyle w:val="Hyperlink"/>
                <w:noProof/>
                <w:lang w:val="fr-CH"/>
              </w:rPr>
              <w:br/>
            </w:r>
            <w:r w:rsidR="007B6371" w:rsidRPr="009C5F88">
              <w:rPr>
                <w:rStyle w:val="Hyperlink"/>
                <w:noProof/>
                <w:lang w:val="fr-CH"/>
              </w:rPr>
              <w:t>en vue de la mise en place et de l'utilisation du Système mondial de détresse et</w:t>
            </w:r>
            <w:r w:rsidR="00B71B1C">
              <w:rPr>
                <w:rStyle w:val="Hyperlink"/>
                <w:noProof/>
                <w:lang w:val="fr-CH"/>
              </w:rPr>
              <w:br/>
            </w:r>
            <w:r w:rsidR="007B6371" w:rsidRPr="009C5F88">
              <w:rPr>
                <w:rStyle w:val="Hyperlink"/>
                <w:noProof/>
                <w:lang w:val="fr-CH"/>
              </w:rPr>
              <w:t>de sécurité aéronautique</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_Toc463616180 \h </w:instrText>
            </w:r>
            <w:r w:rsidR="007B6371">
              <w:rPr>
                <w:noProof/>
                <w:webHidden/>
              </w:rPr>
            </w:r>
            <w:r w:rsidR="007B6371">
              <w:rPr>
                <w:noProof/>
                <w:webHidden/>
              </w:rPr>
              <w:fldChar w:fldCharType="separate"/>
            </w:r>
            <w:r w:rsidR="007B6371">
              <w:rPr>
                <w:noProof/>
                <w:webHidden/>
              </w:rPr>
              <w:t>72</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81" w:history="1">
            <w:r w:rsidR="007B6371" w:rsidRPr="009C5F88">
              <w:rPr>
                <w:rStyle w:val="Hyperlink"/>
                <w:noProof/>
              </w:rPr>
              <w:t>RÉSOLUTION 557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82" w:history="1">
            <w:r w:rsidR="007B6371" w:rsidRPr="009C5F88">
              <w:rPr>
                <w:rStyle w:val="Hyperlink"/>
                <w:noProof/>
                <w:lang w:val="fr-CH"/>
              </w:rPr>
              <w:t>Examen d'une révision éventuelle de l</w:t>
            </w:r>
            <w:r w:rsidR="00F56016">
              <w:rPr>
                <w:rStyle w:val="Hyperlink"/>
                <w:noProof/>
                <w:lang w:val="fr-CH"/>
              </w:rPr>
              <w:t xml:space="preserve">'Annexe 7 de l'Appendice 30 du </w:t>
            </w:r>
            <w:r w:rsidR="00F56016">
              <w:rPr>
                <w:rStyle w:val="Hyperlink"/>
                <w:noProof/>
                <w:lang w:val="fr-CH"/>
              </w:rPr>
              <w:br/>
            </w:r>
            <w:r w:rsidR="007B6371" w:rsidRPr="009C5F88">
              <w:rPr>
                <w:rStyle w:val="Hyperlink"/>
                <w:noProof/>
                <w:lang w:val="fr-CH"/>
              </w:rPr>
              <w:t>Règlement des radiocommunications</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_Toc463616182 \h </w:instrText>
            </w:r>
            <w:r w:rsidR="007B6371">
              <w:rPr>
                <w:noProof/>
                <w:webHidden/>
              </w:rPr>
            </w:r>
            <w:r w:rsidR="007B6371">
              <w:rPr>
                <w:noProof/>
                <w:webHidden/>
              </w:rPr>
              <w:fldChar w:fldCharType="separate"/>
            </w:r>
            <w:r w:rsidR="007B6371">
              <w:rPr>
                <w:noProof/>
                <w:webHidden/>
              </w:rPr>
              <w:t>74</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83" w:history="1">
            <w:r w:rsidR="007B6371" w:rsidRPr="009C5F88">
              <w:rPr>
                <w:rStyle w:val="Hyperlink"/>
                <w:noProof/>
              </w:rPr>
              <w:t>RÉSOLUTION 656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84" w:history="1">
            <w:r w:rsidR="007B6371" w:rsidRPr="009C5F88">
              <w:rPr>
                <w:rStyle w:val="Hyperlink"/>
                <w:noProof/>
                <w:lang w:val="fr-CH"/>
              </w:rPr>
              <w:t xml:space="preserve">Attribution éventuelle au service d'exploration de la Terre par satellite (active) </w:t>
            </w:r>
            <w:r w:rsidR="00B51A4D">
              <w:rPr>
                <w:rStyle w:val="Hyperlink"/>
                <w:noProof/>
                <w:lang w:val="fr-CH"/>
              </w:rPr>
              <w:br/>
            </w:r>
            <w:r w:rsidR="007B6371" w:rsidRPr="009C5F88">
              <w:rPr>
                <w:rStyle w:val="Hyperlink"/>
                <w:noProof/>
                <w:lang w:val="fr-CH"/>
              </w:rPr>
              <w:t>pour les sondeurs radar spatioportés dans la gamme de fréquences  au voisinage</w:t>
            </w:r>
            <w:r w:rsidR="00B51A4D">
              <w:rPr>
                <w:rStyle w:val="Hyperlink"/>
                <w:noProof/>
                <w:lang w:val="fr-CH"/>
              </w:rPr>
              <w:br/>
            </w:r>
            <w:r w:rsidR="007B6371" w:rsidRPr="009C5F88">
              <w:rPr>
                <w:rStyle w:val="Hyperlink"/>
                <w:noProof/>
                <w:lang w:val="fr-CH"/>
              </w:rPr>
              <w:t>de 45 MHz</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_Toc463616184 \h </w:instrText>
            </w:r>
            <w:r w:rsidR="007B6371">
              <w:rPr>
                <w:noProof/>
                <w:webHidden/>
              </w:rPr>
            </w:r>
            <w:r w:rsidR="007B6371">
              <w:rPr>
                <w:noProof/>
                <w:webHidden/>
              </w:rPr>
              <w:fldChar w:fldCharType="separate"/>
            </w:r>
            <w:r w:rsidR="007B6371">
              <w:rPr>
                <w:noProof/>
                <w:webHidden/>
              </w:rPr>
              <w:t>76</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85" w:history="1">
            <w:r w:rsidR="007B6371" w:rsidRPr="009C5F88">
              <w:rPr>
                <w:rStyle w:val="Hyperlink"/>
                <w:noProof/>
              </w:rPr>
              <w:t>RÉSOLUTION 657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86" w:history="1">
            <w:r w:rsidR="007B6371" w:rsidRPr="009C5F88">
              <w:rPr>
                <w:rStyle w:val="Hyperlink"/>
                <w:noProof/>
                <w:lang w:val="fr-CH"/>
              </w:rPr>
              <w:t>Besoins de fréquences et protection des capteurs de météorologie spatiale</w:t>
            </w:r>
            <w:r w:rsidR="00B51A4D">
              <w:rPr>
                <w:rStyle w:val="Hyperlink"/>
                <w:noProof/>
                <w:lang w:val="fr-CH"/>
              </w:rPr>
              <w:tab/>
            </w:r>
            <w:r w:rsidR="007B6371">
              <w:rPr>
                <w:noProof/>
                <w:webHidden/>
              </w:rPr>
              <w:tab/>
            </w:r>
            <w:r w:rsidR="007B6371">
              <w:rPr>
                <w:noProof/>
                <w:webHidden/>
              </w:rPr>
              <w:fldChar w:fldCharType="begin"/>
            </w:r>
            <w:r w:rsidR="007B6371">
              <w:rPr>
                <w:noProof/>
                <w:webHidden/>
              </w:rPr>
              <w:instrText xml:space="preserve"> PAGEREF _Toc463616186 \h </w:instrText>
            </w:r>
            <w:r w:rsidR="007B6371">
              <w:rPr>
                <w:noProof/>
                <w:webHidden/>
              </w:rPr>
            </w:r>
            <w:r w:rsidR="007B6371">
              <w:rPr>
                <w:noProof/>
                <w:webHidden/>
              </w:rPr>
              <w:fldChar w:fldCharType="separate"/>
            </w:r>
            <w:r w:rsidR="007B6371">
              <w:rPr>
                <w:noProof/>
                <w:webHidden/>
              </w:rPr>
              <w:t>78</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87" w:history="1">
            <w:r w:rsidR="007B6371" w:rsidRPr="009C5F88">
              <w:rPr>
                <w:rStyle w:val="Hyperlink"/>
                <w:noProof/>
              </w:rPr>
              <w:t>RÉSOLUTION 658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88" w:history="1">
            <w:r w:rsidR="007B6371" w:rsidRPr="009C5F88">
              <w:rPr>
                <w:rStyle w:val="Hyperlink"/>
                <w:noProof/>
                <w:lang w:val="fr-CH"/>
              </w:rPr>
              <w:t xml:space="preserve">Attribution de la bande de fréquences 50-54 MHz au service  d'amateur </w:t>
            </w:r>
            <w:r w:rsidR="00B51A4D">
              <w:rPr>
                <w:rStyle w:val="Hyperlink"/>
                <w:noProof/>
                <w:lang w:val="fr-CH"/>
              </w:rPr>
              <w:br/>
            </w:r>
            <w:r w:rsidR="007B6371" w:rsidRPr="009C5F88">
              <w:rPr>
                <w:rStyle w:val="Hyperlink"/>
                <w:noProof/>
                <w:lang w:val="fr-CH"/>
              </w:rPr>
              <w:t>dans la Région 1</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_Toc463616188 \h </w:instrText>
            </w:r>
            <w:r w:rsidR="007B6371">
              <w:rPr>
                <w:noProof/>
                <w:webHidden/>
              </w:rPr>
            </w:r>
            <w:r w:rsidR="007B6371">
              <w:rPr>
                <w:noProof/>
                <w:webHidden/>
              </w:rPr>
              <w:fldChar w:fldCharType="separate"/>
            </w:r>
            <w:r w:rsidR="007B6371">
              <w:rPr>
                <w:noProof/>
                <w:webHidden/>
              </w:rPr>
              <w:t>80</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89" w:history="1">
            <w:r w:rsidR="007B6371" w:rsidRPr="009C5F88">
              <w:rPr>
                <w:rStyle w:val="Hyperlink"/>
                <w:noProof/>
              </w:rPr>
              <w:t>RÉSOLUTION 659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90" w:history="1">
            <w:r w:rsidR="007B6371" w:rsidRPr="009C5F88">
              <w:rPr>
                <w:rStyle w:val="Hyperlink"/>
                <w:noProof/>
                <w:lang w:val="fr-CH"/>
              </w:rPr>
              <w:t>Etudes visant à répondre aux besoins du servi</w:t>
            </w:r>
            <w:r w:rsidR="00B71B1C">
              <w:rPr>
                <w:rStyle w:val="Hyperlink"/>
                <w:noProof/>
                <w:lang w:val="fr-CH"/>
              </w:rPr>
              <w:t>ce d'exploitation spatiale pour</w:t>
            </w:r>
            <w:r w:rsidR="00B71B1C">
              <w:rPr>
                <w:rStyle w:val="Hyperlink"/>
                <w:noProof/>
                <w:lang w:val="fr-CH"/>
              </w:rPr>
              <w:br/>
            </w:r>
            <w:r w:rsidR="007B6371" w:rsidRPr="009C5F88">
              <w:rPr>
                <w:rStyle w:val="Hyperlink"/>
                <w:noProof/>
                <w:lang w:val="fr-CH"/>
              </w:rPr>
              <w:t>les satellites non géostationnaires associés à des missions de courte durée</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_Toc463616190 \h </w:instrText>
            </w:r>
            <w:r w:rsidR="007B6371">
              <w:rPr>
                <w:noProof/>
                <w:webHidden/>
              </w:rPr>
            </w:r>
            <w:r w:rsidR="007B6371">
              <w:rPr>
                <w:noProof/>
                <w:webHidden/>
              </w:rPr>
              <w:fldChar w:fldCharType="separate"/>
            </w:r>
            <w:r w:rsidR="007B6371">
              <w:rPr>
                <w:noProof/>
                <w:webHidden/>
              </w:rPr>
              <w:t>81</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91" w:history="1">
            <w:r w:rsidR="007B6371" w:rsidRPr="009C5F88">
              <w:rPr>
                <w:rStyle w:val="Hyperlink"/>
                <w:rFonts w:eastAsia="???"/>
                <w:noProof/>
              </w:rPr>
              <w:t>R</w:t>
            </w:r>
            <w:r w:rsidR="007B6371" w:rsidRPr="009C5F88">
              <w:rPr>
                <w:rStyle w:val="Hyperlink"/>
                <w:noProof/>
              </w:rPr>
              <w:t>É</w:t>
            </w:r>
            <w:r w:rsidR="007B6371" w:rsidRPr="009C5F88">
              <w:rPr>
                <w:rStyle w:val="Hyperlink"/>
                <w:rFonts w:eastAsia="???"/>
                <w:noProof/>
              </w:rPr>
              <w:t xml:space="preserve">SOLUTION </w:t>
            </w:r>
            <w:r w:rsidR="007B6371" w:rsidRPr="009C5F88">
              <w:rPr>
                <w:rStyle w:val="Hyperlink"/>
                <w:noProof/>
              </w:rPr>
              <w:t>761</w:t>
            </w:r>
            <w:r w:rsidR="007B6371" w:rsidRPr="009C5F88">
              <w:rPr>
                <w:rStyle w:val="Hyperlink"/>
                <w:rFonts w:eastAsia="???"/>
                <w:noProof/>
              </w:rPr>
              <w:t xml:space="preserve"> (</w:t>
            </w:r>
            <w:r w:rsidR="007B6371" w:rsidRPr="009C5F88">
              <w:rPr>
                <w:rStyle w:val="Hyperlink"/>
                <w:noProof/>
              </w:rPr>
              <w:t>CMR</w:t>
            </w:r>
            <w:r w:rsidR="007B6371" w:rsidRPr="009C5F88">
              <w:rPr>
                <w:rStyle w:val="Hyperlink"/>
                <w:rFonts w:eastAsia="???"/>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92" w:history="1">
            <w:r w:rsidR="007B6371" w:rsidRPr="009C5F88">
              <w:rPr>
                <w:rStyle w:val="Hyperlink"/>
                <w:noProof/>
              </w:rPr>
              <w:t xml:space="preserve">Compatibilité entre les Télécommunications mobiles internationales et  le service </w:t>
            </w:r>
            <w:r w:rsidR="00B71B1C">
              <w:rPr>
                <w:rStyle w:val="Hyperlink"/>
                <w:noProof/>
              </w:rPr>
              <w:br/>
            </w:r>
            <w:r w:rsidR="007B6371" w:rsidRPr="009C5F88">
              <w:rPr>
                <w:rStyle w:val="Hyperlink"/>
                <w:noProof/>
              </w:rPr>
              <w:t xml:space="preserve">de radiodiffusion par satellite (sonore) dans la bande  de fréquences </w:t>
            </w:r>
            <w:r w:rsidR="00B71B1C">
              <w:rPr>
                <w:rStyle w:val="Hyperlink"/>
                <w:noProof/>
              </w:rPr>
              <w:br/>
            </w:r>
            <w:r w:rsidR="007B6371" w:rsidRPr="009C5F88">
              <w:rPr>
                <w:rStyle w:val="Hyperlink"/>
                <w:noProof/>
              </w:rPr>
              <w:t>1 452-1 492 MHz dans les Régions 1 et 3</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_Toc463616192 \h </w:instrText>
            </w:r>
            <w:r w:rsidR="007B6371">
              <w:rPr>
                <w:noProof/>
                <w:webHidden/>
              </w:rPr>
            </w:r>
            <w:r w:rsidR="007B6371">
              <w:rPr>
                <w:noProof/>
                <w:webHidden/>
              </w:rPr>
              <w:fldChar w:fldCharType="separate"/>
            </w:r>
            <w:r w:rsidR="007B6371">
              <w:rPr>
                <w:noProof/>
                <w:webHidden/>
              </w:rPr>
              <w:t>83</w:t>
            </w:r>
            <w:r w:rsidR="007B6371">
              <w:rPr>
                <w:noProof/>
                <w:webHidden/>
              </w:rPr>
              <w:fldChar w:fldCharType="end"/>
            </w:r>
          </w:hyperlink>
        </w:p>
        <w:p w:rsidR="00DA19B6" w:rsidRDefault="00DA19B6" w:rsidP="00A17011">
          <w:pPr>
            <w:pStyle w:val="TOC1"/>
            <w:spacing w:before="60" w:after="80"/>
            <w:rPr>
              <w:rStyle w:val="Hyperlink"/>
              <w:noProof/>
            </w:rPr>
          </w:pPr>
        </w:p>
        <w:p w:rsidR="00A17011" w:rsidRDefault="00A17011" w:rsidP="00A17011">
          <w:pPr>
            <w:pStyle w:val="TOC1"/>
            <w:spacing w:before="60" w:after="80"/>
            <w:rPr>
              <w:rStyle w:val="Hyperlink"/>
              <w:noProof/>
            </w:rPr>
          </w:pPr>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93" w:history="1">
            <w:r w:rsidR="007B6371" w:rsidRPr="009C5F88">
              <w:rPr>
                <w:rStyle w:val="Hyperlink"/>
                <w:noProof/>
              </w:rPr>
              <w:t>RÉSOLUTION 763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94" w:history="1">
            <w:r w:rsidR="007B6371" w:rsidRPr="009C5F88">
              <w:rPr>
                <w:rStyle w:val="Hyperlink"/>
                <w:rFonts w:asciiTheme="majorBidi" w:hAnsiTheme="majorBidi" w:cstheme="majorBidi"/>
                <w:bCs/>
                <w:noProof/>
                <w:lang w:val="fr-CH"/>
              </w:rPr>
              <w:t>Stations placées à bord de véhicules suborbitaux</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_Toc463616194 \h </w:instrText>
            </w:r>
            <w:r w:rsidR="007B6371">
              <w:rPr>
                <w:noProof/>
                <w:webHidden/>
              </w:rPr>
            </w:r>
            <w:r w:rsidR="007B6371">
              <w:rPr>
                <w:noProof/>
                <w:webHidden/>
              </w:rPr>
              <w:fldChar w:fldCharType="separate"/>
            </w:r>
            <w:r w:rsidR="007B6371">
              <w:rPr>
                <w:noProof/>
                <w:webHidden/>
              </w:rPr>
              <w:t>85</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95" w:history="1">
            <w:r w:rsidR="007B6371" w:rsidRPr="009C5F88">
              <w:rPr>
                <w:rStyle w:val="Hyperlink"/>
                <w:noProof/>
              </w:rPr>
              <w:t>RÉSOLUTION 764 (CMR</w:t>
            </w:r>
            <w:r w:rsidR="007B6371" w:rsidRPr="009C5F88">
              <w:rPr>
                <w:rStyle w:val="Hyperlink"/>
                <w:noProof/>
              </w:rPr>
              <w:noBreakHyphen/>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96" w:history="1">
            <w:r w:rsidR="007B6371" w:rsidRPr="009C5F88">
              <w:rPr>
                <w:rStyle w:val="Hyperlink"/>
                <w:noProof/>
                <w:lang w:val="fr-CH"/>
              </w:rPr>
              <w:t>Examen des conséquences techniques et réglementaires liées à une référence aux Recommandations UIT-R M.1638-1 et M.1849-1 aux numéros 5.447F et 5.</w:t>
            </w:r>
            <w:r w:rsidR="007B6371" w:rsidRPr="009C5F88">
              <w:rPr>
                <w:rStyle w:val="Hyperlink"/>
                <w:noProof/>
                <w:lang w:val="fr-CH" w:eastAsia="ja-JP"/>
              </w:rPr>
              <w:t>45</w:t>
            </w:r>
            <w:r w:rsidR="007B6371" w:rsidRPr="009C5F88">
              <w:rPr>
                <w:rStyle w:val="Hyperlink"/>
                <w:noProof/>
                <w:lang w:val="fr-CH"/>
              </w:rPr>
              <w:t xml:space="preserve">0A </w:t>
            </w:r>
            <w:r w:rsidR="00B71B1C">
              <w:rPr>
                <w:rStyle w:val="Hyperlink"/>
                <w:noProof/>
                <w:lang w:val="fr-CH"/>
              </w:rPr>
              <w:br/>
            </w:r>
            <w:r w:rsidR="007B6371" w:rsidRPr="009C5F88">
              <w:rPr>
                <w:rStyle w:val="Hyperlink"/>
                <w:noProof/>
                <w:lang w:val="fr-CH"/>
              </w:rPr>
              <w:t>du Règlement des radiocommunications</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_Toc463616196 \h </w:instrText>
            </w:r>
            <w:r w:rsidR="007B6371">
              <w:rPr>
                <w:noProof/>
                <w:webHidden/>
              </w:rPr>
            </w:r>
            <w:r w:rsidR="007B6371">
              <w:rPr>
                <w:noProof/>
                <w:webHidden/>
              </w:rPr>
              <w:fldChar w:fldCharType="separate"/>
            </w:r>
            <w:r w:rsidR="007B6371">
              <w:rPr>
                <w:noProof/>
                <w:webHidden/>
              </w:rPr>
              <w:t>87</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97" w:history="1">
            <w:r w:rsidR="007B6371" w:rsidRPr="009C5F88">
              <w:rPr>
                <w:rStyle w:val="Hyperlink"/>
                <w:noProof/>
                <w:lang w:val="fr-CH"/>
              </w:rPr>
              <w:t>R</w:t>
            </w:r>
            <w:r w:rsidR="007B6371" w:rsidRPr="009C5F88">
              <w:rPr>
                <w:rStyle w:val="Hyperlink"/>
                <w:noProof/>
              </w:rPr>
              <w:t>É</w:t>
            </w:r>
            <w:r w:rsidR="007B6371" w:rsidRPr="009C5F88">
              <w:rPr>
                <w:rStyle w:val="Hyperlink"/>
                <w:noProof/>
                <w:lang w:val="fr-CH"/>
              </w:rPr>
              <w:t>SOLUTION 765 (</w:t>
            </w:r>
            <w:r w:rsidR="007B6371" w:rsidRPr="009C5F88">
              <w:rPr>
                <w:rStyle w:val="Hyperlink"/>
                <w:noProof/>
              </w:rPr>
              <w:t>CMR</w:t>
            </w:r>
            <w:r w:rsidR="007B6371" w:rsidRPr="009C5F88">
              <w:rPr>
                <w:rStyle w:val="Hyperlink"/>
                <w:noProof/>
                <w:lang w:val="fr-CH"/>
              </w:rPr>
              <w:t>-15)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198" w:history="1">
            <w:r w:rsidR="007B6371" w:rsidRPr="009C5F88">
              <w:rPr>
                <w:rStyle w:val="Hyperlink"/>
                <w:noProof/>
                <w:lang w:val="fr-CH"/>
              </w:rPr>
              <w:t xml:space="preserve">Etablissement de limites de puissance dans la bande pour les stations terriennes </w:t>
            </w:r>
            <w:r w:rsidR="00B71B1C">
              <w:rPr>
                <w:rStyle w:val="Hyperlink"/>
                <w:noProof/>
                <w:lang w:val="fr-CH"/>
              </w:rPr>
              <w:br/>
            </w:r>
            <w:r w:rsidR="007B6371" w:rsidRPr="009C5F88">
              <w:rPr>
                <w:rStyle w:val="Hyperlink"/>
                <w:noProof/>
                <w:lang w:val="fr-CH"/>
              </w:rPr>
              <w:t xml:space="preserve">fonctionnant dans le service mobile par satellite, le service de météorologie </w:t>
            </w:r>
            <w:r w:rsidR="00B71B1C">
              <w:rPr>
                <w:rStyle w:val="Hyperlink"/>
                <w:noProof/>
                <w:lang w:val="fr-CH"/>
              </w:rPr>
              <w:br/>
            </w:r>
            <w:r w:rsidR="007B6371" w:rsidRPr="009C5F88">
              <w:rPr>
                <w:rStyle w:val="Hyperlink"/>
                <w:noProof/>
                <w:lang w:val="fr-CH"/>
              </w:rPr>
              <w:t xml:space="preserve">par satellite et le service d'exploration de la Terre par satellite dans les bandes </w:t>
            </w:r>
            <w:r w:rsidR="00B71B1C">
              <w:rPr>
                <w:rStyle w:val="Hyperlink"/>
                <w:noProof/>
                <w:lang w:val="fr-CH"/>
              </w:rPr>
              <w:br/>
            </w:r>
            <w:r w:rsidR="007B6371" w:rsidRPr="009C5F88">
              <w:rPr>
                <w:rStyle w:val="Hyperlink"/>
                <w:noProof/>
                <w:lang w:val="fr-CH"/>
              </w:rPr>
              <w:t>de fréquences 401</w:t>
            </w:r>
            <w:r w:rsidR="007B6371" w:rsidRPr="009C5F88">
              <w:rPr>
                <w:rStyle w:val="Hyperlink"/>
                <w:noProof/>
                <w:lang w:val="fr-CH"/>
              </w:rPr>
              <w:noBreakHyphen/>
              <w:t>403 MHz et 399,9-400,05 MHz</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_Toc463616198 \h </w:instrText>
            </w:r>
            <w:r w:rsidR="007B6371">
              <w:rPr>
                <w:noProof/>
                <w:webHidden/>
              </w:rPr>
            </w:r>
            <w:r w:rsidR="007B6371">
              <w:rPr>
                <w:noProof/>
                <w:webHidden/>
              </w:rPr>
              <w:fldChar w:fldCharType="separate"/>
            </w:r>
            <w:r w:rsidR="007B6371">
              <w:rPr>
                <w:noProof/>
                <w:webHidden/>
              </w:rPr>
              <w:t>89</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199" w:history="1">
            <w:r w:rsidR="007B6371" w:rsidRPr="009C5F88">
              <w:rPr>
                <w:rStyle w:val="Hyperlink"/>
                <w:noProof/>
              </w:rPr>
              <w:t>RÉSOLUTION 766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200" w:history="1">
            <w:r w:rsidR="007B6371" w:rsidRPr="009C5F88">
              <w:rPr>
                <w:rStyle w:val="Hyperlink"/>
                <w:noProof/>
                <w:lang w:val="fr-CH"/>
              </w:rPr>
              <w:t>Examen du relèvement éventuel au statut primaire de l'attribution à titre secondaire</w:t>
            </w:r>
            <w:r w:rsidR="00B71B1C">
              <w:rPr>
                <w:rStyle w:val="Hyperlink"/>
                <w:noProof/>
                <w:lang w:val="fr-CH"/>
              </w:rPr>
              <w:br/>
            </w:r>
            <w:r w:rsidR="007B6371" w:rsidRPr="009C5F88">
              <w:rPr>
                <w:rStyle w:val="Hyperlink"/>
                <w:noProof/>
                <w:lang w:val="fr-CH"/>
              </w:rPr>
              <w:t xml:space="preserve"> au service de météorologie par satellite (espace vers Terre) et d'une attribution à titre primaire au service d'exploration de la Terre par satellite (espace vers Terre) </w:t>
            </w:r>
            <w:r w:rsidR="00B71B1C">
              <w:rPr>
                <w:rStyle w:val="Hyperlink"/>
                <w:noProof/>
                <w:lang w:val="fr-CH"/>
              </w:rPr>
              <w:br/>
            </w:r>
            <w:r w:rsidR="007B6371" w:rsidRPr="009C5F88">
              <w:rPr>
                <w:rStyle w:val="Hyperlink"/>
                <w:noProof/>
                <w:lang w:val="fr-CH"/>
              </w:rPr>
              <w:t>dans la bande de fréquences 460-470 MHz</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_Toc463616200 \h </w:instrText>
            </w:r>
            <w:r w:rsidR="007B6371">
              <w:rPr>
                <w:noProof/>
                <w:webHidden/>
              </w:rPr>
            </w:r>
            <w:r w:rsidR="007B6371">
              <w:rPr>
                <w:noProof/>
                <w:webHidden/>
              </w:rPr>
              <w:fldChar w:fldCharType="separate"/>
            </w:r>
            <w:r w:rsidR="007B6371">
              <w:rPr>
                <w:noProof/>
                <w:webHidden/>
              </w:rPr>
              <w:t>91</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201" w:history="1">
            <w:r w:rsidR="007B6371" w:rsidRPr="009C5F88">
              <w:rPr>
                <w:rStyle w:val="Hyperlink"/>
                <w:noProof/>
              </w:rPr>
              <w:t>RÉSOLUTION 767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202" w:history="1">
            <w:r w:rsidR="007B6371" w:rsidRPr="009C5F88">
              <w:rPr>
                <w:rStyle w:val="Hyperlink"/>
                <w:noProof/>
                <w:lang w:val="fr-CH"/>
              </w:rPr>
              <w:t>Etudes en vue de l'identification de bandes de fréquences destinées à être utilisées</w:t>
            </w:r>
            <w:r w:rsidR="00B71B1C">
              <w:rPr>
                <w:rStyle w:val="Hyperlink"/>
                <w:noProof/>
                <w:lang w:val="fr-CH"/>
              </w:rPr>
              <w:br/>
            </w:r>
            <w:r w:rsidR="007B6371" w:rsidRPr="009C5F88">
              <w:rPr>
                <w:rStyle w:val="Hyperlink"/>
                <w:noProof/>
                <w:lang w:val="fr-CH"/>
              </w:rPr>
              <w:t>par les administrations pour les applications des services mobile terrestre et fixe fonctionnant dans la gamme de fréquences 275-450 GHz</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_Toc463616202 \h </w:instrText>
            </w:r>
            <w:r w:rsidR="007B6371">
              <w:rPr>
                <w:noProof/>
                <w:webHidden/>
              </w:rPr>
            </w:r>
            <w:r w:rsidR="007B6371">
              <w:rPr>
                <w:noProof/>
                <w:webHidden/>
              </w:rPr>
              <w:fldChar w:fldCharType="separate"/>
            </w:r>
            <w:r w:rsidR="007B6371">
              <w:rPr>
                <w:noProof/>
                <w:webHidden/>
              </w:rPr>
              <w:t>94</w:t>
            </w:r>
            <w:r w:rsidR="007B6371">
              <w:rPr>
                <w:noProof/>
                <w:webHidden/>
              </w:rPr>
              <w:fldChar w:fldCharType="end"/>
            </w:r>
          </w:hyperlink>
        </w:p>
        <w:p w:rsidR="007B6371" w:rsidRDefault="00C03421" w:rsidP="00A17011">
          <w:pPr>
            <w:pStyle w:val="TOC1"/>
            <w:spacing w:before="60" w:after="80"/>
            <w:rPr>
              <w:rFonts w:asciiTheme="minorHAnsi" w:eastAsiaTheme="minorEastAsia" w:hAnsiTheme="minorHAnsi" w:cstheme="minorBidi"/>
              <w:noProof/>
              <w:sz w:val="22"/>
              <w:szCs w:val="22"/>
              <w:lang w:val="en-US" w:eastAsia="zh-CN"/>
            </w:rPr>
          </w:pPr>
          <w:hyperlink w:anchor="_Toc463616203" w:history="1">
            <w:r w:rsidR="007B6371" w:rsidRPr="009C5F88">
              <w:rPr>
                <w:rStyle w:val="Hyperlink"/>
                <w:noProof/>
              </w:rPr>
              <w:t>RÉSOLUTION 958 (CMR-15)</w:t>
            </w:r>
          </w:hyperlink>
          <w:r w:rsidR="002F712B">
            <w:rPr>
              <w:rFonts w:asciiTheme="minorHAnsi" w:eastAsiaTheme="minorEastAsia" w:hAnsiTheme="minorHAnsi" w:cstheme="minorBidi"/>
              <w:noProof/>
              <w:sz w:val="22"/>
              <w:szCs w:val="22"/>
              <w:lang w:val="en-US" w:eastAsia="zh-CN"/>
            </w:rPr>
            <w:t xml:space="preserve"> </w:t>
          </w:r>
        </w:p>
        <w:p w:rsidR="007B6371" w:rsidRDefault="002F712B" w:rsidP="00A17011">
          <w:pPr>
            <w:pStyle w:val="TOC1"/>
            <w:spacing w:before="60" w:after="80"/>
            <w:rPr>
              <w:rFonts w:asciiTheme="minorHAnsi" w:eastAsiaTheme="minorEastAsia" w:hAnsiTheme="minorHAnsi" w:cstheme="minorBidi"/>
              <w:noProof/>
              <w:sz w:val="22"/>
              <w:szCs w:val="22"/>
              <w:lang w:val="en-US" w:eastAsia="zh-CN"/>
            </w:rPr>
          </w:pPr>
          <w:r w:rsidRPr="002F712B">
            <w:rPr>
              <w:rStyle w:val="Hyperlink"/>
              <w:noProof/>
              <w:u w:val="none"/>
            </w:rPr>
            <w:tab/>
          </w:r>
          <w:hyperlink w:anchor="_Toc463616204" w:history="1">
            <w:r w:rsidR="007B6371" w:rsidRPr="009C5F88">
              <w:rPr>
                <w:rStyle w:val="Hyperlink"/>
                <w:noProof/>
                <w:lang w:val="fr-CH"/>
              </w:rPr>
              <w:t>Etudes à entreprendre d'urgence en vue de la Conférence mondiale  des radiocommunications de 2019</w:t>
            </w:r>
            <w:r w:rsidR="007B6371">
              <w:rPr>
                <w:noProof/>
                <w:webHidden/>
              </w:rPr>
              <w:tab/>
            </w:r>
            <w:r w:rsidR="00B51A4D">
              <w:rPr>
                <w:noProof/>
                <w:webHidden/>
              </w:rPr>
              <w:tab/>
            </w:r>
            <w:r w:rsidR="007B6371">
              <w:rPr>
                <w:noProof/>
                <w:webHidden/>
              </w:rPr>
              <w:fldChar w:fldCharType="begin"/>
            </w:r>
            <w:r w:rsidR="007B6371">
              <w:rPr>
                <w:noProof/>
                <w:webHidden/>
              </w:rPr>
              <w:instrText xml:space="preserve"> PAGEREF _Toc463616204 \h </w:instrText>
            </w:r>
            <w:r w:rsidR="007B6371">
              <w:rPr>
                <w:noProof/>
                <w:webHidden/>
              </w:rPr>
            </w:r>
            <w:r w:rsidR="007B6371">
              <w:rPr>
                <w:noProof/>
                <w:webHidden/>
              </w:rPr>
              <w:fldChar w:fldCharType="separate"/>
            </w:r>
            <w:r w:rsidR="007B6371">
              <w:rPr>
                <w:noProof/>
                <w:webHidden/>
              </w:rPr>
              <w:t>97</w:t>
            </w:r>
            <w:r w:rsidR="007B6371">
              <w:rPr>
                <w:noProof/>
                <w:webHidden/>
              </w:rPr>
              <w:fldChar w:fldCharType="end"/>
            </w:r>
          </w:hyperlink>
        </w:p>
        <w:p w:rsidR="00C844AB" w:rsidRPr="00C844AB" w:rsidRDefault="007B6371" w:rsidP="00A17011">
          <w:pPr>
            <w:pStyle w:val="TOC1"/>
            <w:spacing w:before="60" w:after="80"/>
            <w:rPr>
              <w:rFonts w:asciiTheme="majorBidi" w:hAnsiTheme="majorBidi" w:cstheme="majorBidi"/>
              <w:noProof/>
              <w:szCs w:val="24"/>
            </w:rPr>
          </w:pPr>
          <w:r>
            <w:rPr>
              <w:rFonts w:asciiTheme="majorBidi" w:hAnsiTheme="majorBidi" w:cstheme="majorBidi"/>
              <w:noProof/>
              <w:szCs w:val="24"/>
            </w:rPr>
            <w:fldChar w:fldCharType="end"/>
          </w:r>
        </w:p>
      </w:sdtContent>
    </w:sdt>
    <w:p w:rsidR="00917A25" w:rsidRPr="001C64BC" w:rsidRDefault="00917A25" w:rsidP="00A17011">
      <w:pPr>
        <w:overflowPunct/>
        <w:autoSpaceDE/>
        <w:autoSpaceDN/>
        <w:adjustRightInd/>
        <w:spacing w:before="60" w:after="80"/>
        <w:textAlignment w:val="auto"/>
        <w:rPr>
          <w:rStyle w:val="Hyperlink"/>
          <w:rFonts w:asciiTheme="majorBidi" w:hAnsiTheme="majorBidi" w:cstheme="majorBidi"/>
          <w:noProof/>
          <w:color w:val="auto"/>
          <w:szCs w:val="24"/>
          <w:u w:val="none"/>
          <w:lang w:val="en-US"/>
        </w:rPr>
      </w:pPr>
    </w:p>
    <w:p w:rsidR="00917A25" w:rsidRPr="001C64BC" w:rsidRDefault="00917A25" w:rsidP="00A17011">
      <w:pPr>
        <w:overflowPunct/>
        <w:autoSpaceDE/>
        <w:autoSpaceDN/>
        <w:adjustRightInd/>
        <w:spacing w:before="40" w:after="60"/>
        <w:textAlignment w:val="auto"/>
        <w:rPr>
          <w:rStyle w:val="Hyperlink"/>
          <w:rFonts w:asciiTheme="majorBidi" w:hAnsiTheme="majorBidi" w:cstheme="majorBidi"/>
          <w:noProof/>
          <w:color w:val="auto"/>
          <w:szCs w:val="24"/>
          <w:u w:val="none"/>
          <w:lang w:val="en-US"/>
        </w:rPr>
      </w:pPr>
    </w:p>
    <w:p w:rsidR="006327A1" w:rsidRPr="001C64BC" w:rsidRDefault="006327A1" w:rsidP="00A17011">
      <w:pPr>
        <w:overflowPunct/>
        <w:autoSpaceDE/>
        <w:autoSpaceDN/>
        <w:adjustRightInd/>
        <w:spacing w:before="0"/>
        <w:textAlignment w:val="auto"/>
        <w:rPr>
          <w:rFonts w:asciiTheme="majorBidi" w:hAnsiTheme="majorBidi" w:cstheme="majorBidi"/>
          <w:b/>
          <w:noProof/>
          <w:szCs w:val="24"/>
          <w:lang w:val="en-US"/>
        </w:rPr>
        <w:sectPr w:rsidR="006327A1" w:rsidRPr="001C64BC" w:rsidSect="00D01CD1">
          <w:footerReference w:type="even" r:id="rId14"/>
          <w:footerReference w:type="default" r:id="rId15"/>
          <w:type w:val="oddPage"/>
          <w:pgSz w:w="11907" w:h="16839" w:code="9"/>
          <w:pgMar w:top="1440" w:right="992" w:bottom="1134" w:left="1440" w:header="284" w:footer="284" w:gutter="0"/>
          <w:pgNumType w:fmt="lowerRoman" w:start="1"/>
          <w:cols w:space="720"/>
          <w:noEndnote/>
          <w:docGrid w:linePitch="218"/>
        </w:sectPr>
      </w:pPr>
    </w:p>
    <w:p w:rsidR="00B556B4" w:rsidRPr="001C64BC" w:rsidRDefault="00B556B4" w:rsidP="00A17011">
      <w:pPr>
        <w:overflowPunct/>
        <w:autoSpaceDE/>
        <w:autoSpaceDN/>
        <w:adjustRightInd/>
        <w:spacing w:before="0"/>
        <w:textAlignment w:val="auto"/>
        <w:rPr>
          <w:rFonts w:asciiTheme="majorBidi" w:hAnsiTheme="majorBidi" w:cstheme="majorBidi"/>
          <w:b/>
          <w:noProof/>
          <w:szCs w:val="24"/>
          <w:lang w:val="en-US"/>
        </w:rPr>
      </w:pPr>
    </w:p>
    <w:p w:rsidR="00106498" w:rsidRPr="00E23D6E" w:rsidRDefault="00106498" w:rsidP="00A17011">
      <w:pPr>
        <w:pStyle w:val="Restitle"/>
        <w:outlineLvl w:val="0"/>
        <w:rPr>
          <w:rFonts w:asciiTheme="majorBidi" w:hAnsiTheme="majorBidi" w:cstheme="majorBidi"/>
          <w:sz w:val="24"/>
          <w:szCs w:val="24"/>
          <w:lang w:val="fr-CH"/>
        </w:rPr>
      </w:pPr>
      <w:bookmarkStart w:id="19" w:name="PREFACE"/>
      <w:bookmarkStart w:id="20" w:name="_Toc463592800"/>
      <w:bookmarkStart w:id="21" w:name="_Toc463616126"/>
      <w:bookmarkEnd w:id="19"/>
      <w:r w:rsidRPr="00E23D6E">
        <w:rPr>
          <w:rFonts w:asciiTheme="majorBidi" w:hAnsiTheme="majorBidi" w:cstheme="majorBidi"/>
          <w:sz w:val="24"/>
          <w:szCs w:val="24"/>
          <w:lang w:val="fr-CH"/>
        </w:rPr>
        <w:t>PR</w:t>
      </w:r>
      <w:r w:rsidR="00E23D6E" w:rsidRPr="00E23D6E">
        <w:rPr>
          <w:rFonts w:asciiTheme="majorBidi" w:hAnsiTheme="majorBidi" w:cstheme="majorBidi"/>
          <w:sz w:val="24"/>
          <w:szCs w:val="24"/>
          <w:lang w:val="fr-CH"/>
        </w:rPr>
        <w:t>É</w:t>
      </w:r>
      <w:r w:rsidRPr="00E23D6E">
        <w:rPr>
          <w:rFonts w:asciiTheme="majorBidi" w:hAnsiTheme="majorBidi" w:cstheme="majorBidi"/>
          <w:sz w:val="24"/>
          <w:szCs w:val="24"/>
          <w:lang w:val="fr-CH"/>
        </w:rPr>
        <w:t>FACE</w:t>
      </w:r>
      <w:bookmarkEnd w:id="1"/>
      <w:bookmarkEnd w:id="18"/>
      <w:bookmarkEnd w:id="20"/>
      <w:bookmarkEnd w:id="21"/>
    </w:p>
    <w:p w:rsidR="00E23D6E" w:rsidRDefault="00E23D6E" w:rsidP="00433F55">
      <w:pPr>
        <w:pStyle w:val="Normalaftertitle0"/>
        <w:jc w:val="both"/>
        <w:rPr>
          <w:lang w:val="fr-CH"/>
        </w:rPr>
      </w:pPr>
      <w:r>
        <w:t>Conformément à la Résolution 13</w:t>
      </w:r>
      <w:r w:rsidR="00D33331">
        <w:t>80</w:t>
      </w:r>
      <w:r>
        <w:t xml:space="preserve"> du Conseil (C</w:t>
      </w:r>
      <w:r w:rsidR="00D33331">
        <w:t>16</w:t>
      </w:r>
      <w:r w:rsidR="009E4E7C">
        <w:rPr>
          <w:rFonts w:asciiTheme="majorBidi" w:hAnsiTheme="majorBidi" w:cstheme="majorBidi"/>
          <w:szCs w:val="24"/>
        </w:rPr>
        <w:t xml:space="preserve">, </w:t>
      </w:r>
      <w:r w:rsidR="00C6044E" w:rsidRPr="00C6044E">
        <w:rPr>
          <w:rFonts w:asciiTheme="majorBidi" w:hAnsiTheme="majorBidi" w:cstheme="majorBidi"/>
          <w:szCs w:val="24"/>
        </w:rPr>
        <w:t xml:space="preserve">dernière </w:t>
      </w:r>
      <w:proofErr w:type="spellStart"/>
      <w:r w:rsidR="00C6044E" w:rsidRPr="00C6044E">
        <w:rPr>
          <w:rFonts w:asciiTheme="majorBidi" w:hAnsiTheme="majorBidi" w:cstheme="majorBidi"/>
          <w:szCs w:val="24"/>
        </w:rPr>
        <w:t>mod</w:t>
      </w:r>
      <w:proofErr w:type="spellEnd"/>
      <w:r w:rsidR="00C6044E" w:rsidRPr="00C6044E">
        <w:rPr>
          <w:rFonts w:asciiTheme="majorBidi" w:hAnsiTheme="majorBidi" w:cstheme="majorBidi"/>
          <w:szCs w:val="24"/>
        </w:rPr>
        <w:t>.</w:t>
      </w:r>
      <w:r w:rsidR="00C6044E">
        <w:rPr>
          <w:rFonts w:asciiTheme="majorBidi" w:hAnsiTheme="majorBidi" w:cstheme="majorBidi"/>
          <w:szCs w:val="24"/>
        </w:rPr>
        <w:t xml:space="preserve"> </w:t>
      </w:r>
      <w:r w:rsidR="009E4E7C">
        <w:rPr>
          <w:rFonts w:asciiTheme="majorBidi" w:hAnsiTheme="majorBidi" w:cstheme="majorBidi"/>
          <w:szCs w:val="24"/>
        </w:rPr>
        <w:t>C17</w:t>
      </w:r>
      <w:r>
        <w:t xml:space="preserve">), la prochaine Conférence mondiale des </w:t>
      </w:r>
      <w:r>
        <w:rPr>
          <w:lang w:val="fr-CH"/>
        </w:rPr>
        <w:t xml:space="preserve">radiocommunications se tiendra à </w:t>
      </w:r>
      <w:proofErr w:type="spellStart"/>
      <w:r w:rsidR="00200892">
        <w:rPr>
          <w:lang w:val="fr-CH"/>
        </w:rPr>
        <w:t>Charm</w:t>
      </w:r>
      <w:proofErr w:type="spellEnd"/>
      <w:r w:rsidR="00200892">
        <w:rPr>
          <w:lang w:val="fr-CH"/>
        </w:rPr>
        <w:t xml:space="preserve"> el-Cheikh (</w:t>
      </w:r>
      <w:proofErr w:type="spellStart"/>
      <w:r w:rsidR="00200892">
        <w:rPr>
          <w:lang w:val="fr-CH"/>
        </w:rPr>
        <w:t>Egypte</w:t>
      </w:r>
      <w:proofErr w:type="spellEnd"/>
      <w:r w:rsidR="00200892">
        <w:rPr>
          <w:lang w:val="fr-CH"/>
        </w:rPr>
        <w:t xml:space="preserve">) </w:t>
      </w:r>
      <w:r>
        <w:rPr>
          <w:lang w:val="fr-CH"/>
        </w:rPr>
        <w:t xml:space="preserve">du </w:t>
      </w:r>
      <w:r w:rsidR="00D33331">
        <w:rPr>
          <w:lang w:val="fr-CH"/>
        </w:rPr>
        <w:t>28</w:t>
      </w:r>
      <w:r w:rsidR="00433F55">
        <w:rPr>
          <w:lang w:val="fr-CH"/>
        </w:rPr>
        <w:t> </w:t>
      </w:r>
      <w:r w:rsidR="00D33331">
        <w:rPr>
          <w:lang w:val="fr-CH"/>
        </w:rPr>
        <w:t>octobre</w:t>
      </w:r>
      <w:r>
        <w:rPr>
          <w:lang w:val="fr-CH"/>
        </w:rPr>
        <w:t xml:space="preserve"> au </w:t>
      </w:r>
      <w:r w:rsidR="00D33331">
        <w:rPr>
          <w:lang w:val="fr-CH"/>
        </w:rPr>
        <w:t>22</w:t>
      </w:r>
      <w:r>
        <w:rPr>
          <w:lang w:val="fr-CH"/>
        </w:rPr>
        <w:t xml:space="preserve"> novembre </w:t>
      </w:r>
      <w:r w:rsidR="00D33331">
        <w:rPr>
          <w:lang w:val="fr-CH"/>
        </w:rPr>
        <w:t>2019</w:t>
      </w:r>
      <w:r w:rsidR="005834F5">
        <w:rPr>
          <w:lang w:val="fr-CH"/>
        </w:rPr>
        <w:t xml:space="preserve"> </w:t>
      </w:r>
      <w:r>
        <w:rPr>
          <w:lang w:val="fr-CH"/>
        </w:rPr>
        <w:t xml:space="preserve">et sera une nouvelle manifestation qui fera date pour le secteur des </w:t>
      </w:r>
      <w:r w:rsidRPr="00A30616">
        <w:rPr>
          <w:lang w:val="fr-CH"/>
        </w:rPr>
        <w:t>radiocommunication</w:t>
      </w:r>
      <w:r>
        <w:rPr>
          <w:lang w:val="fr-CH"/>
        </w:rPr>
        <w:t>s en ce qui concerne l'utilisation du spectre des fréquences radioélectriques et des orbites de satellites.</w:t>
      </w:r>
    </w:p>
    <w:p w:rsidR="00E23D6E" w:rsidRPr="00CB1977" w:rsidRDefault="00E23D6E" w:rsidP="00120FCE">
      <w:pPr>
        <w:jc w:val="both"/>
        <w:rPr>
          <w:lang w:val="fr-CH"/>
        </w:rPr>
      </w:pPr>
      <w:r w:rsidRPr="00E23D6E">
        <w:rPr>
          <w:lang w:val="fr-CH"/>
        </w:rPr>
        <w:t>Cette brochure permet d'accéder facilement à l'ordre du jour de la CMR-</w:t>
      </w:r>
      <w:r w:rsidR="00D33331">
        <w:rPr>
          <w:lang w:val="fr-CH"/>
        </w:rPr>
        <w:t>19</w:t>
      </w:r>
      <w:r w:rsidRPr="00E23D6E">
        <w:rPr>
          <w:lang w:val="fr-CH"/>
        </w:rPr>
        <w:t xml:space="preserve"> ainsi qu'aux résolutions pertinentes qui y sont mentionnées. Elle a été préparée en étroite coopération avec l'Union internationale des radioamateurs (</w:t>
      </w:r>
      <w:hyperlink r:id="rId16" w:history="1">
        <w:r w:rsidR="00120FCE" w:rsidRPr="0082788D">
          <w:rPr>
            <w:rStyle w:val="Hyperlink"/>
            <w:lang w:val="fr-CH"/>
          </w:rPr>
          <w:t>www.iaru.int</w:t>
        </w:r>
      </w:hyperlink>
      <w:r w:rsidRPr="00E23D6E">
        <w:rPr>
          <w:lang w:val="fr-CH"/>
        </w:rPr>
        <w:t>), conformément à ses initiatives passées et afin de conserver cette bonne tradition qui vise à aider les membres de l'UIT à préparer cette Conférence dans les meilleures conditions.</w:t>
      </w:r>
      <w:r w:rsidR="00CB1977">
        <w:rPr>
          <w:lang w:val="fr-CH"/>
        </w:rPr>
        <w:t xml:space="preserve"> En outre, les études et les travaux préparatoires de l'UIT-R </w:t>
      </w:r>
      <w:r w:rsidR="00A819C8">
        <w:rPr>
          <w:lang w:val="fr-CH"/>
        </w:rPr>
        <w:t xml:space="preserve">en vue de la CMR-19 </w:t>
      </w:r>
      <w:r w:rsidR="00CB1977">
        <w:rPr>
          <w:lang w:val="fr-CH"/>
        </w:rPr>
        <w:t>peuvent être consultés à l'adresse</w:t>
      </w:r>
      <w:r w:rsidR="00120FCE">
        <w:rPr>
          <w:lang w:val="fr-CH"/>
        </w:rPr>
        <w:t>:</w:t>
      </w:r>
      <w:r w:rsidR="00CB1977">
        <w:rPr>
          <w:lang w:val="fr-CH"/>
        </w:rPr>
        <w:t xml:space="preserve"> </w:t>
      </w:r>
      <w:hyperlink r:id="rId17" w:history="1">
        <w:r w:rsidRPr="00A17011">
          <w:rPr>
            <w:rStyle w:val="Hyperlink"/>
            <w:rFonts w:asciiTheme="majorBidi" w:hAnsiTheme="majorBidi" w:cstheme="majorBidi"/>
            <w:szCs w:val="24"/>
            <w:lang w:val="fr-CH"/>
          </w:rPr>
          <w:t>www.itu.int/go/rcpm-wrc-19-studies</w:t>
        </w:r>
      </w:hyperlink>
      <w:r w:rsidRPr="00A17011">
        <w:rPr>
          <w:rFonts w:asciiTheme="majorBidi" w:hAnsiTheme="majorBidi" w:cstheme="majorBidi"/>
          <w:szCs w:val="24"/>
          <w:lang w:val="fr-CH"/>
        </w:rPr>
        <w:t>.</w:t>
      </w:r>
    </w:p>
    <w:p w:rsidR="00106498" w:rsidRPr="00E23D6E" w:rsidRDefault="00E23D6E" w:rsidP="00A17011">
      <w:pPr>
        <w:jc w:val="both"/>
        <w:rPr>
          <w:lang w:val="fr-CH"/>
        </w:rPr>
      </w:pPr>
      <w:r w:rsidRPr="00E23D6E">
        <w:rPr>
          <w:lang w:val="fr-CH"/>
        </w:rPr>
        <w:t>J'espère que tous les participants à cette manifestation exceptionnelle engageront des débats constructifs dans un esprit de coopération, qui aboutiront sans nul doute, comme pour les conférences précédentes, à des résultats fructueux.</w:t>
      </w:r>
    </w:p>
    <w:p w:rsidR="00E23D6E" w:rsidRPr="00E23D6E" w:rsidRDefault="00E23D6E" w:rsidP="00A17011">
      <w:pPr>
        <w:rPr>
          <w:rFonts w:asciiTheme="majorBidi" w:hAnsiTheme="majorBidi" w:cstheme="majorBidi"/>
          <w:szCs w:val="24"/>
          <w:lang w:val="fr-CH"/>
        </w:rPr>
      </w:pPr>
    </w:p>
    <w:p w:rsidR="00B2195B" w:rsidRDefault="00B2195B" w:rsidP="00A17011">
      <w:pPr>
        <w:spacing w:before="0"/>
        <w:rPr>
          <w:rFonts w:asciiTheme="majorBidi" w:hAnsiTheme="majorBidi" w:cstheme="majorBidi"/>
          <w:szCs w:val="24"/>
        </w:rPr>
      </w:pPr>
    </w:p>
    <w:p w:rsidR="00FA0DFD" w:rsidRDefault="00FA0DFD" w:rsidP="00A17011">
      <w:pPr>
        <w:spacing w:before="0"/>
        <w:rPr>
          <w:rFonts w:asciiTheme="majorBidi" w:hAnsiTheme="majorBidi" w:cstheme="majorBidi"/>
          <w:szCs w:val="24"/>
        </w:rPr>
      </w:pPr>
    </w:p>
    <w:p w:rsidR="00FA0DFD" w:rsidRDefault="00FA0DFD" w:rsidP="00A17011">
      <w:pPr>
        <w:spacing w:before="0"/>
        <w:rPr>
          <w:rFonts w:asciiTheme="majorBidi" w:hAnsiTheme="majorBidi" w:cstheme="majorBidi"/>
          <w:szCs w:val="24"/>
        </w:rPr>
      </w:pPr>
    </w:p>
    <w:p w:rsidR="00FA0DFD" w:rsidRPr="004C120E" w:rsidRDefault="00FA0DFD" w:rsidP="00A17011">
      <w:pPr>
        <w:spacing w:before="0"/>
        <w:rPr>
          <w:rFonts w:asciiTheme="majorBidi" w:hAnsiTheme="majorBidi" w:cstheme="majorBidi"/>
          <w:szCs w:val="24"/>
        </w:rPr>
      </w:pPr>
    </w:p>
    <w:p w:rsidR="00C67CB3" w:rsidRPr="00E23D6E" w:rsidRDefault="000B19F0" w:rsidP="00A17011">
      <w:pPr>
        <w:tabs>
          <w:tab w:val="center" w:pos="3402"/>
        </w:tabs>
        <w:spacing w:before="0"/>
        <w:ind w:left="720"/>
        <w:rPr>
          <w:rFonts w:asciiTheme="majorBidi" w:hAnsiTheme="majorBidi" w:cstheme="majorBidi"/>
          <w:szCs w:val="24"/>
          <w:lang w:val="fr-CH"/>
        </w:rPr>
      </w:pPr>
      <w:r w:rsidRPr="00E23D6E">
        <w:rPr>
          <w:rFonts w:asciiTheme="majorBidi" w:hAnsiTheme="majorBidi" w:cstheme="majorBidi"/>
          <w:szCs w:val="24"/>
          <w:lang w:val="fr-CH"/>
        </w:rPr>
        <w:t xml:space="preserve">François </w:t>
      </w:r>
      <w:proofErr w:type="spellStart"/>
      <w:r w:rsidRPr="00E23D6E">
        <w:rPr>
          <w:rFonts w:asciiTheme="majorBidi" w:hAnsiTheme="majorBidi" w:cstheme="majorBidi"/>
          <w:szCs w:val="24"/>
          <w:lang w:val="fr-CH"/>
        </w:rPr>
        <w:t>Rancy</w:t>
      </w:r>
      <w:proofErr w:type="spellEnd"/>
    </w:p>
    <w:p w:rsidR="000B19F0" w:rsidRPr="00E23D6E" w:rsidRDefault="000B19F0" w:rsidP="00A17011">
      <w:pPr>
        <w:tabs>
          <w:tab w:val="center" w:pos="3402"/>
        </w:tabs>
        <w:spacing w:before="0"/>
        <w:ind w:left="720"/>
        <w:rPr>
          <w:rFonts w:asciiTheme="majorBidi" w:hAnsiTheme="majorBidi" w:cstheme="majorBidi"/>
          <w:szCs w:val="24"/>
          <w:lang w:val="fr-CH"/>
        </w:rPr>
      </w:pPr>
      <w:r w:rsidRPr="00E23D6E">
        <w:rPr>
          <w:rFonts w:asciiTheme="majorBidi" w:hAnsiTheme="majorBidi" w:cstheme="majorBidi"/>
          <w:szCs w:val="24"/>
          <w:lang w:val="fr-CH"/>
        </w:rPr>
        <w:t>Direct</w:t>
      </w:r>
      <w:r w:rsidR="00E23D6E">
        <w:rPr>
          <w:rFonts w:asciiTheme="majorBidi" w:hAnsiTheme="majorBidi" w:cstheme="majorBidi"/>
          <w:szCs w:val="24"/>
          <w:lang w:val="fr-CH"/>
        </w:rPr>
        <w:t>eu</w:t>
      </w:r>
      <w:r w:rsidRPr="00E23D6E">
        <w:rPr>
          <w:rFonts w:asciiTheme="majorBidi" w:hAnsiTheme="majorBidi" w:cstheme="majorBidi"/>
          <w:szCs w:val="24"/>
          <w:lang w:val="fr-CH"/>
        </w:rPr>
        <w:t>r</w:t>
      </w:r>
      <w:r w:rsidR="00E23D6E">
        <w:rPr>
          <w:rFonts w:asciiTheme="majorBidi" w:hAnsiTheme="majorBidi" w:cstheme="majorBidi"/>
          <w:szCs w:val="24"/>
          <w:lang w:val="fr-CH"/>
        </w:rPr>
        <w:t xml:space="preserve"> du Bureau des r</w:t>
      </w:r>
      <w:r w:rsidRPr="00E23D6E">
        <w:rPr>
          <w:rFonts w:asciiTheme="majorBidi" w:hAnsiTheme="majorBidi" w:cstheme="majorBidi"/>
          <w:szCs w:val="24"/>
          <w:lang w:val="fr-CH"/>
        </w:rPr>
        <w:t>adiocommunication</w:t>
      </w:r>
      <w:r w:rsidR="00E23D6E">
        <w:rPr>
          <w:rFonts w:asciiTheme="majorBidi" w:hAnsiTheme="majorBidi" w:cstheme="majorBidi"/>
          <w:szCs w:val="24"/>
          <w:lang w:val="fr-CH"/>
        </w:rPr>
        <w:t>s</w:t>
      </w:r>
    </w:p>
    <w:p w:rsidR="00C67CB3" w:rsidRPr="00E23D6E" w:rsidRDefault="00C67CB3" w:rsidP="00A17011">
      <w:pPr>
        <w:tabs>
          <w:tab w:val="center" w:pos="3402"/>
        </w:tabs>
        <w:spacing w:before="0"/>
        <w:rPr>
          <w:rFonts w:asciiTheme="majorBidi" w:hAnsiTheme="majorBidi" w:cstheme="majorBidi"/>
          <w:szCs w:val="24"/>
          <w:lang w:val="fr-CH"/>
        </w:rPr>
      </w:pPr>
    </w:p>
    <w:p w:rsidR="00C67CB3" w:rsidRPr="00E23D6E" w:rsidRDefault="00C67CB3"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FA0DFD" w:rsidRPr="00E23D6E" w:rsidRDefault="00FA0DFD" w:rsidP="00A17011">
      <w:pPr>
        <w:tabs>
          <w:tab w:val="center" w:pos="3402"/>
        </w:tabs>
        <w:spacing w:before="0"/>
        <w:rPr>
          <w:rFonts w:asciiTheme="majorBidi" w:hAnsiTheme="majorBidi" w:cstheme="majorBidi"/>
          <w:szCs w:val="24"/>
          <w:lang w:val="fr-CH"/>
        </w:rPr>
      </w:pPr>
    </w:p>
    <w:p w:rsidR="004C120E" w:rsidRPr="00E23D6E" w:rsidRDefault="004C120E" w:rsidP="00A17011">
      <w:pPr>
        <w:overflowPunct/>
        <w:autoSpaceDE/>
        <w:autoSpaceDN/>
        <w:adjustRightInd/>
        <w:spacing w:before="0"/>
        <w:textAlignment w:val="auto"/>
        <w:rPr>
          <w:rFonts w:asciiTheme="majorBidi" w:hAnsiTheme="majorBidi" w:cstheme="majorBidi"/>
          <w:szCs w:val="24"/>
          <w:lang w:val="fr-CH"/>
        </w:rPr>
      </w:pPr>
      <w:r w:rsidRPr="00E23D6E">
        <w:rPr>
          <w:rFonts w:asciiTheme="majorBidi" w:hAnsiTheme="majorBidi" w:cstheme="majorBidi"/>
          <w:szCs w:val="24"/>
          <w:lang w:val="fr-CH"/>
        </w:rPr>
        <w:br w:type="page"/>
      </w:r>
    </w:p>
    <w:p w:rsidR="003B643B" w:rsidRPr="00E23D6E" w:rsidRDefault="003B643B" w:rsidP="00A17011">
      <w:pPr>
        <w:spacing w:before="240"/>
        <w:jc w:val="right"/>
        <w:rPr>
          <w:rFonts w:asciiTheme="majorBidi" w:hAnsiTheme="majorBidi" w:cstheme="majorBidi"/>
          <w:szCs w:val="24"/>
          <w:lang w:val="fr-CH"/>
        </w:rPr>
      </w:pPr>
    </w:p>
    <w:p w:rsidR="009E7B76" w:rsidRPr="00433F55" w:rsidRDefault="009E7B76" w:rsidP="00C6044E">
      <w:pPr>
        <w:pStyle w:val="ResNo"/>
        <w:spacing w:line="480" w:lineRule="auto"/>
        <w:rPr>
          <w:lang w:val="fr-CH"/>
        </w:rPr>
      </w:pPr>
      <w:bookmarkStart w:id="22" w:name="_Toc463616127"/>
      <w:r w:rsidRPr="00433F55">
        <w:rPr>
          <w:lang w:val="fr-CH"/>
        </w:rPr>
        <w:t>R</w:t>
      </w:r>
      <w:r w:rsidR="00A02A14" w:rsidRPr="00433F55">
        <w:rPr>
          <w:lang w:val="fr-CH"/>
        </w:rPr>
        <w:t>É</w:t>
      </w:r>
      <w:r w:rsidRPr="00433F55">
        <w:rPr>
          <w:lang w:val="fr-CH"/>
        </w:rPr>
        <w:t>SOLUTION 1380 (C16</w:t>
      </w:r>
      <w:r w:rsidR="009E4E7C" w:rsidRPr="00433F55">
        <w:rPr>
          <w:lang w:val="fr-CH"/>
        </w:rPr>
        <w:t xml:space="preserve">, </w:t>
      </w:r>
      <w:r w:rsidR="00C6044E" w:rsidRPr="00C6044E">
        <w:rPr>
          <w:rFonts w:asciiTheme="majorBidi" w:hAnsiTheme="majorBidi" w:cstheme="majorBidi"/>
          <w:caps w:val="0"/>
          <w:szCs w:val="24"/>
        </w:rPr>
        <w:t xml:space="preserve">dernière </w:t>
      </w:r>
      <w:proofErr w:type="spellStart"/>
      <w:r w:rsidR="00C6044E" w:rsidRPr="00C6044E">
        <w:rPr>
          <w:rFonts w:asciiTheme="majorBidi" w:hAnsiTheme="majorBidi" w:cstheme="majorBidi"/>
          <w:caps w:val="0"/>
          <w:szCs w:val="24"/>
        </w:rPr>
        <w:t>mod</w:t>
      </w:r>
      <w:proofErr w:type="spellEnd"/>
      <w:r w:rsidR="00C6044E" w:rsidRPr="00C6044E">
        <w:rPr>
          <w:rFonts w:asciiTheme="majorBidi" w:hAnsiTheme="majorBidi" w:cstheme="majorBidi"/>
          <w:caps w:val="0"/>
          <w:szCs w:val="24"/>
        </w:rPr>
        <w:t>.</w:t>
      </w:r>
      <w:r w:rsidR="00C6044E">
        <w:rPr>
          <w:rFonts w:asciiTheme="majorBidi" w:hAnsiTheme="majorBidi" w:cstheme="majorBidi"/>
          <w:caps w:val="0"/>
          <w:szCs w:val="24"/>
        </w:rPr>
        <w:t xml:space="preserve"> </w:t>
      </w:r>
      <w:r w:rsidR="009E4E7C" w:rsidRPr="00433F55">
        <w:rPr>
          <w:lang w:val="fr-CH"/>
        </w:rPr>
        <w:t>C17</w:t>
      </w:r>
      <w:r w:rsidRPr="00433F55">
        <w:rPr>
          <w:lang w:val="fr-CH"/>
        </w:rPr>
        <w:t>)</w:t>
      </w:r>
      <w:bookmarkEnd w:id="22"/>
    </w:p>
    <w:p w:rsidR="00CB5204" w:rsidRDefault="00CB5204" w:rsidP="00A17011">
      <w:pPr>
        <w:pStyle w:val="Restitle"/>
        <w:outlineLvl w:val="1"/>
        <w:rPr>
          <w:rFonts w:asciiTheme="majorBidi" w:hAnsiTheme="majorBidi" w:cstheme="majorBidi"/>
          <w:sz w:val="24"/>
          <w:szCs w:val="24"/>
        </w:rPr>
      </w:pPr>
      <w:bookmarkStart w:id="23" w:name="_Toc463592801"/>
      <w:bookmarkStart w:id="24" w:name="_Toc463616128"/>
      <w:bookmarkStart w:id="25" w:name="_Toc337471288"/>
      <w:r w:rsidRPr="00762C2E">
        <w:t xml:space="preserve">Lieu, dates et ordre du jour de la Conférence mondiale </w:t>
      </w:r>
      <w:r w:rsidRPr="00762C2E">
        <w:br/>
        <w:t>des radiocommunications (CMR-19)</w:t>
      </w:r>
      <w:bookmarkEnd w:id="23"/>
      <w:bookmarkEnd w:id="24"/>
    </w:p>
    <w:bookmarkEnd w:id="25"/>
    <w:p w:rsidR="00CB5204" w:rsidRPr="00762C2E" w:rsidRDefault="00CB5204" w:rsidP="00A17011">
      <w:pPr>
        <w:pStyle w:val="Normalaftertitle"/>
        <w:jc w:val="both"/>
      </w:pPr>
      <w:r w:rsidRPr="00762C2E">
        <w:t>Le Conseil,</w:t>
      </w:r>
    </w:p>
    <w:p w:rsidR="00CB5204" w:rsidRPr="009B46DD" w:rsidRDefault="00CB5204" w:rsidP="00A17011">
      <w:pPr>
        <w:pStyle w:val="Call"/>
        <w:jc w:val="both"/>
      </w:pPr>
      <w:r w:rsidRPr="00762C2E">
        <w:t>notant</w:t>
      </w:r>
    </w:p>
    <w:p w:rsidR="00CB5204" w:rsidRPr="009B46DD" w:rsidRDefault="00CB5204" w:rsidP="00A17011">
      <w:pPr>
        <w:jc w:val="both"/>
      </w:pPr>
      <w:r w:rsidRPr="009B46DD">
        <w:t>que, par sa Résolution 809, la Conférence mondiale des radiocommunications (Genève, 2015):</w:t>
      </w:r>
    </w:p>
    <w:p w:rsidR="00CB5204" w:rsidRPr="009B46DD" w:rsidRDefault="00CB5204" w:rsidP="00A17011">
      <w:pPr>
        <w:jc w:val="both"/>
      </w:pPr>
      <w:r w:rsidRPr="009B46DD">
        <w:rPr>
          <w:i/>
          <w:iCs/>
        </w:rPr>
        <w:t>a)</w:t>
      </w:r>
      <w:r w:rsidRPr="009B46DD">
        <w:tab/>
        <w:t>a décidé de recommander au Conseil de convoquer, en 2019, une conférence mondiale des radiocommunications d'une durée maximale de quatre semaines;</w:t>
      </w:r>
    </w:p>
    <w:p w:rsidR="00CB5204" w:rsidRDefault="00CB5204" w:rsidP="00A17011">
      <w:pPr>
        <w:jc w:val="both"/>
      </w:pPr>
      <w:r w:rsidRPr="009B46DD">
        <w:rPr>
          <w:i/>
          <w:iCs/>
        </w:rPr>
        <w:t>b)</w:t>
      </w:r>
      <w:r w:rsidRPr="009B46DD">
        <w:rPr>
          <w:i/>
          <w:iCs/>
        </w:rPr>
        <w:tab/>
      </w:r>
      <w:r w:rsidRPr="009B46DD">
        <w:t>a recommandé des points à inscrire à l'ordre du jour de cette conférence et a invité le Conseil à arrêter définitivement cet ordre du jour, à prendre les dispositions nécessaires pour la convocation de la CMR-19 et à engager dès que pos</w:t>
      </w:r>
      <w:bookmarkStart w:id="26" w:name="_GoBack"/>
      <w:bookmarkEnd w:id="26"/>
      <w:r w:rsidRPr="009B46DD">
        <w:t xml:space="preserve">sible les consultations nécessaires avec les </w:t>
      </w:r>
      <w:proofErr w:type="spellStart"/>
      <w:r w:rsidRPr="009B46DD">
        <w:t>Etats</w:t>
      </w:r>
      <w:proofErr w:type="spellEnd"/>
      <w:r w:rsidRPr="009B46DD">
        <w:t xml:space="preserve"> Membres,</w:t>
      </w:r>
    </w:p>
    <w:p w:rsidR="00200892" w:rsidRPr="00164BAD" w:rsidRDefault="00200892" w:rsidP="00200892">
      <w:pPr>
        <w:pStyle w:val="Call"/>
      </w:pPr>
      <w:r w:rsidRPr="00164BAD">
        <w:t>notant en outre</w:t>
      </w:r>
    </w:p>
    <w:p w:rsidR="00200892" w:rsidRPr="009B46DD" w:rsidRDefault="00200892" w:rsidP="00200892">
      <w:pPr>
        <w:jc w:val="both"/>
      </w:pPr>
      <w:r w:rsidRPr="00164BAD">
        <w:t>que le Gouvernement de la République arabe d'</w:t>
      </w:r>
      <w:proofErr w:type="spellStart"/>
      <w:r w:rsidRPr="00164BAD">
        <w:t>Egypte</w:t>
      </w:r>
      <w:proofErr w:type="spellEnd"/>
      <w:r w:rsidRPr="00164BAD">
        <w:t xml:space="preserve"> a invité l'Union internationale des télécommunications à tenir la Conférence mondiale des radiocommunications de</w:t>
      </w:r>
      <w:r>
        <w:t xml:space="preserve"> 2019 dans la ville de </w:t>
      </w:r>
      <w:proofErr w:type="spellStart"/>
      <w:r>
        <w:t>Charm</w:t>
      </w:r>
      <w:proofErr w:type="spellEnd"/>
      <w:r>
        <w:t xml:space="preserve"> e</w:t>
      </w:r>
      <w:r w:rsidRPr="00164BAD">
        <w:t>l-Cheikh (</w:t>
      </w:r>
      <w:proofErr w:type="spellStart"/>
      <w:r w:rsidRPr="00164BAD">
        <w:t>Egypte</w:t>
      </w:r>
      <w:proofErr w:type="spellEnd"/>
      <w:r w:rsidRPr="00164BAD">
        <w:t>),</w:t>
      </w:r>
    </w:p>
    <w:p w:rsidR="00CB5204" w:rsidRPr="009B46DD" w:rsidRDefault="00CB5204" w:rsidP="00A17011">
      <w:pPr>
        <w:pStyle w:val="Call"/>
        <w:jc w:val="both"/>
      </w:pPr>
      <w:r w:rsidRPr="009B46DD">
        <w:t>décide</w:t>
      </w:r>
    </w:p>
    <w:p w:rsidR="00CB5204" w:rsidRPr="009B46DD" w:rsidRDefault="00CB5204">
      <w:pPr>
        <w:jc w:val="both"/>
      </w:pPr>
      <w:r>
        <w:t xml:space="preserve">de convoquer, à </w:t>
      </w:r>
      <w:proofErr w:type="spellStart"/>
      <w:r w:rsidR="00200892">
        <w:t>Charm</w:t>
      </w:r>
      <w:proofErr w:type="spellEnd"/>
      <w:r w:rsidR="00200892">
        <w:t xml:space="preserve"> el-Cheikh (</w:t>
      </w:r>
      <w:proofErr w:type="spellStart"/>
      <w:r w:rsidR="00200892">
        <w:t>Egypte</w:t>
      </w:r>
      <w:proofErr w:type="spellEnd"/>
      <w:r w:rsidR="00200892">
        <w:t>)</w:t>
      </w:r>
      <w:r>
        <w:t xml:space="preserve"> du 28 octobre au 22 novembre 2019</w:t>
      </w:r>
      <w:r w:rsidRPr="009B46DD">
        <w:t>, une Conférence mondiale des radiocomm</w:t>
      </w:r>
      <w:r>
        <w:t>unications (CMR-19), précédée, du 21 au 25 octobre 2019</w:t>
      </w:r>
      <w:r w:rsidRPr="009B46DD">
        <w:t>, de l'Assemblée des radiocommunications, et dont l'ordre du jour sera le suivant:</w:t>
      </w:r>
    </w:p>
    <w:p w:rsidR="00CB5204" w:rsidRPr="009B46DD" w:rsidRDefault="00CB5204" w:rsidP="00A17011">
      <w:pPr>
        <w:jc w:val="both"/>
      </w:pPr>
      <w:r w:rsidRPr="009B46DD">
        <w:t>1</w:t>
      </w:r>
      <w:r w:rsidRPr="009B46DD">
        <w:tab/>
        <w:t>sur la base des propositions des administrations, compte tenu des résultats de la CMR</w:t>
      </w:r>
      <w:r w:rsidRPr="009B46DD">
        <w:noBreakHyphen/>
        <w:t>15 ainsi que du rapport de la Réunion de préparation à la Conférence et compte dûment tenu des besoins des services existants ou futurs dans les bandes considérées, examiner les points suivants et prendre les mesures appropriées:</w:t>
      </w:r>
    </w:p>
    <w:p w:rsidR="00CB5204" w:rsidRPr="009B46DD" w:rsidRDefault="00CB5204" w:rsidP="00A17011">
      <w:pPr>
        <w:jc w:val="both"/>
      </w:pPr>
      <w:r w:rsidRPr="009B46DD">
        <w:t>1.1</w:t>
      </w:r>
      <w:r w:rsidRPr="009B46DD">
        <w:tab/>
        <w:t>envisager une attribution de la bande de fréquences 50-54 MHz au service d'amateur en Région</w:t>
      </w:r>
      <w:r>
        <w:t> </w:t>
      </w:r>
      <w:r w:rsidRPr="009B46DD">
        <w:t xml:space="preserve">1, conformément à la </w:t>
      </w:r>
      <w:hyperlink w:anchor="RES_658" w:history="1">
        <w:r w:rsidRPr="00CB5204">
          <w:rPr>
            <w:rStyle w:val="Hyperlink"/>
            <w:rFonts w:asciiTheme="majorBidi" w:hAnsiTheme="majorBidi" w:cstheme="majorBidi"/>
            <w:szCs w:val="24"/>
            <w:lang w:val="fr-CH"/>
          </w:rPr>
          <w:t>R</w:t>
        </w:r>
        <w:r>
          <w:rPr>
            <w:rStyle w:val="Hyperlink"/>
            <w:rFonts w:asciiTheme="majorBidi" w:hAnsiTheme="majorBidi" w:cstheme="majorBidi"/>
            <w:szCs w:val="24"/>
            <w:lang w:val="fr-CH"/>
          </w:rPr>
          <w:t>é</w:t>
        </w:r>
        <w:r w:rsidRPr="00CB5204">
          <w:rPr>
            <w:rStyle w:val="Hyperlink"/>
            <w:rFonts w:asciiTheme="majorBidi" w:hAnsiTheme="majorBidi" w:cstheme="majorBidi"/>
            <w:szCs w:val="24"/>
            <w:lang w:val="fr-CH"/>
          </w:rPr>
          <w:t xml:space="preserve">solution </w:t>
        </w:r>
        <w:r w:rsidRPr="00CB5204">
          <w:rPr>
            <w:rStyle w:val="Hyperlink"/>
            <w:rFonts w:asciiTheme="majorBidi" w:hAnsiTheme="majorBidi" w:cstheme="majorBidi"/>
            <w:b/>
            <w:bCs/>
            <w:szCs w:val="24"/>
            <w:lang w:val="fr-CH"/>
          </w:rPr>
          <w:t>658 (C</w:t>
        </w:r>
        <w:r>
          <w:rPr>
            <w:rStyle w:val="Hyperlink"/>
            <w:rFonts w:asciiTheme="majorBidi" w:hAnsiTheme="majorBidi" w:cstheme="majorBidi"/>
            <w:b/>
            <w:bCs/>
            <w:szCs w:val="24"/>
            <w:lang w:val="fr-CH"/>
          </w:rPr>
          <w:t>MR</w:t>
        </w:r>
        <w:r w:rsidRPr="00CB5204">
          <w:rPr>
            <w:rStyle w:val="Hyperlink"/>
            <w:rFonts w:asciiTheme="majorBidi" w:hAnsiTheme="majorBidi" w:cstheme="majorBidi"/>
            <w:b/>
            <w:bCs/>
            <w:szCs w:val="24"/>
            <w:lang w:val="fr-CH"/>
          </w:rPr>
          <w:t>-15)</w:t>
        </w:r>
      </w:hyperlink>
      <w:r>
        <w:t>;</w:t>
      </w:r>
    </w:p>
    <w:p w:rsidR="00CB5204" w:rsidRPr="009B46DD" w:rsidRDefault="00CB5204" w:rsidP="00A17011">
      <w:pPr>
        <w:jc w:val="both"/>
      </w:pPr>
      <w:r w:rsidRPr="009B46DD">
        <w:t>1.2</w:t>
      </w:r>
      <w:r w:rsidRPr="009B46DD">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w:t>
      </w:r>
      <w:hyperlink w:anchor="RES_765" w:history="1">
        <w:r w:rsidRPr="00CB5204">
          <w:rPr>
            <w:rStyle w:val="Hyperlink"/>
            <w:rFonts w:asciiTheme="majorBidi" w:hAnsiTheme="majorBidi" w:cstheme="majorBidi"/>
            <w:szCs w:val="24"/>
            <w:lang w:val="fr-CH"/>
          </w:rPr>
          <w:t>R</w:t>
        </w:r>
        <w:r>
          <w:rPr>
            <w:rStyle w:val="Hyperlink"/>
            <w:rFonts w:asciiTheme="majorBidi" w:hAnsiTheme="majorBidi" w:cstheme="majorBidi"/>
            <w:szCs w:val="24"/>
            <w:lang w:val="fr-CH"/>
          </w:rPr>
          <w:t>é</w:t>
        </w:r>
        <w:r w:rsidRPr="00CB5204">
          <w:rPr>
            <w:rStyle w:val="Hyperlink"/>
            <w:rFonts w:asciiTheme="majorBidi" w:hAnsiTheme="majorBidi" w:cstheme="majorBidi"/>
            <w:szCs w:val="24"/>
            <w:lang w:val="fr-CH"/>
          </w:rPr>
          <w:t xml:space="preserve">solution </w:t>
        </w:r>
        <w:r w:rsidRPr="00CB5204">
          <w:rPr>
            <w:rStyle w:val="Hyperlink"/>
            <w:rFonts w:asciiTheme="majorBidi" w:hAnsiTheme="majorBidi" w:cstheme="majorBidi"/>
            <w:b/>
            <w:bCs/>
            <w:szCs w:val="24"/>
            <w:lang w:val="fr-CH"/>
          </w:rPr>
          <w:t>765 (C</w:t>
        </w:r>
        <w:r>
          <w:rPr>
            <w:rStyle w:val="Hyperlink"/>
            <w:rFonts w:asciiTheme="majorBidi" w:hAnsiTheme="majorBidi" w:cstheme="majorBidi"/>
            <w:b/>
            <w:bCs/>
            <w:szCs w:val="24"/>
            <w:lang w:val="fr-CH"/>
          </w:rPr>
          <w:t>MR</w:t>
        </w:r>
        <w:r w:rsidRPr="00CB5204">
          <w:rPr>
            <w:rStyle w:val="Hyperlink"/>
            <w:rFonts w:asciiTheme="majorBidi" w:hAnsiTheme="majorBidi" w:cstheme="majorBidi"/>
            <w:b/>
            <w:bCs/>
            <w:szCs w:val="24"/>
            <w:lang w:val="fr-CH"/>
          </w:rPr>
          <w:t>-15)</w:t>
        </w:r>
      </w:hyperlink>
      <w:r w:rsidRPr="009B46DD">
        <w:t>;</w:t>
      </w:r>
    </w:p>
    <w:p w:rsidR="00CB5204" w:rsidRPr="009B46DD" w:rsidRDefault="00CB5204" w:rsidP="00A17011">
      <w:pPr>
        <w:keepNext/>
        <w:keepLines/>
        <w:jc w:val="both"/>
      </w:pPr>
      <w:r w:rsidRPr="009B46DD">
        <w:t>1.3</w:t>
      </w:r>
      <w:r w:rsidRPr="009B46DD">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w:t>
      </w:r>
      <w:hyperlink w:anchor="RES_766" w:history="1">
        <w:r w:rsidR="007E0C09" w:rsidRPr="007E0C09">
          <w:rPr>
            <w:rStyle w:val="Hyperlink"/>
            <w:rFonts w:asciiTheme="majorBidi" w:hAnsiTheme="majorBidi" w:cstheme="majorBidi"/>
            <w:szCs w:val="24"/>
            <w:lang w:val="fr-CH"/>
          </w:rPr>
          <w:t>R</w:t>
        </w:r>
        <w:r w:rsidR="007E0C09">
          <w:rPr>
            <w:rStyle w:val="Hyperlink"/>
            <w:rFonts w:asciiTheme="majorBidi" w:hAnsiTheme="majorBidi" w:cstheme="majorBidi"/>
            <w:szCs w:val="24"/>
            <w:lang w:val="fr-CH"/>
          </w:rPr>
          <w:t>é</w:t>
        </w:r>
        <w:r w:rsidR="007E0C09" w:rsidRPr="007E0C09">
          <w:rPr>
            <w:rStyle w:val="Hyperlink"/>
            <w:rFonts w:asciiTheme="majorBidi" w:hAnsiTheme="majorBidi" w:cstheme="majorBidi"/>
            <w:szCs w:val="24"/>
            <w:lang w:val="fr-CH"/>
          </w:rPr>
          <w:t>solution </w:t>
        </w:r>
        <w:r w:rsidR="007E0C09" w:rsidRPr="007E0C09">
          <w:rPr>
            <w:rStyle w:val="Hyperlink"/>
            <w:rFonts w:asciiTheme="majorBidi" w:hAnsiTheme="majorBidi" w:cstheme="majorBidi"/>
            <w:b/>
            <w:bCs/>
            <w:szCs w:val="24"/>
            <w:lang w:val="fr-CH"/>
          </w:rPr>
          <w:t>766 (C</w:t>
        </w:r>
        <w:r w:rsidR="007E0C09">
          <w:rPr>
            <w:rStyle w:val="Hyperlink"/>
            <w:rFonts w:asciiTheme="majorBidi" w:hAnsiTheme="majorBidi" w:cstheme="majorBidi"/>
            <w:b/>
            <w:bCs/>
            <w:szCs w:val="24"/>
            <w:lang w:val="fr-CH"/>
          </w:rPr>
          <w:t>MR</w:t>
        </w:r>
        <w:r w:rsidR="007E0C09" w:rsidRPr="007E0C09">
          <w:rPr>
            <w:rStyle w:val="Hyperlink"/>
            <w:rFonts w:asciiTheme="majorBidi" w:hAnsiTheme="majorBidi" w:cstheme="majorBidi"/>
            <w:b/>
            <w:bCs/>
            <w:szCs w:val="24"/>
            <w:lang w:val="fr-CH"/>
          </w:rPr>
          <w:t>-15)</w:t>
        </w:r>
      </w:hyperlink>
      <w:r w:rsidRPr="009B46DD">
        <w:t>;</w:t>
      </w:r>
    </w:p>
    <w:p w:rsidR="00CB5204" w:rsidRPr="009B46DD" w:rsidRDefault="00CB5204" w:rsidP="00A17011">
      <w:pPr>
        <w:jc w:val="both"/>
      </w:pPr>
      <w:r w:rsidRPr="009B46DD">
        <w:t>1.4</w:t>
      </w:r>
      <w:r w:rsidRPr="009B46DD">
        <w:tab/>
        <w:t xml:space="preserve">examiner les résultats des études menées conformément à la </w:t>
      </w:r>
      <w:hyperlink w:anchor="RES_557" w:history="1">
        <w:r w:rsidR="007E0C09" w:rsidRPr="007E0C09">
          <w:rPr>
            <w:rStyle w:val="Hyperlink"/>
            <w:rFonts w:asciiTheme="majorBidi" w:hAnsiTheme="majorBidi" w:cstheme="majorBidi"/>
            <w:szCs w:val="24"/>
            <w:lang w:val="fr-CH"/>
          </w:rPr>
          <w:t>R</w:t>
        </w:r>
        <w:r w:rsidR="007E0C09">
          <w:rPr>
            <w:rStyle w:val="Hyperlink"/>
            <w:rFonts w:asciiTheme="majorBidi" w:hAnsiTheme="majorBidi" w:cstheme="majorBidi"/>
            <w:szCs w:val="24"/>
            <w:lang w:val="fr-CH"/>
          </w:rPr>
          <w:t>é</w:t>
        </w:r>
        <w:r w:rsidR="007E0C09" w:rsidRPr="007E0C09">
          <w:rPr>
            <w:rStyle w:val="Hyperlink"/>
            <w:rFonts w:asciiTheme="majorBidi" w:hAnsiTheme="majorBidi" w:cstheme="majorBidi"/>
            <w:szCs w:val="24"/>
            <w:lang w:val="fr-CH"/>
          </w:rPr>
          <w:t xml:space="preserve">solution </w:t>
        </w:r>
        <w:r w:rsidR="007E0C09" w:rsidRPr="007E0C09">
          <w:rPr>
            <w:rStyle w:val="Hyperlink"/>
            <w:rFonts w:asciiTheme="majorBidi" w:hAnsiTheme="majorBidi" w:cstheme="majorBidi"/>
            <w:b/>
            <w:bCs/>
            <w:szCs w:val="24"/>
            <w:lang w:val="fr-CH"/>
          </w:rPr>
          <w:t>557 (C</w:t>
        </w:r>
        <w:r w:rsidR="007E0C09">
          <w:rPr>
            <w:rStyle w:val="Hyperlink"/>
            <w:rFonts w:asciiTheme="majorBidi" w:hAnsiTheme="majorBidi" w:cstheme="majorBidi"/>
            <w:b/>
            <w:bCs/>
            <w:szCs w:val="24"/>
            <w:lang w:val="fr-CH"/>
          </w:rPr>
          <w:t>MR</w:t>
        </w:r>
        <w:r w:rsidR="007E0C09" w:rsidRPr="007E0C09">
          <w:rPr>
            <w:rStyle w:val="Hyperlink"/>
            <w:rFonts w:asciiTheme="majorBidi" w:hAnsiTheme="majorBidi" w:cstheme="majorBidi"/>
            <w:b/>
            <w:bCs/>
            <w:szCs w:val="24"/>
            <w:lang w:val="fr-CH"/>
          </w:rPr>
          <w:t>-15)</w:t>
        </w:r>
      </w:hyperlink>
      <w:r w:rsidRPr="009B46DD">
        <w:t xml:space="preserve">, et examiner les restrictions indiquées dans l'Annexe 7 de l'Appendice </w:t>
      </w:r>
      <w:r>
        <w:rPr>
          <w:b/>
          <w:bCs/>
        </w:rPr>
        <w:t>30 (Rév.CMR</w:t>
      </w:r>
      <w:r>
        <w:rPr>
          <w:b/>
          <w:bCs/>
        </w:rPr>
        <w:noBreakHyphen/>
        <w:t>15</w:t>
      </w:r>
      <w:r w:rsidRPr="009B46DD">
        <w:rPr>
          <w:b/>
          <w:bCs/>
        </w:rPr>
        <w:t>)</w:t>
      </w:r>
      <w:r w:rsidRPr="009B46DD">
        <w:t xml:space="preserve">, et, si nécessaire, réviser ces restrictions, tout en assurant la protection des </w:t>
      </w:r>
      <w:r w:rsidRPr="009B46DD">
        <w:lastRenderedPageBreak/>
        <w:t>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rsidR="00CB5204" w:rsidRPr="00C10534" w:rsidRDefault="00CB5204" w:rsidP="00A17011">
      <w:pPr>
        <w:keepLines/>
        <w:jc w:val="both"/>
      </w:pPr>
      <w:r w:rsidRPr="009B46DD">
        <w:t>1.5</w:t>
      </w:r>
      <w:r w:rsidRPr="009B46DD">
        <w:tab/>
        <w:t>examiner l'utilisation des bandes de fréquences 17,7-19,7 GHz (espace vers Terre) et 27,5</w:t>
      </w:r>
      <w:r w:rsidRPr="009B46DD">
        <w:noBreakHyphen/>
        <w:t xml:space="preserve">29,5 GHz (Terre vers espace) par des stations terriennes en mouvement communiquant avec des stations spatiales géostationnaires du service fixe par satellite, et prendre les mesures voulues, conformément à la </w:t>
      </w:r>
      <w:hyperlink w:anchor="RES_158" w:history="1">
        <w:r w:rsidR="00C10534">
          <w:rPr>
            <w:rStyle w:val="Hyperlink"/>
            <w:rFonts w:asciiTheme="majorBidi" w:hAnsiTheme="majorBidi" w:cstheme="majorBidi"/>
            <w:spacing w:val="-2"/>
            <w:szCs w:val="24"/>
          </w:rPr>
          <w:t>Ré</w:t>
        </w:r>
        <w:r w:rsidR="00C10534" w:rsidRPr="00C10534">
          <w:rPr>
            <w:rStyle w:val="Hyperlink"/>
            <w:rFonts w:asciiTheme="majorBidi" w:hAnsiTheme="majorBidi" w:cstheme="majorBidi"/>
            <w:spacing w:val="-2"/>
            <w:szCs w:val="24"/>
          </w:rPr>
          <w:t>solution </w:t>
        </w:r>
        <w:r w:rsidR="00C10534">
          <w:rPr>
            <w:rStyle w:val="Hyperlink"/>
            <w:rFonts w:asciiTheme="majorBidi" w:hAnsiTheme="majorBidi" w:cstheme="majorBidi"/>
            <w:b/>
            <w:bCs/>
            <w:spacing w:val="-2"/>
            <w:szCs w:val="24"/>
          </w:rPr>
          <w:t>158 (</w:t>
        </w:r>
        <w:r w:rsidR="00C10534" w:rsidRPr="00C10534">
          <w:rPr>
            <w:rStyle w:val="Hyperlink"/>
            <w:rFonts w:asciiTheme="majorBidi" w:hAnsiTheme="majorBidi" w:cstheme="majorBidi"/>
            <w:b/>
            <w:bCs/>
            <w:spacing w:val="-2"/>
            <w:szCs w:val="24"/>
          </w:rPr>
          <w:t>C</w:t>
        </w:r>
        <w:r w:rsidR="00C10534">
          <w:rPr>
            <w:rStyle w:val="Hyperlink"/>
            <w:rFonts w:asciiTheme="majorBidi" w:hAnsiTheme="majorBidi" w:cstheme="majorBidi"/>
            <w:b/>
            <w:bCs/>
            <w:spacing w:val="-2"/>
            <w:szCs w:val="24"/>
          </w:rPr>
          <w:t>MR</w:t>
        </w:r>
        <w:r w:rsidR="00C10534" w:rsidRPr="00C10534">
          <w:rPr>
            <w:rStyle w:val="Hyperlink"/>
            <w:rFonts w:asciiTheme="majorBidi" w:hAnsiTheme="majorBidi" w:cstheme="majorBidi"/>
            <w:b/>
            <w:bCs/>
            <w:spacing w:val="-2"/>
            <w:szCs w:val="24"/>
          </w:rPr>
          <w:t>-15)</w:t>
        </w:r>
      </w:hyperlink>
      <w:r w:rsidR="00C10534" w:rsidRPr="00C10534">
        <w:rPr>
          <w:rFonts w:asciiTheme="majorBidi" w:hAnsiTheme="majorBidi" w:cstheme="majorBidi"/>
          <w:spacing w:val="-2"/>
          <w:szCs w:val="24"/>
        </w:rPr>
        <w:t>;</w:t>
      </w:r>
    </w:p>
    <w:p w:rsidR="00CB5204" w:rsidRPr="009B46DD" w:rsidRDefault="00CB5204" w:rsidP="00120FCE">
      <w:pPr>
        <w:jc w:val="both"/>
      </w:pPr>
      <w:r w:rsidRPr="009B46DD">
        <w:t>1.6</w:t>
      </w:r>
      <w:r w:rsidRPr="009B46DD">
        <w:tab/>
        <w:t>envisager l'élaboration d'un cadre réglementaire pour les systèmes à satellites non OSG du SFS pouvant être exploités dans les bandes de fréquences 37,5-39,5 GHz (espace vers Terre), 39,5-42,5 GHz (espace vers Terre), 47,2-50,2 GHz (Terre vers espace) et 50,4-51,4</w:t>
      </w:r>
      <w:r w:rsidR="00120FCE">
        <w:t> </w:t>
      </w:r>
      <w:r w:rsidRPr="009B46DD">
        <w:t xml:space="preserve">GHz (Terre vers espace), conformément à la </w:t>
      </w:r>
      <w:hyperlink w:anchor="RES_159" w:history="1">
        <w:r w:rsidR="00C10534" w:rsidRPr="00C10534">
          <w:rPr>
            <w:rStyle w:val="Hyperlink"/>
            <w:rFonts w:asciiTheme="majorBidi" w:hAnsiTheme="majorBidi" w:cstheme="majorBidi"/>
            <w:szCs w:val="24"/>
          </w:rPr>
          <w:t>Résolution </w:t>
        </w:r>
        <w:r w:rsidR="00C10534">
          <w:rPr>
            <w:rStyle w:val="Hyperlink"/>
            <w:rFonts w:asciiTheme="majorBidi" w:hAnsiTheme="majorBidi" w:cstheme="majorBidi"/>
            <w:b/>
            <w:bCs/>
            <w:szCs w:val="24"/>
          </w:rPr>
          <w:t>159 (</w:t>
        </w:r>
        <w:r w:rsidR="00C10534" w:rsidRPr="00C10534">
          <w:rPr>
            <w:rStyle w:val="Hyperlink"/>
            <w:rFonts w:asciiTheme="majorBidi" w:hAnsiTheme="majorBidi" w:cstheme="majorBidi"/>
            <w:b/>
            <w:bCs/>
            <w:szCs w:val="24"/>
          </w:rPr>
          <w:t>C</w:t>
        </w:r>
        <w:r w:rsidR="00C10534">
          <w:rPr>
            <w:rStyle w:val="Hyperlink"/>
            <w:rFonts w:asciiTheme="majorBidi" w:hAnsiTheme="majorBidi" w:cstheme="majorBidi"/>
            <w:b/>
            <w:bCs/>
            <w:szCs w:val="24"/>
          </w:rPr>
          <w:t>MR</w:t>
        </w:r>
        <w:r w:rsidR="00C10534" w:rsidRPr="00C10534">
          <w:rPr>
            <w:rStyle w:val="Hyperlink"/>
            <w:rFonts w:asciiTheme="majorBidi" w:hAnsiTheme="majorBidi" w:cstheme="majorBidi"/>
            <w:b/>
            <w:bCs/>
            <w:szCs w:val="24"/>
          </w:rPr>
          <w:t>-15)</w:t>
        </w:r>
      </w:hyperlink>
      <w:r w:rsidRPr="009B46DD">
        <w:t>;</w:t>
      </w:r>
    </w:p>
    <w:p w:rsidR="00CB5204" w:rsidRPr="009B46DD" w:rsidRDefault="00CB5204" w:rsidP="00A17011">
      <w:pPr>
        <w:jc w:val="both"/>
      </w:pPr>
      <w:r w:rsidRPr="009B46DD">
        <w:t>1.7</w:t>
      </w:r>
      <w:r w:rsidRPr="009B46DD">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w:t>
      </w:r>
      <w:hyperlink w:anchor="RES_659" w:history="1">
        <w:r w:rsidR="00515B70" w:rsidRPr="00515B70">
          <w:rPr>
            <w:rStyle w:val="Hyperlink"/>
            <w:rFonts w:asciiTheme="majorBidi" w:hAnsiTheme="majorBidi" w:cstheme="majorBidi"/>
            <w:szCs w:val="24"/>
          </w:rPr>
          <w:t>R</w:t>
        </w:r>
        <w:r w:rsidR="00515B70">
          <w:rPr>
            <w:rStyle w:val="Hyperlink"/>
            <w:rFonts w:asciiTheme="majorBidi" w:hAnsiTheme="majorBidi" w:cstheme="majorBidi"/>
            <w:szCs w:val="24"/>
          </w:rPr>
          <w:t>é</w:t>
        </w:r>
        <w:r w:rsidR="00EF3034">
          <w:rPr>
            <w:rStyle w:val="Hyperlink"/>
            <w:rFonts w:asciiTheme="majorBidi" w:hAnsiTheme="majorBidi" w:cstheme="majorBidi"/>
            <w:szCs w:val="24"/>
          </w:rPr>
          <w:t>solution </w:t>
        </w:r>
        <w:r w:rsidR="00515B70">
          <w:rPr>
            <w:rStyle w:val="Hyperlink"/>
            <w:rFonts w:asciiTheme="majorBidi" w:hAnsiTheme="majorBidi" w:cstheme="majorBidi"/>
            <w:b/>
            <w:bCs/>
            <w:szCs w:val="24"/>
          </w:rPr>
          <w:t>659 (</w:t>
        </w:r>
        <w:r w:rsidR="00515B70" w:rsidRPr="00515B70">
          <w:rPr>
            <w:rStyle w:val="Hyperlink"/>
            <w:rFonts w:asciiTheme="majorBidi" w:hAnsiTheme="majorBidi" w:cstheme="majorBidi"/>
            <w:b/>
            <w:bCs/>
            <w:szCs w:val="24"/>
          </w:rPr>
          <w:t>C</w:t>
        </w:r>
        <w:r w:rsidR="00515B70">
          <w:rPr>
            <w:rStyle w:val="Hyperlink"/>
            <w:rFonts w:asciiTheme="majorBidi" w:hAnsiTheme="majorBidi" w:cstheme="majorBidi"/>
            <w:b/>
            <w:bCs/>
            <w:szCs w:val="24"/>
          </w:rPr>
          <w:t>MR</w:t>
        </w:r>
        <w:r w:rsidR="00515B70" w:rsidRPr="00515B70">
          <w:rPr>
            <w:rStyle w:val="Hyperlink"/>
            <w:rFonts w:asciiTheme="majorBidi" w:hAnsiTheme="majorBidi" w:cstheme="majorBidi"/>
            <w:b/>
            <w:bCs/>
            <w:szCs w:val="24"/>
          </w:rPr>
          <w:t>-15)</w:t>
        </w:r>
      </w:hyperlink>
      <w:r w:rsidRPr="009B46DD">
        <w:t>;</w:t>
      </w:r>
    </w:p>
    <w:p w:rsidR="00515B70" w:rsidRPr="00515B70" w:rsidRDefault="00CB5204" w:rsidP="00A17011">
      <w:pPr>
        <w:jc w:val="both"/>
        <w:rPr>
          <w:rFonts w:asciiTheme="majorBidi" w:hAnsiTheme="majorBidi" w:cstheme="majorBidi"/>
          <w:szCs w:val="24"/>
        </w:rPr>
      </w:pPr>
      <w:r w:rsidRPr="009B46DD">
        <w:t>1.8</w:t>
      </w:r>
      <w:r w:rsidRPr="009B46DD">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w:t>
      </w:r>
      <w:hyperlink w:anchor="RES_359" w:history="1">
        <w:r w:rsidR="00515B70">
          <w:rPr>
            <w:rStyle w:val="Hyperlink"/>
            <w:rFonts w:asciiTheme="majorBidi" w:hAnsiTheme="majorBidi" w:cstheme="majorBidi"/>
            <w:szCs w:val="24"/>
          </w:rPr>
          <w:t>Ré</w:t>
        </w:r>
        <w:r w:rsidR="00515B70" w:rsidRPr="00515B70">
          <w:rPr>
            <w:rStyle w:val="Hyperlink"/>
            <w:rFonts w:asciiTheme="majorBidi" w:hAnsiTheme="majorBidi" w:cstheme="majorBidi"/>
            <w:szCs w:val="24"/>
          </w:rPr>
          <w:t xml:space="preserve">solution </w:t>
        </w:r>
        <w:r w:rsidR="00515B70" w:rsidRPr="00515B70">
          <w:rPr>
            <w:rStyle w:val="Hyperlink"/>
            <w:rFonts w:asciiTheme="majorBidi" w:hAnsiTheme="majorBidi" w:cstheme="majorBidi"/>
            <w:b/>
            <w:bCs/>
            <w:szCs w:val="24"/>
          </w:rPr>
          <w:t xml:space="preserve">359 </w:t>
        </w:r>
        <w:r w:rsidR="00515B70" w:rsidRPr="00515B70">
          <w:rPr>
            <w:rStyle w:val="Hyperlink"/>
            <w:rFonts w:asciiTheme="majorBidi" w:hAnsiTheme="majorBidi" w:cstheme="majorBidi"/>
            <w:szCs w:val="24"/>
          </w:rPr>
          <w:t>(</w:t>
        </w:r>
        <w:r w:rsidR="00E25FB6">
          <w:rPr>
            <w:rStyle w:val="Hyperlink"/>
            <w:rFonts w:asciiTheme="majorBidi" w:hAnsiTheme="majorBidi" w:cstheme="majorBidi"/>
            <w:b/>
            <w:bCs/>
            <w:szCs w:val="24"/>
          </w:rPr>
          <w:t>Rév</w:t>
        </w:r>
        <w:r w:rsidR="00515B70">
          <w:rPr>
            <w:rStyle w:val="Hyperlink"/>
            <w:rFonts w:asciiTheme="majorBidi" w:hAnsiTheme="majorBidi" w:cstheme="majorBidi"/>
            <w:b/>
            <w:bCs/>
            <w:szCs w:val="24"/>
          </w:rPr>
          <w:t>.</w:t>
        </w:r>
        <w:r w:rsidR="00515B70" w:rsidRPr="00515B70">
          <w:rPr>
            <w:rStyle w:val="Hyperlink"/>
            <w:rFonts w:asciiTheme="majorBidi" w:hAnsiTheme="majorBidi" w:cstheme="majorBidi"/>
            <w:b/>
            <w:bCs/>
            <w:szCs w:val="24"/>
          </w:rPr>
          <w:t>C</w:t>
        </w:r>
        <w:r w:rsidR="00515B70">
          <w:rPr>
            <w:rStyle w:val="Hyperlink"/>
            <w:rFonts w:asciiTheme="majorBidi" w:hAnsiTheme="majorBidi" w:cstheme="majorBidi"/>
            <w:b/>
            <w:bCs/>
            <w:szCs w:val="24"/>
          </w:rPr>
          <w:t>MR</w:t>
        </w:r>
        <w:r w:rsidR="00515B70" w:rsidRPr="00515B70">
          <w:rPr>
            <w:rStyle w:val="Hyperlink"/>
            <w:rFonts w:asciiTheme="majorBidi" w:hAnsiTheme="majorBidi" w:cstheme="majorBidi"/>
            <w:b/>
            <w:bCs/>
            <w:szCs w:val="24"/>
          </w:rPr>
          <w:t>-15</w:t>
        </w:r>
        <w:r w:rsidR="00515B70" w:rsidRPr="00515B70">
          <w:rPr>
            <w:rStyle w:val="Hyperlink"/>
            <w:rFonts w:asciiTheme="majorBidi" w:hAnsiTheme="majorBidi" w:cstheme="majorBidi"/>
            <w:szCs w:val="24"/>
          </w:rPr>
          <w:t>)</w:t>
        </w:r>
      </w:hyperlink>
      <w:r w:rsidR="00515B70" w:rsidRPr="00515B70">
        <w:rPr>
          <w:rFonts w:asciiTheme="majorBidi" w:hAnsiTheme="majorBidi" w:cstheme="majorBidi"/>
          <w:szCs w:val="24"/>
        </w:rPr>
        <w:t>;</w:t>
      </w:r>
    </w:p>
    <w:p w:rsidR="00CB5204" w:rsidRPr="009B46DD" w:rsidRDefault="00CB5204" w:rsidP="00A17011">
      <w:pPr>
        <w:jc w:val="both"/>
      </w:pPr>
      <w:r w:rsidRPr="009B46DD">
        <w:t>1.9</w:t>
      </w:r>
      <w:r w:rsidRPr="009B46DD">
        <w:tab/>
        <w:t xml:space="preserve">à examiner, sur la base des résultats des études de l'UIT-R: </w:t>
      </w:r>
    </w:p>
    <w:p w:rsidR="00CB5204" w:rsidRPr="00515B70" w:rsidRDefault="00CB5204" w:rsidP="00A17011">
      <w:pPr>
        <w:jc w:val="both"/>
      </w:pPr>
      <w:r w:rsidRPr="009B46DD">
        <w:t>1.9.1</w:t>
      </w:r>
      <w:r w:rsidRPr="009B46DD">
        <w:tab/>
        <w:t xml:space="preserve">les mesures réglementaires à prendre dans la bande de fréquences 156-162,05 MHz concernant les dispositifs de radiocommunication maritimes autonomes, afin de protéger le SMDSM et le système d'identification automatique (AIS), conformément à la </w:t>
      </w:r>
      <w:hyperlink w:anchor="RES_362" w:history="1">
        <w:r w:rsidR="00515B70">
          <w:rPr>
            <w:rStyle w:val="Hyperlink"/>
            <w:rFonts w:asciiTheme="majorBidi" w:hAnsiTheme="majorBidi" w:cstheme="majorBidi"/>
            <w:szCs w:val="24"/>
          </w:rPr>
          <w:t>Ré</w:t>
        </w:r>
        <w:r w:rsidR="00515B70" w:rsidRPr="00515B70">
          <w:rPr>
            <w:rStyle w:val="Hyperlink"/>
            <w:rFonts w:asciiTheme="majorBidi" w:hAnsiTheme="majorBidi" w:cstheme="majorBidi"/>
            <w:szCs w:val="24"/>
          </w:rPr>
          <w:t xml:space="preserve">solution </w:t>
        </w:r>
        <w:r w:rsidR="00515B70">
          <w:rPr>
            <w:rStyle w:val="Hyperlink"/>
            <w:rFonts w:asciiTheme="majorBidi" w:hAnsiTheme="majorBidi" w:cstheme="majorBidi"/>
            <w:b/>
            <w:bCs/>
            <w:szCs w:val="24"/>
          </w:rPr>
          <w:t>362 (</w:t>
        </w:r>
        <w:r w:rsidR="00515B70" w:rsidRPr="00515B70">
          <w:rPr>
            <w:rStyle w:val="Hyperlink"/>
            <w:rFonts w:asciiTheme="majorBidi" w:hAnsiTheme="majorBidi" w:cstheme="majorBidi"/>
            <w:b/>
            <w:bCs/>
            <w:szCs w:val="24"/>
          </w:rPr>
          <w:t>C</w:t>
        </w:r>
        <w:r w:rsidR="00515B70">
          <w:rPr>
            <w:rStyle w:val="Hyperlink"/>
            <w:rFonts w:asciiTheme="majorBidi" w:hAnsiTheme="majorBidi" w:cstheme="majorBidi"/>
            <w:b/>
            <w:bCs/>
            <w:szCs w:val="24"/>
          </w:rPr>
          <w:t>MR</w:t>
        </w:r>
        <w:r w:rsidR="00515B70" w:rsidRPr="00515B70">
          <w:rPr>
            <w:rStyle w:val="Hyperlink"/>
            <w:rFonts w:asciiTheme="majorBidi" w:hAnsiTheme="majorBidi" w:cstheme="majorBidi"/>
            <w:b/>
            <w:bCs/>
            <w:szCs w:val="24"/>
          </w:rPr>
          <w:t>-15)</w:t>
        </w:r>
      </w:hyperlink>
      <w:r w:rsidR="00515B70" w:rsidRPr="00515B70">
        <w:rPr>
          <w:rFonts w:asciiTheme="majorBidi" w:hAnsiTheme="majorBidi" w:cstheme="majorBidi"/>
          <w:szCs w:val="24"/>
        </w:rPr>
        <w:t>;</w:t>
      </w:r>
    </w:p>
    <w:p w:rsidR="00CB5204" w:rsidRPr="009B46DD" w:rsidRDefault="00CB5204" w:rsidP="00A17011">
      <w:pPr>
        <w:jc w:val="both"/>
      </w:pPr>
      <w:r w:rsidRPr="009B46DD">
        <w:t>1.9.2</w:t>
      </w:r>
      <w:r w:rsidRPr="009B46DD">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9B46DD">
        <w:rPr>
          <w:b/>
          <w:bCs/>
        </w:rPr>
        <w:t>18</w:t>
      </w:r>
      <w:r w:rsidRPr="009B46DD">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9B46DD">
        <w:rPr>
          <w:i/>
          <w:iCs/>
        </w:rPr>
        <w:t>d)</w:t>
      </w:r>
      <w:r w:rsidRPr="009B46DD">
        <w:t xml:space="preserve"> et </w:t>
      </w:r>
      <w:r w:rsidRPr="009B46DD">
        <w:rPr>
          <w:i/>
          <w:iCs/>
        </w:rPr>
        <w:t>e)</w:t>
      </w:r>
      <w:r w:rsidRPr="009B46DD">
        <w:t xml:space="preserve"> du </w:t>
      </w:r>
      <w:r w:rsidRPr="009B46DD">
        <w:rPr>
          <w:i/>
          <w:iCs/>
        </w:rPr>
        <w:t>reconnaissant</w:t>
      </w:r>
      <w:r w:rsidRPr="009B46DD">
        <w:t xml:space="preserve"> de la </w:t>
      </w:r>
      <w:hyperlink w:anchor="RES_360" w:history="1">
        <w:r w:rsidR="00515B70" w:rsidRPr="00254821">
          <w:rPr>
            <w:rStyle w:val="Hyperlink"/>
            <w:rFonts w:asciiTheme="majorBidi" w:hAnsiTheme="majorBidi" w:cstheme="majorBidi"/>
            <w:szCs w:val="24"/>
          </w:rPr>
          <w:t>Résolution</w:t>
        </w:r>
        <w:r w:rsidR="00515B70" w:rsidRPr="00515B70">
          <w:rPr>
            <w:rStyle w:val="Hyperlink"/>
            <w:rFonts w:asciiTheme="majorBidi" w:hAnsiTheme="majorBidi" w:cstheme="majorBidi"/>
            <w:szCs w:val="24"/>
          </w:rPr>
          <w:t xml:space="preserve"> </w:t>
        </w:r>
        <w:r w:rsidR="00515B70" w:rsidRPr="00515B70">
          <w:rPr>
            <w:rStyle w:val="Hyperlink"/>
            <w:rFonts w:asciiTheme="majorBidi" w:hAnsiTheme="majorBidi" w:cstheme="majorBidi"/>
            <w:b/>
            <w:bCs/>
            <w:szCs w:val="24"/>
          </w:rPr>
          <w:t xml:space="preserve">360 </w:t>
        </w:r>
        <w:r w:rsidR="00515B70" w:rsidRPr="00515B70">
          <w:rPr>
            <w:rStyle w:val="Hyperlink"/>
            <w:rFonts w:asciiTheme="majorBidi" w:hAnsiTheme="majorBidi" w:cstheme="majorBidi"/>
            <w:szCs w:val="24"/>
          </w:rPr>
          <w:t>(</w:t>
        </w:r>
        <w:r w:rsidR="00E25FB6">
          <w:rPr>
            <w:rStyle w:val="Hyperlink"/>
            <w:rFonts w:asciiTheme="majorBidi" w:hAnsiTheme="majorBidi" w:cstheme="majorBidi"/>
            <w:b/>
            <w:bCs/>
            <w:szCs w:val="24"/>
          </w:rPr>
          <w:t>Rév</w:t>
        </w:r>
        <w:r w:rsidR="00515B70">
          <w:rPr>
            <w:rStyle w:val="Hyperlink"/>
            <w:rFonts w:asciiTheme="majorBidi" w:hAnsiTheme="majorBidi" w:cstheme="majorBidi"/>
            <w:b/>
            <w:bCs/>
            <w:szCs w:val="24"/>
          </w:rPr>
          <w:t>.</w:t>
        </w:r>
        <w:r w:rsidR="00515B70" w:rsidRPr="00515B70">
          <w:rPr>
            <w:rStyle w:val="Hyperlink"/>
            <w:rFonts w:asciiTheme="majorBidi" w:hAnsiTheme="majorBidi" w:cstheme="majorBidi"/>
            <w:b/>
            <w:bCs/>
            <w:szCs w:val="24"/>
          </w:rPr>
          <w:t>C</w:t>
        </w:r>
        <w:r w:rsidR="00515B70">
          <w:rPr>
            <w:rStyle w:val="Hyperlink"/>
            <w:rFonts w:asciiTheme="majorBidi" w:hAnsiTheme="majorBidi" w:cstheme="majorBidi"/>
            <w:b/>
            <w:bCs/>
            <w:szCs w:val="24"/>
          </w:rPr>
          <w:t>MR</w:t>
        </w:r>
        <w:r w:rsidR="00515B70" w:rsidRPr="00515B70">
          <w:rPr>
            <w:rStyle w:val="Hyperlink"/>
            <w:rFonts w:asciiTheme="majorBidi" w:hAnsiTheme="majorBidi" w:cstheme="majorBidi"/>
            <w:b/>
            <w:bCs/>
            <w:szCs w:val="24"/>
          </w:rPr>
          <w:t>-15</w:t>
        </w:r>
        <w:r w:rsidR="00515B70" w:rsidRPr="00515B70">
          <w:rPr>
            <w:rStyle w:val="Hyperlink"/>
            <w:rFonts w:asciiTheme="majorBidi" w:hAnsiTheme="majorBidi" w:cstheme="majorBidi"/>
            <w:szCs w:val="24"/>
          </w:rPr>
          <w:t>)</w:t>
        </w:r>
      </w:hyperlink>
      <w:r w:rsidRPr="009B46DD">
        <w:t>;</w:t>
      </w:r>
    </w:p>
    <w:p w:rsidR="00CB5204" w:rsidRPr="00515B70" w:rsidRDefault="00CB5204" w:rsidP="00A17011">
      <w:pPr>
        <w:jc w:val="both"/>
        <w:rPr>
          <w:highlight w:val="cyan"/>
        </w:rPr>
      </w:pPr>
      <w:r w:rsidRPr="009B46DD">
        <w:t>1.10</w:t>
      </w:r>
      <w:r w:rsidRPr="009B46DD">
        <w:tab/>
        <w:t xml:space="preserve">examiner les besoins de spectre et les dispositions réglementaires en vue de la mise en place et de l'utilisation du système mondial de détresse et de sécurité aéronautique (GADSS), conformément à la </w:t>
      </w:r>
      <w:hyperlink w:anchor="RES_426" w:history="1">
        <w:r w:rsidR="00515B70" w:rsidRPr="00254821">
          <w:rPr>
            <w:rStyle w:val="Hyperlink"/>
            <w:rFonts w:asciiTheme="majorBidi" w:hAnsiTheme="majorBidi" w:cstheme="majorBidi"/>
            <w:spacing w:val="2"/>
            <w:szCs w:val="24"/>
          </w:rPr>
          <w:t>Résolution</w:t>
        </w:r>
        <w:r w:rsidR="00515B70" w:rsidRPr="00515B70">
          <w:rPr>
            <w:rStyle w:val="Hyperlink"/>
            <w:rFonts w:asciiTheme="majorBidi" w:hAnsiTheme="majorBidi" w:cstheme="majorBidi"/>
            <w:spacing w:val="2"/>
            <w:szCs w:val="24"/>
          </w:rPr>
          <w:t> </w:t>
        </w:r>
        <w:r w:rsidR="00515B70">
          <w:rPr>
            <w:rStyle w:val="Hyperlink"/>
            <w:rFonts w:asciiTheme="majorBidi" w:hAnsiTheme="majorBidi" w:cstheme="majorBidi"/>
            <w:b/>
            <w:bCs/>
            <w:spacing w:val="2"/>
            <w:szCs w:val="24"/>
          </w:rPr>
          <w:t>426 (</w:t>
        </w:r>
        <w:r w:rsidR="00515B70" w:rsidRPr="00515B70">
          <w:rPr>
            <w:rStyle w:val="Hyperlink"/>
            <w:rFonts w:asciiTheme="majorBidi" w:hAnsiTheme="majorBidi" w:cstheme="majorBidi"/>
            <w:b/>
            <w:bCs/>
            <w:spacing w:val="2"/>
            <w:szCs w:val="24"/>
          </w:rPr>
          <w:t>C</w:t>
        </w:r>
        <w:r w:rsidR="00515B70">
          <w:rPr>
            <w:rStyle w:val="Hyperlink"/>
            <w:rFonts w:asciiTheme="majorBidi" w:hAnsiTheme="majorBidi" w:cstheme="majorBidi"/>
            <w:b/>
            <w:bCs/>
            <w:spacing w:val="2"/>
            <w:szCs w:val="24"/>
          </w:rPr>
          <w:t>MR</w:t>
        </w:r>
        <w:r w:rsidR="00515B70" w:rsidRPr="00515B70">
          <w:rPr>
            <w:rStyle w:val="Hyperlink"/>
            <w:rFonts w:asciiTheme="majorBidi" w:hAnsiTheme="majorBidi" w:cstheme="majorBidi"/>
            <w:b/>
            <w:bCs/>
            <w:spacing w:val="2"/>
            <w:szCs w:val="24"/>
          </w:rPr>
          <w:t>-</w:t>
        </w:r>
        <w:r w:rsidR="00515B70" w:rsidRPr="00515B70">
          <w:rPr>
            <w:rStyle w:val="Hyperlink"/>
            <w:rFonts w:asciiTheme="majorBidi" w:hAnsiTheme="majorBidi" w:cstheme="majorBidi"/>
            <w:b/>
            <w:bCs/>
            <w:szCs w:val="24"/>
          </w:rPr>
          <w:t>15)</w:t>
        </w:r>
      </w:hyperlink>
      <w:r w:rsidR="00515B70" w:rsidRPr="00515B70">
        <w:rPr>
          <w:rFonts w:asciiTheme="majorBidi" w:hAnsiTheme="majorBidi" w:cstheme="majorBidi"/>
          <w:szCs w:val="24"/>
        </w:rPr>
        <w:t>;</w:t>
      </w:r>
    </w:p>
    <w:p w:rsidR="00CB5204" w:rsidRPr="00780189" w:rsidRDefault="00CB5204" w:rsidP="00A17011">
      <w:pPr>
        <w:keepNext/>
        <w:keepLines/>
        <w:jc w:val="both"/>
      </w:pPr>
      <w:r w:rsidRPr="009B46DD">
        <w:t>1.11</w:t>
      </w:r>
      <w:r w:rsidRPr="009B46DD">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w:t>
      </w:r>
      <w:hyperlink w:anchor="RES_236" w:history="1">
        <w:r w:rsidR="00780189" w:rsidRPr="00254821">
          <w:rPr>
            <w:rStyle w:val="Hyperlink"/>
            <w:rFonts w:asciiTheme="majorBidi" w:hAnsiTheme="majorBidi" w:cstheme="majorBidi"/>
            <w:szCs w:val="24"/>
          </w:rPr>
          <w:t>Résolution</w:t>
        </w:r>
        <w:r w:rsidR="00780189" w:rsidRPr="00780189">
          <w:rPr>
            <w:rStyle w:val="Hyperlink"/>
            <w:rFonts w:asciiTheme="majorBidi" w:hAnsiTheme="majorBidi" w:cstheme="majorBidi"/>
            <w:szCs w:val="24"/>
          </w:rPr>
          <w:t xml:space="preserve"> </w:t>
        </w:r>
        <w:r w:rsidR="00780189">
          <w:rPr>
            <w:rStyle w:val="Hyperlink"/>
            <w:rFonts w:asciiTheme="majorBidi" w:hAnsiTheme="majorBidi" w:cstheme="majorBidi"/>
            <w:b/>
            <w:bCs/>
            <w:szCs w:val="24"/>
          </w:rPr>
          <w:t>236 (</w:t>
        </w:r>
        <w:r w:rsidR="00780189" w:rsidRPr="00780189">
          <w:rPr>
            <w:rStyle w:val="Hyperlink"/>
            <w:rFonts w:asciiTheme="majorBidi" w:hAnsiTheme="majorBidi" w:cstheme="majorBidi"/>
            <w:b/>
            <w:bCs/>
            <w:szCs w:val="24"/>
          </w:rPr>
          <w:t>C</w:t>
        </w:r>
        <w:r w:rsidR="00780189">
          <w:rPr>
            <w:rStyle w:val="Hyperlink"/>
            <w:rFonts w:asciiTheme="majorBidi" w:hAnsiTheme="majorBidi" w:cstheme="majorBidi"/>
            <w:b/>
            <w:bCs/>
            <w:szCs w:val="24"/>
          </w:rPr>
          <w:t>MR</w:t>
        </w:r>
        <w:r w:rsidR="00780189" w:rsidRPr="00780189">
          <w:rPr>
            <w:rStyle w:val="Hyperlink"/>
            <w:rFonts w:asciiTheme="majorBidi" w:hAnsiTheme="majorBidi" w:cstheme="majorBidi"/>
            <w:b/>
            <w:bCs/>
            <w:szCs w:val="24"/>
          </w:rPr>
          <w:t>-15)</w:t>
        </w:r>
      </w:hyperlink>
      <w:r w:rsidR="00EE006E" w:rsidRPr="00515B70">
        <w:rPr>
          <w:rFonts w:asciiTheme="majorBidi" w:hAnsiTheme="majorBidi" w:cstheme="majorBidi"/>
          <w:szCs w:val="24"/>
        </w:rPr>
        <w:t>;</w:t>
      </w:r>
    </w:p>
    <w:p w:rsidR="00CB5204" w:rsidRPr="009B46DD" w:rsidRDefault="00CB5204" w:rsidP="00A17011">
      <w:pPr>
        <w:jc w:val="both"/>
        <w:rPr>
          <w:highlight w:val="cyan"/>
        </w:rPr>
      </w:pPr>
      <w:r w:rsidRPr="009B46DD">
        <w:t>1.12</w:t>
      </w:r>
      <w:r w:rsidRPr="009B46DD">
        <w:tab/>
        <w:t xml:space="preserve">examiner d'éventuelles bandes de fréquences harmonisées à l'échelle mondiale ou régionale, dans toute la mesure possible, pour la mise en </w:t>
      </w:r>
      <w:proofErr w:type="spellStart"/>
      <w:r w:rsidRPr="009B46DD">
        <w:t>oeuvre</w:t>
      </w:r>
      <w:proofErr w:type="spellEnd"/>
      <w:r w:rsidRPr="009B46DD">
        <w:t xml:space="preserve"> des systèmes de transport intelligents (ITS) en évolution dans le cadre des attributions existantes au service mobile, conformément à la </w:t>
      </w:r>
      <w:hyperlink w:anchor="RES_237" w:history="1">
        <w:r w:rsidR="00780189" w:rsidRPr="00254821">
          <w:rPr>
            <w:rStyle w:val="Hyperlink"/>
            <w:rFonts w:asciiTheme="majorBidi" w:hAnsiTheme="majorBidi" w:cstheme="majorBidi"/>
            <w:szCs w:val="24"/>
          </w:rPr>
          <w:t>Résolution</w:t>
        </w:r>
        <w:r w:rsidR="00780189" w:rsidRPr="00780189">
          <w:rPr>
            <w:rStyle w:val="Hyperlink"/>
            <w:rFonts w:asciiTheme="majorBidi" w:hAnsiTheme="majorBidi" w:cstheme="majorBidi"/>
            <w:szCs w:val="24"/>
          </w:rPr>
          <w:t xml:space="preserve"> </w:t>
        </w:r>
        <w:r w:rsidR="00780189">
          <w:rPr>
            <w:rStyle w:val="Hyperlink"/>
            <w:rFonts w:asciiTheme="majorBidi" w:hAnsiTheme="majorBidi" w:cstheme="majorBidi"/>
            <w:b/>
            <w:bCs/>
            <w:szCs w:val="24"/>
          </w:rPr>
          <w:t>237 (</w:t>
        </w:r>
        <w:r w:rsidR="00780189" w:rsidRPr="00780189">
          <w:rPr>
            <w:rStyle w:val="Hyperlink"/>
            <w:rFonts w:asciiTheme="majorBidi" w:hAnsiTheme="majorBidi" w:cstheme="majorBidi"/>
            <w:b/>
            <w:bCs/>
            <w:szCs w:val="24"/>
          </w:rPr>
          <w:t>C</w:t>
        </w:r>
        <w:r w:rsidR="00780189">
          <w:rPr>
            <w:rStyle w:val="Hyperlink"/>
            <w:rFonts w:asciiTheme="majorBidi" w:hAnsiTheme="majorBidi" w:cstheme="majorBidi"/>
            <w:b/>
            <w:bCs/>
            <w:szCs w:val="24"/>
          </w:rPr>
          <w:t>MR</w:t>
        </w:r>
        <w:r w:rsidR="00780189" w:rsidRPr="00780189">
          <w:rPr>
            <w:rStyle w:val="Hyperlink"/>
            <w:rFonts w:asciiTheme="majorBidi" w:hAnsiTheme="majorBidi" w:cstheme="majorBidi"/>
            <w:b/>
            <w:bCs/>
            <w:szCs w:val="24"/>
          </w:rPr>
          <w:t>-15)</w:t>
        </w:r>
      </w:hyperlink>
      <w:r w:rsidRPr="009B46DD">
        <w:t>;</w:t>
      </w:r>
      <w:r w:rsidRPr="00906C15" w:rsidDel="00E55F8F">
        <w:t xml:space="preserve"> </w:t>
      </w:r>
    </w:p>
    <w:p w:rsidR="00CB5204" w:rsidRPr="009B46DD" w:rsidRDefault="00CB5204" w:rsidP="00A17011">
      <w:pPr>
        <w:jc w:val="both"/>
      </w:pPr>
      <w:r w:rsidRPr="009B46DD">
        <w:lastRenderedPageBreak/>
        <w:t>1.13</w:t>
      </w:r>
      <w:r w:rsidRPr="009B46DD">
        <w:tab/>
        <w:t>envisager l'identification de bandes de fréquen</w:t>
      </w:r>
      <w:r>
        <w:t xml:space="preserve">ces pour le développement futur des </w:t>
      </w:r>
      <w:r w:rsidRPr="009B46DD">
        <w:t xml:space="preserve">Télécommunications mobiles internationales (IMT), y compris des attributions additionnelles possibles à titre primaire au service mobile, conformément à la </w:t>
      </w:r>
      <w:hyperlink w:anchor="RES_238" w:history="1">
        <w:r w:rsidR="00496177" w:rsidRPr="00254821">
          <w:rPr>
            <w:rStyle w:val="Hyperlink"/>
            <w:rFonts w:asciiTheme="majorBidi" w:hAnsiTheme="majorBidi" w:cstheme="majorBidi"/>
            <w:szCs w:val="24"/>
          </w:rPr>
          <w:t>Résolution</w:t>
        </w:r>
        <w:r w:rsidR="00496177" w:rsidRPr="00254821">
          <w:rPr>
            <w:rStyle w:val="Hyperlink"/>
            <w:rFonts w:asciiTheme="majorBidi" w:hAnsiTheme="majorBidi" w:cstheme="majorBidi"/>
            <w:b/>
            <w:bCs/>
            <w:szCs w:val="24"/>
          </w:rPr>
          <w:t xml:space="preserve"> 2</w:t>
        </w:r>
        <w:r w:rsidR="00496177">
          <w:rPr>
            <w:rStyle w:val="Hyperlink"/>
            <w:rFonts w:asciiTheme="majorBidi" w:hAnsiTheme="majorBidi" w:cstheme="majorBidi"/>
            <w:b/>
            <w:bCs/>
            <w:szCs w:val="24"/>
          </w:rPr>
          <w:t>38 (</w:t>
        </w:r>
        <w:r w:rsidR="00496177" w:rsidRPr="00496177">
          <w:rPr>
            <w:rStyle w:val="Hyperlink"/>
            <w:rFonts w:asciiTheme="majorBidi" w:hAnsiTheme="majorBidi" w:cstheme="majorBidi"/>
            <w:b/>
            <w:bCs/>
            <w:szCs w:val="24"/>
          </w:rPr>
          <w:t>C</w:t>
        </w:r>
        <w:r w:rsidR="00496177">
          <w:rPr>
            <w:rStyle w:val="Hyperlink"/>
            <w:rFonts w:asciiTheme="majorBidi" w:hAnsiTheme="majorBidi" w:cstheme="majorBidi"/>
            <w:b/>
            <w:bCs/>
            <w:szCs w:val="24"/>
          </w:rPr>
          <w:t>MR</w:t>
        </w:r>
        <w:r w:rsidR="00496177" w:rsidRPr="00496177">
          <w:rPr>
            <w:rStyle w:val="Hyperlink"/>
            <w:rFonts w:asciiTheme="majorBidi" w:hAnsiTheme="majorBidi" w:cstheme="majorBidi"/>
            <w:b/>
            <w:bCs/>
            <w:szCs w:val="24"/>
          </w:rPr>
          <w:t>-15)</w:t>
        </w:r>
      </w:hyperlink>
      <w:r w:rsidRPr="009B46DD">
        <w:t>;</w:t>
      </w:r>
    </w:p>
    <w:p w:rsidR="00CB5204" w:rsidRPr="009B46DD" w:rsidRDefault="00CB5204" w:rsidP="00A17011">
      <w:pPr>
        <w:jc w:val="both"/>
        <w:rPr>
          <w:b/>
          <w:bCs/>
        </w:rPr>
      </w:pPr>
      <w:r w:rsidRPr="009B46DD">
        <w:t>1.14</w:t>
      </w:r>
      <w:r w:rsidRPr="009B46DD">
        <w:tab/>
        <w:t xml:space="preserve">examiner, sur la base des études de l'UIT-R conformément à la </w:t>
      </w:r>
      <w:hyperlink w:anchor="RES_160" w:history="1">
        <w:r w:rsidR="00496177" w:rsidRPr="00254821">
          <w:rPr>
            <w:rStyle w:val="Hyperlink"/>
            <w:rFonts w:asciiTheme="majorBidi" w:hAnsiTheme="majorBidi" w:cstheme="majorBidi"/>
            <w:szCs w:val="24"/>
          </w:rPr>
          <w:t>Résolution</w:t>
        </w:r>
        <w:r w:rsidR="00496177" w:rsidRPr="00254821">
          <w:rPr>
            <w:rStyle w:val="Hyperlink"/>
            <w:rFonts w:asciiTheme="majorBidi" w:hAnsiTheme="majorBidi" w:cstheme="majorBidi"/>
            <w:b/>
            <w:bCs/>
            <w:szCs w:val="24"/>
          </w:rPr>
          <w:t xml:space="preserve"> 160 </w:t>
        </w:r>
        <w:r w:rsidR="00496177">
          <w:rPr>
            <w:rStyle w:val="Hyperlink"/>
            <w:rFonts w:asciiTheme="majorBidi" w:hAnsiTheme="majorBidi" w:cstheme="majorBidi"/>
            <w:b/>
            <w:bCs/>
            <w:szCs w:val="24"/>
          </w:rPr>
          <w:t>(</w:t>
        </w:r>
        <w:r w:rsidR="00496177" w:rsidRPr="00496177">
          <w:rPr>
            <w:rStyle w:val="Hyperlink"/>
            <w:rFonts w:asciiTheme="majorBidi" w:hAnsiTheme="majorBidi" w:cstheme="majorBidi"/>
            <w:b/>
            <w:bCs/>
            <w:szCs w:val="24"/>
          </w:rPr>
          <w:t>C</w:t>
        </w:r>
        <w:r w:rsidR="00496177">
          <w:rPr>
            <w:rStyle w:val="Hyperlink"/>
            <w:rFonts w:asciiTheme="majorBidi" w:hAnsiTheme="majorBidi" w:cstheme="majorBidi"/>
            <w:b/>
            <w:bCs/>
            <w:szCs w:val="24"/>
          </w:rPr>
          <w:t>MR</w:t>
        </w:r>
        <w:r w:rsidR="00496177" w:rsidRPr="00496177">
          <w:rPr>
            <w:rStyle w:val="Hyperlink"/>
            <w:rFonts w:asciiTheme="majorBidi" w:hAnsiTheme="majorBidi" w:cstheme="majorBidi"/>
            <w:b/>
            <w:bCs/>
            <w:szCs w:val="24"/>
          </w:rPr>
          <w:t>-15)</w:t>
        </w:r>
      </w:hyperlink>
      <w:r w:rsidRPr="009B46DD">
        <w:t xml:space="preserve">, des mesures réglementaires appropriées pour les </w:t>
      </w:r>
      <w:r w:rsidR="00D74410">
        <w:t>stations placées sur des plates</w:t>
      </w:r>
      <w:r w:rsidR="00D74410">
        <w:noBreakHyphen/>
      </w:r>
      <w:r w:rsidRPr="009B46DD">
        <w:t>formes à haute altitude (HAPS), dans le cadre des attributions existantes au service fixe;</w:t>
      </w:r>
    </w:p>
    <w:p w:rsidR="00CB5204" w:rsidRPr="00254821" w:rsidRDefault="00CB5204" w:rsidP="00A17011">
      <w:pPr>
        <w:jc w:val="both"/>
        <w:rPr>
          <w:b/>
          <w:bCs/>
          <w:highlight w:val="cyan"/>
        </w:rPr>
      </w:pPr>
      <w:r w:rsidRPr="009B46DD">
        <w:t>1.15</w:t>
      </w:r>
      <w:r w:rsidRPr="009B46DD">
        <w:tab/>
        <w:t xml:space="preserve">envisager d'identifier des bandes de fréquences destinées à être utilisées par les administrations pour les applications des services mobile terrestre et fixe fonctionnant dans la gamme de fréquences 275-450 GHz, conformément à la </w:t>
      </w:r>
      <w:hyperlink w:anchor="RES_767" w:history="1">
        <w:r w:rsidR="00496177" w:rsidRPr="00254821">
          <w:rPr>
            <w:rStyle w:val="Hyperlink"/>
            <w:rFonts w:asciiTheme="majorBidi" w:hAnsiTheme="majorBidi" w:cstheme="majorBidi"/>
            <w:szCs w:val="24"/>
          </w:rPr>
          <w:t>Résolution</w:t>
        </w:r>
        <w:r w:rsidR="00496177" w:rsidRPr="00254821">
          <w:rPr>
            <w:rStyle w:val="Hyperlink"/>
            <w:rFonts w:asciiTheme="majorBidi" w:hAnsiTheme="majorBidi" w:cstheme="majorBidi"/>
            <w:b/>
            <w:bCs/>
            <w:szCs w:val="24"/>
          </w:rPr>
          <w:t xml:space="preserve"> 767 (CMR-15)</w:t>
        </w:r>
      </w:hyperlink>
      <w:r w:rsidR="00EE006E" w:rsidRPr="00515B70">
        <w:rPr>
          <w:rFonts w:asciiTheme="majorBidi" w:hAnsiTheme="majorBidi" w:cstheme="majorBidi"/>
          <w:szCs w:val="24"/>
        </w:rPr>
        <w:t>;</w:t>
      </w:r>
    </w:p>
    <w:p w:rsidR="00CB5204" w:rsidRPr="00254821" w:rsidRDefault="00CB5204" w:rsidP="00120FCE">
      <w:pPr>
        <w:jc w:val="both"/>
        <w:rPr>
          <w:b/>
          <w:bCs/>
        </w:rPr>
      </w:pPr>
      <w:r w:rsidRPr="009B46DD">
        <w:t>1.16</w:t>
      </w:r>
      <w:r w:rsidRPr="009B46DD">
        <w:tab/>
        <w:t>examiner les questions relatives aux systèmes d'accès hertzien, y compris les réseaux locaux hertziens (WAS/RLAN), dans les bandes de fréquences comprises entre 5</w:t>
      </w:r>
      <w:r w:rsidR="00120FCE">
        <w:t> </w:t>
      </w:r>
      <w:r w:rsidRPr="009B46DD">
        <w:t>150</w:t>
      </w:r>
      <w:r w:rsidR="00120FCE">
        <w:t> </w:t>
      </w:r>
      <w:r w:rsidRPr="009B46DD">
        <w:t xml:space="preserve">MHz et 5 925 MHz, et prendre les mesures réglementaires appropriées, y compris des attributions de fréquences additionnelles au service mobile, conformément à la </w:t>
      </w:r>
      <w:hyperlink w:anchor="RES_239" w:history="1">
        <w:r w:rsidR="00496177" w:rsidRPr="00254821">
          <w:rPr>
            <w:rStyle w:val="Hyperlink"/>
            <w:rFonts w:asciiTheme="majorBidi" w:hAnsiTheme="majorBidi" w:cstheme="majorBidi"/>
            <w:szCs w:val="24"/>
          </w:rPr>
          <w:t>Résolution</w:t>
        </w:r>
        <w:r w:rsidR="00496177" w:rsidRPr="00254821">
          <w:rPr>
            <w:rStyle w:val="Hyperlink"/>
            <w:rFonts w:asciiTheme="majorBidi" w:hAnsiTheme="majorBidi" w:cstheme="majorBidi"/>
            <w:b/>
            <w:bCs/>
            <w:szCs w:val="24"/>
          </w:rPr>
          <w:t xml:space="preserve"> 239 (CMR-15)</w:t>
        </w:r>
      </w:hyperlink>
      <w:r w:rsidR="00EE006E" w:rsidRPr="00515B70">
        <w:rPr>
          <w:rFonts w:asciiTheme="majorBidi" w:hAnsiTheme="majorBidi" w:cstheme="majorBidi"/>
          <w:szCs w:val="24"/>
        </w:rPr>
        <w:t>;</w:t>
      </w:r>
    </w:p>
    <w:p w:rsidR="00CB5204" w:rsidRPr="00254821" w:rsidRDefault="00CB5204" w:rsidP="00120FCE">
      <w:pPr>
        <w:jc w:val="both"/>
        <w:rPr>
          <w:b/>
          <w:bCs/>
        </w:rPr>
      </w:pPr>
      <w:r w:rsidRPr="009B46DD">
        <w:t>2</w:t>
      </w:r>
      <w:r w:rsidRPr="009B46DD">
        <w:tab/>
        <w:t xml:space="preserve">examiner les Recommandations UIT-R révisées et incorporées par référence dans le Règlement des radiocommunications, communiquées par l'Assemblée des radiocommunications conformément à la </w:t>
      </w:r>
      <w:hyperlink w:anchor="RES_28" w:history="1">
        <w:r w:rsidR="00496177" w:rsidRPr="00254821">
          <w:rPr>
            <w:rStyle w:val="Hyperlink"/>
            <w:rFonts w:asciiTheme="majorBidi" w:hAnsiTheme="majorBidi" w:cstheme="majorBidi"/>
            <w:szCs w:val="24"/>
          </w:rPr>
          <w:t>Résolution</w:t>
        </w:r>
        <w:r w:rsidR="00496177" w:rsidRPr="00254821">
          <w:rPr>
            <w:rStyle w:val="Hyperlink"/>
            <w:rFonts w:asciiTheme="majorBidi" w:hAnsiTheme="majorBidi" w:cstheme="majorBidi"/>
            <w:b/>
            <w:bCs/>
            <w:szCs w:val="24"/>
          </w:rPr>
          <w:t xml:space="preserve"> 28 (Rév</w:t>
        </w:r>
        <w:r w:rsidR="00496177">
          <w:rPr>
            <w:rStyle w:val="Hyperlink"/>
            <w:rFonts w:asciiTheme="majorBidi" w:hAnsiTheme="majorBidi" w:cstheme="majorBidi"/>
            <w:b/>
            <w:bCs/>
            <w:szCs w:val="24"/>
          </w:rPr>
          <w:t>.</w:t>
        </w:r>
        <w:r w:rsidR="00496177" w:rsidRPr="00496177">
          <w:rPr>
            <w:rStyle w:val="Hyperlink"/>
            <w:rFonts w:asciiTheme="majorBidi" w:hAnsiTheme="majorBidi" w:cstheme="majorBidi"/>
            <w:b/>
            <w:bCs/>
            <w:szCs w:val="24"/>
          </w:rPr>
          <w:t>C</w:t>
        </w:r>
        <w:r w:rsidR="00496177">
          <w:rPr>
            <w:rStyle w:val="Hyperlink"/>
            <w:rFonts w:asciiTheme="majorBidi" w:hAnsiTheme="majorBidi" w:cstheme="majorBidi"/>
            <w:b/>
            <w:bCs/>
            <w:szCs w:val="24"/>
          </w:rPr>
          <w:t>MR</w:t>
        </w:r>
        <w:r w:rsidR="00496177" w:rsidRPr="00496177">
          <w:rPr>
            <w:rStyle w:val="Hyperlink"/>
            <w:rFonts w:asciiTheme="majorBidi" w:hAnsiTheme="majorBidi" w:cstheme="majorBidi"/>
            <w:b/>
            <w:bCs/>
            <w:szCs w:val="24"/>
          </w:rPr>
          <w:t>-15)</w:t>
        </w:r>
      </w:hyperlink>
      <w:r w:rsidRPr="009B46DD">
        <w:t>,</w:t>
      </w:r>
      <w:r w:rsidRPr="009B46DD">
        <w:rPr>
          <w:b/>
          <w:bCs/>
        </w:rPr>
        <w:t xml:space="preserve"> </w:t>
      </w:r>
      <w:r w:rsidRPr="009B46DD">
        <w:t xml:space="preserve">et décider s'il convient ou non de mettre à jour les références correspondantes dans le Règlement des radiocommunications, conformément aux principes énoncés dans l'Annexe 1 de la </w:t>
      </w:r>
      <w:hyperlink w:anchor="RES_27" w:history="1">
        <w:r w:rsidR="00496177" w:rsidRPr="00254821">
          <w:rPr>
            <w:rStyle w:val="Hyperlink"/>
            <w:rFonts w:asciiTheme="majorBidi" w:hAnsiTheme="majorBidi" w:cstheme="majorBidi"/>
            <w:szCs w:val="24"/>
          </w:rPr>
          <w:t>Résolution</w:t>
        </w:r>
        <w:r w:rsidR="00120FCE">
          <w:rPr>
            <w:rStyle w:val="Hyperlink"/>
            <w:rFonts w:asciiTheme="majorBidi" w:hAnsiTheme="majorBidi" w:cstheme="majorBidi"/>
            <w:b/>
            <w:bCs/>
            <w:szCs w:val="24"/>
          </w:rPr>
          <w:t> </w:t>
        </w:r>
        <w:r w:rsidR="00496177" w:rsidRPr="00254821">
          <w:rPr>
            <w:rStyle w:val="Hyperlink"/>
            <w:rFonts w:asciiTheme="majorBidi" w:hAnsiTheme="majorBidi" w:cstheme="majorBidi"/>
            <w:b/>
            <w:bCs/>
            <w:szCs w:val="24"/>
          </w:rPr>
          <w:t>27 (Rév.CMR-12)</w:t>
        </w:r>
      </w:hyperlink>
    </w:p>
    <w:p w:rsidR="00CB5204" w:rsidRPr="009B46DD" w:rsidRDefault="00CB5204" w:rsidP="00A17011">
      <w:pPr>
        <w:jc w:val="both"/>
      </w:pPr>
      <w:r w:rsidRPr="009B46DD">
        <w:t>3</w:t>
      </w:r>
      <w:r w:rsidRPr="009B46DD">
        <w:tab/>
        <w:t>examiner les modifications et amendements à apporter éventuellement au Règlement des radiocommunications à la suite des décisions prises par la Conférence;</w:t>
      </w:r>
    </w:p>
    <w:p w:rsidR="00CB5204" w:rsidRPr="009B46DD" w:rsidRDefault="00CB5204" w:rsidP="00A17011">
      <w:pPr>
        <w:jc w:val="both"/>
      </w:pPr>
      <w:r w:rsidRPr="009B46DD">
        <w:t>4</w:t>
      </w:r>
      <w:r w:rsidRPr="009B46DD">
        <w:tab/>
        <w:t xml:space="preserve">conformément à la </w:t>
      </w:r>
      <w:hyperlink w:anchor="RES_95" w:history="1">
        <w:r w:rsidR="003012C0" w:rsidRPr="00254821">
          <w:rPr>
            <w:rStyle w:val="Hyperlink"/>
            <w:rFonts w:asciiTheme="majorBidi" w:hAnsiTheme="majorBidi" w:cstheme="majorBidi"/>
            <w:szCs w:val="24"/>
          </w:rPr>
          <w:t>Résolution</w:t>
        </w:r>
        <w:r w:rsidR="003012C0" w:rsidRPr="00254821">
          <w:rPr>
            <w:rStyle w:val="Hyperlink"/>
            <w:rFonts w:asciiTheme="majorBidi" w:hAnsiTheme="majorBidi" w:cstheme="majorBidi"/>
            <w:b/>
            <w:bCs/>
            <w:szCs w:val="24"/>
          </w:rPr>
          <w:t xml:space="preserve"> 95 (Rév.CMR-07)</w:t>
        </w:r>
      </w:hyperlink>
      <w:r w:rsidR="00254821">
        <w:t xml:space="preserve"> </w:t>
      </w:r>
      <w:r w:rsidRPr="009B46DD">
        <w:t>examiner les résolutions et recommandations des conférences précédentes en vue, le cas échéant, de les réviser, de les remplacer ou de les supprimer;</w:t>
      </w:r>
    </w:p>
    <w:p w:rsidR="00CB5204" w:rsidRPr="009B46DD" w:rsidRDefault="00CB5204" w:rsidP="00A17011">
      <w:pPr>
        <w:jc w:val="both"/>
      </w:pPr>
      <w:r w:rsidRPr="009B46DD">
        <w:t>5</w:t>
      </w:r>
      <w:r w:rsidRPr="009B46DD">
        <w:tab/>
        <w:t>examiner le Rapport de l'Assemblée des radiocommunications soumis conformément aux numéros 135 et 136 de la Convention et lui donner la suite voulue;</w:t>
      </w:r>
    </w:p>
    <w:p w:rsidR="00CB5204" w:rsidRPr="009B46DD" w:rsidRDefault="00CB5204" w:rsidP="00A17011">
      <w:pPr>
        <w:jc w:val="both"/>
      </w:pPr>
      <w:r w:rsidRPr="009B46DD">
        <w:t>6</w:t>
      </w:r>
      <w:r w:rsidRPr="009B46DD">
        <w:tab/>
        <w:t>identifier les points auxquels les commissions d'études des radiocommunications doivent d'urgence donner suite, en vue de la conférence mondiale des radiocommunications suivante;</w:t>
      </w:r>
    </w:p>
    <w:p w:rsidR="00CB5204" w:rsidRPr="009B46DD" w:rsidRDefault="00CB5204" w:rsidP="00803987">
      <w:pPr>
        <w:keepNext/>
        <w:keepLines/>
        <w:tabs>
          <w:tab w:val="left" w:pos="5245"/>
        </w:tabs>
        <w:jc w:val="both"/>
      </w:pPr>
      <w:r w:rsidRPr="009B46DD">
        <w:t>7</w:t>
      </w:r>
      <w:r w:rsidRPr="009B46DD">
        <w:tab/>
        <w:t xml:space="preserve">examiner d'éventuels changements à apporter, et d'autres options à mettre en </w:t>
      </w:r>
      <w:proofErr w:type="spellStart"/>
      <w:r w:rsidRPr="009B46DD">
        <w:t>oeuvre</w:t>
      </w:r>
      <w:proofErr w:type="spellEnd"/>
      <w:r w:rsidRPr="009B46DD">
        <w:t xml:space="preserve">, en application de la </w:t>
      </w:r>
      <w:hyperlink w:anchor="RES_86_Rev_Marrakesh_2002" w:history="1">
        <w:r w:rsidR="008F3F34">
          <w:rPr>
            <w:rStyle w:val="Hyperlink"/>
            <w:rFonts w:asciiTheme="majorBidi" w:hAnsiTheme="majorBidi" w:cstheme="majorBidi"/>
            <w:szCs w:val="24"/>
          </w:rPr>
          <w:t>Ré</w:t>
        </w:r>
        <w:r w:rsidR="008F3F34" w:rsidRPr="008F3F34">
          <w:rPr>
            <w:rStyle w:val="Hyperlink"/>
            <w:rFonts w:asciiTheme="majorBidi" w:hAnsiTheme="majorBidi" w:cstheme="majorBidi"/>
            <w:szCs w:val="24"/>
          </w:rPr>
          <w:t>solution </w:t>
        </w:r>
        <w:r w:rsidR="008F3F34" w:rsidRPr="00D74410">
          <w:rPr>
            <w:rStyle w:val="Hyperlink"/>
            <w:rFonts w:asciiTheme="majorBidi" w:hAnsiTheme="majorBidi" w:cstheme="majorBidi"/>
            <w:b/>
            <w:bCs/>
            <w:szCs w:val="24"/>
          </w:rPr>
          <w:t>86</w:t>
        </w:r>
        <w:r w:rsidR="008F3F34" w:rsidRPr="008F3F34">
          <w:rPr>
            <w:rStyle w:val="Hyperlink"/>
            <w:rFonts w:asciiTheme="majorBidi" w:hAnsiTheme="majorBidi" w:cstheme="majorBidi"/>
            <w:szCs w:val="24"/>
          </w:rPr>
          <w:t xml:space="preserve"> </w:t>
        </w:r>
        <w:r w:rsidR="008F3F34" w:rsidRPr="008A5C85">
          <w:rPr>
            <w:rStyle w:val="Hyperlink"/>
            <w:rFonts w:asciiTheme="majorBidi" w:hAnsiTheme="majorBidi" w:cstheme="majorBidi"/>
            <w:b/>
            <w:bCs/>
            <w:szCs w:val="24"/>
          </w:rPr>
          <w:t>(</w:t>
        </w:r>
        <w:proofErr w:type="spellStart"/>
        <w:r w:rsidR="008F3F34" w:rsidRPr="008A5C85">
          <w:rPr>
            <w:rStyle w:val="Hyperlink"/>
            <w:rFonts w:asciiTheme="majorBidi" w:hAnsiTheme="majorBidi" w:cstheme="majorBidi"/>
            <w:b/>
            <w:bCs/>
            <w:szCs w:val="24"/>
          </w:rPr>
          <w:t>Rév</w:t>
        </w:r>
        <w:proofErr w:type="spellEnd"/>
        <w:r w:rsidR="008F3F34" w:rsidRPr="008A5C85">
          <w:rPr>
            <w:rStyle w:val="Hyperlink"/>
            <w:rFonts w:asciiTheme="majorBidi" w:hAnsiTheme="majorBidi" w:cstheme="majorBidi"/>
            <w:b/>
            <w:bCs/>
            <w:szCs w:val="24"/>
          </w:rPr>
          <w:t>. Marrake</w:t>
        </w:r>
        <w:r w:rsidR="00803987">
          <w:rPr>
            <w:rStyle w:val="Hyperlink"/>
            <w:rFonts w:asciiTheme="majorBidi" w:hAnsiTheme="majorBidi" w:cstheme="majorBidi"/>
            <w:b/>
            <w:bCs/>
            <w:szCs w:val="24"/>
          </w:rPr>
          <w:t>c</w:t>
        </w:r>
        <w:r w:rsidR="008F3F34" w:rsidRPr="008A5C85">
          <w:rPr>
            <w:rStyle w:val="Hyperlink"/>
            <w:rFonts w:asciiTheme="majorBidi" w:hAnsiTheme="majorBidi" w:cstheme="majorBidi"/>
            <w:b/>
            <w:bCs/>
            <w:szCs w:val="24"/>
          </w:rPr>
          <w:t>h, 2002)</w:t>
        </w:r>
      </w:hyperlink>
      <w:r w:rsidR="008F3F34" w:rsidRPr="008F3F34">
        <w:rPr>
          <w:rStyle w:val="Hyperlink"/>
          <w:rFonts w:asciiTheme="majorBidi" w:hAnsiTheme="majorBidi" w:cstheme="majorBidi"/>
          <w:szCs w:val="24"/>
        </w:rPr>
        <w:t xml:space="preserve"> </w:t>
      </w:r>
      <w:r w:rsidRPr="009B46DD">
        <w:t xml:space="preserve">de la Conférence de plénipotentiaires, intitulée "Procédures de publication anticipée, de coordination, de notification et d'inscription des assignations de fréquence relatives aux réseaux à satellite", conformément à la </w:t>
      </w:r>
      <w:hyperlink w:anchor="RES_86_Rev_Marrakesh_2002" w:history="1">
        <w:r w:rsidR="00C31D94" w:rsidRPr="00254821">
          <w:rPr>
            <w:rStyle w:val="Hyperlink"/>
            <w:rFonts w:asciiTheme="majorBidi" w:hAnsiTheme="majorBidi" w:cstheme="majorBidi"/>
            <w:szCs w:val="24"/>
          </w:rPr>
          <w:t>Résolution</w:t>
        </w:r>
        <w:r w:rsidR="00C31D94" w:rsidRPr="00254821">
          <w:rPr>
            <w:rStyle w:val="Hyperlink"/>
            <w:rFonts w:asciiTheme="majorBidi" w:hAnsiTheme="majorBidi" w:cstheme="majorBidi"/>
            <w:b/>
            <w:bCs/>
            <w:szCs w:val="24"/>
          </w:rPr>
          <w:t> 86 (</w:t>
        </w:r>
        <w:proofErr w:type="spellStart"/>
        <w:r w:rsidR="00C31D94" w:rsidRPr="00254821">
          <w:rPr>
            <w:rStyle w:val="Hyperlink"/>
            <w:rFonts w:asciiTheme="majorBidi" w:hAnsiTheme="majorBidi" w:cstheme="majorBidi"/>
            <w:b/>
            <w:bCs/>
            <w:szCs w:val="24"/>
          </w:rPr>
          <w:t>Rév</w:t>
        </w:r>
        <w:proofErr w:type="spellEnd"/>
        <w:r w:rsidR="00C31D94" w:rsidRPr="00254821">
          <w:rPr>
            <w:rStyle w:val="Hyperlink"/>
            <w:rFonts w:asciiTheme="majorBidi" w:hAnsiTheme="majorBidi" w:cstheme="majorBidi"/>
            <w:b/>
            <w:bCs/>
            <w:szCs w:val="24"/>
          </w:rPr>
          <w:t>. Marrake</w:t>
        </w:r>
        <w:r w:rsidR="00803987">
          <w:rPr>
            <w:rStyle w:val="Hyperlink"/>
            <w:rFonts w:asciiTheme="majorBidi" w:hAnsiTheme="majorBidi" w:cstheme="majorBidi"/>
            <w:b/>
            <w:bCs/>
            <w:szCs w:val="24"/>
          </w:rPr>
          <w:t>c</w:t>
        </w:r>
        <w:r w:rsidR="00C31D94" w:rsidRPr="00254821">
          <w:rPr>
            <w:rStyle w:val="Hyperlink"/>
            <w:rFonts w:asciiTheme="majorBidi" w:hAnsiTheme="majorBidi" w:cstheme="majorBidi"/>
            <w:b/>
            <w:bCs/>
            <w:szCs w:val="24"/>
          </w:rPr>
          <w:t>h, 2002)</w:t>
        </w:r>
      </w:hyperlink>
      <w:r w:rsidR="00C31D94" w:rsidRPr="009C2D2E">
        <w:rPr>
          <w:rStyle w:val="Hyperlink"/>
          <w:rFonts w:asciiTheme="majorBidi" w:hAnsiTheme="majorBidi" w:cstheme="majorBidi"/>
          <w:szCs w:val="24"/>
        </w:rPr>
        <w:t>,</w:t>
      </w:r>
      <w:r w:rsidRPr="009B46DD">
        <w:t xml:space="preserve"> afin de faciliter l'utilisation rationnelle, efficace et économique des fréquences radioélectriques et des orbites associées, y compris de l'orbite des satellites géostationnaires;</w:t>
      </w:r>
    </w:p>
    <w:p w:rsidR="00CB5204" w:rsidRPr="009B46DD" w:rsidRDefault="00CB5204" w:rsidP="00A17011">
      <w:pPr>
        <w:jc w:val="both"/>
      </w:pPr>
      <w:r w:rsidRPr="009B46DD">
        <w:t>8</w:t>
      </w:r>
      <w:r w:rsidRPr="009B46DD">
        <w:tab/>
        <w:t xml:space="preserve">examiner les demandes des administrations qui souhaitent supprimer des renvois relatifs à leur pays ou le nom de leur pays de certains renvois, s'ils ne sont plus nécessaires, compte tenu de la </w:t>
      </w:r>
      <w:hyperlink w:anchor="RES_26" w:history="1">
        <w:r w:rsidR="009C2D2E">
          <w:rPr>
            <w:rStyle w:val="Hyperlink"/>
            <w:rFonts w:asciiTheme="majorBidi" w:hAnsiTheme="majorBidi" w:cstheme="majorBidi"/>
            <w:szCs w:val="24"/>
          </w:rPr>
          <w:t>Ré</w:t>
        </w:r>
        <w:r w:rsidR="009C2D2E" w:rsidRPr="009C2D2E">
          <w:rPr>
            <w:rStyle w:val="Hyperlink"/>
            <w:rFonts w:asciiTheme="majorBidi" w:hAnsiTheme="majorBidi" w:cstheme="majorBidi"/>
            <w:szCs w:val="24"/>
          </w:rPr>
          <w:t xml:space="preserve">solution </w:t>
        </w:r>
        <w:r w:rsidR="009C2D2E" w:rsidRPr="009C2D2E">
          <w:rPr>
            <w:rStyle w:val="Hyperlink"/>
            <w:rFonts w:asciiTheme="majorBidi" w:hAnsiTheme="majorBidi" w:cstheme="majorBidi"/>
            <w:b/>
            <w:bCs/>
            <w:szCs w:val="24"/>
          </w:rPr>
          <w:t>26 (R</w:t>
        </w:r>
        <w:r w:rsidR="009C2D2E">
          <w:rPr>
            <w:rStyle w:val="Hyperlink"/>
            <w:rFonts w:asciiTheme="majorBidi" w:hAnsiTheme="majorBidi" w:cstheme="majorBidi"/>
            <w:b/>
            <w:bCs/>
            <w:szCs w:val="24"/>
          </w:rPr>
          <w:t>év.CMR</w:t>
        </w:r>
        <w:r w:rsidR="009C2D2E" w:rsidRPr="009C2D2E">
          <w:rPr>
            <w:rStyle w:val="Hyperlink"/>
            <w:rFonts w:asciiTheme="majorBidi" w:hAnsiTheme="majorBidi" w:cstheme="majorBidi"/>
            <w:b/>
            <w:bCs/>
            <w:szCs w:val="24"/>
          </w:rPr>
          <w:t>-07)</w:t>
        </w:r>
      </w:hyperlink>
      <w:r w:rsidR="009C2D2E" w:rsidRPr="009C2D2E">
        <w:rPr>
          <w:rFonts w:asciiTheme="majorBidi" w:hAnsiTheme="majorBidi" w:cstheme="majorBidi"/>
          <w:szCs w:val="24"/>
        </w:rPr>
        <w:t xml:space="preserve">, </w:t>
      </w:r>
      <w:r w:rsidRPr="009B46DD">
        <w:t>et prendre les mesures voulues à ce sujet;</w:t>
      </w:r>
    </w:p>
    <w:p w:rsidR="00CB5204" w:rsidRPr="009B46DD" w:rsidRDefault="00CB5204" w:rsidP="00A17011">
      <w:pPr>
        <w:jc w:val="both"/>
      </w:pPr>
      <w:r w:rsidRPr="009B46DD">
        <w:t>9</w:t>
      </w:r>
      <w:r w:rsidRPr="009B46DD">
        <w:tab/>
        <w:t>examiner et approuver le rapport du Directeur du Bureau des radiocommunications, conformément à l'article 7 de la Convention:</w:t>
      </w:r>
    </w:p>
    <w:p w:rsidR="00CB5204" w:rsidRPr="009B46DD" w:rsidRDefault="00CB5204" w:rsidP="00A17011">
      <w:pPr>
        <w:jc w:val="both"/>
      </w:pPr>
      <w:r w:rsidRPr="009B46DD">
        <w:t>9.1</w:t>
      </w:r>
      <w:r w:rsidRPr="009B46DD">
        <w:tab/>
        <w:t>sur les activités du Secteur des radiocommunications depuis la CMR</w:t>
      </w:r>
      <w:r w:rsidRPr="009B46DD">
        <w:noBreakHyphen/>
        <w:t>15;</w:t>
      </w:r>
    </w:p>
    <w:p w:rsidR="00CB5204" w:rsidRPr="009B46DD" w:rsidRDefault="00CB5204" w:rsidP="00A17011">
      <w:pPr>
        <w:jc w:val="both"/>
      </w:pPr>
      <w:r w:rsidRPr="009B46DD">
        <w:lastRenderedPageBreak/>
        <w:t>9.2</w:t>
      </w:r>
      <w:r w:rsidRPr="009B46DD">
        <w:tab/>
        <w:t>sur les difficultés rencontrées ou les incohérences constatées dans l'application du Règlement des radiocommunications</w:t>
      </w:r>
      <w:r w:rsidRPr="009B46DD">
        <w:rPr>
          <w:rStyle w:val="FootnoteReference"/>
        </w:rPr>
        <w:footnoteReference w:customMarkFollows="1" w:id="2"/>
        <w:t>*</w:t>
      </w:r>
      <w:r w:rsidRPr="009B46DD">
        <w:t>; et</w:t>
      </w:r>
    </w:p>
    <w:p w:rsidR="001B4AD5" w:rsidRPr="001B4AD5" w:rsidRDefault="00CB5204" w:rsidP="00A17011">
      <w:pPr>
        <w:jc w:val="both"/>
        <w:rPr>
          <w:rFonts w:asciiTheme="majorBidi" w:hAnsiTheme="majorBidi" w:cstheme="majorBidi"/>
          <w:szCs w:val="24"/>
        </w:rPr>
      </w:pPr>
      <w:r w:rsidRPr="009B46DD">
        <w:t>9.3</w:t>
      </w:r>
      <w:r w:rsidRPr="009B46DD">
        <w:tab/>
        <w:t xml:space="preserve">sur la suite donnée à la </w:t>
      </w:r>
      <w:hyperlink w:anchor="RES_80" w:history="1">
        <w:r w:rsidR="001B4AD5">
          <w:rPr>
            <w:rStyle w:val="Hyperlink"/>
            <w:rFonts w:asciiTheme="majorBidi" w:hAnsiTheme="majorBidi" w:cstheme="majorBidi"/>
            <w:szCs w:val="24"/>
          </w:rPr>
          <w:t>Ré</w:t>
        </w:r>
        <w:r w:rsidR="001B4AD5" w:rsidRPr="001B4AD5">
          <w:rPr>
            <w:rStyle w:val="Hyperlink"/>
            <w:rFonts w:asciiTheme="majorBidi" w:hAnsiTheme="majorBidi" w:cstheme="majorBidi"/>
            <w:szCs w:val="24"/>
          </w:rPr>
          <w:t xml:space="preserve">solution </w:t>
        </w:r>
        <w:r w:rsidR="001B4AD5" w:rsidRPr="001B4AD5">
          <w:rPr>
            <w:rStyle w:val="Hyperlink"/>
            <w:rFonts w:asciiTheme="majorBidi" w:hAnsiTheme="majorBidi" w:cstheme="majorBidi"/>
            <w:b/>
            <w:bCs/>
            <w:szCs w:val="24"/>
          </w:rPr>
          <w:t>80 (R</w:t>
        </w:r>
        <w:r w:rsidR="001B4AD5">
          <w:rPr>
            <w:rStyle w:val="Hyperlink"/>
            <w:rFonts w:asciiTheme="majorBidi" w:hAnsiTheme="majorBidi" w:cstheme="majorBidi"/>
            <w:b/>
            <w:bCs/>
            <w:szCs w:val="24"/>
          </w:rPr>
          <w:t>év.</w:t>
        </w:r>
        <w:r w:rsidR="001B4AD5" w:rsidRPr="001B4AD5">
          <w:rPr>
            <w:rStyle w:val="Hyperlink"/>
            <w:rFonts w:asciiTheme="majorBidi" w:hAnsiTheme="majorBidi" w:cstheme="majorBidi"/>
            <w:b/>
            <w:bCs/>
            <w:szCs w:val="24"/>
          </w:rPr>
          <w:t>C</w:t>
        </w:r>
        <w:r w:rsidR="001B4AD5">
          <w:rPr>
            <w:rStyle w:val="Hyperlink"/>
            <w:rFonts w:asciiTheme="majorBidi" w:hAnsiTheme="majorBidi" w:cstheme="majorBidi"/>
            <w:b/>
            <w:bCs/>
            <w:szCs w:val="24"/>
          </w:rPr>
          <w:t>MR</w:t>
        </w:r>
        <w:r w:rsidR="001B4AD5" w:rsidRPr="001B4AD5">
          <w:rPr>
            <w:rStyle w:val="Hyperlink"/>
            <w:rFonts w:asciiTheme="majorBidi" w:hAnsiTheme="majorBidi" w:cstheme="majorBidi"/>
            <w:b/>
            <w:bCs/>
            <w:szCs w:val="24"/>
          </w:rPr>
          <w:t>-07)</w:t>
        </w:r>
      </w:hyperlink>
      <w:r w:rsidR="001B4AD5" w:rsidRPr="001B4AD5">
        <w:rPr>
          <w:rFonts w:asciiTheme="majorBidi" w:hAnsiTheme="majorBidi" w:cstheme="majorBidi"/>
          <w:szCs w:val="24"/>
        </w:rPr>
        <w:t>;</w:t>
      </w:r>
    </w:p>
    <w:p w:rsidR="00CB5204" w:rsidRPr="009B46DD" w:rsidRDefault="00CB5204" w:rsidP="00A17011">
      <w:pPr>
        <w:jc w:val="both"/>
      </w:pPr>
      <w:r w:rsidRPr="009B46DD">
        <w:t>10</w:t>
      </w:r>
      <w:r w:rsidRPr="009B46D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CB5204" w:rsidRPr="009B46DD" w:rsidRDefault="00CB5204" w:rsidP="00A17011">
      <w:pPr>
        <w:pStyle w:val="Call"/>
        <w:keepNext w:val="0"/>
        <w:keepLines w:val="0"/>
        <w:jc w:val="both"/>
      </w:pPr>
      <w:r w:rsidRPr="009B46DD">
        <w:t>charge le Directeur du Bureau des radiocommunications</w:t>
      </w:r>
    </w:p>
    <w:p w:rsidR="00CB5204" w:rsidRPr="009B46DD" w:rsidRDefault="00CB5204" w:rsidP="00A17011">
      <w:pPr>
        <w:jc w:val="both"/>
      </w:pPr>
      <w:r w:rsidRPr="00B57855">
        <w:t>de prendre les dispositions voulues pour la convocation des sessions de la Réunion de préparation à la Conférence et d'élaborer un Rapport à l'intention de la CMR</w:t>
      </w:r>
      <w:r w:rsidRPr="00B57855">
        <w:noBreakHyphen/>
        <w:t>19,</w:t>
      </w:r>
    </w:p>
    <w:p w:rsidR="00CB5204" w:rsidRPr="00433F55" w:rsidRDefault="00CB5204" w:rsidP="00A17011">
      <w:pPr>
        <w:pStyle w:val="Call"/>
        <w:keepNext w:val="0"/>
        <w:keepLines w:val="0"/>
        <w:jc w:val="both"/>
        <w:rPr>
          <w:lang w:val="fr-CH"/>
        </w:rPr>
      </w:pPr>
      <w:r w:rsidRPr="00433F55">
        <w:rPr>
          <w:lang w:val="fr-CH"/>
        </w:rPr>
        <w:t>charge le Secrétaire général</w:t>
      </w:r>
    </w:p>
    <w:p w:rsidR="00DB3B46" w:rsidRPr="00433F55" w:rsidRDefault="000D5F3F" w:rsidP="000D5F3F">
      <w:pPr>
        <w:jc w:val="both"/>
        <w:rPr>
          <w:lang w:val="fr-CH"/>
        </w:rPr>
      </w:pPr>
      <w:r w:rsidRPr="00433F55">
        <w:rPr>
          <w:lang w:val="fr-CH"/>
        </w:rPr>
        <w:t>1</w:t>
      </w:r>
      <w:r w:rsidRPr="00433F55">
        <w:rPr>
          <w:lang w:val="fr-CH"/>
        </w:rPr>
        <w:tab/>
        <w:t xml:space="preserve">de consulter les </w:t>
      </w:r>
      <w:proofErr w:type="spellStart"/>
      <w:r w:rsidRPr="00433F55">
        <w:rPr>
          <w:lang w:val="fr-CH"/>
        </w:rPr>
        <w:t>Etats</w:t>
      </w:r>
      <w:proofErr w:type="spellEnd"/>
      <w:r w:rsidRPr="00433F55">
        <w:rPr>
          <w:lang w:val="fr-CH"/>
        </w:rPr>
        <w:t xml:space="preserve"> Membres concernant le lieu précis et les dates exactes de la Conférence mondiale des radiocommunications et de l'Assemblée des radiocommunications de 2019, ainsi que l'ordre du jour de la Conférence mondiale des radiocommunications de 2019</w:t>
      </w:r>
      <w:r>
        <w:rPr>
          <w:lang w:val="fr-CH"/>
        </w:rPr>
        <w:t>.</w:t>
      </w:r>
    </w:p>
    <w:p w:rsidR="00CB5204" w:rsidRPr="00380D23" w:rsidRDefault="00DB3B46" w:rsidP="00A17011">
      <w:pPr>
        <w:jc w:val="both"/>
      </w:pPr>
      <w:r>
        <w:t>2</w:t>
      </w:r>
      <w:r w:rsidR="00CB5204" w:rsidRPr="00B57855">
        <w:tab/>
        <w:t xml:space="preserve">de prendre toutes les dispositions </w:t>
      </w:r>
      <w:r w:rsidR="00CB5204">
        <w:t>nécessaires, avec l'</w:t>
      </w:r>
      <w:r w:rsidR="00CB5204" w:rsidRPr="00B57855">
        <w:t>accord du Directeur du Bureau des radiocommunications, pour la convocation de la Conférence.</w:t>
      </w:r>
    </w:p>
    <w:p w:rsidR="00CB5204" w:rsidRDefault="00DB3B46" w:rsidP="00A17011">
      <w:pPr>
        <w:jc w:val="both"/>
      </w:pPr>
      <w:r>
        <w:t>3</w:t>
      </w:r>
      <w:r w:rsidR="00CB5204" w:rsidRPr="00B57855">
        <w:tab/>
        <w:t>de communiquer la présente Résolution aux organisations internationales ou régionales concernées.</w:t>
      </w:r>
    </w:p>
    <w:p w:rsidR="00BA0D91" w:rsidRPr="00BA0D91" w:rsidRDefault="00BA0D91" w:rsidP="00433F55">
      <w:pPr>
        <w:spacing w:before="240"/>
        <w:jc w:val="both"/>
        <w:rPr>
          <w:i/>
          <w:iCs/>
          <w:rPrChange w:id="27" w:author="Gozel, Elsa" w:date="2017-11-14T08:03:00Z">
            <w:rPr/>
          </w:rPrChange>
        </w:rPr>
      </w:pPr>
      <w:r w:rsidRPr="00433F55">
        <w:rPr>
          <w:i/>
          <w:iCs/>
        </w:rPr>
        <w:t xml:space="preserve">Réf.: Documents </w:t>
      </w:r>
      <w:hyperlink r:id="rId18" w:history="1">
        <w:r w:rsidRPr="00433F55">
          <w:rPr>
            <w:rStyle w:val="Hyperlink"/>
            <w:i/>
            <w:iCs/>
          </w:rPr>
          <w:t>C16/121</w:t>
        </w:r>
      </w:hyperlink>
      <w:r w:rsidRPr="00433F55">
        <w:rPr>
          <w:i/>
          <w:iCs/>
        </w:rPr>
        <w:t xml:space="preserve"> et </w:t>
      </w:r>
      <w:hyperlink r:id="rId19" w:history="1">
        <w:r w:rsidRPr="00433F55">
          <w:rPr>
            <w:rStyle w:val="Hyperlink"/>
            <w:i/>
            <w:iCs/>
          </w:rPr>
          <w:t>C16/130</w:t>
        </w:r>
      </w:hyperlink>
      <w:r w:rsidRPr="00433F55">
        <w:rPr>
          <w:i/>
          <w:iCs/>
        </w:rPr>
        <w:t xml:space="preserve">, </w:t>
      </w:r>
      <w:hyperlink r:id="rId20" w:history="1">
        <w:r w:rsidRPr="00433F55">
          <w:rPr>
            <w:rStyle w:val="Hyperlink"/>
            <w:i/>
            <w:iCs/>
          </w:rPr>
          <w:t>C17/130</w:t>
        </w:r>
      </w:hyperlink>
      <w:r w:rsidRPr="00433F55">
        <w:rPr>
          <w:i/>
          <w:iCs/>
        </w:rPr>
        <w:t xml:space="preserve"> et </w:t>
      </w:r>
      <w:hyperlink r:id="rId21" w:history="1">
        <w:r w:rsidRPr="00433F55">
          <w:rPr>
            <w:rStyle w:val="Hyperlink"/>
            <w:i/>
            <w:iCs/>
          </w:rPr>
          <w:t>C17/141</w:t>
        </w:r>
      </w:hyperlink>
      <w:r w:rsidRPr="00433F55">
        <w:rPr>
          <w:i/>
          <w:iCs/>
        </w:rPr>
        <w:t>.</w:t>
      </w:r>
    </w:p>
    <w:p w:rsidR="00A71789" w:rsidRPr="00233363" w:rsidRDefault="00A71789" w:rsidP="00433F55">
      <w:pPr>
        <w:spacing w:before="240"/>
        <w:jc w:val="both"/>
        <w:rPr>
          <w:lang w:val="fr-CH"/>
        </w:rPr>
      </w:pPr>
      <w:r w:rsidRPr="00233363">
        <w:rPr>
          <w:lang w:val="fr-CH"/>
        </w:rPr>
        <w:t xml:space="preserve">Note </w:t>
      </w:r>
      <w:r w:rsidR="00233363" w:rsidRPr="00233363">
        <w:rPr>
          <w:lang w:val="fr-CH"/>
        </w:rPr>
        <w:t>du Secrétariat: neuf questions ont été identifiées à la RPC19-1</w:t>
      </w:r>
      <w:r w:rsidR="00233363">
        <w:rPr>
          <w:lang w:val="fr-CH"/>
        </w:rPr>
        <w:t xml:space="preserve"> </w:t>
      </w:r>
      <w:r w:rsidR="00233363" w:rsidRPr="00233363">
        <w:rPr>
          <w:lang w:val="fr-CH"/>
        </w:rPr>
        <w:t xml:space="preserve">(voir la Circulaire administrative </w:t>
      </w:r>
      <w:hyperlink r:id="rId22" w:history="1">
        <w:r w:rsidRPr="00233363">
          <w:rPr>
            <w:rStyle w:val="Hyperlink"/>
            <w:rFonts w:asciiTheme="majorBidi" w:hAnsiTheme="majorBidi" w:cstheme="majorBidi"/>
            <w:b/>
            <w:bCs/>
            <w:szCs w:val="24"/>
            <w:u w:val="none"/>
            <w:lang w:val="fr-CH"/>
          </w:rPr>
          <w:t>CA/226</w:t>
        </w:r>
      </w:hyperlink>
      <w:r w:rsidRPr="00233363">
        <w:rPr>
          <w:b/>
          <w:bCs/>
          <w:lang w:val="fr-CH"/>
        </w:rPr>
        <w:t>)</w:t>
      </w:r>
      <w:r w:rsidR="00233363">
        <w:rPr>
          <w:b/>
          <w:bCs/>
          <w:lang w:val="fr-CH"/>
        </w:rPr>
        <w:t xml:space="preserve"> </w:t>
      </w:r>
      <w:r w:rsidR="00233363" w:rsidRPr="00233363">
        <w:rPr>
          <w:lang w:val="fr-CH"/>
        </w:rPr>
        <w:t>dans les Résolutions</w:t>
      </w:r>
      <w:r w:rsidR="00233363">
        <w:rPr>
          <w:b/>
          <w:bCs/>
          <w:lang w:val="fr-CH"/>
        </w:rPr>
        <w:t xml:space="preserve"> </w:t>
      </w:r>
      <w:r w:rsidR="00233363">
        <w:rPr>
          <w:lang w:val="fr-CH"/>
        </w:rPr>
        <w:t>pertinentes de la CMR-15 en vue de l'élaboration du point 9.1 de l'ordre du jour de la CMR-19, à savoir</w:t>
      </w:r>
      <w:r w:rsidRPr="00233363">
        <w:rPr>
          <w:lang w:val="fr-CH"/>
        </w:rPr>
        <w:t>:</w:t>
      </w:r>
    </w:p>
    <w:p w:rsidR="00A71789" w:rsidRPr="00FE63F3" w:rsidRDefault="00A71789" w:rsidP="00A17011">
      <w:pPr>
        <w:jc w:val="both"/>
      </w:pPr>
      <w:r w:rsidRPr="00FE63F3">
        <w:t>9.1.1</w:t>
      </w:r>
      <w:r w:rsidRPr="00FE63F3">
        <w:tab/>
      </w:r>
      <w:hyperlink w:anchor="RES_212" w:history="1">
        <w:r w:rsidRPr="00254821">
          <w:rPr>
            <w:rStyle w:val="Hyperlink"/>
            <w:rFonts w:asciiTheme="majorBidi" w:hAnsiTheme="majorBidi" w:cstheme="majorBidi"/>
            <w:szCs w:val="24"/>
          </w:rPr>
          <w:t>R</w:t>
        </w:r>
        <w:r w:rsidR="007E0C09" w:rsidRPr="00254821">
          <w:rPr>
            <w:rStyle w:val="Hyperlink"/>
            <w:rFonts w:asciiTheme="majorBidi" w:hAnsiTheme="majorBidi" w:cstheme="majorBidi"/>
            <w:szCs w:val="24"/>
          </w:rPr>
          <w:t>é</w:t>
        </w:r>
        <w:r w:rsidRPr="00254821">
          <w:rPr>
            <w:rStyle w:val="Hyperlink"/>
            <w:rFonts w:asciiTheme="majorBidi" w:hAnsiTheme="majorBidi" w:cstheme="majorBidi"/>
            <w:szCs w:val="24"/>
          </w:rPr>
          <w:t>solution</w:t>
        </w:r>
        <w:r w:rsidRPr="00FA31AE">
          <w:rPr>
            <w:rStyle w:val="Hyperlink"/>
            <w:rFonts w:asciiTheme="majorBidi" w:hAnsiTheme="majorBidi" w:cstheme="majorBidi"/>
            <w:b/>
            <w:bCs/>
            <w:szCs w:val="24"/>
          </w:rPr>
          <w:t xml:space="preserve"> </w:t>
        </w:r>
        <w:r w:rsidR="00FA31AE" w:rsidRPr="00FA31AE">
          <w:rPr>
            <w:rStyle w:val="Hyperlink"/>
            <w:rFonts w:asciiTheme="majorBidi" w:hAnsiTheme="majorBidi" w:cstheme="majorBidi"/>
            <w:b/>
            <w:bCs/>
            <w:szCs w:val="24"/>
          </w:rPr>
          <w:t>212 (Rév.</w:t>
        </w:r>
        <w:r w:rsidRPr="00FA31AE">
          <w:rPr>
            <w:rStyle w:val="Hyperlink"/>
            <w:rFonts w:asciiTheme="majorBidi" w:hAnsiTheme="majorBidi" w:cstheme="majorBidi"/>
            <w:b/>
            <w:bCs/>
            <w:szCs w:val="24"/>
          </w:rPr>
          <w:t>C</w:t>
        </w:r>
        <w:r w:rsidR="00FA31AE" w:rsidRPr="00FA31AE">
          <w:rPr>
            <w:rStyle w:val="Hyperlink"/>
            <w:rFonts w:asciiTheme="majorBidi" w:hAnsiTheme="majorBidi" w:cstheme="majorBidi"/>
            <w:b/>
            <w:bCs/>
            <w:szCs w:val="24"/>
          </w:rPr>
          <w:t>MR</w:t>
        </w:r>
        <w:r w:rsidRPr="00FA31AE">
          <w:rPr>
            <w:rStyle w:val="Hyperlink"/>
            <w:rFonts w:asciiTheme="majorBidi" w:hAnsiTheme="majorBidi" w:cstheme="majorBidi"/>
            <w:b/>
            <w:bCs/>
            <w:szCs w:val="24"/>
          </w:rPr>
          <w:t>-15)</w:t>
        </w:r>
      </w:hyperlink>
      <w:r w:rsidRPr="00FE63F3">
        <w:t xml:space="preserve"> – </w:t>
      </w:r>
      <w:bookmarkStart w:id="28" w:name="_Toc450208643"/>
      <w:r w:rsidR="00FE63F3" w:rsidRPr="00134885">
        <w:rPr>
          <w:lang w:val="fr-CH"/>
        </w:rPr>
        <w:t>Mise en œuvre des Télécommunications mobiles internationales</w:t>
      </w:r>
      <w:r w:rsidR="00FE63F3">
        <w:rPr>
          <w:lang w:val="fr-CH"/>
        </w:rPr>
        <w:t xml:space="preserve"> </w:t>
      </w:r>
      <w:r w:rsidR="00FE63F3" w:rsidRPr="00134885">
        <w:rPr>
          <w:lang w:val="fr-CH"/>
        </w:rPr>
        <w:t>dans les bandes</w:t>
      </w:r>
      <w:r w:rsidR="00FE63F3">
        <w:rPr>
          <w:lang w:val="fr-CH"/>
        </w:rPr>
        <w:t xml:space="preserve"> de fréquences</w:t>
      </w:r>
      <w:r w:rsidR="00FE63F3" w:rsidRPr="00134885">
        <w:rPr>
          <w:lang w:val="fr-CH"/>
        </w:rPr>
        <w:t xml:space="preserve"> 1 885</w:t>
      </w:r>
      <w:r w:rsidR="00FE63F3" w:rsidRPr="00134885">
        <w:rPr>
          <w:lang w:val="fr-CH"/>
        </w:rPr>
        <w:noBreakHyphen/>
        <w:t>2 025 MHz et 2 110</w:t>
      </w:r>
      <w:r w:rsidR="00FE63F3" w:rsidRPr="00134885">
        <w:rPr>
          <w:lang w:val="fr-CH"/>
        </w:rPr>
        <w:noBreakHyphen/>
        <w:t>2 200 MHz</w:t>
      </w:r>
      <w:bookmarkEnd w:id="28"/>
    </w:p>
    <w:p w:rsidR="00A71789" w:rsidRPr="00FE63F3" w:rsidRDefault="00A71789" w:rsidP="00120FCE">
      <w:pPr>
        <w:jc w:val="both"/>
      </w:pPr>
      <w:r w:rsidRPr="00FE63F3">
        <w:t>9.1.2</w:t>
      </w:r>
      <w:r w:rsidRPr="00FE63F3">
        <w:tab/>
      </w:r>
      <w:hyperlink w:anchor="RES_761" w:history="1">
        <w:r w:rsidR="00FA31AE" w:rsidRPr="00254821">
          <w:rPr>
            <w:rStyle w:val="Hyperlink"/>
            <w:rFonts w:asciiTheme="majorBidi" w:hAnsiTheme="majorBidi" w:cstheme="majorBidi"/>
            <w:szCs w:val="24"/>
          </w:rPr>
          <w:t>Ré</w:t>
        </w:r>
        <w:r w:rsidRPr="00A17011">
          <w:rPr>
            <w:rStyle w:val="Hyperlink"/>
            <w:rFonts w:asciiTheme="majorBidi" w:hAnsiTheme="majorBidi" w:cstheme="majorBidi"/>
            <w:szCs w:val="24"/>
          </w:rPr>
          <w:t>solution</w:t>
        </w:r>
        <w:r w:rsidRPr="00A17011">
          <w:rPr>
            <w:rStyle w:val="Hyperlink"/>
            <w:rFonts w:asciiTheme="majorBidi" w:hAnsiTheme="majorBidi" w:cstheme="majorBidi"/>
            <w:b/>
            <w:bCs/>
            <w:szCs w:val="24"/>
          </w:rPr>
          <w:t> </w:t>
        </w:r>
        <w:r w:rsidRPr="00D74410">
          <w:rPr>
            <w:rStyle w:val="Hyperlink"/>
            <w:rFonts w:asciiTheme="majorBidi" w:hAnsiTheme="majorBidi" w:cstheme="majorBidi"/>
            <w:b/>
            <w:bCs/>
            <w:szCs w:val="24"/>
          </w:rPr>
          <w:t>761</w:t>
        </w:r>
        <w:r w:rsidR="00FA31AE" w:rsidRPr="00FA31AE">
          <w:rPr>
            <w:rStyle w:val="Hyperlink"/>
            <w:rFonts w:asciiTheme="majorBidi" w:hAnsiTheme="majorBidi" w:cstheme="majorBidi"/>
            <w:b/>
            <w:bCs/>
            <w:szCs w:val="24"/>
          </w:rPr>
          <w:t> (</w:t>
        </w:r>
        <w:r w:rsidRPr="00A17011">
          <w:rPr>
            <w:rStyle w:val="Hyperlink"/>
            <w:rFonts w:asciiTheme="majorBidi" w:hAnsiTheme="majorBidi" w:cstheme="majorBidi"/>
            <w:b/>
            <w:bCs/>
            <w:szCs w:val="24"/>
          </w:rPr>
          <w:t>C</w:t>
        </w:r>
        <w:r w:rsidR="00FA31AE" w:rsidRPr="00FA31AE">
          <w:rPr>
            <w:rStyle w:val="Hyperlink"/>
            <w:rFonts w:asciiTheme="majorBidi" w:hAnsiTheme="majorBidi" w:cstheme="majorBidi"/>
            <w:b/>
            <w:bCs/>
            <w:szCs w:val="24"/>
          </w:rPr>
          <w:t>MR</w:t>
        </w:r>
        <w:r w:rsidRPr="00D74410">
          <w:rPr>
            <w:rStyle w:val="Hyperlink"/>
            <w:rFonts w:asciiTheme="majorBidi" w:hAnsiTheme="majorBidi" w:cstheme="majorBidi"/>
            <w:b/>
            <w:bCs/>
            <w:szCs w:val="24"/>
          </w:rPr>
          <w:noBreakHyphen/>
          <w:t>15</w:t>
        </w:r>
        <w:r w:rsidRPr="00A17011">
          <w:rPr>
            <w:rStyle w:val="Hyperlink"/>
            <w:rFonts w:asciiTheme="majorBidi" w:hAnsiTheme="majorBidi" w:cstheme="majorBidi"/>
            <w:szCs w:val="24"/>
          </w:rPr>
          <w:t>)</w:t>
        </w:r>
      </w:hyperlink>
      <w:r w:rsidRPr="00A17011">
        <w:rPr>
          <w:b/>
          <w:bCs/>
        </w:rPr>
        <w:t xml:space="preserve"> </w:t>
      </w:r>
      <w:r w:rsidRPr="00FE63F3">
        <w:t xml:space="preserve">– </w:t>
      </w:r>
      <w:bookmarkStart w:id="29" w:name="_Toc450208811"/>
      <w:r w:rsidR="00FE63F3" w:rsidRPr="007D0DE8">
        <w:t xml:space="preserve">Compatibilité </w:t>
      </w:r>
      <w:r w:rsidR="00FE63F3">
        <w:t xml:space="preserve">entre les Télécommunications mobiles internationales </w:t>
      </w:r>
      <w:r w:rsidR="00FE63F3" w:rsidRPr="007D0DE8">
        <w:t xml:space="preserve">et </w:t>
      </w:r>
      <w:r w:rsidR="00FE63F3">
        <w:t xml:space="preserve">le service de radiodiffusion par satellite </w:t>
      </w:r>
      <w:r w:rsidR="00FE63F3" w:rsidRPr="007D0DE8">
        <w:t>(sonore) dans la bande de fréquences 1</w:t>
      </w:r>
      <w:r w:rsidR="00FE63F3">
        <w:t> </w:t>
      </w:r>
      <w:r w:rsidR="00FE63F3" w:rsidRPr="007D0DE8">
        <w:t>452-1</w:t>
      </w:r>
      <w:r w:rsidR="00FE63F3">
        <w:t> </w:t>
      </w:r>
      <w:r w:rsidR="00FE63F3" w:rsidRPr="007D0DE8">
        <w:t>492 MHz dans les Régions 1 et 3</w:t>
      </w:r>
      <w:bookmarkEnd w:id="29"/>
    </w:p>
    <w:p w:rsidR="00A71789" w:rsidRPr="00FE63F3" w:rsidRDefault="00A71789" w:rsidP="00A17011">
      <w:pPr>
        <w:jc w:val="both"/>
      </w:pPr>
      <w:r w:rsidRPr="00FE63F3">
        <w:t>9.1.3</w:t>
      </w:r>
      <w:r w:rsidRPr="00FE63F3">
        <w:tab/>
      </w:r>
      <w:hyperlink w:anchor="RES_157" w:history="1">
        <w:r w:rsidR="00FA31AE" w:rsidRPr="00254821">
          <w:rPr>
            <w:rStyle w:val="Hyperlink"/>
            <w:rFonts w:asciiTheme="majorBidi" w:hAnsiTheme="majorBidi" w:cstheme="majorBidi"/>
            <w:szCs w:val="24"/>
          </w:rPr>
          <w:t>Ré</w:t>
        </w:r>
        <w:r w:rsidRPr="00A17011">
          <w:rPr>
            <w:rStyle w:val="Hyperlink"/>
            <w:rFonts w:asciiTheme="majorBidi" w:hAnsiTheme="majorBidi" w:cstheme="majorBidi"/>
            <w:szCs w:val="24"/>
          </w:rPr>
          <w:t>solution</w:t>
        </w:r>
        <w:r w:rsidRPr="00A17011">
          <w:rPr>
            <w:rStyle w:val="Hyperlink"/>
            <w:rFonts w:asciiTheme="majorBidi" w:hAnsiTheme="majorBidi" w:cstheme="majorBidi"/>
            <w:b/>
            <w:bCs/>
            <w:szCs w:val="24"/>
          </w:rPr>
          <w:t> </w:t>
        </w:r>
        <w:r w:rsidRPr="00D74410">
          <w:rPr>
            <w:rStyle w:val="Hyperlink"/>
            <w:rFonts w:asciiTheme="majorBidi" w:hAnsiTheme="majorBidi" w:cstheme="majorBidi"/>
            <w:b/>
            <w:bCs/>
            <w:szCs w:val="24"/>
          </w:rPr>
          <w:t>157</w:t>
        </w:r>
        <w:r w:rsidRPr="00A17011">
          <w:rPr>
            <w:rStyle w:val="Hyperlink"/>
            <w:rFonts w:asciiTheme="majorBidi" w:hAnsiTheme="majorBidi" w:cstheme="majorBidi"/>
            <w:b/>
            <w:bCs/>
            <w:szCs w:val="24"/>
          </w:rPr>
          <w:t> </w:t>
        </w:r>
        <w:r w:rsidR="00FA31AE" w:rsidRPr="00FA31AE">
          <w:rPr>
            <w:rStyle w:val="Hyperlink"/>
            <w:rFonts w:asciiTheme="majorBidi" w:hAnsiTheme="majorBidi" w:cstheme="majorBidi"/>
            <w:b/>
            <w:bCs/>
            <w:szCs w:val="24"/>
          </w:rPr>
          <w:t>(</w:t>
        </w:r>
        <w:r w:rsidRPr="00A17011">
          <w:rPr>
            <w:rStyle w:val="Hyperlink"/>
            <w:rFonts w:asciiTheme="majorBidi" w:hAnsiTheme="majorBidi" w:cstheme="majorBidi"/>
            <w:bCs/>
            <w:szCs w:val="24"/>
          </w:rPr>
          <w:t>C</w:t>
        </w:r>
        <w:r w:rsidR="00FA31AE" w:rsidRPr="00FA31AE">
          <w:rPr>
            <w:rStyle w:val="Hyperlink"/>
            <w:rFonts w:asciiTheme="majorBidi" w:hAnsiTheme="majorBidi" w:cstheme="majorBidi"/>
            <w:b/>
            <w:bCs/>
            <w:szCs w:val="24"/>
          </w:rPr>
          <w:t>MR</w:t>
        </w:r>
        <w:r w:rsidRPr="00D74410">
          <w:rPr>
            <w:rStyle w:val="Hyperlink"/>
            <w:rFonts w:asciiTheme="majorBidi" w:hAnsiTheme="majorBidi" w:cstheme="majorBidi"/>
            <w:b/>
            <w:bCs/>
            <w:szCs w:val="24"/>
          </w:rPr>
          <w:noBreakHyphen/>
          <w:t>15</w:t>
        </w:r>
        <w:r w:rsidRPr="00A17011">
          <w:rPr>
            <w:rStyle w:val="Hyperlink"/>
            <w:rFonts w:asciiTheme="majorBidi" w:hAnsiTheme="majorBidi" w:cstheme="majorBidi"/>
            <w:szCs w:val="24"/>
          </w:rPr>
          <w:t>)</w:t>
        </w:r>
      </w:hyperlink>
      <w:r w:rsidRPr="00A17011">
        <w:t xml:space="preserve"> </w:t>
      </w:r>
      <w:r w:rsidRPr="00FE63F3">
        <w:t xml:space="preserve">– </w:t>
      </w:r>
      <w:bookmarkStart w:id="30" w:name="_Toc450208623"/>
      <w:proofErr w:type="spellStart"/>
      <w:r w:rsidR="00FE63F3">
        <w:rPr>
          <w:lang w:val="fr-CH"/>
        </w:rPr>
        <w:t>E</w:t>
      </w:r>
      <w:r w:rsidR="00FE63F3" w:rsidRPr="003F220A">
        <w:rPr>
          <w:lang w:val="fr-CH"/>
        </w:rPr>
        <w:t>tude</w:t>
      </w:r>
      <w:proofErr w:type="spellEnd"/>
      <w:r w:rsidR="00FE63F3" w:rsidRPr="003F220A">
        <w:rPr>
          <w:lang w:val="fr-CH"/>
        </w:rPr>
        <w:t xml:space="preserve"> des</w:t>
      </w:r>
      <w:r w:rsidR="00FE63F3">
        <w:rPr>
          <w:lang w:val="fr-CH"/>
        </w:rPr>
        <w:t xml:space="preserve"> questions techniques et opérationnelles et des</w:t>
      </w:r>
      <w:r w:rsidR="00FE63F3" w:rsidRPr="003F220A">
        <w:rPr>
          <w:lang w:val="fr-CH"/>
        </w:rPr>
        <w:t xml:space="preserve"> dispositions réglementaires </w:t>
      </w:r>
      <w:r w:rsidR="00FE63F3">
        <w:rPr>
          <w:lang w:val="fr-CH"/>
        </w:rPr>
        <w:t>relatives</w:t>
      </w:r>
      <w:r w:rsidR="00FE63F3" w:rsidRPr="003F220A">
        <w:rPr>
          <w:lang w:val="fr-CH"/>
        </w:rPr>
        <w:t xml:space="preserve"> aux </w:t>
      </w:r>
      <w:r w:rsidR="00FE63F3">
        <w:rPr>
          <w:lang w:val="fr-CH"/>
        </w:rPr>
        <w:t xml:space="preserve">nouveaux </w:t>
      </w:r>
      <w:r w:rsidR="00FE63F3" w:rsidRPr="003F220A">
        <w:rPr>
          <w:lang w:val="fr-CH"/>
        </w:rPr>
        <w:t>systèmes à satellites non</w:t>
      </w:r>
      <w:r w:rsidR="00FE63F3">
        <w:rPr>
          <w:lang w:val="fr-CH"/>
        </w:rPr>
        <w:t xml:space="preserve"> </w:t>
      </w:r>
      <w:r w:rsidR="00FE63F3" w:rsidRPr="003F220A">
        <w:rPr>
          <w:lang w:val="fr-CH"/>
        </w:rPr>
        <w:t xml:space="preserve">géostationnaires dans les bandes de fréquences </w:t>
      </w:r>
      <w:r w:rsidR="00FE63F3">
        <w:rPr>
          <w:szCs w:val="28"/>
          <w:lang w:val="fr-CH"/>
        </w:rPr>
        <w:t>3 700-4 200 </w:t>
      </w:r>
      <w:r w:rsidR="00FE63F3" w:rsidRPr="003F220A">
        <w:rPr>
          <w:szCs w:val="28"/>
          <w:lang w:val="fr-CH"/>
        </w:rPr>
        <w:t>MHz,</w:t>
      </w:r>
      <w:r w:rsidR="00FE63F3">
        <w:rPr>
          <w:szCs w:val="28"/>
          <w:lang w:val="fr-CH"/>
        </w:rPr>
        <w:t xml:space="preserve"> 4 500-4 800 MHz, et 5 925-6 425 MHz et 6 725-</w:t>
      </w:r>
      <w:r w:rsidR="00FE63F3" w:rsidRPr="003F220A">
        <w:rPr>
          <w:szCs w:val="28"/>
          <w:lang w:val="fr-CH"/>
        </w:rPr>
        <w:t xml:space="preserve">7 025 MHz </w:t>
      </w:r>
      <w:r w:rsidR="00FE63F3" w:rsidRPr="003F220A">
        <w:rPr>
          <w:lang w:val="fr-CH"/>
        </w:rPr>
        <w:t>attribuées au</w:t>
      </w:r>
      <w:r w:rsidR="00FE63F3" w:rsidRPr="003F220A">
        <w:rPr>
          <w:szCs w:val="28"/>
          <w:lang w:val="fr-CH"/>
        </w:rPr>
        <w:t xml:space="preserve"> service</w:t>
      </w:r>
      <w:r w:rsidR="00FE63F3" w:rsidRPr="003F220A">
        <w:rPr>
          <w:lang w:val="fr-CH"/>
        </w:rPr>
        <w:t xml:space="preserve"> fixe par satellite</w:t>
      </w:r>
      <w:bookmarkEnd w:id="30"/>
    </w:p>
    <w:p w:rsidR="00A71789" w:rsidRPr="00FE63F3" w:rsidRDefault="00A71789" w:rsidP="00A17011">
      <w:pPr>
        <w:jc w:val="both"/>
      </w:pPr>
      <w:r w:rsidRPr="00FE63F3">
        <w:t>9.1.4</w:t>
      </w:r>
      <w:r w:rsidRPr="00FE63F3">
        <w:tab/>
      </w:r>
      <w:hyperlink w:anchor="RES_763" w:history="1">
        <w:r w:rsidR="00FA31AE" w:rsidRPr="00254821">
          <w:rPr>
            <w:rStyle w:val="Hyperlink"/>
            <w:rFonts w:asciiTheme="majorBidi" w:hAnsiTheme="majorBidi" w:cstheme="majorBidi"/>
            <w:szCs w:val="24"/>
          </w:rPr>
          <w:t>Ré</w:t>
        </w:r>
        <w:r w:rsidRPr="00A17011">
          <w:rPr>
            <w:rStyle w:val="Hyperlink"/>
            <w:rFonts w:asciiTheme="majorBidi" w:hAnsiTheme="majorBidi" w:cstheme="majorBidi"/>
            <w:szCs w:val="24"/>
          </w:rPr>
          <w:t>solution</w:t>
        </w:r>
        <w:r w:rsidRPr="00A17011">
          <w:rPr>
            <w:rStyle w:val="Hyperlink"/>
            <w:rFonts w:asciiTheme="majorBidi" w:hAnsiTheme="majorBidi" w:cstheme="majorBidi"/>
            <w:b/>
            <w:bCs/>
            <w:szCs w:val="24"/>
          </w:rPr>
          <w:t> </w:t>
        </w:r>
        <w:r w:rsidRPr="00D74410">
          <w:rPr>
            <w:rStyle w:val="Hyperlink"/>
            <w:rFonts w:asciiTheme="majorBidi" w:hAnsiTheme="majorBidi" w:cstheme="majorBidi"/>
            <w:b/>
            <w:bCs/>
            <w:szCs w:val="24"/>
          </w:rPr>
          <w:t>763</w:t>
        </w:r>
        <w:r w:rsidRPr="00A17011">
          <w:rPr>
            <w:rStyle w:val="Hyperlink"/>
            <w:rFonts w:asciiTheme="majorBidi" w:hAnsiTheme="majorBidi" w:cstheme="majorBidi"/>
            <w:b/>
            <w:bCs/>
            <w:szCs w:val="24"/>
          </w:rPr>
          <w:t> </w:t>
        </w:r>
        <w:r w:rsidR="00FA31AE" w:rsidRPr="00FA31AE">
          <w:rPr>
            <w:rStyle w:val="Hyperlink"/>
            <w:rFonts w:asciiTheme="majorBidi" w:hAnsiTheme="majorBidi" w:cstheme="majorBidi"/>
            <w:b/>
            <w:bCs/>
            <w:szCs w:val="24"/>
          </w:rPr>
          <w:t>(</w:t>
        </w:r>
        <w:r w:rsidRPr="00A17011">
          <w:rPr>
            <w:rStyle w:val="Hyperlink"/>
            <w:rFonts w:asciiTheme="majorBidi" w:hAnsiTheme="majorBidi" w:cstheme="majorBidi"/>
            <w:bCs/>
            <w:szCs w:val="24"/>
          </w:rPr>
          <w:t>C</w:t>
        </w:r>
        <w:r w:rsidR="00FA31AE" w:rsidRPr="00FA31AE">
          <w:rPr>
            <w:rStyle w:val="Hyperlink"/>
            <w:rFonts w:asciiTheme="majorBidi" w:hAnsiTheme="majorBidi" w:cstheme="majorBidi"/>
            <w:b/>
            <w:bCs/>
            <w:szCs w:val="24"/>
          </w:rPr>
          <w:t>MR</w:t>
        </w:r>
        <w:r w:rsidRPr="00D74410">
          <w:rPr>
            <w:rStyle w:val="Hyperlink"/>
            <w:rFonts w:asciiTheme="majorBidi" w:hAnsiTheme="majorBidi" w:cstheme="majorBidi"/>
            <w:b/>
            <w:bCs/>
            <w:szCs w:val="24"/>
          </w:rPr>
          <w:noBreakHyphen/>
          <w:t>15</w:t>
        </w:r>
        <w:r w:rsidRPr="00A17011">
          <w:rPr>
            <w:rStyle w:val="Hyperlink"/>
            <w:rFonts w:asciiTheme="majorBidi" w:hAnsiTheme="majorBidi" w:cstheme="majorBidi"/>
            <w:szCs w:val="24"/>
          </w:rPr>
          <w:t>)</w:t>
        </w:r>
      </w:hyperlink>
      <w:r w:rsidRPr="00A17011">
        <w:t xml:space="preserve"> </w:t>
      </w:r>
      <w:r w:rsidRPr="00FE63F3">
        <w:t xml:space="preserve">– </w:t>
      </w:r>
      <w:bookmarkStart w:id="31" w:name="_Toc450208815"/>
      <w:r w:rsidR="00FE63F3" w:rsidRPr="00325EC4">
        <w:rPr>
          <w:rFonts w:asciiTheme="majorBidi" w:hAnsiTheme="majorBidi" w:cstheme="majorBidi"/>
          <w:bCs/>
          <w:szCs w:val="28"/>
          <w:lang w:val="fr-CH"/>
        </w:rPr>
        <w:t>Stations placées à bord de véhicules suborbitaux</w:t>
      </w:r>
      <w:bookmarkEnd w:id="31"/>
    </w:p>
    <w:p w:rsidR="00A71789" w:rsidRPr="00FE63F3" w:rsidRDefault="00A71789" w:rsidP="00A17011">
      <w:pPr>
        <w:jc w:val="both"/>
      </w:pPr>
      <w:r w:rsidRPr="00FE63F3">
        <w:t>9.1.5</w:t>
      </w:r>
      <w:r w:rsidRPr="00FE63F3">
        <w:tab/>
      </w:r>
      <w:hyperlink w:anchor="RES_764" w:history="1">
        <w:r w:rsidR="00FA31AE" w:rsidRPr="00254821">
          <w:rPr>
            <w:rStyle w:val="Hyperlink"/>
            <w:szCs w:val="24"/>
          </w:rPr>
          <w:t>Ré</w:t>
        </w:r>
        <w:r w:rsidRPr="00A17011">
          <w:rPr>
            <w:rStyle w:val="Hyperlink"/>
            <w:szCs w:val="24"/>
          </w:rPr>
          <w:t>solution</w:t>
        </w:r>
        <w:r w:rsidRPr="00A17011">
          <w:rPr>
            <w:rStyle w:val="Hyperlink"/>
            <w:b/>
            <w:bCs/>
            <w:szCs w:val="24"/>
          </w:rPr>
          <w:t> </w:t>
        </w:r>
        <w:r w:rsidR="00FA31AE" w:rsidRPr="00FA31AE">
          <w:rPr>
            <w:rStyle w:val="Hyperlink"/>
            <w:b/>
            <w:bCs/>
            <w:szCs w:val="24"/>
          </w:rPr>
          <w:t>764 (</w:t>
        </w:r>
        <w:r w:rsidRPr="00A17011">
          <w:rPr>
            <w:rStyle w:val="Hyperlink"/>
            <w:szCs w:val="24"/>
          </w:rPr>
          <w:t>C</w:t>
        </w:r>
        <w:r w:rsidR="00FA31AE" w:rsidRPr="00FA31AE">
          <w:rPr>
            <w:rStyle w:val="Hyperlink"/>
            <w:b/>
            <w:bCs/>
            <w:szCs w:val="24"/>
          </w:rPr>
          <w:t>MR</w:t>
        </w:r>
        <w:r w:rsidRPr="00D74410">
          <w:rPr>
            <w:rStyle w:val="Hyperlink"/>
            <w:b/>
            <w:bCs/>
            <w:szCs w:val="24"/>
          </w:rPr>
          <w:noBreakHyphen/>
          <w:t>15</w:t>
        </w:r>
        <w:r w:rsidRPr="00A17011">
          <w:rPr>
            <w:rStyle w:val="Hyperlink"/>
            <w:szCs w:val="24"/>
          </w:rPr>
          <w:t>)</w:t>
        </w:r>
      </w:hyperlink>
      <w:r w:rsidRPr="00A17011">
        <w:t xml:space="preserve"> – </w:t>
      </w:r>
      <w:bookmarkStart w:id="32" w:name="_Toc450208817"/>
      <w:r w:rsidR="00FE63F3" w:rsidRPr="006E04DF">
        <w:rPr>
          <w:lang w:val="fr-CH"/>
        </w:rPr>
        <w:t xml:space="preserve">Examen des conséquences techniques et réglementaires </w:t>
      </w:r>
      <w:r w:rsidR="00FE63F3">
        <w:rPr>
          <w:lang w:val="fr-CH"/>
        </w:rPr>
        <w:t xml:space="preserve">liées à une </w:t>
      </w:r>
      <w:r w:rsidR="00FE63F3" w:rsidRPr="006E04DF">
        <w:rPr>
          <w:lang w:val="fr-CH"/>
        </w:rPr>
        <w:t xml:space="preserve">référence </w:t>
      </w:r>
      <w:r w:rsidR="00FE63F3">
        <w:rPr>
          <w:lang w:val="fr-CH"/>
        </w:rPr>
        <w:t>aux</w:t>
      </w:r>
      <w:r w:rsidR="00FE63F3" w:rsidRPr="006E04DF">
        <w:rPr>
          <w:lang w:val="fr-CH"/>
        </w:rPr>
        <w:t xml:space="preserve"> </w:t>
      </w:r>
      <w:r w:rsidR="00FE63F3" w:rsidRPr="005A037D">
        <w:rPr>
          <w:lang w:val="fr-CH"/>
        </w:rPr>
        <w:t>Recomm</w:t>
      </w:r>
      <w:r w:rsidR="00FE63F3" w:rsidRPr="006E04DF">
        <w:rPr>
          <w:lang w:val="fr-CH"/>
        </w:rPr>
        <w:t>a</w:t>
      </w:r>
      <w:r w:rsidR="00FE63F3" w:rsidRPr="005A037D">
        <w:rPr>
          <w:lang w:val="fr-CH"/>
        </w:rPr>
        <w:t xml:space="preserve">ndations </w:t>
      </w:r>
      <w:r w:rsidR="00FE63F3" w:rsidRPr="006E04DF">
        <w:rPr>
          <w:lang w:val="fr-CH"/>
        </w:rPr>
        <w:t>UIT</w:t>
      </w:r>
      <w:r w:rsidR="00FE63F3" w:rsidRPr="005A037D">
        <w:rPr>
          <w:lang w:val="fr-CH"/>
        </w:rPr>
        <w:t xml:space="preserve">-R M.1638-1 </w:t>
      </w:r>
      <w:r w:rsidR="00FE63F3" w:rsidRPr="006E04DF">
        <w:rPr>
          <w:lang w:val="fr-CH"/>
        </w:rPr>
        <w:t xml:space="preserve">et </w:t>
      </w:r>
      <w:r w:rsidR="00FE63F3" w:rsidRPr="005A037D">
        <w:rPr>
          <w:lang w:val="fr-CH"/>
        </w:rPr>
        <w:t xml:space="preserve">M.1849-1 </w:t>
      </w:r>
      <w:r w:rsidR="00FE63F3">
        <w:rPr>
          <w:lang w:val="fr-CH"/>
        </w:rPr>
        <w:t>aux</w:t>
      </w:r>
      <w:r w:rsidR="00FE63F3" w:rsidRPr="006E04DF">
        <w:rPr>
          <w:lang w:val="fr-CH"/>
        </w:rPr>
        <w:t xml:space="preserve"> numéros </w:t>
      </w:r>
      <w:r w:rsidR="00FE63F3" w:rsidRPr="005A037D">
        <w:rPr>
          <w:lang w:val="fr-CH"/>
        </w:rPr>
        <w:t xml:space="preserve">5.447F </w:t>
      </w:r>
      <w:r w:rsidR="00FE63F3" w:rsidRPr="006E04DF">
        <w:rPr>
          <w:lang w:val="fr-CH"/>
        </w:rPr>
        <w:t xml:space="preserve">et </w:t>
      </w:r>
      <w:r w:rsidR="00FE63F3" w:rsidRPr="005A037D">
        <w:rPr>
          <w:lang w:val="fr-CH"/>
        </w:rPr>
        <w:t>5.</w:t>
      </w:r>
      <w:r w:rsidR="00FE63F3" w:rsidRPr="005A037D">
        <w:rPr>
          <w:lang w:val="fr-CH" w:eastAsia="ja-JP"/>
        </w:rPr>
        <w:t>45</w:t>
      </w:r>
      <w:r w:rsidR="00FE63F3" w:rsidRPr="005A037D">
        <w:rPr>
          <w:lang w:val="fr-CH"/>
        </w:rPr>
        <w:t xml:space="preserve">0A </w:t>
      </w:r>
      <w:r w:rsidR="00FE63F3" w:rsidRPr="006E04DF">
        <w:rPr>
          <w:lang w:val="fr-CH"/>
        </w:rPr>
        <w:t>du Règlement des radiocommunications</w:t>
      </w:r>
      <w:bookmarkEnd w:id="32"/>
    </w:p>
    <w:p w:rsidR="00A71789" w:rsidRPr="002378BA" w:rsidRDefault="00A71789" w:rsidP="00F369DD">
      <w:pPr>
        <w:jc w:val="both"/>
      </w:pPr>
      <w:r w:rsidRPr="002378BA">
        <w:t>9.1.6</w:t>
      </w:r>
      <w:r w:rsidRPr="002378BA">
        <w:tab/>
      </w:r>
      <w:hyperlink w:anchor="RES_958" w:history="1">
        <w:r w:rsidR="00FA31AE" w:rsidRPr="00254821">
          <w:rPr>
            <w:rStyle w:val="Hyperlink"/>
            <w:rFonts w:asciiTheme="majorBidi" w:hAnsiTheme="majorBidi" w:cstheme="majorBidi"/>
            <w:szCs w:val="24"/>
          </w:rPr>
          <w:t>Ré</w:t>
        </w:r>
        <w:r w:rsidRPr="00254821">
          <w:rPr>
            <w:rStyle w:val="Hyperlink"/>
            <w:rFonts w:asciiTheme="majorBidi" w:hAnsiTheme="majorBidi" w:cstheme="majorBidi"/>
            <w:szCs w:val="24"/>
          </w:rPr>
          <w:t>solution</w:t>
        </w:r>
        <w:r w:rsidRPr="00FA31AE">
          <w:rPr>
            <w:rStyle w:val="Hyperlink"/>
            <w:rFonts w:asciiTheme="majorBidi" w:hAnsiTheme="majorBidi" w:cstheme="majorBidi"/>
            <w:b/>
            <w:bCs/>
            <w:szCs w:val="24"/>
          </w:rPr>
          <w:t> </w:t>
        </w:r>
        <w:r w:rsidR="00FA31AE" w:rsidRPr="00FA31AE">
          <w:rPr>
            <w:rStyle w:val="Hyperlink"/>
            <w:rFonts w:asciiTheme="majorBidi" w:hAnsiTheme="majorBidi" w:cstheme="majorBidi"/>
            <w:b/>
            <w:bCs/>
            <w:szCs w:val="24"/>
          </w:rPr>
          <w:t>958 (</w:t>
        </w:r>
        <w:r w:rsidRPr="00FA31AE">
          <w:rPr>
            <w:rStyle w:val="Hyperlink"/>
            <w:rFonts w:asciiTheme="majorBidi" w:hAnsiTheme="majorBidi" w:cstheme="majorBidi"/>
            <w:b/>
            <w:bCs/>
            <w:szCs w:val="24"/>
          </w:rPr>
          <w:t>C</w:t>
        </w:r>
        <w:r w:rsidR="00FA31AE" w:rsidRPr="00FA31AE">
          <w:rPr>
            <w:rStyle w:val="Hyperlink"/>
            <w:rFonts w:asciiTheme="majorBidi" w:hAnsiTheme="majorBidi" w:cstheme="majorBidi"/>
            <w:b/>
            <w:bCs/>
            <w:szCs w:val="24"/>
          </w:rPr>
          <w:t>MR</w:t>
        </w:r>
        <w:r w:rsidRPr="00FA31AE">
          <w:rPr>
            <w:rStyle w:val="Hyperlink"/>
            <w:rFonts w:asciiTheme="majorBidi" w:hAnsiTheme="majorBidi" w:cstheme="majorBidi"/>
            <w:b/>
            <w:bCs/>
            <w:szCs w:val="24"/>
          </w:rPr>
          <w:noBreakHyphen/>
          <w:t>15</w:t>
        </w:r>
        <w:r w:rsidRPr="002378BA">
          <w:rPr>
            <w:rStyle w:val="Hyperlink"/>
            <w:rFonts w:asciiTheme="majorBidi" w:hAnsiTheme="majorBidi" w:cstheme="majorBidi"/>
            <w:b/>
            <w:bCs/>
            <w:szCs w:val="24"/>
          </w:rPr>
          <w:t>)</w:t>
        </w:r>
      </w:hyperlink>
      <w:r w:rsidRPr="002378BA">
        <w:t xml:space="preserve"> – Annex</w:t>
      </w:r>
      <w:r w:rsidR="005131A3">
        <w:t>e</w:t>
      </w:r>
      <w:r w:rsidR="00F369DD">
        <w:t xml:space="preserve">, point </w:t>
      </w:r>
      <w:r w:rsidRPr="002378BA">
        <w:t xml:space="preserve">1) </w:t>
      </w:r>
      <w:proofErr w:type="spellStart"/>
      <w:r w:rsidR="002378BA">
        <w:rPr>
          <w:lang w:val="fr-CH"/>
        </w:rPr>
        <w:t>E</w:t>
      </w:r>
      <w:r w:rsidR="002378BA" w:rsidRPr="003B0744">
        <w:rPr>
          <w:lang w:val="fr-CH"/>
        </w:rPr>
        <w:t>tudes</w:t>
      </w:r>
      <w:proofErr w:type="spellEnd"/>
      <w:r w:rsidR="002378BA" w:rsidRPr="003B0744">
        <w:rPr>
          <w:lang w:val="fr-CH"/>
        </w:rPr>
        <w:t xml:space="preserve"> </w:t>
      </w:r>
      <w:r w:rsidR="002378BA">
        <w:rPr>
          <w:lang w:val="fr-CH"/>
        </w:rPr>
        <w:t>à entreprendre d'urgenc</w:t>
      </w:r>
      <w:r w:rsidR="002378BA" w:rsidRPr="003B0744">
        <w:rPr>
          <w:lang w:val="fr-CH"/>
        </w:rPr>
        <w:t>e en vue de la Conférence mondiale des radiocommunications de 2019</w:t>
      </w:r>
      <w:r w:rsidR="005131A3">
        <w:rPr>
          <w:lang w:val="fr-CH"/>
        </w:rPr>
        <w:t>.</w:t>
      </w:r>
      <w:r w:rsidR="002378BA">
        <w:rPr>
          <w:lang w:val="fr-CH"/>
        </w:rPr>
        <w:t xml:space="preserve"> </w:t>
      </w:r>
      <w:r w:rsidR="002378BA" w:rsidRPr="00844711">
        <w:rPr>
          <w:lang w:val="fr-CH"/>
        </w:rPr>
        <w:t>1)</w:t>
      </w:r>
      <w:r w:rsidR="002378BA">
        <w:rPr>
          <w:lang w:val="fr-CH"/>
        </w:rPr>
        <w:t xml:space="preserve"> </w:t>
      </w:r>
      <w:proofErr w:type="spellStart"/>
      <w:r w:rsidR="002378BA">
        <w:rPr>
          <w:lang w:val="fr-CH"/>
        </w:rPr>
        <w:t>E</w:t>
      </w:r>
      <w:r w:rsidR="002378BA" w:rsidRPr="00844711">
        <w:rPr>
          <w:lang w:val="fr-CH"/>
        </w:rPr>
        <w:t>tudes</w:t>
      </w:r>
      <w:proofErr w:type="spellEnd"/>
      <w:r w:rsidR="002378BA" w:rsidRPr="00844711">
        <w:rPr>
          <w:lang w:val="fr-CH"/>
        </w:rPr>
        <w:t xml:space="preserve"> relatives à la transmission d</w:t>
      </w:r>
      <w:r w:rsidR="002378BA">
        <w:rPr>
          <w:lang w:val="fr-CH"/>
        </w:rPr>
        <w:t>'</w:t>
      </w:r>
      <w:r w:rsidR="002378BA" w:rsidRPr="00844711">
        <w:rPr>
          <w:lang w:val="fr-CH"/>
        </w:rPr>
        <w:t xml:space="preserve">énergie sans fil </w:t>
      </w:r>
      <w:r w:rsidR="002378BA">
        <w:rPr>
          <w:lang w:val="fr-CH"/>
        </w:rPr>
        <w:t xml:space="preserve">(WPT) </w:t>
      </w:r>
      <w:r w:rsidR="002378BA" w:rsidRPr="00844711">
        <w:rPr>
          <w:lang w:val="fr-CH"/>
        </w:rPr>
        <w:t>pour les véhicules électriques:</w:t>
      </w:r>
      <w:r w:rsidR="002378BA">
        <w:rPr>
          <w:lang w:val="fr-CH"/>
        </w:rPr>
        <w:t xml:space="preserve"> </w:t>
      </w:r>
      <w:r w:rsidR="002378BA" w:rsidRPr="00EE15B9">
        <w:rPr>
          <w:rFonts w:eastAsia="MS Mincho"/>
        </w:rPr>
        <w:t>a)</w:t>
      </w:r>
      <w:r w:rsidR="002378BA">
        <w:rPr>
          <w:rFonts w:eastAsia="MS Mincho"/>
        </w:rPr>
        <w:t xml:space="preserve"> </w:t>
      </w:r>
      <w:r w:rsidR="002378BA" w:rsidRPr="00142743">
        <w:rPr>
          <w:rFonts w:eastAsia="MS Mincho"/>
        </w:rPr>
        <w:t xml:space="preserve">évaluer les incidences </w:t>
      </w:r>
      <w:r w:rsidR="002378BA" w:rsidRPr="00142743">
        <w:rPr>
          <w:rFonts w:eastAsia="MS Mincho"/>
        </w:rPr>
        <w:lastRenderedPageBreak/>
        <w:t xml:space="preserve">de la transmission </w:t>
      </w:r>
      <w:r w:rsidR="002378BA">
        <w:rPr>
          <w:rFonts w:eastAsia="MS Mincho"/>
        </w:rPr>
        <w:t>WPT</w:t>
      </w:r>
      <w:r w:rsidR="002378BA" w:rsidRPr="00142743">
        <w:rPr>
          <w:rFonts w:eastAsia="MS Mincho"/>
        </w:rPr>
        <w:t xml:space="preserve"> pour les véhicules électriques sur les services de </w:t>
      </w:r>
      <w:r w:rsidR="002378BA">
        <w:rPr>
          <w:rFonts w:eastAsia="MS Mincho"/>
        </w:rPr>
        <w:t>r</w:t>
      </w:r>
      <w:r w:rsidR="002378BA" w:rsidRPr="00142743">
        <w:rPr>
          <w:rFonts w:eastAsia="MS Mincho"/>
        </w:rPr>
        <w:t>adiocommunication;</w:t>
      </w:r>
      <w:r w:rsidR="002378BA">
        <w:rPr>
          <w:rFonts w:eastAsia="MS Mincho"/>
        </w:rPr>
        <w:t xml:space="preserve"> </w:t>
      </w:r>
      <w:r w:rsidR="002378BA" w:rsidRPr="00142743">
        <w:rPr>
          <w:rFonts w:eastAsia="MS Mincho"/>
        </w:rPr>
        <w:t>b)</w:t>
      </w:r>
      <w:r w:rsidR="002378BA">
        <w:rPr>
          <w:rFonts w:eastAsia="MS Mincho"/>
        </w:rPr>
        <w:t xml:space="preserve"> </w:t>
      </w:r>
      <w:r w:rsidR="002378BA" w:rsidRPr="00142743">
        <w:rPr>
          <w:rFonts w:eastAsia="MS Mincho"/>
        </w:rPr>
        <w:t xml:space="preserve">examiner des gammes de fréquences harmonisées </w:t>
      </w:r>
      <w:r w:rsidR="002378BA">
        <w:rPr>
          <w:rFonts w:eastAsia="MS Mincho"/>
        </w:rPr>
        <w:t xml:space="preserve">appropriées qui permettraient de </w:t>
      </w:r>
      <w:r w:rsidR="002378BA" w:rsidRPr="00142743">
        <w:rPr>
          <w:rFonts w:eastAsia="MS Mincho"/>
        </w:rPr>
        <w:t>réduire le plus possible les incidences</w:t>
      </w:r>
      <w:r w:rsidR="002378BA">
        <w:rPr>
          <w:rFonts w:eastAsia="MS Mincho"/>
        </w:rPr>
        <w:t>,</w:t>
      </w:r>
      <w:r w:rsidR="002378BA" w:rsidRPr="00370AAA">
        <w:rPr>
          <w:rFonts w:eastAsia="MS Mincho"/>
        </w:rPr>
        <w:t xml:space="preserve"> </w:t>
      </w:r>
      <w:r w:rsidR="002378BA" w:rsidRPr="00142743">
        <w:rPr>
          <w:rFonts w:eastAsia="MS Mincho"/>
        </w:rPr>
        <w:t>sur les services</w:t>
      </w:r>
      <w:r w:rsidR="002378BA" w:rsidRPr="003456B9">
        <w:rPr>
          <w:rFonts w:eastAsia="MS Mincho"/>
        </w:rPr>
        <w:t xml:space="preserve"> de radiocommunication</w:t>
      </w:r>
      <w:r w:rsidR="002378BA">
        <w:rPr>
          <w:rFonts w:eastAsia="MS Mincho"/>
        </w:rPr>
        <w:t>,</w:t>
      </w:r>
      <w:r w:rsidR="002378BA" w:rsidRPr="00142743">
        <w:rPr>
          <w:rFonts w:eastAsia="MS Mincho"/>
        </w:rPr>
        <w:t xml:space="preserve"> de la transmission </w:t>
      </w:r>
      <w:r w:rsidR="002378BA">
        <w:rPr>
          <w:rFonts w:eastAsia="MS Mincho"/>
        </w:rPr>
        <w:t xml:space="preserve">WPT </w:t>
      </w:r>
      <w:r w:rsidR="002378BA" w:rsidRPr="00142743">
        <w:rPr>
          <w:rFonts w:eastAsia="MS Mincho"/>
        </w:rPr>
        <w:t>pour les véhicules électriques</w:t>
      </w:r>
    </w:p>
    <w:p w:rsidR="00A71789" w:rsidRPr="002378BA" w:rsidRDefault="00A71789" w:rsidP="00F369DD">
      <w:pPr>
        <w:jc w:val="both"/>
      </w:pPr>
      <w:r w:rsidRPr="002378BA">
        <w:t>9.1.7</w:t>
      </w:r>
      <w:r w:rsidRPr="002378BA">
        <w:tab/>
      </w:r>
      <w:hyperlink w:anchor="RES_958" w:history="1">
        <w:r w:rsidRPr="00254821">
          <w:rPr>
            <w:rStyle w:val="Hyperlink"/>
            <w:rFonts w:asciiTheme="majorBidi" w:hAnsiTheme="majorBidi" w:cstheme="majorBidi"/>
            <w:szCs w:val="24"/>
          </w:rPr>
          <w:t>R</w:t>
        </w:r>
        <w:r w:rsidR="00332BA9" w:rsidRPr="00254821">
          <w:rPr>
            <w:rStyle w:val="Hyperlink"/>
            <w:rFonts w:asciiTheme="majorBidi" w:hAnsiTheme="majorBidi" w:cstheme="majorBidi"/>
            <w:szCs w:val="24"/>
          </w:rPr>
          <w:t>é</w:t>
        </w:r>
        <w:r w:rsidRPr="00254821">
          <w:rPr>
            <w:rStyle w:val="Hyperlink"/>
            <w:rFonts w:asciiTheme="majorBidi" w:hAnsiTheme="majorBidi" w:cstheme="majorBidi"/>
            <w:szCs w:val="24"/>
          </w:rPr>
          <w:t>solution</w:t>
        </w:r>
        <w:r w:rsidR="00E34F36">
          <w:rPr>
            <w:rStyle w:val="Hyperlink"/>
            <w:rFonts w:asciiTheme="majorBidi" w:hAnsiTheme="majorBidi" w:cstheme="majorBidi"/>
            <w:szCs w:val="24"/>
          </w:rPr>
          <w:t xml:space="preserve"> </w:t>
        </w:r>
        <w:r w:rsidR="00332BA9">
          <w:rPr>
            <w:rStyle w:val="Hyperlink"/>
            <w:rFonts w:asciiTheme="majorBidi" w:hAnsiTheme="majorBidi" w:cstheme="majorBidi"/>
            <w:b/>
            <w:bCs/>
            <w:szCs w:val="24"/>
          </w:rPr>
          <w:t>958</w:t>
        </w:r>
        <w:r w:rsidR="00E34F36">
          <w:rPr>
            <w:rStyle w:val="Hyperlink"/>
            <w:rFonts w:asciiTheme="majorBidi" w:hAnsiTheme="majorBidi" w:cstheme="majorBidi"/>
            <w:b/>
            <w:bCs/>
            <w:szCs w:val="24"/>
          </w:rPr>
          <w:t xml:space="preserve"> </w:t>
        </w:r>
        <w:r w:rsidR="00332BA9">
          <w:rPr>
            <w:rStyle w:val="Hyperlink"/>
            <w:rFonts w:asciiTheme="majorBidi" w:hAnsiTheme="majorBidi" w:cstheme="majorBidi"/>
            <w:b/>
            <w:bCs/>
            <w:szCs w:val="24"/>
          </w:rPr>
          <w:t>(</w:t>
        </w:r>
        <w:r w:rsidRPr="00332BA9">
          <w:rPr>
            <w:rStyle w:val="Hyperlink"/>
            <w:rFonts w:asciiTheme="majorBidi" w:hAnsiTheme="majorBidi" w:cstheme="majorBidi"/>
            <w:b/>
            <w:bCs/>
            <w:szCs w:val="24"/>
          </w:rPr>
          <w:t>C</w:t>
        </w:r>
        <w:r w:rsidR="00332BA9">
          <w:rPr>
            <w:rStyle w:val="Hyperlink"/>
            <w:rFonts w:asciiTheme="majorBidi" w:hAnsiTheme="majorBidi" w:cstheme="majorBidi"/>
            <w:b/>
            <w:bCs/>
            <w:szCs w:val="24"/>
          </w:rPr>
          <w:t>MR</w:t>
        </w:r>
        <w:r w:rsidRPr="00332BA9">
          <w:rPr>
            <w:rStyle w:val="Hyperlink"/>
            <w:rFonts w:asciiTheme="majorBidi" w:hAnsiTheme="majorBidi" w:cstheme="majorBidi"/>
            <w:b/>
            <w:bCs/>
            <w:szCs w:val="24"/>
          </w:rPr>
          <w:noBreakHyphen/>
        </w:r>
        <w:r w:rsidRPr="002378BA">
          <w:rPr>
            <w:rStyle w:val="Hyperlink"/>
            <w:rFonts w:asciiTheme="majorBidi" w:hAnsiTheme="majorBidi" w:cstheme="majorBidi"/>
            <w:b/>
            <w:bCs/>
            <w:szCs w:val="24"/>
          </w:rPr>
          <w:t>15)</w:t>
        </w:r>
      </w:hyperlink>
      <w:r w:rsidRPr="002378BA">
        <w:t xml:space="preserve"> – </w:t>
      </w:r>
      <w:r w:rsidR="00F369DD" w:rsidRPr="002378BA">
        <w:t>Annex</w:t>
      </w:r>
      <w:r w:rsidR="00F369DD">
        <w:t xml:space="preserve">e, point </w:t>
      </w:r>
      <w:r w:rsidRPr="002378BA">
        <w:t xml:space="preserve">2) </w:t>
      </w:r>
      <w:proofErr w:type="spellStart"/>
      <w:r w:rsidR="002378BA">
        <w:rPr>
          <w:lang w:val="fr-CH" w:eastAsia="zh-CN"/>
        </w:rPr>
        <w:t>Etudes</w:t>
      </w:r>
      <w:proofErr w:type="spellEnd"/>
      <w:r w:rsidR="002378BA">
        <w:rPr>
          <w:lang w:val="fr-CH" w:eastAsia="zh-CN"/>
        </w:rPr>
        <w:t xml:space="preserve"> visant à déterminer: a) </w:t>
      </w:r>
      <w:r w:rsidR="002378BA" w:rsidRPr="00982B3E">
        <w:rPr>
          <w:lang w:val="fr-CH" w:eastAsia="zh-CN"/>
        </w:rPr>
        <w:t xml:space="preserve">s'il est nécessaire de prendre éventuellement des mesures </w:t>
      </w:r>
      <w:r w:rsidR="002378BA">
        <w:rPr>
          <w:lang w:val="fr-CH" w:eastAsia="zh-CN"/>
        </w:rPr>
        <w:t>additionnelles pour</w:t>
      </w:r>
      <w:r w:rsidR="002378BA" w:rsidRPr="00982B3E">
        <w:rPr>
          <w:lang w:val="fr-CH" w:eastAsia="zh-CN"/>
        </w:rPr>
        <w:t xml:space="preserve"> limiter aux terminaux autorisés les émissions des terminaux</w:t>
      </w:r>
      <w:r w:rsidR="002378BA">
        <w:rPr>
          <w:lang w:val="fr-CH" w:eastAsia="zh-CN"/>
        </w:rPr>
        <w:t xml:space="preserve"> </w:t>
      </w:r>
      <w:r w:rsidR="002378BA" w:rsidRPr="00982B3E">
        <w:rPr>
          <w:lang w:val="fr-CH" w:eastAsia="zh-CN"/>
        </w:rPr>
        <w:t>sur la liaison montante, conformément au numéro</w:t>
      </w:r>
      <w:r w:rsidR="002378BA">
        <w:rPr>
          <w:lang w:val="fr-CH" w:eastAsia="zh-CN"/>
        </w:rPr>
        <w:t> </w:t>
      </w:r>
      <w:r w:rsidR="002378BA" w:rsidRPr="00F434CF">
        <w:rPr>
          <w:b/>
          <w:bCs/>
          <w:lang w:val="fr-CH" w:eastAsia="zh-CN"/>
        </w:rPr>
        <w:t>18.1</w:t>
      </w:r>
      <w:r w:rsidR="002378BA">
        <w:rPr>
          <w:lang w:val="fr-CH" w:eastAsia="zh-CN"/>
        </w:rPr>
        <w:t xml:space="preserve">; b) </w:t>
      </w:r>
      <w:r w:rsidR="002378BA" w:rsidRPr="00982B3E">
        <w:rPr>
          <w:lang w:val="fr-CH" w:eastAsia="zh-CN"/>
        </w:rPr>
        <w:t>les méthodes qui permettraient d'aider les administrations à gér</w:t>
      </w:r>
      <w:r w:rsidR="002378BA">
        <w:rPr>
          <w:lang w:val="fr-CH" w:eastAsia="zh-CN"/>
        </w:rPr>
        <w:t xml:space="preserve">er l'exploitation non autorisée </w:t>
      </w:r>
      <w:r w:rsidR="002378BA" w:rsidRPr="00982B3E">
        <w:rPr>
          <w:lang w:val="fr-CH" w:eastAsia="zh-CN"/>
        </w:rPr>
        <w:t>des terminaux de stations terriennes déployés sur leur t</w:t>
      </w:r>
      <w:r w:rsidR="002378BA">
        <w:rPr>
          <w:lang w:val="fr-CH" w:eastAsia="zh-CN"/>
        </w:rPr>
        <w:t>erritoire, afin de leur fournir </w:t>
      </w:r>
      <w:r w:rsidR="002378BA" w:rsidRPr="00982B3E">
        <w:rPr>
          <w:lang w:val="fr-CH" w:eastAsia="zh-CN"/>
        </w:rPr>
        <w:t xml:space="preserve">des orientations pour leur </w:t>
      </w:r>
      <w:r w:rsidR="002378BA">
        <w:rPr>
          <w:lang w:val="fr-CH" w:eastAsia="zh-CN"/>
        </w:rPr>
        <w:t>programme national de gestion du</w:t>
      </w:r>
      <w:r w:rsidR="002378BA" w:rsidRPr="00982B3E">
        <w:rPr>
          <w:lang w:val="fr-CH" w:eastAsia="zh-CN"/>
        </w:rPr>
        <w:t xml:space="preserve"> spectre</w:t>
      </w:r>
      <w:r w:rsidR="002378BA">
        <w:rPr>
          <w:lang w:val="fr-CH" w:eastAsia="zh-CN"/>
        </w:rPr>
        <w:t xml:space="preserve">, conformément à la Résolution </w:t>
      </w:r>
      <w:r w:rsidR="002378BA" w:rsidRPr="002A26C5">
        <w:rPr>
          <w:lang w:val="fr-CH" w:eastAsia="zh-CN"/>
        </w:rPr>
        <w:t>UIT</w:t>
      </w:r>
      <w:r w:rsidR="002378BA" w:rsidRPr="002A26C5">
        <w:rPr>
          <w:lang w:val="fr-CH" w:eastAsia="zh-CN"/>
        </w:rPr>
        <w:noBreakHyphen/>
        <w:t>R 64 (AR</w:t>
      </w:r>
      <w:r w:rsidR="002378BA" w:rsidRPr="002A26C5">
        <w:rPr>
          <w:lang w:val="fr-CH" w:eastAsia="zh-CN"/>
        </w:rPr>
        <w:noBreakHyphen/>
        <w:t>15);</w:t>
      </w:r>
    </w:p>
    <w:p w:rsidR="00A71789" w:rsidRPr="002378BA" w:rsidRDefault="00A71789" w:rsidP="00F369DD">
      <w:pPr>
        <w:jc w:val="both"/>
      </w:pPr>
      <w:r w:rsidRPr="002378BA">
        <w:t>9.1.8</w:t>
      </w:r>
      <w:r w:rsidRPr="002378BA">
        <w:tab/>
      </w:r>
      <w:hyperlink w:anchor="RES_958" w:history="1">
        <w:r w:rsidRPr="00254821">
          <w:rPr>
            <w:rStyle w:val="Hyperlink"/>
            <w:rFonts w:asciiTheme="majorBidi" w:hAnsiTheme="majorBidi" w:cstheme="majorBidi"/>
            <w:szCs w:val="24"/>
          </w:rPr>
          <w:t>R</w:t>
        </w:r>
        <w:r w:rsidR="00332BA9" w:rsidRPr="00254821">
          <w:rPr>
            <w:rStyle w:val="Hyperlink"/>
            <w:rFonts w:asciiTheme="majorBidi" w:hAnsiTheme="majorBidi" w:cstheme="majorBidi"/>
            <w:szCs w:val="24"/>
          </w:rPr>
          <w:t>é</w:t>
        </w:r>
        <w:r w:rsidRPr="00254821">
          <w:rPr>
            <w:rStyle w:val="Hyperlink"/>
            <w:rFonts w:asciiTheme="majorBidi" w:hAnsiTheme="majorBidi" w:cstheme="majorBidi"/>
            <w:szCs w:val="24"/>
          </w:rPr>
          <w:t>solution</w:t>
        </w:r>
        <w:r w:rsidR="00E34F36">
          <w:rPr>
            <w:rStyle w:val="Hyperlink"/>
            <w:rFonts w:asciiTheme="majorBidi" w:hAnsiTheme="majorBidi" w:cstheme="majorBidi"/>
            <w:szCs w:val="24"/>
          </w:rPr>
          <w:t xml:space="preserve"> </w:t>
        </w:r>
        <w:r w:rsidR="00332BA9">
          <w:rPr>
            <w:rStyle w:val="Hyperlink"/>
            <w:rFonts w:asciiTheme="majorBidi" w:hAnsiTheme="majorBidi" w:cstheme="majorBidi"/>
            <w:b/>
            <w:bCs/>
            <w:szCs w:val="24"/>
          </w:rPr>
          <w:t>958</w:t>
        </w:r>
        <w:r w:rsidR="00E34F36">
          <w:rPr>
            <w:rStyle w:val="Hyperlink"/>
            <w:rFonts w:asciiTheme="majorBidi" w:hAnsiTheme="majorBidi" w:cstheme="majorBidi"/>
            <w:b/>
            <w:bCs/>
            <w:szCs w:val="24"/>
          </w:rPr>
          <w:t xml:space="preserve"> </w:t>
        </w:r>
        <w:r w:rsidR="00332BA9">
          <w:rPr>
            <w:rStyle w:val="Hyperlink"/>
            <w:rFonts w:asciiTheme="majorBidi" w:hAnsiTheme="majorBidi" w:cstheme="majorBidi"/>
            <w:b/>
            <w:bCs/>
            <w:szCs w:val="24"/>
          </w:rPr>
          <w:t>(</w:t>
        </w:r>
        <w:r w:rsidRPr="002378BA">
          <w:rPr>
            <w:rStyle w:val="Hyperlink"/>
            <w:rFonts w:asciiTheme="majorBidi" w:hAnsiTheme="majorBidi" w:cstheme="majorBidi"/>
            <w:b/>
            <w:bCs/>
            <w:szCs w:val="24"/>
          </w:rPr>
          <w:t>C</w:t>
        </w:r>
        <w:r w:rsidR="00332BA9">
          <w:rPr>
            <w:rStyle w:val="Hyperlink"/>
            <w:rFonts w:asciiTheme="majorBidi" w:hAnsiTheme="majorBidi" w:cstheme="majorBidi"/>
            <w:b/>
            <w:bCs/>
            <w:szCs w:val="24"/>
          </w:rPr>
          <w:t>MR</w:t>
        </w:r>
        <w:r w:rsidRPr="002378BA">
          <w:rPr>
            <w:rStyle w:val="Hyperlink"/>
            <w:rFonts w:asciiTheme="majorBidi" w:hAnsiTheme="majorBidi" w:cstheme="majorBidi"/>
            <w:b/>
            <w:bCs/>
            <w:szCs w:val="24"/>
          </w:rPr>
          <w:noBreakHyphen/>
          <w:t>15)</w:t>
        </w:r>
      </w:hyperlink>
      <w:r w:rsidRPr="002378BA">
        <w:t xml:space="preserve"> – </w:t>
      </w:r>
      <w:r w:rsidR="00F369DD" w:rsidRPr="002378BA">
        <w:t>Annex</w:t>
      </w:r>
      <w:r w:rsidR="00F369DD">
        <w:t xml:space="preserve">e, point </w:t>
      </w:r>
      <w:r w:rsidRPr="002378BA">
        <w:t xml:space="preserve">3) </w:t>
      </w:r>
      <w:proofErr w:type="spellStart"/>
      <w:r w:rsidR="002378BA">
        <w:rPr>
          <w:lang w:val="fr-CH" w:eastAsia="zh-CN"/>
        </w:rPr>
        <w:t>Etudes</w:t>
      </w:r>
      <w:proofErr w:type="spellEnd"/>
      <w:r w:rsidR="002378BA">
        <w:rPr>
          <w:lang w:val="fr-CH" w:eastAsia="zh-CN"/>
        </w:rPr>
        <w:t xml:space="preserve">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rsidR="00A71789" w:rsidRPr="00971EA4" w:rsidRDefault="00A71789" w:rsidP="00A17011">
      <w:pPr>
        <w:jc w:val="both"/>
      </w:pPr>
      <w:r w:rsidRPr="00971EA4">
        <w:t>9.1.9</w:t>
      </w:r>
      <w:r w:rsidRPr="00971EA4">
        <w:tab/>
      </w:r>
      <w:hyperlink w:anchor="RES_162" w:history="1">
        <w:r w:rsidR="00332BA9" w:rsidRPr="00254821">
          <w:rPr>
            <w:rStyle w:val="Hyperlink"/>
            <w:rFonts w:asciiTheme="majorBidi" w:hAnsiTheme="majorBidi" w:cstheme="majorBidi"/>
            <w:szCs w:val="24"/>
          </w:rPr>
          <w:t>Ré</w:t>
        </w:r>
        <w:r w:rsidRPr="00A17011">
          <w:rPr>
            <w:rStyle w:val="Hyperlink"/>
            <w:rFonts w:asciiTheme="majorBidi" w:hAnsiTheme="majorBidi" w:cstheme="majorBidi"/>
            <w:szCs w:val="24"/>
          </w:rPr>
          <w:t>solution</w:t>
        </w:r>
        <w:r w:rsidRPr="00A17011">
          <w:rPr>
            <w:rStyle w:val="Hyperlink"/>
            <w:rFonts w:asciiTheme="majorBidi" w:hAnsiTheme="majorBidi" w:cstheme="majorBidi"/>
            <w:b/>
            <w:bCs/>
            <w:szCs w:val="24"/>
          </w:rPr>
          <w:t> </w:t>
        </w:r>
        <w:r w:rsidRPr="00D74410">
          <w:rPr>
            <w:rStyle w:val="Hyperlink"/>
            <w:rFonts w:asciiTheme="majorBidi" w:hAnsiTheme="majorBidi" w:cstheme="majorBidi"/>
            <w:b/>
            <w:bCs/>
            <w:szCs w:val="24"/>
          </w:rPr>
          <w:t>162</w:t>
        </w:r>
        <w:r w:rsidRPr="00A17011">
          <w:rPr>
            <w:rStyle w:val="Hyperlink"/>
            <w:rFonts w:asciiTheme="majorBidi" w:hAnsiTheme="majorBidi" w:cstheme="majorBidi"/>
            <w:b/>
            <w:bCs/>
            <w:szCs w:val="24"/>
          </w:rPr>
          <w:t> </w:t>
        </w:r>
        <w:r w:rsidR="00332BA9" w:rsidRPr="00F8363E">
          <w:rPr>
            <w:rStyle w:val="Hyperlink"/>
            <w:rFonts w:asciiTheme="majorBidi" w:hAnsiTheme="majorBidi" w:cstheme="majorBidi"/>
            <w:b/>
            <w:bCs/>
            <w:szCs w:val="24"/>
          </w:rPr>
          <w:t>(</w:t>
        </w:r>
        <w:r w:rsidRPr="00D74410">
          <w:rPr>
            <w:rStyle w:val="Hyperlink"/>
            <w:rFonts w:asciiTheme="majorBidi" w:hAnsiTheme="majorBidi" w:cstheme="majorBidi"/>
            <w:b/>
            <w:szCs w:val="24"/>
          </w:rPr>
          <w:t>C</w:t>
        </w:r>
        <w:r w:rsidR="00332BA9" w:rsidRPr="00D74410">
          <w:rPr>
            <w:rStyle w:val="Hyperlink"/>
            <w:rFonts w:asciiTheme="majorBidi" w:hAnsiTheme="majorBidi" w:cstheme="majorBidi"/>
            <w:b/>
            <w:szCs w:val="24"/>
          </w:rPr>
          <w:t>MR</w:t>
        </w:r>
        <w:r w:rsidRPr="00D74410">
          <w:rPr>
            <w:rStyle w:val="Hyperlink"/>
            <w:rFonts w:asciiTheme="majorBidi" w:hAnsiTheme="majorBidi" w:cstheme="majorBidi"/>
            <w:b/>
            <w:szCs w:val="24"/>
          </w:rPr>
          <w:noBreakHyphen/>
          <w:t>15</w:t>
        </w:r>
        <w:r w:rsidRPr="00A17011">
          <w:rPr>
            <w:rStyle w:val="Hyperlink"/>
            <w:rFonts w:asciiTheme="majorBidi" w:hAnsiTheme="majorBidi" w:cstheme="majorBidi"/>
            <w:szCs w:val="24"/>
          </w:rPr>
          <w:t>)</w:t>
        </w:r>
      </w:hyperlink>
      <w:r w:rsidRPr="00A17011">
        <w:rPr>
          <w:b/>
          <w:bCs/>
        </w:rPr>
        <w:t xml:space="preserve"> </w:t>
      </w:r>
      <w:r w:rsidRPr="00A17011">
        <w:t xml:space="preserve">– </w:t>
      </w:r>
      <w:bookmarkStart w:id="33" w:name="_Toc450208633"/>
      <w:proofErr w:type="spellStart"/>
      <w:r w:rsidR="00971EA4" w:rsidRPr="006219CE">
        <w:rPr>
          <w:lang w:val="fr-CH"/>
        </w:rPr>
        <w:t>Etudes</w:t>
      </w:r>
      <w:proofErr w:type="spellEnd"/>
      <w:r w:rsidR="00971EA4" w:rsidRPr="006219CE">
        <w:rPr>
          <w:lang w:val="fr-CH"/>
        </w:rPr>
        <w:t xml:space="preserve"> relatives aux besoins de spectre et à l'attribution possible de la</w:t>
      </w:r>
      <w:r w:rsidR="00971EA4">
        <w:rPr>
          <w:lang w:val="fr-CH"/>
        </w:rPr>
        <w:t> bande </w:t>
      </w:r>
      <w:r w:rsidR="00971EA4" w:rsidRPr="006219CE">
        <w:rPr>
          <w:lang w:val="fr-CH"/>
        </w:rPr>
        <w:t xml:space="preserve">de fréquences </w:t>
      </w:r>
      <w:r w:rsidR="00971EA4" w:rsidRPr="006219CE">
        <w:rPr>
          <w:szCs w:val="24"/>
        </w:rPr>
        <w:t xml:space="preserve">51,4-52,4 GHz </w:t>
      </w:r>
      <w:r w:rsidR="00971EA4" w:rsidRPr="006219CE">
        <w:rPr>
          <w:lang w:val="fr-CH"/>
        </w:rPr>
        <w:t xml:space="preserve">au service fixe par satellite </w:t>
      </w:r>
      <w:r w:rsidR="00971EA4" w:rsidRPr="006219CE">
        <w:rPr>
          <w:szCs w:val="24"/>
        </w:rPr>
        <w:t>(Terre vers espace)</w:t>
      </w:r>
      <w:bookmarkEnd w:id="33"/>
    </w:p>
    <w:p w:rsidR="00A71789" w:rsidRPr="00971EA4" w:rsidRDefault="00A71789" w:rsidP="00A17011">
      <w:pPr>
        <w:jc w:val="both"/>
      </w:pPr>
    </w:p>
    <w:p w:rsidR="00195E2F" w:rsidRPr="00971EA4" w:rsidRDefault="00195E2F" w:rsidP="00A17011">
      <w:pPr>
        <w:overflowPunct/>
        <w:autoSpaceDE/>
        <w:autoSpaceDN/>
        <w:adjustRightInd/>
        <w:spacing w:before="0"/>
        <w:textAlignment w:val="auto"/>
        <w:rPr>
          <w:rFonts w:asciiTheme="majorBidi" w:hAnsiTheme="majorBidi" w:cstheme="majorBidi"/>
          <w:szCs w:val="24"/>
        </w:rPr>
      </w:pPr>
      <w:r w:rsidRPr="00971EA4">
        <w:rPr>
          <w:rFonts w:asciiTheme="majorBidi" w:hAnsiTheme="majorBidi" w:cstheme="majorBidi"/>
          <w:szCs w:val="24"/>
        </w:rPr>
        <w:br w:type="page"/>
      </w:r>
    </w:p>
    <w:p w:rsidR="00A20F5A" w:rsidRPr="00A20F5A" w:rsidRDefault="00E34F36" w:rsidP="00A17011">
      <w:pPr>
        <w:pStyle w:val="ResNo"/>
      </w:pPr>
      <w:bookmarkStart w:id="34" w:name="RES_809"/>
      <w:bookmarkStart w:id="35" w:name="_Toc444507652"/>
      <w:bookmarkStart w:id="36" w:name="_Toc460331672"/>
      <w:bookmarkStart w:id="37" w:name="_Toc463616129"/>
      <w:r>
        <w:lastRenderedPageBreak/>
        <w:t>R</w:t>
      </w:r>
      <w:r w:rsidR="00A02A14" w:rsidRPr="00A02A14">
        <w:t>É</w:t>
      </w:r>
      <w:r w:rsidR="00A20F5A" w:rsidRPr="00A20F5A">
        <w:t xml:space="preserve">SOLUTION </w:t>
      </w:r>
      <w:r w:rsidR="00A20F5A" w:rsidRPr="00A20F5A">
        <w:rPr>
          <w:rStyle w:val="href"/>
        </w:rPr>
        <w:t>809</w:t>
      </w:r>
      <w:r w:rsidR="00A20F5A" w:rsidRPr="00A20F5A">
        <w:t xml:space="preserve"> </w:t>
      </w:r>
      <w:bookmarkEnd w:id="34"/>
      <w:r w:rsidR="00A20F5A" w:rsidRPr="00A20F5A">
        <w:t>(C</w:t>
      </w:r>
      <w:r>
        <w:t>MR</w:t>
      </w:r>
      <w:r w:rsidR="00A20F5A" w:rsidRPr="00A20F5A">
        <w:noBreakHyphen/>
        <w:t>15)</w:t>
      </w:r>
      <w:bookmarkEnd w:id="35"/>
      <w:bookmarkEnd w:id="36"/>
      <w:bookmarkEnd w:id="37"/>
    </w:p>
    <w:p w:rsidR="00081529" w:rsidRPr="009C7CEE" w:rsidRDefault="00081529" w:rsidP="00A17011">
      <w:pPr>
        <w:pStyle w:val="Restitle"/>
      </w:pPr>
      <w:bookmarkStart w:id="38" w:name="_Toc450208827"/>
      <w:bookmarkStart w:id="39" w:name="_Toc463616130"/>
      <w:r w:rsidRPr="009C7CEE">
        <w:t xml:space="preserve">Ordre du jour de la </w:t>
      </w:r>
      <w:r w:rsidR="006A087C">
        <w:br/>
      </w:r>
      <w:r w:rsidRPr="009C7CEE">
        <w:t xml:space="preserve">Conférence mondiale des radiocommunications de </w:t>
      </w:r>
      <w:r>
        <w:t>2019</w:t>
      </w:r>
      <w:bookmarkEnd w:id="38"/>
      <w:bookmarkEnd w:id="39"/>
    </w:p>
    <w:p w:rsidR="00081529" w:rsidRPr="00B42483" w:rsidRDefault="00081529" w:rsidP="00A17011">
      <w:pPr>
        <w:pStyle w:val="Normalaftertitle"/>
        <w:jc w:val="both"/>
      </w:pPr>
      <w:r w:rsidRPr="00B42483">
        <w:t>La Conférence mondiale des radi</w:t>
      </w:r>
      <w:r>
        <w:t>ocommunications (Genève, 2015),</w:t>
      </w:r>
    </w:p>
    <w:p w:rsidR="00081529" w:rsidRPr="00B42483" w:rsidRDefault="00081529" w:rsidP="00A17011">
      <w:pPr>
        <w:pStyle w:val="Call"/>
        <w:keepNext w:val="0"/>
        <w:keepLines w:val="0"/>
        <w:jc w:val="both"/>
      </w:pPr>
      <w:r w:rsidRPr="00B42483">
        <w:t>considérant</w:t>
      </w:r>
    </w:p>
    <w:p w:rsidR="00081529" w:rsidRPr="00B42483" w:rsidRDefault="00081529" w:rsidP="00A17011">
      <w:pPr>
        <w:jc w:val="both"/>
      </w:pPr>
      <w:r w:rsidRPr="00B42483">
        <w:rPr>
          <w:i/>
          <w:iCs/>
        </w:rPr>
        <w:t>a)</w:t>
      </w:r>
      <w:r w:rsidRPr="00B42483">
        <w:tab/>
        <w:t>que, conformément au numéro 118 de la Convention de l</w:t>
      </w:r>
      <w:r>
        <w:t>'</w:t>
      </w:r>
      <w:r w:rsidRPr="00B42483">
        <w:t>UIT, le cadre général de l</w:t>
      </w:r>
      <w:r>
        <w:t>'</w:t>
      </w:r>
      <w:r w:rsidRPr="00B42483">
        <w:t>ordre du jour d</w:t>
      </w:r>
      <w:r>
        <w:t>'</w:t>
      </w:r>
      <w:r w:rsidRPr="00B42483">
        <w:t>une conférence mondiale des radiocommunications devrait être fixé de quatre à six ans à l</w:t>
      </w:r>
      <w:r>
        <w:t>'</w:t>
      </w:r>
      <w:r w:rsidRPr="00B42483">
        <w:t>avance et que l</w:t>
      </w:r>
      <w:r>
        <w:t>'</w:t>
      </w:r>
      <w:r w:rsidRPr="00B42483">
        <w:t>ordre du jour définitif est fixé par le Conseil deux ans avant la conférence;</w:t>
      </w:r>
    </w:p>
    <w:p w:rsidR="00081529" w:rsidRPr="00B42483" w:rsidRDefault="00081529" w:rsidP="00A17011">
      <w:pPr>
        <w:jc w:val="both"/>
        <w:rPr>
          <w:i/>
          <w:iCs/>
        </w:rPr>
      </w:pPr>
      <w:r w:rsidRPr="00B42483">
        <w:rPr>
          <w:i/>
          <w:iCs/>
        </w:rPr>
        <w:t>b)</w:t>
      </w:r>
      <w:r w:rsidRPr="00B42483">
        <w:rPr>
          <w:i/>
          <w:iCs/>
        </w:rPr>
        <w:tab/>
      </w:r>
      <w:r w:rsidRPr="00B42483">
        <w:t>l</w:t>
      </w:r>
      <w:r>
        <w:t>'</w:t>
      </w:r>
      <w:r w:rsidRPr="00B42483">
        <w:t>article 13 de la Constitution de l</w:t>
      </w:r>
      <w:r>
        <w:t>'</w:t>
      </w:r>
      <w:r w:rsidRPr="00B42483">
        <w:t>UIT, concernant la compétence et la fréquence des conférences mondiales des radiocommunications, et l</w:t>
      </w:r>
      <w:r>
        <w:t>'</w:t>
      </w:r>
      <w:r w:rsidRPr="00B42483">
        <w:t>article 7 de la Convention relatif à leur ordre du jour;</w:t>
      </w:r>
    </w:p>
    <w:p w:rsidR="00081529" w:rsidRPr="00B42483" w:rsidRDefault="00081529" w:rsidP="00A17011">
      <w:pPr>
        <w:jc w:val="both"/>
      </w:pPr>
      <w:r w:rsidRPr="00B42483">
        <w:rPr>
          <w:i/>
          <w:iCs/>
        </w:rPr>
        <w:t>c)</w:t>
      </w:r>
      <w:r w:rsidRPr="00B42483">
        <w:tab/>
        <w:t>les résolutions et recommandations pertinentes des conférences administratives mondiales des radiocommunications (CAMR) et des conférences mondiales des radiocommunications (CMR) précédentes,</w:t>
      </w:r>
    </w:p>
    <w:p w:rsidR="00081529" w:rsidRPr="00B42483" w:rsidRDefault="00081529" w:rsidP="00A17011">
      <w:pPr>
        <w:pStyle w:val="Call"/>
        <w:keepNext w:val="0"/>
        <w:keepLines w:val="0"/>
        <w:jc w:val="both"/>
      </w:pPr>
      <w:r w:rsidRPr="00B42483">
        <w:t>reconnaissant</w:t>
      </w:r>
    </w:p>
    <w:p w:rsidR="00081529" w:rsidRPr="00B42483" w:rsidRDefault="00081529" w:rsidP="00A17011">
      <w:pPr>
        <w:jc w:val="both"/>
      </w:pPr>
      <w:r w:rsidRPr="00B42483">
        <w:rPr>
          <w:i/>
          <w:iCs/>
        </w:rPr>
        <w:t>a)</w:t>
      </w:r>
      <w:r w:rsidRPr="00B42483">
        <w:tab/>
        <w:t xml:space="preserve">que la </w:t>
      </w:r>
      <w:r>
        <w:t>présente Conférence</w:t>
      </w:r>
      <w:r w:rsidRPr="00B42483">
        <w:t xml:space="preserve"> a recensé un certain nombre de questions urgentes que la CMR</w:t>
      </w:r>
      <w:r w:rsidRPr="00B42483">
        <w:noBreakHyphen/>
        <w:t>1</w:t>
      </w:r>
      <w:r>
        <w:t>9</w:t>
      </w:r>
      <w:r w:rsidRPr="00B42483">
        <w:t xml:space="preserve"> devra examiner plus avant;</w:t>
      </w:r>
    </w:p>
    <w:p w:rsidR="00081529" w:rsidRPr="00B42483" w:rsidRDefault="00081529" w:rsidP="00A17011">
      <w:pPr>
        <w:jc w:val="both"/>
      </w:pPr>
      <w:r w:rsidRPr="00B42483">
        <w:rPr>
          <w:i/>
          <w:iCs/>
        </w:rPr>
        <w:t>b)</w:t>
      </w:r>
      <w:r w:rsidRPr="00B42483">
        <w:tab/>
        <w:t>que, lors de l</w:t>
      </w:r>
      <w:r>
        <w:t>'</w:t>
      </w:r>
      <w:r w:rsidRPr="00B42483">
        <w:t xml:space="preserve">élaboration du présent ordre du jour, </w:t>
      </w:r>
      <w:r>
        <w:t>certains</w:t>
      </w:r>
      <w:r w:rsidRPr="00B42483">
        <w:t xml:space="preserve"> points proposés par des administrations n</w:t>
      </w:r>
      <w:r>
        <w:t>'</w:t>
      </w:r>
      <w:r w:rsidRPr="00B42483">
        <w:t>ont pas pu être retenus et que leur inscription a dû être reportée à l</w:t>
      </w:r>
      <w:r>
        <w:t>'</w:t>
      </w:r>
      <w:r w:rsidRPr="00B42483">
        <w:t>ordre du jour de conférences futures,</w:t>
      </w:r>
    </w:p>
    <w:p w:rsidR="00081529" w:rsidRPr="00B42483" w:rsidRDefault="00081529" w:rsidP="00A17011">
      <w:pPr>
        <w:pStyle w:val="Call"/>
        <w:jc w:val="both"/>
      </w:pPr>
      <w:r w:rsidRPr="00B42483">
        <w:t>décide</w:t>
      </w:r>
    </w:p>
    <w:p w:rsidR="00081529" w:rsidRPr="00B42483" w:rsidRDefault="00081529" w:rsidP="00A17011">
      <w:pPr>
        <w:jc w:val="both"/>
      </w:pPr>
      <w:r w:rsidRPr="00B42483">
        <w:t>de recomma</w:t>
      </w:r>
      <w:r>
        <w:t xml:space="preserve">nder au Conseil de convoquer en </w:t>
      </w:r>
      <w:r w:rsidRPr="00B42483">
        <w:t>201</w:t>
      </w:r>
      <w:r>
        <w:t>9</w:t>
      </w:r>
      <w:r w:rsidRPr="00B42483">
        <w:t xml:space="preserve"> une conférence mondiale des radiocommunications d</w:t>
      </w:r>
      <w:r>
        <w:t>'</w:t>
      </w:r>
      <w:r w:rsidRPr="00B42483">
        <w:t xml:space="preserve">une durée </w:t>
      </w:r>
      <w:r>
        <w:t xml:space="preserve">maximale </w:t>
      </w:r>
      <w:r w:rsidRPr="00B42483">
        <w:t>de quatre semaines, dont l</w:t>
      </w:r>
      <w:r>
        <w:t>'</w:t>
      </w:r>
      <w:r w:rsidRPr="00B42483">
        <w:t>ordre du jour sera le suivant:</w:t>
      </w:r>
    </w:p>
    <w:p w:rsidR="00081529" w:rsidRDefault="00081529" w:rsidP="00A17011">
      <w:pPr>
        <w:jc w:val="both"/>
      </w:pPr>
      <w:r w:rsidRPr="00B42483">
        <w:t>1</w:t>
      </w:r>
      <w:r w:rsidRPr="00B42483">
        <w:tab/>
        <w:t>sur la base des propositions des administrations, compte tenu des résultats de la CMR</w:t>
      </w:r>
      <w:r w:rsidRPr="00B42483">
        <w:noBreakHyphen/>
        <w:t>1</w:t>
      </w:r>
      <w:r>
        <w:t>5</w:t>
      </w:r>
      <w:r w:rsidRPr="00B42483">
        <w:t xml:space="preserve"> ainsi que du </w:t>
      </w:r>
      <w:r>
        <w:t>r</w:t>
      </w:r>
      <w:r w:rsidRPr="00B42483">
        <w:t>apport de la Réunion de préparation à la Conférence et compte dûment tenu des besoins des services existants ou futurs dans les bandes</w:t>
      </w:r>
      <w:r>
        <w:t xml:space="preserve"> de fréquences</w:t>
      </w:r>
      <w:r w:rsidRPr="00B42483">
        <w:t xml:space="preserve"> considérées, examiner les points suivants et prendre les mesures appropriées:</w:t>
      </w:r>
    </w:p>
    <w:p w:rsidR="00081529" w:rsidRPr="00F77092" w:rsidRDefault="00081529" w:rsidP="00A17011">
      <w:pPr>
        <w:jc w:val="both"/>
        <w:rPr>
          <w:lang w:val="fr-CH"/>
        </w:rPr>
      </w:pPr>
      <w:r w:rsidRPr="00F77092">
        <w:rPr>
          <w:lang w:val="fr-CH"/>
        </w:rPr>
        <w:t>1.1</w:t>
      </w:r>
      <w:r w:rsidRPr="00F77092">
        <w:rPr>
          <w:lang w:val="fr-CH"/>
        </w:rPr>
        <w:tab/>
        <w:t>envisager une attribution de la bande de fréquences 50-54 MHz au service d</w:t>
      </w:r>
      <w:r>
        <w:rPr>
          <w:lang w:val="fr-CH"/>
        </w:rPr>
        <w:t>'</w:t>
      </w:r>
      <w:r w:rsidRPr="00F77092">
        <w:rPr>
          <w:lang w:val="fr-CH"/>
        </w:rPr>
        <w:t>amateur en Région 1</w:t>
      </w:r>
      <w:r>
        <w:rPr>
          <w:lang w:val="fr-CH"/>
        </w:rPr>
        <w:t>,</w:t>
      </w:r>
      <w:r w:rsidRPr="00F77092">
        <w:rPr>
          <w:lang w:val="fr-CH"/>
        </w:rPr>
        <w:t xml:space="preserve"> conformément à la </w:t>
      </w:r>
      <w:hyperlink w:anchor="RES_658" w:history="1">
        <w:r w:rsidR="009F73D6" w:rsidRPr="004C120E">
          <w:rPr>
            <w:rStyle w:val="Hyperlink"/>
            <w:rFonts w:asciiTheme="majorBidi" w:hAnsiTheme="majorBidi" w:cstheme="majorBidi"/>
            <w:szCs w:val="24"/>
          </w:rPr>
          <w:t>R</w:t>
        </w:r>
        <w:r w:rsidR="009F73D6">
          <w:rPr>
            <w:rStyle w:val="Hyperlink"/>
            <w:rFonts w:asciiTheme="majorBidi" w:hAnsiTheme="majorBidi" w:cstheme="majorBidi"/>
            <w:szCs w:val="24"/>
          </w:rPr>
          <w:t>é</w:t>
        </w:r>
        <w:r w:rsidR="009F73D6" w:rsidRPr="004C120E">
          <w:rPr>
            <w:rStyle w:val="Hyperlink"/>
            <w:rFonts w:asciiTheme="majorBidi" w:hAnsiTheme="majorBidi" w:cstheme="majorBidi"/>
            <w:szCs w:val="24"/>
          </w:rPr>
          <w:t>solution </w:t>
        </w:r>
        <w:r w:rsidR="009F73D6" w:rsidRPr="004C120E">
          <w:rPr>
            <w:rStyle w:val="Hyperlink"/>
            <w:rFonts w:asciiTheme="majorBidi" w:hAnsiTheme="majorBidi" w:cstheme="majorBidi"/>
            <w:b/>
            <w:bCs/>
            <w:szCs w:val="24"/>
          </w:rPr>
          <w:t>658 (</w:t>
        </w:r>
        <w:r w:rsidR="00784B1A">
          <w:rPr>
            <w:rStyle w:val="Hyperlink"/>
            <w:rFonts w:asciiTheme="majorBidi" w:hAnsiTheme="majorBidi" w:cstheme="majorBidi"/>
            <w:b/>
            <w:bCs/>
            <w:szCs w:val="24"/>
          </w:rPr>
          <w:t>CMR</w:t>
        </w:r>
        <w:r w:rsidR="009F73D6" w:rsidRPr="004C120E">
          <w:rPr>
            <w:rStyle w:val="Hyperlink"/>
            <w:rFonts w:asciiTheme="majorBidi" w:hAnsiTheme="majorBidi" w:cstheme="majorBidi"/>
            <w:b/>
            <w:bCs/>
            <w:szCs w:val="24"/>
          </w:rPr>
          <w:noBreakHyphen/>
          <w:t>15)</w:t>
        </w:r>
      </w:hyperlink>
      <w:r w:rsidR="009F73D6">
        <w:rPr>
          <w:rStyle w:val="Hyperlink"/>
          <w:rFonts w:asciiTheme="majorBidi" w:hAnsiTheme="majorBidi" w:cstheme="majorBidi"/>
          <w:b/>
          <w:bCs/>
          <w:szCs w:val="24"/>
        </w:rPr>
        <w:t>.</w:t>
      </w:r>
    </w:p>
    <w:p w:rsidR="00081529" w:rsidRPr="00F77092" w:rsidRDefault="00081529" w:rsidP="00A17011">
      <w:pPr>
        <w:jc w:val="both"/>
        <w:rPr>
          <w:lang w:val="fr-CH"/>
        </w:rPr>
      </w:pPr>
      <w:r w:rsidRPr="00F77092">
        <w:rPr>
          <w:lang w:val="fr-CH"/>
        </w:rPr>
        <w:t>1.2</w:t>
      </w:r>
      <w:r w:rsidRPr="00F77092">
        <w:rPr>
          <w:lang w:val="fr-CH"/>
        </w:rPr>
        <w:tab/>
        <w:t>examiner les limites de puissance dans la bande pour les stations terriennes fonctionnant dans les services mobile par satellite, de météorologie par satellite et d</w:t>
      </w:r>
      <w:r>
        <w:rPr>
          <w:lang w:val="fr-CH"/>
        </w:rPr>
        <w:t>'</w:t>
      </w:r>
      <w:r w:rsidRPr="00F77092">
        <w:rPr>
          <w:lang w:val="fr-CH"/>
        </w:rPr>
        <w:t xml:space="preserve">exploration de la Terre par satellite dans les bandes de fréquences 401-403 MHz et 399,9-400,05 MHz, conformément à la </w:t>
      </w:r>
      <w:hyperlink w:anchor="RES_765" w:history="1">
        <w:r w:rsidR="00784B1A">
          <w:rPr>
            <w:rStyle w:val="Hyperlink"/>
            <w:rFonts w:asciiTheme="majorBidi" w:hAnsiTheme="majorBidi" w:cstheme="majorBidi"/>
            <w:szCs w:val="24"/>
          </w:rPr>
          <w:t>Ré</w:t>
        </w:r>
        <w:r w:rsidR="009F73D6" w:rsidRPr="004C120E">
          <w:rPr>
            <w:rStyle w:val="Hyperlink"/>
            <w:rFonts w:asciiTheme="majorBidi" w:hAnsiTheme="majorBidi" w:cstheme="majorBidi"/>
            <w:szCs w:val="24"/>
          </w:rPr>
          <w:t>solution</w:t>
        </w:r>
        <w:r w:rsidR="009F73D6" w:rsidRPr="004C120E">
          <w:rPr>
            <w:rStyle w:val="Hyperlink"/>
            <w:rFonts w:asciiTheme="majorBidi" w:hAnsiTheme="majorBidi" w:cstheme="majorBidi"/>
            <w:b/>
            <w:bCs/>
            <w:szCs w:val="24"/>
          </w:rPr>
          <w:t> 765 (</w:t>
        </w:r>
        <w:r w:rsidR="00F8363E">
          <w:rPr>
            <w:rStyle w:val="Hyperlink"/>
            <w:rFonts w:asciiTheme="majorBidi" w:hAnsiTheme="majorBidi" w:cstheme="majorBidi"/>
            <w:b/>
            <w:bCs/>
            <w:szCs w:val="24"/>
          </w:rPr>
          <w:t>CMR</w:t>
        </w:r>
        <w:r w:rsidR="009F73D6" w:rsidRPr="004C120E">
          <w:rPr>
            <w:rStyle w:val="Hyperlink"/>
            <w:rFonts w:asciiTheme="majorBidi" w:hAnsiTheme="majorBidi" w:cstheme="majorBidi"/>
            <w:b/>
            <w:bCs/>
            <w:szCs w:val="24"/>
          </w:rPr>
          <w:noBreakHyphen/>
          <w:t>15)</w:t>
        </w:r>
      </w:hyperlink>
      <w:r w:rsidRPr="00F77092">
        <w:rPr>
          <w:lang w:val="fr-CH"/>
        </w:rPr>
        <w:t>;</w:t>
      </w:r>
    </w:p>
    <w:p w:rsidR="00081529" w:rsidRPr="00F77092" w:rsidRDefault="00081529" w:rsidP="00A17011">
      <w:pPr>
        <w:tabs>
          <w:tab w:val="left" w:pos="1075"/>
        </w:tabs>
        <w:jc w:val="both"/>
        <w:rPr>
          <w:lang w:val="fr-CH"/>
        </w:rPr>
      </w:pPr>
      <w:r w:rsidRPr="00F77092">
        <w:rPr>
          <w:lang w:val="fr-CH"/>
        </w:rPr>
        <w:t>1.3</w:t>
      </w:r>
      <w:r w:rsidRPr="00F77092">
        <w:rPr>
          <w:lang w:val="fr-CH"/>
        </w:rPr>
        <w:tab/>
        <w:t>envisager de relever éventuellement le statut de l</w:t>
      </w:r>
      <w:r>
        <w:rPr>
          <w:lang w:val="fr-CH"/>
        </w:rPr>
        <w:t>'</w:t>
      </w:r>
      <w:r w:rsidRPr="00F77092">
        <w:rPr>
          <w:lang w:val="fr-CH"/>
        </w:rPr>
        <w:t>attributio</w:t>
      </w:r>
      <w:r>
        <w:rPr>
          <w:lang w:val="fr-CH"/>
        </w:rPr>
        <w:t>n à titre secondaire au service </w:t>
      </w:r>
      <w:r w:rsidRPr="00F77092">
        <w:rPr>
          <w:lang w:val="fr-CH"/>
        </w:rPr>
        <w:t>de météorologie par satellite (espace vers Terre) pour lui conférer le statut prim</w:t>
      </w:r>
      <w:r>
        <w:rPr>
          <w:lang w:val="fr-CH"/>
        </w:rPr>
        <w:t>aire et de </w:t>
      </w:r>
      <w:r w:rsidRPr="00F77092">
        <w:rPr>
          <w:lang w:val="fr-CH"/>
        </w:rPr>
        <w:t>faire éventuellement une attribution à titre primaire au service d</w:t>
      </w:r>
      <w:r>
        <w:rPr>
          <w:lang w:val="fr-CH"/>
        </w:rPr>
        <w:t>'</w:t>
      </w:r>
      <w:r w:rsidRPr="00F77092">
        <w:rPr>
          <w:lang w:val="fr-CH"/>
        </w:rPr>
        <w:t>exploration de la Terre par satellite (espace vers Terre) dans la bande de fréquences 460-470 MHz</w:t>
      </w:r>
      <w:r>
        <w:rPr>
          <w:lang w:val="fr-CH"/>
        </w:rPr>
        <w:t>,</w:t>
      </w:r>
      <w:r w:rsidRPr="00F77092">
        <w:rPr>
          <w:lang w:val="fr-CH"/>
        </w:rPr>
        <w:t xml:space="preserve"> conformément à la </w:t>
      </w:r>
      <w:hyperlink w:anchor="RES_766" w:history="1">
        <w:r w:rsidR="00784B1A">
          <w:rPr>
            <w:rStyle w:val="Hyperlink"/>
            <w:rFonts w:asciiTheme="majorBidi" w:hAnsiTheme="majorBidi" w:cstheme="majorBidi"/>
            <w:szCs w:val="24"/>
          </w:rPr>
          <w:t>Ré</w:t>
        </w:r>
        <w:r w:rsidR="00A23088" w:rsidRPr="004C120E">
          <w:rPr>
            <w:rStyle w:val="Hyperlink"/>
            <w:rFonts w:asciiTheme="majorBidi" w:hAnsiTheme="majorBidi" w:cstheme="majorBidi"/>
            <w:szCs w:val="24"/>
          </w:rPr>
          <w:t>solution </w:t>
        </w:r>
        <w:r w:rsidR="00A23088" w:rsidRPr="004C120E">
          <w:rPr>
            <w:rStyle w:val="Hyperlink"/>
            <w:rFonts w:asciiTheme="majorBidi" w:hAnsiTheme="majorBidi" w:cstheme="majorBidi"/>
            <w:b/>
            <w:bCs/>
            <w:szCs w:val="24"/>
          </w:rPr>
          <w:t>766 (</w:t>
        </w:r>
        <w:r w:rsidR="00F8363E">
          <w:rPr>
            <w:rStyle w:val="Hyperlink"/>
            <w:rFonts w:asciiTheme="majorBidi" w:hAnsiTheme="majorBidi" w:cstheme="majorBidi"/>
            <w:b/>
            <w:bCs/>
            <w:szCs w:val="24"/>
          </w:rPr>
          <w:t>CMR</w:t>
        </w:r>
        <w:r w:rsidR="00A23088" w:rsidRPr="004C120E">
          <w:rPr>
            <w:rStyle w:val="Hyperlink"/>
            <w:rFonts w:asciiTheme="majorBidi" w:hAnsiTheme="majorBidi" w:cstheme="majorBidi"/>
            <w:b/>
            <w:bCs/>
            <w:szCs w:val="24"/>
          </w:rPr>
          <w:noBreakHyphen/>
          <w:t>15)</w:t>
        </w:r>
      </w:hyperlink>
      <w:r w:rsidRPr="00F77092">
        <w:rPr>
          <w:lang w:val="fr-CH"/>
        </w:rPr>
        <w:t>;</w:t>
      </w:r>
    </w:p>
    <w:p w:rsidR="00081529" w:rsidRPr="00F77092" w:rsidRDefault="00081529" w:rsidP="00A17011">
      <w:pPr>
        <w:jc w:val="both"/>
        <w:rPr>
          <w:lang w:val="fr-CH"/>
        </w:rPr>
      </w:pPr>
      <w:r w:rsidRPr="00F77092">
        <w:rPr>
          <w:lang w:val="fr-CH"/>
        </w:rPr>
        <w:lastRenderedPageBreak/>
        <w:t>1.4</w:t>
      </w:r>
      <w:r w:rsidRPr="00F77092">
        <w:rPr>
          <w:lang w:val="fr-CH"/>
        </w:rPr>
        <w:tab/>
        <w:t xml:space="preserve">examiner les résultats des études menées conformément à la </w:t>
      </w:r>
      <w:hyperlink w:anchor="RES_557" w:history="1">
        <w:r w:rsidR="00784B1A">
          <w:rPr>
            <w:rStyle w:val="Hyperlink"/>
            <w:rFonts w:asciiTheme="majorBidi" w:hAnsiTheme="majorBidi" w:cstheme="majorBidi"/>
            <w:szCs w:val="24"/>
          </w:rPr>
          <w:t>Ré</w:t>
        </w:r>
        <w:r w:rsidR="009953CA" w:rsidRPr="004C120E">
          <w:rPr>
            <w:rStyle w:val="Hyperlink"/>
            <w:rFonts w:asciiTheme="majorBidi" w:hAnsiTheme="majorBidi" w:cstheme="majorBidi"/>
            <w:szCs w:val="24"/>
          </w:rPr>
          <w:t>solution </w:t>
        </w:r>
        <w:r w:rsidR="009953CA" w:rsidRPr="004C120E">
          <w:rPr>
            <w:rStyle w:val="Hyperlink"/>
            <w:rFonts w:asciiTheme="majorBidi" w:hAnsiTheme="majorBidi" w:cstheme="majorBidi"/>
            <w:b/>
            <w:bCs/>
            <w:szCs w:val="24"/>
          </w:rPr>
          <w:t>557 (</w:t>
        </w:r>
        <w:r w:rsidR="00D74410">
          <w:rPr>
            <w:rStyle w:val="Hyperlink"/>
            <w:rFonts w:asciiTheme="majorBidi" w:hAnsiTheme="majorBidi" w:cstheme="majorBidi"/>
            <w:b/>
            <w:bCs/>
            <w:szCs w:val="24"/>
          </w:rPr>
          <w:t>CMR</w:t>
        </w:r>
        <w:r w:rsidR="009953CA" w:rsidRPr="004C120E">
          <w:rPr>
            <w:rStyle w:val="Hyperlink"/>
            <w:rFonts w:asciiTheme="majorBidi" w:hAnsiTheme="majorBidi" w:cstheme="majorBidi"/>
            <w:b/>
            <w:bCs/>
            <w:szCs w:val="24"/>
          </w:rPr>
          <w:noBreakHyphen/>
          <w:t>15)</w:t>
        </w:r>
      </w:hyperlink>
      <w:r w:rsidR="009953CA" w:rsidRPr="004C120E">
        <w:rPr>
          <w:rFonts w:asciiTheme="majorBidi" w:hAnsiTheme="majorBidi" w:cstheme="majorBidi"/>
          <w:szCs w:val="24"/>
        </w:rPr>
        <w:t>,</w:t>
      </w:r>
      <w:r w:rsidRPr="009B56B5">
        <w:rPr>
          <w:lang w:val="fr-CH"/>
        </w:rPr>
        <w:t xml:space="preserve"> et </w:t>
      </w:r>
      <w:r w:rsidRPr="00F77092">
        <w:rPr>
          <w:lang w:val="fr-CH"/>
        </w:rPr>
        <w:t>examiner les restrictions indiquées dans l</w:t>
      </w:r>
      <w:r>
        <w:rPr>
          <w:lang w:val="fr-CH"/>
        </w:rPr>
        <w:t>'</w:t>
      </w:r>
      <w:r w:rsidRPr="00F77092">
        <w:rPr>
          <w:lang w:val="fr-CH"/>
        </w:rPr>
        <w:t>Annexe 7 de l</w:t>
      </w:r>
      <w:r>
        <w:rPr>
          <w:lang w:val="fr-CH"/>
        </w:rPr>
        <w:t>'</w:t>
      </w:r>
      <w:r w:rsidRPr="00F77092">
        <w:rPr>
          <w:lang w:val="fr-CH"/>
        </w:rPr>
        <w:t xml:space="preserve">Appendice </w:t>
      </w:r>
      <w:r w:rsidRPr="00F77092">
        <w:rPr>
          <w:b/>
          <w:bCs/>
          <w:lang w:val="fr-CH"/>
        </w:rPr>
        <w:t>30 (Rév.CMR</w:t>
      </w:r>
      <w:r>
        <w:rPr>
          <w:b/>
          <w:bCs/>
          <w:lang w:val="fr-CH"/>
        </w:rPr>
        <w:noBreakHyphen/>
      </w:r>
      <w:r w:rsidRPr="00F77092">
        <w:rPr>
          <w:b/>
          <w:bCs/>
          <w:lang w:val="fr-CH"/>
        </w:rPr>
        <w:t>1</w:t>
      </w:r>
      <w:r>
        <w:rPr>
          <w:b/>
          <w:bCs/>
          <w:lang w:val="fr-CH"/>
        </w:rPr>
        <w:t>5</w:t>
      </w:r>
      <w:r w:rsidRPr="00F77092">
        <w:rPr>
          <w:b/>
          <w:bCs/>
          <w:lang w:val="fr-CH"/>
        </w:rPr>
        <w:t>)</w:t>
      </w:r>
      <w:r w:rsidRPr="00F77092">
        <w:rPr>
          <w:lang w:val="fr-CH"/>
        </w:rPr>
        <w:t xml:space="preserve">, et, si nécessaire, réviser ces restrictions, tout en assurant la protection des assignations figurant dans le Plan et la Liste et du développement futur du </w:t>
      </w:r>
      <w:r>
        <w:rPr>
          <w:lang w:val="fr-CH"/>
        </w:rPr>
        <w:t>service de radiodiffusion par satellite</w:t>
      </w:r>
      <w:r w:rsidRPr="00F77092">
        <w:rPr>
          <w:lang w:val="fr-CH"/>
        </w:rPr>
        <w:t xml:space="preserve"> dans le cadre du Plan, ainsi que des réseaux existants et en projet du </w:t>
      </w:r>
      <w:r>
        <w:rPr>
          <w:lang w:val="fr-CH"/>
        </w:rPr>
        <w:t>service fixe par satellite</w:t>
      </w:r>
      <w:r w:rsidRPr="00F77092">
        <w:rPr>
          <w:lang w:val="fr-CH"/>
        </w:rPr>
        <w:t xml:space="preserve">, et sans leur imposer de contraintes </w:t>
      </w:r>
      <w:r>
        <w:rPr>
          <w:lang w:val="fr-CH"/>
        </w:rPr>
        <w:t>supplémentaires</w:t>
      </w:r>
      <w:r w:rsidRPr="00F77092">
        <w:rPr>
          <w:lang w:val="fr-CH"/>
        </w:rPr>
        <w:t>;</w:t>
      </w:r>
    </w:p>
    <w:p w:rsidR="00081529" w:rsidRPr="00A91511" w:rsidRDefault="00081529" w:rsidP="00A17011">
      <w:pPr>
        <w:jc w:val="both"/>
        <w:rPr>
          <w:lang w:val="fr-CH"/>
        </w:rPr>
      </w:pPr>
      <w:r w:rsidRPr="00A91511">
        <w:rPr>
          <w:lang w:val="fr-CH"/>
        </w:rPr>
        <w:t>1.5</w:t>
      </w:r>
      <w:r w:rsidRPr="00A91511">
        <w:rPr>
          <w:lang w:val="fr-CH"/>
        </w:rPr>
        <w:tab/>
      </w:r>
      <w:r w:rsidRPr="00F77092">
        <w:rPr>
          <w:lang w:val="fr-CH"/>
        </w:rPr>
        <w:t>examiner l</w:t>
      </w:r>
      <w:r>
        <w:rPr>
          <w:lang w:val="fr-CH"/>
        </w:rPr>
        <w:t>'</w:t>
      </w:r>
      <w:r w:rsidRPr="00F77092">
        <w:rPr>
          <w:lang w:val="fr-CH"/>
        </w:rPr>
        <w:t xml:space="preserve">utilisation </w:t>
      </w:r>
      <w:r>
        <w:rPr>
          <w:lang w:val="fr-CH"/>
        </w:rPr>
        <w:t>d</w:t>
      </w:r>
      <w:r w:rsidRPr="00F77092">
        <w:rPr>
          <w:lang w:val="fr-CH"/>
        </w:rPr>
        <w:t xml:space="preserve">es bandes de fréquences 17,7-19,7 GHz (espace vers Terre) et 27,5-29,5 GHz (Terre vers espace) par des stations terriennes en mouvement communiquant avec des stations spatiales géostationnaires du service fixe par satellite, et prendre les mesures voulues, conformément à la </w:t>
      </w:r>
      <w:hyperlink w:anchor="RES_158" w:history="1">
        <w:r w:rsidR="009953CA" w:rsidRPr="004C120E">
          <w:rPr>
            <w:rStyle w:val="Hyperlink"/>
            <w:rFonts w:asciiTheme="majorBidi" w:hAnsiTheme="majorBidi" w:cstheme="majorBidi"/>
            <w:szCs w:val="24"/>
          </w:rPr>
          <w:t>R</w:t>
        </w:r>
        <w:r w:rsidR="00784B1A">
          <w:rPr>
            <w:rStyle w:val="Hyperlink"/>
            <w:rFonts w:asciiTheme="majorBidi" w:hAnsiTheme="majorBidi" w:cstheme="majorBidi"/>
            <w:szCs w:val="24"/>
          </w:rPr>
          <w:t>é</w:t>
        </w:r>
        <w:r w:rsidR="009953CA" w:rsidRPr="004C120E">
          <w:rPr>
            <w:rStyle w:val="Hyperlink"/>
            <w:rFonts w:asciiTheme="majorBidi" w:hAnsiTheme="majorBidi" w:cstheme="majorBidi"/>
            <w:szCs w:val="24"/>
          </w:rPr>
          <w:t>solution </w:t>
        </w:r>
        <w:r w:rsidR="009953CA" w:rsidRPr="004C120E">
          <w:rPr>
            <w:rStyle w:val="Hyperlink"/>
            <w:rFonts w:asciiTheme="majorBidi" w:hAnsiTheme="majorBidi" w:cstheme="majorBidi"/>
            <w:b/>
            <w:bCs/>
            <w:szCs w:val="24"/>
          </w:rPr>
          <w:t>158 (</w:t>
        </w:r>
        <w:r w:rsidR="00784B1A" w:rsidRPr="00784B1A">
          <w:rPr>
            <w:rStyle w:val="Hyperlink"/>
            <w:rFonts w:asciiTheme="majorBidi" w:hAnsiTheme="majorBidi" w:cstheme="majorBidi"/>
            <w:b/>
            <w:bCs/>
            <w:szCs w:val="24"/>
          </w:rPr>
          <w:t xml:space="preserve">CMR </w:t>
        </w:r>
        <w:r w:rsidR="009953CA" w:rsidRPr="004C120E">
          <w:rPr>
            <w:rStyle w:val="Hyperlink"/>
            <w:rFonts w:asciiTheme="majorBidi" w:hAnsiTheme="majorBidi" w:cstheme="majorBidi"/>
            <w:b/>
            <w:bCs/>
            <w:szCs w:val="24"/>
          </w:rPr>
          <w:noBreakHyphen/>
          <w:t>15)</w:t>
        </w:r>
      </w:hyperlink>
      <w:r w:rsidR="009953CA" w:rsidRPr="004C120E">
        <w:rPr>
          <w:rFonts w:asciiTheme="majorBidi" w:hAnsiTheme="majorBidi" w:cstheme="majorBidi"/>
          <w:szCs w:val="24"/>
        </w:rPr>
        <w:t>;</w:t>
      </w:r>
    </w:p>
    <w:p w:rsidR="009953CA" w:rsidRDefault="00081529" w:rsidP="005131A3">
      <w:pPr>
        <w:jc w:val="both"/>
        <w:rPr>
          <w:rFonts w:asciiTheme="majorBidi" w:hAnsiTheme="majorBidi" w:cstheme="majorBidi"/>
          <w:szCs w:val="24"/>
        </w:rPr>
      </w:pPr>
      <w:r w:rsidRPr="00A91511">
        <w:rPr>
          <w:lang w:val="fr-CH"/>
        </w:rPr>
        <w:t>1.6</w:t>
      </w:r>
      <w:r w:rsidRPr="00A91511">
        <w:rPr>
          <w:lang w:val="fr-CH"/>
        </w:rPr>
        <w:tab/>
      </w:r>
      <w:r>
        <w:rPr>
          <w:lang w:val="fr-CH"/>
        </w:rPr>
        <w:t>envisager l'élaboration d'</w:t>
      </w:r>
      <w:r w:rsidRPr="00F77092">
        <w:rPr>
          <w:lang w:val="fr-CH"/>
        </w:rPr>
        <w:t>un cadre réglementaire pour les systè</w:t>
      </w:r>
      <w:r>
        <w:rPr>
          <w:lang w:val="fr-CH"/>
        </w:rPr>
        <w:t>mes à satellites non OSG du SFS </w:t>
      </w:r>
      <w:r w:rsidRPr="00F77092">
        <w:rPr>
          <w:lang w:val="fr-CH"/>
        </w:rPr>
        <w:t>pouvant être exploités dans les bandes de fréquences 37,5-39,5 GHz (</w:t>
      </w:r>
      <w:r>
        <w:rPr>
          <w:lang w:val="fr-CH"/>
        </w:rPr>
        <w:t xml:space="preserve">espace vers Terre), </w:t>
      </w:r>
      <w:r w:rsidRPr="00F77092">
        <w:rPr>
          <w:lang w:val="fr-CH"/>
        </w:rPr>
        <w:t>39,5-42,5 GHz</w:t>
      </w:r>
      <w:r>
        <w:rPr>
          <w:lang w:val="fr-CH"/>
        </w:rPr>
        <w:t xml:space="preserve"> (espace vers Terre), 47,2-50,2 GHz (Terre vers espace) et 50,4-51,4</w:t>
      </w:r>
      <w:r w:rsidR="005131A3">
        <w:rPr>
          <w:lang w:val="fr-CH"/>
        </w:rPr>
        <w:t> </w:t>
      </w:r>
      <w:r>
        <w:rPr>
          <w:lang w:val="fr-CH"/>
        </w:rPr>
        <w:t>GHz</w:t>
      </w:r>
      <w:r w:rsidRPr="00F77092">
        <w:rPr>
          <w:lang w:val="fr-CH"/>
        </w:rPr>
        <w:t xml:space="preserve"> (Terre vers espace), conformément à la </w:t>
      </w:r>
      <w:hyperlink w:anchor="RES_159" w:history="1">
        <w:r w:rsidR="009953CA" w:rsidRPr="004C120E">
          <w:rPr>
            <w:rStyle w:val="Hyperlink"/>
            <w:rFonts w:asciiTheme="majorBidi" w:hAnsiTheme="majorBidi" w:cstheme="majorBidi"/>
            <w:szCs w:val="24"/>
          </w:rPr>
          <w:t>R</w:t>
        </w:r>
        <w:r w:rsidR="00784B1A">
          <w:rPr>
            <w:rStyle w:val="Hyperlink"/>
            <w:rFonts w:asciiTheme="majorBidi" w:hAnsiTheme="majorBidi" w:cstheme="majorBidi"/>
            <w:szCs w:val="24"/>
          </w:rPr>
          <w:t>é</w:t>
        </w:r>
        <w:r w:rsidR="009953CA" w:rsidRPr="004C120E">
          <w:rPr>
            <w:rStyle w:val="Hyperlink"/>
            <w:rFonts w:asciiTheme="majorBidi" w:hAnsiTheme="majorBidi" w:cstheme="majorBidi"/>
            <w:szCs w:val="24"/>
          </w:rPr>
          <w:t xml:space="preserve">solution </w:t>
        </w:r>
        <w:r w:rsidR="009953CA" w:rsidRPr="004C120E">
          <w:rPr>
            <w:rStyle w:val="Hyperlink"/>
            <w:rFonts w:asciiTheme="majorBidi" w:hAnsiTheme="majorBidi" w:cstheme="majorBidi"/>
            <w:b/>
            <w:bCs/>
            <w:szCs w:val="24"/>
          </w:rPr>
          <w:t>159 (</w:t>
        </w:r>
        <w:r w:rsidR="00784B1A" w:rsidRPr="00784B1A">
          <w:rPr>
            <w:rStyle w:val="Hyperlink"/>
            <w:rFonts w:asciiTheme="majorBidi" w:hAnsiTheme="majorBidi" w:cstheme="majorBidi"/>
            <w:b/>
            <w:bCs/>
            <w:szCs w:val="24"/>
          </w:rPr>
          <w:t>CMR</w:t>
        </w:r>
        <w:r w:rsidR="009953CA" w:rsidRPr="004C120E">
          <w:rPr>
            <w:rStyle w:val="Hyperlink"/>
            <w:rFonts w:asciiTheme="majorBidi" w:hAnsiTheme="majorBidi" w:cstheme="majorBidi"/>
            <w:b/>
            <w:bCs/>
            <w:szCs w:val="24"/>
          </w:rPr>
          <w:noBreakHyphen/>
          <w:t>15)</w:t>
        </w:r>
      </w:hyperlink>
      <w:r w:rsidR="009953CA" w:rsidRPr="004C120E">
        <w:rPr>
          <w:rFonts w:asciiTheme="majorBidi" w:hAnsiTheme="majorBidi" w:cstheme="majorBidi"/>
          <w:szCs w:val="24"/>
        </w:rPr>
        <w:t>;</w:t>
      </w:r>
    </w:p>
    <w:p w:rsidR="00081529" w:rsidRPr="00F77092" w:rsidRDefault="00081529" w:rsidP="00A17011">
      <w:pPr>
        <w:jc w:val="both"/>
        <w:rPr>
          <w:lang w:val="fr-CH"/>
        </w:rPr>
      </w:pPr>
      <w:r w:rsidRPr="00F77092">
        <w:rPr>
          <w:lang w:val="fr-CH"/>
        </w:rPr>
        <w:t>1.7</w:t>
      </w:r>
      <w:r w:rsidRPr="00F77092">
        <w:rPr>
          <w:lang w:val="fr-CH"/>
        </w:rPr>
        <w:tab/>
        <w:t xml:space="preserve">étudier les besoins de </w:t>
      </w:r>
      <w:r>
        <w:rPr>
          <w:lang w:val="fr-CH"/>
        </w:rPr>
        <w:t>spectre</w:t>
      </w:r>
      <w:r w:rsidRPr="00F77092">
        <w:rPr>
          <w:lang w:val="fr-CH"/>
        </w:rPr>
        <w:t xml:space="preserve"> pour la télémesure, la poursuite et la télécommande dans le service d</w:t>
      </w:r>
      <w:r>
        <w:rPr>
          <w:lang w:val="fr-CH"/>
        </w:rPr>
        <w:t>'</w:t>
      </w:r>
      <w:r w:rsidRPr="00F77092">
        <w:rPr>
          <w:lang w:val="fr-CH"/>
        </w:rPr>
        <w:t>exploitation spatiale pour les satellites non géostationnaires associés à des missions de courte durée, évaluer si les attributions existantes du service d</w:t>
      </w:r>
      <w:r>
        <w:rPr>
          <w:lang w:val="fr-CH"/>
        </w:rPr>
        <w:t>'</w:t>
      </w:r>
      <w:r w:rsidRPr="00F77092">
        <w:rPr>
          <w:lang w:val="fr-CH"/>
        </w:rPr>
        <w:t xml:space="preserve">exploitation spatiale conviennent et, au besoin, envisager de nouvelles attributions, conformément à la </w:t>
      </w:r>
      <w:hyperlink w:anchor="RES_659" w:history="1">
        <w:r w:rsidR="00784B1A">
          <w:rPr>
            <w:rStyle w:val="Hyperlink"/>
            <w:rFonts w:asciiTheme="majorBidi" w:hAnsiTheme="majorBidi" w:cstheme="majorBidi"/>
            <w:szCs w:val="24"/>
          </w:rPr>
          <w:t>Ré</w:t>
        </w:r>
        <w:r w:rsidR="009953CA" w:rsidRPr="004C120E">
          <w:rPr>
            <w:rStyle w:val="Hyperlink"/>
            <w:rFonts w:asciiTheme="majorBidi" w:hAnsiTheme="majorBidi" w:cstheme="majorBidi"/>
            <w:szCs w:val="24"/>
          </w:rPr>
          <w:t>solution </w:t>
        </w:r>
        <w:r w:rsidR="009953CA" w:rsidRPr="004C120E">
          <w:rPr>
            <w:rStyle w:val="Hyperlink"/>
            <w:rFonts w:asciiTheme="majorBidi" w:hAnsiTheme="majorBidi" w:cstheme="majorBidi"/>
            <w:b/>
            <w:bCs/>
            <w:szCs w:val="24"/>
          </w:rPr>
          <w:t>659</w:t>
        </w:r>
        <w:r w:rsidR="009953CA" w:rsidRPr="004C120E">
          <w:rPr>
            <w:rStyle w:val="Hyperlink"/>
            <w:rFonts w:asciiTheme="majorBidi" w:hAnsiTheme="majorBidi" w:cstheme="majorBidi"/>
            <w:szCs w:val="24"/>
          </w:rPr>
          <w:t xml:space="preserve"> </w:t>
        </w:r>
        <w:r w:rsidR="009953CA" w:rsidRPr="004C120E">
          <w:rPr>
            <w:rStyle w:val="Hyperlink"/>
            <w:rFonts w:asciiTheme="majorBidi" w:hAnsiTheme="majorBidi" w:cstheme="majorBidi"/>
            <w:b/>
            <w:szCs w:val="24"/>
          </w:rPr>
          <w:t>(</w:t>
        </w:r>
        <w:r w:rsidR="00784B1A" w:rsidRPr="00784B1A">
          <w:rPr>
            <w:rStyle w:val="Hyperlink"/>
            <w:rFonts w:asciiTheme="majorBidi" w:hAnsiTheme="majorBidi" w:cstheme="majorBidi"/>
            <w:b/>
            <w:szCs w:val="24"/>
          </w:rPr>
          <w:t>CMR</w:t>
        </w:r>
        <w:r w:rsidR="009953CA" w:rsidRPr="004C120E">
          <w:rPr>
            <w:rStyle w:val="Hyperlink"/>
            <w:rFonts w:asciiTheme="majorBidi" w:hAnsiTheme="majorBidi" w:cstheme="majorBidi"/>
            <w:b/>
            <w:szCs w:val="24"/>
          </w:rPr>
          <w:noBreakHyphen/>
          <w:t>15)</w:t>
        </w:r>
      </w:hyperlink>
      <w:r>
        <w:rPr>
          <w:lang w:val="fr-CH"/>
        </w:rPr>
        <w:t>;</w:t>
      </w:r>
    </w:p>
    <w:p w:rsidR="009953CA" w:rsidRDefault="00081529" w:rsidP="00A17011">
      <w:pPr>
        <w:jc w:val="both"/>
        <w:rPr>
          <w:rFonts w:asciiTheme="majorBidi" w:hAnsiTheme="majorBidi" w:cstheme="majorBidi"/>
          <w:szCs w:val="24"/>
          <w:lang w:eastAsia="zh-CN"/>
        </w:rPr>
      </w:pPr>
      <w:r w:rsidRPr="00F77092">
        <w:rPr>
          <w:lang w:val="fr-CH"/>
        </w:rPr>
        <w:t>1.8</w:t>
      </w:r>
      <w:r w:rsidRPr="00F77092">
        <w:rPr>
          <w:lang w:val="fr-CH"/>
        </w:rPr>
        <w:tab/>
        <w:t>envisager les mesures règlementaires qui pourraient être prises pour permettre la modernisation du</w:t>
      </w:r>
      <w:r>
        <w:rPr>
          <w:lang w:val="fr-CH"/>
        </w:rPr>
        <w:t xml:space="preserve"> système mondial de détresse et de sécurité en mer</w:t>
      </w:r>
      <w:r w:rsidRPr="00F77092">
        <w:rPr>
          <w:lang w:val="fr-CH"/>
        </w:rPr>
        <w:t xml:space="preserve"> </w:t>
      </w:r>
      <w:r>
        <w:rPr>
          <w:lang w:val="fr-CH"/>
        </w:rPr>
        <w:t>(</w:t>
      </w:r>
      <w:r w:rsidRPr="00F77092">
        <w:rPr>
          <w:lang w:val="fr-CH"/>
        </w:rPr>
        <w:t>SMDSM</w:t>
      </w:r>
      <w:r>
        <w:rPr>
          <w:lang w:val="fr-CH"/>
        </w:rPr>
        <w:t>)</w:t>
      </w:r>
      <w:r w:rsidRPr="00F77092">
        <w:rPr>
          <w:lang w:val="fr-CH"/>
        </w:rPr>
        <w:t xml:space="preserve"> et l</w:t>
      </w:r>
      <w:r>
        <w:rPr>
          <w:lang w:val="fr-CH"/>
        </w:rPr>
        <w:t>'</w:t>
      </w:r>
      <w:r w:rsidRPr="00F77092">
        <w:rPr>
          <w:lang w:val="fr-CH"/>
        </w:rPr>
        <w:t xml:space="preserve">intégration de systèmes à satellites supplémentaires dans le SMDSM, conformément à la </w:t>
      </w:r>
      <w:hyperlink w:anchor="RES_359" w:history="1">
        <w:r w:rsidR="00784B1A">
          <w:rPr>
            <w:rStyle w:val="Hyperlink"/>
            <w:rFonts w:asciiTheme="majorBidi" w:hAnsiTheme="majorBidi" w:cstheme="majorBidi"/>
            <w:szCs w:val="24"/>
            <w:lang w:eastAsia="zh-CN"/>
          </w:rPr>
          <w:t>Ré</w:t>
        </w:r>
        <w:r w:rsidR="009953CA" w:rsidRPr="004C120E">
          <w:rPr>
            <w:rStyle w:val="Hyperlink"/>
            <w:rFonts w:asciiTheme="majorBidi" w:hAnsiTheme="majorBidi" w:cstheme="majorBidi"/>
            <w:szCs w:val="24"/>
            <w:lang w:eastAsia="zh-CN"/>
          </w:rPr>
          <w:t>solution </w:t>
        </w:r>
        <w:r w:rsidR="009953CA" w:rsidRPr="004C120E">
          <w:rPr>
            <w:rStyle w:val="Hyperlink"/>
            <w:rFonts w:asciiTheme="majorBidi" w:hAnsiTheme="majorBidi" w:cstheme="majorBidi"/>
            <w:b/>
            <w:szCs w:val="24"/>
            <w:lang w:eastAsia="zh-CN"/>
          </w:rPr>
          <w:t>359</w:t>
        </w:r>
        <w:r w:rsidR="009953CA" w:rsidRPr="004C120E">
          <w:rPr>
            <w:rStyle w:val="Hyperlink"/>
            <w:rFonts w:asciiTheme="majorBidi" w:hAnsiTheme="majorBidi" w:cstheme="majorBidi"/>
            <w:szCs w:val="24"/>
            <w:lang w:eastAsia="zh-CN"/>
          </w:rPr>
          <w:t xml:space="preserve"> (</w:t>
        </w:r>
        <w:r w:rsidR="00E25FB6">
          <w:rPr>
            <w:rStyle w:val="Hyperlink"/>
            <w:rFonts w:asciiTheme="majorBidi" w:hAnsiTheme="majorBidi" w:cstheme="majorBidi"/>
            <w:b/>
            <w:szCs w:val="24"/>
            <w:lang w:eastAsia="zh-CN"/>
          </w:rPr>
          <w:t>Rév</w:t>
        </w:r>
        <w:r w:rsidR="009953CA" w:rsidRPr="004C120E">
          <w:rPr>
            <w:rStyle w:val="Hyperlink"/>
            <w:rFonts w:asciiTheme="majorBidi" w:hAnsiTheme="majorBidi" w:cstheme="majorBidi"/>
            <w:b/>
            <w:szCs w:val="24"/>
            <w:lang w:eastAsia="zh-CN"/>
          </w:rPr>
          <w:t>.</w:t>
        </w:r>
        <w:r w:rsidR="00784B1A" w:rsidRPr="00784B1A">
          <w:rPr>
            <w:rStyle w:val="Hyperlink"/>
            <w:rFonts w:asciiTheme="majorBidi" w:hAnsiTheme="majorBidi" w:cstheme="majorBidi"/>
            <w:b/>
            <w:szCs w:val="24"/>
            <w:lang w:eastAsia="zh-CN"/>
          </w:rPr>
          <w:t>CMR</w:t>
        </w:r>
        <w:r w:rsidR="009953CA" w:rsidRPr="004C120E">
          <w:rPr>
            <w:rStyle w:val="Hyperlink"/>
            <w:rFonts w:asciiTheme="majorBidi" w:hAnsiTheme="majorBidi" w:cstheme="majorBidi"/>
            <w:b/>
            <w:szCs w:val="24"/>
            <w:lang w:eastAsia="zh-CN"/>
          </w:rPr>
          <w:noBreakHyphen/>
          <w:t>15</w:t>
        </w:r>
        <w:r w:rsidR="009953CA" w:rsidRPr="004C120E">
          <w:rPr>
            <w:rStyle w:val="Hyperlink"/>
            <w:rFonts w:asciiTheme="majorBidi" w:hAnsiTheme="majorBidi" w:cstheme="majorBidi"/>
            <w:szCs w:val="24"/>
            <w:lang w:eastAsia="zh-CN"/>
          </w:rPr>
          <w:t>)</w:t>
        </w:r>
      </w:hyperlink>
      <w:r w:rsidR="009953CA" w:rsidRPr="004C120E">
        <w:rPr>
          <w:rFonts w:asciiTheme="majorBidi" w:hAnsiTheme="majorBidi" w:cstheme="majorBidi"/>
          <w:szCs w:val="24"/>
          <w:lang w:eastAsia="zh-CN"/>
        </w:rPr>
        <w:t>;</w:t>
      </w:r>
    </w:p>
    <w:p w:rsidR="00081529" w:rsidRPr="00F77092" w:rsidRDefault="00081529" w:rsidP="00A17011">
      <w:pPr>
        <w:jc w:val="both"/>
        <w:rPr>
          <w:lang w:val="fr-CH"/>
        </w:rPr>
      </w:pPr>
      <w:r w:rsidRPr="00F77092">
        <w:rPr>
          <w:lang w:val="fr-CH"/>
        </w:rPr>
        <w:t>1.9</w:t>
      </w:r>
      <w:r w:rsidRPr="00F77092">
        <w:rPr>
          <w:lang w:val="fr-CH"/>
        </w:rPr>
        <w:tab/>
        <w:t>à examiner, sur la base des résultats des études de l</w:t>
      </w:r>
      <w:r>
        <w:rPr>
          <w:lang w:val="fr-CH"/>
        </w:rPr>
        <w:t>'</w:t>
      </w:r>
      <w:r w:rsidRPr="00F77092">
        <w:rPr>
          <w:lang w:val="fr-CH"/>
        </w:rPr>
        <w:t xml:space="preserve">UIT-R: </w:t>
      </w:r>
    </w:p>
    <w:p w:rsidR="00081529" w:rsidRPr="00F77092" w:rsidRDefault="00081529" w:rsidP="00A17011">
      <w:pPr>
        <w:jc w:val="both"/>
        <w:rPr>
          <w:lang w:val="fr-CH"/>
        </w:rPr>
      </w:pPr>
      <w:r w:rsidRPr="00F77092">
        <w:rPr>
          <w:lang w:val="fr-CH"/>
        </w:rPr>
        <w:t>1.9.1</w:t>
      </w:r>
      <w:r w:rsidRPr="00F77092">
        <w:rPr>
          <w:lang w:val="fr-CH"/>
        </w:rPr>
        <w:tab/>
        <w:t>les mesures réglementaires à prendre dans la bande de fréquences 156-162,05 MHz concernant les dispositifs de radiocommunication maritimes autonomes, afin de protéger le SMDSM et le système</w:t>
      </w:r>
      <w:r>
        <w:rPr>
          <w:lang w:val="fr-CH"/>
        </w:rPr>
        <w:t xml:space="preserve"> d'identification automatique</w:t>
      </w:r>
      <w:r w:rsidRPr="00F77092">
        <w:rPr>
          <w:lang w:val="fr-CH"/>
        </w:rPr>
        <w:t xml:space="preserve"> </w:t>
      </w:r>
      <w:r>
        <w:rPr>
          <w:lang w:val="fr-CH"/>
        </w:rPr>
        <w:t>(</w:t>
      </w:r>
      <w:r w:rsidRPr="00F77092">
        <w:rPr>
          <w:lang w:val="fr-CH"/>
        </w:rPr>
        <w:t>AIS</w:t>
      </w:r>
      <w:r>
        <w:rPr>
          <w:lang w:val="fr-CH"/>
        </w:rPr>
        <w:t>),</w:t>
      </w:r>
      <w:r w:rsidRPr="00F77092">
        <w:rPr>
          <w:lang w:val="fr-CH"/>
        </w:rPr>
        <w:t xml:space="preserve"> conformément à la </w:t>
      </w:r>
      <w:hyperlink w:anchor="RES_362" w:history="1">
        <w:r w:rsidR="00784B1A">
          <w:rPr>
            <w:rStyle w:val="Hyperlink"/>
            <w:rFonts w:asciiTheme="majorBidi" w:hAnsiTheme="majorBidi" w:cstheme="majorBidi"/>
            <w:szCs w:val="24"/>
          </w:rPr>
          <w:t>Ré</w:t>
        </w:r>
        <w:r w:rsidR="009953CA" w:rsidRPr="004C120E">
          <w:rPr>
            <w:rStyle w:val="Hyperlink"/>
            <w:rFonts w:asciiTheme="majorBidi" w:hAnsiTheme="majorBidi" w:cstheme="majorBidi"/>
            <w:szCs w:val="24"/>
          </w:rPr>
          <w:t>solution </w:t>
        </w:r>
        <w:r w:rsidR="009953CA" w:rsidRPr="004C120E">
          <w:rPr>
            <w:rStyle w:val="Hyperlink"/>
            <w:rFonts w:asciiTheme="majorBidi" w:hAnsiTheme="majorBidi" w:cstheme="majorBidi"/>
            <w:b/>
            <w:bCs/>
            <w:szCs w:val="24"/>
          </w:rPr>
          <w:t>362 (</w:t>
        </w:r>
        <w:r w:rsidR="00784B1A" w:rsidRPr="00784B1A">
          <w:rPr>
            <w:rStyle w:val="Hyperlink"/>
            <w:rFonts w:asciiTheme="majorBidi" w:hAnsiTheme="majorBidi" w:cstheme="majorBidi"/>
            <w:b/>
            <w:bCs/>
            <w:szCs w:val="24"/>
          </w:rPr>
          <w:t>CMR</w:t>
        </w:r>
        <w:r w:rsidR="009953CA" w:rsidRPr="004C120E">
          <w:rPr>
            <w:rStyle w:val="Hyperlink"/>
            <w:rFonts w:asciiTheme="majorBidi" w:hAnsiTheme="majorBidi" w:cstheme="majorBidi"/>
            <w:b/>
            <w:bCs/>
            <w:szCs w:val="24"/>
          </w:rPr>
          <w:noBreakHyphen/>
          <w:t>15)</w:t>
        </w:r>
      </w:hyperlink>
      <w:r w:rsidRPr="00F77092">
        <w:rPr>
          <w:lang w:val="fr-CH"/>
        </w:rPr>
        <w:t>;</w:t>
      </w:r>
    </w:p>
    <w:p w:rsidR="00081529" w:rsidRPr="00F77092" w:rsidRDefault="00081529" w:rsidP="00A17011">
      <w:pPr>
        <w:jc w:val="both"/>
        <w:rPr>
          <w:lang w:val="fr-CH"/>
        </w:rPr>
      </w:pPr>
      <w:r w:rsidRPr="00F77092">
        <w:rPr>
          <w:lang w:val="fr-CH"/>
        </w:rPr>
        <w:t>1.9.2</w:t>
      </w:r>
      <w:r w:rsidRPr="00F77092">
        <w:rPr>
          <w:lang w:val="fr-CH"/>
        </w:rPr>
        <w:tab/>
        <w:t xml:space="preserve">les modifications à apporter au Règlement des radiocommunications, y compris de nouvelles attributions de fréquences au service mobile maritime par </w:t>
      </w:r>
      <w:r>
        <w:rPr>
          <w:lang w:val="fr-CH"/>
        </w:rPr>
        <w:t>satellite (Terre vers espace et </w:t>
      </w:r>
      <w:r w:rsidRPr="00F77092">
        <w:rPr>
          <w:lang w:val="fr-CH"/>
        </w:rPr>
        <w:t>espace vers Terre), de préférence dans les bandes de fréq</w:t>
      </w:r>
      <w:r>
        <w:rPr>
          <w:lang w:val="fr-CH"/>
        </w:rPr>
        <w:t>uences 156,0125-157,4375 MHz et </w:t>
      </w:r>
      <w:r w:rsidRPr="00F77092">
        <w:rPr>
          <w:lang w:val="fr-CH"/>
        </w:rPr>
        <w:t>160,6125-162,0375 MHz de l</w:t>
      </w:r>
      <w:r>
        <w:rPr>
          <w:lang w:val="fr-CH"/>
        </w:rPr>
        <w:t>'</w:t>
      </w:r>
      <w:r w:rsidRPr="00F77092">
        <w:rPr>
          <w:lang w:val="fr-CH"/>
        </w:rPr>
        <w:t xml:space="preserve">Appendice </w:t>
      </w:r>
      <w:r w:rsidRPr="00F77092">
        <w:rPr>
          <w:b/>
          <w:bCs/>
          <w:lang w:val="fr-CH"/>
        </w:rPr>
        <w:t>18</w:t>
      </w:r>
      <w:r w:rsidRPr="00F77092">
        <w:rPr>
          <w:lang w:val="fr-CH"/>
        </w:rPr>
        <w:t xml:space="preserve">, pour pouvoir exploiter une nouvelle composante satellite du système </w:t>
      </w:r>
      <w:r>
        <w:rPr>
          <w:lang w:val="fr-CH"/>
        </w:rPr>
        <w:t>d'échange de données en ondes métriques (</w:t>
      </w:r>
      <w:r w:rsidRPr="00F77092">
        <w:rPr>
          <w:lang w:val="fr-CH"/>
        </w:rPr>
        <w:t>VDES</w:t>
      </w:r>
      <w:r>
        <w:rPr>
          <w:lang w:val="fr-CH"/>
        </w:rPr>
        <w:t>)</w:t>
      </w:r>
      <w:r w:rsidRPr="00F77092">
        <w:rPr>
          <w:lang w:val="fr-CH"/>
        </w:rPr>
        <w:t xml:space="preserve">, tout en garantissant que cette composante ne dégradera pas le fonctionnement de la composante de Terre actuelle du système VDES, des applications </w:t>
      </w:r>
      <w:r>
        <w:rPr>
          <w:lang w:val="fr-CH"/>
        </w:rPr>
        <w:t>de messages propres aux applications (</w:t>
      </w:r>
      <w:r w:rsidRPr="00F77092">
        <w:rPr>
          <w:lang w:val="fr-CH"/>
        </w:rPr>
        <w:t>ASM</w:t>
      </w:r>
      <w:r>
        <w:rPr>
          <w:lang w:val="fr-CH"/>
        </w:rPr>
        <w:t>)</w:t>
      </w:r>
      <w:r w:rsidRPr="00F77092">
        <w:rPr>
          <w:lang w:val="fr-CH"/>
        </w:rPr>
        <w:t xml:space="preserve"> et AIS, et n</w:t>
      </w:r>
      <w:r>
        <w:rPr>
          <w:lang w:val="fr-CH"/>
        </w:rPr>
        <w:t>'</w:t>
      </w:r>
      <w:r w:rsidRPr="00F77092">
        <w:rPr>
          <w:lang w:val="fr-CH"/>
        </w:rPr>
        <w:t xml:space="preserve">imposera pas de contraintes supplémentaires aux services existants dans ces bandes de fréquences et dans les bandes de fréquences adjacentes comme indiqué aux points </w:t>
      </w:r>
      <w:r w:rsidRPr="00011257">
        <w:rPr>
          <w:i/>
          <w:iCs/>
          <w:lang w:val="fr-CH"/>
        </w:rPr>
        <w:t>d)</w:t>
      </w:r>
      <w:r w:rsidRPr="00F77092">
        <w:rPr>
          <w:lang w:val="fr-CH"/>
        </w:rPr>
        <w:t xml:space="preserve"> et </w:t>
      </w:r>
      <w:r w:rsidRPr="00011257">
        <w:rPr>
          <w:i/>
          <w:iCs/>
          <w:lang w:val="fr-CH"/>
        </w:rPr>
        <w:t>e)</w:t>
      </w:r>
      <w:r w:rsidRPr="00F77092">
        <w:rPr>
          <w:lang w:val="fr-CH"/>
        </w:rPr>
        <w:t xml:space="preserve"> du </w:t>
      </w:r>
      <w:r w:rsidRPr="00011257">
        <w:rPr>
          <w:i/>
          <w:iCs/>
          <w:lang w:val="fr-CH"/>
        </w:rPr>
        <w:t>reconnaissant</w:t>
      </w:r>
      <w:r w:rsidRPr="00F77092">
        <w:rPr>
          <w:lang w:val="fr-CH"/>
        </w:rPr>
        <w:t xml:space="preserve"> de la </w:t>
      </w:r>
      <w:hyperlink w:anchor="RES_360" w:history="1">
        <w:r w:rsidR="009953CA" w:rsidRPr="004C120E">
          <w:rPr>
            <w:rStyle w:val="Hyperlink"/>
            <w:rFonts w:asciiTheme="majorBidi" w:hAnsiTheme="majorBidi" w:cstheme="majorBidi"/>
            <w:iCs/>
            <w:szCs w:val="24"/>
          </w:rPr>
          <w:t>R</w:t>
        </w:r>
        <w:r w:rsidR="00784B1A">
          <w:rPr>
            <w:rStyle w:val="Hyperlink"/>
            <w:rFonts w:asciiTheme="majorBidi" w:hAnsiTheme="majorBidi" w:cstheme="majorBidi"/>
            <w:iCs/>
            <w:szCs w:val="24"/>
          </w:rPr>
          <w:t>é</w:t>
        </w:r>
        <w:r w:rsidR="009953CA" w:rsidRPr="004C120E">
          <w:rPr>
            <w:rStyle w:val="Hyperlink"/>
            <w:rFonts w:asciiTheme="majorBidi" w:hAnsiTheme="majorBidi" w:cstheme="majorBidi"/>
            <w:iCs/>
            <w:szCs w:val="24"/>
          </w:rPr>
          <w:t>solution </w:t>
        </w:r>
        <w:r w:rsidR="009953CA" w:rsidRPr="004C120E">
          <w:rPr>
            <w:rStyle w:val="Hyperlink"/>
            <w:rFonts w:asciiTheme="majorBidi" w:hAnsiTheme="majorBidi" w:cstheme="majorBidi"/>
            <w:b/>
            <w:bCs/>
            <w:iCs/>
            <w:szCs w:val="24"/>
          </w:rPr>
          <w:t>360</w:t>
        </w:r>
        <w:r w:rsidR="009953CA" w:rsidRPr="004C120E">
          <w:rPr>
            <w:rStyle w:val="Hyperlink"/>
            <w:rFonts w:asciiTheme="majorBidi" w:hAnsiTheme="majorBidi" w:cstheme="majorBidi"/>
            <w:iCs/>
            <w:szCs w:val="24"/>
          </w:rPr>
          <w:t xml:space="preserve"> (</w:t>
        </w:r>
        <w:r w:rsidR="00E25FB6">
          <w:rPr>
            <w:rStyle w:val="Hyperlink"/>
            <w:rFonts w:asciiTheme="majorBidi" w:hAnsiTheme="majorBidi" w:cstheme="majorBidi"/>
            <w:b/>
            <w:bCs/>
            <w:iCs/>
            <w:szCs w:val="24"/>
          </w:rPr>
          <w:t>Rév</w:t>
        </w:r>
        <w:r w:rsidR="009953CA" w:rsidRPr="004C120E">
          <w:rPr>
            <w:rStyle w:val="Hyperlink"/>
            <w:rFonts w:asciiTheme="majorBidi" w:hAnsiTheme="majorBidi" w:cstheme="majorBidi"/>
            <w:b/>
            <w:bCs/>
            <w:iCs/>
            <w:szCs w:val="24"/>
          </w:rPr>
          <w:t>.</w:t>
        </w:r>
        <w:r w:rsidR="00784B1A" w:rsidRPr="00784B1A">
          <w:rPr>
            <w:rStyle w:val="Hyperlink"/>
            <w:rFonts w:asciiTheme="majorBidi" w:hAnsiTheme="majorBidi" w:cstheme="majorBidi"/>
            <w:b/>
            <w:bCs/>
            <w:iCs/>
            <w:szCs w:val="24"/>
          </w:rPr>
          <w:t>CMR</w:t>
        </w:r>
        <w:r w:rsidR="009953CA" w:rsidRPr="004C120E">
          <w:rPr>
            <w:rStyle w:val="Hyperlink"/>
            <w:rFonts w:asciiTheme="majorBidi" w:hAnsiTheme="majorBidi" w:cstheme="majorBidi"/>
            <w:b/>
            <w:bCs/>
            <w:iCs/>
            <w:szCs w:val="24"/>
          </w:rPr>
          <w:noBreakHyphen/>
          <w:t>15</w:t>
        </w:r>
        <w:r w:rsidR="009953CA" w:rsidRPr="004C120E">
          <w:rPr>
            <w:rStyle w:val="Hyperlink"/>
            <w:rFonts w:asciiTheme="majorBidi" w:hAnsiTheme="majorBidi" w:cstheme="majorBidi"/>
            <w:iCs/>
            <w:szCs w:val="24"/>
          </w:rPr>
          <w:t>)</w:t>
        </w:r>
      </w:hyperlink>
      <w:r w:rsidRPr="00F77092">
        <w:rPr>
          <w:lang w:val="fr-CH"/>
        </w:rPr>
        <w:t>;</w:t>
      </w:r>
    </w:p>
    <w:p w:rsidR="00081529" w:rsidRPr="00F77092" w:rsidRDefault="00081529" w:rsidP="00A17011">
      <w:pPr>
        <w:jc w:val="both"/>
        <w:rPr>
          <w:highlight w:val="cyan"/>
          <w:lang w:val="fr-CH"/>
        </w:rPr>
      </w:pPr>
      <w:r w:rsidRPr="00F77092">
        <w:rPr>
          <w:lang w:val="fr-CH"/>
        </w:rPr>
        <w:t>1.10</w:t>
      </w:r>
      <w:r w:rsidRPr="00F77092">
        <w:rPr>
          <w:lang w:val="fr-CH"/>
        </w:rPr>
        <w:tab/>
        <w:t xml:space="preserve">examiner les besoins de </w:t>
      </w:r>
      <w:r>
        <w:rPr>
          <w:lang w:val="fr-CH"/>
        </w:rPr>
        <w:t>spectre</w:t>
      </w:r>
      <w:r w:rsidRPr="00F77092">
        <w:rPr>
          <w:lang w:val="fr-CH"/>
        </w:rPr>
        <w:t xml:space="preserve"> et les dispositions réglementaires en vue de la mise en place et de l</w:t>
      </w:r>
      <w:r>
        <w:rPr>
          <w:lang w:val="fr-CH"/>
        </w:rPr>
        <w:t>'</w:t>
      </w:r>
      <w:r w:rsidRPr="00F77092">
        <w:rPr>
          <w:lang w:val="fr-CH"/>
        </w:rPr>
        <w:t xml:space="preserve">utilisation du système mondial de détresse et de sécurité aéronautique (GADSS), conformément à la </w:t>
      </w:r>
      <w:hyperlink w:anchor="RES_426" w:history="1">
        <w:r w:rsidR="00784B1A">
          <w:rPr>
            <w:rStyle w:val="Hyperlink"/>
            <w:rFonts w:asciiTheme="majorBidi" w:hAnsiTheme="majorBidi" w:cstheme="majorBidi"/>
            <w:szCs w:val="24"/>
          </w:rPr>
          <w:t>Ré</w:t>
        </w:r>
        <w:r w:rsidR="009953CA" w:rsidRPr="004C120E">
          <w:rPr>
            <w:rStyle w:val="Hyperlink"/>
            <w:rFonts w:asciiTheme="majorBidi" w:hAnsiTheme="majorBidi" w:cstheme="majorBidi"/>
            <w:szCs w:val="24"/>
          </w:rPr>
          <w:t>solution </w:t>
        </w:r>
        <w:r w:rsidR="009953CA" w:rsidRPr="004C120E">
          <w:rPr>
            <w:rStyle w:val="Hyperlink"/>
            <w:rFonts w:asciiTheme="majorBidi" w:hAnsiTheme="majorBidi" w:cstheme="majorBidi"/>
            <w:b/>
            <w:bCs/>
            <w:szCs w:val="24"/>
          </w:rPr>
          <w:t>426 (</w:t>
        </w:r>
        <w:r w:rsidR="00784B1A" w:rsidRPr="00784B1A">
          <w:rPr>
            <w:rStyle w:val="Hyperlink"/>
            <w:rFonts w:asciiTheme="majorBidi" w:hAnsiTheme="majorBidi" w:cstheme="majorBidi"/>
            <w:b/>
            <w:bCs/>
            <w:szCs w:val="24"/>
          </w:rPr>
          <w:t>CMR</w:t>
        </w:r>
        <w:r w:rsidR="009953CA" w:rsidRPr="004C120E">
          <w:rPr>
            <w:rStyle w:val="Hyperlink"/>
            <w:rFonts w:asciiTheme="majorBidi" w:hAnsiTheme="majorBidi" w:cstheme="majorBidi"/>
            <w:b/>
            <w:bCs/>
            <w:szCs w:val="24"/>
          </w:rPr>
          <w:t>15)</w:t>
        </w:r>
      </w:hyperlink>
      <w:r w:rsidRPr="00F77092">
        <w:rPr>
          <w:lang w:val="fr-CH"/>
        </w:rPr>
        <w:t>;</w:t>
      </w:r>
      <w:r w:rsidRPr="00F77092" w:rsidDel="000308AC">
        <w:rPr>
          <w:highlight w:val="cyan"/>
          <w:lang w:val="fr-CH"/>
        </w:rPr>
        <w:t xml:space="preserve"> </w:t>
      </w:r>
    </w:p>
    <w:p w:rsidR="00081529" w:rsidRPr="00F77092" w:rsidRDefault="00081529" w:rsidP="00A17011">
      <w:pPr>
        <w:jc w:val="both"/>
        <w:rPr>
          <w:lang w:val="fr-CH"/>
        </w:rPr>
      </w:pPr>
      <w:r w:rsidRPr="00F77092">
        <w:rPr>
          <w:lang w:val="fr-CH"/>
        </w:rPr>
        <w:t>1.11</w:t>
      </w:r>
      <w:r w:rsidRPr="00F77092">
        <w:rPr>
          <w:lang w:val="fr-CH"/>
        </w:rPr>
        <w:tab/>
      </w:r>
      <w:r>
        <w:rPr>
          <w:lang w:val="fr-CH"/>
        </w:rPr>
        <w:t>prendre l</w:t>
      </w:r>
      <w:r w:rsidRPr="00F77092">
        <w:rPr>
          <w:lang w:val="fr-CH"/>
        </w:rPr>
        <w:t xml:space="preserve">es mesures </w:t>
      </w:r>
      <w:r>
        <w:rPr>
          <w:lang w:val="fr-CH"/>
        </w:rPr>
        <w:t>nécessair</w:t>
      </w:r>
      <w:r w:rsidRPr="00F77092">
        <w:rPr>
          <w:lang w:val="fr-CH"/>
        </w:rPr>
        <w:t>es, selon qu</w:t>
      </w:r>
      <w:r>
        <w:rPr>
          <w:lang w:val="fr-CH"/>
        </w:rPr>
        <w:t>'</w:t>
      </w:r>
      <w:r w:rsidRPr="00F77092">
        <w:rPr>
          <w:lang w:val="fr-CH"/>
        </w:rPr>
        <w:t>il convient, pour faciliter l</w:t>
      </w:r>
      <w:r>
        <w:rPr>
          <w:lang w:val="fr-CH"/>
        </w:rPr>
        <w:t>'</w:t>
      </w:r>
      <w:r w:rsidRPr="00F77092">
        <w:rPr>
          <w:lang w:val="fr-CH"/>
        </w:rPr>
        <w:t>identification de bandes de fréquences harmonisées à l</w:t>
      </w:r>
      <w:r>
        <w:rPr>
          <w:lang w:val="fr-CH"/>
        </w:rPr>
        <w:t>'</w:t>
      </w:r>
      <w:r w:rsidRPr="00F77092">
        <w:rPr>
          <w:lang w:val="fr-CH"/>
        </w:rPr>
        <w:t xml:space="preserve">échelle mondiale ou régionale pour les systèmes de radiocommunication ferroviaires train/voie dans les bandes </w:t>
      </w:r>
      <w:r>
        <w:t>de fréquences</w:t>
      </w:r>
      <w:r w:rsidRPr="00F77092">
        <w:rPr>
          <w:lang w:val="fr-CH"/>
        </w:rPr>
        <w:t xml:space="preserve"> actuellement attribuées au service mobile, conformément à la </w:t>
      </w:r>
      <w:hyperlink w:anchor="RES_236" w:history="1">
        <w:r w:rsidR="009953CA" w:rsidRPr="004C120E">
          <w:rPr>
            <w:rStyle w:val="Hyperlink"/>
            <w:rFonts w:asciiTheme="majorBidi" w:eastAsia="SimSun" w:hAnsiTheme="majorBidi" w:cstheme="majorBidi"/>
            <w:szCs w:val="24"/>
            <w:lang w:eastAsia="zh-CN"/>
          </w:rPr>
          <w:t>R</w:t>
        </w:r>
        <w:r w:rsidR="00784B1A">
          <w:rPr>
            <w:rStyle w:val="Hyperlink"/>
            <w:rFonts w:asciiTheme="majorBidi" w:eastAsia="SimSun" w:hAnsiTheme="majorBidi" w:cstheme="majorBidi"/>
            <w:szCs w:val="24"/>
            <w:lang w:eastAsia="zh-CN"/>
          </w:rPr>
          <w:t>é</w:t>
        </w:r>
        <w:r w:rsidR="009953CA" w:rsidRPr="004C120E">
          <w:rPr>
            <w:rStyle w:val="Hyperlink"/>
            <w:rFonts w:asciiTheme="majorBidi" w:eastAsia="SimSun" w:hAnsiTheme="majorBidi" w:cstheme="majorBidi"/>
            <w:szCs w:val="24"/>
            <w:lang w:eastAsia="zh-CN"/>
          </w:rPr>
          <w:t>solution </w:t>
        </w:r>
        <w:r w:rsidR="009953CA" w:rsidRPr="004C120E">
          <w:rPr>
            <w:rStyle w:val="Hyperlink"/>
            <w:rFonts w:asciiTheme="majorBidi" w:eastAsia="SimSun" w:hAnsiTheme="majorBidi" w:cstheme="majorBidi"/>
            <w:b/>
            <w:bCs/>
            <w:szCs w:val="24"/>
            <w:lang w:eastAsia="zh-CN"/>
          </w:rPr>
          <w:t>236 (</w:t>
        </w:r>
        <w:r w:rsidR="00784B1A" w:rsidRPr="00784B1A">
          <w:rPr>
            <w:rStyle w:val="Hyperlink"/>
            <w:rFonts w:asciiTheme="majorBidi" w:eastAsia="SimSun" w:hAnsiTheme="majorBidi" w:cstheme="majorBidi"/>
            <w:b/>
            <w:bCs/>
            <w:szCs w:val="24"/>
            <w:lang w:eastAsia="zh-CN"/>
          </w:rPr>
          <w:t>CMR</w:t>
        </w:r>
        <w:r w:rsidR="009953CA" w:rsidRPr="004C120E">
          <w:rPr>
            <w:rStyle w:val="Hyperlink"/>
            <w:rFonts w:asciiTheme="majorBidi" w:eastAsia="SimSun" w:hAnsiTheme="majorBidi" w:cstheme="majorBidi"/>
            <w:b/>
            <w:bCs/>
            <w:szCs w:val="24"/>
            <w:lang w:eastAsia="zh-CN"/>
          </w:rPr>
          <w:noBreakHyphen/>
          <w:t>15)</w:t>
        </w:r>
      </w:hyperlink>
      <w:r w:rsidRPr="00F77092">
        <w:rPr>
          <w:lang w:val="fr-CH"/>
        </w:rPr>
        <w:t>;</w:t>
      </w:r>
    </w:p>
    <w:p w:rsidR="00081529" w:rsidRPr="00F77092" w:rsidRDefault="00081529" w:rsidP="00A17011">
      <w:pPr>
        <w:jc w:val="both"/>
        <w:rPr>
          <w:highlight w:val="cyan"/>
          <w:lang w:val="fr-CH"/>
        </w:rPr>
      </w:pPr>
      <w:r w:rsidRPr="00F77092">
        <w:rPr>
          <w:lang w:val="fr-CH"/>
        </w:rPr>
        <w:lastRenderedPageBreak/>
        <w:t>1.12</w:t>
      </w:r>
      <w:r w:rsidRPr="00F77092">
        <w:rPr>
          <w:lang w:val="fr-CH"/>
        </w:rPr>
        <w:tab/>
        <w:t>examiner d</w:t>
      </w:r>
      <w:r>
        <w:rPr>
          <w:lang w:val="fr-CH"/>
        </w:rPr>
        <w:t>'</w:t>
      </w:r>
      <w:r w:rsidRPr="00F77092">
        <w:rPr>
          <w:lang w:val="fr-CH"/>
        </w:rPr>
        <w:t>éventuelles bandes de fréquences harmonisées à l</w:t>
      </w:r>
      <w:r>
        <w:rPr>
          <w:lang w:val="fr-CH"/>
        </w:rPr>
        <w:t>'</w:t>
      </w:r>
      <w:r w:rsidRPr="00F77092">
        <w:rPr>
          <w:lang w:val="fr-CH"/>
        </w:rPr>
        <w:t xml:space="preserve">échelle mondiale ou régionale, dans toute la mesure possible, pour la mise en </w:t>
      </w:r>
      <w:proofErr w:type="spellStart"/>
      <w:r w:rsidRPr="00F77092">
        <w:rPr>
          <w:lang w:val="fr-CH"/>
        </w:rPr>
        <w:t>oeuvre</w:t>
      </w:r>
      <w:proofErr w:type="spellEnd"/>
      <w:r w:rsidRPr="00F77092">
        <w:rPr>
          <w:lang w:val="fr-CH"/>
        </w:rPr>
        <w:t xml:space="preserve"> des systèmes de transport intelligents (ITS) en évolution dans le cadre des attribution</w:t>
      </w:r>
      <w:r>
        <w:rPr>
          <w:lang w:val="fr-CH"/>
        </w:rPr>
        <w:t xml:space="preserve">s existantes au service mobile, </w:t>
      </w:r>
      <w:r w:rsidRPr="00F77092">
        <w:rPr>
          <w:lang w:val="fr-CH"/>
        </w:rPr>
        <w:t xml:space="preserve">conformément à la </w:t>
      </w:r>
      <w:hyperlink w:anchor="RES_237" w:history="1">
        <w:r w:rsidR="004B075B">
          <w:rPr>
            <w:rStyle w:val="Hyperlink"/>
            <w:rFonts w:asciiTheme="majorBidi" w:eastAsia="SimSun" w:hAnsiTheme="majorBidi" w:cstheme="majorBidi"/>
            <w:szCs w:val="24"/>
            <w:lang w:eastAsia="zh-CN"/>
          </w:rPr>
          <w:t>Ré</w:t>
        </w:r>
        <w:r w:rsidR="004123F6" w:rsidRPr="004C120E">
          <w:rPr>
            <w:rStyle w:val="Hyperlink"/>
            <w:rFonts w:asciiTheme="majorBidi" w:eastAsia="SimSun" w:hAnsiTheme="majorBidi" w:cstheme="majorBidi"/>
            <w:szCs w:val="24"/>
            <w:lang w:eastAsia="zh-CN"/>
          </w:rPr>
          <w:t>solution </w:t>
        </w:r>
        <w:r w:rsidR="004123F6" w:rsidRPr="004C120E">
          <w:rPr>
            <w:rStyle w:val="Hyperlink"/>
            <w:rFonts w:asciiTheme="majorBidi" w:eastAsia="SimSun" w:hAnsiTheme="majorBidi" w:cstheme="majorBidi"/>
            <w:b/>
            <w:bCs/>
            <w:szCs w:val="24"/>
            <w:lang w:eastAsia="zh-CN"/>
          </w:rPr>
          <w:t>237 (</w:t>
        </w:r>
        <w:r w:rsidR="0092019C" w:rsidRPr="0092019C">
          <w:rPr>
            <w:rStyle w:val="Hyperlink"/>
            <w:rFonts w:asciiTheme="majorBidi" w:eastAsia="SimSun" w:hAnsiTheme="majorBidi" w:cstheme="majorBidi"/>
            <w:b/>
            <w:bCs/>
            <w:szCs w:val="24"/>
            <w:lang w:eastAsia="zh-CN"/>
          </w:rPr>
          <w:t>CMR</w:t>
        </w:r>
        <w:r w:rsidR="004123F6" w:rsidRPr="004C120E">
          <w:rPr>
            <w:rStyle w:val="Hyperlink"/>
            <w:rFonts w:asciiTheme="majorBidi" w:eastAsia="SimSun" w:hAnsiTheme="majorBidi" w:cstheme="majorBidi"/>
            <w:b/>
            <w:bCs/>
            <w:szCs w:val="24"/>
            <w:lang w:eastAsia="zh-CN"/>
          </w:rPr>
          <w:noBreakHyphen/>
          <w:t>15)</w:t>
        </w:r>
      </w:hyperlink>
      <w:r w:rsidRPr="00F77092">
        <w:rPr>
          <w:lang w:val="fr-CH"/>
        </w:rPr>
        <w:t>;</w:t>
      </w:r>
      <w:r w:rsidRPr="00F77092" w:rsidDel="00E55F8F">
        <w:rPr>
          <w:highlight w:val="cyan"/>
          <w:lang w:val="fr-CH"/>
        </w:rPr>
        <w:t xml:space="preserve"> </w:t>
      </w:r>
    </w:p>
    <w:p w:rsidR="00081529" w:rsidRDefault="00081529" w:rsidP="00A17011">
      <w:pPr>
        <w:tabs>
          <w:tab w:val="clear" w:pos="1871"/>
          <w:tab w:val="clear" w:pos="2268"/>
          <w:tab w:val="left" w:pos="1588"/>
          <w:tab w:val="left" w:pos="1985"/>
        </w:tabs>
        <w:jc w:val="both"/>
        <w:rPr>
          <w:lang w:val="fr-CH"/>
        </w:rPr>
      </w:pPr>
      <w:r w:rsidRPr="00F77092">
        <w:rPr>
          <w:lang w:val="fr-CH"/>
        </w:rPr>
        <w:t>1.13</w:t>
      </w:r>
      <w:r w:rsidRPr="00F77092">
        <w:rPr>
          <w:lang w:val="fr-CH"/>
        </w:rPr>
        <w:tab/>
        <w:t>envisager l</w:t>
      </w:r>
      <w:r>
        <w:rPr>
          <w:lang w:val="fr-CH"/>
        </w:rPr>
        <w:t>'</w:t>
      </w:r>
      <w:r w:rsidRPr="00F77092">
        <w:rPr>
          <w:lang w:val="fr-CH"/>
        </w:rPr>
        <w:t xml:space="preserve">identification de bandes de fréquences </w:t>
      </w:r>
      <w:r>
        <w:rPr>
          <w:lang w:val="fr-CH"/>
        </w:rPr>
        <w:t>pour le développement futur des T</w:t>
      </w:r>
      <w:r w:rsidRPr="00F77092">
        <w:rPr>
          <w:lang w:val="fr-CH"/>
        </w:rPr>
        <w:t xml:space="preserve">élécommunications mobiles internationales (IMT), y compris des attributions additionnelles possibles à titre primaire au service mobile, conformément à la </w:t>
      </w:r>
      <w:hyperlink w:anchor="RES_238" w:history="1">
        <w:r w:rsidR="004B075B">
          <w:rPr>
            <w:rStyle w:val="Hyperlink"/>
            <w:rFonts w:asciiTheme="majorBidi" w:hAnsiTheme="majorBidi" w:cstheme="majorBidi"/>
            <w:szCs w:val="24"/>
          </w:rPr>
          <w:t>Ré</w:t>
        </w:r>
        <w:r w:rsidR="004123F6" w:rsidRPr="004C120E">
          <w:rPr>
            <w:rStyle w:val="Hyperlink"/>
            <w:rFonts w:asciiTheme="majorBidi" w:hAnsiTheme="majorBidi" w:cstheme="majorBidi"/>
            <w:szCs w:val="24"/>
          </w:rPr>
          <w:t>solution </w:t>
        </w:r>
        <w:r w:rsidR="004123F6" w:rsidRPr="004C120E">
          <w:rPr>
            <w:rStyle w:val="Hyperlink"/>
            <w:rFonts w:asciiTheme="majorBidi" w:eastAsia="SimSun" w:hAnsiTheme="majorBidi" w:cstheme="majorBidi"/>
            <w:b/>
            <w:bCs/>
            <w:szCs w:val="24"/>
          </w:rPr>
          <w:t>238 (</w:t>
        </w:r>
        <w:r w:rsidR="0092019C" w:rsidRPr="0092019C">
          <w:rPr>
            <w:rStyle w:val="Hyperlink"/>
            <w:rFonts w:asciiTheme="majorBidi" w:eastAsia="SimSun" w:hAnsiTheme="majorBidi" w:cstheme="majorBidi"/>
            <w:b/>
            <w:bCs/>
            <w:szCs w:val="24"/>
          </w:rPr>
          <w:t>CMR</w:t>
        </w:r>
        <w:r w:rsidR="004123F6" w:rsidRPr="004C120E">
          <w:rPr>
            <w:rStyle w:val="Hyperlink"/>
            <w:rFonts w:asciiTheme="majorBidi" w:eastAsia="SimSun" w:hAnsiTheme="majorBidi" w:cstheme="majorBidi"/>
            <w:b/>
            <w:bCs/>
            <w:szCs w:val="24"/>
          </w:rPr>
          <w:noBreakHyphen/>
          <w:t>15)</w:t>
        </w:r>
      </w:hyperlink>
      <w:r w:rsidRPr="00F77092">
        <w:rPr>
          <w:lang w:val="fr-CH"/>
        </w:rPr>
        <w:t>;</w:t>
      </w:r>
    </w:p>
    <w:p w:rsidR="00081529" w:rsidRPr="00F77092" w:rsidRDefault="00081529" w:rsidP="005131A3">
      <w:pPr>
        <w:jc w:val="both"/>
        <w:rPr>
          <w:b/>
          <w:bCs/>
          <w:lang w:val="fr-CH"/>
        </w:rPr>
      </w:pPr>
      <w:r w:rsidRPr="00F77092">
        <w:rPr>
          <w:lang w:val="fr-CH"/>
        </w:rPr>
        <w:t>1.14</w:t>
      </w:r>
      <w:r w:rsidRPr="00F77092">
        <w:rPr>
          <w:lang w:val="fr-CH"/>
        </w:rPr>
        <w:tab/>
        <w:t>examiner, sur la base des études de l</w:t>
      </w:r>
      <w:r>
        <w:rPr>
          <w:lang w:val="fr-CH"/>
        </w:rPr>
        <w:t>'</w:t>
      </w:r>
      <w:r w:rsidRPr="00F77092">
        <w:rPr>
          <w:lang w:val="fr-CH"/>
        </w:rPr>
        <w:t xml:space="preserve">UIT-R conformément à la </w:t>
      </w:r>
      <w:hyperlink w:anchor="RES_160"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1454E7" w:rsidRPr="004C120E">
          <w:rPr>
            <w:rStyle w:val="Hyperlink"/>
            <w:rFonts w:asciiTheme="majorBidi" w:hAnsiTheme="majorBidi" w:cstheme="majorBidi"/>
            <w:b/>
            <w:bCs/>
            <w:szCs w:val="24"/>
          </w:rPr>
          <w:t>160 (</w:t>
        </w:r>
        <w:r w:rsidR="0092019C" w:rsidRPr="0092019C">
          <w:rPr>
            <w:rStyle w:val="Hyperlink"/>
            <w:rFonts w:asciiTheme="majorBidi" w:hAnsiTheme="majorBidi" w:cstheme="majorBidi"/>
            <w:b/>
            <w:bCs/>
            <w:szCs w:val="24"/>
          </w:rPr>
          <w:t>CMR</w:t>
        </w:r>
        <w:r w:rsidR="001454E7" w:rsidRPr="004C120E">
          <w:rPr>
            <w:rStyle w:val="Hyperlink"/>
            <w:rFonts w:asciiTheme="majorBidi" w:hAnsiTheme="majorBidi" w:cstheme="majorBidi"/>
            <w:b/>
            <w:bCs/>
            <w:szCs w:val="24"/>
          </w:rPr>
          <w:noBreakHyphen/>
          <w:t>15)</w:t>
        </w:r>
      </w:hyperlink>
      <w:r w:rsidRPr="00F77092">
        <w:rPr>
          <w:lang w:val="fr-CH"/>
        </w:rPr>
        <w:t>, des mesures réglementaires appropriées pour les stations placées sur des plates</w:t>
      </w:r>
      <w:r w:rsidR="005131A3">
        <w:rPr>
          <w:lang w:val="fr-CH"/>
        </w:rPr>
        <w:noBreakHyphen/>
      </w:r>
      <w:r w:rsidRPr="00F77092">
        <w:rPr>
          <w:lang w:val="fr-CH"/>
        </w:rPr>
        <w:t>formes à haute altitude (HAPS), dans le cadre des attributions existantes au service fixe;</w:t>
      </w:r>
    </w:p>
    <w:p w:rsidR="00081529" w:rsidRPr="00F77092" w:rsidRDefault="00081529" w:rsidP="00A17011">
      <w:pPr>
        <w:jc w:val="both"/>
        <w:rPr>
          <w:highlight w:val="cyan"/>
          <w:lang w:val="fr-CH"/>
        </w:rPr>
      </w:pPr>
      <w:r w:rsidRPr="00F77092">
        <w:rPr>
          <w:lang w:val="fr-CH"/>
        </w:rPr>
        <w:t>1.15</w:t>
      </w:r>
      <w:r w:rsidRPr="00F77092">
        <w:rPr>
          <w:lang w:val="fr-CH"/>
        </w:rPr>
        <w:tab/>
        <w:t>envisager d</w:t>
      </w:r>
      <w:r>
        <w:rPr>
          <w:lang w:val="fr-CH"/>
        </w:rPr>
        <w:t>'</w:t>
      </w:r>
      <w:r w:rsidRPr="00F77092">
        <w:rPr>
          <w:lang w:val="fr-CH"/>
        </w:rPr>
        <w:t xml:space="preserve">identifier des bandes de fréquences destinées à être utilisées par les administrations pour les applications des services mobile terrestre et fixe fonctionnant dans la gamme de fréquences 275-450 GHz, conformément à la </w:t>
      </w:r>
      <w:hyperlink w:anchor="RES_767"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w:t>
        </w:r>
        <w:r w:rsidR="001454E7" w:rsidRPr="004C120E">
          <w:rPr>
            <w:rStyle w:val="Hyperlink"/>
            <w:rFonts w:asciiTheme="majorBidi" w:hAnsiTheme="majorBidi" w:cstheme="majorBidi"/>
            <w:b/>
            <w:szCs w:val="24"/>
          </w:rPr>
          <w:t> 767 (</w:t>
        </w:r>
        <w:r w:rsidR="0092019C" w:rsidRPr="0092019C">
          <w:rPr>
            <w:rStyle w:val="Hyperlink"/>
            <w:rFonts w:asciiTheme="majorBidi" w:hAnsiTheme="majorBidi" w:cstheme="majorBidi"/>
            <w:b/>
            <w:szCs w:val="24"/>
          </w:rPr>
          <w:t>CMR</w:t>
        </w:r>
        <w:r w:rsidR="001454E7" w:rsidRPr="004C120E">
          <w:rPr>
            <w:rStyle w:val="Hyperlink"/>
            <w:rFonts w:asciiTheme="majorBidi" w:hAnsiTheme="majorBidi" w:cstheme="majorBidi"/>
            <w:b/>
            <w:szCs w:val="24"/>
          </w:rPr>
          <w:noBreakHyphen/>
          <w:t>15)</w:t>
        </w:r>
      </w:hyperlink>
      <w:r w:rsidRPr="00F77092">
        <w:rPr>
          <w:lang w:val="fr-CH"/>
        </w:rPr>
        <w:t>;</w:t>
      </w:r>
      <w:r w:rsidRPr="00F77092" w:rsidDel="00663578">
        <w:rPr>
          <w:highlight w:val="cyan"/>
          <w:lang w:val="fr-CH"/>
        </w:rPr>
        <w:t xml:space="preserve"> </w:t>
      </w:r>
    </w:p>
    <w:p w:rsidR="00081529" w:rsidRPr="00F77092" w:rsidRDefault="00081529" w:rsidP="005131A3">
      <w:pPr>
        <w:jc w:val="both"/>
        <w:rPr>
          <w:lang w:val="fr-CH"/>
        </w:rPr>
      </w:pPr>
      <w:r w:rsidRPr="002F2A2E">
        <w:t>1.16</w:t>
      </w:r>
      <w:r w:rsidRPr="002F2A2E">
        <w:tab/>
      </w:r>
      <w:r w:rsidRPr="00F77092">
        <w:rPr>
          <w:lang w:val="fr-CH"/>
        </w:rPr>
        <w:t>examiner les questions relatives aux systèmes d</w:t>
      </w:r>
      <w:r>
        <w:rPr>
          <w:lang w:val="fr-CH"/>
        </w:rPr>
        <w:t>'</w:t>
      </w:r>
      <w:r w:rsidRPr="00F77092">
        <w:rPr>
          <w:lang w:val="fr-CH"/>
        </w:rPr>
        <w:t xml:space="preserve">accès </w:t>
      </w:r>
      <w:r>
        <w:rPr>
          <w:lang w:val="fr-CH"/>
        </w:rPr>
        <w:t>hertzien, y compris les réseaux </w:t>
      </w:r>
      <w:r w:rsidRPr="00F77092">
        <w:rPr>
          <w:lang w:val="fr-CH"/>
        </w:rPr>
        <w:t>locaux hertziens (WAS/RLAN), dans les bandes de fréquence</w:t>
      </w:r>
      <w:r>
        <w:rPr>
          <w:lang w:val="fr-CH"/>
        </w:rPr>
        <w:t>s comprises entre 5</w:t>
      </w:r>
      <w:r w:rsidR="005131A3">
        <w:rPr>
          <w:lang w:val="fr-CH"/>
        </w:rPr>
        <w:t> </w:t>
      </w:r>
      <w:r>
        <w:rPr>
          <w:lang w:val="fr-CH"/>
        </w:rPr>
        <w:t>150</w:t>
      </w:r>
      <w:r w:rsidR="005131A3">
        <w:rPr>
          <w:lang w:val="fr-CH"/>
        </w:rPr>
        <w:t> </w:t>
      </w:r>
      <w:r>
        <w:rPr>
          <w:lang w:val="fr-CH"/>
        </w:rPr>
        <w:t xml:space="preserve">MHz et </w:t>
      </w:r>
      <w:r w:rsidRPr="00F77092">
        <w:rPr>
          <w:lang w:val="fr-CH"/>
        </w:rPr>
        <w:t>5 925</w:t>
      </w:r>
      <w:r>
        <w:rPr>
          <w:lang w:val="fr-CH"/>
        </w:rPr>
        <w:t xml:space="preserve"> </w:t>
      </w:r>
      <w:r w:rsidRPr="00F77092">
        <w:rPr>
          <w:lang w:val="fr-CH"/>
        </w:rPr>
        <w:t xml:space="preserve">MHz, et prendre les mesures réglementaires appropriées, y compris des attributions de fréquences additionnelles au service mobile, conformément à la </w:t>
      </w:r>
      <w:hyperlink w:anchor="RES_239"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1454E7" w:rsidRPr="004C120E">
          <w:rPr>
            <w:rStyle w:val="Hyperlink"/>
            <w:rFonts w:asciiTheme="majorBidi" w:hAnsiTheme="majorBidi" w:cstheme="majorBidi"/>
            <w:b/>
            <w:bCs/>
            <w:szCs w:val="24"/>
          </w:rPr>
          <w:t>239 (</w:t>
        </w:r>
        <w:r w:rsidR="0092019C" w:rsidRPr="0092019C">
          <w:rPr>
            <w:rStyle w:val="Hyperlink"/>
            <w:rFonts w:asciiTheme="majorBidi" w:hAnsiTheme="majorBidi" w:cstheme="majorBidi"/>
            <w:b/>
            <w:bCs/>
            <w:szCs w:val="24"/>
          </w:rPr>
          <w:t>CMR</w:t>
        </w:r>
        <w:r w:rsidR="001454E7" w:rsidRPr="004C120E">
          <w:rPr>
            <w:rStyle w:val="Hyperlink"/>
            <w:rFonts w:asciiTheme="majorBidi" w:hAnsiTheme="majorBidi" w:cstheme="majorBidi"/>
            <w:b/>
            <w:bCs/>
            <w:szCs w:val="24"/>
          </w:rPr>
          <w:noBreakHyphen/>
          <w:t>15)</w:t>
        </w:r>
      </w:hyperlink>
      <w:r w:rsidRPr="00F77092">
        <w:rPr>
          <w:lang w:val="fr-CH"/>
        </w:rPr>
        <w:t>;</w:t>
      </w:r>
    </w:p>
    <w:p w:rsidR="00081529" w:rsidRPr="00B42483" w:rsidRDefault="00081529" w:rsidP="00A17011">
      <w:pPr>
        <w:jc w:val="both"/>
      </w:pPr>
      <w:r w:rsidRPr="00B42483">
        <w:t>2</w:t>
      </w:r>
      <w:r w:rsidRPr="00B42483">
        <w:tab/>
        <w:t>examiner les Recommandations UIT-R révisées et incorporées par référence dans le Règlement des radiocommunications, communiquées par l</w:t>
      </w:r>
      <w:r>
        <w:t>'</w:t>
      </w:r>
      <w:r w:rsidRPr="00B42483">
        <w:t xml:space="preserve">Assemblée des radiocommunications conformément à la </w:t>
      </w:r>
      <w:hyperlink w:anchor="RES_28"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1454E7" w:rsidRPr="004C120E">
          <w:rPr>
            <w:rStyle w:val="Hyperlink"/>
            <w:rFonts w:asciiTheme="majorBidi" w:hAnsiTheme="majorBidi" w:cstheme="majorBidi"/>
            <w:b/>
            <w:bCs/>
            <w:szCs w:val="24"/>
          </w:rPr>
          <w:t>28 (</w:t>
        </w:r>
        <w:r w:rsidR="00E25FB6">
          <w:rPr>
            <w:rStyle w:val="Hyperlink"/>
            <w:rFonts w:asciiTheme="majorBidi" w:hAnsiTheme="majorBidi" w:cstheme="majorBidi"/>
            <w:b/>
            <w:bCs/>
            <w:szCs w:val="24"/>
          </w:rPr>
          <w:t>Rév</w:t>
        </w:r>
        <w:r w:rsidR="001454E7" w:rsidRPr="004C120E">
          <w:rPr>
            <w:rStyle w:val="Hyperlink"/>
            <w:rFonts w:asciiTheme="majorBidi" w:hAnsiTheme="majorBidi" w:cstheme="majorBidi"/>
            <w:b/>
            <w:bCs/>
            <w:szCs w:val="24"/>
          </w:rPr>
          <w:t>.</w:t>
        </w:r>
        <w:r w:rsidR="0092019C" w:rsidRPr="0092019C">
          <w:rPr>
            <w:rStyle w:val="Hyperlink"/>
            <w:rFonts w:asciiTheme="majorBidi" w:hAnsiTheme="majorBidi" w:cstheme="majorBidi"/>
            <w:b/>
            <w:bCs/>
            <w:szCs w:val="24"/>
          </w:rPr>
          <w:t>CMR</w:t>
        </w:r>
        <w:r w:rsidR="001454E7" w:rsidRPr="004C120E">
          <w:rPr>
            <w:rStyle w:val="Hyperlink"/>
            <w:rFonts w:asciiTheme="majorBidi" w:hAnsiTheme="majorBidi" w:cstheme="majorBidi"/>
            <w:b/>
            <w:bCs/>
            <w:szCs w:val="24"/>
          </w:rPr>
          <w:noBreakHyphen/>
          <w:t>15)</w:t>
        </w:r>
      </w:hyperlink>
      <w:r w:rsidRPr="008A1A64">
        <w:t>,</w:t>
      </w:r>
      <w:r w:rsidRPr="008C0EDF">
        <w:rPr>
          <w:b/>
          <w:bCs/>
        </w:rPr>
        <w:t xml:space="preserve"> </w:t>
      </w:r>
      <w:r w:rsidRPr="00B42483">
        <w:t>et décider s</w:t>
      </w:r>
      <w:r>
        <w:t>'</w:t>
      </w:r>
      <w:r w:rsidRPr="00B42483">
        <w:t>il convient ou non de mettre à jour les références correspondantes dans le Règlement des radiocommunications, conformément aux principes énoncés dans l</w:t>
      </w:r>
      <w:r>
        <w:t>'</w:t>
      </w:r>
      <w:r w:rsidRPr="00B42483">
        <w:t xml:space="preserve">Annexe 1 de la </w:t>
      </w:r>
      <w:hyperlink w:anchor="RES_27"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4B075B">
          <w:rPr>
            <w:rStyle w:val="Hyperlink"/>
            <w:rFonts w:asciiTheme="majorBidi" w:hAnsiTheme="majorBidi" w:cstheme="majorBidi"/>
            <w:b/>
            <w:bCs/>
            <w:szCs w:val="24"/>
          </w:rPr>
          <w:t>27 (Ré</w:t>
        </w:r>
        <w:r w:rsidR="001454E7" w:rsidRPr="004C120E">
          <w:rPr>
            <w:rStyle w:val="Hyperlink"/>
            <w:rFonts w:asciiTheme="majorBidi" w:hAnsiTheme="majorBidi" w:cstheme="majorBidi"/>
            <w:b/>
            <w:bCs/>
            <w:szCs w:val="24"/>
          </w:rPr>
          <w:t>v.</w:t>
        </w:r>
        <w:r w:rsidR="0092019C" w:rsidRPr="0092019C">
          <w:rPr>
            <w:rStyle w:val="Hyperlink"/>
            <w:rFonts w:asciiTheme="majorBidi" w:hAnsiTheme="majorBidi" w:cstheme="majorBidi"/>
            <w:b/>
            <w:bCs/>
            <w:szCs w:val="24"/>
          </w:rPr>
          <w:t>CMR</w:t>
        </w:r>
        <w:r w:rsidR="001454E7" w:rsidRPr="004C120E">
          <w:rPr>
            <w:rStyle w:val="Hyperlink"/>
            <w:rFonts w:asciiTheme="majorBidi" w:hAnsiTheme="majorBidi" w:cstheme="majorBidi"/>
            <w:b/>
            <w:bCs/>
            <w:szCs w:val="24"/>
          </w:rPr>
          <w:noBreakHyphen/>
          <w:t>12)</w:t>
        </w:r>
      </w:hyperlink>
      <w:r w:rsidRPr="00B42483">
        <w:t>;</w:t>
      </w:r>
    </w:p>
    <w:p w:rsidR="00081529" w:rsidRPr="00B42483" w:rsidRDefault="00081529" w:rsidP="00A17011">
      <w:pPr>
        <w:jc w:val="both"/>
      </w:pPr>
      <w:r w:rsidRPr="00B42483">
        <w:t>3</w:t>
      </w:r>
      <w:r w:rsidRPr="00B42483">
        <w:tab/>
        <w:t>examiner les modifications et amendements à apporter éventuellement au Règlement des radiocommunications à la suite des décisions prises par la Conférence;</w:t>
      </w:r>
    </w:p>
    <w:p w:rsidR="00081529" w:rsidRPr="00B42483" w:rsidRDefault="00081529" w:rsidP="00A17011">
      <w:pPr>
        <w:jc w:val="both"/>
      </w:pPr>
      <w:r w:rsidRPr="00B42483">
        <w:t>4</w:t>
      </w:r>
      <w:r w:rsidRPr="00B42483">
        <w:tab/>
        <w:t xml:space="preserve">conformément à la </w:t>
      </w:r>
      <w:hyperlink w:anchor="RES_95"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4B075B">
          <w:rPr>
            <w:rStyle w:val="Hyperlink"/>
            <w:rFonts w:asciiTheme="majorBidi" w:hAnsiTheme="majorBidi" w:cstheme="majorBidi"/>
            <w:b/>
            <w:bCs/>
            <w:szCs w:val="24"/>
          </w:rPr>
          <w:t>95 (Ré</w:t>
        </w:r>
        <w:r w:rsidR="001454E7" w:rsidRPr="004C120E">
          <w:rPr>
            <w:rStyle w:val="Hyperlink"/>
            <w:rFonts w:asciiTheme="majorBidi" w:hAnsiTheme="majorBidi" w:cstheme="majorBidi"/>
            <w:b/>
            <w:bCs/>
            <w:szCs w:val="24"/>
          </w:rPr>
          <w:t>v.</w:t>
        </w:r>
        <w:r w:rsidR="0092019C" w:rsidRPr="0092019C">
          <w:rPr>
            <w:rStyle w:val="Hyperlink"/>
            <w:rFonts w:asciiTheme="majorBidi" w:hAnsiTheme="majorBidi" w:cstheme="majorBidi"/>
            <w:b/>
            <w:bCs/>
            <w:szCs w:val="24"/>
          </w:rPr>
          <w:t>CMR</w:t>
        </w:r>
        <w:r w:rsidR="001454E7" w:rsidRPr="004C120E">
          <w:rPr>
            <w:rStyle w:val="Hyperlink"/>
            <w:rFonts w:asciiTheme="majorBidi" w:hAnsiTheme="majorBidi" w:cstheme="majorBidi"/>
            <w:b/>
            <w:bCs/>
            <w:szCs w:val="24"/>
          </w:rPr>
          <w:noBreakHyphen/>
          <w:t>07)</w:t>
        </w:r>
      </w:hyperlink>
      <w:r w:rsidRPr="00B42483">
        <w:t>, examiner les résolutions et recommandations des conférences précédentes en vue, le cas échéant, de les réviser, de les remplacer ou de les supprimer;</w:t>
      </w:r>
    </w:p>
    <w:p w:rsidR="00081529" w:rsidRPr="00B42483" w:rsidRDefault="00081529" w:rsidP="00A17011">
      <w:pPr>
        <w:jc w:val="both"/>
      </w:pPr>
      <w:r w:rsidRPr="00B42483">
        <w:t>5</w:t>
      </w:r>
      <w:r w:rsidRPr="00B42483">
        <w:tab/>
        <w:t>examiner le Rapport de l</w:t>
      </w:r>
      <w:r>
        <w:t>'</w:t>
      </w:r>
      <w:r w:rsidRPr="00B42483">
        <w:t>Assemblée des radiocommunications soumis conformément aux numéros 135 et 136 de la Convention et lui donner la suite voulue;</w:t>
      </w:r>
    </w:p>
    <w:p w:rsidR="00081529" w:rsidRPr="00B42483" w:rsidRDefault="00081529" w:rsidP="00A17011">
      <w:pPr>
        <w:jc w:val="both"/>
      </w:pPr>
      <w:r w:rsidRPr="00B42483">
        <w:t>6</w:t>
      </w:r>
      <w:r w:rsidRPr="00B42483">
        <w:tab/>
        <w:t>identifier les points auxquels les commissions d</w:t>
      </w:r>
      <w:r>
        <w:t>'</w:t>
      </w:r>
      <w:r w:rsidRPr="00B42483">
        <w:t>études des radiocommunications doivent d</w:t>
      </w:r>
      <w:r>
        <w:t>'</w:t>
      </w:r>
      <w:r w:rsidRPr="00B42483">
        <w:t xml:space="preserve">urgence donner suite, en </w:t>
      </w:r>
      <w:r>
        <w:t>vue</w:t>
      </w:r>
      <w:r w:rsidRPr="00B42483">
        <w:t xml:space="preserve"> de la conférence mondiale des radiocommunications suivante;</w:t>
      </w:r>
    </w:p>
    <w:p w:rsidR="00081529" w:rsidRPr="00B42483" w:rsidRDefault="00081529" w:rsidP="00A17011">
      <w:pPr>
        <w:jc w:val="both"/>
      </w:pPr>
      <w:r w:rsidRPr="00B42483">
        <w:t>7</w:t>
      </w:r>
      <w:r w:rsidRPr="00B42483">
        <w:tab/>
        <w:t>examiner d</w:t>
      </w:r>
      <w:r>
        <w:t>'</w:t>
      </w:r>
      <w:r w:rsidRPr="00B42483">
        <w:t>éventuels changements à apporter, et d</w:t>
      </w:r>
      <w:r>
        <w:t>'</w:t>
      </w:r>
      <w:r w:rsidRPr="00B42483">
        <w:t xml:space="preserve">autres options à mettre en </w:t>
      </w:r>
      <w:proofErr w:type="spellStart"/>
      <w:r>
        <w:t>oe</w:t>
      </w:r>
      <w:r w:rsidRPr="00B42483">
        <w:t>uvre</w:t>
      </w:r>
      <w:proofErr w:type="spellEnd"/>
      <w:r w:rsidRPr="00B42483">
        <w:t>, en application de la Résolution 86 (</w:t>
      </w:r>
      <w:proofErr w:type="spellStart"/>
      <w:r w:rsidRPr="00B42483">
        <w:t>Rév</w:t>
      </w:r>
      <w:proofErr w:type="spellEnd"/>
      <w:r w:rsidRPr="00B42483">
        <w:t>. Marrakech, 2002) de la Conférence de plénipotentiaires, intitulée «Procédures de publication anticipée, de coordination, de notification et d</w:t>
      </w:r>
      <w:r>
        <w:t>'</w:t>
      </w:r>
      <w:r w:rsidRPr="00B42483">
        <w:t xml:space="preserve">inscription des assignations de fréquence relatives aux réseaux à satellite», conformément à la </w:t>
      </w:r>
      <w:hyperlink w:anchor="RES_86_rev_WRC07"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1454E7" w:rsidRPr="004C120E">
          <w:rPr>
            <w:rStyle w:val="Hyperlink"/>
            <w:rFonts w:asciiTheme="majorBidi" w:hAnsiTheme="majorBidi" w:cstheme="majorBidi"/>
            <w:b/>
            <w:bCs/>
            <w:szCs w:val="24"/>
          </w:rPr>
          <w:t xml:space="preserve">86 </w:t>
        </w:r>
        <w:r w:rsidR="004B075B">
          <w:rPr>
            <w:rStyle w:val="Hyperlink"/>
            <w:rFonts w:asciiTheme="majorBidi" w:hAnsiTheme="majorBidi" w:cstheme="majorBidi"/>
            <w:b/>
            <w:bCs/>
            <w:szCs w:val="24"/>
            <w:lang w:eastAsia="ja-JP"/>
          </w:rPr>
          <w:t>(Ré</w:t>
        </w:r>
        <w:r w:rsidR="001454E7" w:rsidRPr="004C120E">
          <w:rPr>
            <w:rStyle w:val="Hyperlink"/>
            <w:rFonts w:asciiTheme="majorBidi" w:hAnsiTheme="majorBidi" w:cstheme="majorBidi"/>
            <w:b/>
            <w:bCs/>
            <w:szCs w:val="24"/>
            <w:lang w:eastAsia="ja-JP"/>
          </w:rPr>
          <w:t>v.</w:t>
        </w:r>
        <w:r w:rsidR="0092019C" w:rsidRPr="0092019C">
          <w:rPr>
            <w:rStyle w:val="Hyperlink"/>
            <w:rFonts w:asciiTheme="majorBidi" w:hAnsiTheme="majorBidi" w:cstheme="majorBidi"/>
            <w:b/>
            <w:bCs/>
            <w:szCs w:val="24"/>
            <w:lang w:eastAsia="ja-JP"/>
          </w:rPr>
          <w:t>CMR</w:t>
        </w:r>
        <w:r w:rsidR="001454E7" w:rsidRPr="004C120E">
          <w:rPr>
            <w:rStyle w:val="Hyperlink"/>
            <w:rFonts w:asciiTheme="majorBidi" w:hAnsiTheme="majorBidi" w:cstheme="majorBidi"/>
            <w:b/>
            <w:bCs/>
            <w:szCs w:val="24"/>
            <w:lang w:eastAsia="ja-JP"/>
          </w:rPr>
          <w:noBreakHyphen/>
          <w:t>07)</w:t>
        </w:r>
      </w:hyperlink>
      <w:r w:rsidRPr="00B42483">
        <w:t>, afin de faciliter l</w:t>
      </w:r>
      <w:r>
        <w:t>'</w:t>
      </w:r>
      <w:r w:rsidRPr="00B42483">
        <w:t>utilisation rationnelle, efficace et économique des fréquences radioélectriques et des orbites associées, y compris de l</w:t>
      </w:r>
      <w:r>
        <w:t>'</w:t>
      </w:r>
      <w:r w:rsidRPr="00B42483">
        <w:t>orbite des satellites géostationnaires;</w:t>
      </w:r>
    </w:p>
    <w:p w:rsidR="00081529" w:rsidRPr="00B42483" w:rsidRDefault="00081529" w:rsidP="00A17011">
      <w:pPr>
        <w:jc w:val="both"/>
      </w:pPr>
      <w:r w:rsidRPr="00B42483">
        <w:t>8</w:t>
      </w:r>
      <w:r w:rsidRPr="00B42483">
        <w:tab/>
        <w:t>examiner les demandes des administrations qui souhaitent supprimer des renvois relatifs à leur pays ou le nom de leur pays de certains renvois, s</w:t>
      </w:r>
      <w:r>
        <w:t>'</w:t>
      </w:r>
      <w:r w:rsidRPr="00B42483">
        <w:t xml:space="preserve">ils ne sont plus nécessaires, compte tenu de la </w:t>
      </w:r>
      <w:hyperlink w:anchor="RES_26" w:history="1">
        <w:r w:rsidR="004B075B">
          <w:rPr>
            <w:rStyle w:val="Hyperlink"/>
            <w:rFonts w:asciiTheme="majorBidi" w:hAnsiTheme="majorBidi" w:cstheme="majorBidi"/>
            <w:szCs w:val="24"/>
          </w:rPr>
          <w:t>Ré</w:t>
        </w:r>
        <w:r w:rsidR="001454E7" w:rsidRPr="004C120E">
          <w:rPr>
            <w:rStyle w:val="Hyperlink"/>
            <w:rFonts w:asciiTheme="majorBidi" w:hAnsiTheme="majorBidi" w:cstheme="majorBidi"/>
            <w:szCs w:val="24"/>
          </w:rPr>
          <w:t>solution </w:t>
        </w:r>
        <w:r w:rsidR="004B075B">
          <w:rPr>
            <w:rStyle w:val="Hyperlink"/>
            <w:rFonts w:asciiTheme="majorBidi" w:hAnsiTheme="majorBidi" w:cstheme="majorBidi"/>
            <w:b/>
            <w:bCs/>
            <w:szCs w:val="24"/>
          </w:rPr>
          <w:t>26 (Ré</w:t>
        </w:r>
        <w:r w:rsidR="001454E7" w:rsidRPr="004C120E">
          <w:rPr>
            <w:rStyle w:val="Hyperlink"/>
            <w:rFonts w:asciiTheme="majorBidi" w:hAnsiTheme="majorBidi" w:cstheme="majorBidi"/>
            <w:b/>
            <w:bCs/>
            <w:szCs w:val="24"/>
          </w:rPr>
          <w:t>v.</w:t>
        </w:r>
        <w:r w:rsidR="0092019C" w:rsidRPr="0092019C">
          <w:rPr>
            <w:rStyle w:val="Hyperlink"/>
            <w:rFonts w:asciiTheme="majorBidi" w:hAnsiTheme="majorBidi" w:cstheme="majorBidi"/>
            <w:b/>
            <w:bCs/>
            <w:szCs w:val="24"/>
          </w:rPr>
          <w:t>CMR</w:t>
        </w:r>
        <w:r w:rsidR="001454E7" w:rsidRPr="004C120E">
          <w:rPr>
            <w:rStyle w:val="Hyperlink"/>
            <w:rFonts w:asciiTheme="majorBidi" w:hAnsiTheme="majorBidi" w:cstheme="majorBidi"/>
            <w:b/>
            <w:bCs/>
            <w:szCs w:val="24"/>
          </w:rPr>
          <w:noBreakHyphen/>
          <w:t>07)</w:t>
        </w:r>
      </w:hyperlink>
      <w:r w:rsidRPr="00B42483">
        <w:t>, et prendre les mesures voulues à ce sujet;</w:t>
      </w:r>
    </w:p>
    <w:p w:rsidR="00081529" w:rsidRPr="00B42483" w:rsidRDefault="00081529" w:rsidP="00A17011">
      <w:pPr>
        <w:jc w:val="both"/>
      </w:pPr>
      <w:r w:rsidRPr="00B42483">
        <w:lastRenderedPageBreak/>
        <w:t>9</w:t>
      </w:r>
      <w:r w:rsidRPr="00B42483">
        <w:tab/>
        <w:t>examiner et approuver le rapport du Directeur du Bureau des radiocommunications, conformément à l</w:t>
      </w:r>
      <w:r>
        <w:t>'</w:t>
      </w:r>
      <w:r w:rsidRPr="00B42483">
        <w:t>article</w:t>
      </w:r>
      <w:r>
        <w:t> </w:t>
      </w:r>
      <w:r w:rsidRPr="00B42483">
        <w:t>7 de la Convention:</w:t>
      </w:r>
    </w:p>
    <w:p w:rsidR="00081529" w:rsidRPr="00B42483" w:rsidRDefault="00081529" w:rsidP="00A17011">
      <w:pPr>
        <w:jc w:val="both"/>
      </w:pPr>
      <w:r w:rsidRPr="00B42483">
        <w:t>9.1</w:t>
      </w:r>
      <w:r w:rsidRPr="00B42483">
        <w:tab/>
        <w:t>sur les activités du Secteur des radiocommunications depuis la CMR</w:t>
      </w:r>
      <w:r w:rsidRPr="00B42483">
        <w:noBreakHyphen/>
      </w:r>
      <w:r>
        <w:t>15;</w:t>
      </w:r>
    </w:p>
    <w:p w:rsidR="00081529" w:rsidRPr="00B42483" w:rsidRDefault="00081529" w:rsidP="00A17011">
      <w:pPr>
        <w:jc w:val="both"/>
      </w:pPr>
      <w:r w:rsidRPr="00B42483">
        <w:t>9.2</w:t>
      </w:r>
      <w:r w:rsidRPr="00B42483">
        <w:tab/>
        <w:t>sur les difficultés rencontrées ou les incohérences constatées dans l</w:t>
      </w:r>
      <w:r>
        <w:t>'</w:t>
      </w:r>
      <w:r w:rsidRPr="00B42483">
        <w:t>application du Règlement des radiocommunications</w:t>
      </w:r>
      <w:r>
        <w:rPr>
          <w:rStyle w:val="FootnoteReference"/>
        </w:rPr>
        <w:footnoteReference w:customMarkFollows="1" w:id="3"/>
        <w:t>*</w:t>
      </w:r>
      <w:r w:rsidRPr="00B42483">
        <w:t>; et</w:t>
      </w:r>
    </w:p>
    <w:p w:rsidR="00081529" w:rsidRPr="00B42483" w:rsidRDefault="00081529" w:rsidP="00A17011">
      <w:pPr>
        <w:jc w:val="both"/>
        <w:rPr>
          <w:i/>
          <w:iCs/>
        </w:rPr>
      </w:pPr>
      <w:r w:rsidRPr="00B42483">
        <w:t>9.3</w:t>
      </w:r>
      <w:r w:rsidRPr="00B42483">
        <w:tab/>
        <w:t xml:space="preserve">sur la suite donnée à la </w:t>
      </w:r>
      <w:hyperlink w:anchor="RES_80" w:history="1">
        <w:r w:rsidR="00515DF7" w:rsidRPr="004C120E">
          <w:rPr>
            <w:rStyle w:val="Hyperlink"/>
            <w:rFonts w:asciiTheme="majorBidi" w:hAnsiTheme="majorBidi" w:cstheme="majorBidi"/>
            <w:szCs w:val="24"/>
          </w:rPr>
          <w:t>R</w:t>
        </w:r>
        <w:r w:rsidR="00396124">
          <w:rPr>
            <w:rStyle w:val="Hyperlink"/>
            <w:rFonts w:asciiTheme="majorBidi" w:hAnsiTheme="majorBidi" w:cstheme="majorBidi"/>
            <w:szCs w:val="24"/>
          </w:rPr>
          <w:t>é</w:t>
        </w:r>
        <w:r w:rsidR="00515DF7" w:rsidRPr="004C120E">
          <w:rPr>
            <w:rStyle w:val="Hyperlink"/>
            <w:rFonts w:asciiTheme="majorBidi" w:hAnsiTheme="majorBidi" w:cstheme="majorBidi"/>
            <w:szCs w:val="24"/>
          </w:rPr>
          <w:t>solution </w:t>
        </w:r>
        <w:r w:rsidR="00515DF7" w:rsidRPr="004C120E">
          <w:rPr>
            <w:rStyle w:val="Hyperlink"/>
            <w:rFonts w:asciiTheme="majorBidi" w:hAnsiTheme="majorBidi" w:cstheme="majorBidi"/>
            <w:b/>
            <w:bCs/>
            <w:szCs w:val="24"/>
          </w:rPr>
          <w:t>80 (R</w:t>
        </w:r>
        <w:r w:rsidR="00396124">
          <w:rPr>
            <w:rStyle w:val="Hyperlink"/>
            <w:rFonts w:asciiTheme="majorBidi" w:hAnsiTheme="majorBidi" w:cstheme="majorBidi"/>
            <w:b/>
            <w:bCs/>
            <w:szCs w:val="24"/>
          </w:rPr>
          <w:t>é</w:t>
        </w:r>
        <w:r w:rsidR="00515DF7" w:rsidRPr="004C120E">
          <w:rPr>
            <w:rStyle w:val="Hyperlink"/>
            <w:rFonts w:asciiTheme="majorBidi" w:hAnsiTheme="majorBidi" w:cstheme="majorBidi"/>
            <w:b/>
            <w:bCs/>
            <w:szCs w:val="24"/>
          </w:rPr>
          <w:t>v.C</w:t>
        </w:r>
        <w:r w:rsidR="00396124">
          <w:rPr>
            <w:rStyle w:val="Hyperlink"/>
            <w:rFonts w:asciiTheme="majorBidi" w:hAnsiTheme="majorBidi" w:cstheme="majorBidi"/>
            <w:b/>
            <w:bCs/>
            <w:szCs w:val="24"/>
          </w:rPr>
          <w:t>MR</w:t>
        </w:r>
        <w:r w:rsidR="00515DF7" w:rsidRPr="004C120E">
          <w:rPr>
            <w:rStyle w:val="Hyperlink"/>
            <w:rFonts w:asciiTheme="majorBidi" w:hAnsiTheme="majorBidi" w:cstheme="majorBidi"/>
            <w:b/>
            <w:bCs/>
            <w:szCs w:val="24"/>
          </w:rPr>
          <w:noBreakHyphen/>
          <w:t>07)</w:t>
        </w:r>
      </w:hyperlink>
      <w:r w:rsidRPr="00B42483">
        <w:t>;</w:t>
      </w:r>
    </w:p>
    <w:p w:rsidR="00081529" w:rsidRPr="00B42483" w:rsidRDefault="00081529" w:rsidP="00A17011">
      <w:pPr>
        <w:jc w:val="both"/>
      </w:pPr>
      <w:r w:rsidRPr="00B42483">
        <w:t>10</w:t>
      </w:r>
      <w:r w:rsidRPr="00B42483">
        <w:tab/>
        <w:t>recommander au Conseil des points à inscrire à l</w:t>
      </w:r>
      <w:r>
        <w:t>'</w:t>
      </w:r>
      <w:r w:rsidRPr="00B42483">
        <w:t>ordre du jour de la CMR suivante et exposer ses vues sur l</w:t>
      </w:r>
      <w:r>
        <w:t>'</w:t>
      </w:r>
      <w:r w:rsidRPr="00B42483">
        <w:t>ordre du jour préliminaire de la conférence ultérieure ainsi que sur des points éventuels à inscrire à l</w:t>
      </w:r>
      <w:r>
        <w:t>'</w:t>
      </w:r>
      <w:r w:rsidRPr="00B42483">
        <w:t>ordre du jour de conférences futures, conformément à l</w:t>
      </w:r>
      <w:r>
        <w:t>'</w:t>
      </w:r>
      <w:r w:rsidRPr="00B42483">
        <w:t>article 7 de la Convention,</w:t>
      </w:r>
    </w:p>
    <w:p w:rsidR="00081529" w:rsidRPr="00B42483" w:rsidRDefault="00081529" w:rsidP="00A17011">
      <w:pPr>
        <w:pStyle w:val="Call"/>
        <w:keepNext w:val="0"/>
        <w:keepLines w:val="0"/>
        <w:jc w:val="both"/>
      </w:pPr>
      <w:r w:rsidRPr="00B42483">
        <w:t>décide en outre</w:t>
      </w:r>
    </w:p>
    <w:p w:rsidR="00081529" w:rsidRPr="00B42483" w:rsidRDefault="00081529" w:rsidP="00A17011">
      <w:pPr>
        <w:jc w:val="both"/>
      </w:pPr>
      <w:r w:rsidRPr="00B42483">
        <w:t>d</w:t>
      </w:r>
      <w:r>
        <w:t>'</w:t>
      </w:r>
      <w:r w:rsidRPr="00B42483">
        <w:t>activer la Réunion de préparation à la Conférence,</w:t>
      </w:r>
    </w:p>
    <w:p w:rsidR="00081529" w:rsidRPr="00B42483" w:rsidRDefault="00081529" w:rsidP="00A17011">
      <w:pPr>
        <w:pStyle w:val="Call"/>
        <w:jc w:val="both"/>
      </w:pPr>
      <w:r w:rsidRPr="00B42483">
        <w:t>invite le Conseil</w:t>
      </w:r>
    </w:p>
    <w:p w:rsidR="00081529" w:rsidRPr="00B42483" w:rsidRDefault="00081529" w:rsidP="00A17011">
      <w:pPr>
        <w:keepNext/>
        <w:keepLines/>
        <w:jc w:val="both"/>
      </w:pPr>
      <w:r w:rsidRPr="00B42483">
        <w:t xml:space="preserve">à </w:t>
      </w:r>
      <w:r>
        <w:t>arrêter définitivement</w:t>
      </w:r>
      <w:r w:rsidRPr="00B42483">
        <w:t xml:space="preserve"> l</w:t>
      </w:r>
      <w:r>
        <w:t>'</w:t>
      </w:r>
      <w:r w:rsidRPr="00B42483">
        <w:t xml:space="preserve">ordre du jour, à prendre les dispositions nécessaires </w:t>
      </w:r>
      <w:r>
        <w:t>en vue de</w:t>
      </w:r>
      <w:r w:rsidRPr="00B42483">
        <w:t xml:space="preserve"> la convocation de la CMR</w:t>
      </w:r>
      <w:r w:rsidRPr="00B42483">
        <w:noBreakHyphen/>
        <w:t>1</w:t>
      </w:r>
      <w:r>
        <w:t>9</w:t>
      </w:r>
      <w:r w:rsidRPr="00B42483">
        <w:t xml:space="preserve"> et à engager dès que possible les consultations nécessaires avec les </w:t>
      </w:r>
      <w:proofErr w:type="spellStart"/>
      <w:r w:rsidRPr="00B42483">
        <w:t>Etats</w:t>
      </w:r>
      <w:proofErr w:type="spellEnd"/>
      <w:r>
        <w:t> </w:t>
      </w:r>
      <w:r w:rsidRPr="00B42483">
        <w:t>Membres,</w:t>
      </w:r>
    </w:p>
    <w:p w:rsidR="00081529" w:rsidRPr="00B42483" w:rsidRDefault="00081529" w:rsidP="00A17011">
      <w:pPr>
        <w:pStyle w:val="Call"/>
        <w:keepNext w:val="0"/>
        <w:keepLines w:val="0"/>
        <w:jc w:val="both"/>
      </w:pPr>
      <w:r w:rsidRPr="00B42483">
        <w:t>charge le Directeur du Bureau des radiocommunications</w:t>
      </w:r>
    </w:p>
    <w:p w:rsidR="00081529" w:rsidRPr="00B42483" w:rsidRDefault="00081529" w:rsidP="00A17011">
      <w:pPr>
        <w:jc w:val="both"/>
      </w:pPr>
      <w:r w:rsidRPr="00B42483">
        <w:t>de prendre les dispositions voulues pour la convocation des sessions de la Réunion de préparation à la Conférence et d</w:t>
      </w:r>
      <w:r>
        <w:t>'</w:t>
      </w:r>
      <w:r w:rsidRPr="00B42483">
        <w:t xml:space="preserve">élaborer un </w:t>
      </w:r>
      <w:r>
        <w:t>R</w:t>
      </w:r>
      <w:r w:rsidRPr="00B42483">
        <w:t>apport à l</w:t>
      </w:r>
      <w:r>
        <w:t>'</w:t>
      </w:r>
      <w:r w:rsidRPr="00B42483">
        <w:t>intention de la CMR</w:t>
      </w:r>
      <w:r w:rsidRPr="00B42483">
        <w:noBreakHyphen/>
        <w:t>1</w:t>
      </w:r>
      <w:r>
        <w:t>9</w:t>
      </w:r>
      <w:r w:rsidRPr="00B42483">
        <w:t>,</w:t>
      </w:r>
    </w:p>
    <w:p w:rsidR="00081529" w:rsidRPr="00B42483" w:rsidRDefault="00081529" w:rsidP="00A17011">
      <w:pPr>
        <w:pStyle w:val="Call"/>
        <w:keepNext w:val="0"/>
        <w:keepLines w:val="0"/>
        <w:jc w:val="both"/>
      </w:pPr>
      <w:r w:rsidRPr="00B42483">
        <w:t>charge le Secrétaire général</w:t>
      </w:r>
    </w:p>
    <w:p w:rsidR="00081529" w:rsidRDefault="00081529" w:rsidP="00A17011">
      <w:pPr>
        <w:jc w:val="both"/>
      </w:pPr>
      <w:r w:rsidRPr="00B42483">
        <w:t>de communiquer la présente Résolution aux organisations internationales ou régionales concernées.</w:t>
      </w:r>
    </w:p>
    <w:p w:rsidR="0094037E" w:rsidRPr="00081529" w:rsidRDefault="0094037E" w:rsidP="00A17011">
      <w:pPr>
        <w:rPr>
          <w:rFonts w:asciiTheme="majorBidi" w:hAnsiTheme="majorBidi" w:cstheme="majorBidi"/>
          <w:szCs w:val="24"/>
        </w:rPr>
      </w:pPr>
    </w:p>
    <w:p w:rsidR="004F7281" w:rsidRDefault="007C1B97" w:rsidP="00A17011">
      <w:pPr>
        <w:pStyle w:val="ResNo"/>
        <w:outlineLvl w:val="0"/>
        <w:rPr>
          <w:rFonts w:asciiTheme="majorBidi" w:hAnsiTheme="majorBidi" w:cstheme="majorBidi"/>
          <w:sz w:val="24"/>
          <w:szCs w:val="24"/>
        </w:rPr>
      </w:pPr>
      <w:r w:rsidRPr="00081529">
        <w:rPr>
          <w:rFonts w:asciiTheme="majorBidi" w:hAnsiTheme="majorBidi" w:cstheme="majorBidi"/>
          <w:sz w:val="24"/>
          <w:szCs w:val="24"/>
        </w:rPr>
        <w:br w:type="page"/>
      </w:r>
      <w:bookmarkStart w:id="40" w:name="RES_810"/>
      <w:bookmarkStart w:id="41" w:name="_Toc444507654"/>
    </w:p>
    <w:p w:rsidR="00D31248" w:rsidRDefault="00E9256A" w:rsidP="00A17011">
      <w:pPr>
        <w:pStyle w:val="ResNo"/>
      </w:pPr>
      <w:bookmarkStart w:id="42" w:name="_Toc460331674"/>
      <w:bookmarkStart w:id="43" w:name="_Toc463616131"/>
      <w:bookmarkEnd w:id="40"/>
      <w:bookmarkEnd w:id="41"/>
      <w:r>
        <w:lastRenderedPageBreak/>
        <w:t>R</w:t>
      </w:r>
      <w:r w:rsidR="00A02A14" w:rsidRPr="00A02A14">
        <w:t>É</w:t>
      </w:r>
      <w:r w:rsidR="00D31248" w:rsidRPr="00D31248">
        <w:t xml:space="preserve">SOLUTION </w:t>
      </w:r>
      <w:r w:rsidR="00D31248" w:rsidRPr="00D31248">
        <w:rPr>
          <w:rStyle w:val="href"/>
        </w:rPr>
        <w:t>810</w:t>
      </w:r>
      <w:r w:rsidR="00D31248" w:rsidRPr="00D31248">
        <w:t xml:space="preserve"> (</w:t>
      </w:r>
      <w:r w:rsidR="00F8363E" w:rsidRPr="00A20F5A">
        <w:t>C</w:t>
      </w:r>
      <w:r w:rsidR="00F8363E">
        <w:t>MR</w:t>
      </w:r>
      <w:r w:rsidR="00D31248" w:rsidRPr="00D31248">
        <w:noBreakHyphen/>
        <w:t>15)</w:t>
      </w:r>
      <w:bookmarkEnd w:id="42"/>
      <w:bookmarkEnd w:id="43"/>
    </w:p>
    <w:p w:rsidR="004F7281" w:rsidRPr="009C7CEE" w:rsidRDefault="004F7281" w:rsidP="00A17011">
      <w:pPr>
        <w:pStyle w:val="Restitle"/>
      </w:pPr>
      <w:bookmarkStart w:id="44" w:name="_Toc450208829"/>
      <w:bookmarkStart w:id="45" w:name="_Toc463616132"/>
      <w:r w:rsidRPr="009C7CEE">
        <w:t>Ordre du jour préliminaire de la Conférence mondiale</w:t>
      </w:r>
      <w:r w:rsidRPr="009C7CEE">
        <w:br/>
        <w:t xml:space="preserve">des radiocommunications de </w:t>
      </w:r>
      <w:r>
        <w:t>2023</w:t>
      </w:r>
      <w:bookmarkEnd w:id="44"/>
      <w:bookmarkEnd w:id="45"/>
    </w:p>
    <w:p w:rsidR="004F7281" w:rsidRPr="00C4247A" w:rsidRDefault="004F7281" w:rsidP="00A17011">
      <w:pPr>
        <w:pStyle w:val="Normalaftertitle"/>
        <w:jc w:val="both"/>
        <w:rPr>
          <w:lang w:val="fr-CH"/>
        </w:rPr>
      </w:pPr>
      <w:r w:rsidRPr="00C4247A">
        <w:rPr>
          <w:lang w:val="fr-CH"/>
        </w:rPr>
        <w:t xml:space="preserve">La Conférence mondiale des radiocommunications (Genève, </w:t>
      </w:r>
      <w:r>
        <w:rPr>
          <w:lang w:val="fr-CH"/>
        </w:rPr>
        <w:t>2015</w:t>
      </w:r>
      <w:r w:rsidRPr="00C4247A">
        <w:rPr>
          <w:lang w:val="fr-CH"/>
        </w:rPr>
        <w:t>),</w:t>
      </w:r>
    </w:p>
    <w:p w:rsidR="004F7281" w:rsidRPr="00E22842" w:rsidRDefault="004F7281" w:rsidP="00A17011">
      <w:pPr>
        <w:pStyle w:val="Call"/>
        <w:jc w:val="both"/>
      </w:pPr>
      <w:r w:rsidRPr="00E22842">
        <w:t>considérant</w:t>
      </w:r>
    </w:p>
    <w:p w:rsidR="004F7281" w:rsidRPr="00E22842" w:rsidRDefault="004F7281" w:rsidP="00A17011">
      <w:pPr>
        <w:jc w:val="both"/>
      </w:pPr>
      <w:r w:rsidRPr="00F73BF7">
        <w:rPr>
          <w:i/>
          <w:iCs/>
        </w:rPr>
        <w:t>a)</w:t>
      </w:r>
      <w:r w:rsidRPr="00E22842">
        <w:tab/>
        <w:t>que, conformément au numéro 118 de la Convention de l'UIT, le cadre général de l'</w:t>
      </w:r>
      <w:r>
        <w:t>ordre du jour de la CMR-23</w:t>
      </w:r>
      <w:r w:rsidRPr="00E22842">
        <w:t xml:space="preserve"> devrait être fixé quatre à six ans à l'avance;</w:t>
      </w:r>
    </w:p>
    <w:p w:rsidR="004F7281" w:rsidRPr="00E22842" w:rsidRDefault="004F7281" w:rsidP="00A17011">
      <w:pPr>
        <w:jc w:val="both"/>
      </w:pPr>
      <w:r w:rsidRPr="00F73BF7">
        <w:rPr>
          <w:i/>
          <w:iCs/>
        </w:rPr>
        <w:t>b)</w:t>
      </w:r>
      <w:r w:rsidRPr="00E22842">
        <w:tab/>
        <w:t>l'</w:t>
      </w:r>
      <w:r>
        <w:t>a</w:t>
      </w:r>
      <w:r w:rsidRPr="00E22842">
        <w:t xml:space="preserve">rticle 13 de la Constitution </w:t>
      </w:r>
      <w:r>
        <w:t xml:space="preserve">de l'UIT </w:t>
      </w:r>
      <w:r w:rsidRPr="00E22842">
        <w:t>concernant la compétence et la fréquence des conférences mondiale</w:t>
      </w:r>
      <w:r>
        <w:t>s des radiocommunications et l'article </w:t>
      </w:r>
      <w:r w:rsidRPr="00E22842">
        <w:t>7 de la Convention relatif à leur ordre du jour;</w:t>
      </w:r>
    </w:p>
    <w:p w:rsidR="004F7281" w:rsidRPr="00E22842" w:rsidRDefault="004F7281" w:rsidP="00A17011">
      <w:pPr>
        <w:jc w:val="both"/>
      </w:pPr>
      <w:r w:rsidRPr="00F73BF7">
        <w:rPr>
          <w:i/>
          <w:iCs/>
        </w:rPr>
        <w:t>c)</w:t>
      </w:r>
      <w:r w:rsidRPr="00E22842">
        <w:tab/>
        <w:t>les résolutions et recommandations pertinentes des conférences administratives mondiales des radiocommunications</w:t>
      </w:r>
      <w:r>
        <w:t xml:space="preserve"> (CAMR)</w:t>
      </w:r>
      <w:r w:rsidRPr="00E22842">
        <w:t xml:space="preserve"> et des conférences mondiales des radiocommunications (CMR) précédentes,</w:t>
      </w:r>
    </w:p>
    <w:p w:rsidR="004F7281" w:rsidRPr="00E22842" w:rsidRDefault="004F7281" w:rsidP="00A17011">
      <w:pPr>
        <w:pStyle w:val="Call"/>
        <w:jc w:val="both"/>
      </w:pPr>
      <w:r w:rsidRPr="00E22842">
        <w:t>décide de formuler l'avis suivant</w:t>
      </w:r>
    </w:p>
    <w:p w:rsidR="004F7281" w:rsidRPr="00E22842" w:rsidRDefault="004F7281" w:rsidP="00A17011">
      <w:pPr>
        <w:jc w:val="both"/>
      </w:pPr>
      <w:r w:rsidRPr="00E22842">
        <w:t>les points ci</w:t>
      </w:r>
      <w:r>
        <w:t>-</w:t>
      </w:r>
      <w:r w:rsidRPr="00E22842">
        <w:t>après devraient être inscrits à l'ordre d</w:t>
      </w:r>
      <w:r>
        <w:t>u jour préliminaire de la CMR-23</w:t>
      </w:r>
      <w:r w:rsidRPr="00E22842">
        <w:t>:</w:t>
      </w:r>
    </w:p>
    <w:p w:rsidR="004F7281" w:rsidRPr="00E22842" w:rsidRDefault="004F7281" w:rsidP="00A17011">
      <w:pPr>
        <w:jc w:val="both"/>
      </w:pPr>
      <w:r w:rsidRPr="00E22842">
        <w:t>1</w:t>
      </w:r>
      <w:r w:rsidRPr="00E22842">
        <w:tab/>
        <w:t>prendre les mesures appropriées en ce qui concerne les questions urgentes dont l'examen a été expressément demandé par la CMR</w:t>
      </w:r>
      <w:r>
        <w:t>-19</w:t>
      </w:r>
      <w:r w:rsidRPr="00E22842">
        <w:t>;</w:t>
      </w:r>
    </w:p>
    <w:p w:rsidR="004F7281" w:rsidRPr="00E22842" w:rsidRDefault="004F7281" w:rsidP="00A17011">
      <w:pPr>
        <w:jc w:val="both"/>
      </w:pPr>
      <w:r w:rsidRPr="00E22842">
        <w:t>2</w:t>
      </w:r>
      <w:r w:rsidRPr="00E22842">
        <w:tab/>
        <w:t xml:space="preserve">sur la base des propositions des administrations et du </w:t>
      </w:r>
      <w:r>
        <w:t>Rapport</w:t>
      </w:r>
      <w:r w:rsidRPr="00E22842">
        <w:t xml:space="preserve"> de la Réunion de préparation à la Conférence et compte tenu des résultats de la CMR</w:t>
      </w:r>
      <w:r>
        <w:t>-19</w:t>
      </w:r>
      <w:r w:rsidRPr="00E22842">
        <w:t>, examiner les points suivants et prendre les mesures appropriées:</w:t>
      </w:r>
    </w:p>
    <w:p w:rsidR="004F7281" w:rsidRPr="00FB38AC" w:rsidRDefault="004F7281" w:rsidP="00E623FB">
      <w:pPr>
        <w:jc w:val="both"/>
        <w:rPr>
          <w:lang w:val="fr-CH"/>
        </w:rPr>
      </w:pPr>
      <w:r w:rsidRPr="00FB38AC">
        <w:rPr>
          <w:lang w:val="fr-CH"/>
        </w:rPr>
        <w:t>2.1</w:t>
      </w:r>
      <w:r w:rsidRPr="00FB38AC">
        <w:rPr>
          <w:lang w:val="fr-CH"/>
        </w:rPr>
        <w:tab/>
        <w:t xml:space="preserve">examiner les éventuels besoins de </w:t>
      </w:r>
      <w:r>
        <w:rPr>
          <w:lang w:val="fr-CH"/>
        </w:rPr>
        <w:t>spectre</w:t>
      </w:r>
      <w:r w:rsidRPr="00FB38AC">
        <w:rPr>
          <w:lang w:val="fr-CH"/>
        </w:rPr>
        <w:t xml:space="preserve"> et les mesures réglementaires qui pourraient être prises, en vue de permettre la modernisation du </w:t>
      </w:r>
      <w:r>
        <w:rPr>
          <w:lang w:val="fr-CH"/>
        </w:rPr>
        <w:t xml:space="preserve">système mondial de détresse et de sécurité en mer (SMDSM) </w:t>
      </w:r>
      <w:r w:rsidRPr="00FB38AC">
        <w:rPr>
          <w:lang w:val="fr-CH"/>
        </w:rPr>
        <w:t xml:space="preserve">et la mise en </w:t>
      </w:r>
      <w:proofErr w:type="spellStart"/>
      <w:r w:rsidRPr="00FB38AC">
        <w:rPr>
          <w:lang w:val="fr-CH"/>
        </w:rPr>
        <w:t>oeuvre</w:t>
      </w:r>
      <w:proofErr w:type="spellEnd"/>
      <w:r w:rsidRPr="00FB38AC">
        <w:rPr>
          <w:lang w:val="fr-CH"/>
        </w:rPr>
        <w:t xml:space="preserve"> de la navigation électronique, conformément à la </w:t>
      </w:r>
      <w:hyperlink w:anchor="RES_361" w:history="1">
        <w:r w:rsidR="00E25FB6">
          <w:rPr>
            <w:rStyle w:val="Hyperlink"/>
            <w:rFonts w:asciiTheme="majorBidi" w:eastAsia="SimSun" w:hAnsiTheme="majorBidi" w:cstheme="majorBidi"/>
            <w:szCs w:val="24"/>
            <w:lang w:eastAsia="zh-CN"/>
          </w:rPr>
          <w:t>Ré</w:t>
        </w:r>
        <w:r w:rsidR="009D581A" w:rsidRPr="004C120E">
          <w:rPr>
            <w:rStyle w:val="Hyperlink"/>
            <w:rFonts w:asciiTheme="majorBidi" w:eastAsia="SimSun" w:hAnsiTheme="majorBidi" w:cstheme="majorBidi"/>
            <w:szCs w:val="24"/>
            <w:lang w:eastAsia="zh-CN"/>
          </w:rPr>
          <w:t>solution </w:t>
        </w:r>
        <w:r w:rsidR="009D581A" w:rsidRPr="004C120E">
          <w:rPr>
            <w:rStyle w:val="Hyperlink"/>
            <w:rFonts w:asciiTheme="majorBidi" w:eastAsia="SimSun" w:hAnsiTheme="majorBidi" w:cstheme="majorBidi"/>
            <w:b/>
            <w:bCs/>
            <w:szCs w:val="24"/>
            <w:lang w:eastAsia="zh-CN"/>
          </w:rPr>
          <w:t>361 (</w:t>
        </w:r>
        <w:r w:rsidR="00E623FB">
          <w:rPr>
            <w:rStyle w:val="Hyperlink"/>
            <w:rFonts w:asciiTheme="majorBidi" w:eastAsia="SimSun" w:hAnsiTheme="majorBidi" w:cstheme="majorBidi"/>
            <w:b/>
            <w:bCs/>
            <w:szCs w:val="24"/>
            <w:lang w:eastAsia="zh-CN"/>
          </w:rPr>
          <w:t>CMR</w:t>
        </w:r>
        <w:r w:rsidR="009D581A" w:rsidRPr="004C120E">
          <w:rPr>
            <w:rStyle w:val="Hyperlink"/>
            <w:rFonts w:asciiTheme="majorBidi" w:eastAsia="SimSun" w:hAnsiTheme="majorBidi" w:cstheme="majorBidi"/>
            <w:b/>
            <w:bCs/>
            <w:szCs w:val="24"/>
            <w:lang w:eastAsia="zh-CN"/>
          </w:rPr>
          <w:noBreakHyphen/>
          <w:t>1</w:t>
        </w:r>
        <w:r w:rsidR="009D581A" w:rsidRPr="004C120E">
          <w:rPr>
            <w:rStyle w:val="Hyperlink"/>
            <w:rFonts w:asciiTheme="majorBidi" w:hAnsiTheme="majorBidi" w:cstheme="majorBidi"/>
            <w:b/>
            <w:bCs/>
            <w:szCs w:val="24"/>
            <w:lang w:eastAsia="zh-CN"/>
          </w:rPr>
          <w:t>5</w:t>
        </w:r>
        <w:r w:rsidR="009D581A" w:rsidRPr="004C120E">
          <w:rPr>
            <w:rStyle w:val="Hyperlink"/>
            <w:rFonts w:asciiTheme="majorBidi" w:eastAsia="SimSun" w:hAnsiTheme="majorBidi" w:cstheme="majorBidi"/>
            <w:b/>
            <w:bCs/>
            <w:szCs w:val="24"/>
            <w:lang w:eastAsia="zh-CN"/>
          </w:rPr>
          <w:t>)</w:t>
        </w:r>
      </w:hyperlink>
      <w:r w:rsidRPr="00FB38AC">
        <w:rPr>
          <w:lang w:val="fr-CH"/>
        </w:rPr>
        <w:t>;</w:t>
      </w:r>
    </w:p>
    <w:p w:rsidR="004F7281" w:rsidRPr="00FB38AC" w:rsidRDefault="004F7281" w:rsidP="00E623FB">
      <w:pPr>
        <w:jc w:val="both"/>
        <w:rPr>
          <w:highlight w:val="cyan"/>
          <w:lang w:val="fr-CH"/>
        </w:rPr>
      </w:pPr>
      <w:r w:rsidRPr="00FB38AC">
        <w:rPr>
          <w:lang w:val="fr-CH"/>
        </w:rPr>
        <w:t>2.2</w:t>
      </w:r>
      <w:r w:rsidRPr="00FB38AC">
        <w:rPr>
          <w:lang w:val="fr-CH"/>
        </w:rPr>
        <w:tab/>
        <w:t xml:space="preserve">mener, et achever à temps pour la CMR-23, des études concernant la possibilité de faire une nouvelle attribution au service d'exploration de la Terre par satellite (active) pour les sondeurs radar </w:t>
      </w:r>
      <w:proofErr w:type="spellStart"/>
      <w:r w:rsidRPr="00FB38AC">
        <w:rPr>
          <w:lang w:val="fr-CH"/>
        </w:rPr>
        <w:t>spatioportés</w:t>
      </w:r>
      <w:proofErr w:type="spellEnd"/>
      <w:r w:rsidRPr="00FB38AC">
        <w:rPr>
          <w:lang w:val="fr-CH"/>
        </w:rPr>
        <w:t xml:space="preserve"> dans la gamme de fréquences au voisinage de 45 MHz, compte tenu de la protection des services existants, conformément à la </w:t>
      </w:r>
      <w:hyperlink w:anchor="RES_656" w:history="1">
        <w:r w:rsidR="00E25FB6" w:rsidRPr="004C120E">
          <w:rPr>
            <w:rStyle w:val="Hyperlink"/>
            <w:rFonts w:asciiTheme="majorBidi" w:hAnsiTheme="majorBidi" w:cstheme="majorBidi"/>
            <w:szCs w:val="24"/>
          </w:rPr>
          <w:t>Résolution</w:t>
        </w:r>
        <w:r w:rsidR="009D581A" w:rsidRPr="004C120E">
          <w:rPr>
            <w:rStyle w:val="Hyperlink"/>
            <w:rFonts w:asciiTheme="majorBidi" w:hAnsiTheme="majorBidi" w:cstheme="majorBidi"/>
            <w:szCs w:val="24"/>
          </w:rPr>
          <w:t> </w:t>
        </w:r>
        <w:r w:rsidR="009D581A" w:rsidRPr="004C120E">
          <w:rPr>
            <w:rStyle w:val="Hyperlink"/>
            <w:rFonts w:asciiTheme="majorBidi" w:hAnsiTheme="majorBidi" w:cstheme="majorBidi"/>
            <w:b/>
            <w:bCs/>
            <w:szCs w:val="24"/>
          </w:rPr>
          <w:t>656 (</w:t>
        </w:r>
        <w:r w:rsidR="00E623FB">
          <w:rPr>
            <w:rStyle w:val="Hyperlink"/>
            <w:rFonts w:asciiTheme="majorBidi" w:hAnsiTheme="majorBidi" w:cstheme="majorBidi"/>
            <w:b/>
            <w:bCs/>
            <w:szCs w:val="24"/>
          </w:rPr>
          <w:t>CMR</w:t>
        </w:r>
        <w:r w:rsidR="009D581A" w:rsidRPr="004C120E">
          <w:rPr>
            <w:rStyle w:val="Hyperlink"/>
            <w:rFonts w:asciiTheme="majorBidi" w:hAnsiTheme="majorBidi" w:cstheme="majorBidi"/>
            <w:b/>
            <w:bCs/>
            <w:szCs w:val="24"/>
          </w:rPr>
          <w:noBreakHyphen/>
          <w:t>15)</w:t>
        </w:r>
      </w:hyperlink>
      <w:r w:rsidRPr="00FB38AC">
        <w:rPr>
          <w:lang w:val="fr-CH"/>
        </w:rPr>
        <w:t xml:space="preserve">; </w:t>
      </w:r>
    </w:p>
    <w:p w:rsidR="004F7281" w:rsidRDefault="004F7281" w:rsidP="00E623FB">
      <w:pPr>
        <w:jc w:val="both"/>
        <w:rPr>
          <w:lang w:val="fr-CH"/>
        </w:rPr>
      </w:pPr>
      <w:r w:rsidRPr="00FB38AC">
        <w:rPr>
          <w:lang w:val="fr-CH"/>
        </w:rPr>
        <w:t>2.3</w:t>
      </w:r>
      <w:r w:rsidRPr="00FB38AC">
        <w:rPr>
          <w:lang w:val="fr-CH"/>
        </w:rPr>
        <w:tab/>
        <w:t xml:space="preserve">conformément à la </w:t>
      </w:r>
      <w:hyperlink w:anchor="RES_657" w:history="1">
        <w:r w:rsidR="00E25FB6" w:rsidRPr="004C120E">
          <w:rPr>
            <w:rStyle w:val="Hyperlink"/>
            <w:rFonts w:asciiTheme="majorBidi" w:hAnsiTheme="majorBidi" w:cstheme="majorBidi"/>
            <w:szCs w:val="24"/>
          </w:rPr>
          <w:t>Résolution</w:t>
        </w:r>
        <w:r w:rsidR="009D581A" w:rsidRPr="004C120E">
          <w:rPr>
            <w:rStyle w:val="Hyperlink"/>
            <w:rFonts w:asciiTheme="majorBidi" w:hAnsiTheme="majorBidi" w:cstheme="majorBidi"/>
            <w:szCs w:val="24"/>
          </w:rPr>
          <w:t> </w:t>
        </w:r>
        <w:r w:rsidR="009D581A" w:rsidRPr="004C120E">
          <w:rPr>
            <w:rStyle w:val="Hyperlink"/>
            <w:rFonts w:asciiTheme="majorBidi" w:hAnsiTheme="majorBidi" w:cstheme="majorBidi"/>
            <w:b/>
            <w:bCs/>
            <w:szCs w:val="24"/>
          </w:rPr>
          <w:t>657 (</w:t>
        </w:r>
        <w:r w:rsidR="00E623FB">
          <w:rPr>
            <w:rStyle w:val="Hyperlink"/>
            <w:rFonts w:asciiTheme="majorBidi" w:hAnsiTheme="majorBidi" w:cstheme="majorBidi"/>
            <w:b/>
            <w:bCs/>
            <w:szCs w:val="24"/>
          </w:rPr>
          <w:t>CMR</w:t>
        </w:r>
        <w:r w:rsidR="009D581A" w:rsidRPr="004C120E">
          <w:rPr>
            <w:rStyle w:val="Hyperlink"/>
            <w:rFonts w:asciiTheme="majorBidi" w:hAnsiTheme="majorBidi" w:cstheme="majorBidi"/>
            <w:b/>
            <w:bCs/>
            <w:szCs w:val="24"/>
          </w:rPr>
          <w:noBreakHyphen/>
          <w:t>15)</w:t>
        </w:r>
      </w:hyperlink>
      <w:r w:rsidRPr="00FB38AC">
        <w:rPr>
          <w:lang w:val="fr-CH"/>
        </w:rPr>
        <w:t>, examiner les résultats des études relatives aux caractéristiques techniques et opé</w:t>
      </w:r>
      <w:r>
        <w:rPr>
          <w:lang w:val="fr-CH"/>
        </w:rPr>
        <w:t>rationnelles et aux besoins de spectre</w:t>
      </w:r>
      <w:r w:rsidRPr="00FB38AC">
        <w:rPr>
          <w:lang w:val="fr-CH"/>
        </w:rPr>
        <w:t xml:space="preserve"> des capteurs de météorologie </w:t>
      </w:r>
      <w:r>
        <w:rPr>
          <w:lang w:val="fr-CH"/>
        </w:rPr>
        <w:t>spatiale</w:t>
      </w:r>
      <w:r w:rsidRPr="00FB38AC">
        <w:rPr>
          <w:lang w:val="fr-CH"/>
        </w:rPr>
        <w:t>, ainsi qu'aux désignations de service de radiocommunication appropriées pour ces capteurs, afin qu'ils bénéficient d'une reconnaissance et d'une protection appropriées dans le Règlement des radiocommunications, sans imposer de contraintes supplémentaires aux services existants;</w:t>
      </w:r>
    </w:p>
    <w:p w:rsidR="004F7281" w:rsidRDefault="004F7281" w:rsidP="00E623FB">
      <w:pPr>
        <w:jc w:val="both"/>
      </w:pPr>
      <w:r>
        <w:rPr>
          <w:lang w:val="fr-CH"/>
        </w:rPr>
        <w:t>2.4</w:t>
      </w:r>
      <w:r>
        <w:rPr>
          <w:lang w:val="fr-CH"/>
        </w:rPr>
        <w:tab/>
        <w:t>étudier les besoins de spectre et d</w:t>
      </w:r>
      <w:r w:rsidR="00CC57A2">
        <w:rPr>
          <w:lang w:val="fr-CH"/>
        </w:rPr>
        <w:t>'</w:t>
      </w:r>
      <w:r>
        <w:rPr>
          <w:lang w:val="fr-CH"/>
        </w:rPr>
        <w:t xml:space="preserve">éventuelles nouvelles attributions </w:t>
      </w:r>
      <w:r w:rsidRPr="00667F6F">
        <w:rPr>
          <w:bCs/>
          <w:lang w:val="fr-CH"/>
        </w:rPr>
        <w:t>au service fixe par satellite dans l</w:t>
      </w:r>
      <w:r>
        <w:rPr>
          <w:bCs/>
          <w:lang w:val="fr-CH"/>
        </w:rPr>
        <w:t>a</w:t>
      </w:r>
      <w:r w:rsidRPr="00667F6F">
        <w:rPr>
          <w:bCs/>
          <w:lang w:val="fr-CH"/>
        </w:rPr>
        <w:t xml:space="preserve"> bande de fréquences 37,5-39,5 GHz (Terre vers espace), conformément à la </w:t>
      </w:r>
      <w:hyperlink w:anchor="RES_161" w:history="1">
        <w:r w:rsidR="00E25FB6" w:rsidRPr="004C120E">
          <w:rPr>
            <w:rStyle w:val="Hyperlink"/>
            <w:rFonts w:asciiTheme="majorBidi" w:hAnsiTheme="majorBidi" w:cstheme="majorBidi"/>
            <w:szCs w:val="24"/>
          </w:rPr>
          <w:t>Résolution</w:t>
        </w:r>
        <w:r w:rsidR="001F46B8" w:rsidRPr="004C120E">
          <w:rPr>
            <w:rStyle w:val="Hyperlink"/>
            <w:rFonts w:asciiTheme="majorBidi" w:hAnsiTheme="majorBidi" w:cstheme="majorBidi"/>
            <w:szCs w:val="24"/>
          </w:rPr>
          <w:t> </w:t>
        </w:r>
        <w:r w:rsidR="001F46B8" w:rsidRPr="001F46B8">
          <w:rPr>
            <w:rStyle w:val="Hyperlink"/>
            <w:rFonts w:asciiTheme="majorBidi" w:hAnsiTheme="majorBidi" w:cstheme="majorBidi"/>
            <w:b/>
            <w:bCs/>
            <w:szCs w:val="24"/>
          </w:rPr>
          <w:t>161 (</w:t>
        </w:r>
        <w:r w:rsidR="00E623FB">
          <w:rPr>
            <w:rStyle w:val="Hyperlink"/>
            <w:rFonts w:asciiTheme="majorBidi" w:hAnsiTheme="majorBidi" w:cstheme="majorBidi"/>
            <w:b/>
            <w:bCs/>
            <w:szCs w:val="24"/>
          </w:rPr>
          <w:t>CMR</w:t>
        </w:r>
        <w:r w:rsidR="001F46B8" w:rsidRPr="001F46B8">
          <w:rPr>
            <w:rStyle w:val="Hyperlink"/>
            <w:rFonts w:asciiTheme="majorBidi" w:hAnsiTheme="majorBidi" w:cstheme="majorBidi"/>
            <w:b/>
            <w:bCs/>
            <w:szCs w:val="24"/>
          </w:rPr>
          <w:noBreakHyphen/>
          <w:t>15)</w:t>
        </w:r>
      </w:hyperlink>
      <w:r w:rsidRPr="00667F6F">
        <w:t>;</w:t>
      </w:r>
    </w:p>
    <w:p w:rsidR="004F7281" w:rsidRPr="00E908E0" w:rsidRDefault="004F7281" w:rsidP="00E623FB">
      <w:pPr>
        <w:jc w:val="both"/>
        <w:rPr>
          <w:lang w:val="fr-CH"/>
        </w:rPr>
      </w:pPr>
      <w:r>
        <w:t>2.5</w:t>
      </w:r>
      <w:r>
        <w:tab/>
        <w:t>examiner l'utilisation du spectre et les besoins de spectre des services existants dans la bande de fréquences 470</w:t>
      </w:r>
      <w:r>
        <w:noBreakHyphen/>
        <w:t>960 MHz en Région 1 et envisager les mesures réglementaires qui pourraient être prises dans la bande de fréquences 470</w:t>
      </w:r>
      <w:r>
        <w:noBreakHyphen/>
        <w:t xml:space="preserve">694 MHz en Région 1 sur la base de l'examen effectué conformément à la </w:t>
      </w:r>
      <w:hyperlink w:anchor="RES_235" w:history="1">
        <w:r w:rsidR="00E25FB6" w:rsidRPr="004C120E">
          <w:rPr>
            <w:rStyle w:val="Hyperlink"/>
            <w:rFonts w:asciiTheme="majorBidi" w:hAnsiTheme="majorBidi" w:cstheme="majorBidi"/>
            <w:szCs w:val="24"/>
          </w:rPr>
          <w:t>Résolution</w:t>
        </w:r>
        <w:r w:rsidR="001F46B8" w:rsidRPr="004C120E">
          <w:rPr>
            <w:rStyle w:val="Hyperlink"/>
            <w:rFonts w:asciiTheme="majorBidi" w:hAnsiTheme="majorBidi" w:cstheme="majorBidi"/>
            <w:szCs w:val="24"/>
          </w:rPr>
          <w:t> </w:t>
        </w:r>
        <w:r w:rsidR="001F46B8" w:rsidRPr="004C120E">
          <w:rPr>
            <w:rStyle w:val="Hyperlink"/>
            <w:rFonts w:asciiTheme="majorBidi" w:hAnsiTheme="majorBidi" w:cstheme="majorBidi"/>
            <w:b/>
            <w:bCs/>
            <w:szCs w:val="24"/>
          </w:rPr>
          <w:t>235</w:t>
        </w:r>
        <w:r w:rsidR="001F46B8" w:rsidRPr="004C120E">
          <w:rPr>
            <w:rStyle w:val="Hyperlink"/>
            <w:rFonts w:asciiTheme="majorBidi" w:hAnsiTheme="majorBidi" w:cstheme="majorBidi"/>
            <w:szCs w:val="24"/>
          </w:rPr>
          <w:t xml:space="preserve"> </w:t>
        </w:r>
        <w:r w:rsidR="001F46B8" w:rsidRPr="004C120E">
          <w:rPr>
            <w:rStyle w:val="Hyperlink"/>
            <w:rFonts w:asciiTheme="majorBidi" w:hAnsiTheme="majorBidi" w:cstheme="majorBidi"/>
            <w:b/>
            <w:bCs/>
            <w:szCs w:val="24"/>
          </w:rPr>
          <w:t>(</w:t>
        </w:r>
        <w:r w:rsidR="00E623FB">
          <w:rPr>
            <w:rStyle w:val="Hyperlink"/>
            <w:rFonts w:asciiTheme="majorBidi" w:hAnsiTheme="majorBidi" w:cstheme="majorBidi"/>
            <w:b/>
            <w:bCs/>
            <w:szCs w:val="24"/>
          </w:rPr>
          <w:t>CMR</w:t>
        </w:r>
        <w:r w:rsidR="001F46B8" w:rsidRPr="004C120E">
          <w:rPr>
            <w:rStyle w:val="Hyperlink"/>
            <w:rFonts w:asciiTheme="majorBidi" w:hAnsiTheme="majorBidi" w:cstheme="majorBidi"/>
            <w:b/>
            <w:bCs/>
            <w:szCs w:val="24"/>
          </w:rPr>
          <w:noBreakHyphen/>
          <w:t>15)</w:t>
        </w:r>
      </w:hyperlink>
      <w:r>
        <w:t>.</w:t>
      </w:r>
    </w:p>
    <w:p w:rsidR="004F7281" w:rsidRPr="00E22842" w:rsidRDefault="004F7281" w:rsidP="00E623FB">
      <w:pPr>
        <w:jc w:val="both"/>
      </w:pPr>
      <w:r w:rsidRPr="00E22842">
        <w:lastRenderedPageBreak/>
        <w:t>3</w:t>
      </w:r>
      <w:r w:rsidRPr="00E22842">
        <w:tab/>
        <w:t xml:space="preserve">examiner les </w:t>
      </w:r>
      <w:r>
        <w:t>R</w:t>
      </w:r>
      <w:r w:rsidRPr="00E22842">
        <w:t>ecommandations</w:t>
      </w:r>
      <w:r>
        <w:t xml:space="preserve"> du Secteur des radiocommunications de l'UIT</w:t>
      </w:r>
      <w:r w:rsidRPr="00E22842">
        <w:t xml:space="preserve"> </w:t>
      </w:r>
      <w:r>
        <w:t>(</w:t>
      </w:r>
      <w:r w:rsidRPr="00E22842">
        <w:t>UIT</w:t>
      </w:r>
      <w:r>
        <w:t>-</w:t>
      </w:r>
      <w:r w:rsidRPr="00E22842">
        <w:t>R</w:t>
      </w:r>
      <w:r>
        <w:t>)</w:t>
      </w:r>
      <w:r w:rsidRPr="00E22842">
        <w:t xml:space="preserve"> révisées et incorporées par référence dans le Règlement des radiocommunications, communiquées par l'As</w:t>
      </w:r>
      <w:r>
        <w:t>semblée des radiocommunications</w:t>
      </w:r>
      <w:r w:rsidRPr="00E22842">
        <w:t xml:space="preserve"> conformément à la </w:t>
      </w:r>
      <w:hyperlink w:anchor="RES_28" w:history="1">
        <w:r w:rsidR="00E25FB6" w:rsidRPr="004C120E">
          <w:rPr>
            <w:rStyle w:val="Hyperlink"/>
            <w:rFonts w:asciiTheme="majorBidi" w:hAnsiTheme="majorBidi" w:cstheme="majorBidi"/>
            <w:szCs w:val="24"/>
          </w:rPr>
          <w:t>Résolution</w:t>
        </w:r>
        <w:r w:rsidR="002401D7" w:rsidRPr="004C120E">
          <w:rPr>
            <w:rStyle w:val="Hyperlink"/>
            <w:rFonts w:asciiTheme="majorBidi" w:hAnsiTheme="majorBidi" w:cstheme="majorBidi"/>
            <w:szCs w:val="24"/>
          </w:rPr>
          <w:t> </w:t>
        </w:r>
        <w:r w:rsidR="002401D7" w:rsidRPr="004C120E">
          <w:rPr>
            <w:rStyle w:val="Hyperlink"/>
            <w:rFonts w:asciiTheme="majorBidi" w:hAnsiTheme="majorBidi" w:cstheme="majorBidi"/>
            <w:b/>
            <w:szCs w:val="24"/>
          </w:rPr>
          <w:t>28 (</w:t>
        </w:r>
        <w:r w:rsidR="00E25FB6">
          <w:rPr>
            <w:rStyle w:val="Hyperlink"/>
            <w:rFonts w:asciiTheme="majorBidi" w:hAnsiTheme="majorBidi" w:cstheme="majorBidi"/>
            <w:b/>
            <w:szCs w:val="24"/>
          </w:rPr>
          <w:t>Rév</w:t>
        </w:r>
        <w:r w:rsidR="002401D7" w:rsidRPr="004C120E">
          <w:rPr>
            <w:rStyle w:val="Hyperlink"/>
            <w:rFonts w:asciiTheme="majorBidi" w:hAnsiTheme="majorBidi" w:cstheme="majorBidi"/>
            <w:b/>
            <w:szCs w:val="24"/>
          </w:rPr>
          <w:t>.</w:t>
        </w:r>
        <w:r w:rsidR="00E623FB">
          <w:rPr>
            <w:rStyle w:val="Hyperlink"/>
            <w:rFonts w:asciiTheme="majorBidi" w:hAnsiTheme="majorBidi" w:cstheme="majorBidi"/>
            <w:b/>
            <w:szCs w:val="24"/>
          </w:rPr>
          <w:t>CMR</w:t>
        </w:r>
        <w:r w:rsidR="002401D7" w:rsidRPr="004C120E">
          <w:rPr>
            <w:rStyle w:val="Hyperlink"/>
            <w:rFonts w:asciiTheme="majorBidi" w:hAnsiTheme="majorBidi" w:cstheme="majorBidi"/>
            <w:b/>
            <w:szCs w:val="24"/>
          </w:rPr>
          <w:noBreakHyphen/>
          <w:t>15)</w:t>
        </w:r>
      </w:hyperlink>
      <w:r w:rsidRPr="00E22842">
        <w:t xml:space="preserve">, et décider s'il convient ou non de mettre à jour les références correspondantes dans le Règlement des radiocommunications, conformément aux principes énoncés dans l'Annexe 1 de la </w:t>
      </w:r>
      <w:hyperlink w:anchor="RES_27" w:history="1">
        <w:r w:rsidR="00E25FB6" w:rsidRPr="004C120E">
          <w:rPr>
            <w:rStyle w:val="Hyperlink"/>
            <w:rFonts w:asciiTheme="majorBidi" w:hAnsiTheme="majorBidi" w:cstheme="majorBidi"/>
            <w:szCs w:val="24"/>
          </w:rPr>
          <w:t>Résolution</w:t>
        </w:r>
        <w:r w:rsidR="002401D7" w:rsidRPr="004C120E">
          <w:rPr>
            <w:rStyle w:val="Hyperlink"/>
            <w:rFonts w:asciiTheme="majorBidi" w:hAnsiTheme="majorBidi" w:cstheme="majorBidi"/>
            <w:szCs w:val="24"/>
          </w:rPr>
          <w:t> </w:t>
        </w:r>
        <w:r w:rsidR="002401D7" w:rsidRPr="004C120E">
          <w:rPr>
            <w:rStyle w:val="Hyperlink"/>
            <w:rFonts w:asciiTheme="majorBidi" w:hAnsiTheme="majorBidi" w:cstheme="majorBidi"/>
            <w:b/>
            <w:szCs w:val="24"/>
          </w:rPr>
          <w:t>27</w:t>
        </w:r>
        <w:r w:rsidR="002401D7" w:rsidRPr="004C120E">
          <w:rPr>
            <w:rStyle w:val="Hyperlink"/>
            <w:rFonts w:asciiTheme="majorBidi" w:hAnsiTheme="majorBidi" w:cstheme="majorBidi"/>
            <w:szCs w:val="24"/>
          </w:rPr>
          <w:t xml:space="preserve"> </w:t>
        </w:r>
        <w:r w:rsidR="002401D7" w:rsidRPr="004C120E">
          <w:rPr>
            <w:rStyle w:val="Hyperlink"/>
            <w:rFonts w:asciiTheme="majorBidi" w:hAnsiTheme="majorBidi" w:cstheme="majorBidi"/>
            <w:b/>
            <w:szCs w:val="24"/>
          </w:rPr>
          <w:t>(</w:t>
        </w:r>
        <w:r w:rsidR="00E25FB6">
          <w:rPr>
            <w:rStyle w:val="Hyperlink"/>
            <w:rFonts w:asciiTheme="majorBidi" w:hAnsiTheme="majorBidi" w:cstheme="majorBidi"/>
            <w:b/>
            <w:szCs w:val="24"/>
          </w:rPr>
          <w:t>Rév</w:t>
        </w:r>
        <w:r w:rsidR="002401D7" w:rsidRPr="004C120E">
          <w:rPr>
            <w:rStyle w:val="Hyperlink"/>
            <w:rFonts w:asciiTheme="majorBidi" w:hAnsiTheme="majorBidi" w:cstheme="majorBidi"/>
            <w:b/>
            <w:szCs w:val="24"/>
          </w:rPr>
          <w:t>.</w:t>
        </w:r>
        <w:r w:rsidR="00E623FB">
          <w:rPr>
            <w:rStyle w:val="Hyperlink"/>
            <w:rFonts w:asciiTheme="majorBidi" w:hAnsiTheme="majorBidi" w:cstheme="majorBidi"/>
            <w:b/>
            <w:szCs w:val="24"/>
          </w:rPr>
          <w:t>CMR</w:t>
        </w:r>
        <w:r w:rsidR="002401D7" w:rsidRPr="004C120E">
          <w:rPr>
            <w:rStyle w:val="Hyperlink"/>
            <w:rFonts w:asciiTheme="majorBidi" w:hAnsiTheme="majorBidi" w:cstheme="majorBidi"/>
            <w:b/>
            <w:szCs w:val="24"/>
          </w:rPr>
          <w:noBreakHyphen/>
          <w:t>12)</w:t>
        </w:r>
      </w:hyperlink>
      <w:r w:rsidRPr="00E22842">
        <w:t>;</w:t>
      </w:r>
    </w:p>
    <w:p w:rsidR="004F7281" w:rsidRPr="00E22842" w:rsidRDefault="004F7281" w:rsidP="00A17011">
      <w:pPr>
        <w:jc w:val="both"/>
      </w:pPr>
      <w:r w:rsidRPr="00E22842">
        <w:t>4</w:t>
      </w:r>
      <w:r w:rsidRPr="00E22842">
        <w:tab/>
        <w:t>examiner les modifications et amendements à apporter éventuellement au Règlement des radiocommunications à la suite des décisions prises par la Conférence;</w:t>
      </w:r>
    </w:p>
    <w:p w:rsidR="004F7281" w:rsidRPr="00E22842" w:rsidRDefault="004F7281" w:rsidP="00E623FB">
      <w:pPr>
        <w:jc w:val="both"/>
      </w:pPr>
      <w:r w:rsidRPr="00E22842">
        <w:t>5</w:t>
      </w:r>
      <w:r w:rsidRPr="00E22842">
        <w:tab/>
        <w:t xml:space="preserve">conformément à la </w:t>
      </w:r>
      <w:hyperlink w:anchor="RES_95" w:history="1">
        <w:r w:rsidR="00E25FB6" w:rsidRPr="004C120E">
          <w:rPr>
            <w:rStyle w:val="Hyperlink"/>
            <w:rFonts w:asciiTheme="majorBidi" w:hAnsiTheme="majorBidi" w:cstheme="majorBidi"/>
            <w:szCs w:val="24"/>
          </w:rPr>
          <w:t>Résolution</w:t>
        </w:r>
        <w:r w:rsidR="00433832" w:rsidRPr="004C120E">
          <w:rPr>
            <w:rStyle w:val="Hyperlink"/>
            <w:rFonts w:asciiTheme="majorBidi" w:hAnsiTheme="majorBidi" w:cstheme="majorBidi"/>
            <w:szCs w:val="24"/>
          </w:rPr>
          <w:t> </w:t>
        </w:r>
        <w:r w:rsidR="00433832" w:rsidRPr="004C120E">
          <w:rPr>
            <w:rStyle w:val="Hyperlink"/>
            <w:rFonts w:asciiTheme="majorBidi" w:hAnsiTheme="majorBidi" w:cstheme="majorBidi"/>
            <w:b/>
            <w:szCs w:val="24"/>
          </w:rPr>
          <w:t>95 (</w:t>
        </w:r>
        <w:r w:rsidR="00E25FB6">
          <w:rPr>
            <w:rStyle w:val="Hyperlink"/>
            <w:rFonts w:asciiTheme="majorBidi" w:hAnsiTheme="majorBidi" w:cstheme="majorBidi"/>
            <w:b/>
            <w:szCs w:val="24"/>
          </w:rPr>
          <w:t>Rév</w:t>
        </w:r>
        <w:r w:rsidR="00433832" w:rsidRPr="004C120E">
          <w:rPr>
            <w:rStyle w:val="Hyperlink"/>
            <w:rFonts w:asciiTheme="majorBidi" w:hAnsiTheme="majorBidi" w:cstheme="majorBidi"/>
            <w:b/>
            <w:szCs w:val="24"/>
          </w:rPr>
          <w:t>.</w:t>
        </w:r>
        <w:r w:rsidR="00E623FB">
          <w:rPr>
            <w:rStyle w:val="Hyperlink"/>
            <w:rFonts w:asciiTheme="majorBidi" w:hAnsiTheme="majorBidi" w:cstheme="majorBidi"/>
            <w:b/>
            <w:szCs w:val="24"/>
          </w:rPr>
          <w:t>CMR</w:t>
        </w:r>
        <w:r w:rsidR="00433832" w:rsidRPr="004C120E">
          <w:rPr>
            <w:rStyle w:val="Hyperlink"/>
            <w:rFonts w:asciiTheme="majorBidi" w:hAnsiTheme="majorBidi" w:cstheme="majorBidi"/>
            <w:b/>
            <w:szCs w:val="24"/>
          </w:rPr>
          <w:noBreakHyphen/>
          <w:t>07)</w:t>
        </w:r>
      </w:hyperlink>
      <w:r w:rsidR="00433832">
        <w:t xml:space="preserve"> ,e</w:t>
      </w:r>
      <w:r w:rsidRPr="00E22842">
        <w:t>xaminer les résolutions et recommandations des conférences précédentes en vue, le cas échéant, de les réviser, de les remplacer ou de les supprimer;</w:t>
      </w:r>
    </w:p>
    <w:p w:rsidR="004F7281" w:rsidRPr="00E22842" w:rsidRDefault="004F7281" w:rsidP="00A17011">
      <w:pPr>
        <w:jc w:val="both"/>
      </w:pPr>
      <w:r w:rsidRPr="00E22842">
        <w:t>6</w:t>
      </w:r>
      <w:r w:rsidRPr="00E22842">
        <w:tab/>
        <w:t>examiner le Rapport de l'Assemblée des radiocommunications soumis conformément aux numéros 135 et 136 de la Convention et lui donner la suite voulue;</w:t>
      </w:r>
    </w:p>
    <w:p w:rsidR="004F7281" w:rsidRDefault="004F7281" w:rsidP="00A17011">
      <w:pPr>
        <w:jc w:val="both"/>
      </w:pPr>
      <w:r w:rsidRPr="00E22842">
        <w:t>7</w:t>
      </w:r>
      <w:r w:rsidRPr="00E22842">
        <w:tab/>
        <w:t>identifier les points au sujet desquels les commissions d'études des radiocommunications doivent d'urgence prendre des mesures;</w:t>
      </w:r>
    </w:p>
    <w:p w:rsidR="004F7281" w:rsidRPr="00E22842" w:rsidRDefault="004F7281" w:rsidP="00E623FB">
      <w:pPr>
        <w:jc w:val="both"/>
      </w:pPr>
      <w:r w:rsidRPr="00E22842">
        <w:t>8</w:t>
      </w:r>
      <w:r w:rsidRPr="00E22842">
        <w:tab/>
        <w:t>examiner d'éventu</w:t>
      </w:r>
      <w:r>
        <w:t xml:space="preserve">els changements à apporter, et d'autres options à mettre en </w:t>
      </w:r>
      <w:proofErr w:type="spellStart"/>
      <w:r>
        <w:t>oeuvre</w:t>
      </w:r>
      <w:proofErr w:type="spellEnd"/>
      <w:r>
        <w:t xml:space="preserve">, </w:t>
      </w:r>
      <w:r w:rsidRPr="00E22842">
        <w:t xml:space="preserve">en application de la </w:t>
      </w:r>
      <w:hyperlink w:anchor="RES_86_Rev_Marrakesh_2002" w:history="1">
        <w:r w:rsidR="00E25FB6" w:rsidRPr="004C120E">
          <w:rPr>
            <w:rStyle w:val="Hyperlink"/>
            <w:rFonts w:asciiTheme="majorBidi" w:hAnsiTheme="majorBidi" w:cstheme="majorBidi"/>
            <w:szCs w:val="24"/>
          </w:rPr>
          <w:t>Résolution</w:t>
        </w:r>
        <w:r w:rsidR="00984CAA" w:rsidRPr="004C120E">
          <w:rPr>
            <w:rStyle w:val="Hyperlink"/>
            <w:rFonts w:asciiTheme="majorBidi" w:hAnsiTheme="majorBidi" w:cstheme="majorBidi"/>
            <w:szCs w:val="24"/>
          </w:rPr>
          <w:t> </w:t>
        </w:r>
        <w:r w:rsidR="00984CAA" w:rsidRPr="00E9256A">
          <w:rPr>
            <w:rStyle w:val="Hyperlink"/>
            <w:rFonts w:asciiTheme="majorBidi" w:hAnsiTheme="majorBidi" w:cstheme="majorBidi"/>
            <w:b/>
            <w:bCs/>
            <w:szCs w:val="24"/>
          </w:rPr>
          <w:t>86 (</w:t>
        </w:r>
        <w:proofErr w:type="spellStart"/>
        <w:r w:rsidR="00E25FB6">
          <w:rPr>
            <w:rStyle w:val="Hyperlink"/>
            <w:rFonts w:asciiTheme="majorBidi" w:hAnsiTheme="majorBidi" w:cstheme="majorBidi"/>
            <w:b/>
            <w:bCs/>
            <w:szCs w:val="24"/>
          </w:rPr>
          <w:t>Rév</w:t>
        </w:r>
        <w:proofErr w:type="spellEnd"/>
        <w:r w:rsidR="00984CAA" w:rsidRPr="00E9256A">
          <w:rPr>
            <w:rStyle w:val="Hyperlink"/>
            <w:rFonts w:asciiTheme="majorBidi" w:hAnsiTheme="majorBidi" w:cstheme="majorBidi"/>
            <w:b/>
            <w:bCs/>
            <w:szCs w:val="24"/>
          </w:rPr>
          <w:t>. Marrake</w:t>
        </w:r>
        <w:r w:rsidR="00803987">
          <w:rPr>
            <w:rStyle w:val="Hyperlink"/>
            <w:rFonts w:asciiTheme="majorBidi" w:hAnsiTheme="majorBidi" w:cstheme="majorBidi"/>
            <w:b/>
            <w:bCs/>
            <w:szCs w:val="24"/>
          </w:rPr>
          <w:t>c</w:t>
        </w:r>
        <w:r w:rsidR="00984CAA" w:rsidRPr="00E9256A">
          <w:rPr>
            <w:rStyle w:val="Hyperlink"/>
            <w:rFonts w:asciiTheme="majorBidi" w:hAnsiTheme="majorBidi" w:cstheme="majorBidi"/>
            <w:b/>
            <w:bCs/>
            <w:szCs w:val="24"/>
          </w:rPr>
          <w:t>h, 2002)</w:t>
        </w:r>
      </w:hyperlink>
      <w:r w:rsidRPr="00542E19">
        <w:t xml:space="preserve"> de</w:t>
      </w:r>
      <w:r w:rsidRPr="00E22842">
        <w:t xml:space="preserve"> la Conférence de plénipotentiaires, intitulée «Procédures de publication anticipée, de coordination, de notification et d'inscription des assignations de fréquence relatives aux réseaux à satellite», conformément à la </w:t>
      </w:r>
      <w:hyperlink w:anchor="RES_86_rev_WRC07" w:history="1">
        <w:r w:rsidR="00E25FB6">
          <w:rPr>
            <w:rStyle w:val="Hyperlink"/>
            <w:rFonts w:asciiTheme="majorBidi" w:hAnsiTheme="majorBidi" w:cstheme="majorBidi"/>
            <w:szCs w:val="24"/>
          </w:rPr>
          <w:t>Résolution</w:t>
        </w:r>
        <w:r w:rsidR="00984CAA" w:rsidRPr="004C120E">
          <w:rPr>
            <w:rStyle w:val="Hyperlink"/>
            <w:rFonts w:asciiTheme="majorBidi" w:hAnsiTheme="majorBidi" w:cstheme="majorBidi"/>
            <w:szCs w:val="24"/>
          </w:rPr>
          <w:t> </w:t>
        </w:r>
        <w:r w:rsidR="00984CAA" w:rsidRPr="004C120E">
          <w:rPr>
            <w:rStyle w:val="Hyperlink"/>
            <w:rFonts w:asciiTheme="majorBidi" w:hAnsiTheme="majorBidi" w:cstheme="majorBidi"/>
            <w:b/>
            <w:szCs w:val="24"/>
          </w:rPr>
          <w:t>86</w:t>
        </w:r>
        <w:r w:rsidR="00984CAA" w:rsidRPr="004C120E">
          <w:rPr>
            <w:rStyle w:val="Hyperlink"/>
            <w:rFonts w:asciiTheme="majorBidi" w:hAnsiTheme="majorBidi" w:cstheme="majorBidi"/>
            <w:szCs w:val="24"/>
          </w:rPr>
          <w:t xml:space="preserve"> </w:t>
        </w:r>
        <w:r w:rsidR="00984CAA" w:rsidRPr="004C120E">
          <w:rPr>
            <w:rStyle w:val="Hyperlink"/>
            <w:rFonts w:asciiTheme="majorBidi" w:hAnsiTheme="majorBidi" w:cstheme="majorBidi"/>
            <w:b/>
            <w:szCs w:val="24"/>
            <w:lang w:eastAsia="ja-JP"/>
          </w:rPr>
          <w:t>(</w:t>
        </w:r>
        <w:r w:rsidR="00E25FB6">
          <w:rPr>
            <w:rStyle w:val="Hyperlink"/>
            <w:rFonts w:asciiTheme="majorBidi" w:hAnsiTheme="majorBidi" w:cstheme="majorBidi"/>
            <w:b/>
            <w:szCs w:val="24"/>
            <w:lang w:eastAsia="ja-JP"/>
          </w:rPr>
          <w:t>Rév</w:t>
        </w:r>
        <w:r w:rsidR="00984CAA" w:rsidRPr="004C120E">
          <w:rPr>
            <w:rStyle w:val="Hyperlink"/>
            <w:rFonts w:asciiTheme="majorBidi" w:hAnsiTheme="majorBidi" w:cstheme="majorBidi"/>
            <w:b/>
            <w:szCs w:val="24"/>
            <w:lang w:eastAsia="ja-JP"/>
          </w:rPr>
          <w:t>.</w:t>
        </w:r>
        <w:r w:rsidR="00E623FB">
          <w:rPr>
            <w:rStyle w:val="Hyperlink"/>
            <w:rFonts w:asciiTheme="majorBidi" w:hAnsiTheme="majorBidi" w:cstheme="majorBidi"/>
            <w:b/>
            <w:szCs w:val="24"/>
            <w:lang w:eastAsia="ja-JP"/>
          </w:rPr>
          <w:t>CMR</w:t>
        </w:r>
        <w:r w:rsidR="00984CAA" w:rsidRPr="004C120E">
          <w:rPr>
            <w:rStyle w:val="Hyperlink"/>
            <w:rFonts w:asciiTheme="majorBidi" w:hAnsiTheme="majorBidi" w:cstheme="majorBidi"/>
            <w:b/>
            <w:szCs w:val="24"/>
            <w:lang w:eastAsia="ja-JP"/>
          </w:rPr>
          <w:noBreakHyphen/>
          <w:t>07)</w:t>
        </w:r>
      </w:hyperlink>
      <w:r>
        <w:t>,</w:t>
      </w:r>
      <w:r w:rsidRPr="00697914">
        <w:t xml:space="preserve"> </w:t>
      </w:r>
      <w:r>
        <w:t xml:space="preserve">pour faciliter </w:t>
      </w:r>
      <w:r w:rsidRPr="00770F4E">
        <w:t>l'utilisation rationnelle, efficace et économique</w:t>
      </w:r>
      <w:r>
        <w:t xml:space="preserve"> des fréquences radioélectriques et des orbites associées, y compris l'orbite des satellites géostationnaires</w:t>
      </w:r>
      <w:r w:rsidRPr="00E22842">
        <w:t>;</w:t>
      </w:r>
    </w:p>
    <w:p w:rsidR="004F7281" w:rsidRPr="00E22842" w:rsidRDefault="004F7281" w:rsidP="00E623FB">
      <w:pPr>
        <w:jc w:val="both"/>
      </w:pPr>
      <w:r w:rsidRPr="00E22842">
        <w:t>9</w:t>
      </w:r>
      <w:r w:rsidRPr="00E22842">
        <w:tab/>
      </w:r>
      <w:r w:rsidRPr="00ED784B">
        <w:t xml:space="preserve">examiner les demandes des administrations qui souhaitent supprimer des renvois relatifs à leur pays ou le nom de leur pays de certains renvois, s'ils ne sont plus nécessaires, compte tenu de la </w:t>
      </w:r>
      <w:hyperlink w:anchor="RES_26" w:history="1">
        <w:r w:rsidR="00E25FB6">
          <w:rPr>
            <w:rStyle w:val="Hyperlink"/>
            <w:rFonts w:asciiTheme="majorBidi" w:hAnsiTheme="majorBidi" w:cstheme="majorBidi"/>
            <w:szCs w:val="24"/>
          </w:rPr>
          <w:t>Résolution</w:t>
        </w:r>
        <w:r w:rsidR="00984CAA" w:rsidRPr="004C120E">
          <w:rPr>
            <w:rStyle w:val="Hyperlink"/>
            <w:rFonts w:asciiTheme="majorBidi" w:hAnsiTheme="majorBidi" w:cstheme="majorBidi"/>
            <w:szCs w:val="24"/>
          </w:rPr>
          <w:t> </w:t>
        </w:r>
        <w:r w:rsidR="00984CAA" w:rsidRPr="004C120E">
          <w:rPr>
            <w:rStyle w:val="Hyperlink"/>
            <w:rFonts w:asciiTheme="majorBidi" w:hAnsiTheme="majorBidi" w:cstheme="majorBidi"/>
            <w:b/>
            <w:bCs/>
            <w:szCs w:val="24"/>
          </w:rPr>
          <w:t>26 (</w:t>
        </w:r>
        <w:r w:rsidR="00E25FB6">
          <w:rPr>
            <w:rStyle w:val="Hyperlink"/>
            <w:rFonts w:asciiTheme="majorBidi" w:hAnsiTheme="majorBidi" w:cstheme="majorBidi"/>
            <w:b/>
            <w:bCs/>
            <w:szCs w:val="24"/>
          </w:rPr>
          <w:t>Rév</w:t>
        </w:r>
        <w:r w:rsidR="00984CAA" w:rsidRPr="004C120E">
          <w:rPr>
            <w:rStyle w:val="Hyperlink"/>
            <w:rFonts w:asciiTheme="majorBidi" w:hAnsiTheme="majorBidi" w:cstheme="majorBidi"/>
            <w:b/>
            <w:bCs/>
            <w:szCs w:val="24"/>
          </w:rPr>
          <w:t>.</w:t>
        </w:r>
        <w:r w:rsidR="00E623FB">
          <w:rPr>
            <w:rStyle w:val="Hyperlink"/>
            <w:rFonts w:asciiTheme="majorBidi" w:hAnsiTheme="majorBidi" w:cstheme="majorBidi"/>
            <w:b/>
            <w:bCs/>
            <w:szCs w:val="24"/>
          </w:rPr>
          <w:t>CMR</w:t>
        </w:r>
        <w:r w:rsidR="00984CAA" w:rsidRPr="004C120E">
          <w:rPr>
            <w:rStyle w:val="Hyperlink"/>
            <w:rFonts w:asciiTheme="majorBidi" w:hAnsiTheme="majorBidi" w:cstheme="majorBidi"/>
            <w:b/>
            <w:bCs/>
            <w:szCs w:val="24"/>
          </w:rPr>
          <w:noBreakHyphen/>
          <w:t>07)</w:t>
        </w:r>
      </w:hyperlink>
      <w:r w:rsidRPr="00ED784B">
        <w:t>, et prendre les mesures voulues à ce sujet;</w:t>
      </w:r>
    </w:p>
    <w:p w:rsidR="004F7281" w:rsidRDefault="004F7281" w:rsidP="00A17011">
      <w:pPr>
        <w:jc w:val="both"/>
      </w:pPr>
      <w:r w:rsidRPr="00E22842">
        <w:t>1</w:t>
      </w:r>
      <w:r>
        <w:t>0</w:t>
      </w:r>
      <w:r>
        <w:tab/>
        <w:t>examiner et approuver le R</w:t>
      </w:r>
      <w:r w:rsidRPr="00E22842">
        <w:t>apport du Directeur du Bureau des radiocommunications</w:t>
      </w:r>
      <w:r>
        <w:t>, conformément à l'article 7 de la Convention:</w:t>
      </w:r>
    </w:p>
    <w:p w:rsidR="004F7281" w:rsidRDefault="004F7281" w:rsidP="00A17011">
      <w:pPr>
        <w:jc w:val="both"/>
      </w:pPr>
      <w:r>
        <w:t>10.1</w:t>
      </w:r>
      <w:r>
        <w:tab/>
      </w:r>
      <w:r w:rsidRPr="00E22842">
        <w:t xml:space="preserve">sur les activités </w:t>
      </w:r>
      <w:r>
        <w:t>de l'UIT-R</w:t>
      </w:r>
      <w:r w:rsidRPr="00E22842">
        <w:t xml:space="preserve"> depuis la CMR</w:t>
      </w:r>
      <w:r>
        <w:t>-19;</w:t>
      </w:r>
    </w:p>
    <w:p w:rsidR="004F7281" w:rsidRDefault="004F7281" w:rsidP="00A17011">
      <w:pPr>
        <w:jc w:val="both"/>
      </w:pPr>
      <w:r>
        <w:t>10.2</w:t>
      </w:r>
      <w:r>
        <w:tab/>
        <w:t>sur les difficultés rencontrées ou les incohérences constatées dans l'application du Règlement des radiocommunications; et</w:t>
      </w:r>
    </w:p>
    <w:p w:rsidR="004F7281" w:rsidRPr="00CC7CB5" w:rsidRDefault="004F7281" w:rsidP="00E623FB">
      <w:pPr>
        <w:jc w:val="both"/>
      </w:pPr>
      <w:r>
        <w:t>10.3</w:t>
      </w:r>
      <w:r>
        <w:tab/>
        <w:t xml:space="preserve">sur la suite donnée à la </w:t>
      </w:r>
      <w:hyperlink w:anchor="RES_80" w:history="1">
        <w:r w:rsidR="00E25FB6">
          <w:rPr>
            <w:rStyle w:val="Hyperlink"/>
            <w:rFonts w:asciiTheme="majorBidi" w:hAnsiTheme="majorBidi" w:cstheme="majorBidi"/>
            <w:szCs w:val="24"/>
            <w:lang w:eastAsia="zh-CN"/>
          </w:rPr>
          <w:t>Résolution</w:t>
        </w:r>
        <w:r w:rsidR="00984CAA" w:rsidRPr="004C120E">
          <w:rPr>
            <w:rStyle w:val="Hyperlink"/>
            <w:rFonts w:asciiTheme="majorBidi" w:hAnsiTheme="majorBidi" w:cstheme="majorBidi"/>
            <w:szCs w:val="24"/>
            <w:lang w:eastAsia="zh-CN"/>
          </w:rPr>
          <w:t> </w:t>
        </w:r>
        <w:r w:rsidR="00984CAA" w:rsidRPr="004C120E">
          <w:rPr>
            <w:rStyle w:val="Hyperlink"/>
            <w:rFonts w:asciiTheme="majorBidi" w:hAnsiTheme="majorBidi" w:cstheme="majorBidi"/>
            <w:b/>
            <w:bCs/>
            <w:szCs w:val="24"/>
            <w:lang w:eastAsia="zh-CN"/>
          </w:rPr>
          <w:t>80 (</w:t>
        </w:r>
        <w:r w:rsidR="00E25FB6">
          <w:rPr>
            <w:rStyle w:val="Hyperlink"/>
            <w:rFonts w:asciiTheme="majorBidi" w:hAnsiTheme="majorBidi" w:cstheme="majorBidi"/>
            <w:b/>
            <w:bCs/>
            <w:szCs w:val="24"/>
            <w:lang w:eastAsia="zh-CN"/>
          </w:rPr>
          <w:t>Rév</w:t>
        </w:r>
        <w:r w:rsidR="00984CAA" w:rsidRPr="004C120E">
          <w:rPr>
            <w:rStyle w:val="Hyperlink"/>
            <w:rFonts w:asciiTheme="majorBidi" w:hAnsiTheme="majorBidi" w:cstheme="majorBidi"/>
            <w:b/>
            <w:bCs/>
            <w:szCs w:val="24"/>
            <w:lang w:eastAsia="zh-CN"/>
          </w:rPr>
          <w:t>.</w:t>
        </w:r>
        <w:r w:rsidR="00E623FB">
          <w:rPr>
            <w:rStyle w:val="Hyperlink"/>
            <w:rFonts w:asciiTheme="majorBidi" w:hAnsiTheme="majorBidi" w:cstheme="majorBidi"/>
            <w:b/>
            <w:bCs/>
            <w:szCs w:val="24"/>
            <w:lang w:eastAsia="zh-CN"/>
          </w:rPr>
          <w:t>CMR</w:t>
        </w:r>
        <w:r w:rsidR="00984CAA" w:rsidRPr="004C120E">
          <w:rPr>
            <w:rStyle w:val="Hyperlink"/>
            <w:rFonts w:asciiTheme="majorBidi" w:hAnsiTheme="majorBidi" w:cstheme="majorBidi"/>
            <w:b/>
            <w:bCs/>
            <w:szCs w:val="24"/>
            <w:lang w:eastAsia="zh-CN"/>
          </w:rPr>
          <w:noBreakHyphen/>
          <w:t>07)</w:t>
        </w:r>
      </w:hyperlink>
      <w:r>
        <w:t>;</w:t>
      </w:r>
    </w:p>
    <w:p w:rsidR="004F7281" w:rsidRPr="00E22842" w:rsidRDefault="004F7281" w:rsidP="00A17011">
      <w:pPr>
        <w:jc w:val="both"/>
      </w:pPr>
      <w:r>
        <w:t>11</w:t>
      </w:r>
      <w:r w:rsidRPr="00E22842">
        <w:tab/>
        <w:t xml:space="preserve">recommander au Conseil </w:t>
      </w:r>
      <w:r>
        <w:t xml:space="preserve">de l'UIT </w:t>
      </w:r>
      <w:r w:rsidRPr="00E22842">
        <w:t>des points à inscrire à l'ordre du jour de la CMR suivante</w:t>
      </w:r>
      <w:r>
        <w:t>, conformément à l'article 7 de la Convention</w:t>
      </w:r>
      <w:r w:rsidRPr="00E22842">
        <w:t>,</w:t>
      </w:r>
    </w:p>
    <w:p w:rsidR="004F7281" w:rsidRPr="00E22842" w:rsidRDefault="004F7281" w:rsidP="00A17011">
      <w:pPr>
        <w:pStyle w:val="Call"/>
        <w:jc w:val="both"/>
      </w:pPr>
      <w:r w:rsidRPr="00E22842">
        <w:t>invite le Conseil</w:t>
      </w:r>
    </w:p>
    <w:p w:rsidR="004F7281" w:rsidRPr="00E22842" w:rsidRDefault="004F7281" w:rsidP="00A17011">
      <w:pPr>
        <w:jc w:val="both"/>
      </w:pPr>
      <w:r w:rsidRPr="00E22842">
        <w:t>à examiner les avis formulés dans la présente Résolution,</w:t>
      </w:r>
    </w:p>
    <w:p w:rsidR="004F7281" w:rsidRPr="00E22842" w:rsidRDefault="004F7281" w:rsidP="00A17011">
      <w:pPr>
        <w:pStyle w:val="Call"/>
        <w:jc w:val="both"/>
      </w:pPr>
      <w:r w:rsidRPr="00E22842">
        <w:t>charge le Directeur du Bureau des radiocommunications</w:t>
      </w:r>
    </w:p>
    <w:p w:rsidR="004F7281" w:rsidRPr="00E22842" w:rsidRDefault="004F7281" w:rsidP="00A17011">
      <w:pPr>
        <w:jc w:val="both"/>
      </w:pPr>
      <w:r w:rsidRPr="00E22842">
        <w:t xml:space="preserve">de prendre les dispositions voulues pour la convocation des sessions de la Réunion de préparation à la Conférence et de préparer un </w:t>
      </w:r>
      <w:r>
        <w:t>Rapport à l'intention de la CMR-23</w:t>
      </w:r>
      <w:r w:rsidRPr="00E22842">
        <w:t>,</w:t>
      </w:r>
    </w:p>
    <w:p w:rsidR="004F7281" w:rsidRPr="00E22842" w:rsidRDefault="004F7281" w:rsidP="00A17011">
      <w:pPr>
        <w:pStyle w:val="Call"/>
        <w:jc w:val="both"/>
      </w:pPr>
      <w:r w:rsidRPr="00E22842">
        <w:t>charge le Secrétaire général</w:t>
      </w:r>
    </w:p>
    <w:p w:rsidR="004F7281" w:rsidRDefault="004F7281" w:rsidP="00A17011">
      <w:pPr>
        <w:jc w:val="both"/>
      </w:pPr>
      <w:r w:rsidRPr="00E22842">
        <w:t>de communiquer la présente Résolution aux organisations internationales et régionales concernées.</w:t>
      </w:r>
    </w:p>
    <w:p w:rsidR="00C67CB3" w:rsidRPr="004F7281" w:rsidRDefault="00C67CB3" w:rsidP="00A17011">
      <w:pPr>
        <w:overflowPunct/>
        <w:autoSpaceDE/>
        <w:autoSpaceDN/>
        <w:adjustRightInd/>
        <w:spacing w:before="0"/>
        <w:textAlignment w:val="auto"/>
        <w:rPr>
          <w:rFonts w:asciiTheme="majorBidi" w:hAnsiTheme="majorBidi" w:cstheme="majorBidi"/>
          <w:szCs w:val="24"/>
        </w:rPr>
      </w:pPr>
      <w:r w:rsidRPr="004F7281">
        <w:rPr>
          <w:rFonts w:asciiTheme="majorBidi" w:hAnsiTheme="majorBidi" w:cstheme="majorBidi"/>
          <w:szCs w:val="24"/>
        </w:rPr>
        <w:br w:type="page"/>
      </w:r>
    </w:p>
    <w:p w:rsidR="00D31248" w:rsidRPr="00D31248" w:rsidRDefault="00E9256A" w:rsidP="00A17011">
      <w:pPr>
        <w:pStyle w:val="ResNo"/>
      </w:pPr>
      <w:bookmarkStart w:id="46" w:name="RES_26"/>
      <w:bookmarkStart w:id="47" w:name="_Toc450048576"/>
      <w:bookmarkStart w:id="48" w:name="_Toc460331676"/>
      <w:bookmarkStart w:id="49" w:name="_Toc463616133"/>
      <w:bookmarkStart w:id="50" w:name="_Toc337471298"/>
      <w:r>
        <w:lastRenderedPageBreak/>
        <w:t>R</w:t>
      </w:r>
      <w:r w:rsidR="00A02A14" w:rsidRPr="00A02A14">
        <w:t>É</w:t>
      </w:r>
      <w:r w:rsidR="00D31248" w:rsidRPr="00D31248">
        <w:t xml:space="preserve">SOLUTION </w:t>
      </w:r>
      <w:r w:rsidR="00D31248" w:rsidRPr="00D31248">
        <w:rPr>
          <w:rStyle w:val="href"/>
        </w:rPr>
        <w:t>26</w:t>
      </w:r>
      <w:r w:rsidR="00D31248" w:rsidRPr="00D31248">
        <w:t xml:space="preserve"> </w:t>
      </w:r>
      <w:bookmarkEnd w:id="46"/>
      <w:r>
        <w:t>(</w:t>
      </w:r>
      <w:r>
        <w:rPr>
          <w:caps w:val="0"/>
        </w:rPr>
        <w:t>Ré</w:t>
      </w:r>
      <w:r w:rsidRPr="00D31248">
        <w:rPr>
          <w:caps w:val="0"/>
        </w:rPr>
        <w:t>v</w:t>
      </w:r>
      <w:r w:rsidR="00D31248" w:rsidRPr="00D31248">
        <w:t>.</w:t>
      </w:r>
      <w:r w:rsidR="00F8363E" w:rsidRPr="00A20F5A">
        <w:t>C</w:t>
      </w:r>
      <w:r w:rsidR="00F8363E">
        <w:t>MR</w:t>
      </w:r>
      <w:r w:rsidR="00D31248" w:rsidRPr="00D31248">
        <w:t>-07)</w:t>
      </w:r>
      <w:bookmarkEnd w:id="47"/>
      <w:bookmarkEnd w:id="48"/>
      <w:bookmarkEnd w:id="49"/>
    </w:p>
    <w:p w:rsidR="004F7281" w:rsidRPr="00654ABC" w:rsidRDefault="004F7281" w:rsidP="00A17011">
      <w:pPr>
        <w:pStyle w:val="Restitle"/>
      </w:pPr>
      <w:bookmarkStart w:id="51" w:name="_Toc450208552"/>
      <w:bookmarkStart w:id="52" w:name="_Toc463616134"/>
      <w:r w:rsidRPr="00654ABC">
        <w:t>Renvois du Tableau d'attribution des bandes de fréquences dans</w:t>
      </w:r>
      <w:r w:rsidRPr="00654ABC">
        <w:br/>
        <w:t>l'Article 5 du Règlement des radiocommunications</w:t>
      </w:r>
      <w:bookmarkEnd w:id="51"/>
      <w:bookmarkEnd w:id="52"/>
    </w:p>
    <w:p w:rsidR="004F7281" w:rsidRPr="006A5909" w:rsidRDefault="004F7281" w:rsidP="00A17011">
      <w:pPr>
        <w:pStyle w:val="Normalaftertitle"/>
        <w:jc w:val="both"/>
        <w:rPr>
          <w:lang w:val="fr-CH"/>
        </w:rPr>
      </w:pPr>
      <w:r w:rsidRPr="006A5909">
        <w:rPr>
          <w:lang w:val="fr-CH"/>
        </w:rPr>
        <w:t>La Conférence mondiale des radiocommunications (Genève, 2007),</w:t>
      </w:r>
    </w:p>
    <w:p w:rsidR="004F7281" w:rsidRDefault="004F7281" w:rsidP="00A17011">
      <w:pPr>
        <w:pStyle w:val="Call"/>
        <w:jc w:val="both"/>
      </w:pPr>
      <w:r>
        <w:t>considérant</w:t>
      </w:r>
    </w:p>
    <w:p w:rsidR="004F7281" w:rsidRDefault="004F7281" w:rsidP="00A17011">
      <w:pPr>
        <w:jc w:val="both"/>
      </w:pPr>
      <w:r w:rsidRPr="00F73BF7">
        <w:rPr>
          <w:i/>
          <w:iCs/>
        </w:rPr>
        <w:t>a)</w:t>
      </w:r>
      <w:r>
        <w:tab/>
        <w:t>que les renvois font partie intégrante du Tableau d'attribution des bandes de fréquences du Règlement des radiocommunications et font à ce titre partie intégrante d'un traité international;</w:t>
      </w:r>
    </w:p>
    <w:p w:rsidR="004F7281" w:rsidRDefault="004F7281" w:rsidP="00A17011">
      <w:pPr>
        <w:jc w:val="both"/>
      </w:pPr>
      <w:r w:rsidRPr="00F73BF7">
        <w:rPr>
          <w:i/>
          <w:iCs/>
        </w:rPr>
        <w:t>b)</w:t>
      </w:r>
      <w:r>
        <w:tab/>
        <w:t xml:space="preserve">que les renvois du Tableau d'attribution des bandes de fréquences devraient être clairs, concis et faciles à comprendre; </w:t>
      </w:r>
    </w:p>
    <w:p w:rsidR="004F7281" w:rsidRDefault="004F7281" w:rsidP="00A17011">
      <w:pPr>
        <w:jc w:val="both"/>
      </w:pPr>
      <w:r w:rsidRPr="00F73BF7">
        <w:rPr>
          <w:i/>
          <w:iCs/>
        </w:rPr>
        <w:t>c)</w:t>
      </w:r>
      <w:r>
        <w:tab/>
        <w:t xml:space="preserve">que ces renvois devraient se rapporter directement à des questions d'attribution de bandes de fréquences; </w:t>
      </w:r>
    </w:p>
    <w:p w:rsidR="004F7281" w:rsidRDefault="004F7281" w:rsidP="00A17011">
      <w:pPr>
        <w:jc w:val="both"/>
      </w:pPr>
      <w:r w:rsidRPr="00F73BF7">
        <w:rPr>
          <w:i/>
          <w:iCs/>
        </w:rPr>
        <w:t>d)</w:t>
      </w:r>
      <w:r>
        <w:tab/>
        <w:t>qu'il y a lieu d'adopter des principes applicables à l'utilisation des renvois, pour veiller à ce que ces renvois permettent de modifier le Tableau d'attribution des bandes de fréquences sans le compliquer inutilement;</w:t>
      </w:r>
    </w:p>
    <w:p w:rsidR="004F7281" w:rsidRDefault="004F7281" w:rsidP="00A17011">
      <w:pPr>
        <w:jc w:val="both"/>
      </w:pPr>
      <w:r w:rsidRPr="00F73BF7">
        <w:rPr>
          <w:i/>
          <w:iCs/>
        </w:rPr>
        <w:t>e</w:t>
      </w:r>
      <w:r>
        <w:t>)</w:t>
      </w:r>
      <w:r>
        <w:tab/>
        <w:t>qu'actuellement, les renvois sont adoptés par des conférences mondiales des radiocommunications compétentes et que toute adjonction, modification ou suppression de l'un d'entre eux est examinée et décidée par la conférence compétente;</w:t>
      </w:r>
    </w:p>
    <w:p w:rsidR="004F7281" w:rsidRDefault="004F7281" w:rsidP="00A17011">
      <w:pPr>
        <w:jc w:val="both"/>
      </w:pPr>
      <w:r w:rsidRPr="00F73BF7">
        <w:rPr>
          <w:i/>
          <w:iCs/>
        </w:rPr>
        <w:t>f</w:t>
      </w:r>
      <w:r>
        <w:t>)</w:t>
      </w:r>
      <w:r>
        <w:tab/>
        <w:t>que certains problèmes concernant les renvois relatifs aux pays peuvent être résolus par application d'un accord spécial au sens de l'Article </w:t>
      </w:r>
      <w:r w:rsidRPr="002117B0">
        <w:rPr>
          <w:rStyle w:val="ArtrefBold"/>
        </w:rPr>
        <w:t>6</w:t>
      </w:r>
      <w:r>
        <w:t>;</w:t>
      </w:r>
    </w:p>
    <w:p w:rsidR="004F7281" w:rsidRDefault="004F7281" w:rsidP="00A17011">
      <w:pPr>
        <w:jc w:val="both"/>
      </w:pPr>
      <w:r w:rsidRPr="00F73BF7">
        <w:rPr>
          <w:i/>
          <w:iCs/>
        </w:rPr>
        <w:t>g)</w:t>
      </w:r>
      <w:r>
        <w:tab/>
        <w:t>que, dans certains cas, les administrations sont confrontées à des difficultés majeures dues à des incohérences ou à des omissions dans les renvois;</w:t>
      </w:r>
    </w:p>
    <w:p w:rsidR="004F7281" w:rsidRDefault="004F7281" w:rsidP="00A17011">
      <w:pPr>
        <w:jc w:val="both"/>
      </w:pPr>
      <w:r w:rsidRPr="00F73BF7">
        <w:rPr>
          <w:i/>
          <w:iCs/>
        </w:rPr>
        <w:t>h</w:t>
      </w:r>
      <w:r>
        <w:t>)</w:t>
      </w:r>
      <w:r>
        <w:tab/>
        <w:t>que, pour tenir à jour les renvois du Tableau d'attribution des bandes de fréquences, il y a lieu de prévoir des directives claires et efficaces concernant les adjonctions, modifications et suppressions de renvois,</w:t>
      </w:r>
    </w:p>
    <w:p w:rsidR="004F7281" w:rsidRDefault="004F7281" w:rsidP="00A17011">
      <w:pPr>
        <w:pStyle w:val="Call"/>
        <w:jc w:val="both"/>
      </w:pPr>
      <w:r>
        <w:t>décide</w:t>
      </w:r>
    </w:p>
    <w:p w:rsidR="004F7281" w:rsidRDefault="004F7281" w:rsidP="00A17011">
      <w:pPr>
        <w:jc w:val="both"/>
      </w:pPr>
      <w:r>
        <w:t>1</w:t>
      </w:r>
      <w:r>
        <w:tab/>
        <w:t>que, chaque fois que possible, les renvois du Tableau d'attribution des bandes de fréquences devraient être utilisés seulement pour modifier, limiter ou changer de toute autre manière les attributions correspondantes et non pour traiter de l'exploitation de stations, d'assignations de fréquence ou d'autres questions;</w:t>
      </w:r>
    </w:p>
    <w:p w:rsidR="004F7281" w:rsidRDefault="004F7281" w:rsidP="00A17011">
      <w:pPr>
        <w:jc w:val="both"/>
      </w:pPr>
      <w:r>
        <w:t>2</w:t>
      </w:r>
      <w:r>
        <w:tab/>
        <w:t>que le Tableau d'attribution des bandes de fréquences ne devrait comprendre que les renvois qui ont une incidence internationale sur l'utilisation du spectre des fréquences radioélectriques;</w:t>
      </w:r>
    </w:p>
    <w:p w:rsidR="004F7281" w:rsidRDefault="004F7281" w:rsidP="00A17011">
      <w:pPr>
        <w:jc w:val="both"/>
      </w:pPr>
      <w:r>
        <w:t>3</w:t>
      </w:r>
      <w:r>
        <w:tab/>
        <w:t>que de nouveaux renvois du Tableau d'attribution des bandes de fréquences ne devraient être adoptés que pour les motifs suivants:</w:t>
      </w:r>
    </w:p>
    <w:p w:rsidR="004F7281" w:rsidRDefault="004F7281" w:rsidP="00A17011">
      <w:pPr>
        <w:pStyle w:val="enumlev1"/>
        <w:jc w:val="both"/>
      </w:pPr>
      <w:r w:rsidRPr="00EA3387">
        <w:rPr>
          <w:i/>
          <w:iCs/>
        </w:rPr>
        <w:t>a)</w:t>
      </w:r>
      <w:r>
        <w:tab/>
        <w:t>ménager une plus grande souplesse dans le Tableau proprement dit;</w:t>
      </w:r>
    </w:p>
    <w:p w:rsidR="004F7281" w:rsidRDefault="004F7281" w:rsidP="00A17011">
      <w:pPr>
        <w:pStyle w:val="enumlev1"/>
        <w:jc w:val="both"/>
      </w:pPr>
      <w:r w:rsidRPr="00EA3387">
        <w:rPr>
          <w:i/>
          <w:iCs/>
        </w:rPr>
        <w:t>b)</w:t>
      </w:r>
      <w:r>
        <w:tab/>
        <w:t>protéger les attributions pertinentes dans le corps du Tableau et dans d'autres renvois conformément à la Section II de l'Article </w:t>
      </w:r>
      <w:r w:rsidRPr="002117B0">
        <w:rPr>
          <w:rStyle w:val="ArtrefBold"/>
        </w:rPr>
        <w:t>5</w:t>
      </w:r>
      <w:r>
        <w:t>;</w:t>
      </w:r>
    </w:p>
    <w:p w:rsidR="004F7281" w:rsidRDefault="004F7281" w:rsidP="00A17011">
      <w:pPr>
        <w:pStyle w:val="enumlev1"/>
        <w:jc w:val="both"/>
      </w:pPr>
      <w:r w:rsidRPr="00EA3387">
        <w:rPr>
          <w:i/>
          <w:iCs/>
        </w:rPr>
        <w:t>c)</w:t>
      </w:r>
      <w:r>
        <w:tab/>
        <w:t>imposer des restrictions provisoires ou permanentes à un nouveau service en vue d'assurer la compatibilité; ou</w:t>
      </w:r>
    </w:p>
    <w:p w:rsidR="004F7281" w:rsidRDefault="004F7281" w:rsidP="00A17011">
      <w:pPr>
        <w:pStyle w:val="enumlev1"/>
        <w:jc w:val="both"/>
      </w:pPr>
      <w:r w:rsidRPr="00EA3387">
        <w:rPr>
          <w:i/>
          <w:iCs/>
        </w:rPr>
        <w:lastRenderedPageBreak/>
        <w:t>d)</w:t>
      </w:r>
      <w:r>
        <w:tab/>
        <w:t>répondre aux besoins spécifiques d'un pays ou d'une zone lorsque le Tableau n'offre pas la possibilité d'y répondre autrement;</w:t>
      </w:r>
    </w:p>
    <w:p w:rsidR="004F7281" w:rsidRDefault="004F7281" w:rsidP="00A17011">
      <w:pPr>
        <w:jc w:val="both"/>
      </w:pPr>
      <w:r>
        <w:t>4</w:t>
      </w:r>
      <w:r>
        <w:tab/>
        <w:t>que les renvois qui ont des objectifs communs devraient être établis selon un libellé commun et, chaque fois que cela est possible, regroupés en un renvoi unique, en mentionnant les bandes de fréquences pertinentes,</w:t>
      </w:r>
    </w:p>
    <w:p w:rsidR="004F7281" w:rsidRDefault="004F7281" w:rsidP="00A17011">
      <w:pPr>
        <w:pStyle w:val="Call"/>
        <w:jc w:val="both"/>
      </w:pPr>
      <w:r>
        <w:t>décide en outre</w:t>
      </w:r>
    </w:p>
    <w:p w:rsidR="004F7281" w:rsidRDefault="004F7281" w:rsidP="00A17011">
      <w:pPr>
        <w:jc w:val="both"/>
      </w:pPr>
      <w:r>
        <w:t>1</w:t>
      </w:r>
      <w:r>
        <w:tab/>
        <w:t>que l'adjonction d'un nouveau renvoi ou la modification d'un renvoi existant ne devrait être examinée par une conférence mondiale des radiocommunications que dans l'un des cas suivants:</w:t>
      </w:r>
    </w:p>
    <w:p w:rsidR="004F7281" w:rsidRDefault="004F7281" w:rsidP="00A17011">
      <w:pPr>
        <w:pStyle w:val="enumlev1"/>
        <w:jc w:val="both"/>
      </w:pPr>
      <w:r w:rsidRPr="00EA3387">
        <w:rPr>
          <w:i/>
          <w:iCs/>
        </w:rPr>
        <w:t>a</w:t>
      </w:r>
      <w:r w:rsidRPr="00041E70">
        <w:rPr>
          <w:i/>
          <w:iCs/>
        </w:rPr>
        <w:t>)</w:t>
      </w:r>
      <w:r>
        <w:tab/>
        <w:t>l'ordre du jour de cette conférence spécifie explicitement la bande de fréquences à laquelle a trait la proposition d'adjonction ou de modification;</w:t>
      </w:r>
    </w:p>
    <w:p w:rsidR="004F7281" w:rsidRDefault="004F7281" w:rsidP="00A17011">
      <w:pPr>
        <w:pStyle w:val="enumlev1"/>
        <w:jc w:val="both"/>
      </w:pPr>
      <w:r w:rsidRPr="00EA3387">
        <w:rPr>
          <w:i/>
          <w:iCs/>
        </w:rPr>
        <w:t>b)</w:t>
      </w:r>
      <w:r>
        <w:tab/>
        <w:t>les bandes de fréquences auxquelles se rapportent les adjonctions ou modifications de renvois souhaitées sont examinées au cours de la conférence et celle-ci décide de procéder à des changements dans ces bandes;</w:t>
      </w:r>
    </w:p>
    <w:p w:rsidR="004F7281" w:rsidRDefault="004F7281" w:rsidP="00A17011">
      <w:pPr>
        <w:pStyle w:val="enumlev1"/>
        <w:jc w:val="both"/>
      </w:pPr>
      <w:r w:rsidRPr="00EA3387">
        <w:rPr>
          <w:i/>
          <w:iCs/>
        </w:rPr>
        <w:t>c</w:t>
      </w:r>
      <w:r w:rsidRPr="00041E70">
        <w:rPr>
          <w:i/>
          <w:iCs/>
        </w:rPr>
        <w:t>)</w:t>
      </w:r>
      <w:r>
        <w:tab/>
        <w:t>l'adjonction ou la modification est spécifiquement inscrite à l'ordre du jour de la conférence suite à l'examen de propositions soumises par une ou plusieurs administrations intéressées;</w:t>
      </w:r>
    </w:p>
    <w:p w:rsidR="004F7281" w:rsidRDefault="004F7281" w:rsidP="00A17011">
      <w:pPr>
        <w:jc w:val="both"/>
      </w:pPr>
      <w:r>
        <w:t>2</w:t>
      </w:r>
      <w:r>
        <w:tab/>
        <w:t>que les ordres du jour recommandés pour les futures conférences mondiales des radiocommunications devraient systématiquement comporter un point qui permettrait l'examen de propositions formulées par des administrations de suppression de renvois concernant des pays ou de noms de pays indiqués dans des renvois, s'ils ne sont plus nécessaires;</w:t>
      </w:r>
    </w:p>
    <w:p w:rsidR="004F7281" w:rsidRDefault="004F7281" w:rsidP="00A17011">
      <w:pPr>
        <w:jc w:val="both"/>
      </w:pPr>
      <w:r>
        <w:t>3</w:t>
      </w:r>
      <w:r>
        <w:tab/>
        <w:t xml:space="preserve">que, dans les cas non prévus aux </w:t>
      </w:r>
      <w:r w:rsidRPr="00F73BF7">
        <w:rPr>
          <w:i/>
          <w:iCs/>
        </w:rPr>
        <w:t xml:space="preserve">décide en outre </w:t>
      </w:r>
      <w:r>
        <w:t>1 et 2, des propositions de nouveaux renvois ou de modifications de renvois existants pourraient exceptionnellement être examinées par une conférence mondiale des radiocommunications si elles concernent des corrections d'omissions, d'incohérences, d'ambiguïtés ou d'erreurs de forme manifestes et si elles ont été soumises à l'UIT comme le prévoit le numéro 40 des Règles générales régissant les conférences, assemblées et réunions de l'Union (Antalya, 2006),</w:t>
      </w:r>
    </w:p>
    <w:p w:rsidR="004F7281" w:rsidRDefault="004F7281" w:rsidP="00A17011">
      <w:pPr>
        <w:pStyle w:val="Call"/>
        <w:jc w:val="both"/>
      </w:pPr>
      <w:r>
        <w:t>prie instamment les administrations</w:t>
      </w:r>
    </w:p>
    <w:p w:rsidR="004F7281" w:rsidRDefault="004F7281" w:rsidP="00D74410">
      <w:pPr>
        <w:jc w:val="both"/>
      </w:pPr>
      <w:r>
        <w:t>1</w:t>
      </w:r>
      <w:r>
        <w:tab/>
        <w:t xml:space="preserve">de </w:t>
      </w:r>
      <w:r w:rsidR="00D74410">
        <w:t>re</w:t>
      </w:r>
      <w:r w:rsidR="00E25FB6">
        <w:t>v</w:t>
      </w:r>
      <w:r>
        <w:t>oir les renvois périodiquement et de proposer que les renvois concernant leur pays, ou que le nom de leur pays figurant dans des renvois, selon le cas, soient supprimés;</w:t>
      </w:r>
    </w:p>
    <w:p w:rsidR="004F7281" w:rsidRDefault="004F7281" w:rsidP="00A17011">
      <w:pPr>
        <w:jc w:val="both"/>
      </w:pPr>
      <w:r>
        <w:t>2</w:t>
      </w:r>
      <w:r>
        <w:tab/>
        <w:t xml:space="preserve">de tenir compte du </w:t>
      </w:r>
      <w:r w:rsidRPr="00F73BF7">
        <w:rPr>
          <w:i/>
          <w:iCs/>
        </w:rPr>
        <w:t>décide en outre</w:t>
      </w:r>
      <w:r>
        <w:t xml:space="preserve"> ci-dessus lorsqu'elles formulent des propositions à l'intention de conférences mondiales des radiocommunications.</w:t>
      </w:r>
    </w:p>
    <w:p w:rsidR="00B35B28" w:rsidRPr="004F7281" w:rsidRDefault="00B35B28" w:rsidP="00A17011">
      <w:pPr>
        <w:overflowPunct/>
        <w:autoSpaceDE/>
        <w:autoSpaceDN/>
        <w:adjustRightInd/>
        <w:spacing w:before="0"/>
        <w:textAlignment w:val="auto"/>
        <w:rPr>
          <w:rFonts w:asciiTheme="majorBidi" w:hAnsiTheme="majorBidi" w:cstheme="majorBidi"/>
          <w:szCs w:val="24"/>
        </w:rPr>
      </w:pPr>
      <w:r w:rsidRPr="004F7281">
        <w:rPr>
          <w:rFonts w:asciiTheme="majorBidi" w:hAnsiTheme="majorBidi" w:cstheme="majorBidi"/>
          <w:szCs w:val="24"/>
        </w:rPr>
        <w:br w:type="page"/>
      </w:r>
    </w:p>
    <w:p w:rsidR="00D31248" w:rsidRPr="00D31248" w:rsidRDefault="00D200A2" w:rsidP="00A17011">
      <w:pPr>
        <w:pStyle w:val="ResNo"/>
      </w:pPr>
      <w:bookmarkStart w:id="53" w:name="RES_27"/>
      <w:bookmarkStart w:id="54" w:name="_Toc460331678"/>
      <w:bookmarkStart w:id="55" w:name="_Toc463616135"/>
      <w:bookmarkEnd w:id="50"/>
      <w:r>
        <w:lastRenderedPageBreak/>
        <w:t>R</w:t>
      </w:r>
      <w:r w:rsidR="001D5201" w:rsidRPr="001D5201">
        <w:t>É</w:t>
      </w:r>
      <w:r w:rsidR="00D31248" w:rsidRPr="00D31248">
        <w:t xml:space="preserve">SOLUTION </w:t>
      </w:r>
      <w:r w:rsidR="00D31248" w:rsidRPr="00D31248">
        <w:rPr>
          <w:rStyle w:val="href"/>
        </w:rPr>
        <w:t>27</w:t>
      </w:r>
      <w:r w:rsidR="00D31248" w:rsidRPr="00D31248">
        <w:t xml:space="preserve"> </w:t>
      </w:r>
      <w:bookmarkEnd w:id="53"/>
      <w:r w:rsidR="00D31248" w:rsidRPr="00D31248">
        <w:t>(</w:t>
      </w:r>
      <w:r>
        <w:rPr>
          <w:caps w:val="0"/>
        </w:rPr>
        <w:t>Ré</w:t>
      </w:r>
      <w:r w:rsidRPr="00D31248">
        <w:rPr>
          <w:caps w:val="0"/>
        </w:rPr>
        <w:t>v</w:t>
      </w:r>
      <w:r w:rsidR="00D31248" w:rsidRPr="00D31248">
        <w:t>.</w:t>
      </w:r>
      <w:r w:rsidR="00F8363E" w:rsidRPr="00A20F5A">
        <w:t>C</w:t>
      </w:r>
      <w:r w:rsidR="00F8363E">
        <w:t>MR</w:t>
      </w:r>
      <w:r w:rsidR="00D31248" w:rsidRPr="00D31248">
        <w:noBreakHyphen/>
        <w:t>12)</w:t>
      </w:r>
      <w:bookmarkEnd w:id="54"/>
      <w:bookmarkEnd w:id="55"/>
    </w:p>
    <w:p w:rsidR="004F7281" w:rsidRPr="00654ABC" w:rsidRDefault="004F7281" w:rsidP="00A17011">
      <w:pPr>
        <w:pStyle w:val="Restitle"/>
      </w:pPr>
      <w:bookmarkStart w:id="56" w:name="_Toc450208554"/>
      <w:bookmarkStart w:id="57" w:name="_Toc463616136"/>
      <w:r w:rsidRPr="00654ABC">
        <w:t>Utilisation de l'incorporation par référence dans le Règlement</w:t>
      </w:r>
      <w:r w:rsidRPr="00654ABC">
        <w:br/>
        <w:t>des radiocommunications</w:t>
      </w:r>
      <w:bookmarkEnd w:id="56"/>
      <w:bookmarkEnd w:id="57"/>
    </w:p>
    <w:p w:rsidR="004F7281" w:rsidRPr="00FC54FF" w:rsidRDefault="004F7281" w:rsidP="00A17011">
      <w:pPr>
        <w:pStyle w:val="Normalaftertitle"/>
        <w:keepNext/>
        <w:keepLines/>
        <w:jc w:val="both"/>
        <w:rPr>
          <w:lang w:val="fr-CH"/>
        </w:rPr>
      </w:pPr>
      <w:r w:rsidRPr="00FC54FF">
        <w:rPr>
          <w:lang w:val="fr-CH"/>
        </w:rPr>
        <w:t>La Conférence mondiale des radiocommunications (Genève, 2012),</w:t>
      </w:r>
    </w:p>
    <w:p w:rsidR="004F7281" w:rsidRPr="0053233C" w:rsidRDefault="004F7281" w:rsidP="00A17011">
      <w:pPr>
        <w:pStyle w:val="Call"/>
        <w:jc w:val="both"/>
      </w:pPr>
      <w:r w:rsidRPr="0053233C">
        <w:t>considérant</w:t>
      </w:r>
    </w:p>
    <w:p w:rsidR="004F7281" w:rsidRPr="0053233C" w:rsidRDefault="004F7281" w:rsidP="00A17011">
      <w:pPr>
        <w:jc w:val="both"/>
      </w:pPr>
      <w:r w:rsidRPr="0053233C">
        <w:rPr>
          <w:i/>
          <w:iCs/>
        </w:rPr>
        <w:t>a)</w:t>
      </w:r>
      <w:r w:rsidRPr="0053233C">
        <w:tab/>
        <w:t>que les principes de l'incorporation par référence ont été adoptés par la CMR</w:t>
      </w:r>
      <w:r w:rsidRPr="0053233C">
        <w:noBreakHyphen/>
        <w:t>95 et révisés par les conférences suivantes</w:t>
      </w:r>
      <w:r>
        <w:t xml:space="preserve"> </w:t>
      </w:r>
      <w:r w:rsidRPr="0053233C">
        <w:t>(voir les Annexes 1 et 2 de la présente Résolution);</w:t>
      </w:r>
    </w:p>
    <w:p w:rsidR="004F7281" w:rsidRPr="0053233C" w:rsidRDefault="004F7281" w:rsidP="00A17011">
      <w:pPr>
        <w:jc w:val="both"/>
      </w:pPr>
      <w:r w:rsidRPr="0053233C">
        <w:rPr>
          <w:i/>
          <w:iCs/>
        </w:rPr>
        <w:t>b)</w:t>
      </w:r>
      <w:r w:rsidRPr="0053233C">
        <w:tab/>
        <w:t>qu'il existe dans le Règlement des radiocommunications des dispositions contenant des références dans lesquelles le caractère obligatoire ou non obligatoire du texte cité en référence n'est pas déterminé avec suffisamment de précision,</w:t>
      </w:r>
    </w:p>
    <w:p w:rsidR="004F7281" w:rsidRPr="0053233C" w:rsidRDefault="004F7281" w:rsidP="00A17011">
      <w:pPr>
        <w:pStyle w:val="Call"/>
        <w:jc w:val="both"/>
      </w:pPr>
      <w:r w:rsidRPr="0053233C">
        <w:t>notant</w:t>
      </w:r>
    </w:p>
    <w:p w:rsidR="004F7281" w:rsidRPr="0053233C" w:rsidRDefault="004F7281" w:rsidP="00A17011">
      <w:pPr>
        <w:jc w:val="both"/>
      </w:pPr>
      <w:r w:rsidRPr="0053233C">
        <w:t>que les références à des Résolutions ou Recommandations d'une conférence mondiale des radiocommunications (CMR) n'exigent aucune procédure particulière et peuvent être prises en considération, étant donné que ces textes ont été adoptés par une CMR,</w:t>
      </w:r>
    </w:p>
    <w:p w:rsidR="004F7281" w:rsidRPr="0053233C" w:rsidRDefault="004F7281" w:rsidP="00A17011">
      <w:pPr>
        <w:pStyle w:val="Call"/>
        <w:jc w:val="both"/>
      </w:pPr>
      <w:r w:rsidRPr="0053233C">
        <w:t>décide</w:t>
      </w:r>
    </w:p>
    <w:p w:rsidR="004F7281" w:rsidRPr="0053233C" w:rsidRDefault="004F7281" w:rsidP="00A17011">
      <w:pPr>
        <w:jc w:val="both"/>
      </w:pPr>
      <w:r w:rsidRPr="0053233C">
        <w:t>1</w:t>
      </w:r>
      <w:r w:rsidRPr="0053233C">
        <w:tab/>
        <w:t>qu'aux fins du Règlement des radiocommunications, les termes «incorporation par référence» ne s'appliquent qu'aux références censées avoir un caractère obligatoire;</w:t>
      </w:r>
    </w:p>
    <w:p w:rsidR="004F7281" w:rsidRPr="0053233C" w:rsidRDefault="004F7281" w:rsidP="00A17011">
      <w:pPr>
        <w:jc w:val="both"/>
      </w:pPr>
      <w:r w:rsidRPr="0053233C">
        <w:t>2</w:t>
      </w:r>
      <w:r w:rsidRPr="0053233C">
        <w:tab/>
        <w:t>que, lorsqu'on envisage l'incorporation par référence de nouveaux textes, il faut limiter le plus possible cette incorporation et appliquer les critères suivants:</w:t>
      </w:r>
    </w:p>
    <w:p w:rsidR="004F7281" w:rsidRPr="0053233C" w:rsidRDefault="004F7281" w:rsidP="00A17011">
      <w:pPr>
        <w:pStyle w:val="enumlev1"/>
        <w:jc w:val="both"/>
      </w:pPr>
      <w:r w:rsidRPr="0053233C">
        <w:t>–</w:t>
      </w:r>
      <w:r w:rsidRPr="0053233C">
        <w:tab/>
        <w:t>seuls les textes se rapportant à un point particulier de l'ordre du jour d'une CMR peuvent être pris en compte;</w:t>
      </w:r>
    </w:p>
    <w:p w:rsidR="004F7281" w:rsidRPr="0053233C" w:rsidRDefault="004F7281" w:rsidP="00A17011">
      <w:pPr>
        <w:pStyle w:val="enumlev1"/>
        <w:jc w:val="both"/>
      </w:pPr>
      <w:r w:rsidRPr="0053233C">
        <w:t>–</w:t>
      </w:r>
      <w:r w:rsidRPr="0053233C">
        <w:tab/>
        <w:t>la méthode de référence correcte doit être déterminée sur la base des principes exposés dans l'Annexe 1 de la présente Résolution;</w:t>
      </w:r>
    </w:p>
    <w:p w:rsidR="004F7281" w:rsidRPr="0053233C" w:rsidRDefault="004F7281" w:rsidP="00A17011">
      <w:pPr>
        <w:pStyle w:val="enumlev1"/>
        <w:jc w:val="both"/>
      </w:pPr>
      <w:r w:rsidRPr="0053233C">
        <w:t>–</w:t>
      </w:r>
      <w:r w:rsidRPr="0053233C">
        <w:tab/>
        <w:t>les lignes directrices exposées dans l'Annexe 2 de la présente Résolution doivent être appliquées afin de veiller à ce que la méthode correcte soit employée pour atteindre l'objectif recherché;</w:t>
      </w:r>
    </w:p>
    <w:p w:rsidR="004F7281" w:rsidRPr="0053233C" w:rsidRDefault="004F7281" w:rsidP="00A17011">
      <w:pPr>
        <w:jc w:val="both"/>
      </w:pPr>
      <w:r w:rsidRPr="0053233C">
        <w:t>3</w:t>
      </w:r>
      <w:r w:rsidRPr="0053233C">
        <w:tab/>
        <w:t>que la procédure décrite dans l'Annexe 3 de la présente Résolution doit s'appliquer pour l'approbation de l'incorporation par référence de Recommandations ou de parties de Recommandations UIT</w:t>
      </w:r>
      <w:r w:rsidRPr="0053233C">
        <w:noBreakHyphen/>
        <w:t>R;</w:t>
      </w:r>
    </w:p>
    <w:p w:rsidR="004F7281" w:rsidRPr="0053233C" w:rsidRDefault="004F7281" w:rsidP="00A17011">
      <w:pPr>
        <w:jc w:val="both"/>
      </w:pPr>
      <w:r w:rsidRPr="0053233C">
        <w:t>4</w:t>
      </w:r>
      <w:r w:rsidRPr="0053233C">
        <w:tab/>
        <w:t>qu'il faut examiner les références existantes à des Recommandations UIT-R afin d'établir si la référence a un caractère obligatoire ou non oblig</w:t>
      </w:r>
      <w:r w:rsidR="005B11FD">
        <w:t>atoire, conformément à l'Annexe </w:t>
      </w:r>
      <w:r w:rsidRPr="0053233C">
        <w:t>2 de la présente Résolution;</w:t>
      </w:r>
    </w:p>
    <w:p w:rsidR="004F7281" w:rsidRPr="008C0EDF" w:rsidRDefault="004F7281" w:rsidP="00A17011">
      <w:pPr>
        <w:jc w:val="both"/>
      </w:pPr>
      <w:r w:rsidRPr="0053233C">
        <w:t>5</w:t>
      </w:r>
      <w:r w:rsidRPr="0053233C">
        <w:tab/>
      </w:r>
      <w:r w:rsidRPr="008C0EDF">
        <w:t>que les Recommandations ou parties de Recommandations UIT</w:t>
      </w:r>
      <w:r w:rsidRPr="008C0EDF">
        <w:noBreakHyphen/>
        <w:t>R incorporées par référence à la fin de chaque CMR, ainsi qu'une liste de références croisées énumérant les dispositions réglementaires, y compris les renvois et notes de bas de page ainsi que les Résolutions, qui incorporent ces Recommandations UIT-R par référence, doivent être rassemblées et publiées dans un volume du Règlement des radiocommunications (voir l'Annexe 3 de la présente Résolution),</w:t>
      </w:r>
    </w:p>
    <w:p w:rsidR="004F7281" w:rsidRPr="0053233C" w:rsidRDefault="004F7281" w:rsidP="00A17011">
      <w:pPr>
        <w:pStyle w:val="Call"/>
        <w:jc w:val="both"/>
      </w:pPr>
      <w:r w:rsidRPr="0053233C">
        <w:t>charge le Directeur du Bureau des radiocommunications</w:t>
      </w:r>
    </w:p>
    <w:p w:rsidR="004F7281" w:rsidRDefault="004F7281" w:rsidP="00A17011">
      <w:pPr>
        <w:jc w:val="both"/>
      </w:pPr>
      <w:r w:rsidRPr="0053233C">
        <w:t>1</w:t>
      </w:r>
      <w:r w:rsidRPr="0053233C">
        <w:tab/>
        <w:t>de porter la présente Résolution à l'attention de l'Assemblée des radiocommunications et des commissions d'études de l'UIT</w:t>
      </w:r>
      <w:r w:rsidRPr="0053233C">
        <w:noBreakHyphen/>
        <w:t>R;</w:t>
      </w:r>
    </w:p>
    <w:p w:rsidR="004F7281" w:rsidRPr="0053233C" w:rsidRDefault="004F7281" w:rsidP="00A17011">
      <w:pPr>
        <w:jc w:val="both"/>
      </w:pPr>
      <w:r w:rsidRPr="0053233C">
        <w:lastRenderedPageBreak/>
        <w:t>2</w:t>
      </w:r>
      <w:r w:rsidRPr="0053233C">
        <w:tab/>
        <w:t>d'identifier les dispositions ainsi que les renvois et les notes de bas de page du Règlement des radiocommunications contenant des références à des Recommandations UIT</w:t>
      </w:r>
      <w:r w:rsidRPr="0053233C">
        <w:noBreakHyphen/>
        <w:t>R et de faire des suggestions sur le suivi possible à la deuxième session de la Réunion de préparation à la Conférence (RPC), pour qu'elle les examine et aux fins d'intégration dans le Rapport du Directeur à la prochaine CMR;</w:t>
      </w:r>
    </w:p>
    <w:p w:rsidR="004F7281" w:rsidRPr="0053233C" w:rsidRDefault="004F7281" w:rsidP="00A17011">
      <w:pPr>
        <w:jc w:val="both"/>
      </w:pPr>
      <w:r w:rsidRPr="0053233C">
        <w:t>3</w:t>
      </w:r>
      <w:r w:rsidRPr="0053233C">
        <w:tab/>
        <w:t>d'identifier les dispositions ainsi que les renvois et les notes de bas de page du Règlement des radiocommunications contenant des références à des Résolutions d'une CMR, comportant elles-mêmes des références à des Recommandations UIT</w:t>
      </w:r>
      <w:r w:rsidRPr="0053233C">
        <w:noBreakHyphen/>
        <w:t>R et de faire des suggestions sur le suivi possible à la deuxième session de la Réunion de préparation à la Conférence (RPC), pour qu'elle les examine et aux fins d'intégration dans le Rapport du Directeur à la prochaine CMR,</w:t>
      </w:r>
    </w:p>
    <w:p w:rsidR="004F7281" w:rsidRPr="0053233C" w:rsidRDefault="004F7281" w:rsidP="00A17011">
      <w:pPr>
        <w:pStyle w:val="Call"/>
        <w:jc w:val="both"/>
      </w:pPr>
      <w:r w:rsidRPr="0053233C">
        <w:t>invite les administrations</w:t>
      </w:r>
    </w:p>
    <w:p w:rsidR="004F7281" w:rsidRPr="0053233C" w:rsidRDefault="004F7281" w:rsidP="00A17011">
      <w:pPr>
        <w:jc w:val="both"/>
      </w:pPr>
      <w:r w:rsidRPr="0053233C">
        <w:t>à soumettre des propositions à des conférences futures, en tenant compte du Rapport de la RPC, en vue de clarifier le statut des références lorsqu'il subsiste des ambiguïtés quant à leur caractère obligatoire ou non obligatoire, afin de modifier les références:</w:t>
      </w:r>
    </w:p>
    <w:p w:rsidR="004F7281" w:rsidRPr="0053233C" w:rsidRDefault="004F7281" w:rsidP="00A17011">
      <w:pPr>
        <w:pStyle w:val="enumlev1"/>
        <w:jc w:val="both"/>
      </w:pPr>
      <w:r w:rsidRPr="0053233C">
        <w:t>i)</w:t>
      </w:r>
      <w:r w:rsidRPr="0053233C">
        <w:tab/>
        <w:t>qui semblent être de nature obligatoire, en identifiant les textes incorporés par référence au moyen d'une formulation claire conformément à l'Annexe 2;</w:t>
      </w:r>
    </w:p>
    <w:p w:rsidR="00B522FD" w:rsidRPr="004F7281" w:rsidRDefault="004F7281" w:rsidP="00A17011">
      <w:pPr>
        <w:pStyle w:val="enumlev1"/>
        <w:jc w:val="both"/>
        <w:rPr>
          <w:rFonts w:asciiTheme="majorBidi" w:hAnsiTheme="majorBidi" w:cstheme="majorBidi"/>
          <w:szCs w:val="24"/>
        </w:rPr>
      </w:pPr>
      <w:r w:rsidRPr="0053233C">
        <w:t>ii)</w:t>
      </w:r>
      <w:r w:rsidRPr="0053233C">
        <w:tab/>
        <w:t>qui ont un caractère non obligatoire, pour que soit mentionnée la «version la plus récente» des Recommandations concernées.</w:t>
      </w:r>
    </w:p>
    <w:p w:rsidR="00E9658E" w:rsidRPr="00E53BE1" w:rsidRDefault="00E9658E" w:rsidP="00A17011">
      <w:pPr>
        <w:pStyle w:val="AnnexNo0"/>
      </w:pPr>
      <w:r w:rsidRPr="00E53BE1">
        <w:t>ANNEX</w:t>
      </w:r>
      <w:r w:rsidR="00E53BE1" w:rsidRPr="00E53BE1">
        <w:t>e</w:t>
      </w:r>
      <w:r w:rsidRPr="00E53BE1">
        <w:t xml:space="preserve"> 1 </w:t>
      </w:r>
      <w:r w:rsidR="00E53BE1" w:rsidRPr="00E53BE1">
        <w:t>de la RéSOLUTION 27 (</w:t>
      </w:r>
      <w:r w:rsidR="00E53BE1" w:rsidRPr="00E53BE1">
        <w:rPr>
          <w:caps w:val="0"/>
        </w:rPr>
        <w:t>Rév</w:t>
      </w:r>
      <w:r w:rsidRPr="00E53BE1">
        <w:t>.</w:t>
      </w:r>
      <w:r w:rsidR="00F8363E" w:rsidRPr="00A20F5A">
        <w:t>C</w:t>
      </w:r>
      <w:r w:rsidR="00F8363E">
        <w:t>MR</w:t>
      </w:r>
      <w:r w:rsidRPr="00E53BE1">
        <w:noBreakHyphen/>
        <w:t>12)</w:t>
      </w:r>
    </w:p>
    <w:p w:rsidR="004F7281" w:rsidRPr="00654ABC" w:rsidRDefault="004F7281" w:rsidP="00A17011">
      <w:pPr>
        <w:pStyle w:val="Annextitle0"/>
      </w:pPr>
      <w:r w:rsidRPr="00654ABC">
        <w:t>Principes de l'incorporation par référence</w:t>
      </w:r>
    </w:p>
    <w:p w:rsidR="004F7281" w:rsidRPr="000B4B82" w:rsidRDefault="004F7281" w:rsidP="00A17011">
      <w:pPr>
        <w:pStyle w:val="Normalaftertitle"/>
        <w:jc w:val="both"/>
      </w:pPr>
      <w:r w:rsidRPr="000B4B82">
        <w:t>1</w:t>
      </w:r>
      <w:r w:rsidRPr="000B4B82">
        <w:tab/>
        <w:t xml:space="preserve">Aux </w:t>
      </w:r>
      <w:r w:rsidRPr="00B4252F">
        <w:t>fins</w:t>
      </w:r>
      <w:r w:rsidRPr="000B4B82">
        <w:t xml:space="preserve"> du Règlement des radiocommunications, les termes «incorporation par référence» ne s'appliquent qu'aux références censées avoir un caractère obligatoire.</w:t>
      </w:r>
    </w:p>
    <w:p w:rsidR="004F7281" w:rsidRPr="003409D2" w:rsidRDefault="004F7281" w:rsidP="00A17011">
      <w:pPr>
        <w:jc w:val="both"/>
      </w:pPr>
      <w:r w:rsidRPr="003409D2">
        <w:t>2</w:t>
      </w:r>
      <w:r w:rsidRPr="003409D2">
        <w:tab/>
        <w:t>Lorsque les textes pertinents sont brefs, il convient de les insérer dans le corps même du Règlement des radiocommunications au lieu d'employer la méthode de l'incorporation par référence.</w:t>
      </w:r>
    </w:p>
    <w:p w:rsidR="004F7281" w:rsidRPr="006663B0" w:rsidRDefault="004F7281" w:rsidP="00A17011">
      <w:pPr>
        <w:jc w:val="both"/>
      </w:pPr>
      <w:r>
        <w:t>3</w:t>
      </w:r>
      <w:r w:rsidRPr="003409D2">
        <w:tab/>
        <w:t>Lorsqu'une référence à caractère obligatoire à une Recommandation UIT</w:t>
      </w:r>
      <w:r w:rsidRPr="003409D2">
        <w:noBreakHyphen/>
        <w:t xml:space="preserve">R ou à des parties de cette Recommandation est incluse dans le </w:t>
      </w:r>
      <w:r w:rsidRPr="00F73BF7">
        <w:rPr>
          <w:i/>
          <w:iCs/>
        </w:rPr>
        <w:t>décide</w:t>
      </w:r>
      <w:r w:rsidRPr="003409D2">
        <w:t xml:space="preserve"> d'une Résolution d'une CMR, qui est elle</w:t>
      </w:r>
      <w:r w:rsidRPr="003409D2">
        <w:noBreakHyphen/>
        <w:t xml:space="preserve">même citée </w:t>
      </w:r>
      <w:r w:rsidRPr="00ED7A15">
        <w:t>dans une disposition ou dans un renvoi ou une note de bas de page du Règlement</w:t>
      </w:r>
      <w:r w:rsidRPr="003409D2">
        <w:t xml:space="preserve"> des radiocommunications au moyen d'une formulation à caractère obligatoire (c'est</w:t>
      </w:r>
      <w:r w:rsidRPr="003409D2">
        <w:noBreakHyphen/>
        <w:t>à</w:t>
      </w:r>
      <w:r w:rsidRPr="003409D2">
        <w:noBreakHyphen/>
        <w:t>dire le présent ou la forme «doit»), cette Recommandation ou les p</w:t>
      </w:r>
      <w:r w:rsidRPr="006663B0">
        <w:t xml:space="preserve">arties de cette Recommandation </w:t>
      </w:r>
      <w:r w:rsidRPr="003409D2">
        <w:t>UIT</w:t>
      </w:r>
      <w:r w:rsidRPr="003409D2">
        <w:noBreakHyphen/>
        <w:t xml:space="preserve">R </w:t>
      </w:r>
      <w:r w:rsidRPr="006663B0">
        <w:t>sont également considérées comme incorporées par référence.</w:t>
      </w:r>
    </w:p>
    <w:p w:rsidR="004F7281" w:rsidRPr="003409D2" w:rsidRDefault="004F7281" w:rsidP="00A17011">
      <w:pPr>
        <w:jc w:val="both"/>
      </w:pPr>
      <w:r>
        <w:t>4</w:t>
      </w:r>
      <w:r w:rsidRPr="003409D2">
        <w:tab/>
        <w:t>Les textes à caractère non obligatoire, ou qui renvoient à d'autres textes à caractère non obligatoire, ne sont pas pris en considération aux fins d'incorporation par référence.</w:t>
      </w:r>
    </w:p>
    <w:p w:rsidR="004F7281" w:rsidRPr="003409D2" w:rsidRDefault="004F7281" w:rsidP="00A17011">
      <w:pPr>
        <w:jc w:val="both"/>
      </w:pPr>
      <w:r>
        <w:t>5</w:t>
      </w:r>
      <w:r w:rsidRPr="003409D2">
        <w:tab/>
        <w:t>Si, au cas par cas, il est décidé d'incorporer des textes par référence à caractère obligatoire, il convient d'appliquer les dispositions suivantes:</w:t>
      </w:r>
    </w:p>
    <w:p w:rsidR="004F7281" w:rsidRPr="003409D2" w:rsidRDefault="004F7281" w:rsidP="00A17011">
      <w:pPr>
        <w:jc w:val="both"/>
      </w:pPr>
      <w:r>
        <w:t>5</w:t>
      </w:r>
      <w:r w:rsidRPr="003409D2">
        <w:t>.1</w:t>
      </w:r>
      <w:r w:rsidRPr="003409D2">
        <w:tab/>
        <w:t>le texte incorporé par référence a le même statut de traité que le Règlement des radiocommunications proprement dit;</w:t>
      </w:r>
    </w:p>
    <w:p w:rsidR="004F7281" w:rsidRPr="003409D2" w:rsidRDefault="004F7281" w:rsidP="00A17011">
      <w:pPr>
        <w:jc w:val="both"/>
      </w:pPr>
      <w:r>
        <w:t>5</w:t>
      </w:r>
      <w:r w:rsidRPr="003409D2">
        <w:t>.2</w:t>
      </w:r>
      <w:r w:rsidRPr="003409D2">
        <w:tab/>
        <w:t>la référence doit être explicite et préciser la partie spécifique du texte (s'il y a lieu) ainsi que la version ou la cote;</w:t>
      </w:r>
    </w:p>
    <w:p w:rsidR="004F7281" w:rsidRPr="003409D2" w:rsidRDefault="004F7281" w:rsidP="00A17011">
      <w:pPr>
        <w:jc w:val="both"/>
      </w:pPr>
      <w:r>
        <w:lastRenderedPageBreak/>
        <w:t>5</w:t>
      </w:r>
      <w:r w:rsidRPr="003409D2">
        <w:t>.3</w:t>
      </w:r>
      <w:r w:rsidRPr="003409D2">
        <w:tab/>
        <w:t xml:space="preserve">le texte incorporé par référence doit être soumis pour adoption à une CMR compétente conformément au point 3 du </w:t>
      </w:r>
      <w:r w:rsidRPr="003409D2">
        <w:rPr>
          <w:i/>
          <w:iCs/>
        </w:rPr>
        <w:t>décide</w:t>
      </w:r>
      <w:r w:rsidRPr="003409D2">
        <w:t>;</w:t>
      </w:r>
    </w:p>
    <w:p w:rsidR="004F7281" w:rsidRPr="003409D2" w:rsidRDefault="004F7281" w:rsidP="00A17011">
      <w:pPr>
        <w:jc w:val="both"/>
      </w:pPr>
      <w:r>
        <w:t>5</w:t>
      </w:r>
      <w:r w:rsidRPr="003409D2">
        <w:t>.4</w:t>
      </w:r>
      <w:r w:rsidRPr="003409D2">
        <w:tab/>
        <w:t xml:space="preserve">tous les textes incorporés par référence sont publiés après une CMR conformément au point </w:t>
      </w:r>
      <w:r>
        <w:t xml:space="preserve">5 </w:t>
      </w:r>
      <w:r w:rsidRPr="003409D2">
        <w:t xml:space="preserve">du </w:t>
      </w:r>
      <w:r w:rsidRPr="003409D2">
        <w:rPr>
          <w:i/>
          <w:iCs/>
        </w:rPr>
        <w:t>décide</w:t>
      </w:r>
      <w:r w:rsidRPr="003409D2">
        <w:t>.</w:t>
      </w:r>
    </w:p>
    <w:p w:rsidR="00B522FD" w:rsidRPr="004F7281" w:rsidRDefault="004F7281" w:rsidP="00A17011">
      <w:pPr>
        <w:jc w:val="both"/>
        <w:rPr>
          <w:rFonts w:asciiTheme="majorBidi" w:hAnsiTheme="majorBidi" w:cstheme="majorBidi"/>
          <w:szCs w:val="24"/>
        </w:rPr>
      </w:pPr>
      <w:r>
        <w:t>6</w:t>
      </w:r>
      <w:r w:rsidRPr="003409D2">
        <w:tab/>
        <w:t xml:space="preserve">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 la </w:t>
      </w:r>
      <w:hyperlink w:anchor="RES_28" w:history="1">
        <w:r w:rsidR="00FC0E44" w:rsidRPr="004C120E">
          <w:rPr>
            <w:rStyle w:val="Hyperlink"/>
            <w:rFonts w:asciiTheme="majorBidi" w:hAnsiTheme="majorBidi" w:cstheme="majorBidi"/>
            <w:szCs w:val="24"/>
          </w:rPr>
          <w:t>R</w:t>
        </w:r>
        <w:r w:rsidR="00FC0E44">
          <w:rPr>
            <w:rStyle w:val="Hyperlink"/>
            <w:rFonts w:asciiTheme="majorBidi" w:hAnsiTheme="majorBidi" w:cstheme="majorBidi"/>
            <w:szCs w:val="24"/>
          </w:rPr>
          <w:t>é</w:t>
        </w:r>
        <w:r w:rsidR="00FC0E44" w:rsidRPr="004C120E">
          <w:rPr>
            <w:rStyle w:val="Hyperlink"/>
            <w:rFonts w:asciiTheme="majorBidi" w:hAnsiTheme="majorBidi" w:cstheme="majorBidi"/>
            <w:szCs w:val="24"/>
          </w:rPr>
          <w:t>solution </w:t>
        </w:r>
        <w:r w:rsidR="00FC0E44" w:rsidRPr="004C120E">
          <w:rPr>
            <w:rStyle w:val="Hyperlink"/>
            <w:rFonts w:asciiTheme="majorBidi" w:hAnsiTheme="majorBidi" w:cstheme="majorBidi"/>
            <w:b/>
            <w:bCs/>
            <w:szCs w:val="24"/>
          </w:rPr>
          <w:t>28</w:t>
        </w:r>
        <w:r w:rsidR="00FC0E44" w:rsidRPr="004C120E">
          <w:rPr>
            <w:rStyle w:val="Hyperlink"/>
            <w:rFonts w:asciiTheme="majorBidi" w:hAnsiTheme="majorBidi" w:cstheme="majorBidi"/>
            <w:b/>
            <w:szCs w:val="24"/>
          </w:rPr>
          <w:t xml:space="preserve"> (R</w:t>
        </w:r>
        <w:r w:rsidR="00FC0E44">
          <w:rPr>
            <w:rStyle w:val="Hyperlink"/>
            <w:rFonts w:asciiTheme="majorBidi" w:hAnsiTheme="majorBidi" w:cstheme="majorBidi"/>
            <w:b/>
            <w:szCs w:val="24"/>
          </w:rPr>
          <w:t>é</w:t>
        </w:r>
        <w:r w:rsidR="00FC0E44" w:rsidRPr="004C120E">
          <w:rPr>
            <w:rStyle w:val="Hyperlink"/>
            <w:rFonts w:asciiTheme="majorBidi" w:hAnsiTheme="majorBidi" w:cstheme="majorBidi"/>
            <w:b/>
            <w:szCs w:val="24"/>
          </w:rPr>
          <w:t>v.C</w:t>
        </w:r>
        <w:r w:rsidR="00FC0E44">
          <w:rPr>
            <w:rStyle w:val="Hyperlink"/>
            <w:rFonts w:asciiTheme="majorBidi" w:hAnsiTheme="majorBidi" w:cstheme="majorBidi"/>
            <w:b/>
            <w:szCs w:val="24"/>
          </w:rPr>
          <w:t>MR</w:t>
        </w:r>
        <w:r w:rsidR="00FC0E44" w:rsidRPr="004C120E">
          <w:rPr>
            <w:rStyle w:val="Hyperlink"/>
            <w:rFonts w:asciiTheme="majorBidi" w:hAnsiTheme="majorBidi" w:cstheme="majorBidi"/>
            <w:b/>
            <w:szCs w:val="24"/>
          </w:rPr>
          <w:noBreakHyphen/>
          <w:t>03)</w:t>
        </w:r>
      </w:hyperlink>
      <w:r w:rsidRPr="006905BC">
        <w:rPr>
          <w:rStyle w:val="FootnoteReference"/>
        </w:rPr>
        <w:footnoteReference w:customMarkFollows="1" w:id="4"/>
        <w:t>*</w:t>
      </w:r>
      <w:r w:rsidRPr="003409D2">
        <w:t>.</w:t>
      </w:r>
    </w:p>
    <w:p w:rsidR="00E9658E" w:rsidRPr="00E53BE1" w:rsidRDefault="00E9658E" w:rsidP="00A17011">
      <w:pPr>
        <w:pStyle w:val="AnnexNo0"/>
      </w:pPr>
      <w:r w:rsidRPr="00E53BE1">
        <w:t>ANNEX</w:t>
      </w:r>
      <w:r w:rsidR="00535FD4">
        <w:t>e</w:t>
      </w:r>
      <w:r w:rsidRPr="00E53BE1">
        <w:t xml:space="preserve"> 2 </w:t>
      </w:r>
      <w:r w:rsidR="00E53BE1" w:rsidRPr="00E53BE1">
        <w:t>de la</w:t>
      </w:r>
      <w:r w:rsidRPr="00E53BE1">
        <w:t xml:space="preserve"> R</w:t>
      </w:r>
      <w:r w:rsidR="00E53BE1" w:rsidRPr="00E53BE1">
        <w:t>é</w:t>
      </w:r>
      <w:r w:rsidRPr="00E53BE1">
        <w:t>SOLUTION 27 (</w:t>
      </w:r>
      <w:r w:rsidR="00E53BE1" w:rsidRPr="00E53BE1">
        <w:rPr>
          <w:caps w:val="0"/>
        </w:rPr>
        <w:t>Rév</w:t>
      </w:r>
      <w:r w:rsidRPr="00E53BE1">
        <w:t>.</w:t>
      </w:r>
      <w:r w:rsidR="00E53BE1">
        <w:t>cmr</w:t>
      </w:r>
      <w:r w:rsidRPr="00E53BE1">
        <w:noBreakHyphen/>
        <w:t>12)</w:t>
      </w:r>
    </w:p>
    <w:p w:rsidR="004F7281" w:rsidRPr="00654ABC" w:rsidRDefault="004F7281" w:rsidP="00A17011">
      <w:pPr>
        <w:pStyle w:val="Annextitle0"/>
      </w:pPr>
      <w:r w:rsidRPr="00654ABC">
        <w:t>Application de l'incorporation par référence</w:t>
      </w:r>
    </w:p>
    <w:p w:rsidR="004F7281" w:rsidRPr="000B4B82" w:rsidRDefault="004F7281" w:rsidP="00A17011">
      <w:pPr>
        <w:pStyle w:val="Normalaftertitle"/>
        <w:jc w:val="both"/>
      </w:pPr>
      <w:r w:rsidRPr="000B4B82">
        <w:t>Lorsque de nouveaux textes sont présentés pour incorporation par référence dans les dispositions du Règlement des radiocommunications ou que des textes actuellement incorporés par référence sont examinés, les administrations et l'UIT-R doivent veiller à ce que la méthode correcte soit employée pour atteindre l'objectif recherché, compte tenu des éléments suivants, selon que chaque référence est obligatoire (c'est-à-dire si elle est incorporée par référence) ou qu'elle n'est pas obligatoire:</w:t>
      </w:r>
    </w:p>
    <w:p w:rsidR="004F7281" w:rsidRPr="00001EC0" w:rsidRDefault="004F7281" w:rsidP="00A17011">
      <w:pPr>
        <w:pStyle w:val="Headingb0"/>
        <w:jc w:val="both"/>
      </w:pPr>
      <w:r w:rsidRPr="00001EC0">
        <w:t>Références à caractère obligatoire</w:t>
      </w:r>
    </w:p>
    <w:p w:rsidR="004F7281" w:rsidRPr="003409D2" w:rsidRDefault="004F7281" w:rsidP="00A17011">
      <w:pPr>
        <w:jc w:val="both"/>
      </w:pPr>
      <w:r w:rsidRPr="003409D2">
        <w:t>1</w:t>
      </w:r>
      <w:r w:rsidRPr="003409D2">
        <w:tab/>
        <w:t>pour des références à caractère obligatoire, on emploie une formulation claire, c'est</w:t>
      </w:r>
      <w:r w:rsidRPr="003409D2">
        <w:noBreakHyphen/>
        <w:t>à</w:t>
      </w:r>
      <w:r w:rsidRPr="003409D2">
        <w:noBreakHyphen/>
        <w:t>dire, par exemple, le présent ou la forme «doit»;</w:t>
      </w:r>
    </w:p>
    <w:p w:rsidR="004F7281" w:rsidRPr="003409D2" w:rsidRDefault="004F7281" w:rsidP="00A17011">
      <w:pPr>
        <w:jc w:val="both"/>
      </w:pPr>
      <w:r w:rsidRPr="003409D2">
        <w:t>2</w:t>
      </w:r>
      <w:r w:rsidRPr="003409D2">
        <w:tab/>
        <w:t>les références à caractère obligatoire doivent être explicitement et expressément identifiées, par exemple «Recommandation UIT-R M.541-8»;</w:t>
      </w:r>
    </w:p>
    <w:p w:rsidR="004F7281" w:rsidRPr="003409D2" w:rsidRDefault="004F7281" w:rsidP="00A17011">
      <w:pPr>
        <w:jc w:val="both"/>
      </w:pPr>
      <w:r w:rsidRPr="003409D2">
        <w:t>3</w:t>
      </w:r>
      <w:r w:rsidRPr="003409D2">
        <w:tab/>
        <w:t>si le texte destiné à être incorporé par référence n'a pas valeur de traité dans sa totalité, la référence doit se limiter aux parties du texte en question qui ont valeur de traité, par exemple, «Annexe A de la Recommandation UIT</w:t>
      </w:r>
      <w:r>
        <w:noBreakHyphen/>
      </w:r>
      <w:r w:rsidRPr="003409D2">
        <w:t>R</w:t>
      </w:r>
      <w:r>
        <w:t> </w:t>
      </w:r>
      <w:r w:rsidRPr="003409D2">
        <w:t>Z.123</w:t>
      </w:r>
      <w:r>
        <w:noBreakHyphen/>
      </w:r>
      <w:r w:rsidRPr="003409D2">
        <w:t>4».</w:t>
      </w:r>
    </w:p>
    <w:p w:rsidR="004F7281" w:rsidRPr="00001EC0" w:rsidRDefault="004F7281" w:rsidP="00A17011">
      <w:pPr>
        <w:pStyle w:val="Headingb0"/>
        <w:jc w:val="both"/>
      </w:pPr>
      <w:r w:rsidRPr="00001EC0">
        <w:t>Références à caractère non obligatoire</w:t>
      </w:r>
    </w:p>
    <w:p w:rsidR="00B522FD" w:rsidRPr="004F7281" w:rsidRDefault="004F7281" w:rsidP="00A17011">
      <w:pPr>
        <w:jc w:val="both"/>
        <w:rPr>
          <w:rFonts w:asciiTheme="majorBidi" w:hAnsiTheme="majorBidi" w:cstheme="majorBidi"/>
          <w:szCs w:val="24"/>
        </w:rPr>
      </w:pPr>
      <w:r w:rsidRPr="003409D2">
        <w:t>4</w:t>
      </w:r>
      <w:r w:rsidRPr="003409D2">
        <w:tab/>
        <w:t xml:space="preserve">pour les références à caractère non obligatoire ou pour les références ambiguës dont il s'avère qu'elles ont un caractère non obligatoire </w:t>
      </w:r>
      <w:r w:rsidRPr="00ED7A15">
        <w:t>(c'est</w:t>
      </w:r>
      <w:r w:rsidRPr="00ED7A15">
        <w:noBreakHyphen/>
        <w:t>à</w:t>
      </w:r>
      <w:r w:rsidRPr="00ED7A15">
        <w:noBreakHyphen/>
        <w:t>dire non incorporé</w:t>
      </w:r>
      <w:r>
        <w:t>es</w:t>
      </w:r>
      <w:r w:rsidRPr="00ED7A15">
        <w:t xml:space="preserve"> par référence)</w:t>
      </w:r>
      <w:r>
        <w:t>,</w:t>
      </w:r>
      <w:r w:rsidRPr="00ED7A15">
        <w:t xml:space="preserve"> on emploie la formulation appropriée, autrement dit</w:t>
      </w:r>
      <w:r w:rsidRPr="003409D2">
        <w:t xml:space="preserve"> des formes telles que «devraient» ou «peuvent». Cette formulation appropriée peut</w:t>
      </w:r>
      <w:r>
        <w:t xml:space="preserve"> </w:t>
      </w:r>
      <w:r w:rsidRPr="003409D2">
        <w:t>être une référence à «la version la plus récente» d'une Recommandation. Toute formulation appropriée peut être modifiée à une CMR</w:t>
      </w:r>
      <w:r>
        <w:t xml:space="preserve"> ultérieure</w:t>
      </w:r>
      <w:r w:rsidRPr="003409D2">
        <w:t>.</w:t>
      </w:r>
    </w:p>
    <w:p w:rsidR="00272BB3" w:rsidRPr="00911D37" w:rsidRDefault="00272BB3" w:rsidP="00A17011">
      <w:pPr>
        <w:pStyle w:val="AnnexNo0"/>
      </w:pPr>
      <w:r w:rsidRPr="00911D37">
        <w:lastRenderedPageBreak/>
        <w:t>ANNEX</w:t>
      </w:r>
      <w:r w:rsidR="00535FD4" w:rsidRPr="00911D37">
        <w:t>e</w:t>
      </w:r>
      <w:r w:rsidRPr="00911D37">
        <w:t xml:space="preserve"> 3 </w:t>
      </w:r>
      <w:r w:rsidR="00535FD4" w:rsidRPr="00911D37">
        <w:t>de la</w:t>
      </w:r>
      <w:r w:rsidRPr="00911D37">
        <w:t xml:space="preserve"> R</w:t>
      </w:r>
      <w:r w:rsidR="00911D37" w:rsidRPr="00911D37">
        <w:t>é</w:t>
      </w:r>
      <w:r w:rsidRPr="00911D37">
        <w:t>SOLUTION 27 (</w:t>
      </w:r>
      <w:r w:rsidR="00911D37" w:rsidRPr="00911D37">
        <w:rPr>
          <w:caps w:val="0"/>
        </w:rPr>
        <w:t>Rév</w:t>
      </w:r>
      <w:r w:rsidRPr="00911D37">
        <w:t>.</w:t>
      </w:r>
      <w:r w:rsidR="00911D37">
        <w:t>cmr</w:t>
      </w:r>
      <w:r w:rsidRPr="00911D37">
        <w:noBreakHyphen/>
        <w:t>12)</w:t>
      </w:r>
    </w:p>
    <w:p w:rsidR="004F7281" w:rsidRPr="00654ABC" w:rsidRDefault="004F7281" w:rsidP="00A17011">
      <w:pPr>
        <w:pStyle w:val="Annextitle0"/>
      </w:pPr>
      <w:r w:rsidRPr="00654ABC">
        <w:t xml:space="preserve">Procédures applicables par les CMR pour l'approbation de </w:t>
      </w:r>
      <w:r w:rsidRPr="00654ABC">
        <w:br/>
        <w:t xml:space="preserve">l'incorporation par référence de Recommandations </w:t>
      </w:r>
      <w:r w:rsidRPr="00654ABC">
        <w:br/>
        <w:t>ou de parties de Recommandations UIT</w:t>
      </w:r>
      <w:r w:rsidRPr="00654ABC">
        <w:noBreakHyphen/>
        <w:t>R</w:t>
      </w:r>
    </w:p>
    <w:p w:rsidR="004F7281" w:rsidRPr="000B4B82" w:rsidRDefault="004F7281" w:rsidP="00A17011">
      <w:pPr>
        <w:pStyle w:val="Normalaftertitle"/>
        <w:jc w:val="both"/>
      </w:pPr>
      <w:r w:rsidRPr="000B4B82">
        <w:t>La version finale des textes incorporés par référence doit être mise à la disposition des délégations en temps voulu pour que toutes les administrations puissent en prendre connaissance dans les langues de l'UIT. Un seul exemplaire de ces textes sera remis à chaque administration sous la forme d'un document de conférence.</w:t>
      </w:r>
    </w:p>
    <w:p w:rsidR="004F7281" w:rsidRPr="0053233C" w:rsidRDefault="004F7281" w:rsidP="00A17011">
      <w:pPr>
        <w:jc w:val="both"/>
      </w:pPr>
      <w:r w:rsidRPr="0053233C">
        <w:t xml:space="preserve">Pendant chaque CMR, une liste des textes incorporés par référence ainsi qu'une liste de références croisées énumérant les dispositions réglementaires, y compris les renvois et notes de bas de page ainsi que les Résolutions, </w:t>
      </w:r>
      <w:r>
        <w:t xml:space="preserve">qui incorporent </w:t>
      </w:r>
      <w:r w:rsidRPr="0053233C">
        <w:t>ces Recommandations UIT-R</w:t>
      </w:r>
      <w:r>
        <w:t xml:space="preserve"> par référence</w:t>
      </w:r>
      <w:r w:rsidRPr="0053233C">
        <w:t>, sont établies et tenues à jour par les commissions. Ces listes sont publiées en tant que document de conférence en fonction de l'évolutio</w:t>
      </w:r>
      <w:r>
        <w:t>n des travaux de la conférence.</w:t>
      </w:r>
    </w:p>
    <w:p w:rsidR="00B522FD" w:rsidRPr="004F7281" w:rsidRDefault="004F7281" w:rsidP="00A17011">
      <w:pPr>
        <w:jc w:val="both"/>
        <w:rPr>
          <w:rFonts w:asciiTheme="majorBidi" w:hAnsiTheme="majorBidi" w:cstheme="majorBidi"/>
          <w:szCs w:val="24"/>
        </w:rPr>
      </w:pPr>
      <w:r w:rsidRPr="0053233C">
        <w:t>Après la fin de chaque CMR, le Bureau et le Secrétariat général mettront à jour le volume du Règlement des radiocommunications qui sert de recueil pour les textes incorporés par référence en fonction de l'évolution des travaux de la conférence, comme indiqué dans le document susmentionné.</w:t>
      </w:r>
    </w:p>
    <w:p w:rsidR="005C0689" w:rsidRPr="004F7281" w:rsidRDefault="005C0689" w:rsidP="00A17011">
      <w:pPr>
        <w:rPr>
          <w:rFonts w:asciiTheme="majorBidi" w:hAnsiTheme="majorBidi" w:cstheme="majorBidi"/>
          <w:szCs w:val="24"/>
        </w:rPr>
      </w:pPr>
    </w:p>
    <w:p w:rsidR="005C0689" w:rsidRPr="004F7281" w:rsidRDefault="005C0689" w:rsidP="00A17011">
      <w:pPr>
        <w:rPr>
          <w:rFonts w:asciiTheme="majorBidi" w:hAnsiTheme="majorBidi" w:cstheme="majorBidi"/>
          <w:szCs w:val="24"/>
        </w:rPr>
      </w:pPr>
    </w:p>
    <w:p w:rsidR="0025450E" w:rsidRDefault="007C1B97" w:rsidP="00A17011">
      <w:pPr>
        <w:pStyle w:val="ResNo"/>
        <w:rPr>
          <w:lang w:val="fr-CH"/>
        </w:rPr>
      </w:pPr>
      <w:r w:rsidRPr="004F7281">
        <w:rPr>
          <w:rFonts w:asciiTheme="majorBidi" w:hAnsiTheme="majorBidi" w:cstheme="majorBidi"/>
          <w:sz w:val="24"/>
          <w:szCs w:val="24"/>
        </w:rPr>
        <w:br w:type="page"/>
      </w:r>
    </w:p>
    <w:p w:rsidR="00435B48" w:rsidRPr="00435B48" w:rsidRDefault="001D6384" w:rsidP="00A17011">
      <w:pPr>
        <w:pStyle w:val="ResNo"/>
      </w:pPr>
      <w:bookmarkStart w:id="58" w:name="RES_28"/>
      <w:bookmarkStart w:id="59" w:name="_Toc444507495"/>
      <w:bookmarkStart w:id="60" w:name="_Toc460331680"/>
      <w:bookmarkStart w:id="61" w:name="_Toc463616137"/>
      <w:r>
        <w:lastRenderedPageBreak/>
        <w:t>R</w:t>
      </w:r>
      <w:r w:rsidR="001D5201" w:rsidRPr="001D5201">
        <w:t>É</w:t>
      </w:r>
      <w:r w:rsidR="00435B48" w:rsidRPr="00435B48">
        <w:t xml:space="preserve">SOLUTION </w:t>
      </w:r>
      <w:r w:rsidR="00435B48" w:rsidRPr="00435B48">
        <w:rPr>
          <w:rStyle w:val="href"/>
        </w:rPr>
        <w:t>28</w:t>
      </w:r>
      <w:r w:rsidR="00435B48" w:rsidRPr="00435B48">
        <w:t xml:space="preserve"> </w:t>
      </w:r>
      <w:bookmarkEnd w:id="58"/>
      <w:r w:rsidR="00435B48">
        <w:t>(</w:t>
      </w:r>
      <w:r w:rsidR="00435B48">
        <w:rPr>
          <w:caps w:val="0"/>
        </w:rPr>
        <w:t>Rév</w:t>
      </w:r>
      <w:r w:rsidR="00435B48" w:rsidRPr="00435B48">
        <w:t>.</w:t>
      </w:r>
      <w:r w:rsidR="00F8363E" w:rsidRPr="00A20F5A">
        <w:t>C</w:t>
      </w:r>
      <w:r w:rsidR="00F8363E">
        <w:t>MR</w:t>
      </w:r>
      <w:r w:rsidR="00435B48" w:rsidRPr="00435B48">
        <w:t>-15)</w:t>
      </w:r>
      <w:bookmarkEnd w:id="59"/>
      <w:bookmarkEnd w:id="60"/>
      <w:bookmarkEnd w:id="61"/>
    </w:p>
    <w:p w:rsidR="0025450E" w:rsidRPr="008D0A34" w:rsidRDefault="0025450E" w:rsidP="00A17011">
      <w:pPr>
        <w:pStyle w:val="Restitle"/>
      </w:pPr>
      <w:bookmarkStart w:id="62" w:name="_Toc450208556"/>
      <w:bookmarkStart w:id="63" w:name="_Toc463616138"/>
      <w:r w:rsidRPr="008D0A34">
        <w:t>Révision des références aux textes des Recommandations UIT-R incorporés</w:t>
      </w:r>
      <w:r w:rsidRPr="008D0A34">
        <w:br/>
        <w:t>par référence dans le Règlement des radiocommunications</w:t>
      </w:r>
      <w:bookmarkEnd w:id="62"/>
      <w:bookmarkEnd w:id="63"/>
    </w:p>
    <w:p w:rsidR="0025450E" w:rsidRPr="008D0A34" w:rsidRDefault="0025450E" w:rsidP="00A17011">
      <w:pPr>
        <w:pStyle w:val="Normalaftertitle"/>
        <w:rPr>
          <w:lang w:val="fr-CH"/>
        </w:rPr>
      </w:pPr>
      <w:r w:rsidRPr="008D0A34">
        <w:rPr>
          <w:lang w:val="fr-CH"/>
        </w:rPr>
        <w:t>La Conférence mondiale des radiocommunications (Genève, 2015),</w:t>
      </w:r>
    </w:p>
    <w:p w:rsidR="0025450E" w:rsidRPr="008D0A34" w:rsidRDefault="0025450E" w:rsidP="00A17011">
      <w:pPr>
        <w:pStyle w:val="Call"/>
        <w:jc w:val="both"/>
        <w:rPr>
          <w:lang w:val="fr-CH"/>
        </w:rPr>
      </w:pPr>
      <w:r w:rsidRPr="008D0A34">
        <w:rPr>
          <w:lang w:val="fr-CH"/>
        </w:rPr>
        <w:t>considérant</w:t>
      </w:r>
    </w:p>
    <w:p w:rsidR="0025450E" w:rsidRPr="00D9123C" w:rsidRDefault="0025450E" w:rsidP="00A17011">
      <w:pPr>
        <w:jc w:val="both"/>
        <w:rPr>
          <w:lang w:val="fr-CH"/>
        </w:rPr>
      </w:pPr>
      <w:r w:rsidRPr="00F73BF7">
        <w:rPr>
          <w:i/>
          <w:iCs/>
          <w:lang w:val="fr-CH"/>
        </w:rPr>
        <w:t>a)</w:t>
      </w:r>
      <w:r w:rsidRPr="00D9123C">
        <w:rPr>
          <w:lang w:val="fr-CH"/>
        </w:rPr>
        <w:tab/>
        <w:t>que le Groupe volontaire d'experts (GVE) sur la simplification du Règlement des radiocommunications a proposé de transférer certains textes du Règlement des radiocommunications dans d'autres documents, en particuli</w:t>
      </w:r>
      <w:r w:rsidR="005B11FD">
        <w:rPr>
          <w:lang w:val="fr-CH"/>
        </w:rPr>
        <w:t>er dans des Recommandations UIT</w:t>
      </w:r>
      <w:r w:rsidR="005B11FD">
        <w:rPr>
          <w:lang w:val="fr-CH"/>
        </w:rPr>
        <w:noBreakHyphen/>
      </w:r>
      <w:r w:rsidRPr="00D9123C">
        <w:rPr>
          <w:lang w:val="fr-CH"/>
        </w:rPr>
        <w:t>R, en utilisant la méthode de l'incorporation par référence;</w:t>
      </w:r>
    </w:p>
    <w:p w:rsidR="0025450E" w:rsidRPr="00D9123C" w:rsidRDefault="0025450E" w:rsidP="00A17011">
      <w:pPr>
        <w:jc w:val="both"/>
        <w:rPr>
          <w:lang w:val="fr-CH"/>
        </w:rPr>
      </w:pPr>
      <w:r w:rsidRPr="00F73BF7">
        <w:rPr>
          <w:i/>
          <w:iCs/>
          <w:lang w:val="fr-CH"/>
        </w:rPr>
        <w:t>b)</w:t>
      </w:r>
      <w:r w:rsidRPr="00D9123C">
        <w:rPr>
          <w:lang w:val="fr-CH"/>
        </w:rPr>
        <w:tab/>
        <w:t xml:space="preserve">que, dans certains cas, les dispositions du Règlement des radiocommunications impliquent l'obligation pour les </w:t>
      </w:r>
      <w:proofErr w:type="spellStart"/>
      <w:r w:rsidRPr="00D9123C">
        <w:rPr>
          <w:lang w:val="fr-CH"/>
        </w:rPr>
        <w:t>Etats</w:t>
      </w:r>
      <w:proofErr w:type="spellEnd"/>
      <w:r w:rsidRPr="00D9123C">
        <w:rPr>
          <w:lang w:val="fr-CH"/>
        </w:rPr>
        <w:t xml:space="preserve"> Membres de se conformer aux critères ou aux spécifications incorporés par référence;</w:t>
      </w:r>
    </w:p>
    <w:p w:rsidR="0025450E" w:rsidRPr="008D0A34" w:rsidRDefault="0025450E" w:rsidP="00A17011">
      <w:pPr>
        <w:jc w:val="both"/>
        <w:rPr>
          <w:lang w:val="fr-CH"/>
        </w:rPr>
      </w:pPr>
      <w:r w:rsidRPr="008D0A34">
        <w:rPr>
          <w:i/>
          <w:iCs/>
          <w:lang w:val="fr-CH"/>
        </w:rPr>
        <w:t>c)</w:t>
      </w:r>
      <w:r w:rsidRPr="008D0A34">
        <w:rPr>
          <w:lang w:val="fr-CH"/>
        </w:rPr>
        <w:tab/>
        <w:t xml:space="preserve">que les références aux textes incorporés doivent être explicites et renvoyer à une disposition bien précise (voir la </w:t>
      </w:r>
      <w:hyperlink w:anchor="RES_27" w:history="1">
        <w:r w:rsidR="00487FEC">
          <w:rPr>
            <w:rStyle w:val="Hyperlink"/>
            <w:rFonts w:asciiTheme="majorBidi" w:hAnsiTheme="majorBidi" w:cstheme="majorBidi"/>
            <w:szCs w:val="24"/>
          </w:rPr>
          <w:t>Ré</w:t>
        </w:r>
        <w:r w:rsidR="00487FEC" w:rsidRPr="004C120E">
          <w:rPr>
            <w:rStyle w:val="Hyperlink"/>
            <w:rFonts w:asciiTheme="majorBidi" w:hAnsiTheme="majorBidi" w:cstheme="majorBidi"/>
            <w:szCs w:val="24"/>
          </w:rPr>
          <w:t>solution </w:t>
        </w:r>
        <w:r w:rsidR="00487FEC" w:rsidRPr="004C120E">
          <w:rPr>
            <w:rStyle w:val="Hyperlink"/>
            <w:rFonts w:asciiTheme="majorBidi" w:hAnsiTheme="majorBidi" w:cstheme="majorBidi"/>
            <w:b/>
            <w:bCs/>
            <w:szCs w:val="24"/>
          </w:rPr>
          <w:t>27 (R</w:t>
        </w:r>
        <w:r w:rsidR="00487FEC">
          <w:rPr>
            <w:rStyle w:val="Hyperlink"/>
            <w:rFonts w:asciiTheme="majorBidi" w:hAnsiTheme="majorBidi" w:cstheme="majorBidi"/>
            <w:b/>
            <w:bCs/>
            <w:szCs w:val="24"/>
          </w:rPr>
          <w:t>é</w:t>
        </w:r>
        <w:r w:rsidR="00487FEC" w:rsidRPr="004C120E">
          <w:rPr>
            <w:rStyle w:val="Hyperlink"/>
            <w:rFonts w:asciiTheme="majorBidi" w:hAnsiTheme="majorBidi" w:cstheme="majorBidi"/>
            <w:b/>
            <w:bCs/>
            <w:szCs w:val="24"/>
          </w:rPr>
          <w:t>v.C</w:t>
        </w:r>
        <w:r w:rsidR="00487FEC">
          <w:rPr>
            <w:rStyle w:val="Hyperlink"/>
            <w:rFonts w:asciiTheme="majorBidi" w:hAnsiTheme="majorBidi" w:cstheme="majorBidi"/>
            <w:b/>
            <w:bCs/>
            <w:szCs w:val="24"/>
          </w:rPr>
          <w:t>MR</w:t>
        </w:r>
        <w:r w:rsidR="00487FEC" w:rsidRPr="004C120E">
          <w:rPr>
            <w:rStyle w:val="Hyperlink"/>
            <w:rFonts w:asciiTheme="majorBidi" w:hAnsiTheme="majorBidi" w:cstheme="majorBidi"/>
            <w:b/>
            <w:bCs/>
            <w:szCs w:val="24"/>
          </w:rPr>
          <w:noBreakHyphen/>
          <w:t>12)</w:t>
        </w:r>
      </w:hyperlink>
      <w:r w:rsidRPr="008D0A34">
        <w:rPr>
          <w:lang w:val="fr-CH"/>
        </w:rPr>
        <w:t>);</w:t>
      </w:r>
    </w:p>
    <w:p w:rsidR="0025450E" w:rsidRPr="00504217" w:rsidRDefault="0025450E" w:rsidP="00A17011">
      <w:pPr>
        <w:jc w:val="both"/>
        <w:rPr>
          <w:lang w:val="fr-CH"/>
        </w:rPr>
      </w:pPr>
      <w:r w:rsidRPr="00F73BF7">
        <w:rPr>
          <w:i/>
          <w:iCs/>
          <w:lang w:val="fr-CH"/>
        </w:rPr>
        <w:t>d)</w:t>
      </w:r>
      <w:r w:rsidRPr="00F73BF7">
        <w:rPr>
          <w:i/>
          <w:iCs/>
          <w:lang w:val="fr-CH"/>
        </w:rPr>
        <w:tab/>
      </w:r>
      <w:r w:rsidRPr="00504217">
        <w:rPr>
          <w:lang w:val="fr-CH"/>
        </w:rPr>
        <w:t xml:space="preserve">que les textes des Recommandations UIT-R incorporés par référence sont tous publiés dans un volume du </w:t>
      </w:r>
      <w:r w:rsidRPr="00D9123C">
        <w:rPr>
          <w:lang w:val="fr-CH"/>
        </w:rPr>
        <w:t>Règlement des radiocommunications</w:t>
      </w:r>
      <w:r w:rsidRPr="00504217">
        <w:rPr>
          <w:lang w:val="fr-CH"/>
        </w:rPr>
        <w:t>;</w:t>
      </w:r>
    </w:p>
    <w:p w:rsidR="0025450E" w:rsidRPr="00D9123C" w:rsidRDefault="0025450E" w:rsidP="00A17011">
      <w:pPr>
        <w:jc w:val="both"/>
        <w:rPr>
          <w:lang w:val="fr-CH"/>
        </w:rPr>
      </w:pPr>
      <w:r w:rsidRPr="00F73BF7">
        <w:rPr>
          <w:i/>
          <w:iCs/>
          <w:lang w:val="fr-CH"/>
        </w:rPr>
        <w:t>e)</w:t>
      </w:r>
      <w:r w:rsidRPr="00D9123C">
        <w:rPr>
          <w:lang w:val="fr-CH"/>
        </w:rPr>
        <w:tab/>
        <w:t>que l'UIT-R peut, compte tenu de l'évolution rapide des techniques, être appelé à réviser à intervalles rapprochés les Recommandations UIT-R contenant des textes incorporés par référence;</w:t>
      </w:r>
    </w:p>
    <w:p w:rsidR="0025450E" w:rsidRPr="00504217" w:rsidRDefault="0025450E" w:rsidP="00A17011">
      <w:pPr>
        <w:jc w:val="both"/>
        <w:rPr>
          <w:lang w:val="fr-CH"/>
        </w:rPr>
      </w:pPr>
      <w:r w:rsidRPr="00F73BF7">
        <w:rPr>
          <w:i/>
          <w:iCs/>
          <w:lang w:val="fr-CH"/>
        </w:rPr>
        <w:t>f)</w:t>
      </w:r>
      <w:r w:rsidRPr="00F73BF7">
        <w:rPr>
          <w:i/>
          <w:iCs/>
          <w:lang w:val="fr-CH"/>
        </w:rPr>
        <w:tab/>
      </w:r>
      <w:r w:rsidRPr="00504217">
        <w:rPr>
          <w:lang w:val="fr-CH"/>
        </w:rPr>
        <w:t xml:space="preserve">qu'après la révision d'une Recommandation UIT-R contenant des textes incorporés par référence, la référence dans le </w:t>
      </w:r>
      <w:r w:rsidRPr="00D9123C">
        <w:rPr>
          <w:lang w:val="fr-CH"/>
        </w:rPr>
        <w:t>Règlement des radiocommunications</w:t>
      </w:r>
      <w:r w:rsidRPr="00504217">
        <w:rPr>
          <w:lang w:val="fr-CH"/>
        </w:rPr>
        <w:t xml:space="preserve"> continuera de concerner la versi</w:t>
      </w:r>
      <w:r>
        <w:rPr>
          <w:lang w:val="fr-CH"/>
        </w:rPr>
        <w:t>on antérieure, tant qu'une Confé</w:t>
      </w:r>
      <w:r w:rsidRPr="00504217">
        <w:rPr>
          <w:lang w:val="fr-CH"/>
        </w:rPr>
        <w:t>rence mondiale des radiocommunications (CMR) compétente n'aura pas décidé d'incorporer la nouvelle version;</w:t>
      </w:r>
    </w:p>
    <w:p w:rsidR="0025450E" w:rsidRPr="00813275" w:rsidRDefault="0025450E" w:rsidP="00A17011">
      <w:pPr>
        <w:jc w:val="both"/>
      </w:pPr>
      <w:r w:rsidRPr="00F73BF7">
        <w:rPr>
          <w:i/>
          <w:iCs/>
          <w:lang w:val="fr-CH"/>
        </w:rPr>
        <w:t>g)</w:t>
      </w:r>
      <w:r w:rsidRPr="00D9123C">
        <w:rPr>
          <w:lang w:val="fr-CH"/>
        </w:rPr>
        <w:tab/>
        <w:t>qu'il serait souhaitable que les textes incorporés par référence reflètent les progrès techniques les plus récents,</w:t>
      </w:r>
    </w:p>
    <w:p w:rsidR="0025450E" w:rsidRPr="00D9123C" w:rsidRDefault="0025450E" w:rsidP="00A17011">
      <w:pPr>
        <w:pStyle w:val="Call"/>
        <w:jc w:val="both"/>
        <w:rPr>
          <w:lang w:val="fr-CH"/>
        </w:rPr>
      </w:pPr>
      <w:r w:rsidRPr="00D9123C">
        <w:rPr>
          <w:lang w:val="fr-CH"/>
        </w:rPr>
        <w:t>notant</w:t>
      </w:r>
    </w:p>
    <w:p w:rsidR="0025450E" w:rsidRDefault="0025450E" w:rsidP="00A17011">
      <w:pPr>
        <w:jc w:val="both"/>
        <w:rPr>
          <w:lang w:val="fr-CH"/>
        </w:rPr>
      </w:pPr>
      <w:r w:rsidRPr="00D9123C">
        <w:rPr>
          <w:lang w:val="fr-CH"/>
        </w:rPr>
        <w:t>que les administrations ont besoin de suffisamment de temps pour examiner les conséquences éventuelles de modifications de Recommandations UIT-R contenant des textes incorporés par référence et auraient donc tout avantage à être informées dès que possible des Recommandations</w:t>
      </w:r>
      <w:r>
        <w:rPr>
          <w:lang w:val="fr-CH"/>
        </w:rPr>
        <w:t xml:space="preserve"> </w:t>
      </w:r>
      <w:r w:rsidRPr="00D9123C">
        <w:rPr>
          <w:lang w:val="fr-CH"/>
        </w:rPr>
        <w:t>UIT-R qui ont été révisées et approuvées durant la période d'études écoulée ou pendant l'assemblée des radiocommunications précédant la CMR,</w:t>
      </w:r>
    </w:p>
    <w:p w:rsidR="0025450E" w:rsidRPr="00D9123C" w:rsidRDefault="0025450E" w:rsidP="00A17011">
      <w:pPr>
        <w:pStyle w:val="Call"/>
        <w:jc w:val="both"/>
        <w:rPr>
          <w:lang w:val="fr-CH"/>
        </w:rPr>
      </w:pPr>
      <w:r w:rsidRPr="00D9123C">
        <w:rPr>
          <w:lang w:val="fr-CH"/>
        </w:rPr>
        <w:t>décide</w:t>
      </w:r>
    </w:p>
    <w:p w:rsidR="0025450E" w:rsidRPr="00D9123C" w:rsidRDefault="0025450E" w:rsidP="00A17011">
      <w:pPr>
        <w:tabs>
          <w:tab w:val="left" w:pos="4395"/>
        </w:tabs>
        <w:jc w:val="both"/>
        <w:rPr>
          <w:lang w:val="fr-CH"/>
        </w:rPr>
      </w:pPr>
      <w:r w:rsidRPr="00D9123C">
        <w:rPr>
          <w:lang w:val="fr-CH"/>
        </w:rPr>
        <w:t>1</w:t>
      </w:r>
      <w:r w:rsidRPr="00D9123C">
        <w:rPr>
          <w:lang w:val="fr-CH"/>
        </w:rPr>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p>
    <w:p w:rsidR="0025450E" w:rsidRPr="00D9123C" w:rsidRDefault="0025450E" w:rsidP="00A17011">
      <w:pPr>
        <w:jc w:val="both"/>
        <w:rPr>
          <w:lang w:val="fr-CH"/>
        </w:rPr>
      </w:pPr>
      <w:r w:rsidRPr="00D9123C">
        <w:rPr>
          <w:lang w:val="fr-CH"/>
        </w:rPr>
        <w:t>2</w:t>
      </w:r>
      <w:r w:rsidRPr="00D9123C">
        <w:rPr>
          <w:lang w:val="fr-CH"/>
        </w:rPr>
        <w:tab/>
        <w:t>que, sur cette base, la CMR devrait examiner ces Recommandations UIT-R révisées et décider si les références correspondantes dans le Règlement des radiocommunications doivent ou non être mises à jour;</w:t>
      </w:r>
    </w:p>
    <w:p w:rsidR="0025450E" w:rsidRPr="00D9123C" w:rsidRDefault="0025450E" w:rsidP="00A17011">
      <w:pPr>
        <w:jc w:val="both"/>
        <w:rPr>
          <w:lang w:val="fr-CH"/>
        </w:rPr>
      </w:pPr>
      <w:r w:rsidRPr="00D9123C">
        <w:rPr>
          <w:lang w:val="fr-CH"/>
        </w:rPr>
        <w:lastRenderedPageBreak/>
        <w:t>3</w:t>
      </w:r>
      <w:r w:rsidRPr="00D9123C">
        <w:rPr>
          <w:lang w:val="fr-CH"/>
        </w:rPr>
        <w:tab/>
        <w:t>que, si la CMR décide de ne pas mettre à jour les références correspondantes, les versions actuelles citées en référence doivent être maintenues dans le Règlement des radiocommunications;</w:t>
      </w:r>
    </w:p>
    <w:p w:rsidR="0025450E" w:rsidRPr="00D9123C" w:rsidRDefault="0025450E" w:rsidP="00A17011">
      <w:pPr>
        <w:jc w:val="both"/>
        <w:rPr>
          <w:lang w:val="fr-CH"/>
        </w:rPr>
      </w:pPr>
      <w:r w:rsidRPr="00D9123C">
        <w:rPr>
          <w:lang w:val="fr-CH"/>
        </w:rPr>
        <w:t>4</w:t>
      </w:r>
      <w:r w:rsidRPr="00D9123C">
        <w:rPr>
          <w:lang w:val="fr-CH"/>
        </w:rPr>
        <w:tab/>
        <w:t>que les CMR doivent inscrire à l'ordre du jour de CMR futures l'examen des Recommandations UIT-R, conformément aux points 1 et 2 ci</w:t>
      </w:r>
      <w:r w:rsidRPr="00D9123C">
        <w:rPr>
          <w:lang w:val="fr-CH"/>
        </w:rPr>
        <w:noBreakHyphen/>
        <w:t xml:space="preserve">dessus du </w:t>
      </w:r>
      <w:r w:rsidRPr="00F73BF7">
        <w:rPr>
          <w:i/>
          <w:iCs/>
          <w:lang w:val="fr-CH"/>
        </w:rPr>
        <w:t>décide</w:t>
      </w:r>
      <w:r w:rsidRPr="00D9123C">
        <w:rPr>
          <w:lang w:val="fr-CH"/>
        </w:rPr>
        <w:t>,</w:t>
      </w:r>
    </w:p>
    <w:p w:rsidR="0025450E" w:rsidRPr="00D9123C" w:rsidRDefault="0025450E" w:rsidP="00A17011">
      <w:pPr>
        <w:pStyle w:val="Call"/>
        <w:jc w:val="both"/>
        <w:rPr>
          <w:lang w:val="fr-CH"/>
        </w:rPr>
      </w:pPr>
      <w:r w:rsidRPr="00D9123C">
        <w:rPr>
          <w:lang w:val="fr-CH"/>
        </w:rPr>
        <w:t>charge le Directeur du Bureau des radiocommunications</w:t>
      </w:r>
    </w:p>
    <w:p w:rsidR="0025450E" w:rsidRPr="00D9123C" w:rsidRDefault="0025450E" w:rsidP="00A17011">
      <w:pPr>
        <w:jc w:val="both"/>
        <w:rPr>
          <w:lang w:val="fr-CH"/>
        </w:rPr>
      </w:pPr>
      <w:r w:rsidRPr="00D9123C">
        <w:rPr>
          <w:lang w:val="fr-CH"/>
        </w:rPr>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p>
    <w:p w:rsidR="0025450E" w:rsidRPr="00D9123C" w:rsidRDefault="0025450E" w:rsidP="00A17011">
      <w:pPr>
        <w:pStyle w:val="Call"/>
        <w:jc w:val="both"/>
        <w:rPr>
          <w:lang w:val="fr-CH"/>
        </w:rPr>
      </w:pPr>
      <w:r w:rsidRPr="00D9123C">
        <w:rPr>
          <w:lang w:val="fr-CH"/>
        </w:rPr>
        <w:t>prie instamment les administrations</w:t>
      </w:r>
    </w:p>
    <w:p w:rsidR="0025450E" w:rsidRPr="00D9123C" w:rsidRDefault="0025450E" w:rsidP="00A17011">
      <w:pPr>
        <w:jc w:val="both"/>
        <w:rPr>
          <w:lang w:val="fr-CH"/>
        </w:rPr>
      </w:pPr>
      <w:r w:rsidRPr="00D9123C">
        <w:rPr>
          <w:lang w:val="fr-CH"/>
        </w:rPr>
        <w:t>1</w:t>
      </w:r>
      <w:r w:rsidRPr="00D9123C">
        <w:rPr>
          <w:lang w:val="fr-CH"/>
        </w:rPr>
        <w:tab/>
        <w:t>de participer activement aux travaux des commissions d'études des radiocommunications et de l'assemblée des radiocommunications concernant la révision des Recommandations qui font l'objet de références à caractère obligatoire dans le Règlement des radiocommunications;</w:t>
      </w:r>
    </w:p>
    <w:p w:rsidR="00F234EB" w:rsidRPr="0025450E" w:rsidRDefault="0025450E" w:rsidP="00A17011">
      <w:pPr>
        <w:jc w:val="both"/>
        <w:rPr>
          <w:rFonts w:asciiTheme="majorBidi" w:hAnsiTheme="majorBidi" w:cstheme="majorBidi"/>
          <w:szCs w:val="24"/>
        </w:rPr>
      </w:pPr>
      <w:r w:rsidRPr="00D9123C">
        <w:rPr>
          <w:lang w:val="fr-CH"/>
        </w:rPr>
        <w:t>2</w:t>
      </w:r>
      <w:r w:rsidRPr="00D9123C">
        <w:rPr>
          <w:lang w:val="fr-CH"/>
        </w:rPr>
        <w:tab/>
        <w:t>d'examiner les révisions signalées des Recommandations UIT-R contenant des textes incorporés par référence et de préparer des propositions concernant une mise à jour éventuelle des références pertinentes dans le Rè</w:t>
      </w:r>
      <w:r>
        <w:rPr>
          <w:lang w:val="fr-CH"/>
        </w:rPr>
        <w:t>glement des radiocommunications.</w:t>
      </w:r>
    </w:p>
    <w:p w:rsidR="003822E3" w:rsidRPr="0025450E" w:rsidRDefault="003822E3" w:rsidP="00A17011">
      <w:pPr>
        <w:jc w:val="both"/>
        <w:rPr>
          <w:rFonts w:asciiTheme="majorBidi" w:hAnsiTheme="majorBidi" w:cstheme="majorBidi"/>
          <w:szCs w:val="24"/>
        </w:rPr>
      </w:pPr>
    </w:p>
    <w:p w:rsidR="00601178" w:rsidRPr="0025450E" w:rsidRDefault="00601178" w:rsidP="00A17011">
      <w:pPr>
        <w:overflowPunct/>
        <w:autoSpaceDE/>
        <w:autoSpaceDN/>
        <w:adjustRightInd/>
        <w:spacing w:before="0"/>
        <w:textAlignment w:val="auto"/>
        <w:rPr>
          <w:rFonts w:asciiTheme="majorBidi" w:hAnsiTheme="majorBidi" w:cstheme="majorBidi"/>
          <w:szCs w:val="24"/>
        </w:rPr>
      </w:pPr>
      <w:r w:rsidRPr="0025450E">
        <w:rPr>
          <w:rFonts w:asciiTheme="majorBidi" w:hAnsiTheme="majorBidi" w:cstheme="majorBidi"/>
          <w:szCs w:val="24"/>
        </w:rPr>
        <w:br w:type="page"/>
      </w:r>
    </w:p>
    <w:p w:rsidR="001B30D5" w:rsidRPr="001B30D5" w:rsidRDefault="00ED7033" w:rsidP="00A17011">
      <w:pPr>
        <w:pStyle w:val="ResNo"/>
      </w:pPr>
      <w:bookmarkStart w:id="64" w:name="RES_80"/>
      <w:bookmarkStart w:id="65" w:name="_Toc327364333"/>
      <w:bookmarkStart w:id="66" w:name="_Toc337471304"/>
      <w:bookmarkStart w:id="67" w:name="_Toc460331682"/>
      <w:bookmarkStart w:id="68" w:name="_Toc463616139"/>
      <w:r>
        <w:lastRenderedPageBreak/>
        <w:t>R</w:t>
      </w:r>
      <w:r w:rsidR="001D5201" w:rsidRPr="001D5201">
        <w:t>É</w:t>
      </w:r>
      <w:r w:rsidR="001B30D5" w:rsidRPr="001B30D5">
        <w:t xml:space="preserve">SOLUTION </w:t>
      </w:r>
      <w:r w:rsidR="001B30D5" w:rsidRPr="001B30D5">
        <w:rPr>
          <w:rStyle w:val="href"/>
        </w:rPr>
        <w:t>80</w:t>
      </w:r>
      <w:r w:rsidR="001B30D5" w:rsidRPr="001B30D5">
        <w:t xml:space="preserve"> </w:t>
      </w:r>
      <w:bookmarkEnd w:id="64"/>
      <w:r>
        <w:t>(</w:t>
      </w:r>
      <w:r>
        <w:rPr>
          <w:caps w:val="0"/>
        </w:rPr>
        <w:t>Ré</w:t>
      </w:r>
      <w:r w:rsidRPr="001B30D5">
        <w:rPr>
          <w:caps w:val="0"/>
        </w:rPr>
        <w:t>v</w:t>
      </w:r>
      <w:r w:rsidR="001B30D5" w:rsidRPr="001B30D5">
        <w:t>.</w:t>
      </w:r>
      <w:r w:rsidR="00F8363E" w:rsidRPr="00A20F5A">
        <w:t>C</w:t>
      </w:r>
      <w:r w:rsidR="00F8363E">
        <w:t>MR</w:t>
      </w:r>
      <w:r w:rsidR="001B30D5" w:rsidRPr="001B30D5">
        <w:t>-07)</w:t>
      </w:r>
      <w:bookmarkEnd w:id="65"/>
      <w:bookmarkEnd w:id="66"/>
      <w:bookmarkEnd w:id="67"/>
      <w:bookmarkEnd w:id="68"/>
    </w:p>
    <w:p w:rsidR="0025450E" w:rsidRPr="00654ABC" w:rsidRDefault="0025450E" w:rsidP="00A17011">
      <w:pPr>
        <w:pStyle w:val="Restitle"/>
      </w:pPr>
      <w:bookmarkStart w:id="69" w:name="_Toc450208582"/>
      <w:bookmarkStart w:id="70" w:name="_Toc463616140"/>
      <w:r w:rsidRPr="00654ABC">
        <w:t xml:space="preserve">Procédure de diligence due dans l'application des principes </w:t>
      </w:r>
      <w:r w:rsidRPr="00654ABC">
        <w:br/>
        <w:t>énoncés dans la Constitution</w:t>
      </w:r>
      <w:bookmarkEnd w:id="69"/>
      <w:bookmarkEnd w:id="70"/>
    </w:p>
    <w:p w:rsidR="0025450E" w:rsidRPr="006A5909" w:rsidRDefault="0025450E" w:rsidP="00A17011">
      <w:pPr>
        <w:pStyle w:val="Normalaftertitle"/>
        <w:jc w:val="both"/>
        <w:rPr>
          <w:lang w:val="fr-CH"/>
        </w:rPr>
      </w:pPr>
      <w:r w:rsidRPr="006A5909">
        <w:rPr>
          <w:lang w:val="fr-CH"/>
        </w:rPr>
        <w:t>La Conférence mondiale des radiocommunications (Genève, 2007),</w:t>
      </w:r>
    </w:p>
    <w:p w:rsidR="0025450E" w:rsidRPr="002D2FD9" w:rsidRDefault="0025450E" w:rsidP="00A17011">
      <w:pPr>
        <w:pStyle w:val="Call"/>
        <w:jc w:val="both"/>
      </w:pPr>
      <w:r w:rsidRPr="002D2FD9">
        <w:t>considérant</w:t>
      </w:r>
    </w:p>
    <w:p w:rsidR="0025450E" w:rsidRPr="002D2FD9" w:rsidRDefault="0025450E" w:rsidP="005B11FD">
      <w:pPr>
        <w:jc w:val="both"/>
      </w:pPr>
      <w:r w:rsidRPr="00F73BF7">
        <w:rPr>
          <w:i/>
          <w:iCs/>
        </w:rPr>
        <w:t>a)</w:t>
      </w:r>
      <w:r w:rsidRPr="002D2FD9">
        <w:tab/>
        <w:t xml:space="preserve">que les </w:t>
      </w:r>
      <w:r w:rsidR="005B11FD">
        <w:t>a</w:t>
      </w:r>
      <w:r w:rsidRPr="002D2FD9">
        <w:t>rticles 12 et 44 de la Constitution énoncent les principes fondamentaux applicables à l'utilisation du spectre des fréquences radioélectriques et de l'orbite des satellites géostationnaires et d'autres orbites;</w:t>
      </w:r>
    </w:p>
    <w:p w:rsidR="0025450E" w:rsidRPr="002D2FD9" w:rsidRDefault="0025450E" w:rsidP="00A17011">
      <w:pPr>
        <w:jc w:val="both"/>
      </w:pPr>
      <w:r w:rsidRPr="00F73BF7">
        <w:rPr>
          <w:i/>
          <w:iCs/>
        </w:rPr>
        <w:t>b)</w:t>
      </w:r>
      <w:r w:rsidRPr="002D2FD9">
        <w:tab/>
        <w:t>que ces principes ont été repris dans le Règlement des radiocommunications;</w:t>
      </w:r>
    </w:p>
    <w:p w:rsidR="0025450E" w:rsidRPr="002D2FD9" w:rsidRDefault="0025450E" w:rsidP="00A17011">
      <w:pPr>
        <w:jc w:val="both"/>
      </w:pPr>
      <w:r w:rsidRPr="002D2FD9">
        <w:rPr>
          <w:i/>
          <w:iCs/>
        </w:rPr>
        <w:t>c)</w:t>
      </w:r>
      <w:r w:rsidRPr="002D2FD9">
        <w:tab/>
        <w:t>que l'Article I de l'Accord entre l'Organisation des Nations Unies et l'Union internationale des télécommunications dispose que «les Nations Unies reconnaissent l'Union internationale des télécommunications, appelée ci-après l'«Union», comme l'institution spécialisée chargée de prendre toutes les mesures appropriées conformes à un Acte constitutif pour atteindre les buts qu'elle s'est fixés dans cet Acte»;</w:t>
      </w:r>
    </w:p>
    <w:p w:rsidR="0025450E" w:rsidRPr="002D2FD9" w:rsidRDefault="0025450E" w:rsidP="00A17011">
      <w:pPr>
        <w:jc w:val="both"/>
      </w:pPr>
      <w:r w:rsidRPr="00F73BF7">
        <w:rPr>
          <w:i/>
          <w:iCs/>
        </w:rPr>
        <w:t>d)</w:t>
      </w:r>
      <w:r w:rsidRPr="002D2FD9">
        <w:tab/>
        <w:t xml:space="preserve">que, conformément aux numéros </w:t>
      </w:r>
      <w:r w:rsidRPr="008C0EDF">
        <w:rPr>
          <w:b/>
          <w:bCs/>
        </w:rPr>
        <w:t>11.30</w:t>
      </w:r>
      <w:r w:rsidRPr="001232EE">
        <w:t>,</w:t>
      </w:r>
      <w:r w:rsidRPr="008C0EDF">
        <w:rPr>
          <w:b/>
          <w:bCs/>
        </w:rPr>
        <w:t xml:space="preserve"> 11.31</w:t>
      </w:r>
      <w:r w:rsidRPr="001232EE">
        <w:t xml:space="preserve"> et </w:t>
      </w:r>
      <w:r w:rsidRPr="008C0EDF">
        <w:rPr>
          <w:b/>
          <w:bCs/>
        </w:rPr>
        <w:t>11.31.2</w:t>
      </w:r>
      <w:r w:rsidRPr="002D2FD9">
        <w:t>, les fiches de notification doivent être examinées à la lumière des dispositions du Règlement des radiocommunications, y compris la disposition relative aux principes fondamentaux, et que des Règles de procédure appropriées sont actuellement établies à cet effet;</w:t>
      </w:r>
    </w:p>
    <w:p w:rsidR="0025450E" w:rsidRPr="002D2FD9" w:rsidRDefault="0025450E" w:rsidP="00A17011">
      <w:pPr>
        <w:jc w:val="both"/>
      </w:pPr>
      <w:r w:rsidRPr="00F73BF7">
        <w:rPr>
          <w:i/>
          <w:iCs/>
        </w:rPr>
        <w:t>e)</w:t>
      </w:r>
      <w:r w:rsidRPr="00F73BF7">
        <w:rPr>
          <w:i/>
          <w:iCs/>
        </w:rPr>
        <w:tab/>
      </w:r>
      <w:r w:rsidRPr="002D2FD9">
        <w:t xml:space="preserve">que la CMR-97 a chargé le Comité du Règlement des radiocommunications (RRB) d'élaborer, dans le cadre des numéros </w:t>
      </w:r>
      <w:r w:rsidRPr="008C0EDF">
        <w:rPr>
          <w:b/>
          <w:bCs/>
        </w:rPr>
        <w:t>11.30</w:t>
      </w:r>
      <w:r w:rsidRPr="001232EE">
        <w:t xml:space="preserve">, </w:t>
      </w:r>
      <w:r w:rsidRPr="008C0EDF">
        <w:rPr>
          <w:b/>
          <w:bCs/>
        </w:rPr>
        <w:t>11.31</w:t>
      </w:r>
      <w:r w:rsidRPr="001232EE">
        <w:t xml:space="preserve"> et </w:t>
      </w:r>
      <w:r w:rsidRPr="008C0EDF">
        <w:rPr>
          <w:b/>
          <w:bCs/>
        </w:rPr>
        <w:t>11.31.2</w:t>
      </w:r>
      <w:r w:rsidRPr="00132C37">
        <w:t xml:space="preserve">, des Règles de procédure à suivre pour être conforme aux principes respectant les principes énoncés au numéro </w:t>
      </w:r>
      <w:r w:rsidRPr="008C0EDF">
        <w:rPr>
          <w:b/>
          <w:bCs/>
        </w:rPr>
        <w:t>0.3</w:t>
      </w:r>
      <w:r w:rsidRPr="00E43081">
        <w:t xml:space="preserve"> </w:t>
      </w:r>
      <w:r w:rsidRPr="002D2FD9">
        <w:t>du Préambule</w:t>
      </w:r>
      <w:r>
        <w:t xml:space="preserve"> du Règlement des radiocommunications</w:t>
      </w:r>
      <w:r w:rsidRPr="002D2FD9">
        <w:t>;</w:t>
      </w:r>
    </w:p>
    <w:p w:rsidR="0025450E" w:rsidRPr="002D2FD9" w:rsidRDefault="0025450E" w:rsidP="00A17011">
      <w:pPr>
        <w:jc w:val="both"/>
      </w:pPr>
      <w:r w:rsidRPr="002D2FD9">
        <w:rPr>
          <w:i/>
          <w:iCs/>
        </w:rPr>
        <w:t>f)</w:t>
      </w:r>
      <w:r w:rsidRPr="002D2FD9">
        <w:rPr>
          <w:i/>
          <w:iCs/>
        </w:rPr>
        <w:tab/>
      </w:r>
      <w:r w:rsidRPr="002D2FD9">
        <w:t>que le Comité, conformément à la Résolution </w:t>
      </w:r>
      <w:r w:rsidRPr="008C0EDF">
        <w:rPr>
          <w:b/>
          <w:bCs/>
        </w:rPr>
        <w:t>80 (CMR-97)</w:t>
      </w:r>
      <w:r w:rsidRPr="002D2FD9">
        <w:t>, a soumis un rapport à la CMR</w:t>
      </w:r>
      <w:r w:rsidRPr="002D2FD9">
        <w:noBreakHyphen/>
        <w:t>2000 dans lequel il suggérait des solutions possibles et indiquait qu'après avoir examiné le Règlement des radiocommunications, il était arrivé à la conclusion que celui</w:t>
      </w:r>
      <w:r w:rsidRPr="002D2FD9">
        <w:noBreakHyphen/>
        <w:t>ci ne comportait actuellement aucune disposition établissant un lien entre les procédures officielles de notification ou de coordination et les principes énoncés au numéro</w:t>
      </w:r>
      <w:r>
        <w:t xml:space="preserve"> </w:t>
      </w:r>
      <w:r w:rsidRPr="008C0EDF">
        <w:rPr>
          <w:b/>
          <w:bCs/>
        </w:rPr>
        <w:t xml:space="preserve">0.3 </w:t>
      </w:r>
      <w:r w:rsidRPr="002D2FD9">
        <w:t xml:space="preserve">du </w:t>
      </w:r>
      <w:r>
        <w:t xml:space="preserve">Préambule </w:t>
      </w:r>
      <w:r w:rsidRPr="002D2FD9">
        <w:t>du Règlement des radiocommunications;</w:t>
      </w:r>
    </w:p>
    <w:p w:rsidR="0025450E" w:rsidRPr="002D2FD9" w:rsidRDefault="0025450E" w:rsidP="00A17011">
      <w:pPr>
        <w:jc w:val="both"/>
      </w:pPr>
      <w:r w:rsidRPr="002D2FD9">
        <w:rPr>
          <w:i/>
          <w:iCs/>
        </w:rPr>
        <w:t>g)</w:t>
      </w:r>
      <w:r w:rsidRPr="002D2FD9">
        <w:tab/>
        <w:t>que le Sous-Comité juridique du Comité des utilisations pacifiques de l'espace extra</w:t>
      </w:r>
      <w:r>
        <w:t>-</w:t>
      </w:r>
      <w:r w:rsidRPr="002D2FD9">
        <w:t>atmosphérique de l'Assemblée générale des Nations Unies a formulé des recommandations à ce sujet,</w:t>
      </w:r>
    </w:p>
    <w:p w:rsidR="0025450E" w:rsidRPr="002D2FD9" w:rsidRDefault="0025450E" w:rsidP="00A17011">
      <w:pPr>
        <w:pStyle w:val="Call"/>
        <w:jc w:val="both"/>
      </w:pPr>
      <w:r w:rsidRPr="002D2FD9">
        <w:t>notant</w:t>
      </w:r>
    </w:p>
    <w:p w:rsidR="0025450E" w:rsidRPr="002D2FD9" w:rsidRDefault="0025450E" w:rsidP="00A17011">
      <w:pPr>
        <w:jc w:val="both"/>
      </w:pPr>
      <w:r w:rsidRPr="002D2FD9">
        <w:rPr>
          <w:i/>
          <w:iCs/>
        </w:rPr>
        <w:t>a)</w:t>
      </w:r>
      <w:r w:rsidRPr="002D2FD9">
        <w:tab/>
        <w:t>que, conformément au numéro 127 de la Convention, la Conférence peut donner des instructions aux Secteurs de l'Union;</w:t>
      </w:r>
    </w:p>
    <w:p w:rsidR="0025450E" w:rsidRPr="002D2FD9" w:rsidRDefault="0025450E" w:rsidP="00A17011">
      <w:pPr>
        <w:jc w:val="both"/>
      </w:pPr>
      <w:r w:rsidRPr="002D2FD9">
        <w:rPr>
          <w:i/>
          <w:iCs/>
        </w:rPr>
        <w:t>b)</w:t>
      </w:r>
      <w:r w:rsidRPr="002D2FD9">
        <w:tab/>
        <w:t>qu'en vertu du numéro 160C de la Convention, le Groupe consultatif</w:t>
      </w:r>
      <w:r>
        <w:t xml:space="preserve"> des radiocommunications (GCR)</w:t>
      </w:r>
      <w:r w:rsidRPr="002D2FD9">
        <w:t xml:space="preserve"> examine toutes questions particulières que lui confie une conférence;</w:t>
      </w:r>
    </w:p>
    <w:p w:rsidR="0025450E" w:rsidRDefault="0025450E" w:rsidP="00A17011">
      <w:pPr>
        <w:jc w:val="both"/>
      </w:pPr>
      <w:r w:rsidRPr="002D2FD9">
        <w:rPr>
          <w:i/>
          <w:iCs/>
        </w:rPr>
        <w:t>c)</w:t>
      </w:r>
      <w:r w:rsidRPr="002D2FD9">
        <w:tab/>
        <w:t>le Rapport du RRB à la CMR</w:t>
      </w:r>
      <w:r w:rsidRPr="002D2FD9">
        <w:noBreakHyphen/>
        <w:t>2000</w:t>
      </w:r>
      <w:r>
        <w:t xml:space="preserve"> (voir l'Annexe 1);</w:t>
      </w:r>
    </w:p>
    <w:p w:rsidR="0025450E" w:rsidRDefault="0025450E" w:rsidP="00A17011">
      <w:pPr>
        <w:jc w:val="both"/>
      </w:pPr>
      <w:r w:rsidRPr="002D2FD9">
        <w:rPr>
          <w:i/>
          <w:iCs/>
        </w:rPr>
        <w:t>d)</w:t>
      </w:r>
      <w:r w:rsidRPr="002D2FD9">
        <w:tab/>
        <w:t>le Rapport du RRB à la CMR</w:t>
      </w:r>
      <w:r w:rsidRPr="002D2FD9">
        <w:noBreakHyphen/>
        <w:t>03</w:t>
      </w:r>
      <w:r>
        <w:t xml:space="preserve"> (voir l'Annexe 2);</w:t>
      </w:r>
    </w:p>
    <w:p w:rsidR="0025450E" w:rsidRPr="002D2FD9" w:rsidRDefault="0025450E" w:rsidP="00A17011">
      <w:pPr>
        <w:jc w:val="both"/>
      </w:pPr>
      <w:r w:rsidRPr="002D2FD9">
        <w:rPr>
          <w:i/>
          <w:iCs/>
        </w:rPr>
        <w:t>e)</w:t>
      </w:r>
      <w:r w:rsidRPr="002D2FD9">
        <w:tab/>
        <w:t xml:space="preserve">que </w:t>
      </w:r>
      <w:r>
        <w:t>certaines</w:t>
      </w:r>
      <w:r w:rsidRPr="002D2FD9">
        <w:t xml:space="preserve"> questions parmi celles identifiées dans le Rapport mentionné au point </w:t>
      </w:r>
      <w:r w:rsidRPr="002D2FD9">
        <w:rPr>
          <w:i/>
          <w:iCs/>
        </w:rPr>
        <w:t xml:space="preserve">c) </w:t>
      </w:r>
      <w:r w:rsidRPr="002D2FD9">
        <w:t xml:space="preserve">du </w:t>
      </w:r>
      <w:r w:rsidRPr="002D2FD9">
        <w:rPr>
          <w:i/>
          <w:iCs/>
        </w:rPr>
        <w:t>notant</w:t>
      </w:r>
      <w:r w:rsidRPr="002D2FD9">
        <w:t xml:space="preserve"> ont été résolues avant la CMR</w:t>
      </w:r>
      <w:r w:rsidRPr="002D2FD9">
        <w:noBreakHyphen/>
        <w:t>07,</w:t>
      </w:r>
    </w:p>
    <w:p w:rsidR="0025450E" w:rsidRPr="002D2FD9" w:rsidRDefault="0025450E" w:rsidP="00A17011">
      <w:pPr>
        <w:pStyle w:val="Call"/>
        <w:jc w:val="both"/>
      </w:pPr>
      <w:r w:rsidRPr="002D2FD9">
        <w:lastRenderedPageBreak/>
        <w:t>décide</w:t>
      </w:r>
    </w:p>
    <w:p w:rsidR="0025450E" w:rsidRDefault="0025450E" w:rsidP="005131A3">
      <w:pPr>
        <w:jc w:val="both"/>
      </w:pPr>
      <w:r w:rsidRPr="002D2FD9">
        <w:t>1</w:t>
      </w:r>
      <w:r w:rsidRPr="002D2FD9">
        <w:tab/>
        <w:t xml:space="preserve">de charger </w:t>
      </w:r>
      <w:r>
        <w:t>le Secteur des radiocommunications, conformément au numéro 1 de l'Article 12 de la Constitution,</w:t>
      </w:r>
      <w:r w:rsidRPr="002D2FD9">
        <w:t xml:space="preserve"> de procéder à des études sur les procédures permettant de mesurer et d'analyser l'application des principes de base énoncés à l'</w:t>
      </w:r>
      <w:r w:rsidR="005131A3">
        <w:t>a</w:t>
      </w:r>
      <w:r w:rsidRPr="002D2FD9">
        <w:t>rticle 44 de la Constitution;</w:t>
      </w:r>
    </w:p>
    <w:p w:rsidR="0025450E" w:rsidRPr="002D2FD9" w:rsidRDefault="0025450E" w:rsidP="005B11FD">
      <w:pPr>
        <w:jc w:val="both"/>
      </w:pPr>
      <w:r w:rsidRPr="002D2FD9">
        <w:t>2</w:t>
      </w:r>
      <w:r w:rsidRPr="002D2FD9">
        <w:tab/>
        <w:t xml:space="preserve">de charger le </w:t>
      </w:r>
      <w:r>
        <w:t>RRB</w:t>
      </w:r>
      <w:r w:rsidRPr="002D2FD9">
        <w:t xml:space="preserve"> d'examiner </w:t>
      </w:r>
      <w:r>
        <w:t xml:space="preserve">et de </w:t>
      </w:r>
      <w:r w:rsidR="00F130EA">
        <w:t>re</w:t>
      </w:r>
      <w:r w:rsidR="00E25FB6">
        <w:t>v</w:t>
      </w:r>
      <w:r>
        <w:t xml:space="preserve">oir </w:t>
      </w:r>
      <w:r w:rsidRPr="002D2FD9">
        <w:t>des projets de recommandation et de disposition possibles établissant un lien entre les procédures officielles de notification, de coordination et d'enregistrement et les principes énoncés à l'</w:t>
      </w:r>
      <w:r w:rsidR="007D60DD">
        <w:t>a</w:t>
      </w:r>
      <w:r w:rsidRPr="002D2FD9">
        <w:t xml:space="preserve">rticle </w:t>
      </w:r>
      <w:r w:rsidRPr="00F73BF7">
        <w:t>44</w:t>
      </w:r>
      <w:r w:rsidRPr="002D2FD9">
        <w:t xml:space="preserve"> </w:t>
      </w:r>
      <w:r>
        <w:t>de la Constitution et au numéro </w:t>
      </w:r>
      <w:r w:rsidRPr="008C0EDF">
        <w:rPr>
          <w:b/>
          <w:bCs/>
        </w:rPr>
        <w:t>0.3</w:t>
      </w:r>
      <w:r w:rsidRPr="002D2FD9">
        <w:t xml:space="preserve"> du Préambule du Règlement des radiocommunications</w:t>
      </w:r>
      <w:r>
        <w:t>,</w:t>
      </w:r>
      <w:r w:rsidRPr="002D2FD9">
        <w:t xml:space="preserve"> et de </w:t>
      </w:r>
      <w:r>
        <w:t xml:space="preserve">faire </w:t>
      </w:r>
      <w:r w:rsidRPr="002D2FD9">
        <w:t xml:space="preserve">un rapport sur </w:t>
      </w:r>
      <w:r>
        <w:t xml:space="preserve">la mise en </w:t>
      </w:r>
      <w:proofErr w:type="spellStart"/>
      <w:r w:rsidR="005B11FD">
        <w:t>oe</w:t>
      </w:r>
      <w:r>
        <w:t>uvre</w:t>
      </w:r>
      <w:proofErr w:type="spellEnd"/>
      <w:r>
        <w:t xml:space="preserve"> de </w:t>
      </w:r>
      <w:r w:rsidRPr="002D2FD9">
        <w:t>la présente Résolution à cha</w:t>
      </w:r>
      <w:r>
        <w:t>q</w:t>
      </w:r>
      <w:r w:rsidRPr="002D2FD9">
        <w:t xml:space="preserve">ue </w:t>
      </w:r>
      <w:r>
        <w:t>C</w:t>
      </w:r>
      <w:r w:rsidRPr="002D2FD9">
        <w:t>onférence mondiale des radiocommunications</w:t>
      </w:r>
      <w:r w:rsidRPr="0069123E">
        <w:t xml:space="preserve"> </w:t>
      </w:r>
      <w:r w:rsidRPr="002D2FD9">
        <w:t>future;</w:t>
      </w:r>
    </w:p>
    <w:p w:rsidR="0025450E" w:rsidRPr="002D2FD9" w:rsidRDefault="0025450E" w:rsidP="00A17011">
      <w:pPr>
        <w:jc w:val="both"/>
      </w:pPr>
      <w:r w:rsidRPr="002D2FD9">
        <w:t>3</w:t>
      </w:r>
      <w:r w:rsidRPr="002D2FD9">
        <w:tab/>
        <w:t>de charger le Directeur du Bureau des radiocommunications de soumettre à cha</w:t>
      </w:r>
      <w:r>
        <w:t>qu</w:t>
      </w:r>
      <w:r w:rsidRPr="002D2FD9">
        <w:t xml:space="preserve">e </w:t>
      </w:r>
      <w:r>
        <w:t>c</w:t>
      </w:r>
      <w:r w:rsidRPr="002D2FD9">
        <w:t>onférence mondiale des radiocommunications</w:t>
      </w:r>
      <w:r>
        <w:t xml:space="preserve"> </w:t>
      </w:r>
      <w:r w:rsidRPr="002D2FD9">
        <w:t>future un rapport détaillé sur l'état d'avancement des travaux concernant la suite donnée à la présente Résolution,</w:t>
      </w:r>
    </w:p>
    <w:p w:rsidR="0025450E" w:rsidRPr="002D2FD9" w:rsidRDefault="0025450E" w:rsidP="00A17011">
      <w:pPr>
        <w:pStyle w:val="Call"/>
        <w:jc w:val="both"/>
      </w:pPr>
      <w:r w:rsidRPr="002D2FD9">
        <w:t>invite</w:t>
      </w:r>
    </w:p>
    <w:p w:rsidR="0025450E" w:rsidRPr="002D2FD9" w:rsidRDefault="0025450E" w:rsidP="00A17011">
      <w:pPr>
        <w:jc w:val="both"/>
      </w:pPr>
      <w:r w:rsidRPr="002D2FD9">
        <w:t>1</w:t>
      </w:r>
      <w:r w:rsidRPr="002D2FD9">
        <w:tab/>
        <w:t xml:space="preserve">les autres organes </w:t>
      </w:r>
      <w:r>
        <w:t>du Secteur des radiocommunications</w:t>
      </w:r>
      <w:r w:rsidRPr="002D2FD9">
        <w:t xml:space="preserve">, </w:t>
      </w:r>
      <w:r>
        <w:t xml:space="preserve">et </w:t>
      </w:r>
      <w:r w:rsidRPr="002D2FD9">
        <w:t xml:space="preserve">en particulier le GCR, à présenter des contributions </w:t>
      </w:r>
      <w:r>
        <w:t xml:space="preserve">sur la question </w:t>
      </w:r>
      <w:r w:rsidRPr="002D2FD9">
        <w:t>au Directeur du Bureau des radiocommunications en vue de leur inclusion dans son rapport à cha</w:t>
      </w:r>
      <w:r>
        <w:t>qu</w:t>
      </w:r>
      <w:r w:rsidRPr="002D2FD9">
        <w:t xml:space="preserve">e </w:t>
      </w:r>
      <w:r>
        <w:t>c</w:t>
      </w:r>
      <w:r w:rsidRPr="002D2FD9">
        <w:t>onférence mondiale des radiocommunications</w:t>
      </w:r>
      <w:r>
        <w:t xml:space="preserve"> </w:t>
      </w:r>
      <w:r w:rsidRPr="002D2FD9">
        <w:t>future;</w:t>
      </w:r>
    </w:p>
    <w:p w:rsidR="0025450E" w:rsidRDefault="0025450E" w:rsidP="00A17011">
      <w:pPr>
        <w:jc w:val="both"/>
      </w:pPr>
      <w:r w:rsidRPr="002D2FD9">
        <w:t>2</w:t>
      </w:r>
      <w:r w:rsidRPr="002D2FD9">
        <w:tab/>
        <w:t>les administrations à contribu</w:t>
      </w:r>
      <w:r>
        <w:t>er</w:t>
      </w:r>
      <w:r w:rsidRPr="002D2FD9">
        <w:t xml:space="preserve"> aux études mentionnées au point 1 du </w:t>
      </w:r>
      <w:r w:rsidRPr="002D2FD9">
        <w:rPr>
          <w:i/>
          <w:iCs/>
        </w:rPr>
        <w:t>décide</w:t>
      </w:r>
      <w:r>
        <w:rPr>
          <w:i/>
          <w:iCs/>
        </w:rPr>
        <w:t xml:space="preserve"> </w:t>
      </w:r>
      <w:r w:rsidRPr="00504217">
        <w:t xml:space="preserve">et aux travaux du RRB, comme indiqué en détail au point 2 du </w:t>
      </w:r>
      <w:r>
        <w:rPr>
          <w:i/>
          <w:iCs/>
        </w:rPr>
        <w:t>décide</w:t>
      </w:r>
      <w:r w:rsidRPr="00504217">
        <w:t>.</w:t>
      </w:r>
    </w:p>
    <w:p w:rsidR="001B30D5" w:rsidRPr="00ED7033" w:rsidRDefault="001B30D5" w:rsidP="00A17011">
      <w:pPr>
        <w:pStyle w:val="AnnexNo0"/>
      </w:pPr>
      <w:r w:rsidRPr="00ED7033">
        <w:t>ANNEX</w:t>
      </w:r>
      <w:r w:rsidR="00ED7033" w:rsidRPr="00ED7033">
        <w:t>E</w:t>
      </w:r>
      <w:r w:rsidRPr="00ED7033">
        <w:t xml:space="preserve"> 1 </w:t>
      </w:r>
      <w:r w:rsidR="00ED7033" w:rsidRPr="00ED7033">
        <w:t>a LA</w:t>
      </w:r>
      <w:r w:rsidRPr="00ED7033">
        <w:t xml:space="preserve"> R</w:t>
      </w:r>
      <w:r w:rsidR="00ED7033" w:rsidRPr="00ED7033">
        <w:t>é</w:t>
      </w:r>
      <w:r w:rsidRPr="00ED7033">
        <w:t>SOLUTION 80 (</w:t>
      </w:r>
      <w:r w:rsidR="00ED7033" w:rsidRPr="00ED7033">
        <w:rPr>
          <w:caps w:val="0"/>
        </w:rPr>
        <w:t>Rév</w:t>
      </w:r>
      <w:r w:rsidR="00ED7033" w:rsidRPr="00ED7033">
        <w:t>.</w:t>
      </w:r>
      <w:r w:rsidRPr="00ED7033">
        <w:t>C</w:t>
      </w:r>
      <w:r w:rsidR="00ED7033" w:rsidRPr="00ED7033">
        <w:t>MR</w:t>
      </w:r>
      <w:r w:rsidRPr="00ED7033">
        <w:noBreakHyphen/>
        <w:t>07)</w:t>
      </w:r>
    </w:p>
    <w:p w:rsidR="0025450E" w:rsidRPr="00654ABC" w:rsidRDefault="0025450E" w:rsidP="00A17011">
      <w:pPr>
        <w:pStyle w:val="Annextitle0"/>
      </w:pPr>
      <w:r w:rsidRPr="00654ABC">
        <w:t>Rapport du RRB à la CMR-2000</w:t>
      </w:r>
    </w:p>
    <w:p w:rsidR="0025450E" w:rsidRPr="006A5909" w:rsidRDefault="0025450E" w:rsidP="00A17011">
      <w:pPr>
        <w:pStyle w:val="Normalaftertitle"/>
        <w:jc w:val="both"/>
        <w:rPr>
          <w:lang w:val="fr-CH"/>
        </w:rPr>
      </w:pPr>
      <w:r w:rsidRPr="006A5909">
        <w:rPr>
          <w:lang w:val="fr-CH"/>
        </w:rPr>
        <w:t>Dans le Rapport du RRB à la CMR</w:t>
      </w:r>
      <w:r w:rsidRPr="006A5909">
        <w:rPr>
          <w:lang w:val="fr-CH"/>
        </w:rPr>
        <w:noBreakHyphen/>
        <w:t>2000</w:t>
      </w:r>
      <w:r>
        <w:rPr>
          <w:rStyle w:val="FootnoteReference"/>
          <w:lang w:val="fr-CH"/>
        </w:rPr>
        <w:footnoteReference w:customMarkFollows="1" w:id="5"/>
        <w:t>1</w:t>
      </w:r>
      <w:r w:rsidRPr="006A5909">
        <w:rPr>
          <w:lang w:val="fr-CH"/>
        </w:rPr>
        <w:t>, plusieurs membres du Comité ont noté que certaines administrations, notamment de pays en développement, seraient sans doute confrontées aux difficultés suivantes:</w:t>
      </w:r>
    </w:p>
    <w:p w:rsidR="0025450E" w:rsidRPr="002D2FD9" w:rsidRDefault="0025450E" w:rsidP="00A17011">
      <w:pPr>
        <w:pStyle w:val="enumlev1"/>
        <w:jc w:val="both"/>
      </w:pPr>
      <w:r w:rsidRPr="002D2FD9">
        <w:t>–</w:t>
      </w:r>
      <w:r w:rsidRPr="002D2FD9">
        <w:tab/>
        <w:t>le principe «premier arrivé, premier servi» limite et parfois bloque l'accès à certaines bandes de fréquences et à certaines positions orbitales et leur utilisation;</w:t>
      </w:r>
    </w:p>
    <w:p w:rsidR="0025450E" w:rsidRPr="002D2FD9" w:rsidRDefault="0025450E" w:rsidP="00A17011">
      <w:pPr>
        <w:pStyle w:val="enumlev1"/>
        <w:jc w:val="both"/>
      </w:pPr>
      <w:r w:rsidRPr="002D2FD9">
        <w:t>–</w:t>
      </w:r>
      <w:r w:rsidRPr="002D2FD9">
        <w:tab/>
        <w:t>les pays en développement sont relativement désavantagés dans les négociations de coordination, pour diverses raisons, comme le manque de ressources et de connaissances spécialisées;</w:t>
      </w:r>
    </w:p>
    <w:p w:rsidR="0025450E" w:rsidRPr="002D2FD9" w:rsidRDefault="0025450E" w:rsidP="00A17011">
      <w:pPr>
        <w:pStyle w:val="enumlev1"/>
        <w:jc w:val="both"/>
      </w:pPr>
      <w:r w:rsidRPr="002D2FD9">
        <w:t>–</w:t>
      </w:r>
      <w:r w:rsidRPr="002D2FD9">
        <w:tab/>
        <w:t>l'application du Règlement des radiocommunications n'est pas toujours perçue comme uniforme;</w:t>
      </w:r>
    </w:p>
    <w:p w:rsidR="0025450E" w:rsidRPr="002D2FD9" w:rsidRDefault="0025450E" w:rsidP="00A17011">
      <w:pPr>
        <w:pStyle w:val="enumlev1"/>
        <w:jc w:val="both"/>
      </w:pPr>
      <w:r w:rsidRPr="002D2FD9">
        <w:t>–</w:t>
      </w:r>
      <w:r w:rsidRPr="002D2FD9">
        <w:tab/>
        <w:t>la notification de satellites «fictifs» limite les possibilités d'accès;</w:t>
      </w:r>
    </w:p>
    <w:p w:rsidR="0025450E" w:rsidRPr="002D2FD9" w:rsidRDefault="0025450E" w:rsidP="00A17011">
      <w:pPr>
        <w:pStyle w:val="enumlev1"/>
        <w:jc w:val="both"/>
      </w:pPr>
      <w:r w:rsidRPr="002D2FD9">
        <w:t>–</w:t>
      </w:r>
      <w:r w:rsidRPr="002D2FD9">
        <w:tab/>
        <w:t xml:space="preserve">l'utilisation croissante des bandes des Plans des Appendices </w:t>
      </w:r>
      <w:r w:rsidRPr="002117B0">
        <w:rPr>
          <w:rStyle w:val="ApprefBold"/>
        </w:rPr>
        <w:t>30</w:t>
      </w:r>
      <w:r w:rsidRPr="002D2FD9">
        <w:t xml:space="preserve"> et </w:t>
      </w:r>
      <w:r w:rsidRPr="002117B0">
        <w:rPr>
          <w:rStyle w:val="ApprefBold"/>
        </w:rPr>
        <w:t>30A</w:t>
      </w:r>
      <w:r w:rsidRPr="002D2FD9">
        <w:rPr>
          <w:b/>
          <w:bCs/>
        </w:rPr>
        <w:t xml:space="preserve"> </w:t>
      </w:r>
      <w:r w:rsidRPr="002D2FD9">
        <w:t xml:space="preserve">par des systèmes régionaux, multicanaux, </w:t>
      </w:r>
      <w:r>
        <w:t xml:space="preserve">risque de </w:t>
      </w:r>
      <w:r w:rsidRPr="002D2FD9">
        <w:t>modifier l'objet principal de ces Plans, qui est de garantir un accès équitable à tous les pays;</w:t>
      </w:r>
    </w:p>
    <w:p w:rsidR="0025450E" w:rsidRPr="002D2FD9" w:rsidRDefault="0025450E" w:rsidP="00A17011">
      <w:pPr>
        <w:pStyle w:val="enumlev1"/>
        <w:jc w:val="both"/>
      </w:pPr>
      <w:r w:rsidRPr="002D2FD9">
        <w:t>–</w:t>
      </w:r>
      <w:r w:rsidRPr="002D2FD9">
        <w:tab/>
        <w:t xml:space="preserve">les arriérés de traitement considérables au Bureau des radiocommunications s'expliquent par la très grande complexité des procédures et par le grand nombre de notifications; ces arriérés entraînent des retards de coordination de l'ordre de 18 </w:t>
      </w:r>
      <w:r w:rsidRPr="002D2FD9">
        <w:lastRenderedPageBreak/>
        <w:t>mois qui pourraient atteindre trois ans et se traduire par des situations réglementaires incertaines, par des retards de coordination additionnels, que les administrations ne pourraient pas résoudre et, éventuellement, par la perte d'assignations lorsque les délais ne sont pas respectés;</w:t>
      </w:r>
    </w:p>
    <w:p w:rsidR="0025450E" w:rsidRPr="002D2FD9" w:rsidRDefault="0025450E" w:rsidP="00A17011">
      <w:pPr>
        <w:pStyle w:val="enumlev1"/>
        <w:jc w:val="both"/>
      </w:pPr>
      <w:r w:rsidRPr="002D2FD9">
        <w:t>–</w:t>
      </w:r>
      <w:r w:rsidRPr="002D2FD9">
        <w:tab/>
        <w:t>certains systèmes à satellites peuvent déjà être en orbite avant la fin de la coordination;</w:t>
      </w:r>
    </w:p>
    <w:p w:rsidR="0025450E" w:rsidRPr="002D2FD9" w:rsidRDefault="0025450E" w:rsidP="00A17011">
      <w:pPr>
        <w:pStyle w:val="enumlev1"/>
        <w:jc w:val="both"/>
      </w:pPr>
      <w:r w:rsidRPr="002D2FD9">
        <w:t>–</w:t>
      </w:r>
      <w:r w:rsidRPr="002D2FD9">
        <w:tab/>
        <w:t>certains délais statutaires</w:t>
      </w:r>
      <w:r>
        <w:t>,</w:t>
      </w:r>
      <w:r w:rsidRPr="002D2FD9">
        <w:t xml:space="preserve"> tels que ceux prévus au numéro </w:t>
      </w:r>
      <w:r w:rsidRPr="00654C2C">
        <w:rPr>
          <w:b/>
          <w:bCs/>
        </w:rPr>
        <w:t>11.48</w:t>
      </w:r>
      <w:r w:rsidRPr="00241C82">
        <w:t>,</w:t>
      </w:r>
      <w:r w:rsidRPr="002D2FD9">
        <w:t xml:space="preserve"> sont souvent insuffisants pour les pays en développement, qui ne sont pas en mesure de satisfaire aux impératifs réglementaires tout en menant à bien </w:t>
      </w:r>
      <w:r>
        <w:t>la conception</w:t>
      </w:r>
      <w:r w:rsidRPr="002D2FD9">
        <w:t xml:space="preserve">, </w:t>
      </w:r>
      <w:r>
        <w:t>la</w:t>
      </w:r>
      <w:r w:rsidRPr="002D2FD9">
        <w:t xml:space="preserve"> construction et </w:t>
      </w:r>
      <w:r>
        <w:t>le</w:t>
      </w:r>
      <w:r w:rsidRPr="002D2FD9">
        <w:t xml:space="preserve"> lancement des systèmes à satellites;</w:t>
      </w:r>
    </w:p>
    <w:p w:rsidR="00B522FD" w:rsidRPr="0025450E" w:rsidRDefault="0025450E" w:rsidP="00A17011">
      <w:pPr>
        <w:jc w:val="both"/>
        <w:rPr>
          <w:rFonts w:asciiTheme="majorBidi" w:hAnsiTheme="majorBidi" w:cstheme="majorBidi"/>
          <w:szCs w:val="24"/>
        </w:rPr>
      </w:pPr>
      <w:r w:rsidRPr="002D2FD9">
        <w:t>–</w:t>
      </w:r>
      <w:r w:rsidRPr="002D2FD9">
        <w:tab/>
        <w:t xml:space="preserve">il n'existe aucune disposition concernant un contrôle international </w:t>
      </w:r>
      <w:r>
        <w:t>permettant</w:t>
      </w:r>
      <w:r w:rsidRPr="002D2FD9">
        <w:t xml:space="preserve"> de confirmer la mise en service des réseaux à satellite (assignations et orbites)</w:t>
      </w:r>
      <w:r>
        <w:t>.</w:t>
      </w:r>
      <w:r w:rsidR="00B522FD" w:rsidRPr="0025450E">
        <w:rPr>
          <w:rFonts w:asciiTheme="majorBidi" w:hAnsiTheme="majorBidi" w:cstheme="majorBidi"/>
          <w:szCs w:val="24"/>
        </w:rPr>
        <w:t>.</w:t>
      </w:r>
    </w:p>
    <w:p w:rsidR="00536000" w:rsidRPr="00ED7033" w:rsidRDefault="00536000" w:rsidP="00A17011">
      <w:pPr>
        <w:pStyle w:val="AnnexNo0"/>
      </w:pPr>
      <w:r w:rsidRPr="00ED7033">
        <w:t>ANNEX</w:t>
      </w:r>
      <w:r w:rsidR="00ED7033" w:rsidRPr="00ED7033">
        <w:t>E</w:t>
      </w:r>
      <w:r w:rsidRPr="00ED7033">
        <w:t xml:space="preserve"> 2 </w:t>
      </w:r>
      <w:r w:rsidR="00ED7033" w:rsidRPr="00ED7033">
        <w:t>A LA Ré</w:t>
      </w:r>
      <w:r w:rsidRPr="00ED7033">
        <w:t>SOLUTION 80 (</w:t>
      </w:r>
      <w:r w:rsidR="00845EA4" w:rsidRPr="00ED7033">
        <w:rPr>
          <w:caps w:val="0"/>
        </w:rPr>
        <w:t>Rév</w:t>
      </w:r>
      <w:r w:rsidRPr="00ED7033">
        <w:t>.C</w:t>
      </w:r>
      <w:r w:rsidR="00ED7033" w:rsidRPr="00ED7033">
        <w:t>mr</w:t>
      </w:r>
      <w:r w:rsidRPr="00ED7033">
        <w:noBreakHyphen/>
        <w:t>07)</w:t>
      </w:r>
    </w:p>
    <w:p w:rsidR="0025450E" w:rsidRPr="00654ABC" w:rsidRDefault="0025450E" w:rsidP="00A17011">
      <w:pPr>
        <w:pStyle w:val="Annextitle0"/>
      </w:pPr>
      <w:r w:rsidRPr="00654ABC">
        <w:t>Rapport du RRB à la CMR-03</w:t>
      </w:r>
    </w:p>
    <w:p w:rsidR="0025450E" w:rsidRPr="006A5909" w:rsidRDefault="0025450E" w:rsidP="00A17011">
      <w:pPr>
        <w:pStyle w:val="Normalaftertitle"/>
        <w:jc w:val="both"/>
        <w:rPr>
          <w:lang w:val="fr-CH"/>
        </w:rPr>
      </w:pPr>
      <w:r w:rsidRPr="006A5909">
        <w:rPr>
          <w:lang w:val="fr-CH"/>
        </w:rPr>
        <w:t>Le Rapport du RRB à la CMR</w:t>
      </w:r>
      <w:r w:rsidRPr="006A5909">
        <w:rPr>
          <w:lang w:val="fr-CH"/>
        </w:rPr>
        <w:noBreakHyphen/>
        <w:t>03</w:t>
      </w:r>
      <w:r>
        <w:rPr>
          <w:rStyle w:val="FootnoteReference"/>
          <w:lang w:val="fr-CH"/>
        </w:rPr>
        <w:footnoteReference w:customMarkFollows="1" w:id="6"/>
        <w:t>2</w:t>
      </w:r>
      <w:r w:rsidRPr="006A5909">
        <w:rPr>
          <w:lang w:val="fr-CH"/>
        </w:rPr>
        <w:t xml:space="preserve"> énonce des principes visant à satisfaire aux dispositions du point 2 du </w:t>
      </w:r>
      <w:r w:rsidRPr="006A5909">
        <w:rPr>
          <w:i/>
          <w:iCs/>
          <w:lang w:val="fr-CH"/>
        </w:rPr>
        <w:t>décide</w:t>
      </w:r>
      <w:r w:rsidRPr="006A5909">
        <w:rPr>
          <w:lang w:val="fr-CH"/>
        </w:rPr>
        <w:t xml:space="preserve"> de la Résolution </w:t>
      </w:r>
      <w:r w:rsidRPr="006A5909">
        <w:rPr>
          <w:b/>
          <w:bCs/>
          <w:lang w:val="fr-CH"/>
        </w:rPr>
        <w:t>80 (CMR</w:t>
      </w:r>
      <w:r w:rsidRPr="006A5909">
        <w:rPr>
          <w:b/>
          <w:bCs/>
          <w:lang w:val="fr-CH"/>
        </w:rPr>
        <w:noBreakHyphen/>
        <w:t>2000)</w:t>
      </w:r>
      <w:r w:rsidRPr="006A5909">
        <w:rPr>
          <w:lang w:val="fr-CH"/>
        </w:rPr>
        <w:t>, à savoir:</w:t>
      </w:r>
    </w:p>
    <w:p w:rsidR="0025450E" w:rsidRPr="002D2FD9" w:rsidRDefault="0025450E" w:rsidP="00A17011">
      <w:pPr>
        <w:pStyle w:val="enumlev1"/>
        <w:jc w:val="both"/>
      </w:pPr>
      <w:r w:rsidRPr="002D2FD9">
        <w:t>–</w:t>
      </w:r>
      <w:r w:rsidRPr="002D2FD9">
        <w:tab/>
        <w:t>mesures spéciales en faveur des pays présentant leur première demande concernant un système à satellites:</w:t>
      </w:r>
    </w:p>
    <w:p w:rsidR="0025450E" w:rsidRPr="002D2FD9" w:rsidRDefault="0025450E" w:rsidP="00A17011">
      <w:pPr>
        <w:pStyle w:val="enumlev2"/>
        <w:jc w:val="both"/>
      </w:pPr>
      <w:r w:rsidRPr="002D2FD9">
        <w:t>–</w:t>
      </w:r>
      <w:r w:rsidRPr="002D2FD9">
        <w:tab/>
        <w:t>à titre exceptionnel, on pourrait accorder une attention particulière aux pays qui soumettent leur première demande concernant un système à satellites, en tenant compte des besoins spéciaux des pays en développement;</w:t>
      </w:r>
    </w:p>
    <w:p w:rsidR="0025450E" w:rsidRPr="002D2FD9" w:rsidRDefault="0025450E" w:rsidP="00A17011">
      <w:pPr>
        <w:pStyle w:val="enumlev2"/>
        <w:jc w:val="both"/>
      </w:pPr>
      <w:r w:rsidRPr="002D2FD9">
        <w:t>–</w:t>
      </w:r>
      <w:r w:rsidRPr="002D2FD9">
        <w:tab/>
        <w:t xml:space="preserve">à cette fin, il conviendrait de tenir compte des éléments suivants: </w:t>
      </w:r>
    </w:p>
    <w:p w:rsidR="0025450E" w:rsidRPr="002D2FD9" w:rsidRDefault="0025450E" w:rsidP="00A17011">
      <w:pPr>
        <w:pStyle w:val="enumlev3"/>
        <w:jc w:val="both"/>
      </w:pPr>
      <w:r>
        <w:t>–</w:t>
      </w:r>
      <w:r w:rsidRPr="002D2FD9">
        <w:tab/>
        <w:t>conséquences pour les autres administrations;</w:t>
      </w:r>
    </w:p>
    <w:p w:rsidR="0025450E" w:rsidRPr="002D2FD9" w:rsidRDefault="0025450E" w:rsidP="00A17011">
      <w:pPr>
        <w:pStyle w:val="enumlev3"/>
        <w:jc w:val="both"/>
      </w:pPr>
      <w:r>
        <w:t>–</w:t>
      </w:r>
      <w:r w:rsidRPr="002D2FD9">
        <w:tab/>
        <w:t xml:space="preserve">service par satellite fourni par le système (SFS, SMS, SRS); </w:t>
      </w:r>
    </w:p>
    <w:p w:rsidR="0025450E" w:rsidRPr="002D2FD9" w:rsidRDefault="0025450E" w:rsidP="00A17011">
      <w:pPr>
        <w:pStyle w:val="enumlev3"/>
        <w:jc w:val="both"/>
      </w:pPr>
      <w:r>
        <w:t>–</w:t>
      </w:r>
      <w:r w:rsidRPr="002D2FD9">
        <w:tab/>
        <w:t>bande de fréquences concernée par la notification;</w:t>
      </w:r>
    </w:p>
    <w:p w:rsidR="0025450E" w:rsidRPr="002D2FD9" w:rsidRDefault="0025450E" w:rsidP="00A17011">
      <w:pPr>
        <w:pStyle w:val="enumlev3"/>
        <w:jc w:val="both"/>
      </w:pPr>
      <w:r>
        <w:t>–</w:t>
      </w:r>
      <w:r w:rsidRPr="002D2FD9">
        <w:tab/>
        <w:t>le système vise à répondre aux besoins directs du ou des pays concernés;</w:t>
      </w:r>
    </w:p>
    <w:p w:rsidR="0025450E" w:rsidRPr="002D2FD9" w:rsidRDefault="0025450E" w:rsidP="00A17011">
      <w:pPr>
        <w:pStyle w:val="enumlev1"/>
        <w:jc w:val="both"/>
      </w:pPr>
      <w:r w:rsidRPr="002D2FD9">
        <w:t>–</w:t>
      </w:r>
      <w:r w:rsidRPr="002D2FD9">
        <w:tab/>
        <w:t>prorogation du délai réglementaire de mise en service:</w:t>
      </w:r>
    </w:p>
    <w:p w:rsidR="0025450E" w:rsidRPr="002D2FD9" w:rsidRDefault="0025450E" w:rsidP="00A17011">
      <w:pPr>
        <w:pStyle w:val="enumlev2"/>
        <w:jc w:val="both"/>
      </w:pPr>
      <w:r w:rsidRPr="002D2FD9">
        <w:t>–</w:t>
      </w:r>
      <w:r w:rsidRPr="002D2FD9">
        <w:tab/>
        <w:t>on pourrait préciser les conditions dans lesquelles les pays en développement pourraient bénéficier</w:t>
      </w:r>
      <w:r>
        <w:t xml:space="preserve">, </w:t>
      </w:r>
      <w:r w:rsidRPr="002D2FD9">
        <w:t xml:space="preserve">à titre exceptionnel, de prorogations, lorsqu'ils ne sont pas en mesure de respecter les prescriptions réglementaires concernant la date, afin de leur laisser suffisamment de temps pour la conception, la construction et le lancement des systèmes à satellites; </w:t>
      </w:r>
    </w:p>
    <w:p w:rsidR="0025450E" w:rsidRDefault="0025450E" w:rsidP="00A17011">
      <w:pPr>
        <w:pStyle w:val="enumlev2"/>
        <w:jc w:val="both"/>
      </w:pPr>
      <w:r w:rsidRPr="002D2FD9">
        <w:t>–</w:t>
      </w:r>
      <w:r w:rsidRPr="002D2FD9">
        <w:tab/>
        <w:t xml:space="preserve">ces conditions devraient </w:t>
      </w:r>
      <w:r>
        <w:t>faire l'objet de dispositions du</w:t>
      </w:r>
      <w:r w:rsidRPr="002D2FD9">
        <w:t xml:space="preserve"> Règlement des radiocommunications de façon que le Bureau des radiocommunications puisse </w:t>
      </w:r>
      <w:r>
        <w:t>s'en prévaloir pour octroyer</w:t>
      </w:r>
      <w:r w:rsidRPr="002D2FD9">
        <w:t xml:space="preserve"> </w:t>
      </w:r>
      <w:r>
        <w:t>l</w:t>
      </w:r>
      <w:r w:rsidRPr="002D2FD9">
        <w:t>es prorogations</w:t>
      </w:r>
      <w:r>
        <w:t>.</w:t>
      </w:r>
    </w:p>
    <w:p w:rsidR="00031F08" w:rsidRPr="0025450E" w:rsidRDefault="007C1B97" w:rsidP="00A17011">
      <w:pPr>
        <w:pStyle w:val="ResNo"/>
        <w:rPr>
          <w:rFonts w:asciiTheme="majorBidi" w:hAnsiTheme="majorBidi" w:cstheme="majorBidi"/>
          <w:sz w:val="24"/>
          <w:szCs w:val="24"/>
        </w:rPr>
      </w:pPr>
      <w:r w:rsidRPr="0025450E">
        <w:rPr>
          <w:rFonts w:asciiTheme="majorBidi" w:hAnsiTheme="majorBidi" w:cstheme="majorBidi"/>
          <w:sz w:val="24"/>
          <w:szCs w:val="24"/>
        </w:rPr>
        <w:br w:type="page"/>
      </w:r>
    </w:p>
    <w:p w:rsidR="00536000" w:rsidRPr="00536000" w:rsidRDefault="00ED7033" w:rsidP="00A17011">
      <w:pPr>
        <w:pStyle w:val="ResNo"/>
      </w:pPr>
      <w:bookmarkStart w:id="71" w:name="_Toc327364339"/>
      <w:bookmarkStart w:id="72" w:name="_Toc337471306"/>
      <w:bookmarkStart w:id="73" w:name="_Toc460331684"/>
      <w:bookmarkStart w:id="74" w:name="_Toc463616141"/>
      <w:bookmarkStart w:id="75" w:name="RES_86_rev_WRC07"/>
      <w:r>
        <w:lastRenderedPageBreak/>
        <w:t>R</w:t>
      </w:r>
      <w:r w:rsidR="001D5201" w:rsidRPr="001D5201">
        <w:t>É</w:t>
      </w:r>
      <w:r w:rsidR="00536000" w:rsidRPr="00536000">
        <w:t xml:space="preserve">SOLUTION </w:t>
      </w:r>
      <w:r w:rsidR="00536000" w:rsidRPr="00536000">
        <w:rPr>
          <w:rStyle w:val="href"/>
        </w:rPr>
        <w:t>86</w:t>
      </w:r>
      <w:r>
        <w:t xml:space="preserve"> (</w:t>
      </w:r>
      <w:r>
        <w:rPr>
          <w:caps w:val="0"/>
        </w:rPr>
        <w:t>Ré</w:t>
      </w:r>
      <w:r w:rsidRPr="00536000">
        <w:rPr>
          <w:caps w:val="0"/>
        </w:rPr>
        <w:t>v</w:t>
      </w:r>
      <w:r w:rsidR="00536000" w:rsidRPr="00536000">
        <w:t>.</w:t>
      </w:r>
      <w:r w:rsidR="00F8363E" w:rsidRPr="00A20F5A">
        <w:t>C</w:t>
      </w:r>
      <w:r w:rsidR="00F8363E">
        <w:t>MR</w:t>
      </w:r>
      <w:r w:rsidR="00536000" w:rsidRPr="00536000">
        <w:noBreakHyphen/>
        <w:t>07)</w:t>
      </w:r>
      <w:bookmarkEnd w:id="71"/>
      <w:bookmarkEnd w:id="72"/>
      <w:bookmarkEnd w:id="73"/>
      <w:bookmarkEnd w:id="74"/>
    </w:p>
    <w:p w:rsidR="00137862" w:rsidRPr="00654ABC" w:rsidRDefault="00137862" w:rsidP="00A17011">
      <w:pPr>
        <w:pStyle w:val="Restitle"/>
      </w:pPr>
      <w:bookmarkStart w:id="76" w:name="_Toc450208588"/>
      <w:bookmarkStart w:id="77" w:name="_Toc463616142"/>
      <w:bookmarkEnd w:id="75"/>
      <w:r w:rsidRPr="00654ABC">
        <w:t>Mise en œuvre de la Résolution 86 (</w:t>
      </w:r>
      <w:proofErr w:type="spellStart"/>
      <w:r w:rsidRPr="00654ABC">
        <w:t>Rév</w:t>
      </w:r>
      <w:proofErr w:type="spellEnd"/>
      <w:r w:rsidRPr="00654ABC">
        <w:t>. Marrakech, 2002)</w:t>
      </w:r>
      <w:r w:rsidRPr="00654ABC">
        <w:br/>
        <w:t>de la Conférence de plénipotentiaires</w:t>
      </w:r>
      <w:bookmarkEnd w:id="76"/>
      <w:bookmarkEnd w:id="77"/>
    </w:p>
    <w:p w:rsidR="00137862" w:rsidRPr="006A5909" w:rsidRDefault="00137862" w:rsidP="00A17011">
      <w:pPr>
        <w:pStyle w:val="Normalaftertitle"/>
        <w:rPr>
          <w:lang w:val="fr-CH"/>
        </w:rPr>
      </w:pPr>
      <w:r w:rsidRPr="006A5909">
        <w:rPr>
          <w:lang w:val="fr-CH"/>
        </w:rPr>
        <w:t>La Conférence mondiale des radiocommunications (Genève, 2007),</w:t>
      </w:r>
    </w:p>
    <w:p w:rsidR="00137862" w:rsidRDefault="00137862" w:rsidP="00A17011">
      <w:pPr>
        <w:pStyle w:val="Call"/>
        <w:jc w:val="both"/>
      </w:pPr>
      <w:r>
        <w:t>considérant</w:t>
      </w:r>
    </w:p>
    <w:p w:rsidR="00137862" w:rsidRDefault="00137862" w:rsidP="00A17011">
      <w:pPr>
        <w:jc w:val="both"/>
        <w:rPr>
          <w:lang w:val="fr-CH"/>
        </w:rPr>
      </w:pPr>
      <w:r w:rsidRPr="00F73BF7">
        <w:rPr>
          <w:i/>
          <w:iCs/>
          <w:lang w:val="fr-CH"/>
        </w:rPr>
        <w:t>a)</w:t>
      </w:r>
      <w:r w:rsidRPr="00F73BF7">
        <w:rPr>
          <w:i/>
          <w:iCs/>
          <w:lang w:val="fr-CH"/>
        </w:rPr>
        <w:tab/>
      </w:r>
      <w:r>
        <w:rPr>
          <w:lang w:val="fr-CH"/>
        </w:rPr>
        <w:t>que la Conférence de plénipotentiaires (Marrakech, 2002) a examiné l'application de la Résolution 86 (Minneapolis, 1998) et a décidé de demander à la CMR-03 de déterminer le champ d'application et les critères que devront utiliser les conférences mondiales des radiocommunications (CMR) futures pour appliquer la Résolution 86 (</w:t>
      </w:r>
      <w:proofErr w:type="spellStart"/>
      <w:r>
        <w:rPr>
          <w:lang w:val="fr-CH"/>
        </w:rPr>
        <w:t>Rév</w:t>
      </w:r>
      <w:proofErr w:type="spellEnd"/>
      <w:r>
        <w:rPr>
          <w:lang w:val="fr-CH"/>
        </w:rPr>
        <w:t>. Marrakech, 2002);</w:t>
      </w:r>
    </w:p>
    <w:p w:rsidR="00137862" w:rsidRPr="00161D47" w:rsidRDefault="00137862" w:rsidP="00A17011">
      <w:pPr>
        <w:jc w:val="both"/>
        <w:rPr>
          <w:lang w:val="fr-CH"/>
        </w:rPr>
      </w:pPr>
      <w:r w:rsidRPr="00F73BF7">
        <w:rPr>
          <w:i/>
          <w:iCs/>
          <w:lang w:val="fr-CH"/>
        </w:rPr>
        <w:t>b)</w:t>
      </w:r>
      <w:r w:rsidRPr="00F73BF7">
        <w:rPr>
          <w:i/>
          <w:iCs/>
          <w:lang w:val="fr-CH"/>
        </w:rPr>
        <w:tab/>
      </w:r>
      <w:r>
        <w:rPr>
          <w:lang w:val="fr-CH"/>
        </w:rPr>
        <w:t>que la Conférence de plénipotentiaires (Antalya, 2006) a invité la CMR</w:t>
      </w:r>
      <w:r>
        <w:rPr>
          <w:lang w:val="fr-CH"/>
        </w:rPr>
        <w:noBreakHyphen/>
        <w:t>07 à examiner la Résolution 86 (Marrakech, 2002) et à rendre compte des résultats de cet examen à la Conférence de plénipotentiaires de 2010,</w:t>
      </w:r>
    </w:p>
    <w:p w:rsidR="00137862" w:rsidRDefault="00137862" w:rsidP="00A17011">
      <w:pPr>
        <w:pStyle w:val="Call"/>
        <w:jc w:val="both"/>
      </w:pPr>
      <w:r>
        <w:t>reconnaissant</w:t>
      </w:r>
    </w:p>
    <w:p w:rsidR="00137862" w:rsidRPr="00161D47" w:rsidRDefault="00137862" w:rsidP="00A17011">
      <w:pPr>
        <w:jc w:val="both"/>
        <w:rPr>
          <w:lang w:val="fr-CH"/>
        </w:rPr>
      </w:pPr>
      <w:r>
        <w:rPr>
          <w:lang w:val="fr-CH"/>
        </w:rPr>
        <w:t xml:space="preserve">que le Comité du Règlement des radiocommunications préconise de transformer le contenu des Règles de procédure en un texte réglementaire, conformément aux numéros </w:t>
      </w:r>
      <w:r w:rsidRPr="008C0EDF">
        <w:rPr>
          <w:b/>
          <w:bCs/>
        </w:rPr>
        <w:t>13.0.1</w:t>
      </w:r>
      <w:r>
        <w:rPr>
          <w:lang w:val="fr-CH"/>
        </w:rPr>
        <w:t xml:space="preserve"> et </w:t>
      </w:r>
      <w:r w:rsidRPr="008C0EDF">
        <w:rPr>
          <w:b/>
          <w:bCs/>
        </w:rPr>
        <w:t>13.0.2</w:t>
      </w:r>
      <w:r>
        <w:rPr>
          <w:lang w:val="fr-CH"/>
        </w:rPr>
        <w:t xml:space="preserve"> de l'Article </w:t>
      </w:r>
      <w:r w:rsidRPr="008C0EDF">
        <w:rPr>
          <w:b/>
          <w:bCs/>
        </w:rPr>
        <w:t>13</w:t>
      </w:r>
      <w:r>
        <w:rPr>
          <w:lang w:val="fr-CH"/>
        </w:rPr>
        <w:t xml:space="preserve"> du Règlement des</w:t>
      </w:r>
      <w:r w:rsidRPr="00CC0F86">
        <w:t xml:space="preserve"> radiocommunications,</w:t>
      </w:r>
    </w:p>
    <w:p w:rsidR="00137862" w:rsidRDefault="00137862" w:rsidP="00A17011">
      <w:pPr>
        <w:pStyle w:val="Call"/>
        <w:jc w:val="both"/>
      </w:pPr>
      <w:r>
        <w:t>notant</w:t>
      </w:r>
    </w:p>
    <w:p w:rsidR="00137862" w:rsidRPr="007721B6" w:rsidRDefault="00137862" w:rsidP="00A17011">
      <w:pPr>
        <w:jc w:val="both"/>
        <w:rPr>
          <w:lang w:val="fr-CH"/>
        </w:rPr>
      </w:pPr>
      <w:r>
        <w:rPr>
          <w:lang w:val="fr-CH"/>
        </w:rPr>
        <w:t>que les administrations voudront peut-être aussi faire des propositions à l'effet de transformer le contenu des Règles de procédure en un texte réglementaire qui pourrait être incorporé dans le Règlement des radiocommunications,</w:t>
      </w:r>
    </w:p>
    <w:p w:rsidR="00137862" w:rsidRDefault="00137862" w:rsidP="00A17011">
      <w:pPr>
        <w:pStyle w:val="Call"/>
        <w:jc w:val="both"/>
      </w:pPr>
      <w:r>
        <w:t>décide d'inviter les futures conférences mondiales des radiocommunications</w:t>
      </w:r>
    </w:p>
    <w:p w:rsidR="00137862" w:rsidRDefault="00137862" w:rsidP="00A17011">
      <w:pPr>
        <w:jc w:val="both"/>
        <w:rPr>
          <w:lang w:val="fr-CH"/>
        </w:rPr>
      </w:pPr>
      <w:r>
        <w:rPr>
          <w:lang w:val="fr-CH"/>
        </w:rPr>
        <w:t>1</w:t>
      </w:r>
      <w:r>
        <w:rPr>
          <w:lang w:val="fr-CH"/>
        </w:rPr>
        <w:tab/>
        <w:t>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137862" w:rsidRDefault="00137862" w:rsidP="00A17011">
      <w:pPr>
        <w:jc w:val="both"/>
        <w:rPr>
          <w:lang w:val="fr-CH"/>
        </w:rPr>
      </w:pPr>
      <w:r>
        <w:rPr>
          <w:lang w:val="fr-CH"/>
        </w:rPr>
        <w:t>2</w:t>
      </w:r>
      <w:r>
        <w:rPr>
          <w:lang w:val="fr-CH"/>
        </w:rPr>
        <w:tab/>
        <w:t>à faire en sorte que ces procédures et les appendices correspondants du Règlement des radiocommunications tiennent compte des technologies les plus récentes, dans la mesure du possible,</w:t>
      </w:r>
    </w:p>
    <w:p w:rsidR="00137862" w:rsidRDefault="00137862" w:rsidP="00A17011">
      <w:pPr>
        <w:pStyle w:val="Call"/>
        <w:jc w:val="both"/>
      </w:pPr>
      <w:r>
        <w:t>invite les administrations</w:t>
      </w:r>
    </w:p>
    <w:p w:rsidR="00A62F46" w:rsidRPr="008F3F34" w:rsidRDefault="00137862" w:rsidP="00A17011">
      <w:pPr>
        <w:jc w:val="both"/>
        <w:rPr>
          <w:rFonts w:asciiTheme="majorBidi" w:hAnsiTheme="majorBidi" w:cstheme="majorBidi"/>
          <w:szCs w:val="24"/>
        </w:rPr>
      </w:pPr>
      <w:r>
        <w:rPr>
          <w:lang w:val="fr-CH"/>
        </w:rPr>
        <w:t xml:space="preserve">à examiner, lors de la préparation de la Conférence de plénipotentiaires de 2010, les mesures qu'il convient de prendre concernant la Résolution </w:t>
      </w:r>
      <w:r w:rsidRPr="00C3168C">
        <w:rPr>
          <w:lang w:val="fr-CH"/>
        </w:rPr>
        <w:t>86 (</w:t>
      </w:r>
      <w:proofErr w:type="spellStart"/>
      <w:r w:rsidRPr="00C3168C">
        <w:rPr>
          <w:lang w:val="fr-CH"/>
        </w:rPr>
        <w:t>Rév</w:t>
      </w:r>
      <w:proofErr w:type="spellEnd"/>
      <w:r w:rsidRPr="00C3168C">
        <w:rPr>
          <w:lang w:val="fr-CH"/>
        </w:rPr>
        <w:t xml:space="preserve">. </w:t>
      </w:r>
      <w:r w:rsidRPr="008F3F34">
        <w:t>Marrakech, 2002)</w:t>
      </w:r>
      <w:r w:rsidR="00A62F46" w:rsidRPr="008F3F34">
        <w:rPr>
          <w:rFonts w:asciiTheme="majorBidi" w:hAnsiTheme="majorBidi" w:cstheme="majorBidi"/>
          <w:szCs w:val="24"/>
        </w:rPr>
        <w:t>.</w:t>
      </w:r>
    </w:p>
    <w:p w:rsidR="00A62F46" w:rsidRPr="008F3F34" w:rsidRDefault="00A62F46" w:rsidP="00A17011">
      <w:pPr>
        <w:jc w:val="both"/>
        <w:rPr>
          <w:rFonts w:asciiTheme="majorBidi" w:hAnsiTheme="majorBidi" w:cstheme="majorBidi"/>
          <w:szCs w:val="24"/>
        </w:rPr>
      </w:pPr>
    </w:p>
    <w:p w:rsidR="00A62F46" w:rsidRPr="008F3F34" w:rsidRDefault="00A62F46" w:rsidP="00A17011">
      <w:pPr>
        <w:overflowPunct/>
        <w:autoSpaceDE/>
        <w:autoSpaceDN/>
        <w:adjustRightInd/>
        <w:spacing w:before="0"/>
        <w:textAlignment w:val="auto"/>
        <w:rPr>
          <w:rFonts w:asciiTheme="majorBidi" w:hAnsiTheme="majorBidi" w:cstheme="majorBidi"/>
          <w:szCs w:val="24"/>
        </w:rPr>
      </w:pPr>
      <w:bookmarkStart w:id="78" w:name="_Toc450048614"/>
      <w:r w:rsidRPr="008F3F34">
        <w:rPr>
          <w:rFonts w:asciiTheme="majorBidi" w:hAnsiTheme="majorBidi" w:cstheme="majorBidi"/>
          <w:szCs w:val="24"/>
        </w:rPr>
        <w:br w:type="page"/>
      </w:r>
    </w:p>
    <w:p w:rsidR="00536000" w:rsidRPr="00536000" w:rsidRDefault="00ED7033" w:rsidP="00803987">
      <w:pPr>
        <w:pStyle w:val="ResNo"/>
        <w:rPr>
          <w:lang w:val="fr-CH"/>
        </w:rPr>
      </w:pPr>
      <w:bookmarkStart w:id="79" w:name="RES_86_Rev_Marrakesh_2002"/>
      <w:bookmarkStart w:id="80" w:name="_Toc164569804"/>
      <w:bookmarkStart w:id="81" w:name="_Toc337471308"/>
      <w:bookmarkStart w:id="82" w:name="_Toc460331686"/>
      <w:bookmarkStart w:id="83" w:name="_Toc463616143"/>
      <w:bookmarkEnd w:id="78"/>
      <w:r>
        <w:lastRenderedPageBreak/>
        <w:t>R</w:t>
      </w:r>
      <w:r w:rsidR="001D5201" w:rsidRPr="001D5201">
        <w:t>É</w:t>
      </w:r>
      <w:r w:rsidR="00536000" w:rsidRPr="004C120E">
        <w:t xml:space="preserve">SOLUTION 86 </w:t>
      </w:r>
      <w:bookmarkEnd w:id="79"/>
      <w:r w:rsidR="00536000" w:rsidRPr="004C120E">
        <w:t>(</w:t>
      </w:r>
      <w:proofErr w:type="spellStart"/>
      <w:r w:rsidRPr="004C120E">
        <w:rPr>
          <w:caps w:val="0"/>
        </w:rPr>
        <w:t>R</w:t>
      </w:r>
      <w:r>
        <w:rPr>
          <w:caps w:val="0"/>
        </w:rPr>
        <w:t>é</w:t>
      </w:r>
      <w:r w:rsidRPr="004C120E">
        <w:rPr>
          <w:caps w:val="0"/>
        </w:rPr>
        <w:t>v</w:t>
      </w:r>
      <w:proofErr w:type="spellEnd"/>
      <w:r w:rsidR="00536000" w:rsidRPr="004C120E">
        <w:t>. Marrake</w:t>
      </w:r>
      <w:r w:rsidR="00803987">
        <w:t>c</w:t>
      </w:r>
      <w:r w:rsidR="00536000" w:rsidRPr="004C120E">
        <w:t>h, 2002)</w:t>
      </w:r>
      <w:bookmarkEnd w:id="80"/>
      <w:bookmarkEnd w:id="81"/>
      <w:bookmarkEnd w:id="82"/>
      <w:bookmarkEnd w:id="83"/>
    </w:p>
    <w:p w:rsidR="006B39ED" w:rsidRDefault="006B39ED" w:rsidP="00A17011">
      <w:pPr>
        <w:pStyle w:val="Restitle"/>
        <w:rPr>
          <w:lang w:val="fr-CH"/>
        </w:rPr>
      </w:pPr>
      <w:bookmarkStart w:id="84" w:name="_Toc463616144"/>
      <w:r>
        <w:rPr>
          <w:lang w:val="fr-CH"/>
        </w:rPr>
        <w:t>Procédures de publication anticipée, de coordination, de notification et d'inscription des assignations de fréquence relatives aux réseaux à satellite</w:t>
      </w:r>
      <w:bookmarkEnd w:id="84"/>
    </w:p>
    <w:p w:rsidR="006B39ED" w:rsidRDefault="006B39ED" w:rsidP="007D60DD">
      <w:pPr>
        <w:pStyle w:val="Normalaftertitle"/>
        <w:jc w:val="both"/>
        <w:rPr>
          <w:lang w:val="fr-CH"/>
        </w:rPr>
      </w:pPr>
      <w:r>
        <w:rPr>
          <w:lang w:val="fr-CH"/>
        </w:rPr>
        <w:t>La Conférence de pléni</w:t>
      </w:r>
      <w:r>
        <w:rPr>
          <w:lang w:val="fr-CH"/>
        </w:rPr>
        <w:softHyphen/>
        <w:t>po</w:t>
      </w:r>
      <w:r>
        <w:rPr>
          <w:lang w:val="fr-CH"/>
        </w:rPr>
        <w:softHyphen/>
        <w:t>ten</w:t>
      </w:r>
      <w:r>
        <w:rPr>
          <w:lang w:val="fr-CH"/>
        </w:rPr>
        <w:softHyphen/>
        <w:t>tiaires de l'Union internationale des télécommuni</w:t>
      </w:r>
      <w:r w:rsidR="007D60DD">
        <w:rPr>
          <w:lang w:val="fr-CH"/>
        </w:rPr>
        <w:t>ca</w:t>
      </w:r>
      <w:r>
        <w:rPr>
          <w:lang w:val="fr-CH"/>
        </w:rPr>
        <w:t>tions (Marrakech, 2002),</w:t>
      </w:r>
    </w:p>
    <w:p w:rsidR="006B39ED" w:rsidRDefault="006B39ED" w:rsidP="00A17011">
      <w:pPr>
        <w:pStyle w:val="Call"/>
        <w:jc w:val="both"/>
        <w:rPr>
          <w:lang w:val="fr-CH"/>
        </w:rPr>
      </w:pPr>
      <w:r>
        <w:rPr>
          <w:lang w:val="fr-CH"/>
        </w:rPr>
        <w:t>considérant</w:t>
      </w:r>
    </w:p>
    <w:p w:rsidR="006B39ED" w:rsidRDefault="006B39ED" w:rsidP="007D60DD">
      <w:pPr>
        <w:jc w:val="both"/>
        <w:rPr>
          <w:lang w:val="fr-CH"/>
        </w:rPr>
      </w:pPr>
      <w:r>
        <w:rPr>
          <w:i/>
          <w:iCs/>
          <w:lang w:val="fr-CH"/>
        </w:rPr>
        <w:t>a)</w:t>
      </w:r>
      <w:r>
        <w:rPr>
          <w:lang w:val="fr-CH"/>
        </w:rPr>
        <w:tab/>
        <w:t>que le Groupe volontaire d'experts créé afin d'étudier l'attribution et l'utilisation améliorée du spectre des fréquences radioélectriques et la simplification du Règlement des radiocom</w:t>
      </w:r>
      <w:r w:rsidR="007D60DD">
        <w:rPr>
          <w:lang w:val="fr-CH"/>
        </w:rPr>
        <w:t>munica</w:t>
      </w:r>
      <w:r>
        <w:rPr>
          <w:lang w:val="fr-CH"/>
        </w:rPr>
        <w:t>tions a proposé d'apporter des modifications au Règlement des radiocommunications, y compris aux procédures de coordination et de notification des réseaux à satellite, en vue de simplifier les procédures;</w:t>
      </w:r>
    </w:p>
    <w:p w:rsidR="006B39ED" w:rsidRDefault="006B39ED" w:rsidP="00A17011">
      <w:pPr>
        <w:jc w:val="both"/>
        <w:rPr>
          <w:lang w:val="fr-CH"/>
        </w:rPr>
      </w:pPr>
      <w:r>
        <w:rPr>
          <w:i/>
          <w:iCs/>
          <w:lang w:val="fr-CH"/>
        </w:rPr>
        <w:t>b)</w:t>
      </w:r>
      <w:r>
        <w:rPr>
          <w:lang w:val="fr-CH"/>
        </w:rPr>
        <w:tab/>
        <w:t>que, par sa Résolution 18 (Kyoto</w:t>
      </w:r>
      <w:r w:rsidR="007D60DD">
        <w:rPr>
          <w:lang w:val="fr-CH"/>
        </w:rPr>
        <w:t>, 1994), la Conférence de plénipoten</w:t>
      </w:r>
      <w:r>
        <w:rPr>
          <w:lang w:val="fr-CH"/>
        </w:rPr>
        <w:t>tiaires a chargé l</w:t>
      </w:r>
      <w:r w:rsidR="007D60DD">
        <w:rPr>
          <w:lang w:val="fr-CH"/>
        </w:rPr>
        <w:t>e Directeur du Bureau des radiocommunica</w:t>
      </w:r>
      <w:r>
        <w:rPr>
          <w:lang w:val="fr-CH"/>
        </w:rPr>
        <w:t>tions (BR) d'entreprendre l'examen de certaines questions relatives à la coordination internationale des réseaux à satellite;</w:t>
      </w:r>
    </w:p>
    <w:p w:rsidR="006B39ED" w:rsidRDefault="006B39ED" w:rsidP="007D60DD">
      <w:pPr>
        <w:jc w:val="both"/>
        <w:rPr>
          <w:lang w:val="fr-CH"/>
        </w:rPr>
      </w:pPr>
      <w:r>
        <w:rPr>
          <w:i/>
          <w:iCs/>
          <w:lang w:val="fr-CH"/>
        </w:rPr>
        <w:t>c)</w:t>
      </w:r>
      <w:r>
        <w:rPr>
          <w:lang w:val="fr-CH"/>
        </w:rPr>
        <w:tab/>
        <w:t>que l</w:t>
      </w:r>
      <w:r w:rsidR="007D60DD">
        <w:rPr>
          <w:lang w:val="fr-CH"/>
        </w:rPr>
        <w:t>a Conférence mondiale des radiocom</w:t>
      </w:r>
      <w:r>
        <w:rPr>
          <w:lang w:val="fr-CH"/>
        </w:rPr>
        <w:t>mu</w:t>
      </w:r>
      <w:r w:rsidR="007D60DD">
        <w:rPr>
          <w:lang w:val="fr-CH"/>
        </w:rPr>
        <w:t>nica</w:t>
      </w:r>
      <w:r>
        <w:rPr>
          <w:lang w:val="fr-CH"/>
        </w:rPr>
        <w:t>tions (Genève, 1997) a adopté des modif</w:t>
      </w:r>
      <w:r w:rsidR="007D60DD">
        <w:rPr>
          <w:lang w:val="fr-CH"/>
        </w:rPr>
        <w:t>ications du Règlement des radio</w:t>
      </w:r>
      <w:r>
        <w:rPr>
          <w:lang w:val="fr-CH"/>
        </w:rPr>
        <w:t>commu</w:t>
      </w:r>
      <w:r w:rsidR="007D60DD">
        <w:rPr>
          <w:lang w:val="fr-CH"/>
        </w:rPr>
        <w:t>nica</w:t>
      </w:r>
      <w:r>
        <w:rPr>
          <w:lang w:val="fr-CH"/>
        </w:rPr>
        <w:t>tions qui sont entrées en vigueur le 1</w:t>
      </w:r>
      <w:r>
        <w:rPr>
          <w:vertAlign w:val="superscript"/>
          <w:lang w:val="fr-CH"/>
        </w:rPr>
        <w:t>er</w:t>
      </w:r>
      <w:r>
        <w:rPr>
          <w:lang w:val="fr-CH"/>
        </w:rPr>
        <w:t> janvier 1999;</w:t>
      </w:r>
    </w:p>
    <w:p w:rsidR="006B39ED" w:rsidRDefault="006B39ED" w:rsidP="005131A3">
      <w:pPr>
        <w:jc w:val="both"/>
        <w:rPr>
          <w:lang w:val="fr-CH"/>
        </w:rPr>
      </w:pPr>
      <w:r>
        <w:rPr>
          <w:i/>
          <w:iCs/>
          <w:lang w:val="fr-CH"/>
        </w:rPr>
        <w:t>d)</w:t>
      </w:r>
      <w:r>
        <w:rPr>
          <w:lang w:val="fr-CH"/>
        </w:rPr>
        <w:tab/>
        <w:t>que l'UIT s'appuie sur les procédures de coordination et de notification des réseaux à satellite pour jouer son rôle et s'acquitter de son mandat dans le domaine des télé</w:t>
      </w:r>
      <w:r w:rsidR="005131A3">
        <w:rPr>
          <w:lang w:val="fr-CH"/>
        </w:rPr>
        <w:t>com</w:t>
      </w:r>
      <w:r>
        <w:rPr>
          <w:lang w:val="fr-CH"/>
        </w:rPr>
        <w:t>munications spatiales;</w:t>
      </w:r>
    </w:p>
    <w:p w:rsidR="006B39ED" w:rsidRDefault="006B39ED" w:rsidP="00A17011">
      <w:pPr>
        <w:jc w:val="both"/>
        <w:rPr>
          <w:lang w:val="fr-CH"/>
        </w:rPr>
      </w:pPr>
      <w:r>
        <w:rPr>
          <w:i/>
          <w:iCs/>
          <w:lang w:val="fr-CH"/>
        </w:rPr>
        <w:t>e)</w:t>
      </w:r>
      <w:r>
        <w:rPr>
          <w:i/>
          <w:iCs/>
          <w:lang w:val="fr-CH"/>
        </w:rPr>
        <w:tab/>
      </w:r>
      <w:r>
        <w:rPr>
          <w:lang w:val="fr-CH"/>
        </w:rPr>
        <w:t>que le champ d'application de la présente résolution a déjà été étendu au-delà des objectifs visés par celle-ci;</w:t>
      </w:r>
    </w:p>
    <w:p w:rsidR="006B39ED" w:rsidRDefault="006B39ED" w:rsidP="00A17011">
      <w:pPr>
        <w:jc w:val="both"/>
        <w:rPr>
          <w:lang w:val="fr-CH"/>
        </w:rPr>
      </w:pPr>
      <w:r>
        <w:rPr>
          <w:i/>
          <w:iCs/>
          <w:lang w:val="fr-CH"/>
        </w:rPr>
        <w:t>f)</w:t>
      </w:r>
      <w:r>
        <w:rPr>
          <w:lang w:val="fr-CH"/>
        </w:rPr>
        <w:tab/>
        <w:t>qu'il n'existe pas de critères sur la façon d'appliquer la présente résolution pour atteindre comme il convient les objectifs qui y sont énoncés,</w:t>
      </w:r>
    </w:p>
    <w:p w:rsidR="006B39ED" w:rsidRDefault="006B39ED" w:rsidP="00A17011">
      <w:pPr>
        <w:pStyle w:val="Call"/>
        <w:jc w:val="both"/>
        <w:rPr>
          <w:lang w:val="fr-CH"/>
        </w:rPr>
      </w:pPr>
      <w:r>
        <w:rPr>
          <w:lang w:val="fr-CH"/>
        </w:rPr>
        <w:t>considérant en outre</w:t>
      </w:r>
    </w:p>
    <w:p w:rsidR="006B39ED" w:rsidRDefault="006B39ED" w:rsidP="00A17011">
      <w:pPr>
        <w:jc w:val="both"/>
        <w:rPr>
          <w:lang w:val="fr-CH"/>
        </w:rPr>
      </w:pPr>
      <w:r>
        <w:rPr>
          <w:lang w:val="fr-CH"/>
        </w:rPr>
        <w:t>qu'il est important de faire en sorte que ces procédures soient aussi à jour et aussi simples que possible pour réduire les dépenses à la charge des administrations et du BR,</w:t>
      </w:r>
    </w:p>
    <w:p w:rsidR="006B39ED" w:rsidRDefault="006B39ED" w:rsidP="00A17011">
      <w:pPr>
        <w:pStyle w:val="Call"/>
        <w:jc w:val="both"/>
        <w:rPr>
          <w:lang w:val="fr-CH"/>
        </w:rPr>
      </w:pPr>
      <w:r>
        <w:rPr>
          <w:lang w:val="fr-CH"/>
        </w:rPr>
        <w:t>notant</w:t>
      </w:r>
    </w:p>
    <w:p w:rsidR="006B39ED" w:rsidRDefault="006B39ED" w:rsidP="00A17011">
      <w:pPr>
        <w:jc w:val="both"/>
        <w:rPr>
          <w:lang w:val="fr-CH"/>
        </w:rPr>
      </w:pPr>
      <w:r>
        <w:rPr>
          <w:i/>
          <w:iCs/>
          <w:lang w:val="fr-CH"/>
        </w:rPr>
        <w:t>a)</w:t>
      </w:r>
      <w:r>
        <w:rPr>
          <w:lang w:val="fr-CH"/>
        </w:rPr>
        <w:tab/>
        <w:t>que toutes les questions relatives à la procédure administrative du principe de diligence due font l'objet de la Résolution 85 (Minneapolis, 1998) de la Conférence de pléni</w:t>
      </w:r>
      <w:r>
        <w:rPr>
          <w:lang w:val="fr-CH"/>
        </w:rPr>
        <w:softHyphen/>
        <w:t>po</w:t>
      </w:r>
      <w:r>
        <w:rPr>
          <w:lang w:val="fr-CH"/>
        </w:rPr>
        <w:softHyphen/>
        <w:t>ten</w:t>
      </w:r>
      <w:r>
        <w:rPr>
          <w:lang w:val="fr-CH"/>
        </w:rPr>
        <w:softHyphen/>
        <w:t>tiaires et de la Résolution 49 (</w:t>
      </w:r>
      <w:proofErr w:type="spellStart"/>
      <w:r>
        <w:rPr>
          <w:lang w:val="fr-CH"/>
        </w:rPr>
        <w:t>Rév</w:t>
      </w:r>
      <w:proofErr w:type="spellEnd"/>
      <w:r>
        <w:rPr>
          <w:lang w:val="fr-CH"/>
        </w:rPr>
        <w:t>. CMR-2000);</w:t>
      </w:r>
    </w:p>
    <w:p w:rsidR="006B39ED" w:rsidRDefault="006B39ED" w:rsidP="00A17011">
      <w:pPr>
        <w:jc w:val="both"/>
        <w:rPr>
          <w:lang w:val="fr-CH"/>
        </w:rPr>
      </w:pPr>
      <w:r>
        <w:rPr>
          <w:i/>
          <w:iCs/>
          <w:lang w:val="fr-CH"/>
        </w:rPr>
        <w:t>b)</w:t>
      </w:r>
      <w:r>
        <w:rPr>
          <w:lang w:val="fr-CH"/>
        </w:rPr>
        <w:tab/>
        <w:t>la Résolution 80 (</w:t>
      </w:r>
      <w:proofErr w:type="spellStart"/>
      <w:r>
        <w:rPr>
          <w:lang w:val="fr-CH"/>
        </w:rPr>
        <w:t>Rév</w:t>
      </w:r>
      <w:proofErr w:type="spellEnd"/>
      <w:r>
        <w:rPr>
          <w:lang w:val="fr-CH"/>
        </w:rPr>
        <w:t>. CMR-2000) relative à la procédure de diligence due dans l'application des principes énoncés dans la Constitution de l'UIT,</w:t>
      </w:r>
    </w:p>
    <w:p w:rsidR="006B39ED" w:rsidRDefault="006B39ED" w:rsidP="005131A3">
      <w:pPr>
        <w:pStyle w:val="Call"/>
        <w:jc w:val="both"/>
        <w:rPr>
          <w:lang w:val="fr-CH"/>
        </w:rPr>
      </w:pPr>
      <w:r>
        <w:rPr>
          <w:lang w:val="fr-CH"/>
        </w:rPr>
        <w:t>décide de demander à la Conférence mondiale des radiocommunications de 2003 et aux conférences mondiales des radiocommunications suivantes</w:t>
      </w:r>
    </w:p>
    <w:p w:rsidR="006B39ED" w:rsidRDefault="006B39ED" w:rsidP="00A17011">
      <w:pPr>
        <w:jc w:val="both"/>
        <w:rPr>
          <w:lang w:val="fr-CH"/>
        </w:rPr>
      </w:pPr>
      <w:r>
        <w:rPr>
          <w:lang w:val="fr-CH"/>
        </w:rPr>
        <w:t>d'examiner et de mettre à jour les procédures de publication anticipée, de coordination, de notification et d'inscription des assignations de fréquence relatives aux réseaux à satellite, y compris les caractéristiques techniques associées, ainsi que les appendices perti</w:t>
      </w:r>
      <w:r w:rsidR="007D60DD">
        <w:rPr>
          <w:lang w:val="fr-CH"/>
        </w:rPr>
        <w:t>nents du Règlement des radiocommunica</w:t>
      </w:r>
      <w:r>
        <w:rPr>
          <w:lang w:val="fr-CH"/>
        </w:rPr>
        <w:t>tions, afin:</w:t>
      </w:r>
    </w:p>
    <w:p w:rsidR="006B39ED" w:rsidRDefault="006B39ED" w:rsidP="00A17011">
      <w:pPr>
        <w:pStyle w:val="enumlev1"/>
        <w:jc w:val="both"/>
        <w:rPr>
          <w:lang w:val="fr-CH"/>
        </w:rPr>
      </w:pPr>
      <w:r>
        <w:rPr>
          <w:lang w:val="fr-CH"/>
        </w:rPr>
        <w:t>i)</w:t>
      </w:r>
      <w:r>
        <w:rPr>
          <w:lang w:val="fr-CH"/>
        </w:rPr>
        <w:tab/>
        <w:t xml:space="preserve">de faciliter, conformément à l'article 44 de la Constitution de l'UIT, l'utilisation rationnelle, efficace et économique des fréquences radioélectriques et des orbites </w:t>
      </w:r>
      <w:r>
        <w:rPr>
          <w:lang w:val="fr-CH"/>
        </w:rPr>
        <w:lastRenderedPageBreak/>
        <w:t>associées, y compris de l'orbite des satellites géostationnaires, conformément aux disp</w:t>
      </w:r>
      <w:r w:rsidR="007D60DD">
        <w:rPr>
          <w:lang w:val="fr-CH"/>
        </w:rPr>
        <w:t>ositions du Règlement des radiocommunica</w:t>
      </w:r>
      <w:r>
        <w:rPr>
          <w:lang w:val="fr-CH"/>
        </w:rPr>
        <w:t>tions, afin de permettre un accès équitable des pays ou groupes de pays à ces orbites et à ces fréquences, compte tenu des besoins spéciaux des pays en développement et de la situation géographique de certains pays;</w:t>
      </w:r>
    </w:p>
    <w:p w:rsidR="006B39ED" w:rsidRDefault="006B39ED" w:rsidP="00A17011">
      <w:pPr>
        <w:pStyle w:val="enumlev1"/>
        <w:jc w:val="both"/>
        <w:rPr>
          <w:lang w:val="fr-CH"/>
        </w:rPr>
      </w:pPr>
      <w:r>
        <w:rPr>
          <w:lang w:val="fr-CH"/>
        </w:rPr>
        <w:t>ii)</w:t>
      </w:r>
      <w:r>
        <w:rPr>
          <w:lang w:val="fr-CH"/>
        </w:rPr>
        <w:tab/>
        <w:t>de veiller à ce que ces procédures, caractéristiques et appendices tiennent compte des technologies les plus récentes;</w:t>
      </w:r>
    </w:p>
    <w:p w:rsidR="006B39ED" w:rsidRDefault="006B39ED" w:rsidP="00A17011">
      <w:pPr>
        <w:pStyle w:val="enumlev1"/>
        <w:jc w:val="both"/>
        <w:rPr>
          <w:lang w:val="fr-CH"/>
        </w:rPr>
      </w:pPr>
      <w:r>
        <w:rPr>
          <w:lang w:val="fr-CH"/>
        </w:rPr>
        <w:t>iii)</w:t>
      </w:r>
      <w:r>
        <w:rPr>
          <w:lang w:val="fr-CH"/>
        </w:rPr>
        <w:tab/>
        <w:t>de procéder à des simplifications et à des économies pour les administrations et le BR,</w:t>
      </w:r>
    </w:p>
    <w:p w:rsidR="006B39ED" w:rsidRDefault="006B39ED" w:rsidP="005131A3">
      <w:pPr>
        <w:pStyle w:val="Call"/>
        <w:jc w:val="both"/>
        <w:rPr>
          <w:lang w:val="fr-CH"/>
        </w:rPr>
      </w:pPr>
      <w:r>
        <w:rPr>
          <w:lang w:val="fr-CH"/>
        </w:rPr>
        <w:t>décide en outre de demander à la Conférence mondiale des radiocommunications de 2003</w:t>
      </w:r>
    </w:p>
    <w:p w:rsidR="007C1B97" w:rsidRPr="006B39ED" w:rsidRDefault="006B39ED" w:rsidP="00A17011">
      <w:pPr>
        <w:jc w:val="both"/>
        <w:rPr>
          <w:rFonts w:asciiTheme="majorBidi" w:hAnsiTheme="majorBidi" w:cstheme="majorBidi"/>
          <w:color w:val="000000"/>
          <w:szCs w:val="24"/>
        </w:rPr>
      </w:pPr>
      <w:r>
        <w:rPr>
          <w:lang w:val="fr-CH"/>
        </w:rPr>
        <w:t>de définir le champ d'application de la présente résolution ainsi que les critères à utiliser pour sa mise en œuvre.</w:t>
      </w:r>
    </w:p>
    <w:p w:rsidR="007C1B97" w:rsidRPr="006B39ED" w:rsidRDefault="007C1B97" w:rsidP="00A17011">
      <w:pPr>
        <w:rPr>
          <w:rFonts w:asciiTheme="majorBidi" w:hAnsiTheme="majorBidi" w:cstheme="majorBidi"/>
          <w:color w:val="000000"/>
          <w:szCs w:val="24"/>
        </w:rPr>
      </w:pPr>
    </w:p>
    <w:p w:rsidR="007C1B97" w:rsidRPr="001331D5" w:rsidRDefault="007C1B97" w:rsidP="00803987">
      <w:pPr>
        <w:rPr>
          <w:rFonts w:asciiTheme="majorBidi" w:hAnsiTheme="majorBidi" w:cstheme="majorBidi"/>
          <w:color w:val="000000"/>
          <w:szCs w:val="24"/>
        </w:rPr>
      </w:pPr>
      <w:r w:rsidRPr="001331D5">
        <w:rPr>
          <w:rFonts w:asciiTheme="majorBidi" w:hAnsiTheme="majorBidi" w:cstheme="majorBidi"/>
          <w:color w:val="000000"/>
          <w:szCs w:val="24"/>
        </w:rPr>
        <w:t>(Minneapolis, 1998) – (</w:t>
      </w:r>
      <w:proofErr w:type="spellStart"/>
      <w:r w:rsidR="00E25FB6">
        <w:rPr>
          <w:rFonts w:asciiTheme="majorBidi" w:hAnsiTheme="majorBidi" w:cstheme="majorBidi"/>
          <w:color w:val="000000"/>
          <w:szCs w:val="24"/>
        </w:rPr>
        <w:t>Rév</w:t>
      </w:r>
      <w:proofErr w:type="spellEnd"/>
      <w:r w:rsidRPr="001331D5">
        <w:rPr>
          <w:rFonts w:asciiTheme="majorBidi" w:hAnsiTheme="majorBidi" w:cstheme="majorBidi"/>
          <w:color w:val="000000"/>
          <w:szCs w:val="24"/>
        </w:rPr>
        <w:t>. Marrake</w:t>
      </w:r>
      <w:r w:rsidR="00803987">
        <w:rPr>
          <w:rFonts w:asciiTheme="majorBidi" w:hAnsiTheme="majorBidi" w:cstheme="majorBidi"/>
          <w:color w:val="000000"/>
          <w:szCs w:val="24"/>
        </w:rPr>
        <w:t>c</w:t>
      </w:r>
      <w:r w:rsidRPr="001331D5">
        <w:rPr>
          <w:rFonts w:asciiTheme="majorBidi" w:hAnsiTheme="majorBidi" w:cstheme="majorBidi"/>
          <w:color w:val="000000"/>
          <w:szCs w:val="24"/>
        </w:rPr>
        <w:t>h, 2002)</w:t>
      </w:r>
    </w:p>
    <w:p w:rsidR="003E724F" w:rsidRDefault="003E724F" w:rsidP="00A17011">
      <w:pPr>
        <w:rPr>
          <w:rFonts w:asciiTheme="majorBidi" w:hAnsiTheme="majorBidi" w:cstheme="majorBidi"/>
          <w:color w:val="000000"/>
          <w:szCs w:val="24"/>
        </w:rPr>
      </w:pPr>
    </w:p>
    <w:p w:rsidR="00536000" w:rsidRPr="001331D5" w:rsidRDefault="00536000" w:rsidP="00A17011">
      <w:pPr>
        <w:rPr>
          <w:rFonts w:asciiTheme="majorBidi" w:hAnsiTheme="majorBidi" w:cstheme="majorBidi"/>
          <w:color w:val="000000"/>
          <w:szCs w:val="24"/>
        </w:rPr>
      </w:pPr>
    </w:p>
    <w:p w:rsidR="0017669D" w:rsidRDefault="007C1B97" w:rsidP="00A17011">
      <w:pPr>
        <w:pStyle w:val="ResNo"/>
      </w:pPr>
      <w:r w:rsidRPr="0017669D">
        <w:rPr>
          <w:rFonts w:asciiTheme="majorBidi" w:hAnsiTheme="majorBidi" w:cstheme="majorBidi"/>
          <w:sz w:val="24"/>
          <w:szCs w:val="24"/>
        </w:rPr>
        <w:br w:type="page"/>
      </w:r>
    </w:p>
    <w:p w:rsidR="00536000" w:rsidRPr="00536000" w:rsidRDefault="00ED7033" w:rsidP="00A17011">
      <w:pPr>
        <w:pStyle w:val="ResNo"/>
      </w:pPr>
      <w:bookmarkStart w:id="85" w:name="RES_95"/>
      <w:bookmarkStart w:id="86" w:name="_Toc337471310"/>
      <w:bookmarkStart w:id="87" w:name="_Toc460331688"/>
      <w:bookmarkStart w:id="88" w:name="_Toc463616145"/>
      <w:r>
        <w:lastRenderedPageBreak/>
        <w:t>R</w:t>
      </w:r>
      <w:r w:rsidR="001D5201" w:rsidRPr="001D5201">
        <w:t>É</w:t>
      </w:r>
      <w:r w:rsidR="00536000" w:rsidRPr="00536000">
        <w:t xml:space="preserve">SOLUTION </w:t>
      </w:r>
      <w:r w:rsidR="00536000" w:rsidRPr="00536000">
        <w:rPr>
          <w:rStyle w:val="href"/>
        </w:rPr>
        <w:t>95</w:t>
      </w:r>
      <w:r w:rsidR="00536000" w:rsidRPr="00536000">
        <w:t xml:space="preserve"> </w:t>
      </w:r>
      <w:bookmarkEnd w:id="85"/>
      <w:r>
        <w:t>(</w:t>
      </w:r>
      <w:r>
        <w:rPr>
          <w:caps w:val="0"/>
        </w:rPr>
        <w:t>Ré</w:t>
      </w:r>
      <w:r w:rsidRPr="00536000">
        <w:rPr>
          <w:caps w:val="0"/>
        </w:rPr>
        <w:t>v</w:t>
      </w:r>
      <w:r w:rsidR="00536000" w:rsidRPr="00536000">
        <w:t>.</w:t>
      </w:r>
      <w:r w:rsidR="00F8363E" w:rsidRPr="00A20F5A">
        <w:t>C</w:t>
      </w:r>
      <w:r w:rsidR="00F8363E">
        <w:t>MR</w:t>
      </w:r>
      <w:r w:rsidR="00536000" w:rsidRPr="00536000">
        <w:t>-07)</w:t>
      </w:r>
      <w:bookmarkEnd w:id="86"/>
      <w:bookmarkEnd w:id="87"/>
      <w:bookmarkEnd w:id="88"/>
    </w:p>
    <w:p w:rsidR="0017669D" w:rsidRPr="00654ABC" w:rsidRDefault="0017669D" w:rsidP="00A17011">
      <w:pPr>
        <w:pStyle w:val="Restitle"/>
      </w:pPr>
      <w:bookmarkStart w:id="89" w:name="_Toc450208590"/>
      <w:bookmarkStart w:id="90" w:name="_Toc463616146"/>
      <w:r w:rsidRPr="00654ABC">
        <w:t xml:space="preserve">Examen général des Résolutions et Recommandations des conférences </w:t>
      </w:r>
      <w:r w:rsidRPr="00654ABC">
        <w:br/>
        <w:t xml:space="preserve">administratives mondiales des radiocommunications et des </w:t>
      </w:r>
      <w:r w:rsidRPr="00654ABC">
        <w:br/>
        <w:t>conférences mondiales des radiocommunications</w:t>
      </w:r>
      <w:bookmarkEnd w:id="89"/>
      <w:bookmarkEnd w:id="90"/>
    </w:p>
    <w:p w:rsidR="0017669D" w:rsidRPr="006A5909" w:rsidRDefault="0017669D" w:rsidP="00A17011">
      <w:pPr>
        <w:pStyle w:val="Normalaftertitle"/>
        <w:rPr>
          <w:lang w:val="fr-CH"/>
        </w:rPr>
      </w:pPr>
      <w:r w:rsidRPr="006A5909">
        <w:rPr>
          <w:lang w:val="fr-CH"/>
        </w:rPr>
        <w:t>La Conférence mondiale des radiocommunications (Genève, 2007),</w:t>
      </w:r>
    </w:p>
    <w:p w:rsidR="0017669D" w:rsidRPr="00734A5F" w:rsidRDefault="0017669D" w:rsidP="00A17011">
      <w:pPr>
        <w:pStyle w:val="Call"/>
      </w:pPr>
      <w:r w:rsidRPr="00734A5F">
        <w:t>considérant</w:t>
      </w:r>
    </w:p>
    <w:p w:rsidR="0017669D" w:rsidRPr="00734A5F" w:rsidRDefault="0017669D" w:rsidP="00A17011">
      <w:pPr>
        <w:jc w:val="both"/>
      </w:pPr>
      <w:r w:rsidRPr="00F73BF7">
        <w:rPr>
          <w:i/>
          <w:iCs/>
        </w:rPr>
        <w:t>a)</w:t>
      </w:r>
      <w:r w:rsidRPr="00734A5F">
        <w:tab/>
        <w:t xml:space="preserve">qu'il importe de réexaminer constamment, afin de les actualiser, les Résolutions et Recommandations des conférences administratives mondiales des radiocommunications et des conférences mondiales des radiocommunications passées; </w:t>
      </w:r>
    </w:p>
    <w:p w:rsidR="0017669D" w:rsidRPr="00734A5F" w:rsidRDefault="0017669D" w:rsidP="00A17011">
      <w:pPr>
        <w:jc w:val="both"/>
      </w:pPr>
      <w:r w:rsidRPr="00F73BF7">
        <w:rPr>
          <w:i/>
          <w:iCs/>
        </w:rPr>
        <w:t>b)</w:t>
      </w:r>
      <w:r w:rsidRPr="00734A5F">
        <w:tab/>
        <w:t>que les rapports du Directeur du Bureau des radiocommunications soumis aux précédentes conférences ont été des bases utiles pour l'examen général des Résolutions et Recommandations des conférences passées;</w:t>
      </w:r>
    </w:p>
    <w:p w:rsidR="0017669D" w:rsidRPr="00734A5F" w:rsidRDefault="0017669D" w:rsidP="00A17011">
      <w:pPr>
        <w:jc w:val="both"/>
      </w:pPr>
      <w:r w:rsidRPr="00734A5F">
        <w:rPr>
          <w:i/>
          <w:iCs/>
        </w:rPr>
        <w:t>c)</w:t>
      </w:r>
      <w:r w:rsidRPr="00734A5F">
        <w:rPr>
          <w:i/>
          <w:iCs/>
        </w:rPr>
        <w:tab/>
      </w:r>
      <w:r w:rsidRPr="00734A5F">
        <w:t>qu'il est nécessaire d'élaborer certains principes et certaines lignes directrices pour permettre aux futures conférences de traiter les Résolutions et Recommandations des conférences précédentes qui ne se rapportent pas à l'ordre du jour de la Conférence,</w:t>
      </w:r>
    </w:p>
    <w:p w:rsidR="0017669D" w:rsidRPr="00734A5F" w:rsidRDefault="0017669D" w:rsidP="00A17011">
      <w:pPr>
        <w:pStyle w:val="Call"/>
        <w:jc w:val="both"/>
      </w:pPr>
      <w:r w:rsidRPr="00734A5F">
        <w:t>décide d'inviter les futures conférences mondiales des radiocommunications compétentes</w:t>
      </w:r>
    </w:p>
    <w:p w:rsidR="0017669D" w:rsidRPr="00734A5F" w:rsidRDefault="0017669D" w:rsidP="00A17011">
      <w:pPr>
        <w:jc w:val="both"/>
      </w:pPr>
      <w:r w:rsidRPr="00734A5F">
        <w:t>1</w:t>
      </w:r>
      <w:r w:rsidRPr="00734A5F">
        <w:tab/>
        <w:t>à examiner les Résolutions et Recommandations des conférences précédentes qui se rapportent à l'ordre du jour de la conférence en vue, éventuellement, de les réviser, de les remplacer ou de les supprimer, et à prendre les mesures qui s'imposent;</w:t>
      </w:r>
    </w:p>
    <w:p w:rsidR="0017669D" w:rsidRPr="00734A5F" w:rsidRDefault="0017669D" w:rsidP="00A17011">
      <w:pPr>
        <w:jc w:val="both"/>
      </w:pPr>
      <w:r w:rsidRPr="00734A5F">
        <w:t>2</w:t>
      </w:r>
      <w:r w:rsidRPr="00734A5F">
        <w:tab/>
        <w:t>à examiner les Résolutions et Recommandations des conférences précédentes qui ne se rapportent à aucun point de l'ordre du jour de la Conférence, en vue:</w:t>
      </w:r>
    </w:p>
    <w:p w:rsidR="0017669D" w:rsidRPr="00734A5F" w:rsidRDefault="0017669D" w:rsidP="00A17011">
      <w:pPr>
        <w:pStyle w:val="enumlev1"/>
        <w:jc w:val="both"/>
      </w:pPr>
      <w:r w:rsidRPr="00734A5F">
        <w:t>–</w:t>
      </w:r>
      <w:r w:rsidRPr="00734A5F">
        <w:tab/>
        <w:t>de supprimer celles qui ont atteint le but visé ou qui ne sont plus nécessaires;</w:t>
      </w:r>
    </w:p>
    <w:p w:rsidR="0017669D" w:rsidRPr="00734A5F" w:rsidRDefault="0017669D" w:rsidP="00A17011">
      <w:pPr>
        <w:pStyle w:val="enumlev1"/>
        <w:jc w:val="both"/>
      </w:pPr>
      <w:r w:rsidRPr="00734A5F">
        <w:t>–</w:t>
      </w:r>
      <w:r w:rsidRPr="00734A5F">
        <w:tab/>
        <w:t>d'évaluer la nécessité de maintenir des Résolutions ou des Recommandations, ou des parties de celles-ci, demandant des études de l'UIT</w:t>
      </w:r>
      <w:r w:rsidRPr="00734A5F">
        <w:noBreakHyphen/>
        <w:t>R qui n'ont pas avancé au cours des deux dernières périodes entre les conférences;</w:t>
      </w:r>
    </w:p>
    <w:p w:rsidR="0017669D" w:rsidRPr="00734A5F" w:rsidRDefault="0017669D" w:rsidP="00A17011">
      <w:pPr>
        <w:pStyle w:val="enumlev1"/>
        <w:jc w:val="both"/>
      </w:pPr>
      <w:r w:rsidRPr="00734A5F">
        <w:t>–</w:t>
      </w:r>
      <w:r w:rsidRPr="00734A5F">
        <w:tab/>
        <w:t>de mettre à jour et de modifier les Résolutions et Recommandations, ou les parties d'entre elles qui sont devenues obsolètes, en vue de corriger des omissions, des incohérences, des ambiguïtés ou des erreurs de forme manifestes et de procéder aux alignements nécessaires;</w:t>
      </w:r>
    </w:p>
    <w:p w:rsidR="0017669D" w:rsidRPr="00734A5F" w:rsidRDefault="0017669D" w:rsidP="00A17011">
      <w:pPr>
        <w:jc w:val="both"/>
      </w:pPr>
      <w:r w:rsidRPr="00734A5F">
        <w:t>3</w:t>
      </w:r>
      <w:r w:rsidRPr="00734A5F">
        <w:tab/>
        <w:t>à déterminer au début de la Conférence quelle est la commission de la Conférence principalement responsable de l'examen de chacune des Résolutions et Recommandations visées aux points</w:t>
      </w:r>
      <w:r>
        <w:t> </w:t>
      </w:r>
      <w:r w:rsidRPr="00734A5F">
        <w:t xml:space="preserve">1 et 2 du </w:t>
      </w:r>
      <w:r w:rsidRPr="00734A5F">
        <w:rPr>
          <w:i/>
          <w:iCs/>
        </w:rPr>
        <w:t>décide</w:t>
      </w:r>
      <w:r w:rsidRPr="00734A5F">
        <w:t xml:space="preserve"> ci</w:t>
      </w:r>
      <w:r w:rsidRPr="00734A5F">
        <w:noBreakHyphen/>
        <w:t>dessus,</w:t>
      </w:r>
    </w:p>
    <w:p w:rsidR="0017669D" w:rsidRPr="00734A5F" w:rsidRDefault="0017669D" w:rsidP="00A17011">
      <w:pPr>
        <w:pStyle w:val="Call"/>
        <w:jc w:val="both"/>
      </w:pPr>
      <w:r w:rsidRPr="00734A5F">
        <w:t>charge le Directeur du Bureau des radiocommunications</w:t>
      </w:r>
    </w:p>
    <w:p w:rsidR="0017669D" w:rsidRPr="00734A5F" w:rsidRDefault="0017669D" w:rsidP="00A17011">
      <w:pPr>
        <w:jc w:val="both"/>
      </w:pPr>
      <w:r w:rsidRPr="00734A5F">
        <w:t>1</w:t>
      </w:r>
      <w:r w:rsidRPr="00734A5F">
        <w:tab/>
        <w:t>de procéder à un examen général des Résolutions et des Recommandations des conférences passées et de présenter, après consultation du Groupe consultatif des radiocommunications et des Présidents et Vice-Présidents des commissions d'études des radiocommunications, un rapport à la seconde session de la Réunion de préparation à la Conférence (RPC) à propos des points</w:t>
      </w:r>
      <w:r>
        <w:t> </w:t>
      </w:r>
      <w:r w:rsidRPr="00734A5F">
        <w:t xml:space="preserve">1 et 2 du </w:t>
      </w:r>
      <w:r w:rsidRPr="00734A5F">
        <w:rPr>
          <w:i/>
          <w:iCs/>
        </w:rPr>
        <w:t xml:space="preserve">décide, </w:t>
      </w:r>
      <w:r w:rsidRPr="00734A5F">
        <w:t>en mentionnant tout point de l'ordre du jour associé;</w:t>
      </w:r>
    </w:p>
    <w:p w:rsidR="0017669D" w:rsidRPr="00734A5F" w:rsidRDefault="0017669D" w:rsidP="00A17011">
      <w:pPr>
        <w:jc w:val="both"/>
      </w:pPr>
      <w:r w:rsidRPr="00734A5F">
        <w:lastRenderedPageBreak/>
        <w:t>2</w:t>
      </w:r>
      <w:r w:rsidRPr="00734A5F">
        <w:tab/>
        <w:t>d'inclure dans le rapport précité, en collaboration avec les présidents des commissions d'études des radiocommunications, les rapports d'activité sur les études menées par l'UIT</w:t>
      </w:r>
      <w:r>
        <w:noBreakHyphen/>
      </w:r>
      <w:r w:rsidRPr="00734A5F">
        <w:t>R en application de Résolutions et Recommandations de précédentes conférences dont les sujets ne figurent pas à l'ordre du jour des deux prochaines conférences,</w:t>
      </w:r>
    </w:p>
    <w:p w:rsidR="0017669D" w:rsidRPr="00734A5F" w:rsidRDefault="0017669D" w:rsidP="00A17011">
      <w:pPr>
        <w:pStyle w:val="Call"/>
        <w:jc w:val="both"/>
      </w:pPr>
      <w:r w:rsidRPr="00734A5F">
        <w:t>invite les administrations</w:t>
      </w:r>
    </w:p>
    <w:p w:rsidR="0017669D" w:rsidRPr="00734A5F" w:rsidRDefault="0017669D" w:rsidP="00A17011">
      <w:pPr>
        <w:jc w:val="both"/>
      </w:pPr>
      <w:r w:rsidRPr="00734A5F">
        <w:t>à soumettre à la RPC des contributions sur la mise en œuvre de la présente Résolution,</w:t>
      </w:r>
    </w:p>
    <w:p w:rsidR="0017669D" w:rsidRPr="00734A5F" w:rsidRDefault="0017669D" w:rsidP="00A17011">
      <w:pPr>
        <w:pStyle w:val="Call"/>
        <w:jc w:val="both"/>
      </w:pPr>
      <w:r w:rsidRPr="00734A5F">
        <w:t>invite la Réunion de préparation à la Conférence</w:t>
      </w:r>
    </w:p>
    <w:p w:rsidR="0017669D" w:rsidRDefault="0017669D" w:rsidP="00A17011">
      <w:pPr>
        <w:jc w:val="both"/>
      </w:pPr>
      <w:r w:rsidRPr="00734A5F">
        <w:t>à faire figurer, dans son Rapport, les résultats de l'examen général des Résolutions et Recommandations des conférences précédentes, sur la base des contributions des administrations à la RPC</w:t>
      </w:r>
      <w:r>
        <w:t>,</w:t>
      </w:r>
      <w:r w:rsidRPr="00734A5F">
        <w:t xml:space="preserve"> afin de faciliter la sui</w:t>
      </w:r>
      <w:r w:rsidRPr="00562C4E">
        <w:t>te à donner par les C</w:t>
      </w:r>
      <w:r w:rsidRPr="00734A5F">
        <w:t>MR futures.</w:t>
      </w:r>
    </w:p>
    <w:p w:rsidR="00B23DF6" w:rsidRPr="001331D5" w:rsidRDefault="00B23DF6" w:rsidP="00A17011">
      <w:pPr>
        <w:rPr>
          <w:rFonts w:asciiTheme="majorBidi" w:hAnsiTheme="majorBidi" w:cstheme="majorBidi"/>
          <w:szCs w:val="24"/>
        </w:rPr>
      </w:pPr>
    </w:p>
    <w:p w:rsidR="0017669D" w:rsidRDefault="007C1B97" w:rsidP="00A17011">
      <w:pPr>
        <w:pStyle w:val="ResNo"/>
        <w:rPr>
          <w:lang w:val="fr-CH"/>
        </w:rPr>
      </w:pPr>
      <w:r w:rsidRPr="0017669D">
        <w:rPr>
          <w:rFonts w:asciiTheme="majorBidi" w:hAnsiTheme="majorBidi" w:cstheme="majorBidi"/>
          <w:color w:val="000000"/>
          <w:sz w:val="24"/>
          <w:szCs w:val="24"/>
        </w:rPr>
        <w:br w:type="page"/>
      </w:r>
    </w:p>
    <w:p w:rsidR="00536000" w:rsidRPr="00536000" w:rsidRDefault="00ED7033" w:rsidP="00A17011">
      <w:pPr>
        <w:pStyle w:val="ResNo"/>
      </w:pPr>
      <w:bookmarkStart w:id="91" w:name="RES_157"/>
      <w:bookmarkStart w:id="92" w:name="_Toc444507531"/>
      <w:bookmarkStart w:id="93" w:name="_Toc460331690"/>
      <w:bookmarkStart w:id="94" w:name="_Toc463616147"/>
      <w:r>
        <w:lastRenderedPageBreak/>
        <w:t>R</w:t>
      </w:r>
      <w:r w:rsidR="001D5201" w:rsidRPr="001D5201">
        <w:t>É</w:t>
      </w:r>
      <w:r w:rsidR="00536000" w:rsidRPr="00536000">
        <w:t xml:space="preserve">SOLUTION </w:t>
      </w:r>
      <w:r w:rsidR="00536000" w:rsidRPr="00536000">
        <w:rPr>
          <w:rStyle w:val="href"/>
        </w:rPr>
        <w:t>157</w:t>
      </w:r>
      <w:r w:rsidR="00536000" w:rsidRPr="00536000">
        <w:t xml:space="preserve"> </w:t>
      </w:r>
      <w:bookmarkEnd w:id="91"/>
      <w:r w:rsidR="00536000" w:rsidRPr="00536000">
        <w:t>(</w:t>
      </w:r>
      <w:r w:rsidR="00F8363E" w:rsidRPr="00A20F5A">
        <w:t>C</w:t>
      </w:r>
      <w:r w:rsidR="00F8363E">
        <w:t>MR</w:t>
      </w:r>
      <w:r w:rsidR="00536000" w:rsidRPr="00536000">
        <w:t>-15)</w:t>
      </w:r>
      <w:bookmarkEnd w:id="92"/>
      <w:bookmarkEnd w:id="93"/>
      <w:bookmarkEnd w:id="94"/>
    </w:p>
    <w:p w:rsidR="0017669D" w:rsidRPr="003F220A" w:rsidRDefault="0017669D" w:rsidP="005131A3">
      <w:pPr>
        <w:pStyle w:val="Restitle"/>
        <w:rPr>
          <w:rFonts w:ascii="Times New Roman" w:hAnsi="Times New Roman"/>
          <w:lang w:val="fr-CH"/>
        </w:rPr>
      </w:pPr>
      <w:bookmarkStart w:id="95" w:name="_Toc463616148"/>
      <w:proofErr w:type="spellStart"/>
      <w:r>
        <w:rPr>
          <w:rFonts w:ascii="Times New Roman" w:hAnsi="Times New Roman"/>
          <w:lang w:val="fr-CH"/>
        </w:rPr>
        <w:t>E</w:t>
      </w:r>
      <w:r w:rsidRPr="003F220A">
        <w:rPr>
          <w:rFonts w:ascii="Times New Roman" w:hAnsi="Times New Roman"/>
          <w:lang w:val="fr-CH"/>
        </w:rPr>
        <w:t>tude</w:t>
      </w:r>
      <w:proofErr w:type="spellEnd"/>
      <w:r w:rsidRPr="003F220A">
        <w:rPr>
          <w:rFonts w:ascii="Times New Roman" w:hAnsi="Times New Roman"/>
          <w:lang w:val="fr-CH"/>
        </w:rPr>
        <w:t xml:space="preserve"> des</w:t>
      </w:r>
      <w:r>
        <w:rPr>
          <w:rFonts w:ascii="Times New Roman" w:hAnsi="Times New Roman"/>
          <w:lang w:val="fr-CH"/>
        </w:rPr>
        <w:t xml:space="preserve"> questions techniques et opérationnelles et des</w:t>
      </w:r>
      <w:r w:rsidRPr="003F220A">
        <w:rPr>
          <w:rFonts w:ascii="Times New Roman" w:hAnsi="Times New Roman"/>
          <w:lang w:val="fr-CH"/>
        </w:rPr>
        <w:t xml:space="preserve"> dispositions r</w:t>
      </w:r>
      <w:r w:rsidRPr="003F220A">
        <w:rPr>
          <w:lang w:val="fr-CH"/>
        </w:rPr>
        <w:t>é</w:t>
      </w:r>
      <w:r w:rsidRPr="003F220A">
        <w:rPr>
          <w:rFonts w:ascii="Times New Roman" w:hAnsi="Times New Roman"/>
          <w:lang w:val="fr-CH"/>
        </w:rPr>
        <w:t xml:space="preserve">glementaires </w:t>
      </w:r>
      <w:r>
        <w:rPr>
          <w:rFonts w:ascii="Times New Roman" w:hAnsi="Times New Roman"/>
          <w:lang w:val="fr-CH"/>
        </w:rPr>
        <w:t>relatives</w:t>
      </w:r>
      <w:r w:rsidRPr="003F220A">
        <w:rPr>
          <w:rFonts w:ascii="Times New Roman" w:hAnsi="Times New Roman"/>
          <w:lang w:val="fr-CH"/>
        </w:rPr>
        <w:t xml:space="preserve"> aux </w:t>
      </w:r>
      <w:r>
        <w:rPr>
          <w:rFonts w:ascii="Times New Roman" w:hAnsi="Times New Roman"/>
          <w:lang w:val="fr-CH"/>
        </w:rPr>
        <w:t xml:space="preserve">nouveaux </w:t>
      </w:r>
      <w:r w:rsidRPr="003F220A">
        <w:rPr>
          <w:rFonts w:ascii="Times New Roman" w:hAnsi="Times New Roman"/>
          <w:lang w:val="fr-CH"/>
        </w:rPr>
        <w:t>syst</w:t>
      </w:r>
      <w:r w:rsidRPr="003F220A">
        <w:rPr>
          <w:lang w:val="fr-CH"/>
        </w:rPr>
        <w:t>è</w:t>
      </w:r>
      <w:r w:rsidRPr="003F220A">
        <w:rPr>
          <w:rFonts w:ascii="Times New Roman" w:hAnsi="Times New Roman"/>
          <w:lang w:val="fr-CH"/>
        </w:rPr>
        <w:t xml:space="preserve">mes </w:t>
      </w:r>
      <w:r w:rsidRPr="003F220A">
        <w:rPr>
          <w:lang w:val="fr-CH"/>
        </w:rPr>
        <w:t>à</w:t>
      </w:r>
      <w:r w:rsidRPr="003F220A">
        <w:rPr>
          <w:rFonts w:ascii="Times New Roman" w:hAnsi="Times New Roman"/>
          <w:lang w:val="fr-CH"/>
        </w:rPr>
        <w:t xml:space="preserve"> satellites non</w:t>
      </w:r>
      <w:r>
        <w:rPr>
          <w:lang w:val="fr-CH"/>
        </w:rPr>
        <w:t xml:space="preserve"> </w:t>
      </w:r>
      <w:r w:rsidRPr="003F220A">
        <w:rPr>
          <w:rFonts w:ascii="Times New Roman" w:hAnsi="Times New Roman"/>
          <w:lang w:val="fr-CH"/>
        </w:rPr>
        <w:t>géostationnaires dans les bandes de fr</w:t>
      </w:r>
      <w:r w:rsidRPr="003F220A">
        <w:rPr>
          <w:lang w:val="fr-CH"/>
        </w:rPr>
        <w:t>é</w:t>
      </w:r>
      <w:r w:rsidRPr="003F220A">
        <w:rPr>
          <w:rFonts w:ascii="Times New Roman" w:hAnsi="Times New Roman"/>
          <w:lang w:val="fr-CH"/>
        </w:rPr>
        <w:t xml:space="preserve">quences </w:t>
      </w:r>
      <w:r>
        <w:rPr>
          <w:szCs w:val="28"/>
          <w:lang w:val="fr-CH"/>
        </w:rPr>
        <w:t>3 700-4 200 </w:t>
      </w:r>
      <w:r w:rsidRPr="003F220A">
        <w:rPr>
          <w:szCs w:val="28"/>
          <w:lang w:val="fr-CH"/>
        </w:rPr>
        <w:t>MHz,</w:t>
      </w:r>
      <w:r>
        <w:rPr>
          <w:szCs w:val="28"/>
          <w:lang w:val="fr-CH"/>
        </w:rPr>
        <w:t xml:space="preserve"> 4 500-4</w:t>
      </w:r>
      <w:r w:rsidR="005131A3">
        <w:rPr>
          <w:szCs w:val="28"/>
          <w:lang w:val="fr-CH"/>
        </w:rPr>
        <w:t> </w:t>
      </w:r>
      <w:r>
        <w:rPr>
          <w:szCs w:val="28"/>
          <w:lang w:val="fr-CH"/>
        </w:rPr>
        <w:t>800 MHz, et 5 925-6 425 MHz et 6 725-</w:t>
      </w:r>
      <w:r w:rsidRPr="003F220A">
        <w:rPr>
          <w:szCs w:val="28"/>
          <w:lang w:val="fr-CH"/>
        </w:rPr>
        <w:t xml:space="preserve">7 025 MHz </w:t>
      </w:r>
      <w:r w:rsidRPr="003F220A">
        <w:rPr>
          <w:lang w:val="fr-CH"/>
        </w:rPr>
        <w:t xml:space="preserve">attribuées </w:t>
      </w:r>
      <w:r w:rsidR="005131A3">
        <w:rPr>
          <w:lang w:val="fr-CH"/>
        </w:rPr>
        <w:br/>
      </w:r>
      <w:r w:rsidRPr="003F220A">
        <w:rPr>
          <w:lang w:val="fr-CH"/>
        </w:rPr>
        <w:t>au</w:t>
      </w:r>
      <w:r w:rsidRPr="003F220A">
        <w:rPr>
          <w:szCs w:val="28"/>
          <w:lang w:val="fr-CH"/>
        </w:rPr>
        <w:t xml:space="preserve"> service</w:t>
      </w:r>
      <w:r w:rsidRPr="003F220A">
        <w:rPr>
          <w:rFonts w:ascii="Times New Roman" w:hAnsi="Times New Roman"/>
          <w:lang w:val="fr-CH"/>
        </w:rPr>
        <w:t xml:space="preserve"> fixe par satellite</w:t>
      </w:r>
      <w:bookmarkEnd w:id="95"/>
    </w:p>
    <w:p w:rsidR="0017669D" w:rsidRPr="003F220A" w:rsidRDefault="0017669D" w:rsidP="00A17011">
      <w:pPr>
        <w:pStyle w:val="Normalaftertitle"/>
        <w:keepNext/>
        <w:rPr>
          <w:szCs w:val="24"/>
          <w:lang w:val="fr-CH"/>
        </w:rPr>
      </w:pPr>
      <w:r w:rsidRPr="003F220A">
        <w:rPr>
          <w:szCs w:val="24"/>
          <w:lang w:val="fr-CH"/>
        </w:rPr>
        <w:t>La Conférence mondiale des radiocommunications (Genève, 2015),</w:t>
      </w:r>
    </w:p>
    <w:p w:rsidR="0017669D" w:rsidRPr="003F220A" w:rsidRDefault="0017669D" w:rsidP="00A17011">
      <w:pPr>
        <w:pStyle w:val="Call"/>
        <w:jc w:val="both"/>
        <w:rPr>
          <w:lang w:val="fr-CH"/>
        </w:rPr>
      </w:pPr>
      <w:r>
        <w:rPr>
          <w:lang w:val="fr-CH"/>
        </w:rPr>
        <w:t>considérant</w:t>
      </w:r>
    </w:p>
    <w:p w:rsidR="0017669D" w:rsidRPr="003F220A" w:rsidRDefault="0017669D" w:rsidP="00A17011">
      <w:pPr>
        <w:jc w:val="both"/>
        <w:rPr>
          <w:lang w:val="fr-CH"/>
        </w:rPr>
      </w:pPr>
      <w:r w:rsidRPr="003F220A">
        <w:rPr>
          <w:i/>
          <w:lang w:val="fr-CH"/>
        </w:rPr>
        <w:t>a)</w:t>
      </w:r>
      <w:r w:rsidRPr="003F220A">
        <w:rPr>
          <w:lang w:val="fr-CH"/>
        </w:rPr>
        <w:tab/>
        <w:t>que les systèmes reposant sur l'utilisation des nouvelles technologies associées aux constellations de satellites géostationnaires (OSG) et non géostationnaires (non OSG) permettent d'offrir, même dans les régions les plus isolées du monde, des moyens de communication à forte capacité et à faible coût;</w:t>
      </w:r>
    </w:p>
    <w:p w:rsidR="0017669D" w:rsidRPr="003F220A" w:rsidRDefault="0017669D" w:rsidP="00A17011">
      <w:pPr>
        <w:jc w:val="both"/>
        <w:rPr>
          <w:rFonts w:eastAsia="Calibri"/>
          <w:iCs/>
          <w:szCs w:val="24"/>
          <w:lang w:val="fr-CH"/>
        </w:rPr>
      </w:pPr>
      <w:r w:rsidRPr="003F220A">
        <w:rPr>
          <w:i/>
          <w:lang w:val="fr-CH"/>
        </w:rPr>
        <w:t>b)</w:t>
      </w:r>
      <w:r w:rsidRPr="003F220A">
        <w:rPr>
          <w:iCs/>
          <w:lang w:val="fr-CH"/>
        </w:rPr>
        <w:tab/>
        <w:t>que les orbites de satellites OSG et non OSG ainsi que les bandes de fréquences associées constituent de précieuses ressources et qu'il convient d'assurer un accès équitable à ces ressources, dans l'intérêt de tous les pays;</w:t>
      </w:r>
    </w:p>
    <w:p w:rsidR="0017669D" w:rsidRPr="003F220A" w:rsidRDefault="0017669D" w:rsidP="00A17011">
      <w:pPr>
        <w:jc w:val="both"/>
        <w:rPr>
          <w:rFonts w:asciiTheme="majorBidi" w:hAnsiTheme="majorBidi" w:cstheme="majorBidi"/>
          <w:iCs/>
          <w:szCs w:val="24"/>
          <w:lang w:val="fr-CH"/>
        </w:rPr>
      </w:pPr>
      <w:r w:rsidRPr="003F220A">
        <w:rPr>
          <w:i/>
          <w:lang w:val="fr-CH"/>
        </w:rPr>
        <w:t>c)</w:t>
      </w:r>
      <w:r w:rsidRPr="003F220A">
        <w:rPr>
          <w:iCs/>
          <w:lang w:val="fr-CH"/>
        </w:rPr>
        <w:tab/>
        <w:t>que des mesures propres à faciliter l'utilisation de</w:t>
      </w:r>
      <w:r>
        <w:rPr>
          <w:iCs/>
          <w:lang w:val="fr-CH"/>
        </w:rPr>
        <w:t>s</w:t>
      </w:r>
      <w:r w:rsidRPr="003F220A">
        <w:rPr>
          <w:iCs/>
          <w:lang w:val="fr-CH"/>
        </w:rPr>
        <w:t xml:space="preserve"> nouveaux systèmes non OSG permettraient de renforcer considérablement la capacité, </w:t>
      </w:r>
      <w:r w:rsidRPr="003F220A">
        <w:rPr>
          <w:color w:val="000000"/>
          <w:lang w:val="fr-CH"/>
        </w:rPr>
        <w:t>l'efficacité d'utilisation du spectre</w:t>
      </w:r>
      <w:r w:rsidRPr="003F220A">
        <w:rPr>
          <w:iCs/>
          <w:lang w:val="fr-CH"/>
        </w:rPr>
        <w:t xml:space="preserve"> et les avantages découlant de l'exploitation des systèmes </w:t>
      </w:r>
      <w:r>
        <w:rPr>
          <w:iCs/>
          <w:lang w:val="fr-CH"/>
        </w:rPr>
        <w:t>OSG et non OSG dans les bandes</w:t>
      </w:r>
      <w:r w:rsidRPr="00A05ED5">
        <w:t xml:space="preserve"> </w:t>
      </w:r>
      <w:r w:rsidRPr="00B92C49">
        <w:t>de fréquences</w:t>
      </w:r>
      <w:r>
        <w:rPr>
          <w:iCs/>
          <w:lang w:val="fr-CH"/>
        </w:rPr>
        <w:t xml:space="preserve"> 3 700</w:t>
      </w:r>
      <w:r>
        <w:rPr>
          <w:iCs/>
          <w:lang w:val="fr-CH"/>
        </w:rPr>
        <w:noBreakHyphen/>
      </w:r>
      <w:r w:rsidRPr="003F220A">
        <w:rPr>
          <w:iCs/>
          <w:lang w:val="fr-CH"/>
        </w:rPr>
        <w:t>4 200 MHz, 4 500-4 800 MHz</w:t>
      </w:r>
      <w:r>
        <w:rPr>
          <w:iCs/>
          <w:lang w:val="fr-CH"/>
        </w:rPr>
        <w:t>,</w:t>
      </w:r>
      <w:r w:rsidRPr="003F220A">
        <w:rPr>
          <w:iCs/>
          <w:lang w:val="fr-CH"/>
        </w:rPr>
        <w:t xml:space="preserve"> et 5 925-</w:t>
      </w:r>
      <w:r w:rsidRPr="003F220A">
        <w:rPr>
          <w:szCs w:val="28"/>
          <w:lang w:val="fr-CH"/>
        </w:rPr>
        <w:t xml:space="preserve">6 425 </w:t>
      </w:r>
      <w:r>
        <w:rPr>
          <w:szCs w:val="28"/>
          <w:lang w:val="fr-CH"/>
        </w:rPr>
        <w:t xml:space="preserve">MHz </w:t>
      </w:r>
      <w:r w:rsidRPr="003F220A">
        <w:rPr>
          <w:szCs w:val="28"/>
          <w:lang w:val="fr-CH"/>
        </w:rPr>
        <w:t>et 6 725-</w:t>
      </w:r>
      <w:r w:rsidRPr="003F220A">
        <w:rPr>
          <w:iCs/>
          <w:lang w:val="fr-CH"/>
        </w:rPr>
        <w:t>7 025 MHz,</w:t>
      </w:r>
    </w:p>
    <w:p w:rsidR="0017669D" w:rsidRPr="003F220A" w:rsidRDefault="0017669D" w:rsidP="00A17011">
      <w:pPr>
        <w:pStyle w:val="Call"/>
        <w:jc w:val="both"/>
        <w:rPr>
          <w:lang w:val="fr-CH"/>
        </w:rPr>
      </w:pPr>
      <w:r w:rsidRPr="003F220A">
        <w:rPr>
          <w:lang w:val="fr-CH"/>
        </w:rPr>
        <w:t>notant</w:t>
      </w:r>
    </w:p>
    <w:p w:rsidR="0017669D" w:rsidRPr="003F220A" w:rsidRDefault="0017669D" w:rsidP="00A17011">
      <w:pPr>
        <w:jc w:val="both"/>
        <w:rPr>
          <w:lang w:val="fr-CH"/>
        </w:rPr>
      </w:pPr>
      <w:r w:rsidRPr="003F220A">
        <w:rPr>
          <w:i/>
          <w:lang w:val="fr-CH"/>
        </w:rPr>
        <w:t>a)</w:t>
      </w:r>
      <w:r w:rsidRPr="003F220A">
        <w:rPr>
          <w:lang w:val="fr-CH"/>
        </w:rPr>
        <w:tab/>
        <w:t xml:space="preserve">que les limites de puissance surfacique </w:t>
      </w:r>
      <w:r>
        <w:rPr>
          <w:lang w:val="fr-CH"/>
        </w:rPr>
        <w:t>de</w:t>
      </w:r>
      <w:r w:rsidRPr="003F220A">
        <w:rPr>
          <w:lang w:val="fr-CH"/>
        </w:rPr>
        <w:t xml:space="preserve"> l'Article </w:t>
      </w:r>
      <w:r w:rsidRPr="003F220A">
        <w:rPr>
          <w:b/>
          <w:bCs/>
          <w:lang w:val="fr-CH"/>
        </w:rPr>
        <w:t>21</w:t>
      </w:r>
      <w:r w:rsidRPr="003F220A">
        <w:rPr>
          <w:lang w:val="fr-CH"/>
        </w:rPr>
        <w:t xml:space="preserve"> ainsi que les </w:t>
      </w:r>
      <w:r w:rsidRPr="003F220A">
        <w:rPr>
          <w:color w:val="000000"/>
          <w:lang w:val="fr-CH"/>
        </w:rPr>
        <w:t xml:space="preserve">limites de puissance surfacique équivalente </w:t>
      </w:r>
      <w:r w:rsidRPr="003F220A">
        <w:rPr>
          <w:lang w:val="fr-CH"/>
        </w:rPr>
        <w:t>(</w:t>
      </w:r>
      <w:proofErr w:type="spellStart"/>
      <w:r w:rsidRPr="003F220A">
        <w:rPr>
          <w:lang w:val="fr-CH"/>
        </w:rPr>
        <w:t>epfd</w:t>
      </w:r>
      <w:proofErr w:type="spellEnd"/>
      <w:r w:rsidRPr="003F220A">
        <w:rPr>
          <w:lang w:val="fr-CH"/>
        </w:rPr>
        <w:t xml:space="preserve">↓) </w:t>
      </w:r>
      <w:r>
        <w:rPr>
          <w:lang w:val="fr-CH"/>
        </w:rPr>
        <w:t>de</w:t>
      </w:r>
      <w:r w:rsidRPr="003F220A">
        <w:rPr>
          <w:lang w:val="fr-CH"/>
        </w:rPr>
        <w:t xml:space="preserve"> </w:t>
      </w:r>
      <w:r w:rsidRPr="003F220A">
        <w:rPr>
          <w:color w:val="000000"/>
          <w:lang w:val="fr-CH"/>
        </w:rPr>
        <w:t xml:space="preserve">l'Article </w:t>
      </w:r>
      <w:r w:rsidRPr="003F220A">
        <w:rPr>
          <w:b/>
          <w:bCs/>
          <w:color w:val="000000"/>
          <w:lang w:val="fr-CH"/>
        </w:rPr>
        <w:t>22</w:t>
      </w:r>
      <w:r w:rsidRPr="003F220A">
        <w:rPr>
          <w:lang w:val="fr-CH"/>
        </w:rPr>
        <w:t xml:space="preserve"> dans la bande de fréquences 3 700-4 200 MHz (espace vers Terre), et les </w:t>
      </w:r>
      <w:r w:rsidRPr="003F220A">
        <w:rPr>
          <w:color w:val="000000"/>
          <w:lang w:val="fr-CH"/>
        </w:rPr>
        <w:t>limites d'</w:t>
      </w:r>
      <w:proofErr w:type="spellStart"/>
      <w:r w:rsidRPr="003F220A">
        <w:rPr>
          <w:color w:val="000000"/>
          <w:lang w:val="fr-CH"/>
        </w:rPr>
        <w:t>epfd</w:t>
      </w:r>
      <w:proofErr w:type="spellEnd"/>
      <w:r w:rsidRPr="003F220A">
        <w:rPr>
          <w:color w:val="000000"/>
          <w:lang w:val="fr-CH"/>
        </w:rPr>
        <w:t xml:space="preserve"> </w:t>
      </w:r>
      <w:r>
        <w:rPr>
          <w:color w:val="000000"/>
          <w:lang w:val="fr-CH"/>
        </w:rPr>
        <w:t>de</w:t>
      </w:r>
      <w:r w:rsidRPr="003F220A">
        <w:rPr>
          <w:color w:val="000000"/>
          <w:lang w:val="fr-CH"/>
        </w:rPr>
        <w:t xml:space="preserve"> l'Article </w:t>
      </w:r>
      <w:r w:rsidRPr="003F220A">
        <w:rPr>
          <w:b/>
          <w:bCs/>
          <w:color w:val="000000"/>
          <w:lang w:val="fr-CH"/>
        </w:rPr>
        <w:t>22</w:t>
      </w:r>
      <w:r w:rsidRPr="003F220A">
        <w:rPr>
          <w:lang w:val="fr-CH"/>
        </w:rPr>
        <w:t xml:space="preserve"> (</w:t>
      </w:r>
      <w:proofErr w:type="spellStart"/>
      <w:r w:rsidRPr="003F220A">
        <w:rPr>
          <w:lang w:val="fr-CH"/>
        </w:rPr>
        <w:t>epfd</w:t>
      </w:r>
      <w:proofErr w:type="spellEnd"/>
      <w:r w:rsidRPr="003F220A">
        <w:rPr>
          <w:lang w:val="fr-CH"/>
        </w:rPr>
        <w:t>↑) dans la bande de fréquences 5 925-6</w:t>
      </w:r>
      <w:r>
        <w:rPr>
          <w:lang w:val="fr-CH"/>
        </w:rPr>
        <w:t> </w:t>
      </w:r>
      <w:r w:rsidRPr="003F220A">
        <w:rPr>
          <w:lang w:val="fr-CH"/>
        </w:rPr>
        <w:t xml:space="preserve">725 MHz (Terre vers espace) ont été </w:t>
      </w:r>
      <w:r>
        <w:rPr>
          <w:lang w:val="fr-CH"/>
        </w:rPr>
        <w:t>définies</w:t>
      </w:r>
      <w:r w:rsidRPr="003F220A">
        <w:rPr>
          <w:lang w:val="fr-CH"/>
        </w:rPr>
        <w:t xml:space="preserve"> au titre du point 1.37 de son ordre du jour</w:t>
      </w:r>
      <w:r w:rsidRPr="00970AAE">
        <w:rPr>
          <w:lang w:val="fr-CH"/>
        </w:rPr>
        <w:t xml:space="preserve"> </w:t>
      </w:r>
      <w:r>
        <w:rPr>
          <w:lang w:val="fr-CH"/>
        </w:rPr>
        <w:t>de la CMR</w:t>
      </w:r>
      <w:r>
        <w:rPr>
          <w:lang w:val="fr-CH"/>
        </w:rPr>
        <w:noBreakHyphen/>
        <w:t>03</w:t>
      </w:r>
      <w:r w:rsidRPr="003F220A">
        <w:rPr>
          <w:lang w:val="fr-CH"/>
        </w:rPr>
        <w:t xml:space="preserve"> sur la base d'une configuration particulière d'</w:t>
      </w:r>
      <w:r w:rsidRPr="003F220A">
        <w:rPr>
          <w:color w:val="000000"/>
          <w:lang w:val="fr-CH"/>
        </w:rPr>
        <w:t>orbite fortement elliptique (HEO),</w:t>
      </w:r>
      <w:r w:rsidRPr="003F220A">
        <w:rPr>
          <w:lang w:val="fr-CH"/>
        </w:rPr>
        <w:t xml:space="preserve"> alors que les nouveaux systèmes non OSG souhaitant fonctionner dans ces bandes </w:t>
      </w:r>
      <w:r>
        <w:rPr>
          <w:lang w:val="fr-CH"/>
        </w:rPr>
        <w:t xml:space="preserve">de fréquences </w:t>
      </w:r>
      <w:r w:rsidRPr="003F220A">
        <w:rPr>
          <w:lang w:val="fr-CH"/>
        </w:rPr>
        <w:t xml:space="preserve">peuvent utiliser </w:t>
      </w:r>
      <w:r>
        <w:rPr>
          <w:lang w:val="fr-CH"/>
        </w:rPr>
        <w:t>des types d'</w:t>
      </w:r>
      <w:r w:rsidRPr="003F220A">
        <w:rPr>
          <w:lang w:val="fr-CH"/>
        </w:rPr>
        <w:t>orbites</w:t>
      </w:r>
      <w:r>
        <w:rPr>
          <w:lang w:val="fr-CH"/>
        </w:rPr>
        <w:t xml:space="preserve"> différents</w:t>
      </w:r>
      <w:r w:rsidRPr="003F220A">
        <w:rPr>
          <w:lang w:val="fr-CH"/>
        </w:rPr>
        <w:t xml:space="preserve">; </w:t>
      </w:r>
    </w:p>
    <w:p w:rsidR="0017669D" w:rsidRPr="003F220A" w:rsidRDefault="0017669D" w:rsidP="00A17011">
      <w:pPr>
        <w:jc w:val="both"/>
        <w:rPr>
          <w:lang w:val="fr-CH"/>
        </w:rPr>
      </w:pPr>
      <w:r w:rsidRPr="003F220A">
        <w:rPr>
          <w:i/>
          <w:lang w:val="fr-CH"/>
        </w:rPr>
        <w:t>b)</w:t>
      </w:r>
      <w:r w:rsidRPr="003F220A">
        <w:rPr>
          <w:lang w:val="fr-CH"/>
        </w:rPr>
        <w:tab/>
        <w:t xml:space="preserve">que l'Article </w:t>
      </w:r>
      <w:r w:rsidRPr="003F220A">
        <w:rPr>
          <w:b/>
          <w:bCs/>
          <w:lang w:val="fr-CH"/>
        </w:rPr>
        <w:t>22</w:t>
      </w:r>
      <w:r w:rsidRPr="003F220A">
        <w:rPr>
          <w:lang w:val="fr-CH"/>
        </w:rPr>
        <w:t xml:space="preserve"> ne prescrit aucune limite d'</w:t>
      </w:r>
      <w:proofErr w:type="spellStart"/>
      <w:r w:rsidRPr="003F220A">
        <w:rPr>
          <w:lang w:val="fr-CH"/>
        </w:rPr>
        <w:t>epfd</w:t>
      </w:r>
      <w:proofErr w:type="spellEnd"/>
      <w:r w:rsidRPr="003F220A">
        <w:rPr>
          <w:lang w:val="fr-CH"/>
        </w:rPr>
        <w:t>↓ et d'</w:t>
      </w:r>
      <w:proofErr w:type="spellStart"/>
      <w:r w:rsidRPr="003F220A">
        <w:rPr>
          <w:lang w:val="fr-CH"/>
        </w:rPr>
        <w:t>epfd</w:t>
      </w:r>
      <w:proofErr w:type="spellEnd"/>
      <w:r w:rsidRPr="003F220A">
        <w:rPr>
          <w:lang w:val="fr-CH"/>
        </w:rPr>
        <w:t xml:space="preserve">↑ pour les systèmes non OSG dans les bandes de fréquences 4 500-4 800 MHz (espace vers Terre) et 6 725-7 025 MHz (Terre vers espace) attribuées au service fixe par satellite (SFS), dont l'utilisation est soumise aux dispositions de l'Appendice </w:t>
      </w:r>
      <w:r w:rsidRPr="003F220A">
        <w:rPr>
          <w:b/>
          <w:bCs/>
          <w:lang w:val="fr-CH"/>
        </w:rPr>
        <w:t>30B</w:t>
      </w:r>
      <w:r w:rsidRPr="003F220A">
        <w:rPr>
          <w:lang w:val="fr-CH"/>
        </w:rPr>
        <w:t>;</w:t>
      </w:r>
    </w:p>
    <w:p w:rsidR="0017669D" w:rsidRPr="003F220A" w:rsidRDefault="0017669D" w:rsidP="00E623FB">
      <w:pPr>
        <w:jc w:val="both"/>
        <w:rPr>
          <w:lang w:val="fr-CH"/>
        </w:rPr>
      </w:pPr>
      <w:r w:rsidRPr="003F220A">
        <w:rPr>
          <w:i/>
          <w:lang w:val="fr-CH"/>
        </w:rPr>
        <w:t>c)</w:t>
      </w:r>
      <w:r w:rsidRPr="003F220A">
        <w:rPr>
          <w:lang w:val="fr-CH"/>
        </w:rPr>
        <w:tab/>
        <w:t>que, dans le rapport du Directeur</w:t>
      </w:r>
      <w:r>
        <w:rPr>
          <w:lang w:val="fr-CH"/>
        </w:rPr>
        <w:t xml:space="preserve"> du Bureau des radiocommunications</w:t>
      </w:r>
      <w:r w:rsidRPr="003F220A">
        <w:rPr>
          <w:lang w:val="fr-CH"/>
        </w:rPr>
        <w:t xml:space="preserve"> à la </w:t>
      </w:r>
      <w:r>
        <w:rPr>
          <w:lang w:val="fr-CH"/>
        </w:rPr>
        <w:t>présente Conférence</w:t>
      </w:r>
      <w:r w:rsidRPr="003F220A">
        <w:rPr>
          <w:lang w:val="fr-CH"/>
        </w:rPr>
        <w:t>, il est reconnu qu'il faudra peut-être «</w:t>
      </w:r>
      <w:r w:rsidR="00E623FB">
        <w:rPr>
          <w:lang w:val="fr-CH"/>
        </w:rPr>
        <w:t>re</w:t>
      </w:r>
      <w:r w:rsidR="00E25FB6">
        <w:rPr>
          <w:lang w:val="fr-CH"/>
        </w:rPr>
        <w:t>v</w:t>
      </w:r>
      <w:r w:rsidRPr="003F220A">
        <w:rPr>
          <w:lang w:val="fr-CH"/>
        </w:rPr>
        <w:t>oir ou confirmer</w:t>
      </w:r>
      <w:r>
        <w:rPr>
          <w:lang w:val="fr-CH"/>
        </w:rPr>
        <w:t>»</w:t>
      </w:r>
      <w:r w:rsidRPr="003F220A">
        <w:rPr>
          <w:lang w:val="fr-CH"/>
        </w:rPr>
        <w:t xml:space="preserve"> les hypothèses qui ont conduit aux valeurs actuelles des limites de puissance </w:t>
      </w:r>
      <w:r>
        <w:rPr>
          <w:lang w:val="fr-CH"/>
        </w:rPr>
        <w:t>des</w:t>
      </w:r>
      <w:r w:rsidRPr="003F220A">
        <w:rPr>
          <w:lang w:val="fr-CH"/>
        </w:rPr>
        <w:t xml:space="preserve"> Articles </w:t>
      </w:r>
      <w:r w:rsidRPr="003F220A">
        <w:rPr>
          <w:b/>
          <w:bCs/>
          <w:lang w:val="fr-CH"/>
        </w:rPr>
        <w:t>21</w:t>
      </w:r>
      <w:r w:rsidRPr="003F220A">
        <w:rPr>
          <w:lang w:val="fr-CH"/>
        </w:rPr>
        <w:t xml:space="preserve"> et </w:t>
      </w:r>
      <w:r w:rsidRPr="003F220A">
        <w:rPr>
          <w:b/>
          <w:bCs/>
          <w:lang w:val="fr-CH"/>
        </w:rPr>
        <w:t>22</w:t>
      </w:r>
      <w:r w:rsidRPr="003F220A">
        <w:rPr>
          <w:lang w:val="fr-CH"/>
        </w:rPr>
        <w:t>, compte tenu des caractéristiques des systèmes soumis dernièrement et du fait que, «d'une manière générale, l'exploitation des systèmes du SFS non OSG suscite un intérêt croissant, l'objectif étant de faire en sorte que tous les services existants bénéficient d'une protection suffisante»;</w:t>
      </w:r>
    </w:p>
    <w:p w:rsidR="0017669D" w:rsidRPr="003F220A" w:rsidRDefault="0017669D" w:rsidP="00A17011">
      <w:pPr>
        <w:jc w:val="both"/>
        <w:rPr>
          <w:rFonts w:asciiTheme="majorBidi" w:hAnsiTheme="majorBidi" w:cstheme="majorBidi"/>
          <w:szCs w:val="24"/>
          <w:lang w:val="fr-CH"/>
        </w:rPr>
      </w:pPr>
      <w:r w:rsidRPr="003F220A">
        <w:rPr>
          <w:i/>
          <w:lang w:val="fr-CH"/>
        </w:rPr>
        <w:t>d)</w:t>
      </w:r>
      <w:r w:rsidRPr="003F220A">
        <w:rPr>
          <w:lang w:val="fr-CH"/>
        </w:rPr>
        <w:tab/>
        <w:t>que des études bien définies, tenant compte des caractéristiques techniques et opérationnelles actuel</w:t>
      </w:r>
      <w:r>
        <w:rPr>
          <w:lang w:val="fr-CH"/>
        </w:rPr>
        <w:t>les, permettront de déterminer</w:t>
      </w:r>
      <w:r w:rsidRPr="003F220A">
        <w:rPr>
          <w:lang w:val="fr-CH"/>
        </w:rPr>
        <w:t xml:space="preserve"> des limites de pu</w:t>
      </w:r>
      <w:r>
        <w:rPr>
          <w:lang w:val="fr-CH"/>
        </w:rPr>
        <w:t>issance surfacique de l'Article </w:t>
      </w:r>
      <w:r w:rsidRPr="003F220A">
        <w:rPr>
          <w:b/>
          <w:bCs/>
          <w:lang w:val="fr-CH"/>
        </w:rPr>
        <w:t>21</w:t>
      </w:r>
      <w:r w:rsidRPr="003F220A">
        <w:rPr>
          <w:lang w:val="fr-CH"/>
        </w:rPr>
        <w:t xml:space="preserve"> et des limites de puissance surfacique équivalente de l'Article </w:t>
      </w:r>
      <w:r w:rsidRPr="003F220A">
        <w:rPr>
          <w:b/>
          <w:bCs/>
          <w:lang w:val="fr-CH"/>
        </w:rPr>
        <w:t>22</w:t>
      </w:r>
      <w:r w:rsidRPr="003F220A">
        <w:rPr>
          <w:lang w:val="fr-CH"/>
        </w:rPr>
        <w:t xml:space="preserve"> appropriées pour les bandes</w:t>
      </w:r>
      <w:r w:rsidRPr="00A05ED5">
        <w:t xml:space="preserve"> </w:t>
      </w:r>
      <w:r w:rsidRPr="00B92C49">
        <w:t>de fréquences</w:t>
      </w:r>
      <w:r w:rsidRPr="003F220A">
        <w:rPr>
          <w:lang w:val="fr-CH"/>
        </w:rPr>
        <w:t xml:space="preserve"> 3 700-4 200 MHz, 4 500-4 800 MHz et 5 925-7 025 MHz</w:t>
      </w:r>
      <w:r w:rsidRPr="00970AAE">
        <w:rPr>
          <w:lang w:val="fr-CH"/>
        </w:rPr>
        <w:t xml:space="preserve"> </w:t>
      </w:r>
      <w:r w:rsidRPr="003F220A">
        <w:rPr>
          <w:lang w:val="fr-CH"/>
        </w:rPr>
        <w:t>pour les systèmes non OSG,</w:t>
      </w:r>
    </w:p>
    <w:p w:rsidR="0017669D" w:rsidRPr="003F220A" w:rsidRDefault="0017669D" w:rsidP="00A17011">
      <w:pPr>
        <w:pStyle w:val="Call"/>
        <w:jc w:val="both"/>
        <w:rPr>
          <w:lang w:val="fr-CH"/>
        </w:rPr>
      </w:pPr>
      <w:r>
        <w:rPr>
          <w:lang w:val="fr-CH"/>
        </w:rPr>
        <w:lastRenderedPageBreak/>
        <w:t>reconnaissant</w:t>
      </w:r>
    </w:p>
    <w:p w:rsidR="0017669D" w:rsidRPr="003F220A" w:rsidRDefault="0017669D" w:rsidP="00A17011">
      <w:pPr>
        <w:jc w:val="both"/>
        <w:rPr>
          <w:rFonts w:asciiTheme="majorBidi" w:hAnsiTheme="majorBidi" w:cstheme="majorBidi"/>
          <w:lang w:val="fr-CH"/>
        </w:rPr>
      </w:pPr>
      <w:r w:rsidRPr="003F220A">
        <w:rPr>
          <w:i/>
          <w:iCs/>
          <w:lang w:val="fr-CH"/>
        </w:rPr>
        <w:t>a)</w:t>
      </w:r>
      <w:r w:rsidRPr="003F220A">
        <w:rPr>
          <w:lang w:val="fr-CH"/>
        </w:rPr>
        <w:tab/>
        <w:t xml:space="preserve">que, pour permettre aux réseaux OSG et aux systèmes non OSG d'utiliser au mieux les orbites de satellites et les bandes de fréquences attribuées au SFS, il </w:t>
      </w:r>
      <w:r>
        <w:rPr>
          <w:lang w:val="fr-CH"/>
        </w:rPr>
        <w:t xml:space="preserve">doit être tenu </w:t>
      </w:r>
      <w:r w:rsidRPr="003F220A">
        <w:rPr>
          <w:lang w:val="fr-CH"/>
        </w:rPr>
        <w:t>compte des autres se</w:t>
      </w:r>
      <w:r>
        <w:rPr>
          <w:lang w:val="fr-CH"/>
        </w:rPr>
        <w:t>rvices auxquels ces bandes de fréquences sont, de plus,</w:t>
      </w:r>
      <w:r w:rsidRPr="003F220A">
        <w:rPr>
          <w:lang w:val="fr-CH"/>
        </w:rPr>
        <w:t xml:space="preserve"> attribuée</w:t>
      </w:r>
      <w:r>
        <w:rPr>
          <w:lang w:val="fr-CH"/>
        </w:rPr>
        <w:t>s</w:t>
      </w:r>
      <w:r w:rsidRPr="003F220A">
        <w:rPr>
          <w:lang w:val="fr-CH"/>
        </w:rPr>
        <w:t xml:space="preserve"> à titre primaire;</w:t>
      </w:r>
    </w:p>
    <w:p w:rsidR="0017669D" w:rsidRPr="003F220A" w:rsidRDefault="0017669D" w:rsidP="005131A3">
      <w:pPr>
        <w:jc w:val="both"/>
        <w:rPr>
          <w:lang w:val="fr-CH"/>
        </w:rPr>
      </w:pPr>
      <w:r w:rsidRPr="003F220A">
        <w:rPr>
          <w:i/>
          <w:iCs/>
          <w:lang w:val="fr-CH"/>
        </w:rPr>
        <w:t>b)</w:t>
      </w:r>
      <w:r w:rsidRPr="003F220A">
        <w:rPr>
          <w:lang w:val="fr-CH"/>
        </w:rPr>
        <w:tab/>
        <w:t>que les bandes</w:t>
      </w:r>
      <w:r>
        <w:rPr>
          <w:lang w:val="fr-CH"/>
        </w:rPr>
        <w:t xml:space="preserve"> de fréquences</w:t>
      </w:r>
      <w:r w:rsidRPr="003F220A">
        <w:rPr>
          <w:lang w:val="fr-CH"/>
        </w:rPr>
        <w:t xml:space="preserve"> 3 700-4 200 MHz, 4 500-4 800 MHz et 5 925-7</w:t>
      </w:r>
      <w:r w:rsidR="005131A3">
        <w:rPr>
          <w:lang w:val="fr-CH"/>
        </w:rPr>
        <w:t> </w:t>
      </w:r>
      <w:r w:rsidRPr="003F220A">
        <w:rPr>
          <w:lang w:val="fr-CH"/>
        </w:rPr>
        <w:t>025</w:t>
      </w:r>
      <w:r w:rsidR="005131A3">
        <w:rPr>
          <w:lang w:val="fr-CH"/>
        </w:rPr>
        <w:t> </w:t>
      </w:r>
      <w:r w:rsidRPr="003F220A">
        <w:rPr>
          <w:lang w:val="fr-CH"/>
        </w:rPr>
        <w:t xml:space="preserve">MHz sont, de plus, attribuées dans une </w:t>
      </w:r>
      <w:r>
        <w:rPr>
          <w:lang w:val="fr-CH"/>
        </w:rPr>
        <w:t xml:space="preserve">ou </w:t>
      </w:r>
      <w:r w:rsidRPr="003F220A">
        <w:rPr>
          <w:lang w:val="fr-CH"/>
        </w:rPr>
        <w:t xml:space="preserve">plusieurs Régions au service fixe et au service mobile à titre primaire; </w:t>
      </w:r>
    </w:p>
    <w:p w:rsidR="0017669D" w:rsidRPr="003F220A" w:rsidRDefault="0017669D" w:rsidP="00A17011">
      <w:pPr>
        <w:jc w:val="both"/>
        <w:rPr>
          <w:lang w:val="fr-CH"/>
        </w:rPr>
      </w:pPr>
      <w:r w:rsidRPr="003F220A">
        <w:rPr>
          <w:i/>
          <w:iCs/>
          <w:lang w:val="fr-CH"/>
        </w:rPr>
        <w:t>c)</w:t>
      </w:r>
      <w:r w:rsidRPr="003F220A">
        <w:rPr>
          <w:lang w:val="fr-CH"/>
        </w:rPr>
        <w:tab/>
        <w:t xml:space="preserve">que, dans les bandes de fréquences </w:t>
      </w:r>
      <w:r w:rsidRPr="003F220A">
        <w:rPr>
          <w:color w:val="0D0D0D" w:themeColor="text1" w:themeTint="F2"/>
          <w:lang w:val="fr-CH"/>
        </w:rPr>
        <w:t>3 700-</w:t>
      </w:r>
      <w:r>
        <w:rPr>
          <w:color w:val="0D0D0D" w:themeColor="text1" w:themeTint="F2"/>
          <w:lang w:val="fr-CH"/>
        </w:rPr>
        <w:t>4 200 MHz, 4 500-4 800 MHz et 5 </w:t>
      </w:r>
      <w:r w:rsidRPr="003F220A">
        <w:rPr>
          <w:color w:val="0D0D0D" w:themeColor="text1" w:themeTint="F2"/>
          <w:lang w:val="fr-CH"/>
        </w:rPr>
        <w:t>925</w:t>
      </w:r>
      <w:r>
        <w:rPr>
          <w:color w:val="0D0D0D" w:themeColor="text1" w:themeTint="F2"/>
          <w:lang w:val="fr-CH"/>
        </w:rPr>
        <w:noBreakHyphen/>
      </w:r>
      <w:r w:rsidRPr="003F220A">
        <w:rPr>
          <w:color w:val="0D0D0D" w:themeColor="text1" w:themeTint="F2"/>
          <w:lang w:val="fr-CH"/>
        </w:rPr>
        <w:t>7 025 MH</w:t>
      </w:r>
      <w:r w:rsidRPr="003F220A">
        <w:rPr>
          <w:rFonts w:asciiTheme="majorBidi" w:hAnsiTheme="majorBidi" w:cstheme="majorBidi"/>
          <w:lang w:val="fr-CH"/>
        </w:rPr>
        <w:t xml:space="preserve">z, les systèmes non OSG du SFS </w:t>
      </w:r>
      <w:r>
        <w:rPr>
          <w:rFonts w:asciiTheme="majorBidi" w:hAnsiTheme="majorBidi" w:cstheme="majorBidi"/>
          <w:lang w:val="fr-CH"/>
        </w:rPr>
        <w:t>sont tenus</w:t>
      </w:r>
      <w:r w:rsidRPr="003F220A">
        <w:rPr>
          <w:rFonts w:asciiTheme="majorBidi" w:hAnsiTheme="majorBidi" w:cstheme="majorBidi"/>
          <w:lang w:val="fr-CH"/>
        </w:rPr>
        <w:t xml:space="preserve">, aux termes du numéro </w:t>
      </w:r>
      <w:r w:rsidRPr="003F220A">
        <w:rPr>
          <w:rFonts w:asciiTheme="majorBidi" w:hAnsiTheme="majorBidi" w:cstheme="majorBidi"/>
          <w:b/>
          <w:bCs/>
          <w:lang w:val="fr-CH"/>
        </w:rPr>
        <w:t>22.2</w:t>
      </w:r>
      <w:r w:rsidRPr="003F220A">
        <w:rPr>
          <w:rFonts w:asciiTheme="majorBidi" w:hAnsiTheme="majorBidi" w:cstheme="majorBidi"/>
          <w:lang w:val="fr-CH"/>
        </w:rPr>
        <w:t xml:space="preserve">, </w:t>
      </w:r>
      <w:r>
        <w:rPr>
          <w:rFonts w:asciiTheme="majorBidi" w:hAnsiTheme="majorBidi" w:cstheme="majorBidi"/>
          <w:lang w:val="fr-CH"/>
        </w:rPr>
        <w:t xml:space="preserve">de ne pas </w:t>
      </w:r>
      <w:r w:rsidRPr="003F220A">
        <w:rPr>
          <w:rFonts w:asciiTheme="majorBidi" w:hAnsiTheme="majorBidi" w:cstheme="majorBidi"/>
          <w:lang w:val="fr-CH"/>
        </w:rPr>
        <w:t xml:space="preserve">causer de brouillages inacceptables aux réseaux non OSG du SFS, </w:t>
      </w:r>
      <w:r>
        <w:rPr>
          <w:rFonts w:asciiTheme="majorBidi" w:hAnsiTheme="majorBidi" w:cstheme="majorBidi"/>
          <w:lang w:val="fr-CH"/>
        </w:rPr>
        <w:t>et de ne pas</w:t>
      </w:r>
      <w:r w:rsidRPr="003F220A">
        <w:rPr>
          <w:rFonts w:asciiTheme="majorBidi" w:hAnsiTheme="majorBidi" w:cstheme="majorBidi"/>
          <w:lang w:val="fr-CH"/>
        </w:rPr>
        <w:t xml:space="preserve"> demander à bénéficier d'une protection vis-à-vis de ces réseaux</w:t>
      </w:r>
      <w:r w:rsidRPr="003F220A">
        <w:rPr>
          <w:lang w:val="fr-CH"/>
        </w:rPr>
        <w:t>;</w:t>
      </w:r>
    </w:p>
    <w:p w:rsidR="0017669D" w:rsidRPr="003F220A" w:rsidRDefault="0017669D" w:rsidP="00A17011">
      <w:pPr>
        <w:jc w:val="both"/>
        <w:rPr>
          <w:shd w:val="pct15" w:color="auto" w:fill="FFFFFF"/>
          <w:lang w:val="fr-CH"/>
        </w:rPr>
      </w:pPr>
      <w:r w:rsidRPr="003F220A">
        <w:rPr>
          <w:i/>
          <w:iCs/>
          <w:lang w:val="fr-CH"/>
        </w:rPr>
        <w:t>d)</w:t>
      </w:r>
      <w:r w:rsidRPr="003F220A">
        <w:rPr>
          <w:lang w:val="fr-CH"/>
        </w:rPr>
        <w:tab/>
        <w:t xml:space="preserve">que, conformément au numéro </w:t>
      </w:r>
      <w:r w:rsidRPr="003F220A">
        <w:rPr>
          <w:b/>
          <w:bCs/>
          <w:lang w:val="fr-CH"/>
        </w:rPr>
        <w:t>5.458B</w:t>
      </w:r>
      <w:r w:rsidRPr="003F220A">
        <w:rPr>
          <w:lang w:val="fr-CH"/>
        </w:rPr>
        <w:t>, l'attribution à titre primaire dans le sens espace vers Terre au SFS dans la bande</w:t>
      </w:r>
      <w:r>
        <w:rPr>
          <w:lang w:val="fr-CH"/>
        </w:rPr>
        <w:t xml:space="preserve"> de fréquences </w:t>
      </w:r>
      <w:r w:rsidRPr="003F220A">
        <w:rPr>
          <w:lang w:val="fr-CH"/>
        </w:rPr>
        <w:t>6</w:t>
      </w:r>
      <w:r w:rsidRPr="003F220A">
        <w:rPr>
          <w:sz w:val="12"/>
          <w:szCs w:val="12"/>
          <w:lang w:val="fr-CH"/>
        </w:rPr>
        <w:t> </w:t>
      </w:r>
      <w:r w:rsidRPr="003F220A">
        <w:rPr>
          <w:lang w:val="fr-CH"/>
        </w:rPr>
        <w:t>700-7</w:t>
      </w:r>
      <w:r w:rsidRPr="003F220A">
        <w:rPr>
          <w:sz w:val="12"/>
          <w:szCs w:val="12"/>
          <w:lang w:val="fr-CH"/>
        </w:rPr>
        <w:t> </w:t>
      </w:r>
      <w:r>
        <w:rPr>
          <w:lang w:val="fr-CH"/>
        </w:rPr>
        <w:t>02</w:t>
      </w:r>
      <w:r w:rsidRPr="003F220A">
        <w:rPr>
          <w:lang w:val="fr-CH"/>
        </w:rPr>
        <w:t>5 MHz est limitée aux liaisons de connexion destinées aux systèmes</w:t>
      </w:r>
      <w:r w:rsidRPr="003F220A">
        <w:rPr>
          <w:rFonts w:asciiTheme="majorBidi" w:hAnsiTheme="majorBidi" w:cstheme="majorBidi"/>
          <w:lang w:val="fr-CH"/>
        </w:rPr>
        <w:t xml:space="preserve"> non OSG </w:t>
      </w:r>
      <w:r w:rsidRPr="003F220A">
        <w:rPr>
          <w:lang w:val="fr-CH"/>
        </w:rPr>
        <w:t>du service mobile par satellite (SMS);</w:t>
      </w:r>
    </w:p>
    <w:p w:rsidR="0017669D" w:rsidRPr="003F220A" w:rsidRDefault="0017669D" w:rsidP="005131A3">
      <w:pPr>
        <w:jc w:val="both"/>
        <w:rPr>
          <w:color w:val="000000"/>
          <w:lang w:val="fr-CH"/>
        </w:rPr>
      </w:pPr>
      <w:r w:rsidRPr="003F220A">
        <w:rPr>
          <w:i/>
          <w:iCs/>
          <w:lang w:val="fr-CH"/>
        </w:rPr>
        <w:t>e)</w:t>
      </w:r>
      <w:r w:rsidRPr="003F220A">
        <w:rPr>
          <w:lang w:val="fr-CH"/>
        </w:rPr>
        <w:tab/>
        <w:t xml:space="preserve">que les numéros </w:t>
      </w:r>
      <w:r w:rsidRPr="003F220A">
        <w:rPr>
          <w:b/>
          <w:bCs/>
          <w:lang w:val="fr-CH"/>
        </w:rPr>
        <w:t>5.440A</w:t>
      </w:r>
      <w:r w:rsidRPr="003F220A">
        <w:rPr>
          <w:lang w:val="fr-CH"/>
        </w:rPr>
        <w:t xml:space="preserve"> et </w:t>
      </w:r>
      <w:r w:rsidRPr="003F220A">
        <w:rPr>
          <w:b/>
          <w:bCs/>
          <w:lang w:val="fr-CH"/>
        </w:rPr>
        <w:t>5.457C</w:t>
      </w:r>
      <w:r w:rsidRPr="003F220A">
        <w:rPr>
          <w:color w:val="000000"/>
          <w:lang w:val="fr-CH"/>
        </w:rPr>
        <w:t xml:space="preserve"> ont </w:t>
      </w:r>
      <w:r w:rsidRPr="003F220A">
        <w:rPr>
          <w:lang w:val="fr-CH"/>
        </w:rPr>
        <w:t>été adoptés pour examiner l'exploitation</w:t>
      </w:r>
      <w:r w:rsidRPr="003F220A">
        <w:rPr>
          <w:b/>
          <w:bCs/>
          <w:lang w:val="fr-CH"/>
        </w:rPr>
        <w:t xml:space="preserve"> </w:t>
      </w:r>
      <w:r w:rsidRPr="003F220A">
        <w:rPr>
          <w:lang w:val="fr-CH"/>
        </w:rPr>
        <w:t>de la</w:t>
      </w:r>
      <w:r w:rsidRPr="003F220A">
        <w:rPr>
          <w:b/>
          <w:bCs/>
          <w:lang w:val="fr-CH"/>
        </w:rPr>
        <w:t xml:space="preserve"> </w:t>
      </w:r>
      <w:r w:rsidRPr="003F220A">
        <w:rPr>
          <w:color w:val="000000"/>
          <w:lang w:val="fr-CH"/>
        </w:rPr>
        <w:t xml:space="preserve">télémesure mobile aéronautique (AMT) pour les essais en vol </w:t>
      </w:r>
      <w:r>
        <w:rPr>
          <w:color w:val="000000"/>
          <w:lang w:val="fr-CH"/>
        </w:rPr>
        <w:t xml:space="preserve">effectués </w:t>
      </w:r>
      <w:r w:rsidRPr="003F220A">
        <w:rPr>
          <w:color w:val="000000"/>
          <w:lang w:val="fr-CH"/>
        </w:rPr>
        <w:t>par des stations d'aéronef</w:t>
      </w:r>
      <w:r w:rsidRPr="003F220A">
        <w:rPr>
          <w:lang w:val="fr-CH"/>
        </w:rPr>
        <w:t xml:space="preserve"> (voir le numéro </w:t>
      </w:r>
      <w:r w:rsidRPr="003F220A">
        <w:rPr>
          <w:b/>
          <w:bCs/>
          <w:lang w:val="fr-CH"/>
        </w:rPr>
        <w:t>1.83</w:t>
      </w:r>
      <w:r w:rsidRPr="003F220A">
        <w:rPr>
          <w:lang w:val="fr-CH"/>
        </w:rPr>
        <w:t>) dans les bandes</w:t>
      </w:r>
      <w:r>
        <w:rPr>
          <w:lang w:val="fr-CH"/>
        </w:rPr>
        <w:t xml:space="preserve"> de fréquences</w:t>
      </w:r>
      <w:r w:rsidRPr="003F220A">
        <w:rPr>
          <w:lang w:val="fr-CH"/>
        </w:rPr>
        <w:t xml:space="preserve"> 4 400-4 940 MHz et 5 925-6</w:t>
      </w:r>
      <w:r w:rsidR="005131A3">
        <w:rPr>
          <w:lang w:val="fr-CH"/>
        </w:rPr>
        <w:t> </w:t>
      </w:r>
      <w:r w:rsidRPr="003F220A">
        <w:rPr>
          <w:lang w:val="fr-CH"/>
        </w:rPr>
        <w:t>700</w:t>
      </w:r>
      <w:r w:rsidR="005131A3">
        <w:rPr>
          <w:lang w:val="fr-CH"/>
        </w:rPr>
        <w:t> </w:t>
      </w:r>
      <w:r w:rsidRPr="003F220A">
        <w:rPr>
          <w:lang w:val="fr-CH"/>
        </w:rPr>
        <w:t xml:space="preserve">MHz </w:t>
      </w:r>
      <w:r>
        <w:rPr>
          <w:color w:val="000000"/>
          <w:lang w:val="fr-CH"/>
        </w:rPr>
        <w:t>en ce qui concerne le </w:t>
      </w:r>
      <w:r w:rsidRPr="003F220A">
        <w:rPr>
          <w:color w:val="000000"/>
          <w:lang w:val="fr-CH"/>
        </w:rPr>
        <w:t>SFS</w:t>
      </w:r>
      <w:r>
        <w:rPr>
          <w:color w:val="000000"/>
          <w:lang w:val="fr-CH"/>
        </w:rPr>
        <w:t>,</w:t>
      </w:r>
      <w:r w:rsidRPr="003F220A">
        <w:rPr>
          <w:color w:val="000000"/>
          <w:lang w:val="fr-CH"/>
        </w:rPr>
        <w:t xml:space="preserve"> lorsque ce service utilise </w:t>
      </w:r>
      <w:r>
        <w:rPr>
          <w:color w:val="000000"/>
          <w:lang w:val="fr-CH"/>
        </w:rPr>
        <w:t xml:space="preserve">uniquement </w:t>
      </w:r>
      <w:r w:rsidRPr="003F220A">
        <w:rPr>
          <w:color w:val="000000"/>
          <w:lang w:val="fr-CH"/>
        </w:rPr>
        <w:t>des réseaux OSG;</w:t>
      </w:r>
    </w:p>
    <w:p w:rsidR="0017669D" w:rsidRDefault="0017669D" w:rsidP="00A17011">
      <w:pPr>
        <w:tabs>
          <w:tab w:val="clear" w:pos="1134"/>
          <w:tab w:val="left" w:pos="709"/>
        </w:tabs>
        <w:jc w:val="both"/>
        <w:rPr>
          <w:lang w:val="fr-CH"/>
        </w:rPr>
      </w:pPr>
      <w:r>
        <w:rPr>
          <w:i/>
          <w:lang w:val="fr-CH"/>
        </w:rPr>
        <w:t>f</w:t>
      </w:r>
      <w:r w:rsidRPr="003F220A">
        <w:rPr>
          <w:i/>
          <w:lang w:val="fr-CH"/>
        </w:rPr>
        <w:t>)</w:t>
      </w:r>
      <w:r w:rsidRPr="003F220A">
        <w:rPr>
          <w:lang w:val="fr-CH"/>
        </w:rPr>
        <w:tab/>
        <w:t>qu'il existe des critères de protection spécifiques, et des niveaux de protection définis dans le cadre de ces critères, pour le SFS, le service mobile et le service fixe</w:t>
      </w:r>
      <w:r>
        <w:rPr>
          <w:lang w:val="fr-CH"/>
        </w:rPr>
        <w:t>;</w:t>
      </w:r>
    </w:p>
    <w:p w:rsidR="0017669D" w:rsidRPr="003F220A" w:rsidRDefault="0017669D" w:rsidP="00A17011">
      <w:pPr>
        <w:tabs>
          <w:tab w:val="clear" w:pos="1134"/>
          <w:tab w:val="left" w:pos="709"/>
        </w:tabs>
        <w:jc w:val="both"/>
        <w:rPr>
          <w:lang w:val="fr-CH"/>
        </w:rPr>
      </w:pPr>
      <w:r>
        <w:rPr>
          <w:i/>
          <w:iCs/>
          <w:lang w:val="fr-CH"/>
        </w:rPr>
        <w:t>g</w:t>
      </w:r>
      <w:r w:rsidRPr="00557C98">
        <w:rPr>
          <w:i/>
          <w:iCs/>
          <w:lang w:val="fr-CH"/>
        </w:rPr>
        <w:t>)</w:t>
      </w:r>
      <w:r>
        <w:rPr>
          <w:lang w:val="fr-CH"/>
        </w:rPr>
        <w:tab/>
        <w:t xml:space="preserve">que pour l'exploitation de nouveaux systèmes non OSG </w:t>
      </w:r>
      <w:r>
        <w:rPr>
          <w:color w:val="000000"/>
        </w:rPr>
        <w:t>utilisant des orbites circulaires, il faut veiller à assurer la protection des systèmes non OSG</w:t>
      </w:r>
      <w:r w:rsidRPr="00970AAE">
        <w:rPr>
          <w:color w:val="000000"/>
        </w:rPr>
        <w:t xml:space="preserve"> </w:t>
      </w:r>
      <w:r>
        <w:rPr>
          <w:color w:val="000000"/>
        </w:rPr>
        <w:t>existants en orbite fortement elliptique,</w:t>
      </w:r>
    </w:p>
    <w:p w:rsidR="0017669D" w:rsidRPr="003F220A" w:rsidRDefault="0017669D" w:rsidP="00A17011">
      <w:pPr>
        <w:pStyle w:val="Call"/>
        <w:jc w:val="both"/>
        <w:rPr>
          <w:lang w:val="fr-CH"/>
        </w:rPr>
      </w:pPr>
      <w:r>
        <w:rPr>
          <w:lang w:val="fr-CH"/>
        </w:rPr>
        <w:t>décide d'inviter le Secteur des radiocommunications de l'UIT</w:t>
      </w:r>
    </w:p>
    <w:p w:rsidR="0017669D" w:rsidRPr="003F220A" w:rsidRDefault="0017669D" w:rsidP="00A17011">
      <w:pPr>
        <w:jc w:val="both"/>
        <w:rPr>
          <w:szCs w:val="24"/>
          <w:lang w:val="fr-CH"/>
        </w:rPr>
      </w:pPr>
      <w:r w:rsidRPr="003F220A">
        <w:rPr>
          <w:lang w:val="fr-CH"/>
        </w:rPr>
        <w:t xml:space="preserve">à étudier les questions ci-après concernant les systèmes non </w:t>
      </w:r>
      <w:r>
        <w:rPr>
          <w:lang w:val="fr-CH"/>
        </w:rPr>
        <w:t xml:space="preserve">OSG </w:t>
      </w:r>
      <w:r w:rsidRPr="003F220A">
        <w:rPr>
          <w:lang w:val="fr-CH"/>
        </w:rPr>
        <w:t>dans les bandes de fréquences suivantes attribuées au SFS</w:t>
      </w:r>
      <w:r>
        <w:rPr>
          <w:szCs w:val="24"/>
          <w:lang w:val="fr-CH"/>
        </w:rPr>
        <w:t>:</w:t>
      </w:r>
    </w:p>
    <w:p w:rsidR="0017669D" w:rsidRPr="003F220A" w:rsidRDefault="0017669D" w:rsidP="00A17011">
      <w:pPr>
        <w:jc w:val="both"/>
        <w:rPr>
          <w:lang w:val="fr-CH"/>
        </w:rPr>
      </w:pPr>
      <w:r w:rsidRPr="003F220A">
        <w:rPr>
          <w:i/>
          <w:iCs/>
          <w:lang w:val="fr-CH"/>
        </w:rPr>
        <w:t>a)</w:t>
      </w:r>
      <w:r>
        <w:rPr>
          <w:lang w:val="fr-CH"/>
        </w:rPr>
        <w:tab/>
        <w:t>dans la bande de fréquences 3 700</w:t>
      </w:r>
      <w:r w:rsidRPr="003F220A">
        <w:rPr>
          <w:lang w:val="fr-CH"/>
        </w:rPr>
        <w:t xml:space="preserve">-4 200 MHz (espace vers Terre), </w:t>
      </w:r>
      <w:r>
        <w:rPr>
          <w:lang w:val="fr-CH"/>
        </w:rPr>
        <w:t>identification d'une révision</w:t>
      </w:r>
      <w:r w:rsidRPr="00970AAE">
        <w:rPr>
          <w:lang w:val="fr-CH"/>
        </w:rPr>
        <w:t xml:space="preserve"> </w:t>
      </w:r>
      <w:r>
        <w:rPr>
          <w:lang w:val="fr-CH"/>
        </w:rPr>
        <w:t xml:space="preserve">éventuelle du Tableau 21-4 de </w:t>
      </w:r>
      <w:r w:rsidRPr="003F220A">
        <w:rPr>
          <w:lang w:val="fr-CH"/>
        </w:rPr>
        <w:t xml:space="preserve">l'Article </w:t>
      </w:r>
      <w:r w:rsidRPr="003F220A">
        <w:rPr>
          <w:b/>
          <w:bCs/>
          <w:lang w:val="fr-CH"/>
        </w:rPr>
        <w:t>21</w:t>
      </w:r>
      <w:r w:rsidRPr="003F220A">
        <w:rPr>
          <w:lang w:val="fr-CH"/>
        </w:rPr>
        <w:t xml:space="preserve"> </w:t>
      </w:r>
      <w:r>
        <w:rPr>
          <w:lang w:val="fr-CH"/>
        </w:rPr>
        <w:t>pour les satellites du </w:t>
      </w:r>
      <w:r w:rsidRPr="003F220A">
        <w:rPr>
          <w:lang w:val="fr-CH"/>
        </w:rPr>
        <w:t>SFS non OS</w:t>
      </w:r>
      <w:r>
        <w:rPr>
          <w:lang w:val="fr-CH"/>
        </w:rPr>
        <w:t>G</w:t>
      </w:r>
      <w:r w:rsidRPr="003F220A">
        <w:rPr>
          <w:lang w:val="fr-CH"/>
        </w:rPr>
        <w:t xml:space="preserve">, afin de permettre aux </w:t>
      </w:r>
      <w:r>
        <w:rPr>
          <w:lang w:val="fr-CH"/>
        </w:rPr>
        <w:t xml:space="preserve">nouveaux </w:t>
      </w:r>
      <w:r w:rsidRPr="003F220A">
        <w:rPr>
          <w:lang w:val="fr-CH"/>
        </w:rPr>
        <w:t>systèmes non OSG de fonctionner dans ces bandes de fréquences attribuées au SFS, tout en veillant à ce que les services primaires existants, à savoir le service mobile et le service fixe, bénéficient d'une protection et en maintenant les limites de puissance surfacique</w:t>
      </w:r>
      <w:r w:rsidRPr="00970AAE">
        <w:rPr>
          <w:lang w:val="fr-CH"/>
        </w:rPr>
        <w:t xml:space="preserve"> </w:t>
      </w:r>
      <w:r w:rsidRPr="003F220A">
        <w:rPr>
          <w:lang w:val="fr-CH"/>
        </w:rPr>
        <w:t>existantes de l'Article </w:t>
      </w:r>
      <w:r w:rsidRPr="00BB3849">
        <w:rPr>
          <w:b/>
          <w:bCs/>
          <w:lang w:val="fr-CH"/>
        </w:rPr>
        <w:t>21</w:t>
      </w:r>
      <w:r w:rsidRPr="003F220A">
        <w:rPr>
          <w:lang w:val="fr-CH"/>
        </w:rPr>
        <w:t xml:space="preserve"> pour les réseaux OSG;</w:t>
      </w:r>
    </w:p>
    <w:p w:rsidR="0017669D" w:rsidRPr="003F220A" w:rsidRDefault="0017669D" w:rsidP="00A17011">
      <w:pPr>
        <w:jc w:val="both"/>
        <w:rPr>
          <w:lang w:val="fr-CH"/>
        </w:rPr>
      </w:pPr>
      <w:r w:rsidRPr="003F220A">
        <w:rPr>
          <w:i/>
          <w:iCs/>
          <w:lang w:val="fr-CH"/>
        </w:rPr>
        <w:t>b)</w:t>
      </w:r>
      <w:r w:rsidRPr="003F220A">
        <w:rPr>
          <w:lang w:val="fr-CH"/>
        </w:rPr>
        <w:tab/>
        <w:t xml:space="preserve">dans les bandes de fréquences 3 700-4 200 MHz </w:t>
      </w:r>
      <w:r w:rsidRPr="003F220A">
        <w:rPr>
          <w:color w:val="0D0D0D" w:themeColor="text1" w:themeTint="F2"/>
          <w:lang w:val="fr-CH"/>
        </w:rPr>
        <w:t>(espace vers Terre)</w:t>
      </w:r>
      <w:r w:rsidRPr="003F220A">
        <w:rPr>
          <w:lang w:val="fr-CH"/>
        </w:rPr>
        <w:t xml:space="preserve"> et </w:t>
      </w:r>
      <w:r w:rsidRPr="003F220A">
        <w:rPr>
          <w:color w:val="0D0D0D" w:themeColor="text1" w:themeTint="F2"/>
          <w:lang w:val="fr-CH"/>
        </w:rPr>
        <w:t>5</w:t>
      </w:r>
      <w:r w:rsidRPr="003F220A">
        <w:rPr>
          <w:lang w:val="fr-CH"/>
        </w:rPr>
        <w:t> </w:t>
      </w:r>
      <w:r>
        <w:rPr>
          <w:color w:val="0D0D0D" w:themeColor="text1" w:themeTint="F2"/>
          <w:lang w:val="fr-CH"/>
        </w:rPr>
        <w:t>925-</w:t>
      </w:r>
      <w:r w:rsidRPr="003F220A">
        <w:rPr>
          <w:color w:val="0D0D0D" w:themeColor="text1" w:themeTint="F2"/>
          <w:lang w:val="fr-CH"/>
        </w:rPr>
        <w:t>6</w:t>
      </w:r>
      <w:r w:rsidRPr="003F220A">
        <w:rPr>
          <w:lang w:val="fr-CH"/>
        </w:rPr>
        <w:t> </w:t>
      </w:r>
      <w:r>
        <w:rPr>
          <w:lang w:val="fr-CH"/>
        </w:rPr>
        <w:t>425 </w:t>
      </w:r>
      <w:r w:rsidRPr="003F220A">
        <w:rPr>
          <w:color w:val="0D0D0D" w:themeColor="text1" w:themeTint="F2"/>
          <w:lang w:val="fr-CH"/>
        </w:rPr>
        <w:t>MHz</w:t>
      </w:r>
      <w:r w:rsidRPr="003F220A">
        <w:rPr>
          <w:lang w:val="fr-CH"/>
        </w:rPr>
        <w:t xml:space="preserve"> (Terre vers espace), </w:t>
      </w:r>
      <w:r>
        <w:rPr>
          <w:lang w:val="fr-CH"/>
        </w:rPr>
        <w:t xml:space="preserve">les </w:t>
      </w:r>
      <w:r w:rsidRPr="003F220A">
        <w:rPr>
          <w:lang w:val="fr-CH"/>
        </w:rPr>
        <w:t>limites d'</w:t>
      </w:r>
      <w:proofErr w:type="spellStart"/>
      <w:r w:rsidRPr="003F220A">
        <w:rPr>
          <w:lang w:val="fr-CH"/>
        </w:rPr>
        <w:t>epfd</w:t>
      </w:r>
      <w:proofErr w:type="spellEnd"/>
      <w:r w:rsidRPr="003F220A">
        <w:rPr>
          <w:rFonts w:ascii="TimesNewRoman" w:hAnsi="TimesNewRoman" w:cs="TimesNewRoman"/>
          <w:color w:val="000000"/>
          <w:lang w:val="fr-CH" w:eastAsia="zh-CN"/>
        </w:rPr>
        <w:t>↓</w:t>
      </w:r>
      <w:r w:rsidRPr="003F220A">
        <w:rPr>
          <w:rFonts w:ascii="TimesNewRoman" w:hAnsi="TimesNewRoman" w:cs="TimesNewRoman"/>
          <w:b/>
          <w:color w:val="000000"/>
          <w:lang w:val="fr-CH" w:eastAsia="zh-CN"/>
        </w:rPr>
        <w:t xml:space="preserve"> </w:t>
      </w:r>
      <w:r w:rsidRPr="003F220A">
        <w:rPr>
          <w:lang w:val="fr-CH"/>
        </w:rPr>
        <w:t>et d'</w:t>
      </w:r>
      <w:proofErr w:type="spellStart"/>
      <w:r w:rsidRPr="003F220A">
        <w:rPr>
          <w:lang w:val="fr-CH"/>
        </w:rPr>
        <w:t>epfd</w:t>
      </w:r>
      <w:proofErr w:type="spellEnd"/>
      <w:r w:rsidRPr="003F220A">
        <w:rPr>
          <w:rFonts w:ascii="TimesNewRoman" w:hAnsi="TimesNewRoman" w:cs="TimesNewRoman"/>
          <w:color w:val="000000"/>
          <w:lang w:val="fr-CH" w:eastAsia="zh-CN"/>
        </w:rPr>
        <w:t>↑</w:t>
      </w:r>
      <w:r>
        <w:rPr>
          <w:lang w:val="fr-CH"/>
        </w:rPr>
        <w:t xml:space="preserve"> de l'</w:t>
      </w:r>
      <w:r w:rsidRPr="003F220A">
        <w:rPr>
          <w:lang w:val="fr-CH"/>
        </w:rPr>
        <w:t xml:space="preserve">Article </w:t>
      </w:r>
      <w:r w:rsidRPr="003F220A">
        <w:rPr>
          <w:b/>
          <w:lang w:val="fr-CH"/>
        </w:rPr>
        <w:t>22</w:t>
      </w:r>
      <w:r w:rsidRPr="003F220A">
        <w:rPr>
          <w:lang w:val="fr-CH"/>
        </w:rPr>
        <w:t xml:space="preserve"> applicables aux systèmes non OSG,</w:t>
      </w:r>
      <w:r w:rsidRPr="003F220A">
        <w:rPr>
          <w:color w:val="0D0D0D" w:themeColor="text1" w:themeTint="F2"/>
          <w:lang w:val="fr-CH"/>
        </w:rPr>
        <w:t xml:space="preserve"> pour permettre aux systèmes non OSG </w:t>
      </w:r>
      <w:r>
        <w:rPr>
          <w:color w:val="0D0D0D" w:themeColor="text1" w:themeTint="F2"/>
          <w:lang w:val="fr-CH"/>
        </w:rPr>
        <w:t xml:space="preserve">additionnels </w:t>
      </w:r>
      <w:r w:rsidRPr="003F220A">
        <w:rPr>
          <w:color w:val="0D0D0D" w:themeColor="text1" w:themeTint="F2"/>
          <w:lang w:val="fr-CH"/>
        </w:rPr>
        <w:t>de fonctionner dans ces bandes de fréquences</w:t>
      </w:r>
      <w:r w:rsidRPr="003F220A">
        <w:rPr>
          <w:lang w:val="fr-CH"/>
        </w:rPr>
        <w:t>,</w:t>
      </w:r>
      <w:r w:rsidRPr="003F220A">
        <w:rPr>
          <w:color w:val="0D0D0D" w:themeColor="text1" w:themeTint="F2"/>
          <w:lang w:val="fr-CH"/>
        </w:rPr>
        <w:t xml:space="preserve"> tout en </w:t>
      </w:r>
      <w:r>
        <w:rPr>
          <w:color w:val="0D0D0D" w:themeColor="text1" w:themeTint="F2"/>
          <w:lang w:val="fr-CH"/>
        </w:rPr>
        <w:t>veillant à ce</w:t>
      </w:r>
      <w:r w:rsidRPr="003F220A">
        <w:rPr>
          <w:color w:val="0D0D0D" w:themeColor="text1" w:themeTint="F2"/>
          <w:lang w:val="fr-CH"/>
        </w:rPr>
        <w:t xml:space="preserve"> que les réseaux OSG bénéficient d'une protection contre les brouillages inacceptables, conformément au numéro </w:t>
      </w:r>
      <w:r w:rsidRPr="003F220A">
        <w:rPr>
          <w:b/>
          <w:lang w:val="fr-CH"/>
        </w:rPr>
        <w:t xml:space="preserve">22.2 </w:t>
      </w:r>
      <w:r w:rsidRPr="003F220A">
        <w:rPr>
          <w:bCs/>
          <w:lang w:val="fr-CH"/>
        </w:rPr>
        <w:t>ainsi qu'aux critères de protection actuels</w:t>
      </w:r>
      <w:r w:rsidRPr="003F220A">
        <w:rPr>
          <w:lang w:val="fr-CH"/>
        </w:rPr>
        <w:t>;</w:t>
      </w:r>
    </w:p>
    <w:p w:rsidR="0017669D" w:rsidRPr="003F220A" w:rsidRDefault="0017669D" w:rsidP="00A17011">
      <w:pPr>
        <w:jc w:val="both"/>
        <w:rPr>
          <w:lang w:val="fr-CH"/>
        </w:rPr>
      </w:pPr>
      <w:r w:rsidRPr="003F220A">
        <w:rPr>
          <w:i/>
          <w:iCs/>
          <w:lang w:val="fr-CH"/>
        </w:rPr>
        <w:t>c)</w:t>
      </w:r>
      <w:r w:rsidRPr="003F220A">
        <w:rPr>
          <w:lang w:val="fr-CH"/>
        </w:rPr>
        <w:tab/>
        <w:t xml:space="preserve">dans les bandes de fréquences 4 500-4 800 MHz </w:t>
      </w:r>
      <w:r>
        <w:rPr>
          <w:color w:val="0D0D0D" w:themeColor="text1" w:themeTint="F2"/>
          <w:lang w:val="fr-CH"/>
        </w:rPr>
        <w:t>(espace vers Terre</w:t>
      </w:r>
      <w:r w:rsidRPr="003F220A">
        <w:rPr>
          <w:color w:val="0D0D0D" w:themeColor="text1" w:themeTint="F2"/>
          <w:lang w:val="fr-CH"/>
        </w:rPr>
        <w:t>) et 6</w:t>
      </w:r>
      <w:r w:rsidRPr="003F220A">
        <w:rPr>
          <w:lang w:val="fr-CH"/>
        </w:rPr>
        <w:t> </w:t>
      </w:r>
      <w:r w:rsidRPr="003F220A">
        <w:rPr>
          <w:color w:val="0D0D0D" w:themeColor="text1" w:themeTint="F2"/>
          <w:lang w:val="fr-CH"/>
        </w:rPr>
        <w:t>725-7</w:t>
      </w:r>
      <w:r w:rsidRPr="003F220A">
        <w:rPr>
          <w:lang w:val="fr-CH"/>
        </w:rPr>
        <w:t> </w:t>
      </w:r>
      <w:r w:rsidRPr="003F220A">
        <w:rPr>
          <w:color w:val="0D0D0D" w:themeColor="text1" w:themeTint="F2"/>
          <w:lang w:val="fr-CH"/>
        </w:rPr>
        <w:t xml:space="preserve">025 MHz </w:t>
      </w:r>
      <w:r w:rsidRPr="003F220A">
        <w:rPr>
          <w:lang w:val="fr-CH"/>
        </w:rPr>
        <w:t>(Terre vers espace),</w:t>
      </w:r>
      <w:r w:rsidRPr="003F220A">
        <w:rPr>
          <w:color w:val="0D0D0D" w:themeColor="text1" w:themeTint="F2"/>
          <w:lang w:val="fr-CH"/>
        </w:rPr>
        <w:t xml:space="preserve"> définition éventuelle de limites d'</w:t>
      </w:r>
      <w:proofErr w:type="spellStart"/>
      <w:r w:rsidRPr="003F220A">
        <w:rPr>
          <w:lang w:val="fr-CH"/>
        </w:rPr>
        <w:t>epfd</w:t>
      </w:r>
      <w:proofErr w:type="spellEnd"/>
      <w:r w:rsidRPr="003F220A">
        <w:rPr>
          <w:rFonts w:ascii="TimesNewRoman" w:hAnsi="TimesNewRoman" w:cs="TimesNewRoman"/>
          <w:color w:val="000000"/>
          <w:lang w:val="fr-CH" w:eastAsia="zh-CN"/>
        </w:rPr>
        <w:t>↓</w:t>
      </w:r>
      <w:r w:rsidRPr="003F220A">
        <w:rPr>
          <w:rFonts w:ascii="TimesNewRoman" w:hAnsi="TimesNewRoman" w:cs="TimesNewRoman"/>
          <w:b/>
          <w:color w:val="000000"/>
          <w:lang w:val="fr-CH" w:eastAsia="zh-CN"/>
        </w:rPr>
        <w:t xml:space="preserve"> </w:t>
      </w:r>
      <w:r w:rsidRPr="003F220A">
        <w:rPr>
          <w:lang w:val="fr-CH"/>
        </w:rPr>
        <w:t>et d'</w:t>
      </w:r>
      <w:proofErr w:type="spellStart"/>
      <w:r w:rsidRPr="003F220A">
        <w:rPr>
          <w:lang w:val="fr-CH"/>
        </w:rPr>
        <w:t>epfd</w:t>
      </w:r>
      <w:proofErr w:type="spellEnd"/>
      <w:r w:rsidRPr="003F220A">
        <w:rPr>
          <w:rFonts w:ascii="TimesNewRoman" w:hAnsi="TimesNewRoman" w:cs="TimesNewRoman"/>
          <w:color w:val="000000"/>
          <w:lang w:val="fr-CH" w:eastAsia="zh-CN"/>
        </w:rPr>
        <w:t>↑</w:t>
      </w:r>
      <w:r w:rsidRPr="003F220A">
        <w:rPr>
          <w:lang w:val="fr-CH"/>
        </w:rPr>
        <w:t xml:space="preserve"> de l'Article </w:t>
      </w:r>
      <w:r w:rsidRPr="003F220A">
        <w:rPr>
          <w:b/>
          <w:lang w:val="fr-CH"/>
        </w:rPr>
        <w:t>22</w:t>
      </w:r>
      <w:r w:rsidRPr="003F220A">
        <w:rPr>
          <w:bCs/>
          <w:lang w:val="fr-CH"/>
        </w:rPr>
        <w:t>,</w:t>
      </w:r>
      <w:r w:rsidRPr="003F220A">
        <w:rPr>
          <w:lang w:val="fr-CH"/>
        </w:rPr>
        <w:t xml:space="preserve"> analogues à celles qui sont applicables dans d'autres bandes </w:t>
      </w:r>
      <w:r>
        <w:rPr>
          <w:lang w:val="fr-CH"/>
        </w:rPr>
        <w:t xml:space="preserve">de fréquences </w:t>
      </w:r>
      <w:r w:rsidRPr="003F220A">
        <w:rPr>
          <w:lang w:val="fr-CH"/>
        </w:rPr>
        <w:t xml:space="preserve">du SFS, afin de de permettre aux systèmes non OSG de fonctionner dans ces bandes de fréquences, </w:t>
      </w:r>
      <w:r w:rsidRPr="003F220A">
        <w:rPr>
          <w:color w:val="0D0D0D" w:themeColor="text1" w:themeTint="F2"/>
          <w:lang w:val="fr-CH"/>
        </w:rPr>
        <w:t xml:space="preserve">tout en </w:t>
      </w:r>
      <w:r>
        <w:rPr>
          <w:color w:val="0D0D0D" w:themeColor="text1" w:themeTint="F2"/>
          <w:lang w:val="fr-CH"/>
        </w:rPr>
        <w:t>veillant à ce</w:t>
      </w:r>
      <w:r w:rsidRPr="003F220A">
        <w:rPr>
          <w:color w:val="0D0D0D" w:themeColor="text1" w:themeTint="F2"/>
          <w:lang w:val="fr-CH"/>
        </w:rPr>
        <w:t xml:space="preserve"> que les réseaux OSG bénéficient d'une protection contre les brouillages inacceptables, conformément au numéro </w:t>
      </w:r>
      <w:r w:rsidRPr="003F220A">
        <w:rPr>
          <w:b/>
          <w:lang w:val="fr-CH"/>
        </w:rPr>
        <w:t xml:space="preserve">22.2 </w:t>
      </w:r>
      <w:r w:rsidRPr="003F220A">
        <w:rPr>
          <w:bCs/>
          <w:lang w:val="fr-CH"/>
        </w:rPr>
        <w:t>ainsi qu'aux critères de protection actuels</w:t>
      </w:r>
      <w:r>
        <w:rPr>
          <w:bCs/>
          <w:lang w:val="fr-CH"/>
        </w:rPr>
        <w:t xml:space="preserve"> compte tenu du point </w:t>
      </w:r>
      <w:r w:rsidRPr="006A5F58">
        <w:rPr>
          <w:bCs/>
          <w:i/>
          <w:iCs/>
          <w:lang w:val="fr-CH"/>
        </w:rPr>
        <w:t>f)</w:t>
      </w:r>
      <w:r>
        <w:rPr>
          <w:bCs/>
          <w:lang w:val="fr-CH"/>
        </w:rPr>
        <w:t xml:space="preserve"> du </w:t>
      </w:r>
      <w:r w:rsidRPr="006A5F58">
        <w:rPr>
          <w:bCs/>
          <w:i/>
          <w:iCs/>
          <w:lang w:val="fr-CH"/>
        </w:rPr>
        <w:t>reconnaissant</w:t>
      </w:r>
      <w:r>
        <w:rPr>
          <w:bCs/>
          <w:lang w:val="fr-CH"/>
        </w:rPr>
        <w:t xml:space="preserve"> ci-dessus</w:t>
      </w:r>
      <w:r w:rsidRPr="003F220A">
        <w:rPr>
          <w:lang w:val="fr-CH"/>
        </w:rPr>
        <w:t>;</w:t>
      </w:r>
    </w:p>
    <w:p w:rsidR="0017669D" w:rsidRDefault="0017669D" w:rsidP="00A17011">
      <w:pPr>
        <w:jc w:val="both"/>
        <w:rPr>
          <w:lang w:val="fr-CH"/>
        </w:rPr>
      </w:pPr>
      <w:r w:rsidRPr="003F220A">
        <w:rPr>
          <w:i/>
          <w:iCs/>
          <w:lang w:val="fr-CH"/>
        </w:rPr>
        <w:lastRenderedPageBreak/>
        <w:t>d)</w:t>
      </w:r>
      <w:r w:rsidRPr="003F220A">
        <w:rPr>
          <w:lang w:val="fr-CH"/>
        </w:rPr>
        <w:tab/>
      </w:r>
      <w:r w:rsidRPr="003F220A">
        <w:rPr>
          <w:szCs w:val="24"/>
          <w:lang w:val="fr-CH"/>
        </w:rPr>
        <w:t xml:space="preserve">dans la bande de fréquences </w:t>
      </w:r>
      <w:r w:rsidRPr="003F220A">
        <w:rPr>
          <w:lang w:val="fr-CH"/>
        </w:rPr>
        <w:t>6 700-7 025 MHz, protection contre les brouillages inacceptables des liaisons de connexion pour les systèmes du SMS exploités dans le sens espace vers Terre, conformément aux critères actuels, causés par les stations terriennes des systèmes non OSG du SFS fonctionnant dans le sens Terre vers espace;</w:t>
      </w:r>
    </w:p>
    <w:p w:rsidR="0017669D" w:rsidRPr="003F220A" w:rsidRDefault="0017669D" w:rsidP="00A17011">
      <w:pPr>
        <w:jc w:val="both"/>
        <w:rPr>
          <w:b/>
          <w:szCs w:val="24"/>
          <w:lang w:val="fr-CH"/>
        </w:rPr>
      </w:pPr>
      <w:r w:rsidRPr="00D007ED">
        <w:rPr>
          <w:i/>
          <w:iCs/>
          <w:lang w:val="fr-CH"/>
        </w:rPr>
        <w:t>e)</w:t>
      </w:r>
      <w:r>
        <w:rPr>
          <w:lang w:val="fr-CH"/>
        </w:rPr>
        <w:tab/>
        <w:t xml:space="preserve">dans la bande de fréquences </w:t>
      </w:r>
      <w:r w:rsidRPr="00BB3849">
        <w:rPr>
          <w:bCs/>
          <w:szCs w:val="24"/>
        </w:rPr>
        <w:t>4 500-4 800 MHz</w:t>
      </w:r>
      <w:r>
        <w:rPr>
          <w:bCs/>
          <w:szCs w:val="24"/>
        </w:rPr>
        <w:t xml:space="preserve"> (espace vers Terre), élaboration de dispositions réglementaires appropriées pour </w:t>
      </w:r>
      <w:r>
        <w:rPr>
          <w:lang w:val="fr-CH"/>
        </w:rPr>
        <w:t>l</w:t>
      </w:r>
      <w:r w:rsidRPr="003F220A">
        <w:rPr>
          <w:lang w:val="fr-CH"/>
        </w:rPr>
        <w:t>es systèmes du SFS non OSG</w:t>
      </w:r>
      <w:r>
        <w:rPr>
          <w:lang w:val="fr-CH"/>
        </w:rPr>
        <w:t xml:space="preserve">, afin de protéger les </w:t>
      </w:r>
      <w:r>
        <w:rPr>
          <w:color w:val="000000"/>
        </w:rPr>
        <w:t>services de Terre;</w:t>
      </w:r>
    </w:p>
    <w:p w:rsidR="0017669D" w:rsidRPr="003F220A" w:rsidRDefault="0017669D" w:rsidP="005131A3">
      <w:pPr>
        <w:jc w:val="both"/>
        <w:rPr>
          <w:lang w:val="fr-CH"/>
        </w:rPr>
      </w:pPr>
      <w:r>
        <w:rPr>
          <w:i/>
          <w:iCs/>
          <w:lang w:val="fr-CH"/>
        </w:rPr>
        <w:t>f</w:t>
      </w:r>
      <w:r w:rsidRPr="003F220A">
        <w:rPr>
          <w:i/>
          <w:iCs/>
          <w:lang w:val="fr-CH"/>
        </w:rPr>
        <w:t>)</w:t>
      </w:r>
      <w:r w:rsidRPr="003F220A">
        <w:rPr>
          <w:lang w:val="fr-CH"/>
        </w:rPr>
        <w:tab/>
      </w:r>
      <w:r w:rsidRPr="003F220A">
        <w:rPr>
          <w:szCs w:val="24"/>
          <w:lang w:val="fr-CH"/>
        </w:rPr>
        <w:t xml:space="preserve">dans les bandes </w:t>
      </w:r>
      <w:r>
        <w:rPr>
          <w:szCs w:val="24"/>
          <w:lang w:val="fr-CH"/>
        </w:rPr>
        <w:t xml:space="preserve">de fréquences </w:t>
      </w:r>
      <w:r w:rsidRPr="003F220A">
        <w:rPr>
          <w:lang w:val="fr-CH"/>
        </w:rPr>
        <w:t>4</w:t>
      </w:r>
      <w:r w:rsidRPr="003F220A">
        <w:rPr>
          <w:szCs w:val="24"/>
          <w:lang w:val="fr-CH"/>
        </w:rPr>
        <w:t> </w:t>
      </w:r>
      <w:r w:rsidRPr="003F220A">
        <w:rPr>
          <w:lang w:val="fr-CH"/>
        </w:rPr>
        <w:t>500-4</w:t>
      </w:r>
      <w:r w:rsidRPr="003F220A">
        <w:rPr>
          <w:szCs w:val="24"/>
          <w:lang w:val="fr-CH"/>
        </w:rPr>
        <w:t> </w:t>
      </w:r>
      <w:r w:rsidRPr="003F220A">
        <w:rPr>
          <w:lang w:val="fr-CH"/>
        </w:rPr>
        <w:t>800 MHz (espace vers Terre) et 5</w:t>
      </w:r>
      <w:r w:rsidRPr="003F220A">
        <w:rPr>
          <w:szCs w:val="24"/>
          <w:lang w:val="fr-CH"/>
        </w:rPr>
        <w:t> </w:t>
      </w:r>
      <w:r w:rsidRPr="003F220A">
        <w:rPr>
          <w:lang w:val="fr-CH"/>
        </w:rPr>
        <w:t>925-</w:t>
      </w:r>
      <w:r>
        <w:rPr>
          <w:lang w:val="fr-CH"/>
        </w:rPr>
        <w:t>6 425</w:t>
      </w:r>
      <w:r w:rsidR="005131A3">
        <w:rPr>
          <w:lang w:val="fr-CH"/>
        </w:rPr>
        <w:t> </w:t>
      </w:r>
      <w:r w:rsidRPr="003F220A">
        <w:rPr>
          <w:lang w:val="fr-CH"/>
        </w:rPr>
        <w:t>MHz (Terre vers espace), élaboration de dispositions réglementaires vi</w:t>
      </w:r>
      <w:r>
        <w:rPr>
          <w:lang w:val="fr-CH"/>
        </w:rPr>
        <w:t>sant à préciser que les numéros </w:t>
      </w:r>
      <w:r w:rsidRPr="003F220A">
        <w:rPr>
          <w:b/>
          <w:bCs/>
          <w:lang w:val="fr-CH"/>
        </w:rPr>
        <w:t>5.440A</w:t>
      </w:r>
      <w:r>
        <w:rPr>
          <w:lang w:val="fr-CH"/>
        </w:rPr>
        <w:t xml:space="preserve"> et </w:t>
      </w:r>
      <w:r w:rsidRPr="003F220A">
        <w:rPr>
          <w:b/>
          <w:bCs/>
          <w:lang w:val="fr-CH"/>
        </w:rPr>
        <w:t>5.457C</w:t>
      </w:r>
      <w:r w:rsidRPr="003F220A">
        <w:rPr>
          <w:lang w:val="fr-CH"/>
        </w:rPr>
        <w:t xml:space="preserve"> s'appliqueront, afin de faire en sorte que les systèmes non OSG du SFS ne causent pas de brouillages préjudiciables aux stations d'aéronef utilisées pour la télémesure mobile aéronautique (AMT) pour les essais en vol, et ne demandent pas à bénéficier d'une protection vis</w:t>
      </w:r>
      <w:r>
        <w:rPr>
          <w:lang w:val="fr-CH"/>
        </w:rPr>
        <w:noBreakHyphen/>
      </w:r>
      <w:r w:rsidRPr="003F220A">
        <w:rPr>
          <w:lang w:val="fr-CH"/>
        </w:rPr>
        <w:t>à</w:t>
      </w:r>
      <w:r>
        <w:rPr>
          <w:lang w:val="fr-CH"/>
        </w:rPr>
        <w:noBreakHyphen/>
      </w:r>
      <w:r w:rsidRPr="003F220A">
        <w:rPr>
          <w:lang w:val="fr-CH"/>
        </w:rPr>
        <w:t>vis de ces stations,</w:t>
      </w:r>
    </w:p>
    <w:p w:rsidR="0017669D" w:rsidRPr="003F220A" w:rsidRDefault="0017669D" w:rsidP="00A17011">
      <w:pPr>
        <w:pStyle w:val="Call"/>
        <w:jc w:val="both"/>
        <w:rPr>
          <w:lang w:val="fr-CH"/>
        </w:rPr>
      </w:pPr>
      <w:r>
        <w:rPr>
          <w:lang w:val="fr-CH"/>
        </w:rPr>
        <w:t xml:space="preserve">décide en </w:t>
      </w:r>
      <w:r w:rsidRPr="003F220A">
        <w:rPr>
          <w:lang w:val="fr-CH"/>
        </w:rPr>
        <w:t>outre</w:t>
      </w:r>
    </w:p>
    <w:p w:rsidR="0017669D" w:rsidRDefault="0017669D" w:rsidP="00A17011">
      <w:pPr>
        <w:jc w:val="both"/>
        <w:rPr>
          <w:lang w:val="fr-CH"/>
        </w:rPr>
      </w:pPr>
      <w:r>
        <w:rPr>
          <w:lang w:val="fr-CH"/>
        </w:rPr>
        <w:t>1</w:t>
      </w:r>
      <w:r>
        <w:rPr>
          <w:lang w:val="fr-CH"/>
        </w:rPr>
        <w:tab/>
      </w:r>
      <w:r w:rsidRPr="003F220A">
        <w:rPr>
          <w:lang w:val="fr-CH"/>
        </w:rPr>
        <w:t xml:space="preserve">que les résultats des études mentionnées dans le </w:t>
      </w:r>
      <w:r w:rsidRPr="003F220A">
        <w:rPr>
          <w:i/>
          <w:lang w:val="fr-CH"/>
        </w:rPr>
        <w:t>décide</w:t>
      </w:r>
      <w:r w:rsidRPr="003F220A">
        <w:rPr>
          <w:lang w:val="fr-CH"/>
        </w:rPr>
        <w:t xml:space="preserve"> ci-dessus</w:t>
      </w:r>
      <w:r>
        <w:rPr>
          <w:lang w:val="fr-CH"/>
        </w:rPr>
        <w:t>:</w:t>
      </w:r>
      <w:r w:rsidRPr="003F220A">
        <w:rPr>
          <w:lang w:val="fr-CH"/>
        </w:rPr>
        <w:t xml:space="preserve"> </w:t>
      </w:r>
    </w:p>
    <w:p w:rsidR="0017669D" w:rsidRDefault="0017669D" w:rsidP="00A17011">
      <w:pPr>
        <w:pStyle w:val="enumlev1"/>
        <w:jc w:val="both"/>
        <w:rPr>
          <w:lang w:val="fr-CH"/>
        </w:rPr>
      </w:pPr>
      <w:r w:rsidRPr="00EA3E5C">
        <w:rPr>
          <w:lang w:val="fr-CH"/>
        </w:rPr>
        <w:t>–</w:t>
      </w:r>
      <w:r>
        <w:rPr>
          <w:lang w:val="fr-CH"/>
        </w:rPr>
        <w:tab/>
      </w:r>
      <w:r w:rsidRPr="003F220A">
        <w:rPr>
          <w:lang w:val="fr-CH"/>
        </w:rPr>
        <w:t>ne doivent</w:t>
      </w:r>
      <w:r>
        <w:rPr>
          <w:lang w:val="fr-CH"/>
        </w:rPr>
        <w:t xml:space="preserve"> </w:t>
      </w:r>
      <w:r w:rsidRPr="00A41C68">
        <w:rPr>
          <w:lang w:val="fr-CH"/>
        </w:rPr>
        <w:t xml:space="preserve">en aucune manière entraîner une modification des critères de protection et des niveaux de protection définis dans le cadre de ces critères pour </w:t>
      </w:r>
      <w:r>
        <w:rPr>
          <w:lang w:val="fr-CH"/>
        </w:rPr>
        <w:t>le SFS OSG</w:t>
      </w:r>
      <w:r w:rsidRPr="00A41C68">
        <w:rPr>
          <w:lang w:val="fr-CH"/>
        </w:rPr>
        <w:t>, le service fixe et le service mobile</w:t>
      </w:r>
      <w:r>
        <w:rPr>
          <w:lang w:val="fr-CH"/>
        </w:rPr>
        <w:t>;</w:t>
      </w:r>
    </w:p>
    <w:p w:rsidR="0017669D" w:rsidRDefault="0017669D" w:rsidP="00A17011">
      <w:pPr>
        <w:pStyle w:val="enumlev1"/>
        <w:jc w:val="both"/>
        <w:rPr>
          <w:color w:val="000000"/>
        </w:rPr>
      </w:pPr>
      <w:r w:rsidRPr="00EA3E5C">
        <w:rPr>
          <w:lang w:val="fr-CH"/>
        </w:rPr>
        <w:t>–</w:t>
      </w:r>
      <w:r>
        <w:rPr>
          <w:lang w:val="fr-CH"/>
        </w:rPr>
        <w:tab/>
        <w:t xml:space="preserve">doivent garantir la protection des systèmes non OSG du SFS </w:t>
      </w:r>
      <w:r>
        <w:rPr>
          <w:color w:val="000000"/>
        </w:rPr>
        <w:t>existants en orbite fortement elliptique;</w:t>
      </w:r>
    </w:p>
    <w:p w:rsidR="0017669D" w:rsidRDefault="0017669D" w:rsidP="00A17011">
      <w:pPr>
        <w:jc w:val="both"/>
        <w:rPr>
          <w:color w:val="000000"/>
        </w:rPr>
      </w:pPr>
      <w:r>
        <w:rPr>
          <w:color w:val="000000"/>
        </w:rPr>
        <w:t>2</w:t>
      </w:r>
      <w:r>
        <w:rPr>
          <w:color w:val="000000"/>
        </w:rPr>
        <w:tab/>
      </w:r>
      <w:r w:rsidRPr="003F220A">
        <w:rPr>
          <w:lang w:val="fr-CH"/>
        </w:rPr>
        <w:t>que</w:t>
      </w:r>
      <w:r>
        <w:rPr>
          <w:lang w:val="fr-CH"/>
        </w:rPr>
        <w:t>,</w:t>
      </w:r>
      <w:r w:rsidRPr="003F220A">
        <w:rPr>
          <w:lang w:val="fr-CH"/>
        </w:rPr>
        <w:t xml:space="preserve"> </w:t>
      </w:r>
      <w:r>
        <w:rPr>
          <w:lang w:val="fr-CH"/>
        </w:rPr>
        <w:t xml:space="preserve">pour </w:t>
      </w:r>
      <w:r w:rsidRPr="003F220A">
        <w:rPr>
          <w:lang w:val="fr-CH"/>
        </w:rPr>
        <w:t xml:space="preserve">les </w:t>
      </w:r>
      <w:r>
        <w:rPr>
          <w:lang w:val="fr-CH"/>
        </w:rPr>
        <w:t>nouveaux</w:t>
      </w:r>
      <w:r w:rsidRPr="003F220A">
        <w:rPr>
          <w:lang w:val="fr-CH"/>
        </w:rPr>
        <w:t xml:space="preserve"> syst</w:t>
      </w:r>
      <w:r>
        <w:rPr>
          <w:lang w:val="fr-CH"/>
        </w:rPr>
        <w:t>èmes non OSG fonctionnant dans l</w:t>
      </w:r>
      <w:r w:rsidRPr="003F220A">
        <w:rPr>
          <w:lang w:val="fr-CH"/>
        </w:rPr>
        <w:t xml:space="preserve">es bandes attribuées au SFS </w:t>
      </w:r>
      <w:r>
        <w:rPr>
          <w:lang w:val="fr-CH"/>
        </w:rPr>
        <w:t>assujettis aux</w:t>
      </w:r>
      <w:r w:rsidRPr="003F220A">
        <w:rPr>
          <w:lang w:val="fr-CH"/>
        </w:rPr>
        <w:t xml:space="preserve"> dispositions de l'Appendice </w:t>
      </w:r>
      <w:r w:rsidRPr="003F220A">
        <w:rPr>
          <w:b/>
          <w:bCs/>
          <w:lang w:val="fr-CH"/>
        </w:rPr>
        <w:t>30B</w:t>
      </w:r>
      <w:r w:rsidRPr="002C756E">
        <w:rPr>
          <w:lang w:val="fr-CH"/>
        </w:rPr>
        <w:t>,</w:t>
      </w:r>
      <w:r w:rsidRPr="003F220A">
        <w:rPr>
          <w:lang w:val="fr-CH"/>
        </w:rPr>
        <w:t xml:space="preserve"> </w:t>
      </w:r>
      <w:r>
        <w:rPr>
          <w:lang w:val="fr-CH"/>
        </w:rPr>
        <w:t>il faut</w:t>
      </w:r>
      <w:r w:rsidRPr="003F220A">
        <w:rPr>
          <w:lang w:val="fr-CH"/>
        </w:rPr>
        <w:t xml:space="preserve"> veiller à ce que les </w:t>
      </w:r>
      <w:r>
        <w:rPr>
          <w:lang w:val="fr-CH"/>
        </w:rPr>
        <w:t>allotissements figurant dans le </w:t>
      </w:r>
      <w:r w:rsidRPr="003F220A">
        <w:rPr>
          <w:lang w:val="fr-CH"/>
        </w:rPr>
        <w:t xml:space="preserve">Plan et les assignations </w:t>
      </w:r>
      <w:r>
        <w:rPr>
          <w:lang w:val="fr-CH"/>
        </w:rPr>
        <w:t>de</w:t>
      </w:r>
      <w:r w:rsidRPr="003F220A">
        <w:rPr>
          <w:lang w:val="fr-CH"/>
        </w:rPr>
        <w:t xml:space="preserve"> la Liste de l'Appendice </w:t>
      </w:r>
      <w:r w:rsidRPr="003F220A">
        <w:rPr>
          <w:b/>
          <w:bCs/>
          <w:lang w:val="fr-CH"/>
        </w:rPr>
        <w:t xml:space="preserve">30B </w:t>
      </w:r>
      <w:r w:rsidRPr="003F220A">
        <w:rPr>
          <w:lang w:val="fr-CH"/>
        </w:rPr>
        <w:t xml:space="preserve">soient </w:t>
      </w:r>
      <w:r>
        <w:rPr>
          <w:lang w:val="fr-CH"/>
        </w:rPr>
        <w:t>parfaitement protégés,</w:t>
      </w:r>
    </w:p>
    <w:p w:rsidR="0017669D" w:rsidRPr="003F220A" w:rsidRDefault="0017669D" w:rsidP="00A17011">
      <w:pPr>
        <w:pStyle w:val="Call"/>
        <w:jc w:val="both"/>
        <w:rPr>
          <w:lang w:val="fr-CH"/>
        </w:rPr>
      </w:pPr>
      <w:r w:rsidRPr="003F220A">
        <w:rPr>
          <w:lang w:val="fr-CH"/>
        </w:rPr>
        <w:t>invite les administrations</w:t>
      </w:r>
    </w:p>
    <w:p w:rsidR="0017669D" w:rsidRPr="003F220A" w:rsidRDefault="0017669D" w:rsidP="00A17011">
      <w:pPr>
        <w:jc w:val="both"/>
        <w:rPr>
          <w:lang w:val="fr-CH"/>
        </w:rPr>
      </w:pPr>
      <w:r w:rsidRPr="003F220A">
        <w:rPr>
          <w:lang w:val="fr-CH"/>
        </w:rPr>
        <w:t xml:space="preserve">à participer aux études en soumettant des contributions </w:t>
      </w:r>
      <w:r>
        <w:rPr>
          <w:lang w:val="fr-CH"/>
        </w:rPr>
        <w:t>au Secteur des radiocommunications de l'UIT</w:t>
      </w:r>
      <w:r w:rsidRPr="003F220A">
        <w:rPr>
          <w:lang w:val="fr-CH"/>
        </w:rPr>
        <w:t>,</w:t>
      </w:r>
    </w:p>
    <w:p w:rsidR="0017669D" w:rsidRDefault="0017669D" w:rsidP="00A17011">
      <w:pPr>
        <w:pStyle w:val="Call"/>
        <w:keepNext w:val="0"/>
        <w:jc w:val="both"/>
        <w:rPr>
          <w:lang w:val="fr-CH"/>
        </w:rPr>
      </w:pPr>
      <w:r w:rsidRPr="003F220A">
        <w:rPr>
          <w:lang w:val="fr-CH"/>
        </w:rPr>
        <w:t>charge le Directeur du Bureau des radiocommunications</w:t>
      </w:r>
    </w:p>
    <w:p w:rsidR="00695B9C" w:rsidRPr="0017669D" w:rsidRDefault="0017669D" w:rsidP="00A17011">
      <w:pPr>
        <w:jc w:val="both"/>
        <w:rPr>
          <w:rFonts w:asciiTheme="majorBidi" w:hAnsiTheme="majorBidi" w:cstheme="majorBidi"/>
          <w:szCs w:val="24"/>
        </w:rPr>
      </w:pPr>
      <w:r>
        <w:rPr>
          <w:lang w:val="fr-CH"/>
        </w:rPr>
        <w:t>de faire figurer</w:t>
      </w:r>
      <w:r w:rsidRPr="00D83B46">
        <w:rPr>
          <w:lang w:val="fr-CH"/>
        </w:rPr>
        <w:t xml:space="preserve"> dans son Rapport les résultats des études de l'UIT-R mentionnées dans le </w:t>
      </w:r>
      <w:r w:rsidRPr="00D83B46">
        <w:rPr>
          <w:i/>
          <w:iCs/>
          <w:lang w:val="fr-CH"/>
        </w:rPr>
        <w:t>décide d'inviter</w:t>
      </w:r>
      <w:r>
        <w:rPr>
          <w:i/>
          <w:iCs/>
          <w:lang w:val="fr-CH"/>
        </w:rPr>
        <w:t xml:space="preserve"> le Secteur des radiocommunications de</w:t>
      </w:r>
      <w:r w:rsidRPr="00D83B46">
        <w:rPr>
          <w:i/>
          <w:iCs/>
          <w:lang w:val="fr-CH"/>
        </w:rPr>
        <w:t xml:space="preserve"> l'UIT</w:t>
      </w:r>
      <w:r w:rsidRPr="00D83B46">
        <w:rPr>
          <w:lang w:val="fr-CH"/>
        </w:rPr>
        <w:t xml:space="preserve"> ci-dessus afin qu'ils soient examinés par la CMR-19</w:t>
      </w:r>
      <w:r w:rsidR="00695B9C" w:rsidRPr="0017669D">
        <w:rPr>
          <w:rFonts w:asciiTheme="majorBidi" w:hAnsiTheme="majorBidi" w:cstheme="majorBidi"/>
          <w:szCs w:val="24"/>
        </w:rPr>
        <w:t>.</w:t>
      </w:r>
    </w:p>
    <w:p w:rsidR="00553AD2" w:rsidRPr="0017669D" w:rsidRDefault="00553AD2" w:rsidP="00A17011">
      <w:pPr>
        <w:jc w:val="both"/>
        <w:rPr>
          <w:rFonts w:asciiTheme="majorBidi" w:hAnsiTheme="majorBidi" w:cstheme="majorBidi"/>
          <w:szCs w:val="24"/>
        </w:rPr>
      </w:pPr>
    </w:p>
    <w:p w:rsidR="00850D4C" w:rsidRDefault="007C1B97" w:rsidP="00A17011">
      <w:pPr>
        <w:pStyle w:val="ResNo"/>
        <w:rPr>
          <w:lang w:val="fr-CH"/>
        </w:rPr>
      </w:pPr>
      <w:r w:rsidRPr="0017669D">
        <w:rPr>
          <w:rFonts w:asciiTheme="majorBidi" w:hAnsiTheme="majorBidi" w:cstheme="majorBidi"/>
          <w:sz w:val="24"/>
          <w:szCs w:val="24"/>
        </w:rPr>
        <w:br w:type="page"/>
      </w:r>
      <w:bookmarkStart w:id="96" w:name="_Toc327364379"/>
      <w:bookmarkStart w:id="97" w:name="_Toc337471322"/>
    </w:p>
    <w:p w:rsidR="00536000" w:rsidRPr="00536000" w:rsidRDefault="00536000" w:rsidP="00A17011">
      <w:pPr>
        <w:pStyle w:val="ResNo"/>
      </w:pPr>
      <w:bookmarkStart w:id="98" w:name="RES_158"/>
      <w:bookmarkStart w:id="99" w:name="_Toc444507533"/>
      <w:bookmarkStart w:id="100" w:name="_Toc460331692"/>
      <w:bookmarkStart w:id="101" w:name="_Toc463616149"/>
      <w:r w:rsidRPr="00536000">
        <w:lastRenderedPageBreak/>
        <w:t>R</w:t>
      </w:r>
      <w:r w:rsidR="001D5201" w:rsidRPr="001D5201">
        <w:t>É</w:t>
      </w:r>
      <w:r w:rsidRPr="00536000">
        <w:t xml:space="preserve">SOLUTION </w:t>
      </w:r>
      <w:r w:rsidRPr="00536000">
        <w:rPr>
          <w:rStyle w:val="href"/>
        </w:rPr>
        <w:t>158</w:t>
      </w:r>
      <w:r w:rsidRPr="00536000">
        <w:t xml:space="preserve"> </w:t>
      </w:r>
      <w:bookmarkEnd w:id="98"/>
      <w:r w:rsidRPr="00536000">
        <w:t>(</w:t>
      </w:r>
      <w:r w:rsidR="00F8363E" w:rsidRPr="00A20F5A">
        <w:t>C</w:t>
      </w:r>
      <w:r w:rsidR="00F8363E">
        <w:t>MR</w:t>
      </w:r>
      <w:r w:rsidRPr="00536000">
        <w:noBreakHyphen/>
        <w:t>15)</w:t>
      </w:r>
      <w:bookmarkEnd w:id="99"/>
      <w:bookmarkEnd w:id="100"/>
      <w:bookmarkEnd w:id="101"/>
    </w:p>
    <w:p w:rsidR="00850D4C" w:rsidRPr="00730563" w:rsidRDefault="00850D4C" w:rsidP="00A17011">
      <w:pPr>
        <w:pStyle w:val="Restitle"/>
        <w:rPr>
          <w:lang w:val="fr-CH"/>
        </w:rPr>
      </w:pPr>
      <w:bookmarkStart w:id="102" w:name="_Toc450208625"/>
      <w:bookmarkStart w:id="103" w:name="_Toc463616150"/>
      <w:r w:rsidRPr="00730563">
        <w:rPr>
          <w:lang w:val="fr-CH"/>
        </w:rPr>
        <w:t>Utilisation des bandes de fréquences</w:t>
      </w:r>
      <w:r>
        <w:rPr>
          <w:lang w:val="fr-CH"/>
        </w:rPr>
        <w:t xml:space="preserve"> </w:t>
      </w:r>
      <w:r w:rsidRPr="00730563">
        <w:rPr>
          <w:lang w:val="fr-CH"/>
        </w:rPr>
        <w:t>17</w:t>
      </w:r>
      <w:r>
        <w:rPr>
          <w:lang w:val="fr-CH"/>
        </w:rPr>
        <w:t>,</w:t>
      </w:r>
      <w:r w:rsidRPr="00730563">
        <w:rPr>
          <w:lang w:val="fr-CH"/>
        </w:rPr>
        <w:t>7-19</w:t>
      </w:r>
      <w:r>
        <w:rPr>
          <w:lang w:val="fr-CH"/>
        </w:rPr>
        <w:t>,</w:t>
      </w:r>
      <w:r w:rsidRPr="00730563">
        <w:rPr>
          <w:lang w:val="fr-CH"/>
        </w:rPr>
        <w:t>7 GHz</w:t>
      </w:r>
      <w:r>
        <w:rPr>
          <w:lang w:val="fr-CH"/>
        </w:rPr>
        <w:t xml:space="preserve"> (espace vers Terre) </w:t>
      </w:r>
      <w:r w:rsidRPr="00730563">
        <w:rPr>
          <w:lang w:val="fr-CH"/>
        </w:rPr>
        <w:t>et</w:t>
      </w:r>
      <w:r w:rsidRPr="006342EA">
        <w:rPr>
          <w:rFonts w:asciiTheme="minorHAnsi" w:hAnsiTheme="minorHAnsi"/>
          <w:lang w:val="fr-CH"/>
        </w:rPr>
        <w:t xml:space="preserve"> </w:t>
      </w:r>
      <w:r w:rsidRPr="00730563">
        <w:rPr>
          <w:lang w:val="fr-CH"/>
        </w:rPr>
        <w:t>27</w:t>
      </w:r>
      <w:r>
        <w:rPr>
          <w:lang w:val="fr-CH"/>
        </w:rPr>
        <w:t>,</w:t>
      </w:r>
      <w:r w:rsidRPr="00730563">
        <w:rPr>
          <w:lang w:val="fr-CH"/>
        </w:rPr>
        <w:t>5</w:t>
      </w:r>
      <w:r>
        <w:rPr>
          <w:lang w:val="fr-CH"/>
        </w:rPr>
        <w:noBreakHyphen/>
      </w:r>
      <w:r w:rsidRPr="00730563">
        <w:rPr>
          <w:lang w:val="fr-CH"/>
        </w:rPr>
        <w:t>29</w:t>
      </w:r>
      <w:r>
        <w:rPr>
          <w:lang w:val="fr-CH"/>
        </w:rPr>
        <w:t>,</w:t>
      </w:r>
      <w:r w:rsidRPr="00730563">
        <w:rPr>
          <w:lang w:val="fr-CH"/>
        </w:rPr>
        <w:t>5 GHz</w:t>
      </w:r>
      <w:r>
        <w:rPr>
          <w:lang w:val="fr-CH"/>
        </w:rPr>
        <w:t xml:space="preserve"> (Terre vers espace)</w:t>
      </w:r>
      <w:r w:rsidRPr="00730563">
        <w:rPr>
          <w:lang w:val="fr-CH"/>
        </w:rPr>
        <w:t xml:space="preserve"> par les stations terriennes </w:t>
      </w:r>
      <w:r>
        <w:rPr>
          <w:lang w:val="fr-CH"/>
        </w:rPr>
        <w:t xml:space="preserve">en </w:t>
      </w:r>
      <w:r>
        <w:rPr>
          <w:lang w:val="fr-CH"/>
        </w:rPr>
        <w:br/>
        <w:t>mouvement</w:t>
      </w:r>
      <w:r w:rsidRPr="00730563">
        <w:rPr>
          <w:lang w:val="fr-CH"/>
        </w:rPr>
        <w:t xml:space="preserve"> communiquant avec des stations spatiales </w:t>
      </w:r>
      <w:r>
        <w:rPr>
          <w:lang w:val="fr-CH"/>
        </w:rPr>
        <w:br/>
      </w:r>
      <w:r w:rsidRPr="00730563">
        <w:rPr>
          <w:lang w:val="fr-CH"/>
        </w:rPr>
        <w:t>géostationnaires du service fixe par satellite</w:t>
      </w:r>
      <w:bookmarkEnd w:id="102"/>
      <w:bookmarkEnd w:id="103"/>
      <w:r w:rsidRPr="00730563">
        <w:rPr>
          <w:lang w:val="fr-CH"/>
        </w:rPr>
        <w:t xml:space="preserve"> </w:t>
      </w:r>
    </w:p>
    <w:p w:rsidR="00850D4C" w:rsidRPr="00730563" w:rsidRDefault="00850D4C" w:rsidP="00A17011">
      <w:pPr>
        <w:pStyle w:val="Normalaftertitle"/>
        <w:jc w:val="both"/>
        <w:rPr>
          <w:lang w:val="fr-CH"/>
        </w:rPr>
      </w:pPr>
      <w:r w:rsidRPr="00730563">
        <w:rPr>
          <w:lang w:val="fr-CH"/>
        </w:rPr>
        <w:t>La Conférence mondiale des radiocommunications (Genève</w:t>
      </w:r>
      <w:r>
        <w:rPr>
          <w:lang w:val="fr-CH"/>
        </w:rPr>
        <w:t>,</w:t>
      </w:r>
      <w:r w:rsidRPr="00730563">
        <w:rPr>
          <w:lang w:val="fr-CH"/>
        </w:rPr>
        <w:t xml:space="preserve"> 2015),</w:t>
      </w:r>
    </w:p>
    <w:p w:rsidR="00850D4C" w:rsidRPr="00FD22D6" w:rsidRDefault="00850D4C" w:rsidP="00A17011">
      <w:pPr>
        <w:pStyle w:val="Call"/>
        <w:jc w:val="both"/>
      </w:pPr>
      <w:r w:rsidRPr="00FD22D6">
        <w:t>consid</w:t>
      </w:r>
      <w:r>
        <w:t>érant</w:t>
      </w:r>
    </w:p>
    <w:p w:rsidR="00850D4C" w:rsidRDefault="00850D4C" w:rsidP="00A17011">
      <w:pPr>
        <w:jc w:val="both"/>
      </w:pPr>
      <w:r w:rsidRPr="000E0653">
        <w:rPr>
          <w:i/>
          <w:iCs/>
        </w:rPr>
        <w:t>a)</w:t>
      </w:r>
      <w:r w:rsidRPr="00FD22D6">
        <w:tab/>
      </w:r>
      <w:r>
        <w:t xml:space="preserve">que les </w:t>
      </w:r>
      <w:r w:rsidRPr="00FD22D6">
        <w:t>band</w:t>
      </w:r>
      <w:r>
        <w:t>es de fréquences 17,7-19,7</w:t>
      </w:r>
      <w:r w:rsidRPr="00FD22D6">
        <w:t xml:space="preserve"> GHz</w:t>
      </w:r>
      <w:r>
        <w:t xml:space="preserve"> (espace vers Terre)</w:t>
      </w:r>
      <w:r w:rsidRPr="00FD22D6">
        <w:t xml:space="preserve"> </w:t>
      </w:r>
      <w:r>
        <w:t>et 27,5-29,5</w:t>
      </w:r>
      <w:r w:rsidRPr="00FD22D6">
        <w:t xml:space="preserve"> GHz</w:t>
      </w:r>
      <w:r>
        <w:t xml:space="preserve"> (Terre vers espace)</w:t>
      </w:r>
      <w:r w:rsidRPr="00FD22D6">
        <w:t xml:space="preserve"> </w:t>
      </w:r>
      <w:r>
        <w:t>sont attribuées à l'échelle mondiale à titre primaire au service fixe par satellite (SFS) et qu'un grand nombre de réseaux à satellite géostationnaire du SFS fonctionnent dans ces bandes de fréquences, ainsi que des systèmes à satellites non géostationnaires du SFS;</w:t>
      </w:r>
    </w:p>
    <w:p w:rsidR="00850D4C" w:rsidRDefault="00850D4C" w:rsidP="00A17011">
      <w:pPr>
        <w:jc w:val="both"/>
      </w:pPr>
      <w:r>
        <w:rPr>
          <w:i/>
          <w:iCs/>
        </w:rPr>
        <w:t>b)</w:t>
      </w:r>
      <w:r>
        <w:rPr>
          <w:i/>
          <w:iCs/>
        </w:rPr>
        <w:tab/>
      </w:r>
      <w:r>
        <w:t>qu'il existe, dans ces bandes de fréquences, un grand nombre de stations du service fixe, ainsi que de stations du service mobile;</w:t>
      </w:r>
    </w:p>
    <w:p w:rsidR="00850D4C" w:rsidRPr="00BA4EE6" w:rsidRDefault="00850D4C" w:rsidP="00A17011">
      <w:pPr>
        <w:jc w:val="both"/>
      </w:pPr>
      <w:r>
        <w:rPr>
          <w:i/>
          <w:iCs/>
        </w:rPr>
        <w:t>c)</w:t>
      </w:r>
      <w:r>
        <w:tab/>
        <w:t>que ces bandes de fréquences font l'objet de procédures réglementaires et techniques entre les réseaux</w:t>
      </w:r>
      <w:r w:rsidRPr="005D51FA">
        <w:t xml:space="preserve"> </w:t>
      </w:r>
      <w:r>
        <w:t>à satellite géostationnaire du SFS et les systèmes</w:t>
      </w:r>
      <w:r w:rsidRPr="005D51FA">
        <w:t xml:space="preserve"> </w:t>
      </w:r>
      <w:r>
        <w:t>à satellites non géostationnaires du SFS;</w:t>
      </w:r>
    </w:p>
    <w:p w:rsidR="00850D4C" w:rsidRPr="00036633" w:rsidRDefault="00850D4C" w:rsidP="00A17011">
      <w:pPr>
        <w:jc w:val="both"/>
        <w:rPr>
          <w:lang w:val="fr-CH"/>
        </w:rPr>
      </w:pPr>
      <w:r>
        <w:rPr>
          <w:i/>
          <w:iCs/>
        </w:rPr>
        <w:t>d</w:t>
      </w:r>
      <w:r w:rsidRPr="000E0653">
        <w:rPr>
          <w:i/>
          <w:iCs/>
        </w:rPr>
        <w:t>)</w:t>
      </w:r>
      <w:r w:rsidRPr="00FD22D6">
        <w:tab/>
      </w:r>
      <w:r>
        <w:t xml:space="preserve">que l'on a besoin de </w:t>
      </w:r>
      <w:r w:rsidRPr="00FD22D6">
        <w:t>communications</w:t>
      </w:r>
      <w:r>
        <w:t xml:space="preserve"> mobiles</w:t>
      </w:r>
      <w:r w:rsidRPr="00FD22D6">
        <w:t xml:space="preserve">, </w:t>
      </w:r>
      <w:r>
        <w:t>y compris de services par satellite large bande au niveau mondial</w:t>
      </w:r>
      <w:r w:rsidRPr="00FD22D6">
        <w:t xml:space="preserve">, </w:t>
      </w:r>
      <w:r>
        <w:t xml:space="preserve">et </w:t>
      </w:r>
      <w:r>
        <w:rPr>
          <w:color w:val="000000"/>
        </w:rPr>
        <w:t>qu'il est possible de satisfaire en partie à ces besoins</w:t>
      </w:r>
      <w:r>
        <w:t xml:space="preserve"> en permettant aux stations terriennes en mouvement de communiquer avec des stations spatiales du SFS fonctionnant dans les bandes de fréquences 17,7-</w:t>
      </w:r>
      <w:r w:rsidRPr="00FD22D6">
        <w:t>19</w:t>
      </w:r>
      <w:r>
        <w:t>,</w:t>
      </w:r>
      <w:r w:rsidRPr="00FD22D6">
        <w:t>7</w:t>
      </w:r>
      <w:r>
        <w:t xml:space="preserve"> </w:t>
      </w:r>
      <w:r w:rsidRPr="00FD22D6">
        <w:t xml:space="preserve">GHz </w:t>
      </w:r>
      <w:r>
        <w:t>(espace vers Terre) et 27,5-</w:t>
      </w:r>
      <w:r w:rsidRPr="00FD22D6">
        <w:t>29</w:t>
      </w:r>
      <w:r>
        <w:t>,</w:t>
      </w:r>
      <w:r w:rsidRPr="00FD22D6">
        <w:t>5</w:t>
      </w:r>
      <w:r>
        <w:t xml:space="preserve"> </w:t>
      </w:r>
      <w:r w:rsidRPr="00FD22D6">
        <w:t>GHz</w:t>
      </w:r>
      <w:r>
        <w:t xml:space="preserve"> (Terre vers espace)</w:t>
      </w:r>
      <w:r w:rsidRPr="00FD22D6">
        <w:t>;</w:t>
      </w:r>
    </w:p>
    <w:p w:rsidR="00850D4C" w:rsidRPr="00036633" w:rsidRDefault="00850D4C" w:rsidP="00A17011">
      <w:pPr>
        <w:jc w:val="both"/>
        <w:rPr>
          <w:lang w:val="fr-CH"/>
        </w:rPr>
      </w:pPr>
      <w:r>
        <w:rPr>
          <w:i/>
          <w:iCs/>
          <w:lang w:val="fr-CH"/>
        </w:rPr>
        <w:t>e</w:t>
      </w:r>
      <w:r w:rsidRPr="000E0653">
        <w:rPr>
          <w:i/>
          <w:iCs/>
          <w:lang w:val="fr-CH"/>
        </w:rPr>
        <w:t>)</w:t>
      </w:r>
      <w:r w:rsidRPr="00FD22D6">
        <w:tab/>
      </w:r>
      <w:r>
        <w:t xml:space="preserve">que certaines </w:t>
      </w:r>
      <w:r w:rsidRPr="00FD22D6">
        <w:t xml:space="preserve">administrations </w:t>
      </w:r>
      <w:r>
        <w:t>ont déjà mis en place des stations terriennes</w:t>
      </w:r>
      <w:r w:rsidRPr="000F4198">
        <w:t xml:space="preserve"> </w:t>
      </w:r>
      <w:r>
        <w:t xml:space="preserve">en mouvement </w:t>
      </w:r>
      <w:r>
        <w:rPr>
          <w:color w:val="000000"/>
        </w:rPr>
        <w:t xml:space="preserve">et qu'elles envisagent d'utiliser davantage </w:t>
      </w:r>
      <w:r>
        <w:t>ces stations terriennes, avec des réseaux a satellite géostationnaire du SFS opérationnels ou futurs</w:t>
      </w:r>
      <w:r w:rsidRPr="00FD22D6">
        <w:t>;</w:t>
      </w:r>
    </w:p>
    <w:p w:rsidR="00850D4C" w:rsidRPr="00036633" w:rsidRDefault="00850D4C" w:rsidP="00A17011">
      <w:pPr>
        <w:jc w:val="both"/>
        <w:rPr>
          <w:lang w:val="fr-CH"/>
        </w:rPr>
      </w:pPr>
      <w:r>
        <w:rPr>
          <w:i/>
          <w:iCs/>
          <w:lang w:val="fr-CH"/>
        </w:rPr>
        <w:t>f</w:t>
      </w:r>
      <w:r w:rsidRPr="000E0653">
        <w:rPr>
          <w:i/>
          <w:iCs/>
          <w:lang w:val="fr-CH"/>
        </w:rPr>
        <w:t>)</w:t>
      </w:r>
      <w:r w:rsidRPr="00FD22D6">
        <w:tab/>
      </w:r>
      <w:r>
        <w:t>que les réseaux à satellite</w:t>
      </w:r>
      <w:r w:rsidRPr="000F4198">
        <w:t xml:space="preserve"> </w:t>
      </w:r>
      <w:r>
        <w:t>géostationnaire du SFS dans les bandes</w:t>
      </w:r>
      <w:r w:rsidRPr="00706CC2">
        <w:t xml:space="preserve"> </w:t>
      </w:r>
      <w:r>
        <w:t>de fréquences 17,7</w:t>
      </w:r>
      <w:r>
        <w:noBreakHyphen/>
      </w:r>
      <w:r w:rsidRPr="00FD22D6">
        <w:t>19</w:t>
      </w:r>
      <w:r>
        <w:t>,</w:t>
      </w:r>
      <w:r w:rsidRPr="00FD22D6">
        <w:t>7</w:t>
      </w:r>
      <w:r>
        <w:t> </w:t>
      </w:r>
      <w:r w:rsidRPr="00FD22D6">
        <w:t>GHz</w:t>
      </w:r>
      <w:r>
        <w:t xml:space="preserve"> (espace vers Terre)</w:t>
      </w:r>
      <w:r w:rsidRPr="00FD22D6">
        <w:t xml:space="preserve"> </w:t>
      </w:r>
      <w:r>
        <w:t>et 27,5-</w:t>
      </w:r>
      <w:r w:rsidRPr="00FD22D6">
        <w:t>29</w:t>
      </w:r>
      <w:r>
        <w:t>,</w:t>
      </w:r>
      <w:r w:rsidRPr="00FD22D6">
        <w:t>5</w:t>
      </w:r>
      <w:r>
        <w:t> </w:t>
      </w:r>
      <w:r w:rsidRPr="00FD22D6">
        <w:t xml:space="preserve">GHz </w:t>
      </w:r>
      <w:r>
        <w:t xml:space="preserve">(Terre vers espace) </w:t>
      </w:r>
      <w:r>
        <w:rPr>
          <w:color w:val="000000"/>
        </w:rPr>
        <w:t xml:space="preserve">doivent être coordonnées et notifiées </w:t>
      </w:r>
      <w:r>
        <w:t xml:space="preserve">conformément aux dispositions des </w:t>
      </w:r>
      <w:r w:rsidRPr="00FD22D6">
        <w:t xml:space="preserve">Articles </w:t>
      </w:r>
      <w:r w:rsidRPr="00FD22D6">
        <w:rPr>
          <w:b/>
          <w:bCs/>
        </w:rPr>
        <w:t>9</w:t>
      </w:r>
      <w:r w:rsidRPr="00FD22D6">
        <w:t xml:space="preserve"> </w:t>
      </w:r>
      <w:r>
        <w:t>et </w:t>
      </w:r>
      <w:r w:rsidRPr="00FD22D6">
        <w:rPr>
          <w:b/>
          <w:bCs/>
        </w:rPr>
        <w:t>11</w:t>
      </w:r>
      <w:r w:rsidRPr="00FD22D6">
        <w:t xml:space="preserve"> </w:t>
      </w:r>
      <w:r>
        <w:t>du Règlement des radiocommunications;</w:t>
      </w:r>
    </w:p>
    <w:p w:rsidR="00850D4C" w:rsidRPr="00730563" w:rsidRDefault="00850D4C" w:rsidP="00A17011">
      <w:pPr>
        <w:jc w:val="both"/>
        <w:rPr>
          <w:lang w:val="fr-CH"/>
        </w:rPr>
      </w:pPr>
      <w:r>
        <w:rPr>
          <w:i/>
          <w:iCs/>
          <w:lang w:val="fr-CH"/>
        </w:rPr>
        <w:t>g</w:t>
      </w:r>
      <w:r w:rsidRPr="000E0653">
        <w:rPr>
          <w:i/>
          <w:iCs/>
          <w:lang w:val="fr-CH"/>
        </w:rPr>
        <w:t>)</w:t>
      </w:r>
      <w:r w:rsidRPr="00730563">
        <w:rPr>
          <w:lang w:val="fr-CH"/>
        </w:rPr>
        <w:tab/>
        <w:t>que les bandes</w:t>
      </w:r>
      <w:r>
        <w:rPr>
          <w:lang w:val="fr-CH"/>
        </w:rPr>
        <w:t xml:space="preserve"> de fréquences</w:t>
      </w:r>
      <w:r w:rsidRPr="00730563">
        <w:rPr>
          <w:lang w:val="fr-CH"/>
        </w:rPr>
        <w:t xml:space="preserve"> 17</w:t>
      </w:r>
      <w:r>
        <w:rPr>
          <w:lang w:val="fr-CH"/>
        </w:rPr>
        <w:t>,</w:t>
      </w:r>
      <w:r w:rsidRPr="00730563">
        <w:rPr>
          <w:lang w:val="fr-CH"/>
        </w:rPr>
        <w:t>7-19</w:t>
      </w:r>
      <w:r>
        <w:rPr>
          <w:lang w:val="fr-CH"/>
        </w:rPr>
        <w:t>,</w:t>
      </w:r>
      <w:r w:rsidRPr="00730563">
        <w:rPr>
          <w:lang w:val="fr-CH"/>
        </w:rPr>
        <w:t>7 GHz</w:t>
      </w:r>
      <w:r>
        <w:rPr>
          <w:lang w:val="fr-CH"/>
        </w:rPr>
        <w:t xml:space="preserve"> (espace vers Terre)</w:t>
      </w:r>
      <w:r w:rsidRPr="00730563">
        <w:rPr>
          <w:lang w:val="fr-CH"/>
        </w:rPr>
        <w:t xml:space="preserve"> et 27</w:t>
      </w:r>
      <w:r>
        <w:rPr>
          <w:lang w:val="fr-CH"/>
        </w:rPr>
        <w:t>,</w:t>
      </w:r>
      <w:r w:rsidRPr="00730563">
        <w:rPr>
          <w:lang w:val="fr-CH"/>
        </w:rPr>
        <w:t>5-29</w:t>
      </w:r>
      <w:r>
        <w:rPr>
          <w:lang w:val="fr-CH"/>
        </w:rPr>
        <w:t>,</w:t>
      </w:r>
      <w:r w:rsidRPr="00730563">
        <w:rPr>
          <w:lang w:val="fr-CH"/>
        </w:rPr>
        <w:t>5 GHz</w:t>
      </w:r>
      <w:r>
        <w:rPr>
          <w:lang w:val="fr-CH"/>
        </w:rPr>
        <w:t xml:space="preserve"> (Terre vers espace)</w:t>
      </w:r>
      <w:r w:rsidRPr="00730563">
        <w:rPr>
          <w:lang w:val="fr-CH"/>
        </w:rPr>
        <w:t xml:space="preserve"> sont</w:t>
      </w:r>
      <w:r>
        <w:rPr>
          <w:lang w:val="fr-CH"/>
        </w:rPr>
        <w:t xml:space="preserve"> également</w:t>
      </w:r>
      <w:r w:rsidRPr="00730563">
        <w:rPr>
          <w:lang w:val="fr-CH"/>
        </w:rPr>
        <w:t xml:space="preserve"> attribuées à plusieurs autres services à titre primaire</w:t>
      </w:r>
      <w:r>
        <w:rPr>
          <w:lang w:val="fr-CH"/>
        </w:rPr>
        <w:t>, que ces services</w:t>
      </w:r>
      <w:r w:rsidRPr="00730563">
        <w:rPr>
          <w:lang w:val="fr-CH"/>
        </w:rPr>
        <w:t xml:space="preserve"> sont utilisés par divers systèmes </w:t>
      </w:r>
      <w:r>
        <w:rPr>
          <w:lang w:val="fr-CH"/>
        </w:rPr>
        <w:t>variés</w:t>
      </w:r>
      <w:r w:rsidRPr="00730563">
        <w:rPr>
          <w:lang w:val="fr-CH"/>
        </w:rPr>
        <w:t xml:space="preserve"> dans de nombreuses administrations</w:t>
      </w:r>
      <w:r>
        <w:rPr>
          <w:lang w:val="fr-CH"/>
        </w:rPr>
        <w:t xml:space="preserve"> et que ces services existants et leur développement futur devraient être protégés sans qu'aucune contrainte excessive ne leur soit imposée;</w:t>
      </w:r>
    </w:p>
    <w:p w:rsidR="00850D4C" w:rsidRDefault="00850D4C" w:rsidP="00A17011">
      <w:pPr>
        <w:jc w:val="both"/>
        <w:rPr>
          <w:color w:val="000000"/>
        </w:rPr>
      </w:pPr>
      <w:r>
        <w:rPr>
          <w:i/>
          <w:iCs/>
          <w:lang w:val="fr-CH"/>
        </w:rPr>
        <w:t>h</w:t>
      </w:r>
      <w:r w:rsidRPr="00850B8C">
        <w:rPr>
          <w:i/>
          <w:iCs/>
          <w:lang w:val="fr-CH"/>
        </w:rPr>
        <w:t>)</w:t>
      </w:r>
      <w:r w:rsidRPr="00850B8C">
        <w:rPr>
          <w:lang w:val="fr-CH"/>
        </w:rPr>
        <w:tab/>
      </w:r>
      <w:r w:rsidRPr="00FB5C1E">
        <w:rPr>
          <w:color w:val="000000"/>
        </w:rPr>
        <w:t>qu</w:t>
      </w:r>
      <w:r>
        <w:rPr>
          <w:color w:val="000000"/>
        </w:rPr>
        <w:t>'</w:t>
      </w:r>
      <w:r w:rsidRPr="00FB5C1E">
        <w:rPr>
          <w:color w:val="000000"/>
        </w:rPr>
        <w:t>à l</w:t>
      </w:r>
      <w:r>
        <w:rPr>
          <w:color w:val="000000"/>
        </w:rPr>
        <w:t>'</w:t>
      </w:r>
      <w:r w:rsidRPr="00FB5C1E">
        <w:rPr>
          <w:color w:val="000000"/>
        </w:rPr>
        <w:t>heure actuelle, il n</w:t>
      </w:r>
      <w:r>
        <w:rPr>
          <w:color w:val="000000"/>
        </w:rPr>
        <w:t>'</w:t>
      </w:r>
      <w:r w:rsidRPr="00FB5C1E">
        <w:rPr>
          <w:color w:val="000000"/>
        </w:rPr>
        <w:t>existe aucune procédure réglementaire régissant expressément la coordination des stations terriennes en mouvement vis-à-vis des</w:t>
      </w:r>
      <w:r>
        <w:rPr>
          <w:color w:val="000000"/>
        </w:rPr>
        <w:t xml:space="preserve"> stations des</w:t>
      </w:r>
      <w:r w:rsidRPr="00FB5C1E">
        <w:rPr>
          <w:color w:val="000000"/>
        </w:rPr>
        <w:t xml:space="preserve"> services de Terre</w:t>
      </w:r>
      <w:r>
        <w:rPr>
          <w:color w:val="000000"/>
        </w:rPr>
        <w:t>,</w:t>
      </w:r>
    </w:p>
    <w:p w:rsidR="00850D4C" w:rsidRPr="00075E17" w:rsidRDefault="00850D4C" w:rsidP="00A17011">
      <w:pPr>
        <w:pStyle w:val="Call"/>
        <w:jc w:val="both"/>
        <w:rPr>
          <w:lang w:val="fr-CH"/>
        </w:rPr>
      </w:pPr>
      <w:r w:rsidRPr="00075E17">
        <w:rPr>
          <w:lang w:val="fr-CH"/>
        </w:rPr>
        <w:t xml:space="preserve">considérant en outre </w:t>
      </w:r>
    </w:p>
    <w:p w:rsidR="00850D4C" w:rsidRPr="00075E17" w:rsidRDefault="00850D4C" w:rsidP="00A17011">
      <w:pPr>
        <w:jc w:val="both"/>
        <w:rPr>
          <w:lang w:val="fr-CH"/>
        </w:rPr>
      </w:pPr>
      <w:r w:rsidRPr="00075E17">
        <w:rPr>
          <w:i/>
          <w:lang w:val="fr-CH"/>
        </w:rPr>
        <w:t>a)</w:t>
      </w:r>
      <w:r w:rsidRPr="00075E17">
        <w:rPr>
          <w:lang w:val="fr-CH"/>
        </w:rPr>
        <w:tab/>
      </w:r>
      <w:r w:rsidRPr="00075E17">
        <w:rPr>
          <w:color w:val="000000"/>
        </w:rPr>
        <w:t>qu</w:t>
      </w:r>
      <w:r>
        <w:rPr>
          <w:color w:val="000000"/>
        </w:rPr>
        <w:t>'</w:t>
      </w:r>
      <w:r w:rsidRPr="00075E17">
        <w:rPr>
          <w:color w:val="000000"/>
        </w:rPr>
        <w:t xml:space="preserve">une approche cohérente relative au déploiement de ces stations terriennes </w:t>
      </w:r>
      <w:r>
        <w:rPr>
          <w:color w:val="000000"/>
        </w:rPr>
        <w:t xml:space="preserve">en mouvement </w:t>
      </w:r>
      <w:r w:rsidRPr="00075E17">
        <w:rPr>
          <w:color w:val="000000"/>
        </w:rPr>
        <w:t>permettra de répondre à ces besoins importants et croissants de communications au niveau mondial</w:t>
      </w:r>
      <w:r>
        <w:rPr>
          <w:color w:val="000000"/>
        </w:rPr>
        <w:t>;</w:t>
      </w:r>
    </w:p>
    <w:p w:rsidR="00850D4C" w:rsidRPr="00075E17" w:rsidRDefault="00850D4C" w:rsidP="00A17011">
      <w:pPr>
        <w:jc w:val="both"/>
        <w:rPr>
          <w:lang w:val="fr-CH"/>
        </w:rPr>
      </w:pPr>
      <w:r w:rsidRPr="00075E17">
        <w:rPr>
          <w:i/>
          <w:iCs/>
          <w:lang w:val="fr-CH"/>
        </w:rPr>
        <w:t>b)</w:t>
      </w:r>
      <w:r w:rsidRPr="00075E17">
        <w:rPr>
          <w:lang w:val="fr-CH"/>
        </w:rPr>
        <w:tab/>
      </w:r>
      <w:r>
        <w:rPr>
          <w:color w:val="000000"/>
        </w:rPr>
        <w:t>que le Secteur des radiocommunications de l'UIT (</w:t>
      </w:r>
      <w:r w:rsidRPr="00075E17">
        <w:rPr>
          <w:color w:val="000000"/>
        </w:rPr>
        <w:t>UIT-R</w:t>
      </w:r>
      <w:r>
        <w:rPr>
          <w:color w:val="000000"/>
        </w:rPr>
        <w:t>)</w:t>
      </w:r>
      <w:r w:rsidRPr="00075E17">
        <w:rPr>
          <w:color w:val="000000"/>
        </w:rPr>
        <w:t xml:space="preserve"> a adopté les Rapports UIT</w:t>
      </w:r>
      <w:r>
        <w:rPr>
          <w:color w:val="000000"/>
        </w:rPr>
        <w:noBreakHyphen/>
      </w:r>
      <w:r w:rsidRPr="00075E17">
        <w:rPr>
          <w:color w:val="000000"/>
        </w:rPr>
        <w:t>R</w:t>
      </w:r>
      <w:r>
        <w:rPr>
          <w:color w:val="000000"/>
        </w:rPr>
        <w:t> </w:t>
      </w:r>
      <w:r w:rsidRPr="00075E17">
        <w:rPr>
          <w:lang w:val="fr-CH"/>
        </w:rPr>
        <w:t xml:space="preserve">S.2223 et </w:t>
      </w:r>
      <w:r>
        <w:rPr>
          <w:lang w:val="fr-CH"/>
        </w:rPr>
        <w:t>UIT</w:t>
      </w:r>
      <w:r w:rsidRPr="00075E17">
        <w:rPr>
          <w:lang w:val="fr-CH"/>
        </w:rPr>
        <w:t>-R S.2357;</w:t>
      </w:r>
    </w:p>
    <w:p w:rsidR="00850D4C" w:rsidRPr="00075E17" w:rsidRDefault="00850D4C" w:rsidP="00A17011">
      <w:pPr>
        <w:jc w:val="both"/>
        <w:rPr>
          <w:highlight w:val="cyan"/>
          <w:lang w:val="fr-CH"/>
        </w:rPr>
      </w:pPr>
      <w:r w:rsidRPr="00075E17">
        <w:rPr>
          <w:i/>
          <w:lang w:val="fr-CH"/>
        </w:rPr>
        <w:lastRenderedPageBreak/>
        <w:t>c)</w:t>
      </w:r>
      <w:r w:rsidRPr="00075E17">
        <w:rPr>
          <w:lang w:val="fr-CH"/>
        </w:rPr>
        <w:tab/>
        <w:t xml:space="preserve">que les caractéristiques techniques des stations terriennes en mouvement fonctionnant dans un réseau à satellite </w:t>
      </w:r>
      <w:r>
        <w:rPr>
          <w:lang w:val="fr-CH"/>
        </w:rPr>
        <w:t>géostationnaire</w:t>
      </w:r>
      <w:r w:rsidRPr="00075E17">
        <w:rPr>
          <w:lang w:val="fr-CH"/>
        </w:rPr>
        <w:t xml:space="preserve"> donné devraient être conformes aux </w:t>
      </w:r>
      <w:r w:rsidRPr="00075E17">
        <w:rPr>
          <w:color w:val="000000"/>
          <w:lang w:val="fr-CH"/>
        </w:rPr>
        <w:t>caractéristiques prévues dans les accords de coordination</w:t>
      </w:r>
      <w:r w:rsidRPr="00075E17">
        <w:rPr>
          <w:lang w:val="fr-CH"/>
        </w:rPr>
        <w:t xml:space="preserve"> co</w:t>
      </w:r>
      <w:r>
        <w:rPr>
          <w:lang w:val="fr-CH"/>
        </w:rPr>
        <w:t>nclus entre les administrations,</w:t>
      </w:r>
    </w:p>
    <w:p w:rsidR="00850D4C" w:rsidRDefault="00850D4C" w:rsidP="00A17011">
      <w:pPr>
        <w:pStyle w:val="Call"/>
        <w:jc w:val="both"/>
        <w:rPr>
          <w:lang w:val="fr-CH"/>
        </w:rPr>
      </w:pPr>
      <w:r w:rsidRPr="00730563">
        <w:rPr>
          <w:lang w:val="fr-CH"/>
        </w:rPr>
        <w:t>reconnaissant</w:t>
      </w:r>
    </w:p>
    <w:p w:rsidR="00850D4C" w:rsidRPr="00850B8C" w:rsidRDefault="00850D4C" w:rsidP="00A17011">
      <w:pPr>
        <w:jc w:val="both"/>
        <w:rPr>
          <w:lang w:val="fr-CH"/>
        </w:rPr>
      </w:pPr>
      <w:r w:rsidRPr="00850B8C">
        <w:rPr>
          <w:i/>
          <w:iCs/>
          <w:lang w:val="fr-CH"/>
        </w:rPr>
        <w:t>a)</w:t>
      </w:r>
      <w:r w:rsidRPr="00850B8C">
        <w:rPr>
          <w:lang w:val="fr-CH"/>
        </w:rPr>
        <w:tab/>
      </w:r>
      <w:r w:rsidRPr="00075E17">
        <w:rPr>
          <w:color w:val="000000"/>
        </w:rPr>
        <w:t>que l</w:t>
      </w:r>
      <w:r>
        <w:rPr>
          <w:color w:val="000000"/>
        </w:rPr>
        <w:t>'</w:t>
      </w:r>
      <w:r w:rsidRPr="00075E17">
        <w:rPr>
          <w:color w:val="000000"/>
        </w:rPr>
        <w:t xml:space="preserve">Article </w:t>
      </w:r>
      <w:r w:rsidRPr="00075E17">
        <w:rPr>
          <w:b/>
          <w:bCs/>
          <w:color w:val="000000"/>
        </w:rPr>
        <w:t>21</w:t>
      </w:r>
      <w:r w:rsidRPr="00075E17">
        <w:rPr>
          <w:color w:val="000000"/>
        </w:rPr>
        <w:t xml:space="preserve"> contient les limites de puissance surfacique applicables aux systèmes à satellites géostationnaires du service fixe par satellit</w:t>
      </w:r>
      <w:r>
        <w:rPr>
          <w:color w:val="000000"/>
        </w:rPr>
        <w:t>e</w:t>
      </w:r>
      <w:r>
        <w:rPr>
          <w:lang w:val="fr-CH"/>
        </w:rPr>
        <w:t>;</w:t>
      </w:r>
    </w:p>
    <w:p w:rsidR="00850D4C" w:rsidRPr="00850B8C" w:rsidRDefault="00850D4C" w:rsidP="00A17011">
      <w:pPr>
        <w:jc w:val="both"/>
        <w:rPr>
          <w:lang w:val="fr-CH"/>
        </w:rPr>
      </w:pPr>
      <w:r w:rsidRPr="00850B8C">
        <w:rPr>
          <w:i/>
          <w:lang w:val="fr-CH"/>
        </w:rPr>
        <w:t>b)</w:t>
      </w:r>
      <w:r w:rsidRPr="00850B8C">
        <w:rPr>
          <w:lang w:val="fr-CH"/>
        </w:rPr>
        <w:tab/>
      </w:r>
      <w:r w:rsidRPr="00075E17">
        <w:rPr>
          <w:color w:val="000000"/>
        </w:rPr>
        <w:t xml:space="preserve">que les stations terriennes en mouvement visées dans la présente Résolution ne sont pas destinées à être utilisées </w:t>
      </w:r>
      <w:r>
        <w:rPr>
          <w:color w:val="000000"/>
        </w:rPr>
        <w:t xml:space="preserve">pour </w:t>
      </w:r>
      <w:r w:rsidRPr="00075E17">
        <w:rPr>
          <w:color w:val="000000"/>
        </w:rPr>
        <w:t>les applications liées à la sécurité de la vie humaine</w:t>
      </w:r>
      <w:r>
        <w:rPr>
          <w:lang w:val="fr-CH"/>
        </w:rPr>
        <w:t>;</w:t>
      </w:r>
    </w:p>
    <w:p w:rsidR="00850D4C" w:rsidRPr="00850B8C" w:rsidRDefault="00850D4C" w:rsidP="00A17011">
      <w:pPr>
        <w:jc w:val="both"/>
        <w:rPr>
          <w:lang w:val="fr-CH"/>
        </w:rPr>
      </w:pPr>
      <w:r w:rsidRPr="00850B8C">
        <w:rPr>
          <w:i/>
          <w:iCs/>
          <w:lang w:val="fr-CH"/>
        </w:rPr>
        <w:t>c)</w:t>
      </w:r>
      <w:r w:rsidRPr="00850B8C">
        <w:rPr>
          <w:lang w:val="fr-CH"/>
        </w:rPr>
        <w:tab/>
      </w:r>
      <w:r>
        <w:rPr>
          <w:lang w:val="fr-CH"/>
        </w:rPr>
        <w:t>que la présente Conférence</w:t>
      </w:r>
      <w:r w:rsidRPr="00850B8C">
        <w:rPr>
          <w:lang w:val="fr-CH"/>
        </w:rPr>
        <w:t xml:space="preserve"> a adopté le renvoi </w:t>
      </w:r>
      <w:r w:rsidRPr="00075E17">
        <w:rPr>
          <w:b/>
          <w:bCs/>
          <w:lang w:val="fr-CH"/>
        </w:rPr>
        <w:t>5</w:t>
      </w:r>
      <w:r>
        <w:rPr>
          <w:b/>
          <w:bCs/>
          <w:lang w:val="fr-CH"/>
        </w:rPr>
        <w:t xml:space="preserve">.527A </w:t>
      </w:r>
      <w:r>
        <w:rPr>
          <w:lang w:val="fr-CH"/>
        </w:rPr>
        <w:t>et la R</w:t>
      </w:r>
      <w:r w:rsidRPr="00850B8C">
        <w:rPr>
          <w:lang w:val="fr-CH"/>
        </w:rPr>
        <w:t xml:space="preserve">ésolution </w:t>
      </w:r>
      <w:r>
        <w:rPr>
          <w:b/>
          <w:bCs/>
          <w:lang w:val="fr-CH"/>
        </w:rPr>
        <w:t>156</w:t>
      </w:r>
      <w:r w:rsidRPr="00075E17">
        <w:rPr>
          <w:lang w:val="fr-CH"/>
        </w:rPr>
        <w:t xml:space="preserve"> </w:t>
      </w:r>
      <w:r w:rsidRPr="00E33D4D">
        <w:rPr>
          <w:b/>
          <w:bCs/>
          <w:lang w:val="fr-CH"/>
        </w:rPr>
        <w:t>(CMR</w:t>
      </w:r>
      <w:r>
        <w:rPr>
          <w:b/>
          <w:bCs/>
          <w:lang w:val="fr-CH"/>
        </w:rPr>
        <w:noBreakHyphen/>
      </w:r>
      <w:r w:rsidRPr="00E33D4D">
        <w:rPr>
          <w:b/>
          <w:bCs/>
          <w:lang w:val="fr-CH"/>
        </w:rPr>
        <w:t>15)</w:t>
      </w:r>
      <w:r>
        <w:rPr>
          <w:lang w:val="fr-CH"/>
        </w:rPr>
        <w:t xml:space="preserve"> </w:t>
      </w:r>
      <w:r w:rsidRPr="00850B8C">
        <w:rPr>
          <w:lang w:val="fr-CH"/>
        </w:rPr>
        <w:t>concernant les stations terriennes en mouvement</w:t>
      </w:r>
      <w:r>
        <w:rPr>
          <w:lang w:val="fr-CH"/>
        </w:rPr>
        <w:t>;</w:t>
      </w:r>
    </w:p>
    <w:p w:rsidR="00850D4C" w:rsidRPr="00850B8C" w:rsidRDefault="00850D4C" w:rsidP="00A17011">
      <w:pPr>
        <w:jc w:val="both"/>
        <w:rPr>
          <w:lang w:val="fr-CH"/>
        </w:rPr>
      </w:pPr>
      <w:r w:rsidRPr="00850B8C">
        <w:rPr>
          <w:i/>
          <w:iCs/>
          <w:lang w:val="fr-CH"/>
        </w:rPr>
        <w:t>d)</w:t>
      </w:r>
      <w:r w:rsidRPr="00850B8C">
        <w:rPr>
          <w:lang w:val="fr-CH"/>
        </w:rPr>
        <w:tab/>
        <w:t xml:space="preserve">que les progrès techniques, </w:t>
      </w:r>
      <w:r>
        <w:rPr>
          <w:lang w:val="fr-CH"/>
        </w:rPr>
        <w:t xml:space="preserve">et </w:t>
      </w:r>
      <w:r w:rsidRPr="00850B8C">
        <w:rPr>
          <w:lang w:val="fr-CH"/>
        </w:rPr>
        <w:t>notamment l</w:t>
      </w:r>
      <w:r>
        <w:rPr>
          <w:lang w:val="fr-CH"/>
        </w:rPr>
        <w:t>'</w:t>
      </w:r>
      <w:r w:rsidRPr="00850B8C">
        <w:rPr>
          <w:lang w:val="fr-CH"/>
        </w:rPr>
        <w:t>utilisation de techniques de poursuite, permettent aux stations terriennes en mouvement de fonctionner conformément aux caractéristiques des stations terriennes fixes du SFS</w:t>
      </w:r>
      <w:r>
        <w:rPr>
          <w:lang w:val="fr-CH"/>
        </w:rPr>
        <w:t>;</w:t>
      </w:r>
    </w:p>
    <w:p w:rsidR="00850D4C" w:rsidRPr="00850B8C" w:rsidRDefault="00850D4C" w:rsidP="00A17011">
      <w:pPr>
        <w:jc w:val="both"/>
        <w:rPr>
          <w:lang w:val="fr-CH"/>
        </w:rPr>
      </w:pPr>
      <w:r w:rsidRPr="00850B8C">
        <w:rPr>
          <w:i/>
          <w:iCs/>
          <w:lang w:val="fr-CH"/>
        </w:rPr>
        <w:t>e)</w:t>
      </w:r>
      <w:r w:rsidRPr="00850B8C">
        <w:rPr>
          <w:lang w:val="fr-CH"/>
        </w:rPr>
        <w:tab/>
        <w:t xml:space="preserve">que le numéro </w:t>
      </w:r>
      <w:r w:rsidRPr="00075E17">
        <w:rPr>
          <w:b/>
          <w:bCs/>
          <w:lang w:val="fr-CH"/>
        </w:rPr>
        <w:t>1.</w:t>
      </w:r>
      <w:r w:rsidRPr="00850B8C">
        <w:rPr>
          <w:b/>
          <w:bCs/>
          <w:lang w:val="fr-CH"/>
        </w:rPr>
        <w:t>21</w:t>
      </w:r>
      <w:r w:rsidRPr="00850B8C">
        <w:rPr>
          <w:lang w:val="fr-CH"/>
        </w:rPr>
        <w:t xml:space="preserve"> définit le service fixe par satellite et que le numéro</w:t>
      </w:r>
      <w:r w:rsidRPr="00075E17">
        <w:rPr>
          <w:lang w:val="fr-CH"/>
        </w:rPr>
        <w:t xml:space="preserve"> </w:t>
      </w:r>
      <w:r w:rsidRPr="00075E17">
        <w:rPr>
          <w:b/>
          <w:bCs/>
          <w:lang w:val="fr-CH"/>
        </w:rPr>
        <w:t>1.25</w:t>
      </w:r>
      <w:r w:rsidRPr="00075E17">
        <w:rPr>
          <w:lang w:val="fr-CH"/>
        </w:rPr>
        <w:t xml:space="preserve"> définit le service mobile par satellite</w:t>
      </w:r>
      <w:r>
        <w:rPr>
          <w:lang w:val="fr-CH"/>
        </w:rPr>
        <w:t xml:space="preserve"> (SMS)</w:t>
      </w:r>
      <w:r w:rsidRPr="00850B8C">
        <w:rPr>
          <w:lang w:val="fr-CH"/>
        </w:rPr>
        <w:t>;</w:t>
      </w:r>
    </w:p>
    <w:p w:rsidR="00850D4C" w:rsidRPr="00850B8C" w:rsidRDefault="00850D4C" w:rsidP="00A17011">
      <w:pPr>
        <w:jc w:val="both"/>
        <w:rPr>
          <w:lang w:val="fr-CH"/>
        </w:rPr>
      </w:pPr>
      <w:r w:rsidRPr="00850B8C">
        <w:rPr>
          <w:i/>
          <w:iCs/>
          <w:lang w:val="fr-CH"/>
        </w:rPr>
        <w:t>f)</w:t>
      </w:r>
      <w:r w:rsidRPr="00850B8C">
        <w:rPr>
          <w:lang w:val="fr-CH"/>
        </w:rPr>
        <w:tab/>
        <w:t>que l</w:t>
      </w:r>
      <w:r>
        <w:rPr>
          <w:lang w:val="fr-CH"/>
        </w:rPr>
        <w:t>'</w:t>
      </w:r>
      <w:r w:rsidRPr="00850B8C">
        <w:rPr>
          <w:lang w:val="fr-CH"/>
        </w:rPr>
        <w:t>utilisation des stations terriennes en mouvement dans le cadre du SFS ne diffère guère des applications du SMS, compte tenu de la définition du service mobile par satellite donné</w:t>
      </w:r>
      <w:r w:rsidRPr="00075E17">
        <w:rPr>
          <w:lang w:val="fr-CH"/>
        </w:rPr>
        <w:t>e</w:t>
      </w:r>
      <w:r w:rsidRPr="00850B8C">
        <w:rPr>
          <w:lang w:val="fr-CH"/>
        </w:rPr>
        <w:t xml:space="preserve"> au numéro </w:t>
      </w:r>
      <w:r w:rsidRPr="00075E17">
        <w:rPr>
          <w:b/>
          <w:bCs/>
          <w:lang w:val="fr-CH"/>
        </w:rPr>
        <w:t>1.</w:t>
      </w:r>
      <w:r w:rsidRPr="00850B8C">
        <w:rPr>
          <w:b/>
          <w:bCs/>
          <w:lang w:val="fr-CH"/>
        </w:rPr>
        <w:t>25</w:t>
      </w:r>
      <w:r w:rsidRPr="00850B8C">
        <w:rPr>
          <w:lang w:val="fr-CH"/>
        </w:rPr>
        <w:t>;</w:t>
      </w:r>
    </w:p>
    <w:p w:rsidR="00850D4C" w:rsidRPr="00850B8C" w:rsidRDefault="00850D4C" w:rsidP="00A17011">
      <w:pPr>
        <w:jc w:val="both"/>
        <w:rPr>
          <w:lang w:val="fr-CH"/>
        </w:rPr>
      </w:pPr>
      <w:r w:rsidRPr="00850B8C">
        <w:rPr>
          <w:i/>
          <w:iCs/>
          <w:lang w:val="fr-CH"/>
        </w:rPr>
        <w:t>g)</w:t>
      </w:r>
      <w:r w:rsidRPr="00850B8C">
        <w:rPr>
          <w:i/>
          <w:iCs/>
          <w:lang w:val="fr-CH"/>
        </w:rPr>
        <w:tab/>
      </w:r>
      <w:r w:rsidRPr="00850B8C">
        <w:rPr>
          <w:lang w:val="fr-CH"/>
        </w:rPr>
        <w:t xml:space="preserve">que la principale différence entre les stations terriennes en mouvement et </w:t>
      </w:r>
      <w:r w:rsidRPr="00075E17">
        <w:rPr>
          <w:lang w:val="fr-CH"/>
        </w:rPr>
        <w:t xml:space="preserve">les </w:t>
      </w:r>
      <w:r w:rsidRPr="00850B8C">
        <w:rPr>
          <w:lang w:val="fr-CH"/>
        </w:rPr>
        <w:t>station</w:t>
      </w:r>
      <w:r w:rsidRPr="00075E17">
        <w:rPr>
          <w:lang w:val="fr-CH"/>
        </w:rPr>
        <w:t>s</w:t>
      </w:r>
      <w:r w:rsidRPr="00850B8C">
        <w:rPr>
          <w:lang w:val="fr-CH"/>
        </w:rPr>
        <w:t xml:space="preserve"> terrienne</w:t>
      </w:r>
      <w:r w:rsidRPr="00075E17">
        <w:rPr>
          <w:lang w:val="fr-CH"/>
        </w:rPr>
        <w:t>s</w:t>
      </w:r>
      <w:r w:rsidRPr="00850B8C">
        <w:rPr>
          <w:lang w:val="fr-CH"/>
        </w:rPr>
        <w:t xml:space="preserve"> mobile</w:t>
      </w:r>
      <w:r w:rsidRPr="00075E17">
        <w:rPr>
          <w:lang w:val="fr-CH"/>
        </w:rPr>
        <w:t>s</w:t>
      </w:r>
      <w:r w:rsidRPr="00850B8C">
        <w:rPr>
          <w:lang w:val="fr-CH"/>
        </w:rPr>
        <w:t xml:space="preserve"> e</w:t>
      </w:r>
      <w:r w:rsidRPr="00075E17">
        <w:rPr>
          <w:lang w:val="fr-CH"/>
        </w:rPr>
        <w:t>s</w:t>
      </w:r>
      <w:r w:rsidRPr="00850B8C">
        <w:rPr>
          <w:lang w:val="fr-CH"/>
        </w:rPr>
        <w:t xml:space="preserve">t que les stations terriennes en mouvement sont conformes aux prescriptions techniques </w:t>
      </w:r>
      <w:r>
        <w:rPr>
          <w:lang w:val="fr-CH"/>
        </w:rPr>
        <w:t>applicables aux</w:t>
      </w:r>
      <w:r w:rsidRPr="00850B8C">
        <w:rPr>
          <w:lang w:val="fr-CH"/>
        </w:rPr>
        <w:t xml:space="preserve"> stations terriennes du service fixe par satellite,</w:t>
      </w:r>
    </w:p>
    <w:p w:rsidR="00850D4C" w:rsidRPr="00EB45AF" w:rsidRDefault="00850D4C" w:rsidP="00A17011">
      <w:pPr>
        <w:pStyle w:val="Call"/>
        <w:jc w:val="both"/>
        <w:rPr>
          <w:lang w:val="fr-CH"/>
        </w:rPr>
      </w:pPr>
      <w:r>
        <w:rPr>
          <w:lang w:val="fr-CH"/>
        </w:rPr>
        <w:t>r</w:t>
      </w:r>
      <w:r w:rsidRPr="00EB45AF">
        <w:rPr>
          <w:lang w:val="fr-CH"/>
        </w:rPr>
        <w:t xml:space="preserve">econnaissant en outre </w:t>
      </w:r>
    </w:p>
    <w:p w:rsidR="00850D4C" w:rsidRPr="00EB45AF" w:rsidRDefault="00850D4C" w:rsidP="00A17011">
      <w:pPr>
        <w:jc w:val="both"/>
        <w:rPr>
          <w:iCs/>
          <w:lang w:val="fr-CH"/>
        </w:rPr>
      </w:pPr>
      <w:r w:rsidRPr="00EB45AF">
        <w:rPr>
          <w:i/>
          <w:iCs/>
          <w:lang w:val="fr-CH"/>
        </w:rPr>
        <w:t>a)</w:t>
      </w:r>
      <w:r w:rsidRPr="00EB45AF">
        <w:rPr>
          <w:i/>
          <w:iCs/>
          <w:lang w:val="fr-CH"/>
        </w:rPr>
        <w:tab/>
      </w:r>
      <w:r w:rsidRPr="00EB45AF">
        <w:rPr>
          <w:lang w:val="fr-CH"/>
        </w:rPr>
        <w:t>que certaines parties de la bande</w:t>
      </w:r>
      <w:r>
        <w:rPr>
          <w:lang w:val="fr-CH"/>
        </w:rPr>
        <w:t xml:space="preserve"> de fréquences </w:t>
      </w:r>
      <w:r w:rsidRPr="00EB45AF">
        <w:rPr>
          <w:iCs/>
          <w:lang w:val="fr-CH"/>
        </w:rPr>
        <w:t>17</w:t>
      </w:r>
      <w:r>
        <w:rPr>
          <w:iCs/>
          <w:lang w:val="fr-CH"/>
        </w:rPr>
        <w:t>,</w:t>
      </w:r>
      <w:r w:rsidRPr="00EB45AF">
        <w:rPr>
          <w:iCs/>
          <w:lang w:val="fr-CH"/>
        </w:rPr>
        <w:t>7-18</w:t>
      </w:r>
      <w:r>
        <w:rPr>
          <w:iCs/>
          <w:lang w:val="fr-CH"/>
        </w:rPr>
        <w:t>,</w:t>
      </w:r>
      <w:r w:rsidRPr="00EB45AF">
        <w:rPr>
          <w:iCs/>
          <w:lang w:val="fr-CH"/>
        </w:rPr>
        <w:t>1 GHz</w:t>
      </w:r>
      <w:r w:rsidRPr="00EB45AF">
        <w:rPr>
          <w:lang w:val="fr-CH"/>
        </w:rPr>
        <w:t xml:space="preserve"> sont utilisées par les liaisons de connexion du service de radiodiffusion par satellite, sous</w:t>
      </w:r>
      <w:r>
        <w:rPr>
          <w:lang w:val="fr-CH"/>
        </w:rPr>
        <w:t xml:space="preserve"> réserve des dispositions de l'A</w:t>
      </w:r>
      <w:r w:rsidRPr="00EB45AF">
        <w:rPr>
          <w:lang w:val="fr-CH"/>
        </w:rPr>
        <w:t>ppendice</w:t>
      </w:r>
      <w:r>
        <w:rPr>
          <w:i/>
          <w:iCs/>
          <w:lang w:val="fr-CH"/>
        </w:rPr>
        <w:t> </w:t>
      </w:r>
      <w:r w:rsidRPr="00EB45AF">
        <w:rPr>
          <w:b/>
          <w:bCs/>
          <w:iCs/>
          <w:lang w:val="fr-CH"/>
        </w:rPr>
        <w:t>30A</w:t>
      </w:r>
      <w:r w:rsidRPr="00EB45AF">
        <w:rPr>
          <w:iCs/>
          <w:lang w:val="fr-CH"/>
        </w:rPr>
        <w:t xml:space="preserve"> (numéro </w:t>
      </w:r>
      <w:r w:rsidRPr="00EB45AF">
        <w:rPr>
          <w:b/>
          <w:bCs/>
          <w:iCs/>
          <w:lang w:val="fr-CH"/>
        </w:rPr>
        <w:t>5.516</w:t>
      </w:r>
      <w:r w:rsidRPr="00EB45AF">
        <w:rPr>
          <w:iCs/>
          <w:lang w:val="fr-CH"/>
        </w:rPr>
        <w:t>);</w:t>
      </w:r>
    </w:p>
    <w:p w:rsidR="00850D4C" w:rsidRPr="00EB45AF" w:rsidRDefault="00850D4C" w:rsidP="00A17011">
      <w:pPr>
        <w:jc w:val="both"/>
        <w:rPr>
          <w:iCs/>
          <w:lang w:val="fr-CH"/>
        </w:rPr>
      </w:pPr>
      <w:r w:rsidRPr="00EB45AF">
        <w:rPr>
          <w:i/>
          <w:lang w:val="fr-CH"/>
        </w:rPr>
        <w:t>b)</w:t>
      </w:r>
      <w:r w:rsidRPr="00EB45AF">
        <w:rPr>
          <w:iCs/>
          <w:lang w:val="fr-CH"/>
        </w:rPr>
        <w:tab/>
        <w:t>que les bandes</w:t>
      </w:r>
      <w:r w:rsidRPr="001E75DD">
        <w:rPr>
          <w:lang w:val="fr-CH"/>
        </w:rPr>
        <w:t xml:space="preserve"> </w:t>
      </w:r>
      <w:r>
        <w:rPr>
          <w:lang w:val="fr-CH"/>
        </w:rPr>
        <w:t>de fréquences</w:t>
      </w:r>
      <w:r w:rsidRPr="00EB45AF">
        <w:rPr>
          <w:iCs/>
          <w:lang w:val="fr-CH"/>
        </w:rPr>
        <w:t xml:space="preserve"> </w:t>
      </w:r>
      <w:r>
        <w:rPr>
          <w:iCs/>
          <w:lang w:val="fr-CH"/>
        </w:rPr>
        <w:t>18,3-19,</w:t>
      </w:r>
      <w:r w:rsidRPr="00EB45AF">
        <w:rPr>
          <w:iCs/>
          <w:lang w:val="fr-CH"/>
        </w:rPr>
        <w:t>3 GHz (Région 2), 27</w:t>
      </w:r>
      <w:r>
        <w:rPr>
          <w:iCs/>
          <w:lang w:val="fr-CH"/>
        </w:rPr>
        <w:t>,5-27,</w:t>
      </w:r>
      <w:r w:rsidRPr="00EB45AF">
        <w:rPr>
          <w:iCs/>
          <w:lang w:val="fr-CH"/>
        </w:rPr>
        <w:t>82 GHz (Région 1), 28</w:t>
      </w:r>
      <w:r>
        <w:rPr>
          <w:iCs/>
          <w:lang w:val="fr-CH"/>
        </w:rPr>
        <w:t>,</w:t>
      </w:r>
      <w:r w:rsidRPr="00EB45AF">
        <w:rPr>
          <w:iCs/>
          <w:lang w:val="fr-CH"/>
        </w:rPr>
        <w:t>35-28</w:t>
      </w:r>
      <w:r>
        <w:rPr>
          <w:iCs/>
          <w:lang w:val="fr-CH"/>
        </w:rPr>
        <w:t>,</w:t>
      </w:r>
      <w:r w:rsidRPr="00EB45AF">
        <w:rPr>
          <w:iCs/>
          <w:lang w:val="fr-CH"/>
        </w:rPr>
        <w:t>45</w:t>
      </w:r>
      <w:r>
        <w:rPr>
          <w:iCs/>
          <w:lang w:val="fr-CH"/>
        </w:rPr>
        <w:t> </w:t>
      </w:r>
      <w:r w:rsidRPr="00EB45AF">
        <w:rPr>
          <w:iCs/>
          <w:lang w:val="fr-CH"/>
        </w:rPr>
        <w:t>GHz (Région</w:t>
      </w:r>
      <w:r>
        <w:rPr>
          <w:iCs/>
          <w:lang w:val="fr-CH"/>
        </w:rPr>
        <w:t xml:space="preserve"> 2), 28,</w:t>
      </w:r>
      <w:r w:rsidRPr="00EB45AF">
        <w:rPr>
          <w:iCs/>
          <w:lang w:val="fr-CH"/>
        </w:rPr>
        <w:t>45-28</w:t>
      </w:r>
      <w:r>
        <w:rPr>
          <w:iCs/>
          <w:lang w:val="fr-CH"/>
        </w:rPr>
        <w:t>,</w:t>
      </w:r>
      <w:r w:rsidRPr="00EB45AF">
        <w:rPr>
          <w:iCs/>
          <w:lang w:val="fr-CH"/>
        </w:rPr>
        <w:t>94 GHz (toutes les Régions</w:t>
      </w:r>
      <w:r>
        <w:rPr>
          <w:iCs/>
          <w:lang w:val="fr-CH"/>
        </w:rPr>
        <w:t>), 28,</w:t>
      </w:r>
      <w:r w:rsidRPr="00EB45AF">
        <w:rPr>
          <w:iCs/>
          <w:lang w:val="fr-CH"/>
        </w:rPr>
        <w:t>94-29</w:t>
      </w:r>
      <w:r>
        <w:rPr>
          <w:iCs/>
          <w:lang w:val="fr-CH"/>
        </w:rPr>
        <w:t>,</w:t>
      </w:r>
      <w:r w:rsidRPr="00EB45AF">
        <w:rPr>
          <w:iCs/>
          <w:lang w:val="fr-CH"/>
        </w:rPr>
        <w:t>1 GHz (Régions 2 et 3), 29</w:t>
      </w:r>
      <w:r>
        <w:rPr>
          <w:iCs/>
          <w:lang w:val="fr-CH"/>
        </w:rPr>
        <w:t>,</w:t>
      </w:r>
      <w:r w:rsidRPr="00EB45AF">
        <w:rPr>
          <w:iCs/>
          <w:lang w:val="fr-CH"/>
        </w:rPr>
        <w:t>25-29</w:t>
      </w:r>
      <w:r>
        <w:rPr>
          <w:iCs/>
          <w:lang w:val="fr-CH"/>
        </w:rPr>
        <w:t>,</w:t>
      </w:r>
      <w:r w:rsidRPr="00EB45AF">
        <w:rPr>
          <w:iCs/>
          <w:lang w:val="fr-CH"/>
        </w:rPr>
        <w:t>46 GHz (Région 2) et 29</w:t>
      </w:r>
      <w:r>
        <w:rPr>
          <w:iCs/>
          <w:lang w:val="fr-CH"/>
        </w:rPr>
        <w:t>,</w:t>
      </w:r>
      <w:r w:rsidRPr="00EB45AF">
        <w:rPr>
          <w:iCs/>
          <w:lang w:val="fr-CH"/>
        </w:rPr>
        <w:t>46-29</w:t>
      </w:r>
      <w:r>
        <w:rPr>
          <w:iCs/>
          <w:lang w:val="fr-CH"/>
        </w:rPr>
        <w:t>,</w:t>
      </w:r>
      <w:r w:rsidRPr="00EB45AF">
        <w:rPr>
          <w:iCs/>
          <w:lang w:val="fr-CH"/>
        </w:rPr>
        <w:t>5 GHz (toutes les Régions) sont identifiées pour être utilisées par les applications haute densit</w:t>
      </w:r>
      <w:r>
        <w:rPr>
          <w:iCs/>
          <w:lang w:val="fr-CH"/>
        </w:rPr>
        <w:t>é du service fixe par satellite</w:t>
      </w:r>
      <w:r w:rsidRPr="00EB45AF">
        <w:rPr>
          <w:iCs/>
          <w:lang w:val="fr-CH"/>
        </w:rPr>
        <w:t xml:space="preserve"> (numéro </w:t>
      </w:r>
      <w:r w:rsidRPr="00EB45AF">
        <w:rPr>
          <w:b/>
          <w:bCs/>
          <w:iCs/>
          <w:lang w:val="fr-CH"/>
        </w:rPr>
        <w:t>5.516B</w:t>
      </w:r>
      <w:r w:rsidRPr="00EB45AF">
        <w:rPr>
          <w:iCs/>
          <w:lang w:val="fr-CH"/>
        </w:rPr>
        <w:t>);</w:t>
      </w:r>
    </w:p>
    <w:p w:rsidR="00850D4C" w:rsidRPr="00EB45AF" w:rsidRDefault="00850D4C" w:rsidP="00A17011">
      <w:pPr>
        <w:tabs>
          <w:tab w:val="left" w:pos="4678"/>
        </w:tabs>
        <w:jc w:val="both"/>
        <w:rPr>
          <w:iCs/>
          <w:lang w:val="fr-CH"/>
        </w:rPr>
      </w:pPr>
      <w:r w:rsidRPr="00EB45AF">
        <w:rPr>
          <w:i/>
          <w:lang w:val="fr-CH"/>
        </w:rPr>
        <w:t>c)</w:t>
      </w:r>
      <w:r w:rsidRPr="00EB45AF">
        <w:rPr>
          <w:iCs/>
          <w:lang w:val="fr-CH"/>
        </w:rPr>
        <w:tab/>
        <w:t>que l</w:t>
      </w:r>
      <w:r>
        <w:rPr>
          <w:iCs/>
          <w:lang w:val="fr-CH"/>
        </w:rPr>
        <w:t>'</w:t>
      </w:r>
      <w:r w:rsidRPr="00EB45AF">
        <w:rPr>
          <w:iCs/>
          <w:lang w:val="fr-CH"/>
        </w:rPr>
        <w:t>utilisation de la bande</w:t>
      </w:r>
      <w:r w:rsidRPr="001E75DD">
        <w:rPr>
          <w:lang w:val="fr-CH"/>
        </w:rPr>
        <w:t xml:space="preserve"> </w:t>
      </w:r>
      <w:r>
        <w:rPr>
          <w:lang w:val="fr-CH"/>
        </w:rPr>
        <w:t>de fréquences</w:t>
      </w:r>
      <w:r w:rsidRPr="00EB45AF">
        <w:rPr>
          <w:iCs/>
          <w:lang w:val="fr-CH"/>
        </w:rPr>
        <w:t xml:space="preserve"> 18</w:t>
      </w:r>
      <w:r>
        <w:rPr>
          <w:iCs/>
          <w:lang w:val="fr-CH"/>
        </w:rPr>
        <w:t>,</w:t>
      </w:r>
      <w:r w:rsidRPr="00EB45AF">
        <w:rPr>
          <w:iCs/>
          <w:lang w:val="fr-CH"/>
        </w:rPr>
        <w:t>1-18</w:t>
      </w:r>
      <w:r>
        <w:rPr>
          <w:iCs/>
          <w:lang w:val="fr-CH"/>
        </w:rPr>
        <w:t>,</w:t>
      </w:r>
      <w:r w:rsidRPr="00EB45AF">
        <w:rPr>
          <w:iCs/>
          <w:lang w:val="fr-CH"/>
        </w:rPr>
        <w:t xml:space="preserve">4 GHz par le service fixe par satellite (Terre vers espace) est limitée aux liaisons de connexion des systèmes à satellites géostationnaires du service de radiodiffusion par satellite (numéro </w:t>
      </w:r>
      <w:r w:rsidRPr="00EB45AF">
        <w:rPr>
          <w:b/>
          <w:bCs/>
          <w:iCs/>
          <w:lang w:val="fr-CH"/>
        </w:rPr>
        <w:t>5.520</w:t>
      </w:r>
      <w:r w:rsidRPr="00EB45AF">
        <w:rPr>
          <w:iCs/>
          <w:lang w:val="fr-CH"/>
        </w:rPr>
        <w:t>);</w:t>
      </w:r>
    </w:p>
    <w:p w:rsidR="00850D4C" w:rsidRDefault="00850D4C" w:rsidP="00A17011">
      <w:pPr>
        <w:jc w:val="both"/>
        <w:rPr>
          <w:iCs/>
          <w:lang w:val="fr-CH"/>
        </w:rPr>
      </w:pPr>
      <w:r w:rsidRPr="00EB45AF">
        <w:rPr>
          <w:i/>
          <w:lang w:val="fr-CH"/>
        </w:rPr>
        <w:t>d)</w:t>
      </w:r>
      <w:r w:rsidRPr="00EB45AF">
        <w:rPr>
          <w:iCs/>
          <w:lang w:val="fr-CH"/>
        </w:rPr>
        <w:tab/>
        <w:t xml:space="preserve">que </w:t>
      </w:r>
      <w:r w:rsidRPr="00EB45AF">
        <w:rPr>
          <w:color w:val="000000"/>
        </w:rPr>
        <w:t>l</w:t>
      </w:r>
      <w:r>
        <w:rPr>
          <w:color w:val="000000"/>
        </w:rPr>
        <w:t>'</w:t>
      </w:r>
      <w:r w:rsidRPr="00EB45AF">
        <w:rPr>
          <w:color w:val="000000"/>
        </w:rPr>
        <w:t>utilisation de la bande</w:t>
      </w:r>
      <w:r w:rsidRPr="001E75DD">
        <w:rPr>
          <w:lang w:val="fr-CH"/>
        </w:rPr>
        <w:t xml:space="preserve"> </w:t>
      </w:r>
      <w:r>
        <w:rPr>
          <w:lang w:val="fr-CH"/>
        </w:rPr>
        <w:t>de fréquences</w:t>
      </w:r>
      <w:r w:rsidRPr="00EB45AF">
        <w:rPr>
          <w:color w:val="000000"/>
        </w:rPr>
        <w:t xml:space="preserve"> 18,6-18,8 GHz par le service fixe par satellite est limitée aux systèmes à satellites géostationnaires et aux systèmes dont l</w:t>
      </w:r>
      <w:r>
        <w:rPr>
          <w:color w:val="000000"/>
        </w:rPr>
        <w:t>'orbite a un apogée supérieur à </w:t>
      </w:r>
      <w:r w:rsidRPr="00EB45AF">
        <w:rPr>
          <w:color w:val="000000"/>
        </w:rPr>
        <w:t>20</w:t>
      </w:r>
      <w:r>
        <w:rPr>
          <w:color w:val="000000"/>
        </w:rPr>
        <w:t> </w:t>
      </w:r>
      <w:r w:rsidRPr="00EB45AF">
        <w:rPr>
          <w:color w:val="000000"/>
        </w:rPr>
        <w:t>000 km</w:t>
      </w:r>
      <w:r w:rsidRPr="00EB45AF">
        <w:rPr>
          <w:iCs/>
          <w:lang w:val="fr-CH"/>
        </w:rPr>
        <w:t xml:space="preserve"> (numéro </w:t>
      </w:r>
      <w:r w:rsidRPr="00EB45AF">
        <w:rPr>
          <w:b/>
          <w:bCs/>
          <w:iCs/>
          <w:lang w:val="fr-CH"/>
        </w:rPr>
        <w:t>5.522B</w:t>
      </w:r>
      <w:r w:rsidRPr="00EB45AF">
        <w:rPr>
          <w:iCs/>
          <w:lang w:val="fr-CH"/>
        </w:rPr>
        <w:t>);</w:t>
      </w:r>
    </w:p>
    <w:p w:rsidR="00850D4C" w:rsidRPr="008437E0" w:rsidRDefault="00850D4C" w:rsidP="00A17011">
      <w:pPr>
        <w:jc w:val="both"/>
        <w:rPr>
          <w:iCs/>
          <w:lang w:val="fr-CH"/>
        </w:rPr>
      </w:pPr>
      <w:r>
        <w:rPr>
          <w:i/>
          <w:lang w:val="fr-CH"/>
        </w:rPr>
        <w:t>e)</w:t>
      </w:r>
      <w:r>
        <w:rPr>
          <w:i/>
          <w:lang w:val="fr-CH"/>
        </w:rPr>
        <w:tab/>
      </w:r>
      <w:r>
        <w:rPr>
          <w:lang w:val="fr-CH"/>
        </w:rPr>
        <w:t xml:space="preserve">que l'utilisation des bandes de fréquences 17,8-18,6 GHz et 27,5-28,6 GHz par les systèmes à satellites non géostationnaires du service fixe par satellite est assujettie à l'application des dispositions des numéros </w:t>
      </w:r>
      <w:r w:rsidRPr="001068AE">
        <w:rPr>
          <w:b/>
          <w:bCs/>
          <w:lang w:val="fr-CH"/>
        </w:rPr>
        <w:t>5.484A</w:t>
      </w:r>
      <w:r>
        <w:rPr>
          <w:lang w:val="fr-CH"/>
        </w:rPr>
        <w:t xml:space="preserve">, </w:t>
      </w:r>
      <w:r w:rsidRPr="001068AE">
        <w:rPr>
          <w:b/>
          <w:bCs/>
          <w:lang w:val="fr-CH"/>
        </w:rPr>
        <w:t xml:space="preserve">22.5C </w:t>
      </w:r>
      <w:r>
        <w:rPr>
          <w:lang w:val="fr-CH"/>
        </w:rPr>
        <w:t xml:space="preserve">et </w:t>
      </w:r>
      <w:r w:rsidRPr="001068AE">
        <w:rPr>
          <w:b/>
          <w:bCs/>
          <w:lang w:val="fr-CH"/>
        </w:rPr>
        <w:t>22.5I</w:t>
      </w:r>
      <w:r>
        <w:rPr>
          <w:lang w:val="fr-CH"/>
        </w:rPr>
        <w:t>;</w:t>
      </w:r>
    </w:p>
    <w:p w:rsidR="00850D4C" w:rsidRPr="00EB45AF" w:rsidRDefault="00850D4C" w:rsidP="00A17011">
      <w:pPr>
        <w:jc w:val="both"/>
        <w:rPr>
          <w:iCs/>
          <w:lang w:val="fr-CH"/>
        </w:rPr>
      </w:pPr>
      <w:r>
        <w:rPr>
          <w:i/>
          <w:lang w:val="fr-CH"/>
        </w:rPr>
        <w:t>f</w:t>
      </w:r>
      <w:r w:rsidRPr="00EB45AF">
        <w:rPr>
          <w:i/>
          <w:lang w:val="fr-CH"/>
        </w:rPr>
        <w:t>)</w:t>
      </w:r>
      <w:r w:rsidRPr="00EB45AF">
        <w:rPr>
          <w:iCs/>
          <w:lang w:val="fr-CH"/>
        </w:rPr>
        <w:tab/>
        <w:t xml:space="preserve">que </w:t>
      </w:r>
      <w:r w:rsidRPr="00EB45AF">
        <w:rPr>
          <w:color w:val="000000"/>
        </w:rPr>
        <w:t>l</w:t>
      </w:r>
      <w:r>
        <w:rPr>
          <w:color w:val="000000"/>
        </w:rPr>
        <w:t>'</w:t>
      </w:r>
      <w:r w:rsidRPr="00EB45AF">
        <w:rPr>
          <w:color w:val="000000"/>
        </w:rPr>
        <w:t>utilisation des bandes</w:t>
      </w:r>
      <w:r w:rsidRPr="001E75DD">
        <w:rPr>
          <w:lang w:val="fr-CH"/>
        </w:rPr>
        <w:t xml:space="preserve"> </w:t>
      </w:r>
      <w:r>
        <w:rPr>
          <w:lang w:val="fr-CH"/>
        </w:rPr>
        <w:t>de fréquences</w:t>
      </w:r>
      <w:r w:rsidRPr="00EB45AF">
        <w:rPr>
          <w:color w:val="000000"/>
        </w:rPr>
        <w:t xml:space="preserve"> 18,8-19,3 GHz et 28,6-29,1 GHz par des réseaux géostationnaires et des réseaux</w:t>
      </w:r>
      <w:r>
        <w:rPr>
          <w:color w:val="000000"/>
        </w:rPr>
        <w:t xml:space="preserve"> à satellite</w:t>
      </w:r>
      <w:r w:rsidRPr="00EB45AF">
        <w:rPr>
          <w:color w:val="000000"/>
        </w:rPr>
        <w:t xml:space="preserve"> non géostationnaire du service fixe par satellite est soumise à l</w:t>
      </w:r>
      <w:r>
        <w:rPr>
          <w:color w:val="000000"/>
        </w:rPr>
        <w:t>'</w:t>
      </w:r>
      <w:r w:rsidRPr="00EB45AF">
        <w:rPr>
          <w:color w:val="000000"/>
        </w:rPr>
        <w:t xml:space="preserve">application des dispositions du numéro </w:t>
      </w:r>
      <w:r w:rsidRPr="00EB45AF">
        <w:rPr>
          <w:b/>
          <w:bCs/>
          <w:color w:val="000000"/>
        </w:rPr>
        <w:t>9.11A</w:t>
      </w:r>
      <w:r>
        <w:rPr>
          <w:color w:val="000000"/>
        </w:rPr>
        <w:t xml:space="preserve"> et que </w:t>
      </w:r>
      <w:r w:rsidRPr="00EB45AF">
        <w:rPr>
          <w:color w:val="000000"/>
        </w:rPr>
        <w:t xml:space="preserve">le numéro </w:t>
      </w:r>
      <w:r w:rsidRPr="00EB45AF">
        <w:rPr>
          <w:b/>
          <w:bCs/>
          <w:color w:val="000000"/>
        </w:rPr>
        <w:t>22.2</w:t>
      </w:r>
      <w:r w:rsidRPr="00EB45AF">
        <w:rPr>
          <w:color w:val="000000"/>
        </w:rPr>
        <w:t xml:space="preserve"> ne s</w:t>
      </w:r>
      <w:r>
        <w:rPr>
          <w:color w:val="000000"/>
        </w:rPr>
        <w:t>'</w:t>
      </w:r>
      <w:r w:rsidRPr="00EB45AF">
        <w:rPr>
          <w:color w:val="000000"/>
        </w:rPr>
        <w:t>applique pas</w:t>
      </w:r>
      <w:r>
        <w:rPr>
          <w:iCs/>
          <w:lang w:val="fr-CH"/>
        </w:rPr>
        <w:t xml:space="preserve"> </w:t>
      </w:r>
      <w:r w:rsidRPr="00EB45AF">
        <w:rPr>
          <w:iCs/>
          <w:lang w:val="fr-CH"/>
        </w:rPr>
        <w:t>(numéro</w:t>
      </w:r>
      <w:r>
        <w:rPr>
          <w:iCs/>
          <w:lang w:val="fr-CH"/>
        </w:rPr>
        <w:t> </w:t>
      </w:r>
      <w:r w:rsidRPr="00EB45AF">
        <w:rPr>
          <w:b/>
          <w:bCs/>
          <w:iCs/>
          <w:lang w:val="fr-CH"/>
        </w:rPr>
        <w:t>5.523A</w:t>
      </w:r>
      <w:r w:rsidRPr="00EB45AF">
        <w:rPr>
          <w:iCs/>
          <w:lang w:val="fr-CH"/>
        </w:rPr>
        <w:t>);</w:t>
      </w:r>
    </w:p>
    <w:p w:rsidR="00850D4C" w:rsidRPr="00EB45AF" w:rsidRDefault="00850D4C" w:rsidP="00A17011">
      <w:pPr>
        <w:jc w:val="both"/>
        <w:rPr>
          <w:iCs/>
          <w:lang w:val="fr-CH"/>
        </w:rPr>
      </w:pPr>
      <w:r>
        <w:rPr>
          <w:i/>
          <w:lang w:val="fr-CH"/>
        </w:rPr>
        <w:lastRenderedPageBreak/>
        <w:t>g</w:t>
      </w:r>
      <w:r w:rsidRPr="00EB45AF">
        <w:rPr>
          <w:i/>
          <w:lang w:val="fr-CH"/>
        </w:rPr>
        <w:t>)</w:t>
      </w:r>
      <w:r w:rsidRPr="00EB45AF">
        <w:rPr>
          <w:iCs/>
          <w:lang w:val="fr-CH"/>
        </w:rPr>
        <w:tab/>
        <w:t xml:space="preserve">que </w:t>
      </w:r>
      <w:r w:rsidRPr="00EB45AF">
        <w:rPr>
          <w:color w:val="000000"/>
        </w:rPr>
        <w:t>l</w:t>
      </w:r>
      <w:r>
        <w:rPr>
          <w:color w:val="000000"/>
        </w:rPr>
        <w:t>'</w:t>
      </w:r>
      <w:r w:rsidRPr="00EB45AF">
        <w:rPr>
          <w:color w:val="000000"/>
        </w:rPr>
        <w:t>utilisation de la bande</w:t>
      </w:r>
      <w:r w:rsidRPr="00813FF9">
        <w:rPr>
          <w:lang w:val="fr-CH"/>
        </w:rPr>
        <w:t xml:space="preserve"> </w:t>
      </w:r>
      <w:r>
        <w:rPr>
          <w:lang w:val="fr-CH"/>
        </w:rPr>
        <w:t>de fréquences</w:t>
      </w:r>
      <w:r w:rsidRPr="00EB45AF">
        <w:rPr>
          <w:color w:val="000000"/>
        </w:rPr>
        <w:t xml:space="preserve"> 19,3-19,7 GHz par les systèmes du service fixe par satellite géostationnaire et par les liaisons de connexion des systèmes à satellites non géostationnaires du service mobile par satellite est subordonnée </w:t>
      </w:r>
      <w:r>
        <w:rPr>
          <w:color w:val="000000"/>
        </w:rPr>
        <w:t>aux dispositions</w:t>
      </w:r>
      <w:r w:rsidRPr="00EB45AF">
        <w:rPr>
          <w:color w:val="000000"/>
        </w:rPr>
        <w:t xml:space="preserve"> du numéro </w:t>
      </w:r>
      <w:r w:rsidRPr="00EB45AF">
        <w:rPr>
          <w:b/>
          <w:bCs/>
          <w:color w:val="000000"/>
        </w:rPr>
        <w:t>9.11A</w:t>
      </w:r>
      <w:r w:rsidRPr="00EB45AF">
        <w:rPr>
          <w:color w:val="000000"/>
        </w:rPr>
        <w:t>, mais n</w:t>
      </w:r>
      <w:r>
        <w:rPr>
          <w:color w:val="000000"/>
        </w:rPr>
        <w:t>'</w:t>
      </w:r>
      <w:r w:rsidRPr="00EB45AF">
        <w:rPr>
          <w:color w:val="000000"/>
        </w:rPr>
        <w:t xml:space="preserve">est pas assujettie aux dispositions du numéro </w:t>
      </w:r>
      <w:r w:rsidRPr="00EB45AF">
        <w:rPr>
          <w:b/>
          <w:bCs/>
          <w:color w:val="000000"/>
        </w:rPr>
        <w:t>22.2</w:t>
      </w:r>
      <w:r>
        <w:rPr>
          <w:color w:val="000000"/>
        </w:rPr>
        <w:t xml:space="preserve"> </w:t>
      </w:r>
      <w:r w:rsidRPr="00EB45AF">
        <w:rPr>
          <w:color w:val="000000"/>
        </w:rPr>
        <w:t xml:space="preserve">et que </w:t>
      </w:r>
      <w:r>
        <w:rPr>
          <w:color w:val="000000"/>
        </w:rPr>
        <w:t>l'</w:t>
      </w:r>
      <w:r w:rsidRPr="00EB45AF">
        <w:rPr>
          <w:color w:val="000000"/>
        </w:rPr>
        <w:t>utilisation de cette bande</w:t>
      </w:r>
      <w:r w:rsidRPr="00813FF9">
        <w:rPr>
          <w:lang w:val="fr-CH"/>
        </w:rPr>
        <w:t xml:space="preserve"> </w:t>
      </w:r>
      <w:r>
        <w:rPr>
          <w:lang w:val="fr-CH"/>
        </w:rPr>
        <w:t>de fréquences</w:t>
      </w:r>
      <w:r w:rsidRPr="00EB45AF">
        <w:rPr>
          <w:color w:val="000000"/>
        </w:rPr>
        <w:t xml:space="preserve"> par d</w:t>
      </w:r>
      <w:r>
        <w:rPr>
          <w:color w:val="000000"/>
        </w:rPr>
        <w:t>'</w:t>
      </w:r>
      <w:r w:rsidRPr="00EB45AF">
        <w:rPr>
          <w:color w:val="000000"/>
        </w:rPr>
        <w:t xml:space="preserve">autres systèmes du service fixe par satellite non géostationnaire, ou dans les cas indiqués aux numéros </w:t>
      </w:r>
      <w:r w:rsidRPr="00EB45AF">
        <w:rPr>
          <w:b/>
          <w:bCs/>
          <w:color w:val="000000"/>
        </w:rPr>
        <w:t>5.523C</w:t>
      </w:r>
      <w:r w:rsidRPr="00EB45AF">
        <w:rPr>
          <w:color w:val="000000"/>
        </w:rPr>
        <w:t xml:space="preserve"> et</w:t>
      </w:r>
      <w:r>
        <w:rPr>
          <w:color w:val="000000"/>
        </w:rPr>
        <w:t> </w:t>
      </w:r>
      <w:r w:rsidRPr="00EB45AF">
        <w:rPr>
          <w:b/>
          <w:bCs/>
          <w:color w:val="000000"/>
        </w:rPr>
        <w:t>5.523E</w:t>
      </w:r>
      <w:r w:rsidRPr="00EB45AF">
        <w:rPr>
          <w:color w:val="000000"/>
        </w:rPr>
        <w:t>, n</w:t>
      </w:r>
      <w:r>
        <w:rPr>
          <w:color w:val="000000"/>
        </w:rPr>
        <w:t>'</w:t>
      </w:r>
      <w:r w:rsidRPr="00EB45AF">
        <w:rPr>
          <w:color w:val="000000"/>
        </w:rPr>
        <w:t xml:space="preserve">est pas assujettie aux dispositions du numéro </w:t>
      </w:r>
      <w:r w:rsidRPr="00EB45AF">
        <w:rPr>
          <w:b/>
          <w:bCs/>
          <w:color w:val="000000"/>
        </w:rPr>
        <w:t>9.11A</w:t>
      </w:r>
      <w:r w:rsidRPr="00EB45AF">
        <w:rPr>
          <w:color w:val="000000"/>
        </w:rPr>
        <w:t xml:space="preserve"> et reste soumise à l</w:t>
      </w:r>
      <w:r>
        <w:rPr>
          <w:color w:val="000000"/>
        </w:rPr>
        <w:t>'</w:t>
      </w:r>
      <w:r w:rsidRPr="00EB45AF">
        <w:rPr>
          <w:color w:val="000000"/>
        </w:rPr>
        <w:t xml:space="preserve">application des procédures prévues aux Articles </w:t>
      </w:r>
      <w:r w:rsidRPr="00EB45AF">
        <w:rPr>
          <w:b/>
          <w:bCs/>
          <w:color w:val="000000"/>
        </w:rPr>
        <w:t>9</w:t>
      </w:r>
      <w:r w:rsidRPr="00EB45AF">
        <w:rPr>
          <w:color w:val="000000"/>
        </w:rPr>
        <w:t xml:space="preserve"> (sauf numéro </w:t>
      </w:r>
      <w:r w:rsidRPr="00EB45AF">
        <w:rPr>
          <w:b/>
          <w:bCs/>
          <w:color w:val="000000"/>
        </w:rPr>
        <w:t>9.11A</w:t>
      </w:r>
      <w:r w:rsidRPr="00EB45AF">
        <w:rPr>
          <w:color w:val="000000"/>
        </w:rPr>
        <w:t xml:space="preserve">) et </w:t>
      </w:r>
      <w:r w:rsidRPr="00EB45AF">
        <w:rPr>
          <w:b/>
          <w:bCs/>
          <w:color w:val="000000"/>
        </w:rPr>
        <w:t>11</w:t>
      </w:r>
      <w:r w:rsidRPr="00EB45AF">
        <w:rPr>
          <w:color w:val="000000"/>
        </w:rPr>
        <w:t>, ainsi qu</w:t>
      </w:r>
      <w:r>
        <w:rPr>
          <w:color w:val="000000"/>
        </w:rPr>
        <w:t>'</w:t>
      </w:r>
      <w:r w:rsidRPr="00EB45AF">
        <w:rPr>
          <w:color w:val="000000"/>
        </w:rPr>
        <w:t>aux dispositions du numéro</w:t>
      </w:r>
      <w:r>
        <w:rPr>
          <w:color w:val="000000"/>
        </w:rPr>
        <w:t> </w:t>
      </w:r>
      <w:r w:rsidRPr="00DF76BC">
        <w:rPr>
          <w:b/>
          <w:bCs/>
          <w:color w:val="000000"/>
        </w:rPr>
        <w:t>22.2</w:t>
      </w:r>
      <w:r w:rsidRPr="00EB45AF">
        <w:rPr>
          <w:iCs/>
          <w:lang w:val="fr-CH"/>
        </w:rPr>
        <w:t xml:space="preserve"> (numéro </w:t>
      </w:r>
      <w:r w:rsidRPr="00EB45AF">
        <w:rPr>
          <w:b/>
          <w:bCs/>
          <w:iCs/>
          <w:lang w:val="fr-CH"/>
        </w:rPr>
        <w:t>5.523D</w:t>
      </w:r>
      <w:r w:rsidRPr="00EB45AF">
        <w:rPr>
          <w:iCs/>
          <w:lang w:val="fr-CH"/>
        </w:rPr>
        <w:t>);</w:t>
      </w:r>
    </w:p>
    <w:p w:rsidR="00850D4C" w:rsidRPr="00EB45AF" w:rsidRDefault="00850D4C" w:rsidP="00A17011">
      <w:pPr>
        <w:jc w:val="both"/>
        <w:rPr>
          <w:iCs/>
          <w:lang w:val="fr-CH"/>
        </w:rPr>
      </w:pPr>
      <w:r>
        <w:rPr>
          <w:i/>
          <w:lang w:val="fr-CH"/>
        </w:rPr>
        <w:t>h</w:t>
      </w:r>
      <w:r w:rsidRPr="00EB45AF">
        <w:rPr>
          <w:i/>
          <w:lang w:val="fr-CH"/>
        </w:rPr>
        <w:t>)</w:t>
      </w:r>
      <w:r w:rsidRPr="00EB45AF">
        <w:rPr>
          <w:iCs/>
          <w:lang w:val="fr-CH"/>
        </w:rPr>
        <w:tab/>
        <w:t xml:space="preserve">que </w:t>
      </w:r>
      <w:r w:rsidRPr="00EB45AF">
        <w:rPr>
          <w:color w:val="000000"/>
        </w:rPr>
        <w:t>l</w:t>
      </w:r>
      <w:r>
        <w:rPr>
          <w:color w:val="000000"/>
        </w:rPr>
        <w:t>'</w:t>
      </w:r>
      <w:r w:rsidRPr="00EB45AF">
        <w:rPr>
          <w:color w:val="000000"/>
        </w:rPr>
        <w:t xml:space="preserve">utilisation de la bande </w:t>
      </w:r>
      <w:r>
        <w:rPr>
          <w:lang w:val="fr-CH"/>
        </w:rPr>
        <w:t xml:space="preserve">de fréquences </w:t>
      </w:r>
      <w:r w:rsidRPr="00EB45AF">
        <w:rPr>
          <w:color w:val="000000"/>
        </w:rPr>
        <w:t xml:space="preserve">29,1-29,5 GHz (Terre vers espace) par le service fixe par satellite est limitée aux systèmes à satellites géostationnaires et aux liaisons de connexion des systèmes à satellites non géostationnaires du service mobile par satellite et que </w:t>
      </w:r>
      <w:r>
        <w:rPr>
          <w:color w:val="000000"/>
        </w:rPr>
        <w:t>c</w:t>
      </w:r>
      <w:r w:rsidRPr="00EB45AF">
        <w:rPr>
          <w:color w:val="000000"/>
        </w:rPr>
        <w:t xml:space="preserve">ette utilisation est assujettie aux dispositions du numéro </w:t>
      </w:r>
      <w:r w:rsidRPr="00605215">
        <w:rPr>
          <w:b/>
          <w:bCs/>
          <w:color w:val="000000"/>
        </w:rPr>
        <w:t>9.11A</w:t>
      </w:r>
      <w:r w:rsidRPr="00813FF9">
        <w:rPr>
          <w:color w:val="000000"/>
        </w:rPr>
        <w:t>,</w:t>
      </w:r>
      <w:r>
        <w:rPr>
          <w:color w:val="000000"/>
        </w:rPr>
        <w:t xml:space="preserve"> mais pas aux</w:t>
      </w:r>
      <w:r w:rsidRPr="00EB45AF">
        <w:rPr>
          <w:color w:val="000000"/>
        </w:rPr>
        <w:t xml:space="preserve"> dispositions du numéro</w:t>
      </w:r>
      <w:r>
        <w:rPr>
          <w:color w:val="000000"/>
        </w:rPr>
        <w:t> </w:t>
      </w:r>
      <w:r w:rsidRPr="00605215">
        <w:rPr>
          <w:b/>
          <w:bCs/>
          <w:color w:val="000000"/>
        </w:rPr>
        <w:t>22.2</w:t>
      </w:r>
      <w:r w:rsidRPr="00EB45AF">
        <w:rPr>
          <w:color w:val="000000"/>
        </w:rPr>
        <w:t xml:space="preserve">, exception faite de ce qui est indiqué aux numéros </w:t>
      </w:r>
      <w:r w:rsidRPr="00605215">
        <w:rPr>
          <w:b/>
          <w:bCs/>
          <w:color w:val="000000"/>
        </w:rPr>
        <w:t>5.523C</w:t>
      </w:r>
      <w:r w:rsidRPr="00EB45AF">
        <w:rPr>
          <w:color w:val="000000"/>
        </w:rPr>
        <w:t xml:space="preserve"> et </w:t>
      </w:r>
      <w:r w:rsidRPr="00605215">
        <w:rPr>
          <w:b/>
          <w:bCs/>
          <w:color w:val="000000"/>
        </w:rPr>
        <w:t>5.523E</w:t>
      </w:r>
      <w:r w:rsidRPr="00EB45AF">
        <w:rPr>
          <w:color w:val="000000"/>
        </w:rPr>
        <w:t>, en vertu desquelles cette utilisation n</w:t>
      </w:r>
      <w:r>
        <w:rPr>
          <w:color w:val="000000"/>
        </w:rPr>
        <w:t>'</w:t>
      </w:r>
      <w:r w:rsidRPr="00EB45AF">
        <w:rPr>
          <w:color w:val="000000"/>
        </w:rPr>
        <w:t xml:space="preserve">est pas assujettie aux dispositions du numéro </w:t>
      </w:r>
      <w:r w:rsidRPr="00605215">
        <w:rPr>
          <w:b/>
          <w:bCs/>
          <w:color w:val="000000"/>
        </w:rPr>
        <w:t>9.11A</w:t>
      </w:r>
      <w:r w:rsidRPr="00EB45AF">
        <w:rPr>
          <w:color w:val="000000"/>
        </w:rPr>
        <w:t xml:space="preserve"> et reste soumise à l</w:t>
      </w:r>
      <w:r>
        <w:rPr>
          <w:color w:val="000000"/>
        </w:rPr>
        <w:t>'</w:t>
      </w:r>
      <w:r w:rsidRPr="00EB45AF">
        <w:rPr>
          <w:color w:val="000000"/>
        </w:rPr>
        <w:t xml:space="preserve">application des procédures prévues aux Articles </w:t>
      </w:r>
      <w:r w:rsidRPr="00605215">
        <w:rPr>
          <w:b/>
          <w:bCs/>
          <w:color w:val="000000"/>
        </w:rPr>
        <w:t>9</w:t>
      </w:r>
      <w:r w:rsidRPr="00EB45AF">
        <w:rPr>
          <w:color w:val="000000"/>
        </w:rPr>
        <w:t xml:space="preserve"> (sauf numéro </w:t>
      </w:r>
      <w:r w:rsidRPr="00605215">
        <w:rPr>
          <w:b/>
          <w:bCs/>
          <w:color w:val="000000"/>
        </w:rPr>
        <w:t>9.11A</w:t>
      </w:r>
      <w:r w:rsidRPr="00EB45AF">
        <w:rPr>
          <w:color w:val="000000"/>
        </w:rPr>
        <w:t xml:space="preserve">) et </w:t>
      </w:r>
      <w:r w:rsidRPr="00605215">
        <w:rPr>
          <w:b/>
          <w:bCs/>
          <w:color w:val="000000"/>
        </w:rPr>
        <w:t>11</w:t>
      </w:r>
      <w:r w:rsidRPr="00EB45AF">
        <w:rPr>
          <w:color w:val="000000"/>
        </w:rPr>
        <w:t>, ainsi qu</w:t>
      </w:r>
      <w:r>
        <w:rPr>
          <w:color w:val="000000"/>
        </w:rPr>
        <w:t>'</w:t>
      </w:r>
      <w:r w:rsidRPr="00EB45AF">
        <w:rPr>
          <w:color w:val="000000"/>
        </w:rPr>
        <w:t>aux dispositions du numéro</w:t>
      </w:r>
      <w:r>
        <w:rPr>
          <w:color w:val="000000"/>
        </w:rPr>
        <w:t> </w:t>
      </w:r>
      <w:r w:rsidRPr="00605215">
        <w:rPr>
          <w:b/>
          <w:bCs/>
          <w:color w:val="000000"/>
        </w:rPr>
        <w:t>22.2</w:t>
      </w:r>
      <w:r w:rsidRPr="00EB45AF">
        <w:rPr>
          <w:iCs/>
          <w:lang w:val="fr-CH"/>
        </w:rPr>
        <w:t xml:space="preserve"> (numéro </w:t>
      </w:r>
      <w:r w:rsidRPr="00EB45AF">
        <w:rPr>
          <w:b/>
          <w:bCs/>
          <w:iCs/>
          <w:lang w:val="fr-CH"/>
        </w:rPr>
        <w:t>5.535A</w:t>
      </w:r>
      <w:r w:rsidRPr="00EB45AF">
        <w:rPr>
          <w:iCs/>
          <w:lang w:val="fr-CH"/>
        </w:rPr>
        <w:t>);</w:t>
      </w:r>
    </w:p>
    <w:p w:rsidR="00850D4C" w:rsidRPr="00EB45AF" w:rsidRDefault="00850D4C" w:rsidP="00A17011">
      <w:pPr>
        <w:jc w:val="both"/>
        <w:rPr>
          <w:iCs/>
          <w:lang w:val="fr-CH"/>
        </w:rPr>
      </w:pPr>
      <w:r>
        <w:rPr>
          <w:i/>
          <w:lang w:val="fr-CH"/>
        </w:rPr>
        <w:t>i</w:t>
      </w:r>
      <w:r w:rsidRPr="00EB45AF">
        <w:rPr>
          <w:i/>
          <w:lang w:val="fr-CH"/>
        </w:rPr>
        <w:t>)</w:t>
      </w:r>
      <w:r w:rsidRPr="00EB45AF">
        <w:rPr>
          <w:iCs/>
          <w:lang w:val="fr-CH"/>
        </w:rPr>
        <w:tab/>
        <w:t xml:space="preserve">que </w:t>
      </w:r>
      <w:r w:rsidRPr="00EB45AF">
        <w:rPr>
          <w:color w:val="000000"/>
        </w:rPr>
        <w:t>la bande</w:t>
      </w:r>
      <w:r w:rsidRPr="00813FF9">
        <w:rPr>
          <w:lang w:val="fr-CH"/>
        </w:rPr>
        <w:t xml:space="preserve"> </w:t>
      </w:r>
      <w:r>
        <w:rPr>
          <w:lang w:val="fr-CH"/>
        </w:rPr>
        <w:t>de fréquences</w:t>
      </w:r>
      <w:r w:rsidRPr="00EB45AF">
        <w:rPr>
          <w:color w:val="000000"/>
        </w:rPr>
        <w:t xml:space="preserve"> 27,5-30 GHz peut être utilisée par le service fixe par satellite (Terre vers espace) pour l</w:t>
      </w:r>
      <w:r>
        <w:rPr>
          <w:color w:val="000000"/>
        </w:rPr>
        <w:t>'</w:t>
      </w:r>
      <w:r w:rsidRPr="00EB45AF">
        <w:rPr>
          <w:color w:val="000000"/>
        </w:rPr>
        <w:t>établissement de liaisons de connexion pour le service de radiodiffusion par satellite</w:t>
      </w:r>
      <w:r>
        <w:rPr>
          <w:color w:val="000000"/>
        </w:rPr>
        <w:t xml:space="preserve"> </w:t>
      </w:r>
      <w:r w:rsidRPr="00EB45AF">
        <w:rPr>
          <w:iCs/>
          <w:lang w:val="fr-CH"/>
        </w:rPr>
        <w:t xml:space="preserve">(numéro </w:t>
      </w:r>
      <w:r w:rsidRPr="00EB45AF">
        <w:rPr>
          <w:b/>
          <w:bCs/>
          <w:iCs/>
          <w:lang w:val="fr-CH"/>
        </w:rPr>
        <w:t>5.539</w:t>
      </w:r>
      <w:r w:rsidRPr="00EB45AF">
        <w:rPr>
          <w:iCs/>
          <w:lang w:val="fr-CH"/>
        </w:rPr>
        <w:t>);</w:t>
      </w:r>
    </w:p>
    <w:p w:rsidR="00850D4C" w:rsidRPr="00EB45AF" w:rsidRDefault="00850D4C" w:rsidP="00A17011">
      <w:pPr>
        <w:jc w:val="both"/>
        <w:rPr>
          <w:iCs/>
          <w:lang w:val="fr-CH"/>
        </w:rPr>
      </w:pPr>
      <w:r>
        <w:rPr>
          <w:i/>
          <w:lang w:val="fr-CH"/>
        </w:rPr>
        <w:t>j</w:t>
      </w:r>
      <w:r w:rsidRPr="00EB45AF">
        <w:rPr>
          <w:i/>
          <w:lang w:val="fr-CH"/>
        </w:rPr>
        <w:t>)</w:t>
      </w:r>
      <w:r w:rsidRPr="00EB45AF">
        <w:rPr>
          <w:iCs/>
          <w:lang w:val="fr-CH"/>
        </w:rPr>
        <w:tab/>
        <w:t xml:space="preserve">que </w:t>
      </w:r>
      <w:r w:rsidRPr="00EB45AF">
        <w:rPr>
          <w:color w:val="000000"/>
        </w:rPr>
        <w:t>les liaisons de connexion des réseaux</w:t>
      </w:r>
      <w:r>
        <w:rPr>
          <w:color w:val="000000"/>
        </w:rPr>
        <w:t xml:space="preserve"> à satellite</w:t>
      </w:r>
      <w:r w:rsidRPr="00EB45AF">
        <w:rPr>
          <w:color w:val="000000"/>
        </w:rPr>
        <w:t xml:space="preserve"> non géostationnaire du service mobile par satellite et des réseaux</w:t>
      </w:r>
      <w:r>
        <w:rPr>
          <w:color w:val="000000"/>
        </w:rPr>
        <w:t xml:space="preserve"> à satellite géostationnaire</w:t>
      </w:r>
      <w:r w:rsidRPr="00EB45AF">
        <w:rPr>
          <w:color w:val="000000"/>
        </w:rPr>
        <w:t xml:space="preserve"> du service fixe par satellite, exploitées dans la bande</w:t>
      </w:r>
      <w:r w:rsidRPr="00813FF9">
        <w:rPr>
          <w:lang w:val="fr-CH"/>
        </w:rPr>
        <w:t xml:space="preserve"> </w:t>
      </w:r>
      <w:r>
        <w:rPr>
          <w:lang w:val="fr-CH"/>
        </w:rPr>
        <w:t>de fréquences</w:t>
      </w:r>
      <w:r w:rsidRPr="00EB45AF">
        <w:rPr>
          <w:color w:val="000000"/>
        </w:rPr>
        <w:t xml:space="preserve"> 29,1</w:t>
      </w:r>
      <w:r>
        <w:rPr>
          <w:color w:val="000000"/>
        </w:rPr>
        <w:noBreakHyphen/>
      </w:r>
      <w:r w:rsidRPr="00EB45AF">
        <w:rPr>
          <w:color w:val="000000"/>
        </w:rPr>
        <w:t>29,5 GHz (Terre vers espace), doivent utiliser une commande de puissance adaptative sur la liaison montante ou d</w:t>
      </w:r>
      <w:r>
        <w:rPr>
          <w:color w:val="000000"/>
        </w:rPr>
        <w:t>'</w:t>
      </w:r>
      <w:r w:rsidRPr="00EB45AF">
        <w:rPr>
          <w:color w:val="000000"/>
        </w:rPr>
        <w:t xml:space="preserve">autres techniques de compensation des évanouissements, de sorte que les stations terriennes émettent au niveau de puissance compatible avec la qualité de fonctionnement voulue tout en réduisant le niveau de brouillage mutuel entre les deux réseaux </w:t>
      </w:r>
      <w:r w:rsidRPr="00EB45AF">
        <w:rPr>
          <w:iCs/>
          <w:lang w:val="fr-CH"/>
        </w:rPr>
        <w:t xml:space="preserve">(numéro </w:t>
      </w:r>
      <w:r w:rsidRPr="00EB45AF">
        <w:rPr>
          <w:b/>
          <w:bCs/>
          <w:iCs/>
          <w:lang w:val="fr-CH"/>
        </w:rPr>
        <w:t>5.541A</w:t>
      </w:r>
      <w:r w:rsidRPr="00EB45AF">
        <w:rPr>
          <w:iCs/>
          <w:lang w:val="fr-CH"/>
        </w:rPr>
        <w:t>);</w:t>
      </w:r>
    </w:p>
    <w:p w:rsidR="00850D4C" w:rsidRPr="00EB45AF" w:rsidRDefault="00850D4C" w:rsidP="00A17011">
      <w:pPr>
        <w:jc w:val="both"/>
        <w:rPr>
          <w:iCs/>
          <w:lang w:val="fr-CH"/>
        </w:rPr>
      </w:pPr>
      <w:r>
        <w:rPr>
          <w:i/>
          <w:lang w:val="fr-CH"/>
        </w:rPr>
        <w:t>k</w:t>
      </w:r>
      <w:r w:rsidRPr="00EB45AF">
        <w:rPr>
          <w:i/>
          <w:lang w:val="fr-CH"/>
        </w:rPr>
        <w:t>)</w:t>
      </w:r>
      <w:r w:rsidRPr="00EB45AF">
        <w:rPr>
          <w:iCs/>
          <w:lang w:val="fr-CH"/>
        </w:rPr>
        <w:tab/>
        <w:t>que les services fixe et mobile disposent d</w:t>
      </w:r>
      <w:r>
        <w:rPr>
          <w:iCs/>
          <w:lang w:val="fr-CH"/>
        </w:rPr>
        <w:t>'</w:t>
      </w:r>
      <w:r w:rsidRPr="00EB45AF">
        <w:rPr>
          <w:iCs/>
          <w:lang w:val="fr-CH"/>
        </w:rPr>
        <w:t xml:space="preserve">attributions à titre primaire dans les bandes de fréquences </w:t>
      </w:r>
      <w:r>
        <w:rPr>
          <w:iCs/>
          <w:lang w:val="fr-CH"/>
        </w:rPr>
        <w:t>27,5-29,</w:t>
      </w:r>
      <w:r w:rsidRPr="00EB45AF">
        <w:rPr>
          <w:iCs/>
          <w:lang w:val="fr-CH"/>
        </w:rPr>
        <w:t xml:space="preserve">5 GHz </w:t>
      </w:r>
      <w:r>
        <w:rPr>
          <w:iCs/>
          <w:lang w:val="fr-CH"/>
        </w:rPr>
        <w:t>à l'échelle mondiale</w:t>
      </w:r>
      <w:r w:rsidRPr="00EB45AF">
        <w:rPr>
          <w:iCs/>
          <w:lang w:val="fr-CH"/>
        </w:rPr>
        <w:t>;</w:t>
      </w:r>
    </w:p>
    <w:p w:rsidR="00850D4C" w:rsidRDefault="00850D4C" w:rsidP="00E623FB">
      <w:pPr>
        <w:jc w:val="both"/>
        <w:rPr>
          <w:iCs/>
          <w:lang w:val="fr-CH"/>
        </w:rPr>
      </w:pPr>
      <w:r>
        <w:rPr>
          <w:i/>
          <w:lang w:val="fr-CH"/>
        </w:rPr>
        <w:t>l</w:t>
      </w:r>
      <w:r w:rsidRPr="00EB45AF">
        <w:rPr>
          <w:i/>
          <w:lang w:val="fr-CH"/>
        </w:rPr>
        <w:t>)</w:t>
      </w:r>
      <w:r w:rsidRPr="00EB45AF">
        <w:rPr>
          <w:iCs/>
          <w:lang w:val="fr-CH"/>
        </w:rPr>
        <w:tab/>
      </w:r>
      <w:r>
        <w:rPr>
          <w:iCs/>
          <w:lang w:val="fr-CH"/>
        </w:rPr>
        <w:t>que la bande de fréquences 18,6-18,</w:t>
      </w:r>
      <w:r w:rsidRPr="00EB45AF">
        <w:rPr>
          <w:iCs/>
          <w:lang w:val="fr-CH"/>
        </w:rPr>
        <w:t>8 GHz est utilisée par le service d</w:t>
      </w:r>
      <w:r>
        <w:rPr>
          <w:iCs/>
          <w:lang w:val="fr-CH"/>
        </w:rPr>
        <w:t>'</w:t>
      </w:r>
      <w:r w:rsidRPr="00EB45AF">
        <w:rPr>
          <w:iCs/>
          <w:lang w:val="fr-CH"/>
        </w:rPr>
        <w:t>exploration de la Terre par satellite (passive) pour la télédétection par des satellites du service d</w:t>
      </w:r>
      <w:r>
        <w:rPr>
          <w:iCs/>
          <w:lang w:val="fr-CH"/>
        </w:rPr>
        <w:t>'</w:t>
      </w:r>
      <w:r w:rsidRPr="00EB45AF">
        <w:rPr>
          <w:iCs/>
          <w:lang w:val="fr-CH"/>
        </w:rPr>
        <w:t>exploration de la Terre</w:t>
      </w:r>
      <w:r>
        <w:rPr>
          <w:iCs/>
          <w:lang w:val="fr-CH"/>
        </w:rPr>
        <w:t xml:space="preserve"> par satellite (SETS)</w:t>
      </w:r>
      <w:r w:rsidRPr="00EB45AF">
        <w:rPr>
          <w:iCs/>
          <w:lang w:val="fr-CH"/>
        </w:rPr>
        <w:t xml:space="preserve"> et du service de météorologie</w:t>
      </w:r>
      <w:r>
        <w:rPr>
          <w:iCs/>
          <w:lang w:val="fr-CH"/>
        </w:rPr>
        <w:t xml:space="preserve"> par satellite</w:t>
      </w:r>
      <w:r w:rsidRPr="00EB45AF">
        <w:rPr>
          <w:iCs/>
          <w:lang w:val="fr-CH"/>
        </w:rPr>
        <w:t>, et qu</w:t>
      </w:r>
      <w:r>
        <w:rPr>
          <w:iCs/>
          <w:lang w:val="fr-CH"/>
        </w:rPr>
        <w:t>'</w:t>
      </w:r>
      <w:r w:rsidRPr="00EB45AF">
        <w:rPr>
          <w:iCs/>
          <w:lang w:val="fr-CH"/>
        </w:rPr>
        <w:t>une protection contre les brouillages est essentielle pour les mesure</w:t>
      </w:r>
      <w:r>
        <w:rPr>
          <w:iCs/>
          <w:lang w:val="fr-CH"/>
        </w:rPr>
        <w:t>s</w:t>
      </w:r>
      <w:r w:rsidRPr="00EB45AF">
        <w:rPr>
          <w:iCs/>
          <w:lang w:val="fr-CH"/>
        </w:rPr>
        <w:t xml:space="preserve"> </w:t>
      </w:r>
      <w:r>
        <w:rPr>
          <w:iCs/>
          <w:lang w:val="fr-CH"/>
        </w:rPr>
        <w:t xml:space="preserve">et </w:t>
      </w:r>
      <w:r w:rsidRPr="00EB45AF">
        <w:rPr>
          <w:iCs/>
          <w:lang w:val="fr-CH"/>
        </w:rPr>
        <w:t>application</w:t>
      </w:r>
      <w:r>
        <w:rPr>
          <w:iCs/>
          <w:lang w:val="fr-CH"/>
        </w:rPr>
        <w:t>s</w:t>
      </w:r>
      <w:r w:rsidRPr="00EB45AF">
        <w:rPr>
          <w:iCs/>
          <w:lang w:val="fr-CH"/>
        </w:rPr>
        <w:t xml:space="preserve"> de la télédétection passive, en particulier</w:t>
      </w:r>
      <w:r w:rsidRPr="00EB45AF">
        <w:rPr>
          <w:color w:val="000000"/>
        </w:rPr>
        <w:t xml:space="preserve"> pour les mesures de raies spectrales connues, </w:t>
      </w:r>
      <w:r>
        <w:rPr>
          <w:color w:val="000000"/>
        </w:rPr>
        <w:t>qui</w:t>
      </w:r>
      <w:r w:rsidRPr="00EB45AF">
        <w:rPr>
          <w:color w:val="000000"/>
        </w:rPr>
        <w:t xml:space="preserve"> </w:t>
      </w:r>
      <w:r w:rsidR="00E623FB">
        <w:rPr>
          <w:color w:val="000000"/>
        </w:rPr>
        <w:t>rev</w:t>
      </w:r>
      <w:r w:rsidRPr="00EB45AF">
        <w:rPr>
          <w:color w:val="000000"/>
        </w:rPr>
        <w:t>êtent une importance particulière</w:t>
      </w:r>
      <w:r w:rsidRPr="00EB45AF">
        <w:rPr>
          <w:iCs/>
          <w:lang w:val="fr-CH"/>
        </w:rPr>
        <w:t>;</w:t>
      </w:r>
    </w:p>
    <w:p w:rsidR="00850D4C" w:rsidRPr="00850B8C" w:rsidRDefault="00850D4C" w:rsidP="00A17011">
      <w:pPr>
        <w:jc w:val="both"/>
        <w:rPr>
          <w:i/>
          <w:lang w:val="fr-CH"/>
        </w:rPr>
      </w:pPr>
      <w:r>
        <w:rPr>
          <w:i/>
          <w:lang w:val="fr-CH"/>
        </w:rPr>
        <w:t>m)</w:t>
      </w:r>
      <w:r>
        <w:rPr>
          <w:i/>
          <w:lang w:val="fr-CH"/>
        </w:rPr>
        <w:tab/>
      </w:r>
      <w:r w:rsidRPr="00850B8C">
        <w:rPr>
          <w:iCs/>
          <w:lang w:val="fr-CH"/>
        </w:rPr>
        <w:t xml:space="preserve">que la bande </w:t>
      </w:r>
      <w:r>
        <w:rPr>
          <w:iCs/>
          <w:lang w:val="fr-CH"/>
        </w:rPr>
        <w:t>de fréquences</w:t>
      </w:r>
      <w:r w:rsidRPr="00850B8C">
        <w:rPr>
          <w:iCs/>
          <w:lang w:val="fr-CH"/>
        </w:rPr>
        <w:t xml:space="preserve"> 28</w:t>
      </w:r>
      <w:r>
        <w:rPr>
          <w:iCs/>
          <w:lang w:val="fr-CH"/>
        </w:rPr>
        <w:t>,</w:t>
      </w:r>
      <w:r w:rsidRPr="00850B8C">
        <w:rPr>
          <w:iCs/>
          <w:lang w:val="fr-CH"/>
        </w:rPr>
        <w:t>5-29</w:t>
      </w:r>
      <w:r>
        <w:rPr>
          <w:iCs/>
          <w:lang w:val="fr-CH"/>
        </w:rPr>
        <w:t>,</w:t>
      </w:r>
      <w:r w:rsidRPr="00850B8C">
        <w:rPr>
          <w:iCs/>
          <w:lang w:val="fr-CH"/>
        </w:rPr>
        <w:t xml:space="preserve">5 GHz (Terre vers espace) </w:t>
      </w:r>
      <w:r>
        <w:rPr>
          <w:iCs/>
          <w:lang w:val="fr-CH"/>
        </w:rPr>
        <w:t>est également attribuée au service d'</w:t>
      </w:r>
      <w:r w:rsidRPr="00850B8C">
        <w:rPr>
          <w:iCs/>
          <w:lang w:val="fr-CH"/>
        </w:rPr>
        <w:t xml:space="preserve">exploration de la Terre par satellite à titre </w:t>
      </w:r>
      <w:r>
        <w:rPr>
          <w:iCs/>
          <w:lang w:val="fr-CH"/>
        </w:rPr>
        <w:t>secondaire et qu'</w:t>
      </w:r>
      <w:r w:rsidRPr="00850B8C">
        <w:rPr>
          <w:iCs/>
          <w:lang w:val="fr-CH"/>
        </w:rPr>
        <w:t xml:space="preserve">aucune contrainte supplémentaire </w:t>
      </w:r>
      <w:r>
        <w:rPr>
          <w:iCs/>
          <w:lang w:val="fr-CH"/>
        </w:rPr>
        <w:t>ne devrait être imposée au SETS</w:t>
      </w:r>
      <w:r w:rsidRPr="00850B8C">
        <w:rPr>
          <w:iCs/>
          <w:lang w:val="fr-CH"/>
        </w:rPr>
        <w:t>;</w:t>
      </w:r>
    </w:p>
    <w:p w:rsidR="00850D4C" w:rsidRPr="00850B8C" w:rsidRDefault="00850D4C" w:rsidP="00A17011">
      <w:pPr>
        <w:jc w:val="both"/>
        <w:rPr>
          <w:lang w:val="fr-CH"/>
        </w:rPr>
      </w:pPr>
      <w:r>
        <w:rPr>
          <w:i/>
          <w:lang w:val="fr-CH"/>
        </w:rPr>
        <w:t>n</w:t>
      </w:r>
      <w:r w:rsidRPr="00EB45AF">
        <w:rPr>
          <w:i/>
          <w:lang w:val="fr-CH"/>
        </w:rPr>
        <w:t>)</w:t>
      </w:r>
      <w:r w:rsidRPr="00EB45AF">
        <w:rPr>
          <w:iCs/>
          <w:lang w:val="fr-CH"/>
        </w:rPr>
        <w:tab/>
        <w:t>qu</w:t>
      </w:r>
      <w:r>
        <w:rPr>
          <w:iCs/>
          <w:lang w:val="fr-CH"/>
        </w:rPr>
        <w:t>'</w:t>
      </w:r>
      <w:r w:rsidRPr="00EB45AF">
        <w:rPr>
          <w:iCs/>
          <w:lang w:val="fr-CH"/>
        </w:rPr>
        <w:t>il conviendrait de tenir compte de tous les services bénéficiant d</w:t>
      </w:r>
      <w:r>
        <w:rPr>
          <w:iCs/>
          <w:lang w:val="fr-CH"/>
        </w:rPr>
        <w:t>'</w:t>
      </w:r>
      <w:r w:rsidRPr="00EB45AF">
        <w:rPr>
          <w:iCs/>
          <w:lang w:val="fr-CH"/>
        </w:rPr>
        <w:t>attribution</w:t>
      </w:r>
      <w:r>
        <w:rPr>
          <w:iCs/>
          <w:lang w:val="fr-CH"/>
        </w:rPr>
        <w:t>s dans ces bandes de fréquences</w:t>
      </w:r>
      <w:r w:rsidRPr="00EB45AF">
        <w:rPr>
          <w:iCs/>
          <w:lang w:val="fr-CH"/>
        </w:rPr>
        <w:t>,</w:t>
      </w:r>
    </w:p>
    <w:p w:rsidR="00850D4C" w:rsidRPr="00730563" w:rsidRDefault="00850D4C" w:rsidP="00A17011">
      <w:pPr>
        <w:pStyle w:val="Call"/>
        <w:jc w:val="both"/>
        <w:rPr>
          <w:lang w:val="fr-CH"/>
        </w:rPr>
      </w:pPr>
      <w:r w:rsidRPr="00730563">
        <w:rPr>
          <w:lang w:val="fr-CH"/>
        </w:rPr>
        <w:t>décide d</w:t>
      </w:r>
      <w:r>
        <w:rPr>
          <w:lang w:val="fr-CH"/>
        </w:rPr>
        <w:t>'</w:t>
      </w:r>
      <w:r w:rsidRPr="00730563">
        <w:rPr>
          <w:lang w:val="fr-CH"/>
        </w:rPr>
        <w:t xml:space="preserve">inviter </w:t>
      </w:r>
      <w:r>
        <w:rPr>
          <w:lang w:val="fr-CH"/>
        </w:rPr>
        <w:t>l'UIT-R</w:t>
      </w:r>
    </w:p>
    <w:p w:rsidR="00850D4C" w:rsidRPr="00850B8C" w:rsidRDefault="00850D4C" w:rsidP="00A17011">
      <w:pPr>
        <w:jc w:val="both"/>
        <w:rPr>
          <w:lang w:val="fr-CH"/>
        </w:rPr>
      </w:pPr>
      <w:r w:rsidRPr="00850B8C">
        <w:rPr>
          <w:lang w:val="fr-CH"/>
        </w:rPr>
        <w:t>1</w:t>
      </w:r>
      <w:r>
        <w:rPr>
          <w:lang w:val="fr-CH"/>
        </w:rPr>
        <w:tab/>
      </w:r>
      <w:r w:rsidRPr="00D277A7">
        <w:rPr>
          <w:lang w:val="fr-CH"/>
        </w:rPr>
        <w:t>à</w:t>
      </w:r>
      <w:r w:rsidRPr="00850B8C">
        <w:rPr>
          <w:lang w:val="fr-CH"/>
        </w:rPr>
        <w:t xml:space="preserve"> étud</w:t>
      </w:r>
      <w:r w:rsidRPr="00D277A7">
        <w:rPr>
          <w:lang w:val="fr-CH"/>
        </w:rPr>
        <w:t>ier</w:t>
      </w:r>
      <w:r w:rsidRPr="00850B8C">
        <w:rPr>
          <w:lang w:val="fr-CH"/>
        </w:rPr>
        <w:t xml:space="preserve"> les</w:t>
      </w:r>
      <w:r>
        <w:rPr>
          <w:lang w:val="fr-CH"/>
        </w:rPr>
        <w:t xml:space="preserve"> caractéristiques techniques et opérationnelles et les besoins des utilisateurs </w:t>
      </w:r>
      <w:r w:rsidRPr="00850B8C">
        <w:rPr>
          <w:lang w:val="fr-CH"/>
        </w:rPr>
        <w:t>de différents types de stations terriennes en mouvement qui fonctionne</w:t>
      </w:r>
      <w:r w:rsidRPr="00D277A7">
        <w:rPr>
          <w:lang w:val="fr-CH"/>
        </w:rPr>
        <w:t>nt</w:t>
      </w:r>
      <w:r w:rsidRPr="00850B8C">
        <w:rPr>
          <w:lang w:val="fr-CH"/>
        </w:rPr>
        <w:t xml:space="preserve">, </w:t>
      </w:r>
      <w:r w:rsidRPr="00D277A7">
        <w:rPr>
          <w:lang w:val="fr-CH"/>
        </w:rPr>
        <w:t xml:space="preserve">ou </w:t>
      </w:r>
      <w:r w:rsidRPr="00850B8C">
        <w:rPr>
          <w:lang w:val="fr-CH"/>
        </w:rPr>
        <w:t>projette</w:t>
      </w:r>
      <w:r w:rsidRPr="00D277A7">
        <w:rPr>
          <w:lang w:val="fr-CH"/>
        </w:rPr>
        <w:t>nt</w:t>
      </w:r>
      <w:r w:rsidRPr="00850B8C">
        <w:rPr>
          <w:lang w:val="fr-CH"/>
        </w:rPr>
        <w:t xml:space="preserve"> de fonctionner, dans </w:t>
      </w:r>
      <w:r>
        <w:rPr>
          <w:lang w:val="fr-CH"/>
        </w:rPr>
        <w:t>le cadre</w:t>
      </w:r>
      <w:r w:rsidRPr="00850B8C">
        <w:rPr>
          <w:lang w:val="fr-CH"/>
        </w:rPr>
        <w:t xml:space="preserve"> </w:t>
      </w:r>
      <w:r>
        <w:rPr>
          <w:lang w:val="fr-CH"/>
        </w:rPr>
        <w:t>d'</w:t>
      </w:r>
      <w:r w:rsidRPr="00850B8C">
        <w:rPr>
          <w:lang w:val="fr-CH"/>
        </w:rPr>
        <w:t xml:space="preserve">attributions </w:t>
      </w:r>
      <w:r w:rsidRPr="00D277A7">
        <w:rPr>
          <w:lang w:val="fr-CH"/>
        </w:rPr>
        <w:t>aux systèmes</w:t>
      </w:r>
      <w:r>
        <w:rPr>
          <w:lang w:val="fr-CH"/>
        </w:rPr>
        <w:t xml:space="preserve"> à satellites</w:t>
      </w:r>
      <w:r w:rsidRPr="00D277A7">
        <w:rPr>
          <w:lang w:val="fr-CH"/>
        </w:rPr>
        <w:t xml:space="preserve"> géostationnaires du SFS dans les bandes de fréquences </w:t>
      </w:r>
      <w:r w:rsidRPr="00850B8C">
        <w:rPr>
          <w:lang w:val="fr-CH"/>
        </w:rPr>
        <w:t>17</w:t>
      </w:r>
      <w:r>
        <w:rPr>
          <w:lang w:val="fr-CH"/>
        </w:rPr>
        <w:t>,7-19,</w:t>
      </w:r>
      <w:r w:rsidRPr="00850B8C">
        <w:rPr>
          <w:lang w:val="fr-CH"/>
        </w:rPr>
        <w:t>7</w:t>
      </w:r>
      <w:r w:rsidRPr="00D277A7">
        <w:rPr>
          <w:lang w:val="fr-CH"/>
        </w:rPr>
        <w:t xml:space="preserve"> et </w:t>
      </w:r>
      <w:r>
        <w:rPr>
          <w:lang w:val="fr-CH"/>
        </w:rPr>
        <w:t>27,5-29,</w:t>
      </w:r>
      <w:r w:rsidRPr="00850B8C">
        <w:rPr>
          <w:lang w:val="fr-CH"/>
        </w:rPr>
        <w:t xml:space="preserve">5 </w:t>
      </w:r>
      <w:r>
        <w:rPr>
          <w:lang w:val="fr-CH"/>
        </w:rPr>
        <w:t xml:space="preserve">GHz, y compris l'utilisation du spectre pour fournir les services envisagés à divers types de stations terriennes en mouvement </w:t>
      </w:r>
      <w:r>
        <w:rPr>
          <w:lang w:val="fr-CH"/>
        </w:rPr>
        <w:lastRenderedPageBreak/>
        <w:t xml:space="preserve">et la mesure dans laquelle un accès souple au spectre peut faciliter le partage avec les services identifiés aux points </w:t>
      </w:r>
      <w:r>
        <w:rPr>
          <w:i/>
          <w:iCs/>
          <w:lang w:val="fr-CH"/>
        </w:rPr>
        <w:t xml:space="preserve">a) </w:t>
      </w:r>
      <w:r w:rsidRPr="00EF6B2A">
        <w:rPr>
          <w:lang w:val="fr-CH"/>
        </w:rPr>
        <w:t>à</w:t>
      </w:r>
      <w:r>
        <w:rPr>
          <w:i/>
          <w:iCs/>
          <w:lang w:val="fr-CH"/>
        </w:rPr>
        <w:t xml:space="preserve"> n</w:t>
      </w:r>
      <w:r w:rsidRPr="00850B8C">
        <w:rPr>
          <w:i/>
          <w:iCs/>
          <w:lang w:val="fr-CH"/>
        </w:rPr>
        <w:t xml:space="preserve">) </w:t>
      </w:r>
      <w:r w:rsidRPr="00EF6B2A">
        <w:rPr>
          <w:lang w:val="fr-CH"/>
        </w:rPr>
        <w:t>du</w:t>
      </w:r>
      <w:r w:rsidRPr="00850B8C">
        <w:rPr>
          <w:i/>
          <w:iCs/>
          <w:lang w:val="fr-CH"/>
        </w:rPr>
        <w:t xml:space="preserve"> reconnaissant en outre</w:t>
      </w:r>
      <w:r>
        <w:rPr>
          <w:lang w:val="fr-CH"/>
        </w:rPr>
        <w:t>;</w:t>
      </w:r>
    </w:p>
    <w:p w:rsidR="00850D4C" w:rsidRPr="00850B8C" w:rsidRDefault="00850D4C" w:rsidP="005131A3">
      <w:pPr>
        <w:jc w:val="both"/>
        <w:rPr>
          <w:lang w:val="fr-CH"/>
        </w:rPr>
      </w:pPr>
      <w:r w:rsidRPr="00850B8C">
        <w:rPr>
          <w:lang w:val="fr-CH"/>
        </w:rPr>
        <w:t>2</w:t>
      </w:r>
      <w:r>
        <w:rPr>
          <w:lang w:val="fr-CH"/>
        </w:rPr>
        <w:tab/>
        <w:t>à étudier le partage</w:t>
      </w:r>
      <w:r w:rsidRPr="00850B8C">
        <w:rPr>
          <w:lang w:val="fr-CH"/>
        </w:rPr>
        <w:t xml:space="preserve"> et la compatibilité entre les stations terriennes en mouvement fonctionnant dans des rése</w:t>
      </w:r>
      <w:r>
        <w:rPr>
          <w:lang w:val="fr-CH"/>
        </w:rPr>
        <w:t>aux</w:t>
      </w:r>
      <w:r w:rsidRPr="00813FF9">
        <w:rPr>
          <w:lang w:val="fr-CH"/>
        </w:rPr>
        <w:t xml:space="preserve"> </w:t>
      </w:r>
      <w:r>
        <w:rPr>
          <w:lang w:val="fr-CH"/>
        </w:rPr>
        <w:t xml:space="preserve">à satellite géostationnaire du SFS et </w:t>
      </w:r>
      <w:r w:rsidRPr="00850B8C">
        <w:rPr>
          <w:lang w:val="fr-CH"/>
        </w:rPr>
        <w:t>les stations, actuel</w:t>
      </w:r>
      <w:r w:rsidRPr="00D277A7">
        <w:rPr>
          <w:lang w:val="fr-CH"/>
        </w:rPr>
        <w:t>le</w:t>
      </w:r>
      <w:r w:rsidRPr="00850B8C">
        <w:rPr>
          <w:lang w:val="fr-CH"/>
        </w:rPr>
        <w:t>s ou en projet, des services existants bénéficiant d</w:t>
      </w:r>
      <w:r>
        <w:rPr>
          <w:lang w:val="fr-CH"/>
        </w:rPr>
        <w:t>'</w:t>
      </w:r>
      <w:r w:rsidRPr="00850B8C">
        <w:rPr>
          <w:lang w:val="fr-CH"/>
        </w:rPr>
        <w:t>attributions dans les bandes</w:t>
      </w:r>
      <w:r>
        <w:rPr>
          <w:lang w:val="fr-CH"/>
        </w:rPr>
        <w:t xml:space="preserve"> de fréquences</w:t>
      </w:r>
      <w:r w:rsidRPr="00850B8C">
        <w:rPr>
          <w:lang w:val="fr-CH"/>
        </w:rPr>
        <w:t xml:space="preserve"> </w:t>
      </w:r>
      <w:r>
        <w:rPr>
          <w:lang w:val="fr-CH"/>
        </w:rPr>
        <w:t>17,7-19,</w:t>
      </w:r>
      <w:r w:rsidRPr="00850B8C">
        <w:rPr>
          <w:lang w:val="fr-CH"/>
        </w:rPr>
        <w:t>7</w:t>
      </w:r>
      <w:r w:rsidR="005131A3">
        <w:rPr>
          <w:lang w:val="fr-CH"/>
        </w:rPr>
        <w:t> </w:t>
      </w:r>
      <w:r w:rsidRPr="00850B8C">
        <w:rPr>
          <w:lang w:val="fr-CH"/>
        </w:rPr>
        <w:t xml:space="preserve">GHz </w:t>
      </w:r>
      <w:r w:rsidRPr="00D277A7">
        <w:rPr>
          <w:lang w:val="fr-CH"/>
        </w:rPr>
        <w:t xml:space="preserve">et </w:t>
      </w:r>
      <w:r>
        <w:rPr>
          <w:lang w:val="fr-CH"/>
        </w:rPr>
        <w:t>27,5</w:t>
      </w:r>
      <w:r>
        <w:rPr>
          <w:lang w:val="fr-CH"/>
        </w:rPr>
        <w:noBreakHyphen/>
        <w:t>29,</w:t>
      </w:r>
      <w:r w:rsidRPr="00850B8C">
        <w:rPr>
          <w:lang w:val="fr-CH"/>
        </w:rPr>
        <w:t>5 GHz</w:t>
      </w:r>
      <w:r w:rsidRPr="00D277A7">
        <w:rPr>
          <w:lang w:val="fr-CH"/>
        </w:rPr>
        <w:t>, pour assurer la protection des services disposa</w:t>
      </w:r>
      <w:r>
        <w:rPr>
          <w:lang w:val="fr-CH"/>
        </w:rPr>
        <w:t>nt d'attributions dans ces bandes</w:t>
      </w:r>
      <w:r w:rsidRPr="00706CC2">
        <w:t xml:space="preserve"> </w:t>
      </w:r>
      <w:r>
        <w:t>de fréquences</w:t>
      </w:r>
      <w:r w:rsidRPr="00D277A7">
        <w:rPr>
          <w:lang w:val="fr-CH"/>
        </w:rPr>
        <w:t xml:space="preserve"> et </w:t>
      </w:r>
      <w:r>
        <w:rPr>
          <w:lang w:val="fr-CH"/>
        </w:rPr>
        <w:t>éviter de</w:t>
      </w:r>
      <w:r w:rsidRPr="00D277A7">
        <w:rPr>
          <w:lang w:val="fr-CH"/>
        </w:rPr>
        <w:t xml:space="preserve"> leur imposer de</w:t>
      </w:r>
      <w:r>
        <w:rPr>
          <w:lang w:val="fr-CH"/>
        </w:rPr>
        <w:t>s</w:t>
      </w:r>
      <w:r w:rsidRPr="00D277A7">
        <w:rPr>
          <w:lang w:val="fr-CH"/>
        </w:rPr>
        <w:t xml:space="preserve"> contraintes inutiles, en tena</w:t>
      </w:r>
      <w:r>
        <w:rPr>
          <w:lang w:val="fr-CH"/>
        </w:rPr>
        <w:t xml:space="preserve">nt compte des points </w:t>
      </w:r>
      <w:r w:rsidRPr="005D499F">
        <w:rPr>
          <w:i/>
          <w:iCs/>
          <w:lang w:val="fr-CH"/>
        </w:rPr>
        <w:t>a)</w:t>
      </w:r>
      <w:r>
        <w:rPr>
          <w:lang w:val="fr-CH"/>
        </w:rPr>
        <w:t xml:space="preserve"> à </w:t>
      </w:r>
      <w:r>
        <w:rPr>
          <w:i/>
          <w:iCs/>
          <w:lang w:val="fr-CH"/>
        </w:rPr>
        <w:t>n</w:t>
      </w:r>
      <w:r w:rsidRPr="005D499F">
        <w:rPr>
          <w:i/>
          <w:iCs/>
          <w:lang w:val="fr-CH"/>
        </w:rPr>
        <w:t>)</w:t>
      </w:r>
      <w:r>
        <w:rPr>
          <w:lang w:val="fr-CH"/>
        </w:rPr>
        <w:t xml:space="preserve"> </w:t>
      </w:r>
      <w:r w:rsidRPr="00D277A7">
        <w:rPr>
          <w:lang w:val="fr-CH"/>
        </w:rPr>
        <w:t xml:space="preserve">du </w:t>
      </w:r>
      <w:r w:rsidRPr="002B57E3">
        <w:rPr>
          <w:i/>
          <w:iCs/>
          <w:lang w:val="fr-CH"/>
        </w:rPr>
        <w:t>reconnaissant en outre</w:t>
      </w:r>
      <w:r w:rsidRPr="00D277A7">
        <w:rPr>
          <w:lang w:val="fr-CH"/>
        </w:rPr>
        <w:t xml:space="preserve"> ci-dessus</w:t>
      </w:r>
      <w:r>
        <w:rPr>
          <w:lang w:val="fr-CH"/>
        </w:rPr>
        <w:t>;</w:t>
      </w:r>
    </w:p>
    <w:p w:rsidR="00850D4C" w:rsidRPr="00850B8C" w:rsidRDefault="00850D4C" w:rsidP="00A17011">
      <w:pPr>
        <w:jc w:val="both"/>
        <w:rPr>
          <w:lang w:val="fr-CH"/>
        </w:rPr>
      </w:pPr>
      <w:r>
        <w:rPr>
          <w:lang w:val="fr-CH"/>
        </w:rPr>
        <w:t>3</w:t>
      </w:r>
      <w:r w:rsidRPr="00850B8C">
        <w:rPr>
          <w:lang w:val="fr-CH"/>
        </w:rPr>
        <w:tab/>
      </w:r>
      <w:r w:rsidRPr="00D277A7">
        <w:rPr>
          <w:lang w:val="fr-CH"/>
        </w:rPr>
        <w:t>à</w:t>
      </w:r>
      <w:r w:rsidRPr="00850B8C">
        <w:rPr>
          <w:lang w:val="fr-CH"/>
        </w:rPr>
        <w:t xml:space="preserve"> définir</w:t>
      </w:r>
      <w:r>
        <w:rPr>
          <w:lang w:val="fr-CH"/>
        </w:rPr>
        <w:t>, pour différents types de stations terriennes en mouvement et différentes parties des bandes de fréquences étudiées,</w:t>
      </w:r>
      <w:r w:rsidRPr="00850B8C">
        <w:rPr>
          <w:lang w:val="fr-CH"/>
        </w:rPr>
        <w:t xml:space="preserve"> les conditions techniques et</w:t>
      </w:r>
      <w:r>
        <w:rPr>
          <w:lang w:val="fr-CH"/>
        </w:rPr>
        <w:t xml:space="preserve"> les dispositions</w:t>
      </w:r>
      <w:r w:rsidRPr="00850B8C">
        <w:rPr>
          <w:lang w:val="fr-CH"/>
        </w:rPr>
        <w:t xml:space="preserve"> réglementaires applicables </w:t>
      </w:r>
      <w:r>
        <w:rPr>
          <w:lang w:val="fr-CH"/>
        </w:rPr>
        <w:t>à leur exploitation</w:t>
      </w:r>
      <w:r w:rsidRPr="00850B8C">
        <w:rPr>
          <w:lang w:val="fr-CH"/>
        </w:rPr>
        <w:t xml:space="preserve">, en tenant compte des résultats des études </w:t>
      </w:r>
      <w:r w:rsidRPr="00D277A7">
        <w:rPr>
          <w:lang w:val="fr-CH"/>
        </w:rPr>
        <w:t>ci-dessus</w:t>
      </w:r>
      <w:r w:rsidRPr="00A23B74">
        <w:rPr>
          <w:lang w:val="fr-CH"/>
        </w:rPr>
        <w:t>,</w:t>
      </w:r>
    </w:p>
    <w:p w:rsidR="00850D4C" w:rsidRDefault="00850D4C" w:rsidP="00A17011">
      <w:pPr>
        <w:pStyle w:val="Call"/>
        <w:jc w:val="both"/>
        <w:rPr>
          <w:lang w:val="fr-CH"/>
        </w:rPr>
      </w:pPr>
      <w:r>
        <w:rPr>
          <w:lang w:val="fr-CH"/>
        </w:rPr>
        <w:t>décide</w:t>
      </w:r>
    </w:p>
    <w:p w:rsidR="00850D4C" w:rsidRPr="00B9579D" w:rsidRDefault="00850D4C" w:rsidP="00A17011">
      <w:pPr>
        <w:jc w:val="both"/>
        <w:rPr>
          <w:lang w:val="fr-CH"/>
        </w:rPr>
      </w:pPr>
      <w:r>
        <w:rPr>
          <w:lang w:val="fr-CH"/>
        </w:rPr>
        <w:t>que ces stations ne doivent pas être utilisées ni servir pour les applications liées à la sécurité de la vie humaine,</w:t>
      </w:r>
    </w:p>
    <w:p w:rsidR="00850D4C" w:rsidRPr="00730563" w:rsidRDefault="00850D4C" w:rsidP="00A17011">
      <w:pPr>
        <w:pStyle w:val="Call"/>
        <w:jc w:val="both"/>
        <w:rPr>
          <w:lang w:val="fr-CH"/>
        </w:rPr>
      </w:pPr>
      <w:r w:rsidRPr="00730563">
        <w:rPr>
          <w:lang w:val="fr-CH"/>
        </w:rPr>
        <w:t xml:space="preserve">décide </w:t>
      </w:r>
      <w:r>
        <w:rPr>
          <w:lang w:val="fr-CH"/>
        </w:rPr>
        <w:t xml:space="preserve">en outre </w:t>
      </w:r>
      <w:r w:rsidRPr="00730563">
        <w:rPr>
          <w:lang w:val="fr-CH"/>
        </w:rPr>
        <w:t>d</w:t>
      </w:r>
      <w:r>
        <w:rPr>
          <w:lang w:val="fr-CH"/>
        </w:rPr>
        <w:t>'</w:t>
      </w:r>
      <w:r w:rsidRPr="00730563">
        <w:rPr>
          <w:lang w:val="fr-CH"/>
        </w:rPr>
        <w:t xml:space="preserve">inviter la </w:t>
      </w:r>
      <w:r>
        <w:rPr>
          <w:lang w:val="fr-CH"/>
        </w:rPr>
        <w:t>Conférence mondiale des radiocommunications de 2019</w:t>
      </w:r>
    </w:p>
    <w:p w:rsidR="00751952" w:rsidRPr="00850D4C" w:rsidRDefault="00850D4C" w:rsidP="00A17011">
      <w:pPr>
        <w:jc w:val="both"/>
        <w:rPr>
          <w:rFonts w:asciiTheme="majorBidi" w:hAnsiTheme="majorBidi" w:cstheme="majorBidi"/>
          <w:szCs w:val="24"/>
        </w:rPr>
      </w:pPr>
      <w:r w:rsidRPr="00730563">
        <w:rPr>
          <w:lang w:val="fr-CH"/>
        </w:rPr>
        <w:t xml:space="preserve">à examiner les résultats des études susmentionnées et à prendre les mesures </w:t>
      </w:r>
      <w:r>
        <w:rPr>
          <w:lang w:val="fr-CH"/>
        </w:rPr>
        <w:t xml:space="preserve">nécessaires, le cas échéant, sous réserve que les résultats des études visées au </w:t>
      </w:r>
      <w:r>
        <w:rPr>
          <w:i/>
          <w:iCs/>
          <w:lang w:val="fr-CH"/>
        </w:rPr>
        <w:t>décide d'inviter l'UIT-R</w:t>
      </w:r>
      <w:r>
        <w:rPr>
          <w:lang w:val="fr-CH"/>
        </w:rPr>
        <w:t xml:space="preserve"> soient complets et approuvés par les Commissions d'études de l'UIT-R.</w:t>
      </w:r>
      <w:r w:rsidR="00751952" w:rsidRPr="00850D4C">
        <w:rPr>
          <w:rFonts w:asciiTheme="majorBidi" w:hAnsiTheme="majorBidi" w:cstheme="majorBidi"/>
          <w:szCs w:val="24"/>
        </w:rPr>
        <w:t>.</w:t>
      </w:r>
    </w:p>
    <w:p w:rsidR="00553AD2" w:rsidRPr="00850D4C" w:rsidRDefault="00553AD2" w:rsidP="00A17011">
      <w:pPr>
        <w:overflowPunct/>
        <w:autoSpaceDE/>
        <w:autoSpaceDN/>
        <w:adjustRightInd/>
        <w:spacing w:before="0"/>
        <w:jc w:val="both"/>
        <w:textAlignment w:val="auto"/>
        <w:rPr>
          <w:rFonts w:asciiTheme="majorBidi" w:hAnsiTheme="majorBidi" w:cstheme="majorBidi"/>
          <w:szCs w:val="24"/>
        </w:rPr>
      </w:pPr>
    </w:p>
    <w:p w:rsidR="00553AD2" w:rsidRPr="00850D4C" w:rsidRDefault="00553AD2" w:rsidP="00A17011">
      <w:pPr>
        <w:overflowPunct/>
        <w:autoSpaceDE/>
        <w:autoSpaceDN/>
        <w:adjustRightInd/>
        <w:spacing w:before="0"/>
        <w:textAlignment w:val="auto"/>
        <w:rPr>
          <w:rFonts w:asciiTheme="majorBidi" w:hAnsiTheme="majorBidi" w:cstheme="majorBidi"/>
          <w:szCs w:val="24"/>
        </w:rPr>
      </w:pPr>
      <w:r w:rsidRPr="00850D4C">
        <w:rPr>
          <w:rFonts w:asciiTheme="majorBidi" w:hAnsiTheme="majorBidi" w:cstheme="majorBidi"/>
          <w:szCs w:val="24"/>
        </w:rPr>
        <w:br w:type="page"/>
      </w:r>
    </w:p>
    <w:p w:rsidR="00536000" w:rsidRPr="00536000" w:rsidRDefault="00F96BD5" w:rsidP="00A17011">
      <w:pPr>
        <w:pStyle w:val="ResNo"/>
      </w:pPr>
      <w:bookmarkStart w:id="104" w:name="RES_159"/>
      <w:bookmarkStart w:id="105" w:name="_Toc444507535"/>
      <w:bookmarkStart w:id="106" w:name="_Toc460331694"/>
      <w:bookmarkStart w:id="107" w:name="_Toc463616151"/>
      <w:r>
        <w:lastRenderedPageBreak/>
        <w:t>R</w:t>
      </w:r>
      <w:r w:rsidR="001D5201" w:rsidRPr="001D5201">
        <w:t>É</w:t>
      </w:r>
      <w:r w:rsidR="00536000" w:rsidRPr="00536000">
        <w:t xml:space="preserve">SOLUTION </w:t>
      </w:r>
      <w:r w:rsidR="00536000" w:rsidRPr="00536000">
        <w:rPr>
          <w:rStyle w:val="href"/>
        </w:rPr>
        <w:t>159</w:t>
      </w:r>
      <w:r w:rsidR="00536000" w:rsidRPr="00536000">
        <w:t xml:space="preserve"> </w:t>
      </w:r>
      <w:bookmarkEnd w:id="104"/>
      <w:r w:rsidR="00536000" w:rsidRPr="00536000">
        <w:t>(</w:t>
      </w:r>
      <w:r w:rsidR="00F8363E" w:rsidRPr="00A20F5A">
        <w:t>C</w:t>
      </w:r>
      <w:r w:rsidR="00F8363E">
        <w:t>MR</w:t>
      </w:r>
      <w:r w:rsidR="00536000" w:rsidRPr="00536000">
        <w:noBreakHyphen/>
        <w:t>15)</w:t>
      </w:r>
      <w:bookmarkEnd w:id="105"/>
      <w:bookmarkEnd w:id="106"/>
      <w:bookmarkEnd w:id="107"/>
    </w:p>
    <w:p w:rsidR="008278C6" w:rsidRPr="000F7758" w:rsidRDefault="008278C6" w:rsidP="00A17011">
      <w:pPr>
        <w:pStyle w:val="Restitle"/>
      </w:pPr>
      <w:bookmarkStart w:id="108" w:name="_Toc450208627"/>
      <w:bookmarkStart w:id="109" w:name="_Toc463616152"/>
      <w:proofErr w:type="spellStart"/>
      <w:r w:rsidRPr="000F7758">
        <w:t>Etudes</w:t>
      </w:r>
      <w:proofErr w:type="spellEnd"/>
      <w:r w:rsidRPr="000F7758">
        <w:t xml:space="preserve"> des questions techniques et opérationnelles et d</w:t>
      </w:r>
      <w:r>
        <w:t>es dispositions réglementaires relatives</w:t>
      </w:r>
      <w:r w:rsidRPr="000F7758">
        <w:t xml:space="preserve"> aux systèmes à satellites non </w:t>
      </w:r>
      <w:r>
        <w:t xml:space="preserve">géostationnaires </w:t>
      </w:r>
      <w:r>
        <w:br/>
        <w:t>du service fixe par satellite dans les </w:t>
      </w:r>
      <w:r w:rsidRPr="000F7758">
        <w:t xml:space="preserve">bandes de fréquences 37,5-39,5 GHz </w:t>
      </w:r>
      <w:r>
        <w:br/>
      </w:r>
      <w:r w:rsidRPr="000F7758">
        <w:t>(espace vers Terre), 39,5</w:t>
      </w:r>
      <w:r w:rsidRPr="000F7758">
        <w:noBreakHyphen/>
        <w:t>42,5 GHz (espace vers Terre)</w:t>
      </w:r>
      <w:r>
        <w:t>,</w:t>
      </w:r>
      <w:r w:rsidRPr="000F7758">
        <w:t xml:space="preserve"> 47,2-50,2 GHz </w:t>
      </w:r>
      <w:r>
        <w:br/>
        <w:t xml:space="preserve">(Terre vers espace) </w:t>
      </w:r>
      <w:r w:rsidRPr="000F7758">
        <w:t>et 50,4-51,4 GHz (Terre vers espace)</w:t>
      </w:r>
      <w:bookmarkEnd w:id="108"/>
      <w:bookmarkEnd w:id="109"/>
    </w:p>
    <w:p w:rsidR="008278C6" w:rsidRPr="000F7758" w:rsidRDefault="008278C6" w:rsidP="00A17011">
      <w:pPr>
        <w:keepNext/>
        <w:keepLines/>
        <w:tabs>
          <w:tab w:val="left" w:pos="794"/>
          <w:tab w:val="left" w:pos="1191"/>
          <w:tab w:val="left" w:pos="1588"/>
          <w:tab w:val="left" w:pos="1985"/>
        </w:tabs>
        <w:spacing w:before="360"/>
        <w:rPr>
          <w:rFonts w:eastAsia="MS Mincho"/>
        </w:rPr>
      </w:pPr>
      <w:r w:rsidRPr="000F7758">
        <w:rPr>
          <w:rFonts w:eastAsia="MS Mincho"/>
        </w:rPr>
        <w:t>La Conférence mondiale des radiocommunications (Genève, 2015),</w:t>
      </w:r>
    </w:p>
    <w:p w:rsidR="008278C6" w:rsidRPr="000F7758" w:rsidRDefault="008278C6" w:rsidP="00A17011">
      <w:pPr>
        <w:pStyle w:val="Call"/>
      </w:pPr>
      <w:r w:rsidRPr="000F7758">
        <w:t>considérant</w:t>
      </w:r>
    </w:p>
    <w:p w:rsidR="008278C6" w:rsidRPr="000F7758" w:rsidRDefault="008278C6" w:rsidP="00A17011">
      <w:pPr>
        <w:jc w:val="both"/>
      </w:pPr>
      <w:r w:rsidRPr="000F7758">
        <w:rPr>
          <w:i/>
          <w:iCs/>
        </w:rPr>
        <w:t>a)</w:t>
      </w:r>
      <w:r w:rsidRPr="000F7758">
        <w:rPr>
          <w:i/>
          <w:iCs/>
        </w:rPr>
        <w:tab/>
      </w:r>
      <w:r w:rsidRPr="000F7758">
        <w:t xml:space="preserve">qu'il est nécessaire d'encourager la mise au point et la mise en </w:t>
      </w:r>
      <w:proofErr w:type="spellStart"/>
      <w:r w:rsidRPr="000F7758">
        <w:t>oeuvre</w:t>
      </w:r>
      <w:proofErr w:type="spellEnd"/>
      <w:r w:rsidRPr="000F7758">
        <w:t xml:space="preserve"> de</w:t>
      </w:r>
      <w:r w:rsidRPr="00A61808">
        <w:t xml:space="preserve"> </w:t>
      </w:r>
      <w:r w:rsidRPr="000F7758">
        <w:t>nouvelles technologies dans le service fixe par satellite</w:t>
      </w:r>
      <w:r>
        <w:t xml:space="preserve"> (SFS)</w:t>
      </w:r>
      <w:r w:rsidRPr="000F7758">
        <w:t xml:space="preserve"> aux fréquences supérieures à 30 GHz;</w:t>
      </w:r>
    </w:p>
    <w:p w:rsidR="008278C6" w:rsidRPr="000F7758" w:rsidRDefault="008278C6" w:rsidP="00A17011">
      <w:pPr>
        <w:jc w:val="both"/>
      </w:pPr>
      <w:r w:rsidRPr="000F7758">
        <w:rPr>
          <w:i/>
          <w:iCs/>
        </w:rPr>
        <w:t>b)</w:t>
      </w:r>
      <w:r w:rsidRPr="000F7758">
        <w:rPr>
          <w:i/>
          <w:iCs/>
        </w:rPr>
        <w:tab/>
      </w:r>
      <w:r w:rsidRPr="000F7758">
        <w:t xml:space="preserve">que les systèmes du SFS reposant sur l'utilisation des nouvelles technologies au-dessus de 30 GHz et associées </w:t>
      </w:r>
      <w:r>
        <w:t>à des</w:t>
      </w:r>
      <w:r w:rsidRPr="000F7758">
        <w:t xml:space="preserve"> constellations de satellites géostationnaires (OSG) et non géostationnaires (non OSG) permettent d'offrir des moyens de communications à </w:t>
      </w:r>
      <w:r>
        <w:t>grande</w:t>
      </w:r>
      <w:r w:rsidRPr="000F7758">
        <w:t xml:space="preserve"> capacité et à faible coût, y compris dans les régions les plus isolées du monde;</w:t>
      </w:r>
    </w:p>
    <w:p w:rsidR="008278C6" w:rsidRPr="000F7758" w:rsidRDefault="008278C6" w:rsidP="00A17011">
      <w:pPr>
        <w:jc w:val="both"/>
      </w:pPr>
      <w:r w:rsidRPr="000F7758">
        <w:rPr>
          <w:i/>
          <w:iCs/>
        </w:rPr>
        <w:t>c)</w:t>
      </w:r>
      <w:r w:rsidRPr="000F7758">
        <w:tab/>
        <w:t xml:space="preserve">que le Règlement des radiocommunications devrait permettre la mise en </w:t>
      </w:r>
      <w:proofErr w:type="spellStart"/>
      <w:r w:rsidRPr="000F7758">
        <w:t>oeuvre</w:t>
      </w:r>
      <w:proofErr w:type="spellEnd"/>
      <w:r w:rsidRPr="000F7758">
        <w:t xml:space="preserve"> des nouvelles applications des techniques de radiocommunication pour garantir l'exploitation du plus grand nombre de systèmes possible, afin </w:t>
      </w:r>
      <w:r>
        <w:t>de garantir l'efficacité</w:t>
      </w:r>
      <w:r w:rsidRPr="000F7758">
        <w:t xml:space="preserve"> </w:t>
      </w:r>
      <w:r>
        <w:t>d'</w:t>
      </w:r>
      <w:r w:rsidRPr="000F7758">
        <w:t>utilisation du spectre;</w:t>
      </w:r>
    </w:p>
    <w:p w:rsidR="008278C6" w:rsidRPr="000F7758" w:rsidRDefault="008278C6" w:rsidP="00A17011">
      <w:pPr>
        <w:jc w:val="both"/>
      </w:pPr>
      <w:r w:rsidRPr="000F7758">
        <w:rPr>
          <w:i/>
          <w:iCs/>
        </w:rPr>
        <w:t>d)</w:t>
      </w:r>
      <w:r w:rsidRPr="000F7758">
        <w:tab/>
        <w:t xml:space="preserve">que, conformément au numéro </w:t>
      </w:r>
      <w:r w:rsidRPr="000F7758">
        <w:rPr>
          <w:b/>
          <w:bCs/>
        </w:rPr>
        <w:t>22.2</w:t>
      </w:r>
      <w:r w:rsidRPr="000F7758">
        <w:t>,</w:t>
      </w:r>
      <w:r w:rsidRPr="000F7758">
        <w:rPr>
          <w:b/>
          <w:bCs/>
        </w:rPr>
        <w:t xml:space="preserve"> </w:t>
      </w:r>
      <w:r w:rsidRPr="000F7758">
        <w:t xml:space="preserve">les </w:t>
      </w:r>
      <w:r w:rsidRPr="000F7758">
        <w:rPr>
          <w:color w:val="000000"/>
        </w:rPr>
        <w:t>systèmes à satellites non géostationnaires ne doivent pas causer de brouillages inacceptables aux réseaux à satellite OSG du SFS et du</w:t>
      </w:r>
      <w:r>
        <w:rPr>
          <w:color w:val="000000"/>
        </w:rPr>
        <w:t xml:space="preserve"> service de radiodiffusion par satellite</w:t>
      </w:r>
      <w:r w:rsidRPr="000F7758">
        <w:rPr>
          <w:color w:val="000000"/>
        </w:rPr>
        <w:t xml:space="preserve"> </w:t>
      </w:r>
      <w:r>
        <w:rPr>
          <w:color w:val="000000"/>
        </w:rPr>
        <w:t>(</w:t>
      </w:r>
      <w:r w:rsidRPr="000F7758">
        <w:rPr>
          <w:color w:val="000000"/>
        </w:rPr>
        <w:t>SRS</w:t>
      </w:r>
      <w:r>
        <w:rPr>
          <w:color w:val="000000"/>
        </w:rPr>
        <w:t>)</w:t>
      </w:r>
      <w:r w:rsidRPr="000F7758">
        <w:rPr>
          <w:color w:val="000000"/>
        </w:rPr>
        <w:t xml:space="preserve"> et, sauf disposition contraire dans le Règlement des radiocommunications, ne doivent pas demander à bénéficier d'une protection vis</w:t>
      </w:r>
      <w:r w:rsidRPr="000F7758">
        <w:rPr>
          <w:color w:val="000000"/>
        </w:rPr>
        <w:noBreakHyphen/>
        <w:t>à</w:t>
      </w:r>
      <w:r w:rsidRPr="000F7758">
        <w:rPr>
          <w:color w:val="000000"/>
        </w:rPr>
        <w:noBreakHyphen/>
        <w:t>vis de ces réseaux</w:t>
      </w:r>
      <w:r w:rsidRPr="000F7758">
        <w:t>;</w:t>
      </w:r>
    </w:p>
    <w:p w:rsidR="008278C6" w:rsidRPr="000F7758" w:rsidRDefault="008278C6" w:rsidP="00A17011">
      <w:pPr>
        <w:jc w:val="both"/>
        <w:rPr>
          <w:bCs/>
        </w:rPr>
      </w:pPr>
      <w:r w:rsidRPr="000F7758">
        <w:rPr>
          <w:i/>
          <w:iCs/>
        </w:rPr>
        <w:t>e</w:t>
      </w:r>
      <w:r w:rsidRPr="000F7758">
        <w:rPr>
          <w:i/>
        </w:rPr>
        <w:t>)</w:t>
      </w:r>
      <w:r w:rsidRPr="000F7758">
        <w:rPr>
          <w:i/>
        </w:rPr>
        <w:tab/>
      </w:r>
      <w:r w:rsidRPr="000F7758">
        <w:rPr>
          <w:iCs/>
        </w:rPr>
        <w:t xml:space="preserve">que les systèmes non OSG du SFS bénéficieraient des garanties qui résulteraient de la définition des mesures </w:t>
      </w:r>
      <w:r>
        <w:rPr>
          <w:iCs/>
        </w:rPr>
        <w:t>à prendre</w:t>
      </w:r>
      <w:r w:rsidRPr="000F7758">
        <w:rPr>
          <w:iCs/>
        </w:rPr>
        <w:t xml:space="preserve"> pour assurer la protection des réseaux à satellite OSG du SFS et du SRS conformément au numéro</w:t>
      </w:r>
      <w:r w:rsidRPr="000F7758">
        <w:t xml:space="preserve"> </w:t>
      </w:r>
      <w:r w:rsidRPr="000F7758">
        <w:rPr>
          <w:b/>
        </w:rPr>
        <w:t>22.2</w:t>
      </w:r>
      <w:r w:rsidRPr="000F7758">
        <w:rPr>
          <w:bCs/>
        </w:rPr>
        <w:t>;</w:t>
      </w:r>
    </w:p>
    <w:p w:rsidR="008278C6" w:rsidRPr="000F7758" w:rsidRDefault="008278C6" w:rsidP="00A17011">
      <w:pPr>
        <w:jc w:val="both"/>
      </w:pPr>
      <w:r w:rsidRPr="000F7758">
        <w:rPr>
          <w:i/>
          <w:iCs/>
        </w:rPr>
        <w:t>f)</w:t>
      </w:r>
      <w:r w:rsidRPr="000F7758">
        <w:tab/>
        <w:t xml:space="preserve">que, dans le SFS, des réseaux à satellite OSG et des systèmes à satellites non OSG </w:t>
      </w:r>
      <w:r w:rsidRPr="000F7758">
        <w:rPr>
          <w:color w:val="000000"/>
        </w:rPr>
        <w:t>sont exploités actuellement, ou qu'il est prévu d'en exploiter</w:t>
      </w:r>
      <w:r>
        <w:rPr>
          <w:color w:val="000000"/>
        </w:rPr>
        <w:t xml:space="preserve"> à court terme</w:t>
      </w:r>
      <w:r w:rsidRPr="000F7758">
        <w:rPr>
          <w:color w:val="000000"/>
        </w:rPr>
        <w:t>,</w:t>
      </w:r>
      <w:r w:rsidRPr="000F7758">
        <w:t xml:space="preserve"> dans la bande de fréquences attribuée au SFS dans la gamme 37,5-51,4 GHz;</w:t>
      </w:r>
    </w:p>
    <w:p w:rsidR="008278C6" w:rsidRPr="000F7758" w:rsidRDefault="008278C6" w:rsidP="005131A3">
      <w:pPr>
        <w:jc w:val="both"/>
        <w:rPr>
          <w:bCs/>
          <w:szCs w:val="24"/>
        </w:rPr>
      </w:pPr>
      <w:r w:rsidRPr="000F7758">
        <w:rPr>
          <w:i/>
          <w:iCs/>
        </w:rPr>
        <w:t>g)</w:t>
      </w:r>
      <w:r w:rsidRPr="000F7758">
        <w:tab/>
        <w:t xml:space="preserve">que des études techniques </w:t>
      </w:r>
      <w:r>
        <w:t>sont nécessaires pour évaluer les</w:t>
      </w:r>
      <w:r w:rsidRPr="000F7758">
        <w:t xml:space="preserve"> possibilité</w:t>
      </w:r>
      <w:r>
        <w:t>s</w:t>
      </w:r>
      <w:r w:rsidRPr="000F7758">
        <w:t xml:space="preserve"> et les conditions d</w:t>
      </w:r>
      <w:r>
        <w:t>e partage</w:t>
      </w:r>
      <w:r w:rsidRPr="000F7758">
        <w:t xml:space="preserve"> des </w:t>
      </w:r>
      <w:r>
        <w:t>bandes</w:t>
      </w:r>
      <w:r w:rsidRPr="000F7758">
        <w:t xml:space="preserve"> de fréquences 37,5-42,5 GHz (espace vers Terre)</w:t>
      </w:r>
      <w:r>
        <w:t>,</w:t>
      </w:r>
      <w:r w:rsidRPr="000F7758">
        <w:t xml:space="preserve"> 47,2-50,2</w:t>
      </w:r>
      <w:r w:rsidR="005131A3">
        <w:t> </w:t>
      </w:r>
      <w:r w:rsidRPr="000F7758">
        <w:t>GHz</w:t>
      </w:r>
      <w:r>
        <w:t xml:space="preserve"> (Terre vers espace) </w:t>
      </w:r>
      <w:r w:rsidRPr="000F7758">
        <w:t>et 50,4-51,4 GHz (Terre vers espace)</w:t>
      </w:r>
      <w:r w:rsidRPr="00771323">
        <w:t xml:space="preserve"> </w:t>
      </w:r>
      <w:r w:rsidRPr="000F7758">
        <w:t>entre les systèmes à s</w:t>
      </w:r>
      <w:r>
        <w:t>atellites non OSG du SFS: 1) et les </w:t>
      </w:r>
      <w:r w:rsidRPr="000F7758">
        <w:t>réseaux à satellite OSG (SFS, SMS et SRS, selon</w:t>
      </w:r>
      <w:r>
        <w:t xml:space="preserve"> la bande de fréquences considérée) ainsi que </w:t>
      </w:r>
      <w:r w:rsidRPr="000F7758">
        <w:t>2) les autres systèmes à satellites non OSG du SFS</w:t>
      </w:r>
      <w:r w:rsidRPr="000F7758">
        <w:rPr>
          <w:bCs/>
          <w:szCs w:val="24"/>
        </w:rPr>
        <w:t>;</w:t>
      </w:r>
    </w:p>
    <w:p w:rsidR="008278C6" w:rsidRPr="000F7758" w:rsidRDefault="008278C6" w:rsidP="00E623FB">
      <w:pPr>
        <w:jc w:val="both"/>
        <w:rPr>
          <w:bCs/>
          <w:szCs w:val="24"/>
        </w:rPr>
      </w:pPr>
      <w:r w:rsidRPr="000F7758">
        <w:rPr>
          <w:bCs/>
          <w:i/>
          <w:iCs/>
          <w:szCs w:val="24"/>
        </w:rPr>
        <w:t>h)</w:t>
      </w:r>
      <w:r w:rsidRPr="000F7758">
        <w:rPr>
          <w:bCs/>
          <w:szCs w:val="24"/>
        </w:rPr>
        <w:tab/>
        <w:t xml:space="preserve">qu'il faudra peut-être </w:t>
      </w:r>
      <w:r w:rsidR="00E623FB">
        <w:rPr>
          <w:bCs/>
          <w:szCs w:val="24"/>
        </w:rPr>
        <w:t>rev</w:t>
      </w:r>
      <w:r w:rsidRPr="000F7758">
        <w:rPr>
          <w:bCs/>
          <w:szCs w:val="24"/>
        </w:rPr>
        <w:t>oir la Résolution</w:t>
      </w:r>
      <w:r w:rsidRPr="000F7758">
        <w:rPr>
          <w:bCs/>
        </w:rPr>
        <w:t xml:space="preserve"> </w:t>
      </w:r>
      <w:r w:rsidRPr="000F7758">
        <w:rPr>
          <w:b/>
        </w:rPr>
        <w:t>750 (Rév.CMR-</w:t>
      </w:r>
      <w:r>
        <w:rPr>
          <w:b/>
        </w:rPr>
        <w:t>15</w:t>
      </w:r>
      <w:r w:rsidRPr="000F7758">
        <w:rPr>
          <w:b/>
        </w:rPr>
        <w:t>)</w:t>
      </w:r>
      <w:r w:rsidRPr="000F7758">
        <w:t xml:space="preserve"> pour tenir compte de l'évolution des satellites non OSG,</w:t>
      </w:r>
    </w:p>
    <w:p w:rsidR="008278C6" w:rsidRPr="000F7758" w:rsidRDefault="008278C6" w:rsidP="00A17011">
      <w:pPr>
        <w:pStyle w:val="Call"/>
        <w:jc w:val="both"/>
        <w:rPr>
          <w:iCs/>
        </w:rPr>
      </w:pPr>
      <w:r w:rsidRPr="000F7758">
        <w:t>considérant en outre</w:t>
      </w:r>
    </w:p>
    <w:p w:rsidR="008278C6" w:rsidRPr="000F7758" w:rsidRDefault="008278C6" w:rsidP="00A17011">
      <w:pPr>
        <w:jc w:val="both"/>
      </w:pPr>
      <w:r>
        <w:t>que les Recommandations UIT-</w:t>
      </w:r>
      <w:r w:rsidRPr="000F7758">
        <w:t xml:space="preserve">R S.1323, S.1325, S.1328, S.1529 et S.1557 fournissent des renseignements sur les caractéristiques, </w:t>
      </w:r>
      <w:r w:rsidRPr="000F7758">
        <w:rPr>
          <w:color w:val="000000"/>
        </w:rPr>
        <w:t xml:space="preserve">les exigences opérationnelles et les critères de protection </w:t>
      </w:r>
      <w:r w:rsidRPr="000F7758">
        <w:t>des systèmes</w:t>
      </w:r>
      <w:r w:rsidRPr="000F7758">
        <w:rPr>
          <w:color w:val="000000"/>
        </w:rPr>
        <w:t xml:space="preserve"> </w:t>
      </w:r>
      <w:r>
        <w:rPr>
          <w:color w:val="000000"/>
        </w:rPr>
        <w:t>qui peuvent être utilisés</w:t>
      </w:r>
      <w:r w:rsidRPr="000F7758">
        <w:rPr>
          <w:color w:val="000000"/>
        </w:rPr>
        <w:t xml:space="preserve"> dans les études de partage</w:t>
      </w:r>
      <w:r>
        <w:rPr>
          <w:color w:val="000000"/>
        </w:rPr>
        <w:t>,</w:t>
      </w:r>
    </w:p>
    <w:p w:rsidR="008278C6" w:rsidRPr="000F7758" w:rsidRDefault="008278C6" w:rsidP="00A17011">
      <w:pPr>
        <w:pStyle w:val="Call"/>
        <w:jc w:val="both"/>
      </w:pPr>
      <w:r w:rsidRPr="000F7758">
        <w:lastRenderedPageBreak/>
        <w:t>notant</w:t>
      </w:r>
    </w:p>
    <w:p w:rsidR="008278C6" w:rsidRPr="000F7758" w:rsidRDefault="008278C6" w:rsidP="00A17011">
      <w:pPr>
        <w:jc w:val="both"/>
        <w:rPr>
          <w:bCs/>
          <w:szCs w:val="24"/>
        </w:rPr>
      </w:pPr>
      <w:r w:rsidRPr="000F7758">
        <w:rPr>
          <w:i/>
          <w:iCs/>
        </w:rPr>
        <w:t>a)</w:t>
      </w:r>
      <w:r w:rsidRPr="000F7758">
        <w:tab/>
        <w:t>que des renseignements de notification concernant des réseaux à satellite OSG du SFS dans les bandes de fréquences 37,5-42,5 GHz (espace vers Terre)</w:t>
      </w:r>
      <w:r>
        <w:t>,</w:t>
      </w:r>
      <w:r w:rsidRPr="000F7758">
        <w:rPr>
          <w:bCs/>
          <w:szCs w:val="24"/>
        </w:rPr>
        <w:t xml:space="preserve"> 49,2-50,2 GHz</w:t>
      </w:r>
      <w:r>
        <w:rPr>
          <w:bCs/>
          <w:szCs w:val="24"/>
        </w:rPr>
        <w:t xml:space="preserve"> (Terre vers espace)</w:t>
      </w:r>
      <w:r w:rsidRPr="000F7758">
        <w:rPr>
          <w:bCs/>
          <w:szCs w:val="24"/>
        </w:rPr>
        <w:t xml:space="preserve"> et 50,4</w:t>
      </w:r>
      <w:r w:rsidRPr="000F7758">
        <w:rPr>
          <w:bCs/>
          <w:szCs w:val="24"/>
        </w:rPr>
        <w:noBreakHyphen/>
        <w:t>51,4 GHz (Terre vers espace) ont été communiqués au Bureau;</w:t>
      </w:r>
    </w:p>
    <w:p w:rsidR="008278C6" w:rsidRPr="000F7758" w:rsidRDefault="008278C6" w:rsidP="00A17011">
      <w:pPr>
        <w:jc w:val="both"/>
        <w:rPr>
          <w:bCs/>
          <w:szCs w:val="24"/>
        </w:rPr>
      </w:pPr>
      <w:r w:rsidRPr="000F7758">
        <w:rPr>
          <w:bCs/>
          <w:i/>
          <w:iCs/>
          <w:szCs w:val="24"/>
        </w:rPr>
        <w:t>b)</w:t>
      </w:r>
      <w:r w:rsidRPr="000F7758">
        <w:rPr>
          <w:bCs/>
          <w:szCs w:val="24"/>
        </w:rPr>
        <w:tab/>
        <w:t xml:space="preserve">que certains de ces réseaux à satellite OSG sont </w:t>
      </w:r>
      <w:r>
        <w:rPr>
          <w:bCs/>
          <w:szCs w:val="24"/>
        </w:rPr>
        <w:t>en service</w:t>
      </w:r>
      <w:r w:rsidRPr="000F7758">
        <w:rPr>
          <w:bCs/>
          <w:szCs w:val="24"/>
        </w:rPr>
        <w:t xml:space="preserve"> et que d'autres le seront </w:t>
      </w:r>
      <w:r>
        <w:rPr>
          <w:bCs/>
          <w:szCs w:val="24"/>
        </w:rPr>
        <w:t>prochainement</w:t>
      </w:r>
      <w:r w:rsidRPr="000F7758">
        <w:rPr>
          <w:bCs/>
          <w:szCs w:val="24"/>
        </w:rPr>
        <w:t>;</w:t>
      </w:r>
    </w:p>
    <w:p w:rsidR="008278C6" w:rsidRPr="000F7758" w:rsidRDefault="008278C6" w:rsidP="00A17011">
      <w:pPr>
        <w:jc w:val="both"/>
      </w:pPr>
      <w:r>
        <w:rPr>
          <w:i/>
          <w:iCs/>
        </w:rPr>
        <w:t>c</w:t>
      </w:r>
      <w:r w:rsidRPr="000F7758">
        <w:rPr>
          <w:i/>
          <w:iCs/>
        </w:rPr>
        <w:t>)</w:t>
      </w:r>
      <w:r w:rsidRPr="000F7758">
        <w:rPr>
          <w:i/>
          <w:iCs/>
        </w:rPr>
        <w:tab/>
      </w:r>
      <w:r w:rsidRPr="000F7758">
        <w:t xml:space="preserve">que la bande de fréquences 37,5-38 GHz </w:t>
      </w:r>
      <w:r>
        <w:t>est attribuée au</w:t>
      </w:r>
      <w:r w:rsidRPr="000F7758">
        <w:t xml:space="preserve"> service de recherche spatiale (espace lointain) dans le sens espace vers Terre et que</w:t>
      </w:r>
      <w:r w:rsidRPr="0069110B">
        <w:t xml:space="preserve"> </w:t>
      </w:r>
      <w:r w:rsidRPr="000F7758">
        <w:t xml:space="preserve">la bande de fréquences 40,0-40,5 GHz </w:t>
      </w:r>
      <w:r>
        <w:t>est attribuée aux</w:t>
      </w:r>
      <w:r w:rsidRPr="000F7758">
        <w:t xml:space="preserve"> services de recherche spatiale et d'exploration de la Terre par satellite dans le sens Terre vers espace</w:t>
      </w:r>
      <w:r>
        <w:t xml:space="preserve"> à titre primaire</w:t>
      </w:r>
      <w:r w:rsidRPr="000F7758">
        <w:t>;</w:t>
      </w:r>
    </w:p>
    <w:p w:rsidR="008278C6" w:rsidRPr="000F7758" w:rsidRDefault="008278C6" w:rsidP="00A17011">
      <w:pPr>
        <w:jc w:val="both"/>
      </w:pPr>
      <w:r>
        <w:rPr>
          <w:i/>
          <w:iCs/>
        </w:rPr>
        <w:t>d</w:t>
      </w:r>
      <w:r w:rsidRPr="000F7758">
        <w:rPr>
          <w:i/>
          <w:iCs/>
        </w:rPr>
        <w:t>)</w:t>
      </w:r>
      <w:r w:rsidRPr="000F7758">
        <w:tab/>
        <w:t>que</w:t>
      </w:r>
      <w:r w:rsidRPr="0069110B">
        <w:t xml:space="preserve"> </w:t>
      </w:r>
      <w:r w:rsidRPr="000F7758">
        <w:t>la bande de fréquences 37,5-40,5 GHz</w:t>
      </w:r>
      <w:r>
        <w:t xml:space="preserve"> est attribuée au</w:t>
      </w:r>
      <w:r w:rsidRPr="000F7758">
        <w:t xml:space="preserve"> service d'exploration de la Terre par satellite dans le sens espace vers Terre </w:t>
      </w:r>
      <w:r>
        <w:t>à titre secondaire</w:t>
      </w:r>
      <w:r w:rsidRPr="000F7758">
        <w:t>,</w:t>
      </w:r>
    </w:p>
    <w:p w:rsidR="008278C6" w:rsidRPr="000F7758" w:rsidRDefault="008278C6" w:rsidP="00A17011">
      <w:pPr>
        <w:pStyle w:val="Call"/>
        <w:jc w:val="both"/>
      </w:pPr>
      <w:r w:rsidRPr="000F7758">
        <w:t>reconnaissant</w:t>
      </w:r>
    </w:p>
    <w:p w:rsidR="008278C6" w:rsidRPr="000F7758" w:rsidRDefault="008278C6" w:rsidP="00A17011">
      <w:pPr>
        <w:jc w:val="both"/>
      </w:pPr>
      <w:r w:rsidRPr="000F7758">
        <w:rPr>
          <w:i/>
          <w:iCs/>
        </w:rPr>
        <w:t>a)</w:t>
      </w:r>
      <w:r w:rsidRPr="000F7758">
        <w:rPr>
          <w:i/>
          <w:iCs/>
        </w:rPr>
        <w:tab/>
      </w:r>
      <w:r w:rsidRPr="000F7758">
        <w:t>que la CMR-2000 a adopté des dispositions, notamment des limites d'</w:t>
      </w:r>
      <w:proofErr w:type="spellStart"/>
      <w:r w:rsidRPr="000F7758">
        <w:t>epfd</w:t>
      </w:r>
      <w:proofErr w:type="spellEnd"/>
      <w:r w:rsidRPr="000F7758">
        <w:t xml:space="preserve"> aux numéros </w:t>
      </w:r>
      <w:r w:rsidRPr="000F7758">
        <w:rPr>
          <w:b/>
          <w:bCs/>
        </w:rPr>
        <w:t>22.5C</w:t>
      </w:r>
      <w:r w:rsidRPr="000F7758">
        <w:t xml:space="preserve">, </w:t>
      </w:r>
      <w:r w:rsidRPr="000F7758">
        <w:rPr>
          <w:b/>
          <w:bCs/>
        </w:rPr>
        <w:t>22.5D</w:t>
      </w:r>
      <w:r w:rsidRPr="000F7758">
        <w:t xml:space="preserve"> et </w:t>
      </w:r>
      <w:r w:rsidRPr="000F7758">
        <w:rPr>
          <w:b/>
          <w:bCs/>
        </w:rPr>
        <w:t>22.5F</w:t>
      </w:r>
      <w:r w:rsidRPr="000F7758">
        <w:t xml:space="preserve"> pour quantifier le numéro </w:t>
      </w:r>
      <w:r w:rsidRPr="000F7758">
        <w:rPr>
          <w:b/>
          <w:bCs/>
        </w:rPr>
        <w:t>22.2</w:t>
      </w:r>
      <w:r w:rsidRPr="00C91BDB">
        <w:t>,</w:t>
      </w:r>
      <w:r w:rsidRPr="000F7758">
        <w:t xml:space="preserve"> </w:t>
      </w:r>
      <w:r>
        <w:t>de façon à</w:t>
      </w:r>
      <w:r w:rsidRPr="000F7758">
        <w:t xml:space="preserve"> assurer la protection des réseaux à satellite OSG du SFS et du SRS vis-à-vis des systèmes à satellites non OSG du SFS dans la gamme de fréquences 10</w:t>
      </w:r>
      <w:r w:rsidRPr="000F7758">
        <w:noBreakHyphen/>
        <w:t>30 GHz;</w:t>
      </w:r>
    </w:p>
    <w:p w:rsidR="008278C6" w:rsidRPr="000F7758" w:rsidRDefault="008278C6" w:rsidP="00A17011">
      <w:pPr>
        <w:jc w:val="both"/>
      </w:pPr>
      <w:r w:rsidRPr="000F7758">
        <w:rPr>
          <w:i/>
        </w:rPr>
        <w:t>b)</w:t>
      </w:r>
      <w:r w:rsidRPr="000F7758">
        <w:tab/>
        <w:t xml:space="preserve">que la Résolution </w:t>
      </w:r>
      <w:r w:rsidRPr="000F7758">
        <w:rPr>
          <w:b/>
        </w:rPr>
        <w:t>76</w:t>
      </w:r>
      <w:r w:rsidRPr="000F7758">
        <w:t xml:space="preserve"> </w:t>
      </w:r>
      <w:r w:rsidRPr="00CF2E51">
        <w:rPr>
          <w:b/>
          <w:bCs/>
        </w:rPr>
        <w:t>(</w:t>
      </w:r>
      <w:r w:rsidRPr="00FA5805">
        <w:rPr>
          <w:b/>
          <w:bCs/>
        </w:rPr>
        <w:t>Rév.</w:t>
      </w:r>
      <w:r w:rsidRPr="000F7758">
        <w:rPr>
          <w:b/>
        </w:rPr>
        <w:t>CMR-</w:t>
      </w:r>
      <w:r>
        <w:rPr>
          <w:b/>
        </w:rPr>
        <w:t>15</w:t>
      </w:r>
      <w:r w:rsidRPr="00CF2E51">
        <w:rPr>
          <w:b/>
          <w:bCs/>
        </w:rPr>
        <w:t>)</w:t>
      </w:r>
      <w:r w:rsidRPr="000F7758">
        <w:t xml:space="preserve"> contient des niveaux de puissance cumulative qui ne doivent pas être dépassés par les systèmes non OSG du SFS, afin de protéger</w:t>
      </w:r>
      <w:r w:rsidRPr="009A0BD9">
        <w:t xml:space="preserve"> </w:t>
      </w:r>
      <w:r w:rsidRPr="000F7758">
        <w:t>contre les brouillages les réseaux OSG du SFS et les réseaux OSG du SRS dans la gamme de fréquences 10-30 GHz;</w:t>
      </w:r>
    </w:p>
    <w:p w:rsidR="008278C6" w:rsidRPr="000F7758" w:rsidRDefault="008278C6" w:rsidP="00A17011">
      <w:pPr>
        <w:jc w:val="both"/>
      </w:pPr>
      <w:r w:rsidRPr="000F7758">
        <w:rPr>
          <w:i/>
          <w:iCs/>
        </w:rPr>
        <w:t>c)</w:t>
      </w:r>
      <w:r w:rsidRPr="000F7758">
        <w:tab/>
        <w:t xml:space="preserve">que, conformément au numéro </w:t>
      </w:r>
      <w:r w:rsidRPr="000F7758">
        <w:rPr>
          <w:b/>
          <w:bCs/>
        </w:rPr>
        <w:t>5.552</w:t>
      </w:r>
      <w:r w:rsidRPr="000F7758">
        <w:t>, les administrations sont instamment priées de prendre toutes les mesures pratiquement réalisables pour réserver la bande</w:t>
      </w:r>
      <w:r w:rsidRPr="00C91BDB">
        <w:t xml:space="preserve"> </w:t>
      </w:r>
      <w:r>
        <w:t>de fréquences</w:t>
      </w:r>
      <w:r w:rsidRPr="000F7758">
        <w:t xml:space="preserve"> 47,2</w:t>
      </w:r>
      <w:r>
        <w:noBreakHyphen/>
        <w:t>49,2 </w:t>
      </w:r>
      <w:r w:rsidRPr="000F7758">
        <w:t xml:space="preserve">GHz aux connexions de liaison pour le </w:t>
      </w:r>
      <w:r>
        <w:t>SRS</w:t>
      </w:r>
      <w:r w:rsidRPr="000F7758">
        <w:t xml:space="preserve"> fonctionnant dans la bande</w:t>
      </w:r>
      <w:r>
        <w:t xml:space="preserve"> de fréquences</w:t>
      </w:r>
      <w:r w:rsidRPr="000F7758">
        <w:t> 40,5</w:t>
      </w:r>
      <w:r w:rsidRPr="000F7758">
        <w:noBreakHyphen/>
        <w:t>42,5 GHz;</w:t>
      </w:r>
    </w:p>
    <w:p w:rsidR="008278C6" w:rsidRPr="000F7758" w:rsidRDefault="008278C6" w:rsidP="00A17011">
      <w:pPr>
        <w:jc w:val="both"/>
      </w:pPr>
      <w:r w:rsidRPr="000F7758">
        <w:rPr>
          <w:i/>
          <w:iCs/>
        </w:rPr>
        <w:t>d)</w:t>
      </w:r>
      <w:r w:rsidRPr="000F7758">
        <w:tab/>
        <w:t xml:space="preserve">que, conformément au numéro </w:t>
      </w:r>
      <w:r w:rsidRPr="000F7758">
        <w:rPr>
          <w:b/>
          <w:bCs/>
        </w:rPr>
        <w:t>5.554A</w:t>
      </w:r>
      <w:r w:rsidRPr="000F7758">
        <w:t>, l'utilisation des bandes</w:t>
      </w:r>
      <w:r w:rsidRPr="009A0BD9">
        <w:t xml:space="preserve"> </w:t>
      </w:r>
      <w:r>
        <w:t>de fréquences</w:t>
      </w:r>
      <w:r w:rsidRPr="000F7758">
        <w:t xml:space="preserve"> 47,5</w:t>
      </w:r>
      <w:r>
        <w:noBreakHyphen/>
      </w:r>
      <w:r w:rsidRPr="000F7758">
        <w:t>47,9</w:t>
      </w:r>
      <w:r>
        <w:t> </w:t>
      </w:r>
      <w:r w:rsidRPr="000F7758">
        <w:t>GHz, 48,2</w:t>
      </w:r>
      <w:r w:rsidRPr="000F7758">
        <w:noBreakHyphen/>
        <w:t xml:space="preserve">48,54 GHz et 49,44-50,2 GHz par le </w:t>
      </w:r>
      <w:r>
        <w:t>SES</w:t>
      </w:r>
      <w:r w:rsidRPr="000F7758">
        <w:t xml:space="preserve"> (espace vers Terre) est limitée aux satellites géostationnaires;</w:t>
      </w:r>
    </w:p>
    <w:p w:rsidR="008278C6" w:rsidRPr="000F7758" w:rsidRDefault="008278C6" w:rsidP="00A17011">
      <w:pPr>
        <w:jc w:val="both"/>
      </w:pPr>
      <w:r w:rsidRPr="000F7758">
        <w:rPr>
          <w:i/>
          <w:iCs/>
        </w:rPr>
        <w:t>e)</w:t>
      </w:r>
      <w:r w:rsidRPr="000F7758">
        <w:tab/>
        <w:t xml:space="preserve">que le numéro </w:t>
      </w:r>
      <w:r w:rsidRPr="000F7758">
        <w:rPr>
          <w:b/>
          <w:bCs/>
        </w:rPr>
        <w:t>21.16</w:t>
      </w:r>
      <w:r w:rsidRPr="000F7758">
        <w:t xml:space="preserve"> définit les limites de puissance surfacique applicables aux systèmes à satellites non OSG pour protéger les attributions aux services fixe et mobile dans la bande de fréquences 37,5-42,5 GHz;</w:t>
      </w:r>
    </w:p>
    <w:p w:rsidR="008278C6" w:rsidRPr="000F7758" w:rsidRDefault="008278C6" w:rsidP="00A17011">
      <w:pPr>
        <w:jc w:val="both"/>
      </w:pPr>
      <w:r w:rsidRPr="000F7758">
        <w:rPr>
          <w:i/>
          <w:iCs/>
        </w:rPr>
        <w:t>f)</w:t>
      </w:r>
      <w:r w:rsidRPr="000F7758">
        <w:tab/>
        <w:t xml:space="preserve">que la bande de fréquences 50,2-50,4 GHz est attribuée à titre primaire au </w:t>
      </w:r>
      <w:r>
        <w:t>SETS</w:t>
      </w:r>
      <w:r w:rsidRPr="000F7758">
        <w:t xml:space="preserve"> (passive) et</w:t>
      </w:r>
      <w:r>
        <w:t xml:space="preserve"> au service</w:t>
      </w:r>
      <w:r w:rsidRPr="000F7758">
        <w:t xml:space="preserve"> de recherche spatiale (passive), qui doivent bénéficier d'une protection suffisante;</w:t>
      </w:r>
    </w:p>
    <w:p w:rsidR="008278C6" w:rsidRPr="000F7758" w:rsidRDefault="008278C6" w:rsidP="005131A3">
      <w:pPr>
        <w:jc w:val="both"/>
      </w:pPr>
      <w:r w:rsidRPr="000F7758">
        <w:rPr>
          <w:i/>
          <w:iCs/>
        </w:rPr>
        <w:t>g)</w:t>
      </w:r>
      <w:r w:rsidRPr="000F7758">
        <w:tab/>
        <w:t>que la CMR-03, après avoir examiné les résultats d'étu</w:t>
      </w:r>
      <w:r>
        <w:t>des préliminaires de l'UIT</w:t>
      </w:r>
      <w:r w:rsidR="005131A3">
        <w:noBreakHyphen/>
      </w:r>
      <w:r>
        <w:t>R, a </w:t>
      </w:r>
      <w:r w:rsidRPr="000F7758">
        <w:t xml:space="preserve">décidé qu'il </w:t>
      </w:r>
      <w:r w:rsidRPr="000F7758">
        <w:rPr>
          <w:color w:val="000000"/>
        </w:rPr>
        <w:t xml:space="preserve">fallait </w:t>
      </w:r>
      <w:r>
        <w:rPr>
          <w:color w:val="000000"/>
        </w:rPr>
        <w:t>poursuivre les</w:t>
      </w:r>
      <w:r w:rsidRPr="000F7758">
        <w:rPr>
          <w:color w:val="000000"/>
        </w:rPr>
        <w:t xml:space="preserve"> études afin de déterminer les conditions de partage de la gamme de fréquences </w:t>
      </w:r>
      <w:r w:rsidRPr="000F7758">
        <w:t xml:space="preserve">37,5-50,2 GHz </w:t>
      </w:r>
      <w:r w:rsidRPr="000F7758">
        <w:rPr>
          <w:color w:val="000000"/>
        </w:rPr>
        <w:t>entre les systèmes à satellites non OSG du SFS et les réseaux à satellite OSG du SFS</w:t>
      </w:r>
      <w:r w:rsidRPr="000F7758">
        <w:t>;</w:t>
      </w:r>
    </w:p>
    <w:p w:rsidR="008278C6" w:rsidRDefault="008278C6" w:rsidP="00A17011">
      <w:pPr>
        <w:jc w:val="both"/>
      </w:pPr>
      <w:r>
        <w:rPr>
          <w:i/>
          <w:iCs/>
        </w:rPr>
        <w:t>h</w:t>
      </w:r>
      <w:r w:rsidRPr="000F7758">
        <w:rPr>
          <w:i/>
          <w:iCs/>
        </w:rPr>
        <w:t>)</w:t>
      </w:r>
      <w:r w:rsidRPr="000F7758">
        <w:tab/>
      </w:r>
      <w:r w:rsidRPr="000F7758">
        <w:rPr>
          <w:color w:val="000000"/>
        </w:rPr>
        <w:t xml:space="preserve">que, conformément au numéro </w:t>
      </w:r>
      <w:r w:rsidRPr="000F7758">
        <w:rPr>
          <w:b/>
          <w:bCs/>
          <w:color w:val="000000"/>
        </w:rPr>
        <w:t>5.556</w:t>
      </w:r>
      <w:r w:rsidRPr="000F7758">
        <w:rPr>
          <w:color w:val="000000"/>
        </w:rPr>
        <w:t xml:space="preserve">, des observations de radioastronomie sont effectuées dans </w:t>
      </w:r>
      <w:r>
        <w:rPr>
          <w:color w:val="000000"/>
        </w:rPr>
        <w:t>la</w:t>
      </w:r>
      <w:r w:rsidRPr="000F7758">
        <w:rPr>
          <w:color w:val="000000"/>
        </w:rPr>
        <w:t xml:space="preserve"> bande</w:t>
      </w:r>
      <w:r>
        <w:rPr>
          <w:color w:val="000000"/>
        </w:rPr>
        <w:t xml:space="preserve"> </w:t>
      </w:r>
      <w:r>
        <w:t>de fréquences</w:t>
      </w:r>
      <w:r>
        <w:rPr>
          <w:color w:val="000000"/>
        </w:rPr>
        <w:t xml:space="preserve"> 51,4-54,25 GHz</w:t>
      </w:r>
      <w:r w:rsidRPr="000F7758">
        <w:rPr>
          <w:color w:val="000000"/>
        </w:rPr>
        <w:t xml:space="preserve"> et qu'il faudra peut-être définir à cet égard des mesures d'atténuation des brouillages</w:t>
      </w:r>
      <w:r>
        <w:t>;</w:t>
      </w:r>
    </w:p>
    <w:p w:rsidR="008278C6" w:rsidRPr="00F9734E" w:rsidRDefault="008278C6" w:rsidP="00A17011">
      <w:pPr>
        <w:jc w:val="both"/>
        <w:rPr>
          <w:i/>
          <w:iCs/>
        </w:rPr>
      </w:pPr>
      <w:r>
        <w:rPr>
          <w:i/>
          <w:iCs/>
        </w:rPr>
        <w:t>i)</w:t>
      </w:r>
      <w:r>
        <w:rPr>
          <w:i/>
          <w:iCs/>
        </w:rPr>
        <w:tab/>
      </w:r>
      <w:r>
        <w:t xml:space="preserve">que les éventuelles révisions apportées aux restrictions visant à protéger les services passifs ou les observations de radioastronomie s'appliqueront nécessairement dans </w:t>
      </w:r>
      <w:r>
        <w:lastRenderedPageBreak/>
        <w:t xml:space="preserve">l'avenir et seront en pratique difficilement applicables aux réseaux et systèmes du SFS visés au point </w:t>
      </w:r>
      <w:r>
        <w:rPr>
          <w:i/>
          <w:iCs/>
        </w:rPr>
        <w:t xml:space="preserve">f) </w:t>
      </w:r>
      <w:r>
        <w:t xml:space="preserve">du </w:t>
      </w:r>
      <w:r>
        <w:rPr>
          <w:i/>
          <w:iCs/>
        </w:rPr>
        <w:t>considérant</w:t>
      </w:r>
      <w:r>
        <w:t xml:space="preserve"> et aux points </w:t>
      </w:r>
      <w:r>
        <w:rPr>
          <w:i/>
          <w:iCs/>
        </w:rPr>
        <w:t>a)</w:t>
      </w:r>
      <w:r>
        <w:t xml:space="preserve"> et </w:t>
      </w:r>
      <w:r>
        <w:rPr>
          <w:i/>
          <w:iCs/>
        </w:rPr>
        <w:t>b)</w:t>
      </w:r>
      <w:r>
        <w:t xml:space="preserve"> du </w:t>
      </w:r>
      <w:r>
        <w:rPr>
          <w:i/>
          <w:iCs/>
        </w:rPr>
        <w:t>notant</w:t>
      </w:r>
      <w:r w:rsidRPr="00596CCF">
        <w:t>,</w:t>
      </w:r>
    </w:p>
    <w:p w:rsidR="008278C6" w:rsidRPr="000F7758" w:rsidRDefault="008278C6" w:rsidP="00A17011">
      <w:pPr>
        <w:pStyle w:val="Call"/>
        <w:jc w:val="both"/>
      </w:pPr>
      <w:r w:rsidRPr="000F7758">
        <w:t>décide d'inviter l'UIT-R</w:t>
      </w:r>
    </w:p>
    <w:p w:rsidR="008278C6" w:rsidRPr="000F7758" w:rsidRDefault="008278C6" w:rsidP="00A17011">
      <w:pPr>
        <w:jc w:val="both"/>
      </w:pPr>
      <w:r w:rsidRPr="000F7758">
        <w:t xml:space="preserve">à </w:t>
      </w:r>
      <w:r>
        <w:t>effectuer</w:t>
      </w:r>
      <w:r w:rsidRPr="000F7758">
        <w:t>, et à achever à temps pour la CMR-19:</w:t>
      </w:r>
    </w:p>
    <w:p w:rsidR="008278C6" w:rsidRPr="000F7758" w:rsidRDefault="008278C6" w:rsidP="00A17011">
      <w:pPr>
        <w:jc w:val="both"/>
        <w:rPr>
          <w:bCs/>
          <w:szCs w:val="24"/>
        </w:rPr>
      </w:pPr>
      <w:r w:rsidRPr="000F7758">
        <w:t>1</w:t>
      </w:r>
      <w:r w:rsidRPr="000F7758">
        <w:tab/>
        <w:t>des études concernant les questions techniques et opérationnelles et les dispositions réglementaires relatives à l'exploitation des systèmes à satellites</w:t>
      </w:r>
      <w:r>
        <w:t xml:space="preserve"> non OSG du SFS dans les bandes </w:t>
      </w:r>
      <w:r w:rsidRPr="000F7758">
        <w:t xml:space="preserve">de fréquences 37,5-42,5 GHz (espace vers Terre) et 47,2-48,9 GHz (limitée aux liaisons de connexion uniquement), 48,9-50,2 GHz et 50,4-51,4 GHz (Terre vers espace), tout en garantissant </w:t>
      </w:r>
      <w:r>
        <w:t>la</w:t>
      </w:r>
      <w:r w:rsidRPr="000F7758">
        <w:t xml:space="preserve"> protection des réseaux à satellite OSG du SFS, du SMS et du SRS, </w:t>
      </w:r>
      <w:r w:rsidRPr="000F7758">
        <w:rPr>
          <w:color w:val="000000"/>
        </w:rPr>
        <w:t>sans pour autant limiter le développement futur des réseaux OSG dans ces bandes</w:t>
      </w:r>
      <w:r w:rsidRPr="00706CC2">
        <w:t xml:space="preserve"> </w:t>
      </w:r>
      <w:r>
        <w:t>de fréquences</w:t>
      </w:r>
      <w:r w:rsidRPr="000F7758">
        <w:rPr>
          <w:color w:val="000000"/>
        </w:rPr>
        <w:t>, ni lui imposer de contraintes excessives,</w:t>
      </w:r>
      <w:r w:rsidRPr="000F7758">
        <w:t xml:space="preserve"> et sans modifier les dispositions de l'Article </w:t>
      </w:r>
      <w:r w:rsidRPr="000F7758">
        <w:rPr>
          <w:b/>
          <w:bCs/>
        </w:rPr>
        <w:t>21</w:t>
      </w:r>
      <w:r w:rsidRPr="000F7758">
        <w:rPr>
          <w:bCs/>
          <w:szCs w:val="24"/>
        </w:rPr>
        <w:t>;</w:t>
      </w:r>
    </w:p>
    <w:p w:rsidR="008278C6" w:rsidRPr="000F7758" w:rsidRDefault="008278C6" w:rsidP="00A17011">
      <w:pPr>
        <w:jc w:val="both"/>
        <w:rPr>
          <w:bCs/>
          <w:szCs w:val="24"/>
        </w:rPr>
      </w:pPr>
      <w:r>
        <w:rPr>
          <w:bCs/>
          <w:szCs w:val="24"/>
        </w:rPr>
        <w:t>2</w:t>
      </w:r>
      <w:r w:rsidRPr="000F7758">
        <w:rPr>
          <w:bCs/>
          <w:szCs w:val="24"/>
        </w:rPr>
        <w:tab/>
        <w:t xml:space="preserve">les études </w:t>
      </w:r>
      <w:r>
        <w:rPr>
          <w:bCs/>
          <w:szCs w:val="24"/>
        </w:rPr>
        <w:t>menées au titre du point</w:t>
      </w:r>
      <w:r w:rsidRPr="000F7758">
        <w:rPr>
          <w:bCs/>
          <w:szCs w:val="24"/>
        </w:rPr>
        <w:t xml:space="preserve"> 1 du </w:t>
      </w:r>
      <w:r w:rsidRPr="000F7758">
        <w:rPr>
          <w:bCs/>
          <w:i/>
          <w:iCs/>
          <w:szCs w:val="24"/>
        </w:rPr>
        <w:t>décide</w:t>
      </w:r>
      <w:r>
        <w:rPr>
          <w:bCs/>
          <w:i/>
          <w:iCs/>
          <w:szCs w:val="24"/>
        </w:rPr>
        <w:t xml:space="preserve"> d'inviter l'UIT-R</w:t>
      </w:r>
      <w:r w:rsidRPr="000F7758">
        <w:rPr>
          <w:bCs/>
          <w:szCs w:val="24"/>
        </w:rPr>
        <w:t xml:space="preserve"> privilégi</w:t>
      </w:r>
      <w:r>
        <w:rPr>
          <w:bCs/>
          <w:szCs w:val="24"/>
        </w:rPr>
        <w:t>eront</w:t>
      </w:r>
      <w:r w:rsidRPr="000F7758">
        <w:rPr>
          <w:bCs/>
          <w:szCs w:val="24"/>
        </w:rPr>
        <w:t xml:space="preserve"> exclusivement la définition de limites de puissance surfacique équivalente produites en tout point de l'orbite OSG par les émissions provenant de toutes les stations terriennes d'un système non OSG du service fixe par satellite, ou vers toute station terrienne d'un système</w:t>
      </w:r>
      <w:r>
        <w:rPr>
          <w:bCs/>
          <w:szCs w:val="24"/>
        </w:rPr>
        <w:t xml:space="preserve"> à satellites</w:t>
      </w:r>
      <w:r w:rsidRPr="000F7758">
        <w:rPr>
          <w:bCs/>
          <w:szCs w:val="24"/>
        </w:rPr>
        <w:t xml:space="preserve"> géostationnaire</w:t>
      </w:r>
      <w:r>
        <w:rPr>
          <w:bCs/>
          <w:szCs w:val="24"/>
        </w:rPr>
        <w:t>s</w:t>
      </w:r>
      <w:r w:rsidRPr="000F7758">
        <w:rPr>
          <w:bCs/>
          <w:szCs w:val="24"/>
        </w:rPr>
        <w:t xml:space="preserve"> du SFS, selon le cas;</w:t>
      </w:r>
    </w:p>
    <w:p w:rsidR="008278C6" w:rsidRDefault="008278C6" w:rsidP="005131A3">
      <w:pPr>
        <w:jc w:val="both"/>
        <w:rPr>
          <w:bCs/>
          <w:szCs w:val="24"/>
        </w:rPr>
      </w:pPr>
      <w:r>
        <w:rPr>
          <w:bCs/>
          <w:szCs w:val="24"/>
        </w:rPr>
        <w:t>3</w:t>
      </w:r>
      <w:r w:rsidRPr="000F7758">
        <w:rPr>
          <w:bCs/>
          <w:szCs w:val="24"/>
        </w:rPr>
        <w:tab/>
        <w:t xml:space="preserve">des études et </w:t>
      </w:r>
      <w:r>
        <w:rPr>
          <w:bCs/>
          <w:szCs w:val="24"/>
        </w:rPr>
        <w:t>à élaborer des</w:t>
      </w:r>
      <w:r w:rsidRPr="000F7758">
        <w:rPr>
          <w:bCs/>
          <w:szCs w:val="24"/>
        </w:rPr>
        <w:t xml:space="preserve"> conditions de partage entre les systèmes non OSG du SFS fonctionnant dans les bandes </w:t>
      </w:r>
      <w:r>
        <w:t>de fréquences</w:t>
      </w:r>
      <w:r w:rsidRPr="000F7758">
        <w:rPr>
          <w:bCs/>
          <w:szCs w:val="24"/>
        </w:rPr>
        <w:t xml:space="preserve"> énumérées au point 1 du </w:t>
      </w:r>
      <w:r w:rsidRPr="000F7758">
        <w:rPr>
          <w:bCs/>
          <w:i/>
          <w:iCs/>
          <w:szCs w:val="24"/>
        </w:rPr>
        <w:t>décide d'inviter l'UIT</w:t>
      </w:r>
      <w:r w:rsidR="005131A3">
        <w:rPr>
          <w:bCs/>
          <w:i/>
          <w:iCs/>
          <w:szCs w:val="24"/>
        </w:rPr>
        <w:noBreakHyphen/>
      </w:r>
      <w:r w:rsidRPr="000F7758">
        <w:rPr>
          <w:bCs/>
          <w:i/>
          <w:iCs/>
          <w:szCs w:val="24"/>
        </w:rPr>
        <w:t xml:space="preserve">R </w:t>
      </w:r>
      <w:r w:rsidRPr="000F7758">
        <w:rPr>
          <w:bCs/>
          <w:szCs w:val="24"/>
        </w:rPr>
        <w:t>ci</w:t>
      </w:r>
      <w:r>
        <w:rPr>
          <w:bCs/>
          <w:szCs w:val="24"/>
        </w:rPr>
        <w:noBreakHyphen/>
      </w:r>
      <w:r w:rsidRPr="000F7758">
        <w:rPr>
          <w:bCs/>
          <w:szCs w:val="24"/>
        </w:rPr>
        <w:t>dessus;</w:t>
      </w:r>
    </w:p>
    <w:p w:rsidR="008278C6" w:rsidRDefault="008278C6" w:rsidP="005131A3">
      <w:pPr>
        <w:jc w:val="both"/>
        <w:rPr>
          <w:bCs/>
          <w:szCs w:val="24"/>
        </w:rPr>
      </w:pPr>
      <w:r>
        <w:rPr>
          <w:bCs/>
          <w:szCs w:val="24"/>
        </w:rPr>
        <w:t>4</w:t>
      </w:r>
      <w:r>
        <w:rPr>
          <w:bCs/>
          <w:szCs w:val="24"/>
        </w:rPr>
        <w:tab/>
        <w:t>des études sur les modifications qu</w:t>
      </w:r>
      <w:r w:rsidR="00CC57A2">
        <w:rPr>
          <w:bCs/>
          <w:szCs w:val="24"/>
        </w:rPr>
        <w:t>'</w:t>
      </w:r>
      <w:r>
        <w:rPr>
          <w:bCs/>
          <w:szCs w:val="24"/>
        </w:rPr>
        <w:t>il pourrait être nécessaire d</w:t>
      </w:r>
      <w:r w:rsidR="00CC57A2">
        <w:rPr>
          <w:bCs/>
          <w:szCs w:val="24"/>
        </w:rPr>
        <w:t>'</w:t>
      </w:r>
      <w:r>
        <w:rPr>
          <w:bCs/>
          <w:szCs w:val="24"/>
        </w:rPr>
        <w:t>apporter à la Résolution </w:t>
      </w:r>
      <w:r w:rsidRPr="003E5526">
        <w:rPr>
          <w:b/>
          <w:szCs w:val="24"/>
        </w:rPr>
        <w:t>750 (Rév.CMR-15)</w:t>
      </w:r>
      <w:r>
        <w:rPr>
          <w:bCs/>
          <w:szCs w:val="24"/>
        </w:rPr>
        <w:t xml:space="preserve"> pour garantir la protection du SETS (passive) dans les bandes de fréquences 36</w:t>
      </w:r>
      <w:r>
        <w:rPr>
          <w:bCs/>
          <w:szCs w:val="24"/>
        </w:rPr>
        <w:noBreakHyphen/>
        <w:t xml:space="preserve">37 GHz et 50,2-50,4 GHz contre les émissions du SFS non OSG, en tenant compte du point </w:t>
      </w:r>
      <w:r>
        <w:rPr>
          <w:bCs/>
          <w:i/>
          <w:iCs/>
          <w:szCs w:val="24"/>
        </w:rPr>
        <w:t>i)</w:t>
      </w:r>
      <w:r>
        <w:rPr>
          <w:bCs/>
          <w:szCs w:val="24"/>
        </w:rPr>
        <w:t xml:space="preserve"> du </w:t>
      </w:r>
      <w:r>
        <w:rPr>
          <w:bCs/>
          <w:i/>
          <w:iCs/>
          <w:szCs w:val="24"/>
        </w:rPr>
        <w:t>reconnaissant</w:t>
      </w:r>
      <w:r>
        <w:rPr>
          <w:bCs/>
          <w:szCs w:val="24"/>
        </w:rPr>
        <w:t xml:space="preserve"> ci-dessus, y compris l</w:t>
      </w:r>
      <w:r w:rsidR="00CC57A2">
        <w:rPr>
          <w:bCs/>
          <w:szCs w:val="24"/>
        </w:rPr>
        <w:t>'</w:t>
      </w:r>
      <w:r>
        <w:rPr>
          <w:bCs/>
          <w:szCs w:val="24"/>
        </w:rPr>
        <w:t xml:space="preserve">étude des incidences </w:t>
      </w:r>
      <w:r w:rsidRPr="00E44A22">
        <w:rPr>
          <w:bCs/>
          <w:szCs w:val="24"/>
        </w:rPr>
        <w:t xml:space="preserve">des brouillages cumulatifs </w:t>
      </w:r>
      <w:r>
        <w:rPr>
          <w:bCs/>
          <w:szCs w:val="24"/>
        </w:rPr>
        <w:t xml:space="preserve">du SFS </w:t>
      </w:r>
      <w:r w:rsidRPr="00E44A22">
        <w:rPr>
          <w:bCs/>
          <w:szCs w:val="24"/>
        </w:rPr>
        <w:t>causés</w:t>
      </w:r>
      <w:r>
        <w:rPr>
          <w:bCs/>
          <w:szCs w:val="24"/>
        </w:rPr>
        <w:t xml:space="preserve"> par les réseaux et les systèmes qui sont exploités ou qu</w:t>
      </w:r>
      <w:r w:rsidR="00CC57A2">
        <w:rPr>
          <w:bCs/>
          <w:szCs w:val="24"/>
        </w:rPr>
        <w:t>'</w:t>
      </w:r>
      <w:r>
        <w:rPr>
          <w:bCs/>
          <w:szCs w:val="24"/>
        </w:rPr>
        <w:t>il est prévu d</w:t>
      </w:r>
      <w:r w:rsidR="00CC57A2">
        <w:rPr>
          <w:bCs/>
          <w:szCs w:val="24"/>
        </w:rPr>
        <w:t>'</w:t>
      </w:r>
      <w:r>
        <w:rPr>
          <w:bCs/>
          <w:szCs w:val="24"/>
        </w:rPr>
        <w:t xml:space="preserve">exploiter dans les bandes de fréquences indiquées au point 1 du </w:t>
      </w:r>
      <w:r w:rsidRPr="000F7758">
        <w:rPr>
          <w:bCs/>
          <w:i/>
          <w:iCs/>
          <w:szCs w:val="24"/>
        </w:rPr>
        <w:t xml:space="preserve">décide d'inviter l'UIT-R </w:t>
      </w:r>
      <w:r w:rsidRPr="000F7758">
        <w:rPr>
          <w:bCs/>
          <w:szCs w:val="24"/>
        </w:rPr>
        <w:t>ci</w:t>
      </w:r>
      <w:r w:rsidR="005131A3">
        <w:rPr>
          <w:bCs/>
          <w:szCs w:val="24"/>
        </w:rPr>
        <w:noBreakHyphen/>
      </w:r>
      <w:r w:rsidRPr="000F7758">
        <w:rPr>
          <w:bCs/>
          <w:szCs w:val="24"/>
        </w:rPr>
        <w:t>dessus</w:t>
      </w:r>
      <w:r>
        <w:rPr>
          <w:bCs/>
          <w:szCs w:val="24"/>
        </w:rPr>
        <w:t>;</w:t>
      </w:r>
    </w:p>
    <w:p w:rsidR="008278C6" w:rsidRPr="00E44A22" w:rsidRDefault="008278C6" w:rsidP="00A17011">
      <w:pPr>
        <w:jc w:val="both"/>
        <w:rPr>
          <w:bCs/>
          <w:szCs w:val="24"/>
        </w:rPr>
      </w:pPr>
      <w:r>
        <w:rPr>
          <w:bCs/>
          <w:szCs w:val="24"/>
        </w:rPr>
        <w:t>5</w:t>
      </w:r>
      <w:r>
        <w:rPr>
          <w:bCs/>
          <w:szCs w:val="24"/>
        </w:rPr>
        <w:tab/>
        <w:t>des études visant à garantir la protection du service de radioastronomie dans les bandes</w:t>
      </w:r>
      <w:r w:rsidRPr="00706CC2">
        <w:t xml:space="preserve"> </w:t>
      </w:r>
      <w:r>
        <w:t>de fréquences</w:t>
      </w:r>
      <w:r>
        <w:rPr>
          <w:bCs/>
          <w:szCs w:val="24"/>
        </w:rPr>
        <w:t xml:space="preserve"> 42,5-43,5 GHz, 48,94-49,04 GHz et 51,4-54,25 GHz contre les émissions du SFS non OSG, en tenant compte du point </w:t>
      </w:r>
      <w:r>
        <w:rPr>
          <w:bCs/>
          <w:i/>
          <w:iCs/>
          <w:szCs w:val="24"/>
        </w:rPr>
        <w:t>i)</w:t>
      </w:r>
      <w:r>
        <w:rPr>
          <w:bCs/>
          <w:szCs w:val="24"/>
        </w:rPr>
        <w:t xml:space="preserve"> du </w:t>
      </w:r>
      <w:r>
        <w:rPr>
          <w:bCs/>
          <w:i/>
          <w:iCs/>
          <w:szCs w:val="24"/>
        </w:rPr>
        <w:t>reconnaissant</w:t>
      </w:r>
      <w:r>
        <w:rPr>
          <w:bCs/>
          <w:szCs w:val="24"/>
        </w:rPr>
        <w:t xml:space="preserve"> ci-dessus, y compris l</w:t>
      </w:r>
      <w:r w:rsidR="00CC57A2">
        <w:rPr>
          <w:bCs/>
          <w:szCs w:val="24"/>
        </w:rPr>
        <w:t>'</w:t>
      </w:r>
      <w:r>
        <w:rPr>
          <w:bCs/>
          <w:szCs w:val="24"/>
        </w:rPr>
        <w:t xml:space="preserve">étude des incidences </w:t>
      </w:r>
      <w:r w:rsidRPr="00E44A22">
        <w:rPr>
          <w:bCs/>
          <w:szCs w:val="24"/>
        </w:rPr>
        <w:t xml:space="preserve">des brouillages cumulatifs </w:t>
      </w:r>
      <w:r>
        <w:rPr>
          <w:bCs/>
          <w:szCs w:val="24"/>
        </w:rPr>
        <w:t xml:space="preserve">du SFS </w:t>
      </w:r>
      <w:r w:rsidRPr="00E44A22">
        <w:rPr>
          <w:bCs/>
          <w:szCs w:val="24"/>
        </w:rPr>
        <w:t>causés</w:t>
      </w:r>
      <w:r>
        <w:rPr>
          <w:bCs/>
          <w:szCs w:val="24"/>
        </w:rPr>
        <w:t xml:space="preserve"> par les réseaux et les systèmes qui sont exploités ou qu</w:t>
      </w:r>
      <w:r w:rsidR="00CC57A2">
        <w:rPr>
          <w:bCs/>
          <w:szCs w:val="24"/>
        </w:rPr>
        <w:t>'</w:t>
      </w:r>
      <w:r>
        <w:rPr>
          <w:bCs/>
          <w:szCs w:val="24"/>
        </w:rPr>
        <w:t>il est prévu d</w:t>
      </w:r>
      <w:r w:rsidR="00CC57A2">
        <w:rPr>
          <w:bCs/>
          <w:szCs w:val="24"/>
        </w:rPr>
        <w:t>'</w:t>
      </w:r>
      <w:r>
        <w:rPr>
          <w:bCs/>
          <w:szCs w:val="24"/>
        </w:rPr>
        <w:t xml:space="preserve">exploiter dans les bandes de fréquences indiquées au point 1 du </w:t>
      </w:r>
      <w:r w:rsidRPr="000F7758">
        <w:rPr>
          <w:bCs/>
          <w:i/>
          <w:iCs/>
          <w:szCs w:val="24"/>
        </w:rPr>
        <w:t xml:space="preserve">décide d'inviter l'UIT-R </w:t>
      </w:r>
      <w:r w:rsidRPr="000F7758">
        <w:rPr>
          <w:bCs/>
          <w:szCs w:val="24"/>
        </w:rPr>
        <w:t>ci</w:t>
      </w:r>
      <w:r>
        <w:rPr>
          <w:bCs/>
          <w:szCs w:val="24"/>
        </w:rPr>
        <w:noBreakHyphen/>
      </w:r>
      <w:r w:rsidRPr="000F7758">
        <w:rPr>
          <w:bCs/>
          <w:szCs w:val="24"/>
        </w:rPr>
        <w:t>dessus</w:t>
      </w:r>
      <w:r>
        <w:rPr>
          <w:bCs/>
          <w:szCs w:val="24"/>
        </w:rPr>
        <w:t>,</w:t>
      </w:r>
    </w:p>
    <w:p w:rsidR="008278C6" w:rsidRPr="000F7758" w:rsidRDefault="008278C6" w:rsidP="00A17011">
      <w:pPr>
        <w:pStyle w:val="Call"/>
        <w:jc w:val="both"/>
      </w:pPr>
      <w:r w:rsidRPr="000F7758">
        <w:t>décide en outre</w:t>
      </w:r>
    </w:p>
    <w:p w:rsidR="008278C6" w:rsidRPr="000F7758" w:rsidRDefault="008278C6" w:rsidP="00A17011">
      <w:pPr>
        <w:jc w:val="both"/>
      </w:pPr>
      <w:r w:rsidRPr="000F7758">
        <w:t xml:space="preserve">d'inviter la </w:t>
      </w:r>
      <w:r>
        <w:t>Conférence mondiale des radiocommunications de 2019</w:t>
      </w:r>
      <w:r w:rsidRPr="000F7758">
        <w:t xml:space="preserve"> à examiner les résultats des études ci-dessus et à prendre les mesures voulues,</w:t>
      </w:r>
    </w:p>
    <w:p w:rsidR="008278C6" w:rsidRPr="000F7758" w:rsidRDefault="008278C6" w:rsidP="00A17011">
      <w:pPr>
        <w:pStyle w:val="Call"/>
        <w:jc w:val="both"/>
      </w:pPr>
      <w:r w:rsidRPr="000F7758">
        <w:t>invite les administrations</w:t>
      </w:r>
    </w:p>
    <w:p w:rsidR="00143E9D" w:rsidRPr="008278C6" w:rsidRDefault="008278C6" w:rsidP="00A17011">
      <w:pPr>
        <w:jc w:val="both"/>
        <w:rPr>
          <w:rFonts w:asciiTheme="majorBidi" w:hAnsiTheme="majorBidi" w:cstheme="majorBidi"/>
          <w:szCs w:val="24"/>
          <w:lang w:eastAsia="nl-NL"/>
        </w:rPr>
      </w:pPr>
      <w:r w:rsidRPr="000F7758">
        <w:t>à participer aux études en soumettant des contributions à l'UIT-R.</w:t>
      </w:r>
    </w:p>
    <w:p w:rsidR="002606E6" w:rsidRPr="008278C6" w:rsidRDefault="002606E6" w:rsidP="00A17011">
      <w:pPr>
        <w:overflowPunct/>
        <w:autoSpaceDE/>
        <w:autoSpaceDN/>
        <w:adjustRightInd/>
        <w:spacing w:before="0"/>
        <w:textAlignment w:val="auto"/>
        <w:rPr>
          <w:rFonts w:asciiTheme="majorBidi" w:hAnsiTheme="majorBidi" w:cstheme="majorBidi"/>
          <w:szCs w:val="24"/>
        </w:rPr>
      </w:pPr>
      <w:bookmarkStart w:id="110" w:name="_Toc444507537"/>
      <w:r w:rsidRPr="008278C6">
        <w:rPr>
          <w:rFonts w:asciiTheme="majorBidi" w:hAnsiTheme="majorBidi" w:cstheme="majorBidi"/>
          <w:szCs w:val="24"/>
        </w:rPr>
        <w:br w:type="page"/>
      </w:r>
    </w:p>
    <w:p w:rsidR="00536000" w:rsidRPr="00536000" w:rsidRDefault="00F96BD5" w:rsidP="00A17011">
      <w:pPr>
        <w:pStyle w:val="ResNo"/>
      </w:pPr>
      <w:bookmarkStart w:id="111" w:name="RES_160"/>
      <w:bookmarkStart w:id="112" w:name="_Toc460331696"/>
      <w:bookmarkStart w:id="113" w:name="_Toc463616153"/>
      <w:bookmarkEnd w:id="110"/>
      <w:r>
        <w:lastRenderedPageBreak/>
        <w:t>R</w:t>
      </w:r>
      <w:r w:rsidR="001D5201" w:rsidRPr="001D5201">
        <w:t>É</w:t>
      </w:r>
      <w:r w:rsidR="00536000" w:rsidRPr="00536000">
        <w:t xml:space="preserve">SOLUTION </w:t>
      </w:r>
      <w:r w:rsidR="00536000" w:rsidRPr="00536000">
        <w:rPr>
          <w:rStyle w:val="href"/>
        </w:rPr>
        <w:t>160</w:t>
      </w:r>
      <w:r w:rsidR="00536000" w:rsidRPr="00536000">
        <w:t xml:space="preserve"> </w:t>
      </w:r>
      <w:bookmarkEnd w:id="111"/>
      <w:r w:rsidR="00536000" w:rsidRPr="00536000">
        <w:t>(</w:t>
      </w:r>
      <w:r w:rsidR="00F8363E" w:rsidRPr="00A20F5A">
        <w:t>C</w:t>
      </w:r>
      <w:r w:rsidR="00F8363E">
        <w:t>MR</w:t>
      </w:r>
      <w:r w:rsidR="00536000" w:rsidRPr="00536000">
        <w:noBreakHyphen/>
        <w:t>15)</w:t>
      </w:r>
      <w:bookmarkEnd w:id="112"/>
      <w:bookmarkEnd w:id="113"/>
    </w:p>
    <w:p w:rsidR="00416CED" w:rsidRPr="008D6C3C" w:rsidRDefault="00416CED" w:rsidP="00A17011">
      <w:pPr>
        <w:pStyle w:val="Restitle"/>
        <w:rPr>
          <w:lang w:val="fr-CH"/>
        </w:rPr>
      </w:pPr>
      <w:bookmarkStart w:id="114" w:name="_Toc450208629"/>
      <w:bookmarkStart w:id="115" w:name="_Toc463616154"/>
      <w:r w:rsidRPr="008D6C3C">
        <w:rPr>
          <w:lang w:val="fr-CH"/>
        </w:rPr>
        <w:t xml:space="preserve">Faciliter l'accès aux applications large bande </w:t>
      </w:r>
      <w:r>
        <w:rPr>
          <w:lang w:val="fr-CH"/>
        </w:rPr>
        <w:t>assurées</w:t>
      </w:r>
      <w:r w:rsidRPr="008D6C3C">
        <w:rPr>
          <w:lang w:val="fr-CH"/>
        </w:rPr>
        <w:t xml:space="preserve"> par les stations </w:t>
      </w:r>
      <w:r>
        <w:rPr>
          <w:lang w:val="fr-CH"/>
        </w:rPr>
        <w:br/>
        <w:t>placées sur des plates-formes à haute altitude</w:t>
      </w:r>
      <w:bookmarkEnd w:id="114"/>
      <w:bookmarkEnd w:id="115"/>
      <w:r>
        <w:rPr>
          <w:lang w:val="fr-CH"/>
        </w:rPr>
        <w:t xml:space="preserve"> </w:t>
      </w:r>
    </w:p>
    <w:p w:rsidR="00416CED" w:rsidRPr="008D6C3C" w:rsidRDefault="00416CED" w:rsidP="00A17011">
      <w:pPr>
        <w:pStyle w:val="Normalaftertitle"/>
        <w:rPr>
          <w:lang w:val="fr-CH"/>
        </w:rPr>
      </w:pPr>
      <w:r w:rsidRPr="008D6C3C">
        <w:rPr>
          <w:lang w:val="fr-CH"/>
        </w:rPr>
        <w:t>La Conférence mondiale des radiocommunications (Genève, 2015),</w:t>
      </w:r>
    </w:p>
    <w:p w:rsidR="00416CED" w:rsidRPr="008D6C3C" w:rsidRDefault="00416CED" w:rsidP="00A17011">
      <w:pPr>
        <w:pStyle w:val="Call"/>
        <w:rPr>
          <w:lang w:val="fr-CH"/>
        </w:rPr>
      </w:pPr>
      <w:r w:rsidRPr="008D6C3C">
        <w:rPr>
          <w:lang w:val="fr-CH"/>
        </w:rPr>
        <w:t>considérant</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a)</w:t>
      </w:r>
      <w:r w:rsidRPr="008D6C3C">
        <w:rPr>
          <w:szCs w:val="24"/>
          <w:lang w:val="fr-CH"/>
        </w:rPr>
        <w:tab/>
        <w:t>qu'il faut développer la connectivité et les services de télécommunication large bande dans les communautés mal desservies ainsi que dans les zones rurales et isolées;</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b)</w:t>
      </w:r>
      <w:r w:rsidRPr="008D6C3C">
        <w:rPr>
          <w:szCs w:val="24"/>
          <w:lang w:val="fr-CH"/>
        </w:rPr>
        <w:tab/>
        <w:t xml:space="preserve">que les techniques actuelles peuvent être utilisées pour </w:t>
      </w:r>
      <w:r>
        <w:rPr>
          <w:szCs w:val="24"/>
          <w:lang w:val="fr-CH"/>
        </w:rPr>
        <w:t xml:space="preserve">assurer des </w:t>
      </w:r>
      <w:r w:rsidRPr="008D6C3C">
        <w:rPr>
          <w:szCs w:val="24"/>
          <w:lang w:val="fr-CH"/>
        </w:rPr>
        <w:t xml:space="preserve">applications large bande </w:t>
      </w:r>
      <w:r>
        <w:rPr>
          <w:szCs w:val="24"/>
          <w:lang w:val="fr-CH"/>
        </w:rPr>
        <w:t>au moyen de</w:t>
      </w:r>
      <w:r w:rsidRPr="008D6C3C">
        <w:rPr>
          <w:szCs w:val="24"/>
          <w:lang w:val="fr-CH"/>
        </w:rPr>
        <w:t xml:space="preserve"> stations de base fonctionnant </w:t>
      </w:r>
      <w:r w:rsidRPr="008D6C3C">
        <w:rPr>
          <w:color w:val="000000"/>
          <w:lang w:val="fr-CH"/>
        </w:rPr>
        <w:t>à des altitudes élevées</w:t>
      </w:r>
      <w:r w:rsidRPr="008D6C3C">
        <w:rPr>
          <w:szCs w:val="24"/>
          <w:lang w:val="fr-CH"/>
        </w:rPr>
        <w:t>;</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c)</w:t>
      </w:r>
      <w:r w:rsidRPr="008D6C3C">
        <w:rPr>
          <w:szCs w:val="24"/>
          <w:lang w:val="fr-CH"/>
        </w:rPr>
        <w:tab/>
        <w:t>que les stations</w:t>
      </w:r>
      <w:r>
        <w:rPr>
          <w:szCs w:val="24"/>
          <w:lang w:val="fr-CH"/>
        </w:rPr>
        <w:t xml:space="preserve"> placées sur des plates-formes à haute altitude</w:t>
      </w:r>
      <w:r w:rsidRPr="008D6C3C">
        <w:rPr>
          <w:szCs w:val="24"/>
          <w:lang w:val="fr-CH"/>
        </w:rPr>
        <w:t xml:space="preserve"> </w:t>
      </w:r>
      <w:r>
        <w:rPr>
          <w:szCs w:val="24"/>
          <w:lang w:val="fr-CH"/>
        </w:rPr>
        <w:t>(</w:t>
      </w:r>
      <w:r w:rsidRPr="008D6C3C">
        <w:rPr>
          <w:szCs w:val="24"/>
          <w:lang w:val="fr-CH"/>
        </w:rPr>
        <w:t>HAPS</w:t>
      </w:r>
      <w:r>
        <w:rPr>
          <w:szCs w:val="24"/>
          <w:lang w:val="fr-CH"/>
        </w:rPr>
        <w:t>)</w:t>
      </w:r>
      <w:r w:rsidRPr="008D6C3C">
        <w:rPr>
          <w:szCs w:val="24"/>
          <w:lang w:val="fr-CH"/>
        </w:rPr>
        <w:t xml:space="preserve"> constituent un moyen permettant d'assurer une connectivité large bande fixe</w:t>
      </w:r>
      <w:r>
        <w:rPr>
          <w:szCs w:val="24"/>
          <w:lang w:val="fr-CH"/>
        </w:rPr>
        <w:t xml:space="preserve"> et, par conséquent, d'assurer</w:t>
      </w:r>
      <w:r w:rsidRPr="008D6C3C">
        <w:rPr>
          <w:szCs w:val="24"/>
          <w:lang w:val="fr-CH"/>
        </w:rPr>
        <w:t xml:space="preserve"> un déploiement large bande hertzien dans les zones isolées, notamment dans les zones montagneuses, côtières et désertiques sablonneuses;</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d)</w:t>
      </w:r>
      <w:r w:rsidRPr="008D6C3C">
        <w:rPr>
          <w:szCs w:val="24"/>
          <w:lang w:val="fr-CH"/>
        </w:rPr>
        <w:tab/>
        <w:t>que les stations HA</w:t>
      </w:r>
      <w:r>
        <w:rPr>
          <w:szCs w:val="24"/>
          <w:lang w:val="fr-CH"/>
        </w:rPr>
        <w:t xml:space="preserve">PS utilisant des liaisons entre </w:t>
      </w:r>
      <w:r w:rsidRPr="008D6C3C">
        <w:rPr>
          <w:szCs w:val="24"/>
          <w:lang w:val="fr-CH"/>
        </w:rPr>
        <w:t>stations HAPS permettent d'assurer une connectivité large bande avec une infrastructure de réseau au sol minimale;</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e)</w:t>
      </w:r>
      <w:r w:rsidRPr="008D6C3C">
        <w:rPr>
          <w:szCs w:val="24"/>
          <w:lang w:val="fr-CH"/>
        </w:rPr>
        <w:tab/>
        <w:t>que les stations HAPS peuvent aussi être utilisées pour assurer des communications en vue du retour à la normale après une catastrophe;</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f)</w:t>
      </w:r>
      <w:r w:rsidRPr="008D6C3C">
        <w:rPr>
          <w:szCs w:val="24"/>
          <w:lang w:val="fr-CH"/>
        </w:rPr>
        <w:tab/>
        <w:t>qu'actuellement, certaines nouvelles entités procèdent à des essais de transmission large bande au moyen de dirigeables et d'aéronefs légers à alimentation solaire évoluant à une altitude comprise entre 20 et 50 km pendant plusieurs mois en un point fixe nominal par rapport au sol,</w:t>
      </w:r>
    </w:p>
    <w:p w:rsidR="00416CED" w:rsidRPr="008D6C3C" w:rsidRDefault="00416CED" w:rsidP="00A17011">
      <w:pPr>
        <w:pStyle w:val="Call"/>
        <w:jc w:val="both"/>
        <w:rPr>
          <w:lang w:val="fr-CH"/>
        </w:rPr>
      </w:pPr>
      <w:r w:rsidRPr="008D6C3C">
        <w:rPr>
          <w:lang w:val="fr-CH"/>
        </w:rPr>
        <w:t>reconnaissant</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a)</w:t>
      </w:r>
      <w:r w:rsidRPr="008D6C3C">
        <w:rPr>
          <w:szCs w:val="24"/>
          <w:lang w:val="fr-CH"/>
        </w:rPr>
        <w:tab/>
        <w:t>que les services existants et leurs applications doivent être protégés vis-à-vis des applications HAPS, et que les stations HAPS ne doivent</w:t>
      </w:r>
      <w:r>
        <w:rPr>
          <w:szCs w:val="24"/>
          <w:lang w:val="fr-CH"/>
        </w:rPr>
        <w:t xml:space="preserve"> pas</w:t>
      </w:r>
      <w:r w:rsidRPr="008D6C3C">
        <w:rPr>
          <w:szCs w:val="24"/>
          <w:lang w:val="fr-CH"/>
        </w:rPr>
        <w:t xml:space="preserve"> imposer de contraintes</w:t>
      </w:r>
      <w:r>
        <w:rPr>
          <w:szCs w:val="24"/>
          <w:lang w:val="fr-CH"/>
        </w:rPr>
        <w:t xml:space="preserve"> excessives</w:t>
      </w:r>
      <w:r w:rsidRPr="008D6C3C">
        <w:rPr>
          <w:szCs w:val="24"/>
          <w:lang w:val="fr-CH"/>
        </w:rPr>
        <w:t xml:space="preserve"> au développement futur des services existants;</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b)</w:t>
      </w:r>
      <w:r w:rsidRPr="008D6C3C">
        <w:rPr>
          <w:szCs w:val="24"/>
          <w:lang w:val="fr-CH"/>
        </w:rPr>
        <w:tab/>
      </w:r>
      <w:r w:rsidRPr="008D6C3C">
        <w:rPr>
          <w:color w:val="000000"/>
          <w:lang w:val="fr-CH"/>
        </w:rPr>
        <w:t xml:space="preserve">qu'une station </w:t>
      </w:r>
      <w:r w:rsidRPr="008D6C3C">
        <w:rPr>
          <w:szCs w:val="24"/>
          <w:lang w:val="fr-CH"/>
        </w:rPr>
        <w:t>HAPS</w:t>
      </w:r>
      <w:r w:rsidRPr="008D6C3C">
        <w:rPr>
          <w:color w:val="000000"/>
          <w:lang w:val="fr-CH"/>
        </w:rPr>
        <w:t xml:space="preserve"> est définie au numéro </w:t>
      </w:r>
      <w:r w:rsidRPr="008D6C3C">
        <w:rPr>
          <w:b/>
          <w:bCs/>
          <w:color w:val="000000"/>
          <w:lang w:val="fr-CH"/>
        </w:rPr>
        <w:t>1.66A</w:t>
      </w:r>
      <w:r w:rsidRPr="008D6C3C">
        <w:rPr>
          <w:color w:val="000000"/>
          <w:lang w:val="fr-CH"/>
        </w:rPr>
        <w:t xml:space="preserve"> du Règlement des radiocommunications comme étant une station installée sur un objet placé à une altitude comprise entre 20 et 50 km et en un point spécifié, nominal, fixe par rapport à la Terre,</w:t>
      </w:r>
      <w:r>
        <w:rPr>
          <w:color w:val="000000"/>
          <w:lang w:val="fr-CH"/>
        </w:rPr>
        <w:t xml:space="preserve"> et que les stations HAPS sont assujetties au numéro </w:t>
      </w:r>
      <w:r w:rsidRPr="000E74AD">
        <w:rPr>
          <w:b/>
          <w:bCs/>
          <w:color w:val="000000"/>
          <w:lang w:val="fr-CH"/>
        </w:rPr>
        <w:t>4.23</w:t>
      </w:r>
      <w:r w:rsidRPr="008D6C3C">
        <w:rPr>
          <w:color w:val="000000"/>
          <w:lang w:val="fr-CH"/>
        </w:rPr>
        <w:t>;</w:t>
      </w:r>
    </w:p>
    <w:p w:rsidR="00416CED" w:rsidRPr="008D6C3C" w:rsidRDefault="00416CED" w:rsidP="005131A3">
      <w:pPr>
        <w:tabs>
          <w:tab w:val="left" w:pos="1080"/>
          <w:tab w:val="left" w:pos="1170"/>
          <w:tab w:val="left" w:pos="1800"/>
        </w:tabs>
        <w:jc w:val="both"/>
        <w:rPr>
          <w:szCs w:val="24"/>
          <w:lang w:val="fr-CH"/>
        </w:rPr>
      </w:pPr>
      <w:r w:rsidRPr="008D6C3C">
        <w:rPr>
          <w:i/>
          <w:iCs/>
          <w:szCs w:val="24"/>
          <w:lang w:val="fr-CH"/>
        </w:rPr>
        <w:t>c)</w:t>
      </w:r>
      <w:r w:rsidRPr="008D6C3C">
        <w:rPr>
          <w:szCs w:val="24"/>
          <w:lang w:val="fr-CH"/>
        </w:rPr>
        <w:tab/>
        <w:t>que la CMR-97 a identifié les bandes de fréquences 47,2-47,5 GHz et 47,9-48,2</w:t>
      </w:r>
      <w:r w:rsidR="005131A3">
        <w:rPr>
          <w:szCs w:val="24"/>
          <w:lang w:val="fr-CH"/>
        </w:rPr>
        <w:t> </w:t>
      </w:r>
      <w:r w:rsidRPr="008D6C3C">
        <w:rPr>
          <w:szCs w:val="24"/>
          <w:lang w:val="fr-CH"/>
        </w:rPr>
        <w:t xml:space="preserve">GHz à l'échelle </w:t>
      </w:r>
      <w:r>
        <w:rPr>
          <w:szCs w:val="24"/>
          <w:lang w:val="fr-CH"/>
        </w:rPr>
        <w:t>mondiale pour les stations HAPS, que</w:t>
      </w:r>
      <w:r w:rsidRPr="008D6C3C">
        <w:rPr>
          <w:szCs w:val="24"/>
          <w:lang w:val="fr-CH"/>
        </w:rPr>
        <w:t xml:space="preserve"> </w:t>
      </w:r>
      <w:r>
        <w:rPr>
          <w:szCs w:val="24"/>
          <w:lang w:val="fr-CH"/>
        </w:rPr>
        <w:t>l</w:t>
      </w:r>
      <w:r w:rsidRPr="008D6C3C">
        <w:rPr>
          <w:szCs w:val="24"/>
          <w:lang w:val="fr-CH"/>
        </w:rPr>
        <w:t>a CMR-2000 a décidé, en raison de pr</w:t>
      </w:r>
      <w:r>
        <w:rPr>
          <w:szCs w:val="24"/>
          <w:lang w:val="fr-CH"/>
        </w:rPr>
        <w:t>oblèmes lié</w:t>
      </w:r>
      <w:r w:rsidRPr="008D6C3C">
        <w:rPr>
          <w:szCs w:val="24"/>
          <w:lang w:val="fr-CH"/>
        </w:rPr>
        <w:t xml:space="preserve">s aux évanouissements dus à la pluie dans cette gamme de fréquences, d'identifier pour les stations HAPS la bande de fréquences 27,9-28,2 GHz (service fixe en liaison descendante), appariée </w:t>
      </w:r>
      <w:r>
        <w:rPr>
          <w:szCs w:val="24"/>
          <w:lang w:val="fr-CH"/>
        </w:rPr>
        <w:t>à</w:t>
      </w:r>
      <w:r w:rsidRPr="008D6C3C">
        <w:rPr>
          <w:szCs w:val="24"/>
          <w:lang w:val="fr-CH"/>
        </w:rPr>
        <w:t xml:space="preserve"> la bande de fréquences 31,0-31,3 GHz (service fixe en liaison montante) en dehors de la Région 2</w:t>
      </w:r>
      <w:r>
        <w:rPr>
          <w:szCs w:val="24"/>
          <w:lang w:val="fr-CH"/>
        </w:rPr>
        <w:t>, et que l</w:t>
      </w:r>
      <w:r w:rsidRPr="008D6C3C">
        <w:rPr>
          <w:szCs w:val="24"/>
          <w:lang w:val="fr-CH"/>
        </w:rPr>
        <w:t>ors de la</w:t>
      </w:r>
      <w:r>
        <w:rPr>
          <w:szCs w:val="24"/>
          <w:lang w:val="fr-CH"/>
        </w:rPr>
        <w:t> </w:t>
      </w:r>
      <w:r w:rsidRPr="008D6C3C">
        <w:rPr>
          <w:szCs w:val="24"/>
          <w:lang w:val="fr-CH"/>
        </w:rPr>
        <w:t xml:space="preserve">CMR-12, cinq pays ont été mentionnés dans le renvoi </w:t>
      </w:r>
      <w:r w:rsidRPr="000E74AD">
        <w:rPr>
          <w:b/>
          <w:bCs/>
          <w:szCs w:val="24"/>
          <w:lang w:val="fr-CH"/>
        </w:rPr>
        <w:t>5.457</w:t>
      </w:r>
      <w:r w:rsidRPr="008D6C3C">
        <w:rPr>
          <w:szCs w:val="24"/>
          <w:lang w:val="fr-CH"/>
        </w:rPr>
        <w:t xml:space="preserve"> relatif à la désignation</w:t>
      </w:r>
      <w:r>
        <w:rPr>
          <w:szCs w:val="24"/>
          <w:lang w:val="fr-CH"/>
        </w:rPr>
        <w:t>, pour les stations HAPS du</w:t>
      </w:r>
      <w:r w:rsidRPr="008D6C3C">
        <w:rPr>
          <w:szCs w:val="24"/>
          <w:lang w:val="fr-CH"/>
        </w:rPr>
        <w:t xml:space="preserve"> service fixe, des bandes de fréquences 6 440-6 520 MHz (station HAPS</w:t>
      </w:r>
      <w:r>
        <w:rPr>
          <w:szCs w:val="24"/>
          <w:lang w:val="fr-CH"/>
        </w:rPr>
        <w:t xml:space="preserve"> vers </w:t>
      </w:r>
      <w:r w:rsidRPr="008D6C3C">
        <w:rPr>
          <w:szCs w:val="24"/>
          <w:lang w:val="fr-CH"/>
        </w:rPr>
        <w:t xml:space="preserve">station au sol) et </w:t>
      </w:r>
      <w:r>
        <w:rPr>
          <w:szCs w:val="24"/>
          <w:lang w:val="fr-CH"/>
        </w:rPr>
        <w:t xml:space="preserve">6 560-6 640 MHz (station au sol vers </w:t>
      </w:r>
      <w:r w:rsidRPr="008D6C3C">
        <w:rPr>
          <w:szCs w:val="24"/>
          <w:lang w:val="fr-CH"/>
        </w:rPr>
        <w:t>station HAPS);</w:t>
      </w:r>
    </w:p>
    <w:p w:rsidR="00416CED" w:rsidRPr="008D6C3C" w:rsidRDefault="00416CED" w:rsidP="00A17011">
      <w:pPr>
        <w:tabs>
          <w:tab w:val="left" w:pos="1080"/>
          <w:tab w:val="left" w:pos="1170"/>
          <w:tab w:val="left" w:pos="1800"/>
        </w:tabs>
        <w:jc w:val="both"/>
        <w:rPr>
          <w:szCs w:val="24"/>
          <w:lang w:val="fr-CH"/>
        </w:rPr>
      </w:pPr>
      <w:r w:rsidRPr="00E800ED">
        <w:rPr>
          <w:i/>
          <w:szCs w:val="24"/>
          <w:lang w:val="fr-CH"/>
        </w:rPr>
        <w:t>d)</w:t>
      </w:r>
      <w:r w:rsidRPr="00E800ED">
        <w:rPr>
          <w:szCs w:val="24"/>
          <w:lang w:val="fr-CH"/>
        </w:rPr>
        <w:tab/>
      </w:r>
      <w:r w:rsidRPr="008D6C3C">
        <w:rPr>
          <w:szCs w:val="24"/>
          <w:lang w:val="fr-CH"/>
        </w:rPr>
        <w:t>que la CMR</w:t>
      </w:r>
      <w:r w:rsidRPr="00E800ED">
        <w:rPr>
          <w:szCs w:val="24"/>
          <w:lang w:val="fr-CH"/>
        </w:rPr>
        <w:t xml:space="preserve">-2000 </w:t>
      </w:r>
      <w:r w:rsidRPr="008D6C3C">
        <w:rPr>
          <w:szCs w:val="24"/>
          <w:lang w:val="fr-CH"/>
        </w:rPr>
        <w:t xml:space="preserve">a décidé d'identifier des bandes de fréquences supplémentaires pour les liaisons </w:t>
      </w:r>
      <w:r w:rsidRPr="00E800ED">
        <w:rPr>
          <w:szCs w:val="24"/>
          <w:lang w:val="fr-CH"/>
        </w:rPr>
        <w:t xml:space="preserve">HAPS </w:t>
      </w:r>
      <w:r>
        <w:rPr>
          <w:szCs w:val="24"/>
          <w:lang w:val="fr-CH"/>
        </w:rPr>
        <w:t>conformément aux</w:t>
      </w:r>
      <w:r w:rsidRPr="008D6C3C">
        <w:rPr>
          <w:szCs w:val="24"/>
          <w:lang w:val="fr-CH"/>
        </w:rPr>
        <w:t xml:space="preserve"> numéros </w:t>
      </w:r>
      <w:r w:rsidRPr="000E74AD">
        <w:rPr>
          <w:b/>
          <w:bCs/>
          <w:szCs w:val="24"/>
          <w:lang w:val="fr-CH"/>
        </w:rPr>
        <w:t xml:space="preserve">5.388A </w:t>
      </w:r>
      <w:r w:rsidRPr="008D6C3C">
        <w:rPr>
          <w:szCs w:val="24"/>
          <w:lang w:val="fr-CH"/>
        </w:rPr>
        <w:t xml:space="preserve">et </w:t>
      </w:r>
      <w:r w:rsidRPr="000E74AD">
        <w:rPr>
          <w:b/>
          <w:bCs/>
          <w:szCs w:val="24"/>
          <w:lang w:val="fr-CH"/>
        </w:rPr>
        <w:t>5.388B</w:t>
      </w:r>
      <w:r w:rsidRPr="00E800ED">
        <w:rPr>
          <w:szCs w:val="24"/>
          <w:lang w:val="fr-CH"/>
        </w:rPr>
        <w:t xml:space="preserve"> </w:t>
      </w:r>
      <w:r w:rsidRPr="008D6C3C">
        <w:rPr>
          <w:szCs w:val="24"/>
          <w:lang w:val="fr-CH"/>
        </w:rPr>
        <w:t>dans certains pays</w:t>
      </w:r>
      <w:r w:rsidRPr="00E800ED">
        <w:rPr>
          <w:szCs w:val="24"/>
          <w:lang w:val="fr-CH"/>
        </w:rPr>
        <w:t>;</w:t>
      </w:r>
    </w:p>
    <w:p w:rsidR="00416CED" w:rsidRPr="008D6C3C" w:rsidRDefault="00416CED" w:rsidP="00A17011">
      <w:pPr>
        <w:tabs>
          <w:tab w:val="left" w:pos="1080"/>
          <w:tab w:val="left" w:pos="1170"/>
          <w:tab w:val="left" w:pos="1800"/>
        </w:tabs>
        <w:jc w:val="both"/>
        <w:rPr>
          <w:szCs w:val="24"/>
          <w:lang w:val="fr-CH"/>
        </w:rPr>
      </w:pPr>
      <w:r w:rsidRPr="008D6C3C">
        <w:rPr>
          <w:i/>
          <w:iCs/>
          <w:szCs w:val="24"/>
          <w:lang w:val="fr-CH"/>
        </w:rPr>
        <w:t>e)</w:t>
      </w:r>
      <w:r w:rsidRPr="008D6C3C">
        <w:rPr>
          <w:szCs w:val="24"/>
          <w:lang w:val="fr-CH"/>
        </w:rPr>
        <w:tab/>
        <w:t>que les bandes</w:t>
      </w:r>
      <w:r w:rsidRPr="00706CC2">
        <w:t xml:space="preserve"> </w:t>
      </w:r>
      <w:r>
        <w:t>de fréquences</w:t>
      </w:r>
      <w:r w:rsidRPr="008D6C3C">
        <w:rPr>
          <w:szCs w:val="24"/>
          <w:lang w:val="fr-CH"/>
        </w:rPr>
        <w:t xml:space="preserve"> identifiées actuellement pour les stations HAPS ont été définies sans faire mention des fonctionnalités large bande actuelles;</w:t>
      </w:r>
    </w:p>
    <w:p w:rsidR="00416CED" w:rsidRPr="008D6C3C" w:rsidRDefault="00416CED" w:rsidP="00A17011">
      <w:pPr>
        <w:tabs>
          <w:tab w:val="left" w:pos="1080"/>
          <w:tab w:val="left" w:pos="1170"/>
          <w:tab w:val="left" w:pos="1800"/>
        </w:tabs>
        <w:jc w:val="both"/>
        <w:rPr>
          <w:lang w:val="fr-CH"/>
        </w:rPr>
      </w:pPr>
      <w:r w:rsidRPr="008D6C3C">
        <w:rPr>
          <w:i/>
          <w:iCs/>
          <w:szCs w:val="24"/>
          <w:lang w:val="fr-CH"/>
        </w:rPr>
        <w:lastRenderedPageBreak/>
        <w:t>f)</w:t>
      </w:r>
      <w:r w:rsidRPr="008D6C3C">
        <w:rPr>
          <w:szCs w:val="24"/>
          <w:lang w:val="fr-CH"/>
        </w:rPr>
        <w:tab/>
        <w:t xml:space="preserve">qu'il est noté dans la </w:t>
      </w:r>
      <w:r>
        <w:rPr>
          <w:szCs w:val="24"/>
          <w:lang w:val="fr-CH"/>
        </w:rPr>
        <w:t xml:space="preserve">Recommandation </w:t>
      </w:r>
      <w:r w:rsidRPr="008D6C3C">
        <w:rPr>
          <w:b/>
          <w:bCs/>
          <w:szCs w:val="24"/>
          <w:lang w:val="fr-CH"/>
        </w:rPr>
        <w:t>34 (Rév.CMR-12)</w:t>
      </w:r>
      <w:r w:rsidRPr="008D6C3C">
        <w:rPr>
          <w:szCs w:val="24"/>
          <w:lang w:val="fr-CH"/>
        </w:rPr>
        <w:t xml:space="preserve"> </w:t>
      </w:r>
      <w:r w:rsidRPr="008D6C3C">
        <w:rPr>
          <w:lang w:val="fr-CH"/>
        </w:rPr>
        <w:t>que l'établissement d'attributions communes à l'échelle mondiale est souhaitable afin d'améliorer et d'harmoniser l'utilisation du spectre des fréquences radioélectriques;</w:t>
      </w:r>
    </w:p>
    <w:p w:rsidR="00416CED" w:rsidRPr="008D6C3C" w:rsidRDefault="00416CED" w:rsidP="00A17011">
      <w:pPr>
        <w:tabs>
          <w:tab w:val="left" w:pos="1080"/>
          <w:tab w:val="left" w:pos="1170"/>
          <w:tab w:val="left" w:pos="1800"/>
        </w:tabs>
        <w:jc w:val="both"/>
        <w:rPr>
          <w:lang w:val="fr-CH"/>
        </w:rPr>
      </w:pPr>
      <w:r w:rsidRPr="008D6C3C">
        <w:rPr>
          <w:i/>
          <w:lang w:val="fr-CH"/>
        </w:rPr>
        <w:t>g)</w:t>
      </w:r>
      <w:r w:rsidRPr="008D6C3C">
        <w:rPr>
          <w:lang w:val="fr-CH"/>
        </w:rPr>
        <w:tab/>
        <w:t xml:space="preserve">que, depuis la CMR-12, l'évolution des techniques </w:t>
      </w:r>
      <w:r>
        <w:rPr>
          <w:lang w:val="fr-CH"/>
        </w:rPr>
        <w:t>rendue possible par les</w:t>
      </w:r>
      <w:r w:rsidRPr="008D6C3C">
        <w:rPr>
          <w:lang w:val="fr-CH"/>
        </w:rPr>
        <w:t xml:space="preserve"> progrès accomplis concernant le rendement des panneaux solaires, la densité énergétique des batteries, les matériaux composite</w:t>
      </w:r>
      <w:r>
        <w:rPr>
          <w:lang w:val="fr-CH"/>
        </w:rPr>
        <w:t>s</w:t>
      </w:r>
      <w:r w:rsidRPr="008D6C3C">
        <w:rPr>
          <w:lang w:val="fr-CH"/>
        </w:rPr>
        <w:t xml:space="preserve"> légers, l'avionique autonome et les technologies des antennes permettra peut-être d'améliorer la viabilité des stations</w:t>
      </w:r>
      <w:r>
        <w:rPr>
          <w:lang w:val="fr-CH"/>
        </w:rPr>
        <w:t xml:space="preserve"> HAPS</w:t>
      </w:r>
      <w:r w:rsidRPr="008D6C3C">
        <w:rPr>
          <w:lang w:val="fr-CH"/>
        </w:rPr>
        <w:t>;</w:t>
      </w:r>
    </w:p>
    <w:p w:rsidR="00416CED" w:rsidRPr="008D6C3C" w:rsidRDefault="00416CED" w:rsidP="00A17011">
      <w:pPr>
        <w:tabs>
          <w:tab w:val="left" w:pos="1080"/>
          <w:tab w:val="left" w:pos="1170"/>
          <w:tab w:val="left" w:pos="1800"/>
        </w:tabs>
        <w:jc w:val="both"/>
        <w:rPr>
          <w:szCs w:val="24"/>
          <w:lang w:val="fr-CH"/>
        </w:rPr>
      </w:pPr>
      <w:r w:rsidRPr="008D6C3C">
        <w:rPr>
          <w:i/>
          <w:lang w:val="fr-CH"/>
        </w:rPr>
        <w:t>h)</w:t>
      </w:r>
      <w:r w:rsidRPr="008D6C3C">
        <w:rPr>
          <w:lang w:val="fr-CH"/>
        </w:rPr>
        <w:tab/>
        <w:t xml:space="preserve">que les allotissements figurant dans le Plan de l'Appendice </w:t>
      </w:r>
      <w:r w:rsidRPr="000E74AD">
        <w:rPr>
          <w:b/>
          <w:bCs/>
          <w:lang w:val="fr-CH"/>
        </w:rPr>
        <w:t>30B</w:t>
      </w:r>
      <w:r w:rsidRPr="008D6C3C">
        <w:rPr>
          <w:lang w:val="fr-CH"/>
        </w:rPr>
        <w:t>, les assignations figurant dans les Plans</w:t>
      </w:r>
      <w:r>
        <w:rPr>
          <w:lang w:val="fr-CH"/>
        </w:rPr>
        <w:t xml:space="preserve"> et la Liste</w:t>
      </w:r>
      <w:r w:rsidRPr="008D6C3C">
        <w:rPr>
          <w:lang w:val="fr-CH"/>
        </w:rPr>
        <w:t xml:space="preserve"> des Appendices </w:t>
      </w:r>
      <w:r w:rsidRPr="000E74AD">
        <w:rPr>
          <w:b/>
          <w:bCs/>
          <w:lang w:val="fr-CH"/>
        </w:rPr>
        <w:t>30</w:t>
      </w:r>
      <w:r w:rsidRPr="008D6C3C">
        <w:rPr>
          <w:lang w:val="fr-CH"/>
        </w:rPr>
        <w:t xml:space="preserve"> et </w:t>
      </w:r>
      <w:r w:rsidRPr="000E74AD">
        <w:rPr>
          <w:b/>
          <w:bCs/>
          <w:lang w:val="fr-CH"/>
        </w:rPr>
        <w:t>30A</w:t>
      </w:r>
      <w:r w:rsidRPr="008D6C3C">
        <w:rPr>
          <w:lang w:val="fr-CH"/>
        </w:rPr>
        <w:t xml:space="preserve"> et les assignations figurant dans la Liste de l'Appendice </w:t>
      </w:r>
      <w:r w:rsidRPr="000E74AD">
        <w:rPr>
          <w:b/>
          <w:bCs/>
          <w:lang w:val="fr-CH"/>
        </w:rPr>
        <w:t>30B</w:t>
      </w:r>
      <w:r>
        <w:rPr>
          <w:lang w:val="fr-CH"/>
        </w:rPr>
        <w:t xml:space="preserve"> doivent être protégés,</w:t>
      </w:r>
    </w:p>
    <w:p w:rsidR="00416CED" w:rsidRPr="008D6C3C" w:rsidRDefault="00416CED" w:rsidP="00A17011">
      <w:pPr>
        <w:pStyle w:val="Call"/>
        <w:jc w:val="both"/>
        <w:rPr>
          <w:sz w:val="32"/>
          <w:szCs w:val="32"/>
          <w:lang w:val="fr-CH"/>
        </w:rPr>
      </w:pPr>
      <w:r w:rsidRPr="008D6C3C">
        <w:rPr>
          <w:szCs w:val="24"/>
          <w:lang w:val="fr-CH"/>
        </w:rPr>
        <w:t>décide d'inviter l'UIT-R</w:t>
      </w:r>
    </w:p>
    <w:p w:rsidR="00416CED" w:rsidRPr="008D6C3C" w:rsidRDefault="00416CED" w:rsidP="00A17011">
      <w:pPr>
        <w:jc w:val="both"/>
        <w:rPr>
          <w:lang w:val="fr-CH"/>
        </w:rPr>
      </w:pPr>
      <w:r>
        <w:rPr>
          <w:lang w:val="fr-CH"/>
        </w:rPr>
        <w:t>1</w:t>
      </w:r>
      <w:r>
        <w:rPr>
          <w:lang w:val="fr-CH"/>
        </w:rPr>
        <w:tab/>
        <w:t>à étudier les besoins de spectre</w:t>
      </w:r>
      <w:r w:rsidRPr="008D6C3C">
        <w:rPr>
          <w:lang w:val="fr-CH"/>
        </w:rPr>
        <w:t xml:space="preserve"> additionnels pour les liaisons des terminaux passerelles et des terminaux fixes des systèmes HAPS </w:t>
      </w:r>
      <w:r>
        <w:rPr>
          <w:lang w:val="fr-CH"/>
        </w:rPr>
        <w:t>afin d'</w:t>
      </w:r>
      <w:r w:rsidRPr="008D6C3C">
        <w:rPr>
          <w:lang w:val="fr-CH"/>
        </w:rPr>
        <w:t>assurer une connectivité large bande dans le service fixe, en tenant compte:</w:t>
      </w:r>
    </w:p>
    <w:p w:rsidR="00416CED" w:rsidRPr="008D6C3C" w:rsidRDefault="00416CED" w:rsidP="00A17011">
      <w:pPr>
        <w:pStyle w:val="enumlev1"/>
        <w:jc w:val="both"/>
        <w:rPr>
          <w:lang w:val="fr-CH"/>
        </w:rPr>
      </w:pPr>
      <w:r w:rsidRPr="008D6C3C">
        <w:rPr>
          <w:lang w:val="fr-CH"/>
        </w:rPr>
        <w:t>–</w:t>
      </w:r>
      <w:r w:rsidRPr="008D6C3C">
        <w:rPr>
          <w:lang w:val="fr-CH"/>
        </w:rPr>
        <w:tab/>
        <w:t>des bandes de fréquences identifiées actuellement pour les systèmes HAPS et des systèmes HAPS actuellement déployés;</w:t>
      </w:r>
    </w:p>
    <w:p w:rsidR="00416CED" w:rsidRPr="008D6C3C" w:rsidRDefault="00416CED" w:rsidP="00A17011">
      <w:pPr>
        <w:pStyle w:val="enumlev1"/>
        <w:jc w:val="both"/>
        <w:rPr>
          <w:lang w:val="fr-CH"/>
        </w:rPr>
      </w:pPr>
      <w:r w:rsidRPr="008D6C3C">
        <w:rPr>
          <w:lang w:val="fr-CH"/>
        </w:rPr>
        <w:t>–</w:t>
      </w:r>
      <w:r w:rsidRPr="008D6C3C">
        <w:rPr>
          <w:lang w:val="fr-CH"/>
        </w:rPr>
        <w:tab/>
        <w:t xml:space="preserve">des scénarios de déploiement envisagés pour les systèmes large bande HAPS et des exigences associées, par exemple </w:t>
      </w:r>
      <w:r>
        <w:rPr>
          <w:lang w:val="fr-CH"/>
        </w:rPr>
        <w:t xml:space="preserve">un déploiement </w:t>
      </w:r>
      <w:r w:rsidRPr="008D6C3C">
        <w:rPr>
          <w:lang w:val="fr-CH"/>
        </w:rPr>
        <w:t>dans des zones isolées;</w:t>
      </w:r>
    </w:p>
    <w:p w:rsidR="00416CED" w:rsidRPr="008D6C3C" w:rsidRDefault="00416CED" w:rsidP="00A17011">
      <w:pPr>
        <w:pStyle w:val="enumlev1"/>
        <w:jc w:val="both"/>
        <w:rPr>
          <w:lang w:val="fr-CH"/>
        </w:rPr>
      </w:pPr>
      <w:r w:rsidRPr="008D6C3C">
        <w:rPr>
          <w:lang w:val="fr-CH"/>
        </w:rPr>
        <w:t>–</w:t>
      </w:r>
      <w:r w:rsidRPr="008D6C3C">
        <w:rPr>
          <w:lang w:val="fr-CH"/>
        </w:rPr>
        <w:tab/>
        <w:t>des caractéristiques techniques et opérationnelles des systèmes HAPS, y compris de leur évolution grâce aux progrès technologiques et aux techniques à grande efficacité spectrale, ainsi que du déploiement de ces systèmes;</w:t>
      </w:r>
    </w:p>
    <w:p w:rsidR="00416CED" w:rsidRPr="008D6C3C" w:rsidRDefault="00416CED" w:rsidP="00A17011">
      <w:pPr>
        <w:jc w:val="both"/>
        <w:rPr>
          <w:lang w:val="fr-CH"/>
        </w:rPr>
      </w:pPr>
      <w:r w:rsidRPr="008D6C3C">
        <w:rPr>
          <w:lang w:val="fr-CH"/>
        </w:rPr>
        <w:t>2</w:t>
      </w:r>
      <w:r w:rsidRPr="008D6C3C">
        <w:rPr>
          <w:lang w:val="fr-CH"/>
        </w:rPr>
        <w:tab/>
        <w:t xml:space="preserve">à étudier s'il est possible d'utiliser </w:t>
      </w:r>
      <w:r>
        <w:rPr>
          <w:lang w:val="fr-CH"/>
        </w:rPr>
        <w:t xml:space="preserve">au niveau mondial ou régional </w:t>
      </w:r>
      <w:r w:rsidRPr="008D6C3C">
        <w:rPr>
          <w:lang w:val="fr-CH"/>
        </w:rPr>
        <w:t xml:space="preserve">les bandes de fréquences identifiées actuellement </w:t>
      </w:r>
      <w:r>
        <w:rPr>
          <w:lang w:val="fr-CH"/>
        </w:rPr>
        <w:t xml:space="preserve">qui sont </w:t>
      </w:r>
      <w:r w:rsidRPr="008D6C3C">
        <w:rPr>
          <w:lang w:val="fr-CH"/>
        </w:rPr>
        <w:t xml:space="preserve">indiquées au point </w:t>
      </w:r>
      <w:r w:rsidRPr="00EA5889">
        <w:rPr>
          <w:i/>
          <w:iCs/>
          <w:lang w:val="fr-CH"/>
        </w:rPr>
        <w:t>c)</w:t>
      </w:r>
      <w:r w:rsidRPr="008D6C3C">
        <w:rPr>
          <w:lang w:val="fr-CH"/>
        </w:rPr>
        <w:t xml:space="preserve"> du </w:t>
      </w:r>
      <w:r w:rsidRPr="008D6C3C">
        <w:rPr>
          <w:i/>
          <w:iCs/>
          <w:lang w:val="fr-CH"/>
        </w:rPr>
        <w:t>reconnaissant</w:t>
      </w:r>
      <w:r w:rsidRPr="008D6C3C">
        <w:rPr>
          <w:lang w:val="fr-CH"/>
        </w:rPr>
        <w:t>, en tenant compte des dispositions réglementaires</w:t>
      </w:r>
      <w:r>
        <w:rPr>
          <w:lang w:val="fr-CH"/>
        </w:rPr>
        <w:t>,</w:t>
      </w:r>
      <w:r w:rsidRPr="008D6C3C">
        <w:rPr>
          <w:lang w:val="fr-CH"/>
        </w:rPr>
        <w:t xml:space="preserve"> telles que les restrictions géographiques et techniques</w:t>
      </w:r>
      <w:r>
        <w:rPr>
          <w:lang w:val="fr-CH"/>
        </w:rPr>
        <w:t>,</w:t>
      </w:r>
      <w:r w:rsidRPr="008D6C3C">
        <w:rPr>
          <w:lang w:val="fr-CH"/>
        </w:rPr>
        <w:t xml:space="preserve"> associées aux bandes de fréquences identifiées actuellement pour les systèmes HAPS</w:t>
      </w:r>
      <w:r>
        <w:rPr>
          <w:lang w:val="fr-CH"/>
        </w:rPr>
        <w:t>,</w:t>
      </w:r>
      <w:r w:rsidRPr="008D6C3C">
        <w:rPr>
          <w:lang w:val="fr-CH"/>
        </w:rPr>
        <w:t xml:space="preserve"> sur la base des études effectuées conformément au point 1 du </w:t>
      </w:r>
      <w:r w:rsidRPr="008D6C3C">
        <w:rPr>
          <w:i/>
          <w:iCs/>
          <w:lang w:val="fr-CH"/>
        </w:rPr>
        <w:t>décide d'inviter l'UIT</w:t>
      </w:r>
      <w:r w:rsidRPr="008D6C3C">
        <w:rPr>
          <w:i/>
          <w:iCs/>
          <w:lang w:val="fr-CH"/>
        </w:rPr>
        <w:noBreakHyphen/>
        <w:t>R</w:t>
      </w:r>
      <w:r w:rsidRPr="008D6C3C">
        <w:rPr>
          <w:lang w:val="fr-CH"/>
        </w:rPr>
        <w:t>;</w:t>
      </w:r>
    </w:p>
    <w:p w:rsidR="00416CED" w:rsidRPr="008D6C3C" w:rsidRDefault="00416CED" w:rsidP="00A17011">
      <w:pPr>
        <w:jc w:val="both"/>
        <w:rPr>
          <w:lang w:val="fr-CH"/>
        </w:rPr>
      </w:pPr>
      <w:r>
        <w:rPr>
          <w:lang w:val="fr-CH"/>
        </w:rPr>
        <w:t>3</w:t>
      </w:r>
      <w:r>
        <w:rPr>
          <w:lang w:val="fr-CH"/>
        </w:rPr>
        <w:tab/>
      </w:r>
      <w:r w:rsidRPr="008D6C3C">
        <w:rPr>
          <w:lang w:val="fr-CH"/>
        </w:rPr>
        <w:t>à étudier les modifications qu'il convient d'apporter aux renvois existants et aux Résolutions associées en ce qui concerne les bandes de fréquences id</w:t>
      </w:r>
      <w:r>
        <w:rPr>
          <w:lang w:val="fr-CH"/>
        </w:rPr>
        <w:t>entifiées qui sont indiquées au </w:t>
      </w:r>
      <w:r w:rsidRPr="008D6C3C">
        <w:rPr>
          <w:lang w:val="fr-CH"/>
        </w:rPr>
        <w:t xml:space="preserve">point </w:t>
      </w:r>
      <w:r w:rsidRPr="00E236E3">
        <w:rPr>
          <w:i/>
          <w:iCs/>
          <w:lang w:val="fr-CH"/>
        </w:rPr>
        <w:t>c)</w:t>
      </w:r>
      <w:r w:rsidRPr="008D6C3C">
        <w:rPr>
          <w:lang w:val="fr-CH"/>
        </w:rPr>
        <w:t xml:space="preserve"> du </w:t>
      </w:r>
      <w:r w:rsidRPr="008D6C3C">
        <w:rPr>
          <w:i/>
          <w:iCs/>
          <w:lang w:val="fr-CH"/>
        </w:rPr>
        <w:t>reconnaissant</w:t>
      </w:r>
      <w:r>
        <w:rPr>
          <w:lang w:val="fr-CH"/>
        </w:rPr>
        <w:t>, afin de</w:t>
      </w:r>
      <w:r w:rsidRPr="008D6C3C">
        <w:rPr>
          <w:lang w:val="fr-CH"/>
        </w:rPr>
        <w:t xml:space="preserve"> faciliter l'utilisation des liaisons HAPS au niveau mondial ou régional</w:t>
      </w:r>
      <w:r>
        <w:rPr>
          <w:lang w:val="fr-CH"/>
        </w:rPr>
        <w:t>, cette utilisation étant limitée aux bandes de fréquences identifiées</w:t>
      </w:r>
      <w:r w:rsidRPr="00B456A5">
        <w:rPr>
          <w:lang w:val="fr-CH"/>
        </w:rPr>
        <w:t xml:space="preserve"> </w:t>
      </w:r>
      <w:r>
        <w:rPr>
          <w:lang w:val="fr-CH"/>
        </w:rPr>
        <w:t>actuellement,</w:t>
      </w:r>
      <w:r w:rsidRPr="008D6C3C">
        <w:rPr>
          <w:lang w:val="fr-CH"/>
        </w:rPr>
        <w:t xml:space="preserve"> et, s'il est </w:t>
      </w:r>
      <w:r>
        <w:rPr>
          <w:lang w:val="fr-CH"/>
        </w:rPr>
        <w:t xml:space="preserve">techniquement </w:t>
      </w:r>
      <w:r w:rsidRPr="008D6C3C">
        <w:rPr>
          <w:lang w:val="fr-CH"/>
        </w:rPr>
        <w:t>impossible d'utiliser une bande de fréquences ident</w:t>
      </w:r>
      <w:r>
        <w:rPr>
          <w:lang w:val="fr-CH"/>
        </w:rPr>
        <w:t>ifiée pour les stations HAPS, à </w:t>
      </w:r>
      <w:r w:rsidRPr="008D6C3C">
        <w:rPr>
          <w:lang w:val="fr-CH"/>
        </w:rPr>
        <w:t>envisager de supprim</w:t>
      </w:r>
      <w:r>
        <w:rPr>
          <w:lang w:val="fr-CH"/>
        </w:rPr>
        <w:t>er l'identification en question</w:t>
      </w:r>
      <w:r w:rsidRPr="008D6C3C">
        <w:rPr>
          <w:lang w:val="fr-CH"/>
        </w:rPr>
        <w:t>;</w:t>
      </w:r>
    </w:p>
    <w:p w:rsidR="00416CED" w:rsidRDefault="00416CED" w:rsidP="00A17011">
      <w:pPr>
        <w:jc w:val="both"/>
        <w:rPr>
          <w:lang w:val="fr-CH"/>
        </w:rPr>
      </w:pPr>
      <w:r w:rsidRPr="008D6C3C">
        <w:rPr>
          <w:lang w:val="fr-CH"/>
        </w:rPr>
        <w:t>4</w:t>
      </w:r>
      <w:r w:rsidRPr="008D6C3C">
        <w:rPr>
          <w:lang w:val="fr-CH"/>
        </w:rPr>
        <w:tab/>
        <w:t xml:space="preserve">à étudier, afin de répondre aux éventuels besoins de fréquences </w:t>
      </w:r>
      <w:r>
        <w:rPr>
          <w:lang w:val="fr-CH"/>
        </w:rPr>
        <w:t>qui n'auront pas pu être</w:t>
      </w:r>
      <w:r w:rsidRPr="008D6C3C">
        <w:rPr>
          <w:lang w:val="fr-CH"/>
        </w:rPr>
        <w:t xml:space="preserve"> satisfaits au titre des points </w:t>
      </w:r>
      <w:r>
        <w:rPr>
          <w:lang w:val="fr-CH"/>
        </w:rPr>
        <w:t>2</w:t>
      </w:r>
      <w:r w:rsidRPr="008D6C3C">
        <w:rPr>
          <w:lang w:val="fr-CH"/>
        </w:rPr>
        <w:t xml:space="preserve"> et </w:t>
      </w:r>
      <w:r>
        <w:rPr>
          <w:lang w:val="fr-CH"/>
        </w:rPr>
        <w:t>3</w:t>
      </w:r>
      <w:r w:rsidRPr="008D6C3C">
        <w:rPr>
          <w:lang w:val="fr-CH"/>
        </w:rPr>
        <w:t xml:space="preserve"> du </w:t>
      </w:r>
      <w:r w:rsidRPr="008D6C3C">
        <w:rPr>
          <w:i/>
          <w:iCs/>
          <w:lang w:val="fr-CH"/>
        </w:rPr>
        <w:t>décide d'inviter l'UIT</w:t>
      </w:r>
      <w:r w:rsidRPr="008D6C3C">
        <w:rPr>
          <w:i/>
          <w:iCs/>
          <w:lang w:val="fr-CH"/>
        </w:rPr>
        <w:noBreakHyphen/>
        <w:t>R</w:t>
      </w:r>
      <w:r w:rsidRPr="008D6C3C">
        <w:rPr>
          <w:lang w:val="fr-CH"/>
        </w:rPr>
        <w:t xml:space="preserve">, </w:t>
      </w:r>
      <w:r>
        <w:rPr>
          <w:lang w:val="fr-CH"/>
        </w:rPr>
        <w:t xml:space="preserve">en vue de </w:t>
      </w:r>
      <w:r w:rsidRPr="008D6C3C">
        <w:rPr>
          <w:lang w:val="fr-CH"/>
        </w:rPr>
        <w:t xml:space="preserve">l'utilisation </w:t>
      </w:r>
      <w:r>
        <w:rPr>
          <w:lang w:val="fr-CH"/>
        </w:rPr>
        <w:t>d</w:t>
      </w:r>
      <w:r w:rsidRPr="008D6C3C">
        <w:rPr>
          <w:lang w:val="fr-CH"/>
        </w:rPr>
        <w:t xml:space="preserve">es liaisons des terminaux passerelles et des terminaux fixes des systèmes HAPS des </w:t>
      </w:r>
      <w:r>
        <w:rPr>
          <w:lang w:val="fr-CH"/>
        </w:rPr>
        <w:t>bandes</w:t>
      </w:r>
      <w:r w:rsidRPr="008D6C3C">
        <w:rPr>
          <w:lang w:val="fr-CH"/>
        </w:rPr>
        <w:t xml:space="preserve"> de fréquences suivantes </w:t>
      </w:r>
      <w:r>
        <w:rPr>
          <w:lang w:val="fr-CH"/>
        </w:rPr>
        <w:t>déjà</w:t>
      </w:r>
      <w:r w:rsidRPr="008D6C3C">
        <w:rPr>
          <w:lang w:val="fr-CH"/>
        </w:rPr>
        <w:t xml:space="preserve"> attribuées </w:t>
      </w:r>
      <w:r>
        <w:rPr>
          <w:lang w:val="fr-CH"/>
        </w:rPr>
        <w:t xml:space="preserve">à titre primaire </w:t>
      </w:r>
      <w:r w:rsidRPr="008D6C3C">
        <w:rPr>
          <w:lang w:val="fr-CH"/>
        </w:rPr>
        <w:t>au service fixe</w:t>
      </w:r>
      <w:r>
        <w:rPr>
          <w:lang w:val="fr-CH"/>
        </w:rPr>
        <w:t>, qui ne relèvent pas des</w:t>
      </w:r>
      <w:r w:rsidRPr="008D6C3C">
        <w:rPr>
          <w:lang w:val="fr-CH"/>
        </w:rPr>
        <w:t xml:space="preserve"> Appendices </w:t>
      </w:r>
      <w:r w:rsidRPr="000E74AD">
        <w:rPr>
          <w:b/>
          <w:bCs/>
          <w:lang w:val="fr-CH"/>
        </w:rPr>
        <w:t>30</w:t>
      </w:r>
      <w:r w:rsidRPr="008D6C3C">
        <w:rPr>
          <w:lang w:val="fr-CH"/>
        </w:rPr>
        <w:t xml:space="preserve">, </w:t>
      </w:r>
      <w:r w:rsidRPr="000E74AD">
        <w:rPr>
          <w:b/>
          <w:bCs/>
          <w:lang w:val="fr-CH"/>
        </w:rPr>
        <w:t>30A</w:t>
      </w:r>
      <w:r w:rsidRPr="008D6C3C">
        <w:rPr>
          <w:lang w:val="fr-CH"/>
        </w:rPr>
        <w:t xml:space="preserve"> et </w:t>
      </w:r>
      <w:r w:rsidRPr="000E74AD">
        <w:rPr>
          <w:b/>
          <w:bCs/>
          <w:lang w:val="fr-CH"/>
        </w:rPr>
        <w:t>30B</w:t>
      </w:r>
      <w:r w:rsidRPr="008D6C3C">
        <w:rPr>
          <w:lang w:val="fr-CH"/>
        </w:rPr>
        <w:t xml:space="preserve"> dans </w:t>
      </w:r>
      <w:r>
        <w:rPr>
          <w:lang w:val="fr-CH"/>
        </w:rPr>
        <w:t xml:space="preserve">l'une quelconque des </w:t>
      </w:r>
      <w:r w:rsidRPr="008D6C3C">
        <w:rPr>
          <w:lang w:val="fr-CH"/>
        </w:rPr>
        <w:t>région</w:t>
      </w:r>
      <w:r>
        <w:rPr>
          <w:lang w:val="fr-CH"/>
        </w:rPr>
        <w:t>s:</w:t>
      </w:r>
    </w:p>
    <w:p w:rsidR="00416CED" w:rsidRPr="00871D9C" w:rsidRDefault="00416CED" w:rsidP="00A17011">
      <w:pPr>
        <w:pStyle w:val="enumlev1"/>
        <w:jc w:val="both"/>
      </w:pPr>
      <w:r w:rsidRPr="00871D9C">
        <w:t>–</w:t>
      </w:r>
      <w:r w:rsidRPr="00871D9C">
        <w:tab/>
      </w:r>
      <w:r>
        <w:t>au niveau mondial</w:t>
      </w:r>
      <w:r w:rsidRPr="00871D9C">
        <w:t>: 38-39</w:t>
      </w:r>
      <w:r>
        <w:t>,</w:t>
      </w:r>
      <w:r w:rsidRPr="00871D9C">
        <w:t xml:space="preserve">5 GHz, </w:t>
      </w:r>
      <w:r>
        <w:t>et</w:t>
      </w:r>
      <w:r w:rsidRPr="00871D9C">
        <w:t xml:space="preserve"> </w:t>
      </w:r>
    </w:p>
    <w:p w:rsidR="00416CED" w:rsidRPr="008D6C3C" w:rsidRDefault="00416CED" w:rsidP="00A17011">
      <w:pPr>
        <w:pStyle w:val="enumlev1"/>
        <w:jc w:val="both"/>
        <w:rPr>
          <w:lang w:val="fr-CH"/>
        </w:rPr>
      </w:pPr>
      <w:r w:rsidRPr="00871D9C">
        <w:t>–</w:t>
      </w:r>
      <w:r w:rsidRPr="00871D9C">
        <w:tab/>
      </w:r>
      <w:r>
        <w:t>au niveau régional</w:t>
      </w:r>
      <w:r w:rsidRPr="00871D9C">
        <w:t>:</w:t>
      </w:r>
      <w:r>
        <w:t xml:space="preserve"> en Ré</w:t>
      </w:r>
      <w:r w:rsidRPr="00871D9C">
        <w:t>gion 2, 21</w:t>
      </w:r>
      <w:r>
        <w:t>,</w:t>
      </w:r>
      <w:r w:rsidRPr="00871D9C">
        <w:t xml:space="preserve">4-22 GHz </w:t>
      </w:r>
      <w:r>
        <w:t>et</w:t>
      </w:r>
      <w:r w:rsidRPr="00871D9C">
        <w:t xml:space="preserve"> 24</w:t>
      </w:r>
      <w:r>
        <w:t>,</w:t>
      </w:r>
      <w:r w:rsidRPr="00871D9C">
        <w:t>25-27</w:t>
      </w:r>
      <w:r>
        <w:t>,</w:t>
      </w:r>
      <w:r w:rsidRPr="00871D9C">
        <w:t>5 GHz,</w:t>
      </w:r>
    </w:p>
    <w:p w:rsidR="00416CED" w:rsidRPr="008D6C3C" w:rsidRDefault="00416CED" w:rsidP="00A17011">
      <w:pPr>
        <w:pStyle w:val="Call"/>
        <w:jc w:val="both"/>
        <w:rPr>
          <w:lang w:val="fr-CH"/>
        </w:rPr>
      </w:pPr>
      <w:r w:rsidRPr="008D6C3C">
        <w:rPr>
          <w:lang w:val="fr-CH"/>
        </w:rPr>
        <w:t>décide en outre</w:t>
      </w:r>
    </w:p>
    <w:p w:rsidR="00416CED" w:rsidRPr="008D6C3C" w:rsidRDefault="00416CED" w:rsidP="00A17011">
      <w:pPr>
        <w:jc w:val="both"/>
        <w:rPr>
          <w:lang w:val="fr-CH"/>
        </w:rPr>
      </w:pPr>
      <w:r w:rsidRPr="008D6C3C">
        <w:rPr>
          <w:lang w:val="fr-CH"/>
        </w:rPr>
        <w:t>1</w:t>
      </w:r>
      <w:r w:rsidRPr="008D6C3C">
        <w:rPr>
          <w:lang w:val="fr-CH"/>
        </w:rPr>
        <w:tab/>
        <w:t xml:space="preserve">que les études visées aux points 3 et 4 du </w:t>
      </w:r>
      <w:r w:rsidRPr="008D6C3C">
        <w:rPr>
          <w:i/>
          <w:lang w:val="fr-CH"/>
        </w:rPr>
        <w:t>décide d'inviter l'UIT-R</w:t>
      </w:r>
      <w:r w:rsidRPr="008D6C3C">
        <w:rPr>
          <w:lang w:val="fr-CH"/>
        </w:rPr>
        <w:t xml:space="preserve"> doivent comprendre des études de partage et de compatibilité pour assurer la protection des services existants bénéficiant d'attributions dans les gammes de fréquences identifiées et, s'il y a lieu, </w:t>
      </w:r>
      <w:r w:rsidRPr="008D6C3C">
        <w:rPr>
          <w:lang w:val="fr-CH"/>
        </w:rPr>
        <w:lastRenderedPageBreak/>
        <w:t xml:space="preserve">des études dans les bandes </w:t>
      </w:r>
      <w:r>
        <w:t>de fréquences</w:t>
      </w:r>
      <w:r w:rsidRPr="008D6C3C">
        <w:rPr>
          <w:lang w:val="fr-CH"/>
        </w:rPr>
        <w:t xml:space="preserve"> adjacentes, en tenant compte des études déjà effectuées par l'UIT-R;</w:t>
      </w:r>
    </w:p>
    <w:p w:rsidR="00416CED" w:rsidRPr="008D6C3C" w:rsidRDefault="00416CED" w:rsidP="00A17011">
      <w:pPr>
        <w:jc w:val="both"/>
        <w:rPr>
          <w:lang w:val="fr-CH"/>
        </w:rPr>
      </w:pPr>
      <w:r>
        <w:rPr>
          <w:lang w:val="fr-CH"/>
        </w:rPr>
        <w:t>2</w:t>
      </w:r>
      <w:r w:rsidRPr="008D6C3C">
        <w:rPr>
          <w:lang w:val="fr-CH"/>
        </w:rPr>
        <w:tab/>
        <w:t xml:space="preserve">que les modifications </w:t>
      </w:r>
      <w:r>
        <w:rPr>
          <w:lang w:val="fr-CH"/>
        </w:rPr>
        <w:t xml:space="preserve">étudiées dont il est question </w:t>
      </w:r>
      <w:r w:rsidRPr="008D6C3C">
        <w:rPr>
          <w:lang w:val="fr-CH"/>
        </w:rPr>
        <w:t xml:space="preserve">au point 3 du </w:t>
      </w:r>
      <w:r w:rsidRPr="008D6C3C">
        <w:rPr>
          <w:i/>
          <w:lang w:val="fr-CH"/>
        </w:rPr>
        <w:t>décide d'inviter l'UIT-R</w:t>
      </w:r>
      <w:r w:rsidRPr="008D6C3C">
        <w:rPr>
          <w:lang w:val="fr-CH"/>
        </w:rPr>
        <w:t xml:space="preserve"> ne doivent pas prendre en considération l'utilisation des liaisons HAPS dans les bandes de fréquences régies par l'Appendice </w:t>
      </w:r>
      <w:r w:rsidRPr="000E74AD">
        <w:rPr>
          <w:b/>
          <w:bCs/>
          <w:lang w:val="fr-CH"/>
        </w:rPr>
        <w:t>30B</w:t>
      </w:r>
      <w:r w:rsidRPr="008D6C3C">
        <w:rPr>
          <w:lang w:val="fr-CH"/>
        </w:rPr>
        <w:t>;</w:t>
      </w:r>
    </w:p>
    <w:p w:rsidR="00416CED" w:rsidRPr="008D6C3C" w:rsidRDefault="00416CED" w:rsidP="005131A3">
      <w:pPr>
        <w:jc w:val="both"/>
        <w:rPr>
          <w:lang w:val="fr-CH"/>
        </w:rPr>
      </w:pPr>
      <w:r>
        <w:rPr>
          <w:lang w:val="fr-CH"/>
        </w:rPr>
        <w:t>3</w:t>
      </w:r>
      <w:r w:rsidRPr="008D6C3C">
        <w:rPr>
          <w:lang w:val="fr-CH"/>
        </w:rPr>
        <w:tab/>
        <w:t>qu'il convient d'élaborer des Recommandations et des Rapports de l'UIT</w:t>
      </w:r>
      <w:r w:rsidRPr="008D6C3C">
        <w:rPr>
          <w:lang w:val="fr-CH"/>
        </w:rPr>
        <w:noBreakHyphen/>
        <w:t>R, s'il y a lieu, s</w:t>
      </w:r>
      <w:r>
        <w:rPr>
          <w:lang w:val="fr-CH"/>
        </w:rPr>
        <w:t>ur la base de</w:t>
      </w:r>
      <w:r w:rsidRPr="008D6C3C">
        <w:rPr>
          <w:lang w:val="fr-CH"/>
        </w:rPr>
        <w:t>s</w:t>
      </w:r>
      <w:r>
        <w:rPr>
          <w:lang w:val="fr-CH"/>
        </w:rPr>
        <w:t xml:space="preserve"> </w:t>
      </w:r>
      <w:r w:rsidRPr="008D6C3C">
        <w:rPr>
          <w:lang w:val="fr-CH"/>
        </w:rPr>
        <w:t xml:space="preserve">études </w:t>
      </w:r>
      <w:r>
        <w:rPr>
          <w:lang w:val="fr-CH"/>
        </w:rPr>
        <w:t>demandées</w:t>
      </w:r>
      <w:r w:rsidRPr="008D6C3C">
        <w:rPr>
          <w:lang w:val="fr-CH"/>
        </w:rPr>
        <w:t xml:space="preserve"> aux points 1, 2, 3 et 4 du </w:t>
      </w:r>
      <w:r w:rsidRPr="008D6C3C">
        <w:rPr>
          <w:i/>
          <w:lang w:val="fr-CH"/>
        </w:rPr>
        <w:t>décide d'inviter l'UIT-R</w:t>
      </w:r>
      <w:r>
        <w:rPr>
          <w:lang w:val="fr-CH"/>
        </w:rPr>
        <w:t xml:space="preserve"> ci</w:t>
      </w:r>
      <w:r w:rsidR="005131A3">
        <w:rPr>
          <w:lang w:val="fr-CH"/>
        </w:rPr>
        <w:noBreakHyphen/>
      </w:r>
      <w:r>
        <w:rPr>
          <w:lang w:val="fr-CH"/>
        </w:rPr>
        <w:t>dessus,</w:t>
      </w:r>
    </w:p>
    <w:p w:rsidR="00416CED" w:rsidRDefault="00416CED" w:rsidP="00A17011">
      <w:pPr>
        <w:pStyle w:val="Call"/>
        <w:jc w:val="both"/>
      </w:pPr>
      <w:r>
        <w:t>invite les administrations</w:t>
      </w:r>
    </w:p>
    <w:p w:rsidR="00416CED" w:rsidRPr="008D6C3C" w:rsidRDefault="00416CED" w:rsidP="00A17011">
      <w:pPr>
        <w:jc w:val="both"/>
        <w:rPr>
          <w:lang w:val="fr-CH"/>
        </w:rPr>
      </w:pPr>
      <w:r w:rsidRPr="008D6C3C">
        <w:rPr>
          <w:lang w:val="fr-CH"/>
        </w:rPr>
        <w:t>à participer aux études et à fournir des contributions,</w:t>
      </w:r>
    </w:p>
    <w:p w:rsidR="00416CED" w:rsidRPr="008D6C3C" w:rsidRDefault="00416CED" w:rsidP="00A17011">
      <w:pPr>
        <w:pStyle w:val="Call"/>
        <w:jc w:val="both"/>
        <w:rPr>
          <w:lang w:val="fr-CH"/>
        </w:rPr>
      </w:pPr>
      <w:r w:rsidRPr="008D6C3C">
        <w:rPr>
          <w:lang w:val="fr-CH"/>
        </w:rPr>
        <w:t xml:space="preserve">décide d'inviter la </w:t>
      </w:r>
      <w:r>
        <w:rPr>
          <w:lang w:val="fr-CH"/>
        </w:rPr>
        <w:t>Conférence mondiale des radiocommunications de 2019</w:t>
      </w:r>
    </w:p>
    <w:p w:rsidR="00143E9D" w:rsidRPr="00416CED" w:rsidRDefault="00416CED" w:rsidP="00A17011">
      <w:pPr>
        <w:jc w:val="both"/>
        <w:rPr>
          <w:rFonts w:asciiTheme="majorBidi" w:hAnsiTheme="majorBidi" w:cstheme="majorBidi"/>
          <w:szCs w:val="24"/>
        </w:rPr>
      </w:pPr>
      <w:r w:rsidRPr="008D6C3C">
        <w:rPr>
          <w:rFonts w:ascii="TimesNewRomanPSMT" w:hAnsi="TimesNewRomanPSMT" w:cs="TimesNewRomanPSMT"/>
          <w:szCs w:val="24"/>
          <w:lang w:val="fr-CH"/>
        </w:rPr>
        <w:t xml:space="preserve">à examiner les résultats des études susmentionnées et à prendre les </w:t>
      </w:r>
      <w:r w:rsidRPr="008D6C3C">
        <w:rPr>
          <w:color w:val="000000"/>
          <w:lang w:val="fr-CH"/>
        </w:rPr>
        <w:t xml:space="preserve">mesures réglementaires </w:t>
      </w:r>
      <w:r>
        <w:rPr>
          <w:color w:val="000000"/>
          <w:lang w:val="fr-CH"/>
        </w:rPr>
        <w:t xml:space="preserve">nécessaires, le cas échéant, sous réserve que les résultats visés au </w:t>
      </w:r>
      <w:r>
        <w:rPr>
          <w:i/>
          <w:iCs/>
          <w:color w:val="000000"/>
          <w:lang w:val="fr-CH"/>
        </w:rPr>
        <w:t>décide d'inviter l'UIT-R</w:t>
      </w:r>
      <w:r>
        <w:rPr>
          <w:color w:val="000000"/>
          <w:lang w:val="fr-CH"/>
        </w:rPr>
        <w:t xml:space="preserve"> soient complets et approuvés par les Commissions d'études de l'UIT-R</w:t>
      </w:r>
      <w:r w:rsidRPr="008D6C3C">
        <w:rPr>
          <w:rFonts w:ascii="TimesNewRomanPSMT" w:hAnsi="TimesNewRomanPSMT" w:cs="TimesNewRomanPSMT"/>
          <w:szCs w:val="24"/>
          <w:lang w:val="fr-CH"/>
        </w:rPr>
        <w:t>.</w:t>
      </w:r>
    </w:p>
    <w:p w:rsidR="00C67CB3" w:rsidRPr="00416CED" w:rsidRDefault="00C67CB3" w:rsidP="00A17011">
      <w:pPr>
        <w:rPr>
          <w:rFonts w:asciiTheme="majorBidi" w:hAnsiTheme="majorBidi" w:cstheme="majorBidi"/>
          <w:szCs w:val="24"/>
        </w:rPr>
      </w:pPr>
    </w:p>
    <w:p w:rsidR="002606E6" w:rsidRPr="00416CED" w:rsidRDefault="002606E6" w:rsidP="00A17011">
      <w:pPr>
        <w:rPr>
          <w:rFonts w:asciiTheme="majorBidi" w:hAnsiTheme="majorBidi" w:cstheme="majorBidi"/>
          <w:szCs w:val="24"/>
          <w:lang w:eastAsia="nl-NL"/>
        </w:rPr>
      </w:pPr>
      <w:r w:rsidRPr="00416CED">
        <w:rPr>
          <w:rFonts w:asciiTheme="majorBidi" w:hAnsiTheme="majorBidi" w:cstheme="majorBidi"/>
          <w:szCs w:val="24"/>
          <w:lang w:eastAsia="nl-NL"/>
        </w:rPr>
        <w:br w:type="page"/>
      </w:r>
    </w:p>
    <w:p w:rsidR="00536000" w:rsidRPr="00536000" w:rsidRDefault="00F96BD5" w:rsidP="00A17011">
      <w:pPr>
        <w:pStyle w:val="ResNo"/>
      </w:pPr>
      <w:bookmarkStart w:id="116" w:name="RES_161"/>
      <w:bookmarkStart w:id="117" w:name="_Toc444507539"/>
      <w:bookmarkStart w:id="118" w:name="_Toc460331698"/>
      <w:bookmarkStart w:id="119" w:name="_Toc463616155"/>
      <w:bookmarkStart w:id="120" w:name="_Toc444507541"/>
      <w:r>
        <w:lastRenderedPageBreak/>
        <w:t>R</w:t>
      </w:r>
      <w:r w:rsidR="001D5201" w:rsidRPr="001D5201">
        <w:t>É</w:t>
      </w:r>
      <w:r w:rsidR="00536000" w:rsidRPr="00536000">
        <w:t xml:space="preserve">SOLUTION </w:t>
      </w:r>
      <w:r w:rsidR="00536000" w:rsidRPr="00536000">
        <w:rPr>
          <w:rStyle w:val="href"/>
        </w:rPr>
        <w:t>161</w:t>
      </w:r>
      <w:r w:rsidR="00536000" w:rsidRPr="00536000">
        <w:t xml:space="preserve"> </w:t>
      </w:r>
      <w:bookmarkEnd w:id="116"/>
      <w:r w:rsidR="00536000" w:rsidRPr="00536000">
        <w:t>(</w:t>
      </w:r>
      <w:r w:rsidR="00F8363E" w:rsidRPr="00A20F5A">
        <w:t>C</w:t>
      </w:r>
      <w:r w:rsidR="00F8363E">
        <w:t>MR</w:t>
      </w:r>
      <w:r w:rsidR="00536000" w:rsidRPr="00536000">
        <w:noBreakHyphen/>
        <w:t>15)</w:t>
      </w:r>
      <w:bookmarkEnd w:id="117"/>
      <w:bookmarkEnd w:id="118"/>
      <w:bookmarkEnd w:id="119"/>
    </w:p>
    <w:p w:rsidR="00BA7636" w:rsidRPr="009A6CD2" w:rsidRDefault="00BA7636" w:rsidP="00A17011">
      <w:pPr>
        <w:pStyle w:val="Restitle"/>
        <w:rPr>
          <w:lang w:val="fr-CH"/>
        </w:rPr>
      </w:pPr>
      <w:bookmarkStart w:id="121" w:name="_Toc450208631"/>
      <w:bookmarkStart w:id="122" w:name="_Toc463616156"/>
      <w:proofErr w:type="spellStart"/>
      <w:r w:rsidRPr="009A6CD2">
        <w:rPr>
          <w:lang w:val="fr-CH"/>
        </w:rPr>
        <w:t>Etudes</w:t>
      </w:r>
      <w:proofErr w:type="spellEnd"/>
      <w:r w:rsidRPr="009A6CD2">
        <w:rPr>
          <w:lang w:val="fr-CH"/>
        </w:rPr>
        <w:t xml:space="preserve"> relatives aux besoins de spectre et à l'attribution possible </w:t>
      </w:r>
      <w:r>
        <w:rPr>
          <w:lang w:val="fr-CH"/>
        </w:rPr>
        <w:t>de la bande</w:t>
      </w:r>
      <w:r w:rsidRPr="009A6CD2">
        <w:rPr>
          <w:lang w:val="fr-CH"/>
        </w:rPr>
        <w:t xml:space="preserve"> de fréquences </w:t>
      </w:r>
      <w:r w:rsidRPr="009A6CD2">
        <w:rPr>
          <w:rFonts w:ascii="Times New Roman" w:hAnsi="Times New Roman"/>
          <w:szCs w:val="24"/>
        </w:rPr>
        <w:t xml:space="preserve">37,5-39,5 GHz </w:t>
      </w:r>
      <w:r w:rsidRPr="009A6CD2">
        <w:rPr>
          <w:lang w:val="fr-CH"/>
        </w:rPr>
        <w:t>au service fixe par satellite</w:t>
      </w:r>
      <w:bookmarkEnd w:id="121"/>
      <w:bookmarkEnd w:id="122"/>
    </w:p>
    <w:p w:rsidR="00BA7636" w:rsidRPr="009A6CD2" w:rsidRDefault="00BA7636" w:rsidP="00A17011">
      <w:pPr>
        <w:spacing w:before="280"/>
        <w:rPr>
          <w:szCs w:val="24"/>
          <w:lang w:val="fr-CH"/>
        </w:rPr>
      </w:pPr>
      <w:r w:rsidRPr="009A6CD2">
        <w:rPr>
          <w:szCs w:val="24"/>
          <w:lang w:val="fr-CH"/>
        </w:rPr>
        <w:t>La Conférence mondiale des radiocommunications (Genève, 2015),</w:t>
      </w:r>
    </w:p>
    <w:p w:rsidR="00BA7636" w:rsidRPr="009A6CD2" w:rsidRDefault="00BA7636" w:rsidP="00A17011">
      <w:pPr>
        <w:pStyle w:val="Call"/>
        <w:rPr>
          <w:lang w:val="fr-CH"/>
        </w:rPr>
      </w:pPr>
      <w:r w:rsidRPr="009A6CD2">
        <w:rPr>
          <w:lang w:val="fr-CH"/>
        </w:rPr>
        <w:t>considérant</w:t>
      </w:r>
    </w:p>
    <w:p w:rsidR="00BA7636" w:rsidRPr="009A6CD2" w:rsidRDefault="00BA7636" w:rsidP="00A17011">
      <w:pPr>
        <w:jc w:val="both"/>
        <w:rPr>
          <w:lang w:val="fr-CH"/>
        </w:rPr>
      </w:pPr>
      <w:r w:rsidRPr="009A6CD2">
        <w:rPr>
          <w:i/>
          <w:iCs/>
          <w:lang w:val="fr-CH"/>
        </w:rPr>
        <w:t>a)</w:t>
      </w:r>
      <w:r w:rsidRPr="009A6CD2">
        <w:rPr>
          <w:lang w:val="fr-CH"/>
        </w:rPr>
        <w:tab/>
        <w:t>que les systèmes à satellites sont de plus en plus utilisés pour fournir des services large bande et peuvent contribuer à rendre possible l'accès universel au large bande;</w:t>
      </w:r>
    </w:p>
    <w:p w:rsidR="00BA7636" w:rsidRPr="009A6CD2" w:rsidRDefault="00BA7636" w:rsidP="00A17011">
      <w:pPr>
        <w:jc w:val="both"/>
        <w:rPr>
          <w:lang w:val="fr-CH"/>
        </w:rPr>
      </w:pPr>
      <w:r w:rsidRPr="009A6CD2">
        <w:rPr>
          <w:i/>
          <w:iCs/>
          <w:lang w:val="fr-CH"/>
        </w:rPr>
        <w:t>b)</w:t>
      </w:r>
      <w:r w:rsidRPr="009A6CD2">
        <w:rPr>
          <w:lang w:val="fr-CH"/>
        </w:rPr>
        <w:tab/>
        <w:t>que les technologies de prochaine génération du service fixe par satellite applicables au large bande feront augmenter les débits (un débit de 45 Mbit/s étant déjà disponible), des débits plus éle</w:t>
      </w:r>
      <w:r>
        <w:rPr>
          <w:lang w:val="fr-CH"/>
        </w:rPr>
        <w:t>vés étant prévus à court terme;</w:t>
      </w:r>
    </w:p>
    <w:p w:rsidR="00BA7636" w:rsidRPr="009A6CD2" w:rsidRDefault="00BA7636" w:rsidP="00A17011">
      <w:pPr>
        <w:jc w:val="both"/>
        <w:rPr>
          <w:lang w:val="fr-CH"/>
        </w:rPr>
      </w:pPr>
      <w:r w:rsidRPr="009A6CD2">
        <w:rPr>
          <w:i/>
          <w:iCs/>
          <w:lang w:val="fr-CH"/>
        </w:rPr>
        <w:t>c)</w:t>
      </w:r>
      <w:r w:rsidRPr="009A6CD2">
        <w:rPr>
          <w:lang w:val="fr-CH"/>
        </w:rPr>
        <w:tab/>
        <w:t>que les progrès techniques, par exemple les avancées concernant les technologies des faisceaux ponctuels et la réutilisation des fréquences, sont mis à profit par le service fixe par satellite</w:t>
      </w:r>
      <w:r>
        <w:rPr>
          <w:lang w:val="fr-CH"/>
        </w:rPr>
        <w:t xml:space="preserve"> </w:t>
      </w:r>
      <w:r w:rsidRPr="009A6CD2">
        <w:rPr>
          <w:lang w:val="fr-CH"/>
        </w:rPr>
        <w:t>dans les fréquences supérieures à 30 GHz afin d'améliorer l'efficacité d'utilisation du spectre</w:t>
      </w:r>
      <w:r>
        <w:rPr>
          <w:lang w:val="fr-CH"/>
        </w:rPr>
        <w:t>;</w:t>
      </w:r>
    </w:p>
    <w:p w:rsidR="00BA7636" w:rsidRPr="009A6CD2" w:rsidRDefault="00BA7636" w:rsidP="00A17011">
      <w:pPr>
        <w:jc w:val="both"/>
        <w:rPr>
          <w:lang w:val="fr-CH"/>
        </w:rPr>
      </w:pPr>
      <w:r w:rsidRPr="00535C6E">
        <w:rPr>
          <w:i/>
          <w:iCs/>
          <w:lang w:val="fr-CH"/>
        </w:rPr>
        <w:t>d)</w:t>
      </w:r>
      <w:r w:rsidRPr="009A6CD2">
        <w:rPr>
          <w:lang w:val="fr-CH"/>
        </w:rPr>
        <w:tab/>
        <w:t xml:space="preserve">que des applications du service fixe par satellite dans </w:t>
      </w:r>
      <w:r>
        <w:rPr>
          <w:lang w:val="fr-CH"/>
        </w:rPr>
        <w:t>les bandes de fréquences supérieures à 30 </w:t>
      </w:r>
      <w:r w:rsidRPr="009A6CD2">
        <w:rPr>
          <w:lang w:val="fr-CH"/>
        </w:rPr>
        <w:t xml:space="preserve">GHz, par exemple les passerelles, </w:t>
      </w:r>
      <w:r>
        <w:rPr>
          <w:lang w:val="fr-CH"/>
        </w:rPr>
        <w:t>devraient être plus faciles à partager</w:t>
      </w:r>
      <w:r w:rsidRPr="009A6CD2">
        <w:rPr>
          <w:lang w:val="fr-CH"/>
        </w:rPr>
        <w:t xml:space="preserve"> avec d</w:t>
      </w:r>
      <w:r>
        <w:rPr>
          <w:lang w:val="fr-CH"/>
        </w:rPr>
        <w:t>'</w:t>
      </w:r>
      <w:r w:rsidRPr="009A6CD2">
        <w:rPr>
          <w:lang w:val="fr-CH"/>
        </w:rPr>
        <w:t>autres services de radiocommunication que les applications</w:t>
      </w:r>
      <w:r>
        <w:rPr>
          <w:lang w:val="fr-CH"/>
        </w:rPr>
        <w:t xml:space="preserve"> haute densité du service fixe par satellite</w:t>
      </w:r>
      <w:r w:rsidRPr="009A6CD2">
        <w:rPr>
          <w:lang w:val="fr-CH"/>
        </w:rPr>
        <w:t xml:space="preserve"> </w:t>
      </w:r>
      <w:r>
        <w:rPr>
          <w:lang w:val="fr-CH"/>
        </w:rPr>
        <w:t>(</w:t>
      </w:r>
      <w:r w:rsidRPr="009A6CD2">
        <w:rPr>
          <w:lang w:val="fr-CH"/>
        </w:rPr>
        <w:t>HDFSS</w:t>
      </w:r>
      <w:r>
        <w:rPr>
          <w:lang w:val="fr-CH"/>
        </w:rPr>
        <w:t>);</w:t>
      </w:r>
    </w:p>
    <w:p w:rsidR="00BA7636" w:rsidRPr="009A6CD2" w:rsidRDefault="00BA7636" w:rsidP="00A17011">
      <w:pPr>
        <w:jc w:val="both"/>
        <w:rPr>
          <w:lang w:val="fr-CH"/>
        </w:rPr>
      </w:pPr>
      <w:r w:rsidRPr="00535C6E">
        <w:rPr>
          <w:i/>
          <w:iCs/>
          <w:lang w:val="fr-CH"/>
        </w:rPr>
        <w:t>e)</w:t>
      </w:r>
      <w:r w:rsidRPr="009A6CD2">
        <w:rPr>
          <w:lang w:val="fr-CH"/>
        </w:rPr>
        <w:tab/>
        <w:t xml:space="preserve">que les systèmes du SFS reposant sur l'utilisation des nouvelles technologies dans les </w:t>
      </w:r>
      <w:r>
        <w:rPr>
          <w:lang w:val="fr-CH"/>
        </w:rPr>
        <w:t xml:space="preserve">bandes de </w:t>
      </w:r>
      <w:r w:rsidRPr="009A6CD2">
        <w:rPr>
          <w:lang w:val="fr-CH"/>
        </w:rPr>
        <w:t>fréquences supérieures à 30 GHz, associés aux constellations de satellites géostationnaires (OSG) et non géostationnaires (non OSG)</w:t>
      </w:r>
      <w:r>
        <w:rPr>
          <w:lang w:val="fr-CH"/>
        </w:rPr>
        <w:t>,</w:t>
      </w:r>
      <w:r w:rsidRPr="009A6CD2">
        <w:rPr>
          <w:lang w:val="fr-CH"/>
        </w:rPr>
        <w:t xml:space="preserve"> permettent d'offrir</w:t>
      </w:r>
      <w:r>
        <w:rPr>
          <w:lang w:val="fr-CH"/>
        </w:rPr>
        <w:t xml:space="preserve"> des moyens de communication à grande</w:t>
      </w:r>
      <w:r w:rsidRPr="009A6CD2">
        <w:rPr>
          <w:lang w:val="fr-CH"/>
        </w:rPr>
        <w:t xml:space="preserve"> capacité et économiquement faisables, y compris dans les régions du monde les plus isolées;</w:t>
      </w:r>
    </w:p>
    <w:p w:rsidR="00BA7636" w:rsidRPr="009A6CD2" w:rsidRDefault="00BA7636" w:rsidP="00A17011">
      <w:pPr>
        <w:jc w:val="both"/>
        <w:rPr>
          <w:lang w:val="fr-CH"/>
        </w:rPr>
      </w:pPr>
      <w:r w:rsidRPr="00535C6E">
        <w:rPr>
          <w:i/>
          <w:iCs/>
          <w:lang w:val="fr-CH"/>
        </w:rPr>
        <w:t>f)</w:t>
      </w:r>
      <w:r w:rsidRPr="009A6CD2">
        <w:rPr>
          <w:lang w:val="fr-CH"/>
        </w:rPr>
        <w:tab/>
        <w:t>que l</w:t>
      </w:r>
      <w:r>
        <w:rPr>
          <w:lang w:val="fr-CH"/>
        </w:rPr>
        <w:t>a</w:t>
      </w:r>
      <w:r w:rsidRPr="009A6CD2">
        <w:rPr>
          <w:lang w:val="fr-CH"/>
        </w:rPr>
        <w:t xml:space="preserve"> bande de fréquences </w:t>
      </w:r>
      <w:r>
        <w:rPr>
          <w:lang w:val="fr-CH"/>
        </w:rPr>
        <w:t>36-37 GHz est</w:t>
      </w:r>
      <w:r w:rsidRPr="009A6CD2">
        <w:rPr>
          <w:lang w:val="fr-CH"/>
        </w:rPr>
        <w:t xml:space="preserve"> attribuée à titre primaire aux services d'exploration de la Terre par satellite (SETS) (passive) et de recherche spatiale (passive), qui doivent bénéfic</w:t>
      </w:r>
      <w:r>
        <w:rPr>
          <w:lang w:val="fr-CH"/>
        </w:rPr>
        <w:t>ier d'une protection suffisante,</w:t>
      </w:r>
    </w:p>
    <w:p w:rsidR="00BA7636" w:rsidRPr="009A6CD2" w:rsidRDefault="00BA7636" w:rsidP="00A17011">
      <w:pPr>
        <w:pStyle w:val="Call"/>
      </w:pPr>
      <w:r w:rsidRPr="009A6CD2">
        <w:t>considérant en outre</w:t>
      </w:r>
    </w:p>
    <w:p w:rsidR="00BA7636" w:rsidRPr="009A6CD2" w:rsidRDefault="00BA7636" w:rsidP="00A17011">
      <w:pPr>
        <w:jc w:val="both"/>
        <w:rPr>
          <w:color w:val="000000"/>
        </w:rPr>
      </w:pPr>
      <w:r w:rsidRPr="009A6CD2">
        <w:rPr>
          <w:i/>
          <w:iCs/>
        </w:rPr>
        <w:t>a)</w:t>
      </w:r>
      <w:r w:rsidRPr="009A6CD2">
        <w:rPr>
          <w:i/>
          <w:iCs/>
        </w:rPr>
        <w:tab/>
      </w:r>
      <w:r w:rsidRPr="009A6CD2">
        <w:rPr>
          <w:color w:val="000000"/>
        </w:rPr>
        <w:t>que les Recommandations UIT-R S.1323, S.1325, S.1328, S.1529 et S.1557 fournissent des informations sur les caractéristiques, les exigences opérationnelles et les critères de protection des systèmes, à utiliser dans les études de partage;</w:t>
      </w:r>
    </w:p>
    <w:p w:rsidR="00BA7636" w:rsidRPr="009A6CD2" w:rsidRDefault="00BA7636" w:rsidP="00A17011">
      <w:pPr>
        <w:jc w:val="both"/>
        <w:rPr>
          <w:color w:val="000000"/>
        </w:rPr>
      </w:pPr>
      <w:r>
        <w:rPr>
          <w:i/>
          <w:iCs/>
          <w:color w:val="000000"/>
        </w:rPr>
        <w:t>b</w:t>
      </w:r>
      <w:r w:rsidRPr="009A6CD2">
        <w:rPr>
          <w:i/>
          <w:iCs/>
          <w:color w:val="000000"/>
        </w:rPr>
        <w:t>)</w:t>
      </w:r>
      <w:r w:rsidRPr="009A6CD2">
        <w:rPr>
          <w:i/>
          <w:iCs/>
          <w:color w:val="000000"/>
        </w:rPr>
        <w:tab/>
      </w:r>
      <w:r w:rsidRPr="009A6CD2">
        <w:rPr>
          <w:color w:val="000000"/>
        </w:rPr>
        <w:t>qu</w:t>
      </w:r>
      <w:r>
        <w:rPr>
          <w:color w:val="000000"/>
        </w:rPr>
        <w:t>'</w:t>
      </w:r>
      <w:r w:rsidRPr="009A6CD2">
        <w:rPr>
          <w:color w:val="000000"/>
        </w:rPr>
        <w:t>il est peut-être techniquement réalisable de faire une nouvelle attribution au S</w:t>
      </w:r>
      <w:r>
        <w:rPr>
          <w:color w:val="000000"/>
        </w:rPr>
        <w:t xml:space="preserve">FS dans la bande de fréquences </w:t>
      </w:r>
      <w:r w:rsidRPr="009A6CD2">
        <w:rPr>
          <w:color w:val="000000"/>
        </w:rPr>
        <w:t>37</w:t>
      </w:r>
      <w:r>
        <w:rPr>
          <w:color w:val="000000"/>
        </w:rPr>
        <w:t>,5-39,5 GHz (Terre vers espace)</w:t>
      </w:r>
      <w:r w:rsidRPr="009A6CD2">
        <w:rPr>
          <w:color w:val="000000"/>
        </w:rPr>
        <w:t xml:space="preserve"> en vue de l</w:t>
      </w:r>
      <w:r>
        <w:rPr>
          <w:color w:val="000000"/>
        </w:rPr>
        <w:t>'</w:t>
      </w:r>
      <w:r w:rsidRPr="009A6CD2">
        <w:rPr>
          <w:color w:val="000000"/>
        </w:rPr>
        <w:t>exploitation de</w:t>
      </w:r>
      <w:r>
        <w:rPr>
          <w:color w:val="000000"/>
        </w:rPr>
        <w:t xml:space="preserve"> </w:t>
      </w:r>
      <w:r w:rsidRPr="009A6CD2">
        <w:rPr>
          <w:color w:val="000000"/>
        </w:rPr>
        <w:t>stations terriennes passerelles, en fonction des résultats des études techniques,</w:t>
      </w:r>
    </w:p>
    <w:p w:rsidR="00BA7636" w:rsidRPr="009A6CD2" w:rsidRDefault="00BA7636" w:rsidP="00A17011">
      <w:pPr>
        <w:pStyle w:val="Call"/>
        <w:rPr>
          <w:lang w:val="fr-CH"/>
        </w:rPr>
      </w:pPr>
      <w:r w:rsidRPr="009A6CD2">
        <w:rPr>
          <w:lang w:val="fr-CH"/>
        </w:rPr>
        <w:t>notant</w:t>
      </w:r>
    </w:p>
    <w:p w:rsidR="00BA7636" w:rsidRPr="009A6CD2" w:rsidRDefault="00BA7636" w:rsidP="00A17011">
      <w:pPr>
        <w:jc w:val="both"/>
        <w:rPr>
          <w:color w:val="000000"/>
        </w:rPr>
      </w:pPr>
      <w:r w:rsidRPr="009A6CD2">
        <w:rPr>
          <w:i/>
          <w:iCs/>
          <w:lang w:val="fr-CH"/>
        </w:rPr>
        <w:t>a)</w:t>
      </w:r>
      <w:r w:rsidRPr="009A6CD2">
        <w:rPr>
          <w:lang w:val="fr-CH"/>
        </w:rPr>
        <w:tab/>
      </w:r>
      <w:r w:rsidRPr="009A6CD2">
        <w:rPr>
          <w:color w:val="000000"/>
        </w:rPr>
        <w:t>que des renseignements de notification concernant des réseaux à satellite OSG dans la bande de fréquences 37,5-42,5 GHz (espace vers Terre) ont été communiqués au Bureau</w:t>
      </w:r>
      <w:r>
        <w:rPr>
          <w:color w:val="000000"/>
        </w:rPr>
        <w:t xml:space="preserve"> des radiocommunications</w:t>
      </w:r>
      <w:r w:rsidRPr="009A6CD2">
        <w:rPr>
          <w:color w:val="000000"/>
        </w:rPr>
        <w:t>;</w:t>
      </w:r>
    </w:p>
    <w:p w:rsidR="00BA7636" w:rsidRPr="009A6CD2" w:rsidRDefault="00BA7636" w:rsidP="00A17011">
      <w:pPr>
        <w:jc w:val="both"/>
        <w:rPr>
          <w:szCs w:val="24"/>
        </w:rPr>
      </w:pPr>
      <w:r w:rsidRPr="009A6CD2">
        <w:rPr>
          <w:i/>
          <w:iCs/>
          <w:szCs w:val="24"/>
        </w:rPr>
        <w:t>b)</w:t>
      </w:r>
      <w:r w:rsidRPr="009A6CD2">
        <w:rPr>
          <w:szCs w:val="24"/>
        </w:rPr>
        <w:tab/>
      </w:r>
      <w:r w:rsidRPr="009A6CD2">
        <w:rPr>
          <w:color w:val="000000"/>
        </w:rPr>
        <w:t>que certains de ces réseaux à satellite OSG sont en exploitation et que d'autres seront exploités dans un avenir proche;</w:t>
      </w:r>
    </w:p>
    <w:p w:rsidR="00BA7636" w:rsidRDefault="00BA7636" w:rsidP="00A17011">
      <w:pPr>
        <w:jc w:val="both"/>
        <w:rPr>
          <w:lang w:val="fr-CH"/>
        </w:rPr>
      </w:pPr>
      <w:r>
        <w:rPr>
          <w:i/>
          <w:iCs/>
          <w:lang w:val="fr-CH"/>
        </w:rPr>
        <w:t>c</w:t>
      </w:r>
      <w:r w:rsidRPr="00211DB8">
        <w:rPr>
          <w:i/>
          <w:iCs/>
          <w:lang w:val="fr-CH"/>
        </w:rPr>
        <w:t>)</w:t>
      </w:r>
      <w:r>
        <w:rPr>
          <w:lang w:val="fr-CH"/>
        </w:rPr>
        <w:tab/>
        <w:t>que la bande de fréquences 37,5-38 GHz est attribuée au service de recherche spatiale à titre primaire dans le sens espace vers Terre;</w:t>
      </w:r>
    </w:p>
    <w:p w:rsidR="00BA7636" w:rsidRPr="009A6CD2" w:rsidRDefault="00BA7636" w:rsidP="00A17011">
      <w:pPr>
        <w:jc w:val="both"/>
        <w:rPr>
          <w:lang w:val="fr-CH"/>
        </w:rPr>
      </w:pPr>
      <w:r>
        <w:rPr>
          <w:i/>
          <w:iCs/>
          <w:lang w:val="fr-CH"/>
        </w:rPr>
        <w:lastRenderedPageBreak/>
        <w:t>d</w:t>
      </w:r>
      <w:r w:rsidRPr="005745CB">
        <w:rPr>
          <w:i/>
          <w:iCs/>
          <w:lang w:val="fr-CH"/>
        </w:rPr>
        <w:t>)</w:t>
      </w:r>
      <w:r>
        <w:rPr>
          <w:lang w:val="fr-CH"/>
        </w:rPr>
        <w:tab/>
        <w:t>que la bande de fréquences 37,5-39,5 GHz est attribuée au service d'exploration de la Terre par satellite à titre secondaire dans le sens espace vers Terre,</w:t>
      </w:r>
    </w:p>
    <w:p w:rsidR="00BA7636" w:rsidRPr="009A6CD2" w:rsidRDefault="00BA7636" w:rsidP="00A17011">
      <w:pPr>
        <w:pStyle w:val="Call"/>
        <w:rPr>
          <w:lang w:val="fr-CH"/>
        </w:rPr>
      </w:pPr>
      <w:r w:rsidRPr="009A6CD2">
        <w:rPr>
          <w:lang w:val="fr-CH"/>
        </w:rPr>
        <w:t>reconnaissant</w:t>
      </w:r>
    </w:p>
    <w:p w:rsidR="00BA7636" w:rsidRPr="009A6CD2" w:rsidRDefault="00BA7636" w:rsidP="00A17011">
      <w:pPr>
        <w:jc w:val="both"/>
        <w:rPr>
          <w:lang w:val="fr-CH"/>
        </w:rPr>
      </w:pPr>
      <w:r w:rsidRPr="009A6CD2">
        <w:rPr>
          <w:lang w:val="fr-CH"/>
        </w:rPr>
        <w:t>qu'il est nécessaire de protéger les services existants lorsqu'on examine des bandes de fréquences en vue de faire d'éventuelles attributions additionnelles à un service</w:t>
      </w:r>
      <w:r>
        <w:rPr>
          <w:lang w:val="fr-CH"/>
        </w:rPr>
        <w:t>,</w:t>
      </w:r>
    </w:p>
    <w:p w:rsidR="00BA7636" w:rsidRPr="009A6CD2" w:rsidRDefault="00BA7636" w:rsidP="00A17011">
      <w:pPr>
        <w:pStyle w:val="Call"/>
        <w:jc w:val="both"/>
        <w:rPr>
          <w:lang w:val="fr-CH"/>
        </w:rPr>
      </w:pPr>
      <w:r w:rsidRPr="009A6CD2">
        <w:rPr>
          <w:lang w:val="fr-CH"/>
        </w:rPr>
        <w:t>décide d'inviter l'UIT-R</w:t>
      </w:r>
    </w:p>
    <w:p w:rsidR="00BA7636" w:rsidRPr="009A6CD2" w:rsidRDefault="00BA7636" w:rsidP="00A17011">
      <w:pPr>
        <w:tabs>
          <w:tab w:val="clear" w:pos="1134"/>
          <w:tab w:val="left" w:pos="2552"/>
        </w:tabs>
        <w:jc w:val="both"/>
        <w:rPr>
          <w:szCs w:val="24"/>
          <w:lang w:val="fr-CH"/>
        </w:rPr>
      </w:pPr>
      <w:r w:rsidRPr="009A6CD2">
        <w:rPr>
          <w:szCs w:val="24"/>
          <w:lang w:val="fr-CH"/>
        </w:rPr>
        <w:t>à mener, et à achever à temps pour la CMR-</w:t>
      </w:r>
      <w:r>
        <w:rPr>
          <w:szCs w:val="24"/>
          <w:lang w:val="fr-CH"/>
        </w:rPr>
        <w:t>23</w:t>
      </w:r>
      <w:r w:rsidRPr="009A6CD2">
        <w:rPr>
          <w:szCs w:val="24"/>
          <w:lang w:val="fr-CH"/>
        </w:rPr>
        <w:t>:</w:t>
      </w:r>
    </w:p>
    <w:p w:rsidR="00BA7636" w:rsidRPr="009A6CD2" w:rsidRDefault="00BA7636" w:rsidP="00A17011">
      <w:pPr>
        <w:tabs>
          <w:tab w:val="left" w:pos="1170"/>
        </w:tabs>
        <w:jc w:val="both"/>
        <w:rPr>
          <w:szCs w:val="24"/>
          <w:lang w:val="fr-CH"/>
        </w:rPr>
      </w:pPr>
      <w:r w:rsidRPr="009A6CD2">
        <w:rPr>
          <w:szCs w:val="24"/>
          <w:lang w:val="fr-CH"/>
        </w:rPr>
        <w:t>1</w:t>
      </w:r>
      <w:r w:rsidRPr="009A6CD2">
        <w:rPr>
          <w:szCs w:val="24"/>
          <w:lang w:val="fr-CH"/>
        </w:rPr>
        <w:tab/>
        <w:t xml:space="preserve">les études concernant les besoins de spectre supplémentaires pour le développement du service fixe par satellite, en tenant compte des bandes </w:t>
      </w:r>
      <w:r>
        <w:t>de fréquences</w:t>
      </w:r>
      <w:r w:rsidRPr="009A6CD2">
        <w:rPr>
          <w:szCs w:val="24"/>
          <w:lang w:val="fr-CH"/>
        </w:rPr>
        <w:t xml:space="preserve"> actuellement attribuées à ce service, des conditions techniques régissant leur utilisation, et de la possibilité d'optimiser l'</w:t>
      </w:r>
      <w:r>
        <w:rPr>
          <w:szCs w:val="24"/>
          <w:lang w:val="fr-CH"/>
        </w:rPr>
        <w:t xml:space="preserve">utilisation </w:t>
      </w:r>
      <w:r w:rsidRPr="009A6CD2">
        <w:rPr>
          <w:szCs w:val="24"/>
          <w:lang w:val="fr-CH"/>
        </w:rPr>
        <w:t>de ces bandes</w:t>
      </w:r>
      <w:r w:rsidRPr="00706CC2">
        <w:t xml:space="preserve"> </w:t>
      </w:r>
      <w:r>
        <w:t>de fréquences</w:t>
      </w:r>
      <w:r w:rsidRPr="009A6CD2">
        <w:rPr>
          <w:szCs w:val="24"/>
          <w:lang w:val="fr-CH"/>
        </w:rPr>
        <w:t xml:space="preserve"> en vue d'améliorer l'efficacité d'utilisation du spectre;</w:t>
      </w:r>
    </w:p>
    <w:p w:rsidR="00BA7636" w:rsidRPr="009A6CD2" w:rsidRDefault="00BA7636" w:rsidP="00A17011">
      <w:pPr>
        <w:tabs>
          <w:tab w:val="left" w:pos="1170"/>
        </w:tabs>
        <w:jc w:val="both"/>
        <w:rPr>
          <w:lang w:val="fr-CH"/>
        </w:rPr>
      </w:pPr>
      <w:r w:rsidRPr="009A6CD2">
        <w:rPr>
          <w:szCs w:val="24"/>
          <w:lang w:val="fr-CH"/>
        </w:rPr>
        <w:t>2</w:t>
      </w:r>
      <w:r w:rsidRPr="009A6CD2">
        <w:rPr>
          <w:szCs w:val="24"/>
          <w:lang w:val="fr-CH"/>
        </w:rPr>
        <w:tab/>
        <w:t xml:space="preserve">les études de partage et de compatibilité avec les services existants, </w:t>
      </w:r>
      <w:r>
        <w:rPr>
          <w:szCs w:val="24"/>
          <w:lang w:val="fr-CH"/>
        </w:rPr>
        <w:t xml:space="preserve">à titre primaire ou secondaire, </w:t>
      </w:r>
      <w:r w:rsidRPr="009A6CD2">
        <w:rPr>
          <w:szCs w:val="24"/>
          <w:lang w:val="fr-CH"/>
        </w:rPr>
        <w:t>y compris dans les bandes</w:t>
      </w:r>
      <w:r w:rsidRPr="00706CC2">
        <w:t xml:space="preserve"> </w:t>
      </w:r>
      <w:r>
        <w:t>de fréquences</w:t>
      </w:r>
      <w:r w:rsidRPr="009A6CD2">
        <w:rPr>
          <w:szCs w:val="24"/>
          <w:lang w:val="fr-CH"/>
        </w:rPr>
        <w:t xml:space="preserve"> adjacentes, selon le cas, afin de déterminer s</w:t>
      </w:r>
      <w:r>
        <w:rPr>
          <w:szCs w:val="24"/>
          <w:lang w:val="fr-CH"/>
        </w:rPr>
        <w:t>'</w:t>
      </w:r>
      <w:r w:rsidRPr="009A6CD2">
        <w:rPr>
          <w:szCs w:val="24"/>
          <w:lang w:val="fr-CH"/>
        </w:rPr>
        <w:t>il est envisageable de faire de nouvelles attributions à titre primaire au SFS dans l</w:t>
      </w:r>
      <w:r>
        <w:rPr>
          <w:szCs w:val="24"/>
          <w:lang w:val="fr-CH"/>
        </w:rPr>
        <w:t>a</w:t>
      </w:r>
      <w:r w:rsidRPr="009A6CD2">
        <w:rPr>
          <w:szCs w:val="24"/>
          <w:lang w:val="fr-CH"/>
        </w:rPr>
        <w:t xml:space="preserve"> bande de fréquences </w:t>
      </w:r>
      <w:r w:rsidRPr="009A6CD2">
        <w:t>37,5-39,5 GHz (Terre vers espace limitées aux liaisons de connexion</w:t>
      </w:r>
      <w:r>
        <w:t xml:space="preserve"> du SFS</w:t>
      </w:r>
      <w:r w:rsidRPr="009A6CD2">
        <w:t xml:space="preserve"> seulement) </w:t>
      </w:r>
      <w:r>
        <w:rPr>
          <w:color w:val="000000"/>
        </w:rPr>
        <w:t>à la fois pour des systèmes à satellites géostationnaires et des systèmes à satellites non géostationnaires</w:t>
      </w:r>
      <w:r>
        <w:t xml:space="preserve">; </w:t>
      </w:r>
    </w:p>
    <w:p w:rsidR="00BA7636" w:rsidRPr="009A6CD2" w:rsidRDefault="00BA7636" w:rsidP="00A17011">
      <w:pPr>
        <w:jc w:val="both"/>
        <w:rPr>
          <w:szCs w:val="24"/>
          <w:lang w:val="fr-CH"/>
        </w:rPr>
      </w:pPr>
      <w:r w:rsidRPr="009A6CD2">
        <w:rPr>
          <w:szCs w:val="24"/>
          <w:lang w:val="fr-CH"/>
        </w:rPr>
        <w:t>3</w:t>
      </w:r>
      <w:r w:rsidRPr="009A6CD2">
        <w:rPr>
          <w:szCs w:val="24"/>
          <w:lang w:val="fr-CH"/>
        </w:rPr>
        <w:tab/>
        <w:t>les études en vue d</w:t>
      </w:r>
      <w:r>
        <w:rPr>
          <w:szCs w:val="24"/>
          <w:lang w:val="fr-CH"/>
        </w:rPr>
        <w:t>'</w:t>
      </w:r>
      <w:r w:rsidRPr="009A6CD2">
        <w:rPr>
          <w:szCs w:val="24"/>
          <w:lang w:val="fr-CH"/>
        </w:rPr>
        <w:t xml:space="preserve">une possible révision de la Résolution </w:t>
      </w:r>
      <w:r w:rsidRPr="009A6CD2">
        <w:rPr>
          <w:b/>
          <w:bCs/>
          <w:szCs w:val="24"/>
          <w:lang w:val="fr-CH"/>
        </w:rPr>
        <w:t>750 (Rév.CMR-</w:t>
      </w:r>
      <w:r>
        <w:rPr>
          <w:b/>
          <w:bCs/>
          <w:szCs w:val="24"/>
          <w:lang w:val="fr-CH"/>
        </w:rPr>
        <w:t>15</w:t>
      </w:r>
      <w:r w:rsidRPr="009A6CD2">
        <w:rPr>
          <w:b/>
          <w:bCs/>
          <w:szCs w:val="24"/>
          <w:lang w:val="fr-CH"/>
        </w:rPr>
        <w:t>)</w:t>
      </w:r>
      <w:r w:rsidRPr="009A6CD2">
        <w:rPr>
          <w:szCs w:val="24"/>
          <w:lang w:val="fr-CH"/>
        </w:rPr>
        <w:t xml:space="preserve"> de sorte que les systèmes fonctionnant dans la bande </w:t>
      </w:r>
      <w:r>
        <w:t>de fréquences</w:t>
      </w:r>
      <w:r w:rsidRPr="009A6CD2">
        <w:rPr>
          <w:szCs w:val="24"/>
          <w:lang w:val="fr-CH"/>
        </w:rPr>
        <w:t xml:space="preserve"> passive </w:t>
      </w:r>
      <w:r>
        <w:rPr>
          <w:szCs w:val="24"/>
          <w:lang w:val="fr-CH"/>
        </w:rPr>
        <w:t>36-37</w:t>
      </w:r>
      <w:r w:rsidRPr="009A6CD2">
        <w:rPr>
          <w:szCs w:val="24"/>
          <w:lang w:val="fr-CH"/>
        </w:rPr>
        <w:t xml:space="preserve"> GHz bénéficient d</w:t>
      </w:r>
      <w:r>
        <w:rPr>
          <w:szCs w:val="24"/>
          <w:lang w:val="fr-CH"/>
        </w:rPr>
        <w:t>'</w:t>
      </w:r>
      <w:r w:rsidRPr="009A6CD2">
        <w:rPr>
          <w:szCs w:val="24"/>
          <w:lang w:val="fr-CH"/>
        </w:rPr>
        <w:t>une protection</w:t>
      </w:r>
      <w:r>
        <w:rPr>
          <w:szCs w:val="24"/>
          <w:lang w:val="fr-CH"/>
        </w:rPr>
        <w:t>,</w:t>
      </w:r>
    </w:p>
    <w:p w:rsidR="00BA7636" w:rsidRPr="009A6CD2" w:rsidRDefault="00BA7636" w:rsidP="00A17011">
      <w:pPr>
        <w:pStyle w:val="Call"/>
        <w:jc w:val="both"/>
        <w:rPr>
          <w:lang w:val="fr-CH"/>
        </w:rPr>
      </w:pPr>
      <w:r w:rsidRPr="009A6CD2">
        <w:rPr>
          <w:lang w:val="fr-CH"/>
        </w:rPr>
        <w:t>décide en outre</w:t>
      </w:r>
    </w:p>
    <w:p w:rsidR="00BA7636" w:rsidRPr="009A6CD2" w:rsidRDefault="00BA7636" w:rsidP="00A17011">
      <w:pPr>
        <w:jc w:val="both"/>
        <w:rPr>
          <w:lang w:val="fr-CH"/>
        </w:rPr>
      </w:pPr>
      <w:r w:rsidRPr="009A6CD2">
        <w:rPr>
          <w:lang w:val="fr-CH"/>
        </w:rPr>
        <w:t>d'inviter la CMR</w:t>
      </w:r>
      <w:r w:rsidRPr="009A6CD2">
        <w:rPr>
          <w:lang w:val="fr-CH"/>
        </w:rPr>
        <w:noBreakHyphen/>
      </w:r>
      <w:r>
        <w:rPr>
          <w:lang w:val="fr-CH"/>
        </w:rPr>
        <w:t>23</w:t>
      </w:r>
      <w:r w:rsidRPr="009A6CD2">
        <w:rPr>
          <w:lang w:val="fr-CH"/>
        </w:rPr>
        <w:t xml:space="preserve"> à examiner les résultats des études mentionnées ci-dessus et à prendre les mesures appropriées,</w:t>
      </w:r>
    </w:p>
    <w:p w:rsidR="00BA7636" w:rsidRPr="009A6CD2" w:rsidRDefault="00BA7636" w:rsidP="00A17011">
      <w:pPr>
        <w:pStyle w:val="Call"/>
        <w:jc w:val="both"/>
        <w:rPr>
          <w:lang w:val="fr-CH" w:eastAsia="nl-NL"/>
        </w:rPr>
      </w:pPr>
      <w:r>
        <w:rPr>
          <w:lang w:val="fr-CH" w:eastAsia="nl-NL"/>
        </w:rPr>
        <w:t>invite les administrations</w:t>
      </w:r>
    </w:p>
    <w:p w:rsidR="00533C55" w:rsidRPr="00BA7636" w:rsidRDefault="00BA7636" w:rsidP="00A17011">
      <w:pPr>
        <w:jc w:val="both"/>
        <w:rPr>
          <w:rFonts w:asciiTheme="majorBidi" w:hAnsiTheme="majorBidi" w:cstheme="majorBidi"/>
          <w:szCs w:val="24"/>
        </w:rPr>
      </w:pPr>
      <w:r w:rsidRPr="009A6CD2">
        <w:rPr>
          <w:lang w:val="fr-CH" w:eastAsia="nl-NL"/>
        </w:rPr>
        <w:t xml:space="preserve">à participer </w:t>
      </w:r>
      <w:r>
        <w:rPr>
          <w:lang w:val="fr-CH" w:eastAsia="nl-NL"/>
        </w:rPr>
        <w:t>activement à ces</w:t>
      </w:r>
      <w:r w:rsidRPr="009A6CD2">
        <w:rPr>
          <w:lang w:val="fr-CH" w:eastAsia="nl-NL"/>
        </w:rPr>
        <w:t xml:space="preserve"> études en soumettant des contributions à l'UIT</w:t>
      </w:r>
      <w:r w:rsidRPr="009A6CD2">
        <w:rPr>
          <w:lang w:val="fr-CH" w:eastAsia="nl-NL"/>
        </w:rPr>
        <w:noBreakHyphen/>
        <w:t>R.</w:t>
      </w:r>
    </w:p>
    <w:p w:rsidR="00601178" w:rsidRPr="00BA7636" w:rsidRDefault="00601178" w:rsidP="00A17011">
      <w:pPr>
        <w:rPr>
          <w:rFonts w:asciiTheme="majorBidi" w:hAnsiTheme="majorBidi" w:cstheme="majorBidi"/>
          <w:szCs w:val="24"/>
        </w:rPr>
      </w:pPr>
    </w:p>
    <w:p w:rsidR="00601178" w:rsidRPr="00BA7636" w:rsidRDefault="00601178" w:rsidP="00A17011">
      <w:pPr>
        <w:overflowPunct/>
        <w:autoSpaceDE/>
        <w:autoSpaceDN/>
        <w:adjustRightInd/>
        <w:spacing w:before="0"/>
        <w:textAlignment w:val="auto"/>
        <w:rPr>
          <w:rFonts w:asciiTheme="majorBidi" w:hAnsiTheme="majorBidi" w:cstheme="majorBidi"/>
          <w:szCs w:val="24"/>
        </w:rPr>
      </w:pPr>
      <w:r w:rsidRPr="00BA7636">
        <w:rPr>
          <w:rFonts w:asciiTheme="majorBidi" w:hAnsiTheme="majorBidi" w:cstheme="majorBidi"/>
          <w:szCs w:val="24"/>
        </w:rPr>
        <w:br w:type="page"/>
      </w:r>
    </w:p>
    <w:p w:rsidR="00536000" w:rsidRPr="00536000" w:rsidRDefault="00F96BD5" w:rsidP="00A17011">
      <w:pPr>
        <w:pStyle w:val="ResNo"/>
      </w:pPr>
      <w:bookmarkStart w:id="123" w:name="RES_162"/>
      <w:bookmarkStart w:id="124" w:name="_Toc460331700"/>
      <w:bookmarkStart w:id="125" w:name="_Toc463616157"/>
      <w:bookmarkEnd w:id="120"/>
      <w:r>
        <w:lastRenderedPageBreak/>
        <w:t>R</w:t>
      </w:r>
      <w:r w:rsidR="001D5201" w:rsidRPr="001D5201">
        <w:t>É</w:t>
      </w:r>
      <w:r w:rsidR="00536000" w:rsidRPr="00536000">
        <w:t xml:space="preserve">SOLUTION </w:t>
      </w:r>
      <w:r w:rsidR="00536000" w:rsidRPr="00536000">
        <w:rPr>
          <w:rStyle w:val="href"/>
        </w:rPr>
        <w:t>162</w:t>
      </w:r>
      <w:r w:rsidR="00536000" w:rsidRPr="00536000">
        <w:t xml:space="preserve"> </w:t>
      </w:r>
      <w:bookmarkEnd w:id="123"/>
      <w:r w:rsidR="00536000" w:rsidRPr="00536000">
        <w:t>(</w:t>
      </w:r>
      <w:r w:rsidR="00F8363E" w:rsidRPr="00A20F5A">
        <w:t>C</w:t>
      </w:r>
      <w:r w:rsidR="00F8363E">
        <w:t>MR</w:t>
      </w:r>
      <w:r w:rsidR="00536000" w:rsidRPr="00536000">
        <w:noBreakHyphen/>
        <w:t>15)</w:t>
      </w:r>
      <w:bookmarkEnd w:id="124"/>
      <w:bookmarkEnd w:id="125"/>
    </w:p>
    <w:p w:rsidR="00CF18BC" w:rsidRPr="006219CE" w:rsidRDefault="00CF18BC" w:rsidP="00A17011">
      <w:pPr>
        <w:pStyle w:val="Restitle"/>
        <w:rPr>
          <w:lang w:val="fr-CH"/>
        </w:rPr>
      </w:pPr>
      <w:bookmarkStart w:id="126" w:name="_Toc463616158"/>
      <w:proofErr w:type="spellStart"/>
      <w:r w:rsidRPr="006219CE">
        <w:rPr>
          <w:lang w:val="fr-CH"/>
        </w:rPr>
        <w:t>Etudes</w:t>
      </w:r>
      <w:proofErr w:type="spellEnd"/>
      <w:r w:rsidRPr="006219CE">
        <w:rPr>
          <w:lang w:val="fr-CH"/>
        </w:rPr>
        <w:t xml:space="preserve"> relatives aux besoins de spectre et à l'attribution possible de la</w:t>
      </w:r>
      <w:r>
        <w:rPr>
          <w:lang w:val="fr-CH"/>
        </w:rPr>
        <w:t> bande </w:t>
      </w:r>
      <w:r w:rsidRPr="006219CE">
        <w:rPr>
          <w:lang w:val="fr-CH"/>
        </w:rPr>
        <w:t xml:space="preserve">de fréquences </w:t>
      </w:r>
      <w:r w:rsidRPr="006219CE">
        <w:rPr>
          <w:rFonts w:ascii="Times New Roman" w:hAnsi="Times New Roman"/>
          <w:szCs w:val="24"/>
        </w:rPr>
        <w:t xml:space="preserve">51,4-52,4 GHz </w:t>
      </w:r>
      <w:r w:rsidRPr="006219CE">
        <w:rPr>
          <w:lang w:val="fr-CH"/>
        </w:rPr>
        <w:t xml:space="preserve">au service fixe par satellite </w:t>
      </w:r>
      <w:r>
        <w:rPr>
          <w:lang w:val="fr-CH"/>
        </w:rPr>
        <w:br/>
      </w:r>
      <w:r w:rsidRPr="006219CE">
        <w:rPr>
          <w:rFonts w:ascii="Times New Roman" w:hAnsi="Times New Roman"/>
          <w:szCs w:val="24"/>
        </w:rPr>
        <w:t>(Terre vers espace)</w:t>
      </w:r>
      <w:bookmarkEnd w:id="126"/>
    </w:p>
    <w:p w:rsidR="00CF18BC" w:rsidRPr="006219CE" w:rsidRDefault="00CF18BC" w:rsidP="00A17011">
      <w:pPr>
        <w:spacing w:before="280"/>
        <w:rPr>
          <w:szCs w:val="24"/>
          <w:lang w:val="fr-CH"/>
        </w:rPr>
      </w:pPr>
      <w:r w:rsidRPr="006219CE">
        <w:rPr>
          <w:szCs w:val="24"/>
          <w:lang w:val="fr-CH"/>
        </w:rPr>
        <w:t>La Conférence mondiale des radiocommunications (Genève, 2015),</w:t>
      </w:r>
    </w:p>
    <w:p w:rsidR="00CF18BC" w:rsidRPr="006219CE" w:rsidRDefault="00CF18BC" w:rsidP="00A17011">
      <w:pPr>
        <w:pStyle w:val="Call"/>
        <w:jc w:val="both"/>
        <w:rPr>
          <w:lang w:val="fr-CH"/>
        </w:rPr>
      </w:pPr>
      <w:r w:rsidRPr="006219CE">
        <w:rPr>
          <w:lang w:val="fr-CH"/>
        </w:rPr>
        <w:t>considérant</w:t>
      </w:r>
    </w:p>
    <w:p w:rsidR="00CF18BC" w:rsidRPr="006219CE" w:rsidRDefault="00CF18BC" w:rsidP="00A17011">
      <w:pPr>
        <w:jc w:val="both"/>
        <w:rPr>
          <w:lang w:val="fr-CH"/>
        </w:rPr>
      </w:pPr>
      <w:r w:rsidRPr="006219CE">
        <w:rPr>
          <w:i/>
          <w:iCs/>
          <w:lang w:val="fr-CH"/>
        </w:rPr>
        <w:t>a)</w:t>
      </w:r>
      <w:r w:rsidRPr="006219CE">
        <w:rPr>
          <w:lang w:val="fr-CH"/>
        </w:rPr>
        <w:tab/>
        <w:t>que les systèmes à satellites sont de plus en plus utilisés pour fournir des services large bande et peuvent contribuer à rendre possible l'accès universel au large bande;</w:t>
      </w:r>
    </w:p>
    <w:p w:rsidR="00CF18BC" w:rsidRPr="006219CE" w:rsidRDefault="00CF18BC" w:rsidP="00A17011">
      <w:pPr>
        <w:jc w:val="both"/>
        <w:rPr>
          <w:lang w:val="fr-CH"/>
        </w:rPr>
      </w:pPr>
      <w:r w:rsidRPr="006219CE">
        <w:rPr>
          <w:i/>
          <w:iCs/>
          <w:lang w:val="fr-CH"/>
        </w:rPr>
        <w:t>b)</w:t>
      </w:r>
      <w:r w:rsidRPr="006219CE">
        <w:rPr>
          <w:lang w:val="fr-CH"/>
        </w:rPr>
        <w:tab/>
        <w:t>que les technologies de prochaine génération du service fixe par satellite applicables au large bande feront augmenter les débits (un débit de 45 Mbit/s étant déjà disponible), des débits plus élevés étant prévus à court terme;</w:t>
      </w:r>
    </w:p>
    <w:p w:rsidR="00CF18BC" w:rsidRPr="006219CE" w:rsidRDefault="00CF18BC" w:rsidP="00A17011">
      <w:pPr>
        <w:jc w:val="both"/>
        <w:rPr>
          <w:lang w:val="fr-CH"/>
        </w:rPr>
      </w:pPr>
      <w:r w:rsidRPr="006219CE">
        <w:rPr>
          <w:i/>
          <w:iCs/>
          <w:lang w:val="fr-CH"/>
        </w:rPr>
        <w:t>c)</w:t>
      </w:r>
      <w:r w:rsidRPr="006219CE">
        <w:rPr>
          <w:lang w:val="fr-CH"/>
        </w:rPr>
        <w:tab/>
        <w:t>que les progrès techniques, par exemple les avancées concernant les technologies des faisceaux ponctuels et la réutilisation des fréquences, sont mis à profit par le service fixe par satellite dans les fréquences supérieures à 30 GHz afin d'améliorer l'efficacité d'utilisation du spectre;</w:t>
      </w:r>
    </w:p>
    <w:p w:rsidR="00CF18BC" w:rsidRPr="009A6CD2" w:rsidRDefault="00CF18BC" w:rsidP="00A17011">
      <w:pPr>
        <w:jc w:val="both"/>
        <w:rPr>
          <w:lang w:val="fr-CH"/>
        </w:rPr>
      </w:pPr>
      <w:r w:rsidRPr="006219CE">
        <w:rPr>
          <w:i/>
          <w:iCs/>
          <w:lang w:val="fr-CH"/>
        </w:rPr>
        <w:t>d)</w:t>
      </w:r>
      <w:r w:rsidRPr="006219CE">
        <w:rPr>
          <w:lang w:val="fr-CH"/>
        </w:rPr>
        <w:tab/>
        <w:t>que des applications du service fixe par satellite da</w:t>
      </w:r>
      <w:r>
        <w:rPr>
          <w:lang w:val="fr-CH"/>
        </w:rPr>
        <w:t>ns les bandes de fréquences supérieures à </w:t>
      </w:r>
      <w:r w:rsidRPr="006219CE">
        <w:rPr>
          <w:lang w:val="fr-CH"/>
        </w:rPr>
        <w:t>30 GHz, par exemple les liaisons de connexion,</w:t>
      </w:r>
      <w:r w:rsidRPr="009A6CD2">
        <w:rPr>
          <w:lang w:val="fr-CH"/>
        </w:rPr>
        <w:t xml:space="preserve"> </w:t>
      </w:r>
      <w:r>
        <w:rPr>
          <w:lang w:val="fr-CH"/>
        </w:rPr>
        <w:t>devraient être plus faciles à partager</w:t>
      </w:r>
      <w:r w:rsidRPr="009A6CD2">
        <w:rPr>
          <w:lang w:val="fr-CH"/>
        </w:rPr>
        <w:t xml:space="preserve"> avec d</w:t>
      </w:r>
      <w:r>
        <w:rPr>
          <w:lang w:val="fr-CH"/>
        </w:rPr>
        <w:t>'</w:t>
      </w:r>
      <w:r w:rsidRPr="009A6CD2">
        <w:rPr>
          <w:lang w:val="fr-CH"/>
        </w:rPr>
        <w:t>autres services de radiocommunication que les applications</w:t>
      </w:r>
      <w:r>
        <w:rPr>
          <w:lang w:val="fr-CH"/>
        </w:rPr>
        <w:t xml:space="preserve"> haute densité du service fixe par satellite</w:t>
      </w:r>
      <w:r w:rsidRPr="009A6CD2">
        <w:rPr>
          <w:lang w:val="fr-CH"/>
        </w:rPr>
        <w:t xml:space="preserve"> </w:t>
      </w:r>
      <w:r>
        <w:rPr>
          <w:lang w:val="fr-CH"/>
        </w:rPr>
        <w:t>(</w:t>
      </w:r>
      <w:r w:rsidRPr="009A6CD2">
        <w:rPr>
          <w:lang w:val="fr-CH"/>
        </w:rPr>
        <w:t>HDFSS</w:t>
      </w:r>
      <w:r>
        <w:rPr>
          <w:lang w:val="fr-CH"/>
        </w:rPr>
        <w:t>),</w:t>
      </w:r>
    </w:p>
    <w:p w:rsidR="00CF18BC" w:rsidRPr="009A6CD2" w:rsidRDefault="00CF18BC" w:rsidP="00A17011">
      <w:pPr>
        <w:pStyle w:val="Call"/>
        <w:jc w:val="both"/>
        <w:rPr>
          <w:lang w:val="fr-CH"/>
        </w:rPr>
      </w:pPr>
      <w:r w:rsidRPr="009A6CD2">
        <w:rPr>
          <w:lang w:val="fr-CH"/>
        </w:rPr>
        <w:t>reconnaissant</w:t>
      </w:r>
    </w:p>
    <w:p w:rsidR="00CF18BC" w:rsidRPr="009A6CD2" w:rsidRDefault="00CF18BC" w:rsidP="00A17011">
      <w:pPr>
        <w:jc w:val="both"/>
        <w:rPr>
          <w:lang w:val="fr-CH"/>
        </w:rPr>
      </w:pPr>
      <w:r w:rsidRPr="009A6CD2">
        <w:rPr>
          <w:i/>
          <w:iCs/>
          <w:lang w:val="fr-CH"/>
        </w:rPr>
        <w:t>a)</w:t>
      </w:r>
      <w:r w:rsidRPr="009A6CD2">
        <w:rPr>
          <w:lang w:val="fr-CH"/>
        </w:rPr>
        <w:tab/>
        <w:t>qu</w:t>
      </w:r>
      <w:r>
        <w:rPr>
          <w:lang w:val="fr-CH"/>
        </w:rPr>
        <w:t>'</w:t>
      </w:r>
      <w:r w:rsidRPr="009A6CD2">
        <w:rPr>
          <w:lang w:val="fr-CH"/>
        </w:rPr>
        <w:t>il est nécessaire de protéger les services existants lorsqu</w:t>
      </w:r>
      <w:r>
        <w:rPr>
          <w:lang w:val="fr-CH"/>
        </w:rPr>
        <w:t>'</w:t>
      </w:r>
      <w:r w:rsidRPr="009A6CD2">
        <w:rPr>
          <w:lang w:val="fr-CH"/>
        </w:rPr>
        <w:t>on examine des bandes de fréquences en vue de faire d</w:t>
      </w:r>
      <w:r>
        <w:rPr>
          <w:lang w:val="fr-CH"/>
        </w:rPr>
        <w:t>'</w:t>
      </w:r>
      <w:r w:rsidRPr="009A6CD2">
        <w:rPr>
          <w:lang w:val="fr-CH"/>
        </w:rPr>
        <w:t>éventuelles attributions additionnelles à un service;</w:t>
      </w:r>
    </w:p>
    <w:p w:rsidR="00CF18BC" w:rsidRPr="009A6CD2" w:rsidRDefault="00CF18BC" w:rsidP="00A17011">
      <w:pPr>
        <w:jc w:val="both"/>
        <w:rPr>
          <w:color w:val="000000"/>
        </w:rPr>
      </w:pPr>
      <w:r w:rsidRPr="009A6CD2">
        <w:rPr>
          <w:i/>
          <w:iCs/>
          <w:lang w:val="fr-CH"/>
        </w:rPr>
        <w:t>b)</w:t>
      </w:r>
      <w:r w:rsidRPr="009A6CD2">
        <w:rPr>
          <w:i/>
          <w:iCs/>
          <w:lang w:val="fr-CH"/>
        </w:rPr>
        <w:tab/>
      </w:r>
      <w:r w:rsidRPr="009A6CD2">
        <w:rPr>
          <w:color w:val="000000"/>
        </w:rPr>
        <w:t>que la bande de fréquences 51,4-52,4 GHz est attribuée aux services fixe et mobile, qui devront bénéficier d</w:t>
      </w:r>
      <w:r>
        <w:rPr>
          <w:color w:val="000000"/>
        </w:rPr>
        <w:t>'</w:t>
      </w:r>
      <w:r w:rsidRPr="009A6CD2">
        <w:rPr>
          <w:color w:val="000000"/>
        </w:rPr>
        <w:t xml:space="preserve">une protection, et est disponible aux fins des applications haute densité dans le service fixe, comme indiqué au numéro </w:t>
      </w:r>
      <w:r w:rsidRPr="009A6CD2">
        <w:rPr>
          <w:b/>
          <w:bCs/>
          <w:color w:val="000000"/>
        </w:rPr>
        <w:t>5.547</w:t>
      </w:r>
      <w:r w:rsidRPr="009A6CD2">
        <w:rPr>
          <w:color w:val="000000"/>
        </w:rPr>
        <w:t>;</w:t>
      </w:r>
    </w:p>
    <w:p w:rsidR="00CF18BC" w:rsidRPr="009A6CD2" w:rsidRDefault="00CF18BC" w:rsidP="00A17011">
      <w:pPr>
        <w:jc w:val="both"/>
        <w:rPr>
          <w:color w:val="000000"/>
        </w:rPr>
      </w:pPr>
      <w:r w:rsidRPr="009A6CD2">
        <w:rPr>
          <w:i/>
          <w:iCs/>
          <w:color w:val="000000"/>
        </w:rPr>
        <w:t>c)</w:t>
      </w:r>
      <w:r w:rsidRPr="009A6CD2">
        <w:rPr>
          <w:color w:val="000000"/>
        </w:rPr>
        <w:tab/>
        <w:t xml:space="preserve">que, conformément au numéro </w:t>
      </w:r>
      <w:r w:rsidRPr="009A6CD2">
        <w:rPr>
          <w:b/>
          <w:bCs/>
          <w:color w:val="000000"/>
        </w:rPr>
        <w:t>5.556</w:t>
      </w:r>
      <w:r w:rsidRPr="009A6CD2">
        <w:rPr>
          <w:color w:val="000000"/>
        </w:rPr>
        <w:t xml:space="preserve">, des observations de radioastronomie sont </w:t>
      </w:r>
      <w:r w:rsidRPr="003D57B3">
        <w:rPr>
          <w:color w:val="000000"/>
        </w:rPr>
        <w:t>effectuées dans la bande</w:t>
      </w:r>
      <w:r w:rsidRPr="00DD6E8E">
        <w:rPr>
          <w:lang w:val="fr-CH"/>
        </w:rPr>
        <w:t xml:space="preserve"> </w:t>
      </w:r>
      <w:r>
        <w:rPr>
          <w:lang w:val="fr-CH"/>
        </w:rPr>
        <w:t>de fréquences</w:t>
      </w:r>
      <w:r w:rsidRPr="003D57B3">
        <w:rPr>
          <w:color w:val="000000"/>
        </w:rPr>
        <w:t xml:space="preserve"> 51,4-54,25 GHz et qu'il faudra peut-être définir à cet égard des mesures appropriées pour protéger le service de radioastronomie</w:t>
      </w:r>
      <w:r>
        <w:rPr>
          <w:color w:val="000000"/>
        </w:rPr>
        <w:t>,</w:t>
      </w:r>
    </w:p>
    <w:p w:rsidR="00CF18BC" w:rsidRPr="009A6CD2" w:rsidRDefault="00CF18BC" w:rsidP="00A17011">
      <w:pPr>
        <w:pStyle w:val="Call"/>
        <w:jc w:val="both"/>
        <w:rPr>
          <w:lang w:val="fr-CH"/>
        </w:rPr>
      </w:pPr>
      <w:r w:rsidRPr="009A6CD2">
        <w:rPr>
          <w:lang w:val="fr-CH"/>
        </w:rPr>
        <w:t>décide d</w:t>
      </w:r>
      <w:r>
        <w:rPr>
          <w:lang w:val="fr-CH"/>
        </w:rPr>
        <w:t>'</w:t>
      </w:r>
      <w:r w:rsidRPr="009A6CD2">
        <w:rPr>
          <w:lang w:val="fr-CH"/>
        </w:rPr>
        <w:t>inviter l</w:t>
      </w:r>
      <w:r>
        <w:rPr>
          <w:lang w:val="fr-CH"/>
        </w:rPr>
        <w:t>'</w:t>
      </w:r>
      <w:r w:rsidRPr="009A6CD2">
        <w:rPr>
          <w:lang w:val="fr-CH"/>
        </w:rPr>
        <w:t>UIT-R</w:t>
      </w:r>
    </w:p>
    <w:p w:rsidR="00CF18BC" w:rsidRPr="009A6CD2" w:rsidRDefault="00CF18BC" w:rsidP="00A17011">
      <w:pPr>
        <w:tabs>
          <w:tab w:val="clear" w:pos="1134"/>
          <w:tab w:val="left" w:pos="2552"/>
        </w:tabs>
        <w:jc w:val="both"/>
        <w:rPr>
          <w:szCs w:val="24"/>
          <w:lang w:val="fr-CH"/>
        </w:rPr>
      </w:pPr>
      <w:r w:rsidRPr="009A6CD2">
        <w:rPr>
          <w:szCs w:val="24"/>
          <w:lang w:val="fr-CH"/>
        </w:rPr>
        <w:t>à mener, et à achever à temps pour la CMR-19:</w:t>
      </w:r>
    </w:p>
    <w:p w:rsidR="00CF18BC" w:rsidRPr="009A6CD2" w:rsidRDefault="00CF18BC" w:rsidP="00A17011">
      <w:pPr>
        <w:tabs>
          <w:tab w:val="left" w:pos="1170"/>
        </w:tabs>
        <w:jc w:val="both"/>
        <w:rPr>
          <w:szCs w:val="24"/>
          <w:lang w:val="fr-CH"/>
        </w:rPr>
      </w:pPr>
      <w:r w:rsidRPr="009A6CD2">
        <w:rPr>
          <w:szCs w:val="24"/>
          <w:lang w:val="fr-CH"/>
        </w:rPr>
        <w:t>1</w:t>
      </w:r>
      <w:r w:rsidRPr="009A6CD2">
        <w:rPr>
          <w:szCs w:val="24"/>
          <w:lang w:val="fr-CH"/>
        </w:rPr>
        <w:tab/>
        <w:t>les études concernant les besoins de spectre supplémentaires pour le développement du service fixe par satellite, en tenant compte des bandes</w:t>
      </w:r>
      <w:r w:rsidRPr="00DA27FB">
        <w:t xml:space="preserve"> </w:t>
      </w:r>
      <w:r>
        <w:t>de fréquences</w:t>
      </w:r>
      <w:r w:rsidRPr="009A6CD2">
        <w:rPr>
          <w:szCs w:val="24"/>
          <w:lang w:val="fr-CH"/>
        </w:rPr>
        <w:t xml:space="preserve"> actuellement attribuées à ce service, des conditions techniques régissant leur utilisation, et de la possibilité d</w:t>
      </w:r>
      <w:r>
        <w:rPr>
          <w:szCs w:val="24"/>
          <w:lang w:val="fr-CH"/>
        </w:rPr>
        <w:t>'</w:t>
      </w:r>
      <w:r w:rsidRPr="009A6CD2">
        <w:rPr>
          <w:szCs w:val="24"/>
          <w:lang w:val="fr-CH"/>
        </w:rPr>
        <w:t>optimiser l</w:t>
      </w:r>
      <w:r>
        <w:rPr>
          <w:szCs w:val="24"/>
          <w:lang w:val="fr-CH"/>
        </w:rPr>
        <w:t xml:space="preserve">'utilisation </w:t>
      </w:r>
      <w:r w:rsidRPr="009A6CD2">
        <w:rPr>
          <w:szCs w:val="24"/>
          <w:lang w:val="fr-CH"/>
        </w:rPr>
        <w:t xml:space="preserve">de ces bandes </w:t>
      </w:r>
      <w:r>
        <w:t>de fréquences</w:t>
      </w:r>
      <w:r w:rsidRPr="009A6CD2">
        <w:rPr>
          <w:szCs w:val="24"/>
          <w:lang w:val="fr-CH"/>
        </w:rPr>
        <w:t xml:space="preserve"> en vue d</w:t>
      </w:r>
      <w:r>
        <w:rPr>
          <w:szCs w:val="24"/>
          <w:lang w:val="fr-CH"/>
        </w:rPr>
        <w:t>'</w:t>
      </w:r>
      <w:r w:rsidRPr="009A6CD2">
        <w:rPr>
          <w:szCs w:val="24"/>
          <w:lang w:val="fr-CH"/>
        </w:rPr>
        <w:t>améliorer l</w:t>
      </w:r>
      <w:r>
        <w:rPr>
          <w:szCs w:val="24"/>
          <w:lang w:val="fr-CH"/>
        </w:rPr>
        <w:t>'</w:t>
      </w:r>
      <w:r w:rsidRPr="009A6CD2">
        <w:rPr>
          <w:szCs w:val="24"/>
          <w:lang w:val="fr-CH"/>
        </w:rPr>
        <w:t>efficacité d</w:t>
      </w:r>
      <w:r>
        <w:rPr>
          <w:szCs w:val="24"/>
          <w:lang w:val="fr-CH"/>
        </w:rPr>
        <w:t>'</w:t>
      </w:r>
      <w:r w:rsidRPr="009A6CD2">
        <w:rPr>
          <w:szCs w:val="24"/>
          <w:lang w:val="fr-CH"/>
        </w:rPr>
        <w:t>utilisation du spectre;</w:t>
      </w:r>
    </w:p>
    <w:p w:rsidR="00CF18BC" w:rsidRPr="003D57B3" w:rsidRDefault="00CF18BC" w:rsidP="005131A3">
      <w:pPr>
        <w:tabs>
          <w:tab w:val="left" w:pos="1170"/>
        </w:tabs>
        <w:jc w:val="both"/>
        <w:rPr>
          <w:lang w:val="fr-CH"/>
        </w:rPr>
      </w:pPr>
      <w:r w:rsidRPr="009A6CD2">
        <w:rPr>
          <w:szCs w:val="24"/>
          <w:lang w:val="fr-CH"/>
        </w:rPr>
        <w:t>2</w:t>
      </w:r>
      <w:r w:rsidRPr="009A6CD2">
        <w:rPr>
          <w:szCs w:val="24"/>
          <w:lang w:val="fr-CH"/>
        </w:rPr>
        <w:tab/>
      </w:r>
      <w:r w:rsidRPr="003D57B3">
        <w:rPr>
          <w:szCs w:val="24"/>
          <w:lang w:val="fr-CH"/>
        </w:rPr>
        <w:t xml:space="preserve">sous réserve </w:t>
      </w:r>
      <w:r>
        <w:rPr>
          <w:szCs w:val="24"/>
          <w:lang w:val="fr-CH"/>
        </w:rPr>
        <w:t>que cela soit justifié à la suite</w:t>
      </w:r>
      <w:r w:rsidRPr="003D57B3">
        <w:rPr>
          <w:szCs w:val="24"/>
          <w:lang w:val="fr-CH"/>
        </w:rPr>
        <w:t xml:space="preserve"> des études menées au titre du point 1 du </w:t>
      </w:r>
      <w:r w:rsidRPr="003D57B3">
        <w:rPr>
          <w:i/>
          <w:iCs/>
          <w:szCs w:val="24"/>
          <w:lang w:val="fr-CH"/>
        </w:rPr>
        <w:t>décide d'inviter l'UIT-R</w:t>
      </w:r>
      <w:r w:rsidRPr="003D57B3">
        <w:rPr>
          <w:szCs w:val="24"/>
          <w:lang w:val="fr-CH"/>
        </w:rPr>
        <w:t xml:space="preserve">, les études de partage et de compatibilité avec les services existants, à titre primaire ou secondaire, y compris dans les bandes </w:t>
      </w:r>
      <w:r>
        <w:t>de fréquences</w:t>
      </w:r>
      <w:r w:rsidRPr="003D57B3">
        <w:rPr>
          <w:szCs w:val="24"/>
          <w:lang w:val="fr-CH"/>
        </w:rPr>
        <w:t xml:space="preserve"> adjacentes, selon le cas, afin de déterminer s'il est envisageable, </w:t>
      </w:r>
      <w:r>
        <w:rPr>
          <w:szCs w:val="24"/>
          <w:lang w:val="fr-CH"/>
        </w:rPr>
        <w:t>compte tenu de</w:t>
      </w:r>
      <w:r w:rsidRPr="003D57B3">
        <w:rPr>
          <w:szCs w:val="24"/>
          <w:lang w:val="fr-CH"/>
        </w:rPr>
        <w:t xml:space="preserve"> </w:t>
      </w:r>
      <w:r>
        <w:rPr>
          <w:szCs w:val="24"/>
          <w:lang w:val="fr-CH"/>
        </w:rPr>
        <w:t>la protection des services fixe et mobile</w:t>
      </w:r>
      <w:r w:rsidRPr="003D57B3">
        <w:rPr>
          <w:szCs w:val="24"/>
          <w:lang w:val="fr-CH"/>
        </w:rPr>
        <w:t>, de faire de nouvelles attributions à titre primaire au SFS dans la bande de fréquences</w:t>
      </w:r>
      <w:r>
        <w:rPr>
          <w:szCs w:val="24"/>
          <w:lang w:val="fr-CH"/>
        </w:rPr>
        <w:t xml:space="preserve"> </w:t>
      </w:r>
      <w:r w:rsidRPr="003D57B3">
        <w:t>51,4-</w:t>
      </w:r>
      <w:r w:rsidRPr="003D57B3">
        <w:lastRenderedPageBreak/>
        <w:t>52,4</w:t>
      </w:r>
      <w:r w:rsidR="005131A3">
        <w:t> </w:t>
      </w:r>
      <w:r w:rsidRPr="003D57B3">
        <w:t xml:space="preserve">GHz (Terre vers espace), limitée aux liaisons de connexion du SFS </w:t>
      </w:r>
      <w:r w:rsidRPr="003D57B3">
        <w:rPr>
          <w:color w:val="000000"/>
        </w:rPr>
        <w:t>pour des systèmes à satellites géostationnaires</w:t>
      </w:r>
      <w:r>
        <w:rPr>
          <w:color w:val="000000"/>
        </w:rPr>
        <w:t>,</w:t>
      </w:r>
      <w:r w:rsidRPr="003D57B3">
        <w:rPr>
          <w:color w:val="000000"/>
        </w:rPr>
        <w:t xml:space="preserve"> et de définir les éventuelles mesures réglementaires associées</w:t>
      </w:r>
      <w:r w:rsidRPr="003D57B3">
        <w:rPr>
          <w:lang w:val="fr-CH"/>
        </w:rPr>
        <w:t>;</w:t>
      </w:r>
    </w:p>
    <w:p w:rsidR="00CF18BC" w:rsidRDefault="00CF18BC" w:rsidP="005131A3">
      <w:pPr>
        <w:jc w:val="both"/>
        <w:rPr>
          <w:szCs w:val="24"/>
          <w:lang w:val="fr-CH"/>
        </w:rPr>
      </w:pPr>
      <w:r w:rsidRPr="003D57B3">
        <w:rPr>
          <w:szCs w:val="24"/>
          <w:lang w:val="fr-CH"/>
        </w:rPr>
        <w:t>3</w:t>
      </w:r>
      <w:r w:rsidRPr="003D57B3">
        <w:rPr>
          <w:szCs w:val="24"/>
          <w:lang w:val="fr-CH"/>
        </w:rPr>
        <w:tab/>
        <w:t xml:space="preserve">les études en vue d'une possible révision de la Résolution </w:t>
      </w:r>
      <w:r w:rsidRPr="003D57B3">
        <w:rPr>
          <w:b/>
          <w:bCs/>
          <w:szCs w:val="24"/>
          <w:lang w:val="fr-CH"/>
        </w:rPr>
        <w:t>750 (Rév.CMR-1</w:t>
      </w:r>
      <w:r>
        <w:rPr>
          <w:b/>
          <w:bCs/>
          <w:szCs w:val="24"/>
          <w:lang w:val="fr-CH"/>
        </w:rPr>
        <w:t>5</w:t>
      </w:r>
      <w:r w:rsidRPr="003D57B3">
        <w:rPr>
          <w:b/>
          <w:bCs/>
          <w:szCs w:val="24"/>
          <w:lang w:val="fr-CH"/>
        </w:rPr>
        <w:t>)</w:t>
      </w:r>
      <w:r w:rsidRPr="003D57B3">
        <w:rPr>
          <w:szCs w:val="24"/>
          <w:lang w:val="fr-CH"/>
        </w:rPr>
        <w:t xml:space="preserve"> de</w:t>
      </w:r>
      <w:r w:rsidRPr="009A6CD2">
        <w:rPr>
          <w:szCs w:val="24"/>
          <w:lang w:val="fr-CH"/>
        </w:rPr>
        <w:t xml:space="preserve"> sorte que les systèmes fonctionnant dans la bande </w:t>
      </w:r>
      <w:r>
        <w:t>de fréquences</w:t>
      </w:r>
      <w:r w:rsidRPr="009A6CD2">
        <w:rPr>
          <w:szCs w:val="24"/>
          <w:lang w:val="fr-CH"/>
        </w:rPr>
        <w:t xml:space="preserve"> passive 52,6-54,25</w:t>
      </w:r>
      <w:r w:rsidR="005131A3">
        <w:rPr>
          <w:szCs w:val="24"/>
          <w:lang w:val="fr-CH"/>
        </w:rPr>
        <w:t> </w:t>
      </w:r>
      <w:r w:rsidRPr="009A6CD2">
        <w:rPr>
          <w:szCs w:val="24"/>
          <w:lang w:val="fr-CH"/>
        </w:rPr>
        <w:t>GHz bénéficient d</w:t>
      </w:r>
      <w:r>
        <w:rPr>
          <w:szCs w:val="24"/>
          <w:lang w:val="fr-CH"/>
        </w:rPr>
        <w:t>'</w:t>
      </w:r>
      <w:r w:rsidRPr="009A6CD2">
        <w:rPr>
          <w:szCs w:val="24"/>
          <w:lang w:val="fr-CH"/>
        </w:rPr>
        <w:t>une protection</w:t>
      </w:r>
      <w:r>
        <w:rPr>
          <w:szCs w:val="24"/>
          <w:lang w:val="fr-CH"/>
        </w:rPr>
        <w:t>;</w:t>
      </w:r>
    </w:p>
    <w:p w:rsidR="00CF18BC" w:rsidRPr="009A6CD2" w:rsidRDefault="00CF18BC" w:rsidP="00A17011">
      <w:pPr>
        <w:jc w:val="both"/>
        <w:rPr>
          <w:szCs w:val="24"/>
          <w:lang w:val="fr-CH"/>
        </w:rPr>
      </w:pPr>
      <w:r>
        <w:rPr>
          <w:szCs w:val="24"/>
          <w:lang w:val="fr-CH"/>
        </w:rPr>
        <w:t>4</w:t>
      </w:r>
      <w:r>
        <w:rPr>
          <w:szCs w:val="24"/>
          <w:lang w:val="fr-CH"/>
        </w:rPr>
        <w:tab/>
        <w:t>les études relatives à la protection du service de radioastronomie, comme indiqué au point</w:t>
      </w:r>
      <w:r w:rsidRPr="006B1928">
        <w:rPr>
          <w:szCs w:val="24"/>
          <w:lang w:val="fr-CH"/>
        </w:rPr>
        <w:t> </w:t>
      </w:r>
      <w:r w:rsidRPr="003D57B3">
        <w:rPr>
          <w:i/>
          <w:iCs/>
          <w:szCs w:val="24"/>
          <w:lang w:val="fr-CH"/>
        </w:rPr>
        <w:t>c)</w:t>
      </w:r>
      <w:r>
        <w:rPr>
          <w:szCs w:val="24"/>
          <w:lang w:val="fr-CH"/>
        </w:rPr>
        <w:t xml:space="preserve"> du reconnaissant, y compris des mesures réglementaires appropriées,</w:t>
      </w:r>
    </w:p>
    <w:p w:rsidR="00CF18BC" w:rsidRPr="009A6CD2" w:rsidRDefault="00CF18BC" w:rsidP="00A17011">
      <w:pPr>
        <w:pStyle w:val="Call"/>
        <w:jc w:val="both"/>
        <w:rPr>
          <w:lang w:val="fr-CH"/>
        </w:rPr>
      </w:pPr>
      <w:r>
        <w:rPr>
          <w:lang w:val="fr-CH"/>
        </w:rPr>
        <w:t>charge le Directeur du Bureau des radiocommunications</w:t>
      </w:r>
    </w:p>
    <w:p w:rsidR="00CF18BC" w:rsidRPr="009A6CD2" w:rsidRDefault="00CF18BC" w:rsidP="00A17011">
      <w:pPr>
        <w:jc w:val="both"/>
        <w:rPr>
          <w:lang w:val="fr-CH"/>
        </w:rPr>
      </w:pPr>
      <w:r>
        <w:rPr>
          <w:lang w:val="fr-CH"/>
        </w:rPr>
        <w:t>de faire rapport sur les résultats des études de l'UIT-R à la CMR-19</w:t>
      </w:r>
      <w:r w:rsidRPr="009A6CD2">
        <w:rPr>
          <w:lang w:val="fr-CH"/>
        </w:rPr>
        <w:t>,</w:t>
      </w:r>
    </w:p>
    <w:p w:rsidR="00CF18BC" w:rsidRPr="009A6CD2" w:rsidRDefault="00CF18BC" w:rsidP="00A17011">
      <w:pPr>
        <w:pStyle w:val="Call"/>
        <w:jc w:val="both"/>
        <w:rPr>
          <w:lang w:val="fr-CH" w:eastAsia="nl-NL"/>
        </w:rPr>
      </w:pPr>
      <w:r>
        <w:rPr>
          <w:lang w:val="fr-CH" w:eastAsia="nl-NL"/>
        </w:rPr>
        <w:t>invite les administrations</w:t>
      </w:r>
    </w:p>
    <w:p w:rsidR="003F6AAF" w:rsidRPr="00CF18BC" w:rsidRDefault="00CF18BC" w:rsidP="00A17011">
      <w:pPr>
        <w:jc w:val="both"/>
        <w:rPr>
          <w:rFonts w:asciiTheme="majorBidi" w:hAnsiTheme="majorBidi" w:cstheme="majorBidi"/>
          <w:szCs w:val="24"/>
        </w:rPr>
      </w:pPr>
      <w:r w:rsidRPr="009A6CD2">
        <w:rPr>
          <w:lang w:val="fr-CH" w:eastAsia="nl-NL"/>
        </w:rPr>
        <w:t xml:space="preserve">à participer </w:t>
      </w:r>
      <w:r>
        <w:rPr>
          <w:lang w:val="fr-CH" w:eastAsia="nl-NL"/>
        </w:rPr>
        <w:t>activement à ces</w:t>
      </w:r>
      <w:r w:rsidRPr="009A6CD2">
        <w:rPr>
          <w:lang w:val="fr-CH" w:eastAsia="nl-NL"/>
        </w:rPr>
        <w:t xml:space="preserve"> études en soumettant des contributions à l</w:t>
      </w:r>
      <w:r>
        <w:rPr>
          <w:lang w:val="fr-CH" w:eastAsia="nl-NL"/>
        </w:rPr>
        <w:t>'</w:t>
      </w:r>
      <w:r w:rsidRPr="009A6CD2">
        <w:rPr>
          <w:lang w:val="fr-CH" w:eastAsia="nl-NL"/>
        </w:rPr>
        <w:t>UIT</w:t>
      </w:r>
      <w:r w:rsidRPr="009A6CD2">
        <w:rPr>
          <w:lang w:val="fr-CH" w:eastAsia="nl-NL"/>
        </w:rPr>
        <w:noBreakHyphen/>
        <w:t>R.</w:t>
      </w:r>
    </w:p>
    <w:p w:rsidR="00BA46DC" w:rsidRPr="00CF18BC" w:rsidRDefault="00BA46DC" w:rsidP="00A17011">
      <w:pPr>
        <w:rPr>
          <w:rFonts w:asciiTheme="majorBidi" w:hAnsiTheme="majorBidi" w:cstheme="majorBidi"/>
          <w:szCs w:val="24"/>
        </w:rPr>
      </w:pPr>
    </w:p>
    <w:p w:rsidR="00BA46DC" w:rsidRPr="00CF18BC" w:rsidRDefault="00BA46DC" w:rsidP="00A17011">
      <w:pPr>
        <w:overflowPunct/>
        <w:autoSpaceDE/>
        <w:autoSpaceDN/>
        <w:adjustRightInd/>
        <w:spacing w:before="0"/>
        <w:textAlignment w:val="auto"/>
        <w:rPr>
          <w:rFonts w:asciiTheme="majorBidi" w:hAnsiTheme="majorBidi" w:cstheme="majorBidi"/>
          <w:szCs w:val="24"/>
        </w:rPr>
      </w:pPr>
      <w:r w:rsidRPr="00CF18BC">
        <w:rPr>
          <w:rFonts w:asciiTheme="majorBidi" w:hAnsiTheme="majorBidi" w:cstheme="majorBidi"/>
          <w:szCs w:val="24"/>
        </w:rPr>
        <w:br w:type="page"/>
      </w:r>
    </w:p>
    <w:p w:rsidR="00536000" w:rsidRPr="00536000" w:rsidRDefault="00F96BD5" w:rsidP="00A17011">
      <w:pPr>
        <w:pStyle w:val="ResNo"/>
      </w:pPr>
      <w:bookmarkStart w:id="127" w:name="RES_212"/>
      <w:bookmarkStart w:id="128" w:name="_Toc327364389"/>
      <w:bookmarkStart w:id="129" w:name="_Toc444507551"/>
      <w:bookmarkStart w:id="130" w:name="_Toc460331702"/>
      <w:bookmarkStart w:id="131" w:name="_Toc463616159"/>
      <w:bookmarkEnd w:id="96"/>
      <w:bookmarkEnd w:id="97"/>
      <w:r>
        <w:lastRenderedPageBreak/>
        <w:t>R</w:t>
      </w:r>
      <w:r w:rsidR="001D5201" w:rsidRPr="001D5201">
        <w:t>É</w:t>
      </w:r>
      <w:r w:rsidR="00536000" w:rsidRPr="00536000">
        <w:t xml:space="preserve">SOLUTION </w:t>
      </w:r>
      <w:r w:rsidR="00536000" w:rsidRPr="00536000">
        <w:rPr>
          <w:rStyle w:val="href"/>
        </w:rPr>
        <w:t>212</w:t>
      </w:r>
      <w:r w:rsidR="00536000" w:rsidRPr="00536000">
        <w:t xml:space="preserve"> </w:t>
      </w:r>
      <w:bookmarkEnd w:id="127"/>
      <w:r w:rsidR="00536000" w:rsidRPr="00536000">
        <w:t>(</w:t>
      </w:r>
      <w:r w:rsidRPr="00536000">
        <w:rPr>
          <w:caps w:val="0"/>
        </w:rPr>
        <w:t>R</w:t>
      </w:r>
      <w:r>
        <w:rPr>
          <w:caps w:val="0"/>
        </w:rPr>
        <w:t>é</w:t>
      </w:r>
      <w:r w:rsidRPr="00536000">
        <w:rPr>
          <w:caps w:val="0"/>
        </w:rPr>
        <w:t>v</w:t>
      </w:r>
      <w:r w:rsidR="00536000" w:rsidRPr="00536000">
        <w:t>.</w:t>
      </w:r>
      <w:r w:rsidR="00F8363E" w:rsidRPr="00A20F5A">
        <w:t>C</w:t>
      </w:r>
      <w:r w:rsidR="00F8363E">
        <w:t>MR</w:t>
      </w:r>
      <w:r w:rsidR="00536000" w:rsidRPr="00536000">
        <w:noBreakHyphen/>
        <w:t>15)</w:t>
      </w:r>
      <w:bookmarkEnd w:id="128"/>
      <w:bookmarkEnd w:id="129"/>
      <w:bookmarkEnd w:id="130"/>
      <w:bookmarkEnd w:id="131"/>
    </w:p>
    <w:p w:rsidR="00CF18BC" w:rsidRPr="00134885" w:rsidRDefault="00CF18BC" w:rsidP="00A17011">
      <w:pPr>
        <w:pStyle w:val="Restitle"/>
        <w:rPr>
          <w:lang w:val="fr-CH"/>
        </w:rPr>
      </w:pPr>
      <w:bookmarkStart w:id="132" w:name="_Toc463616160"/>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bookmarkEnd w:id="132"/>
    </w:p>
    <w:p w:rsidR="00CF18BC" w:rsidRPr="00C932C3" w:rsidRDefault="00CF18BC" w:rsidP="00A17011">
      <w:pPr>
        <w:pStyle w:val="Normalaftertitle"/>
        <w:rPr>
          <w:lang w:val="fr-CH"/>
        </w:rPr>
      </w:pPr>
      <w:r w:rsidRPr="00C932C3">
        <w:rPr>
          <w:lang w:val="fr-CH"/>
        </w:rPr>
        <w:t>La Conférence mondiale des radiocommunications (Genève, 2015),</w:t>
      </w:r>
    </w:p>
    <w:p w:rsidR="00CF18BC" w:rsidRPr="00134885" w:rsidRDefault="00CF18BC" w:rsidP="00A17011">
      <w:pPr>
        <w:pStyle w:val="Call"/>
        <w:rPr>
          <w:lang w:val="fr-CH"/>
        </w:rPr>
      </w:pPr>
      <w:r w:rsidRPr="00134885">
        <w:rPr>
          <w:lang w:val="fr-CH"/>
        </w:rPr>
        <w:t>considérant</w:t>
      </w:r>
    </w:p>
    <w:p w:rsidR="00CF18BC" w:rsidRPr="00134885" w:rsidRDefault="00CF18BC" w:rsidP="00A17011">
      <w:pPr>
        <w:jc w:val="both"/>
        <w:rPr>
          <w:lang w:val="fr-CH"/>
        </w:rPr>
      </w:pPr>
      <w:r w:rsidRPr="00134885">
        <w:rPr>
          <w:i/>
          <w:iCs/>
          <w:lang w:val="fr-CH"/>
        </w:rPr>
        <w:t>a)</w:t>
      </w:r>
      <w:r w:rsidRPr="00134885">
        <w:rPr>
          <w:lang w:val="fr-CH"/>
        </w:rPr>
        <w:tab/>
        <w:t>que la Résolution UIT</w:t>
      </w:r>
      <w:r w:rsidRPr="00134885">
        <w:rPr>
          <w:lang w:val="fr-CH"/>
        </w:rPr>
        <w:noBreakHyphen/>
        <w:t>R 56 dé</w:t>
      </w:r>
      <w:r>
        <w:rPr>
          <w:lang w:val="fr-CH"/>
        </w:rPr>
        <w:t xml:space="preserve">finit les appellations pour les </w:t>
      </w:r>
      <w:r w:rsidRPr="00134885">
        <w:rPr>
          <w:lang w:val="fr-CH"/>
        </w:rPr>
        <w:t>Télécommunications mobiles internationales (IMT);</w:t>
      </w:r>
    </w:p>
    <w:p w:rsidR="00CF18BC" w:rsidRPr="00134885" w:rsidRDefault="00CF18BC" w:rsidP="00A17011">
      <w:pPr>
        <w:jc w:val="both"/>
        <w:rPr>
          <w:lang w:val="fr-CH"/>
        </w:rPr>
      </w:pPr>
      <w:r w:rsidRPr="00134885">
        <w:rPr>
          <w:i/>
          <w:iCs/>
          <w:lang w:val="fr-CH"/>
        </w:rPr>
        <w:t>b)</w:t>
      </w:r>
      <w:r w:rsidRPr="00134885">
        <w:rPr>
          <w:lang w:val="fr-CH"/>
        </w:rPr>
        <w:tab/>
        <w:t>que</w:t>
      </w:r>
      <w:r>
        <w:rPr>
          <w:lang w:val="fr-CH"/>
        </w:rPr>
        <w:t xml:space="preserve"> le Secteur des radiocommunications de</w:t>
      </w:r>
      <w:r w:rsidRPr="00134885">
        <w:rPr>
          <w:lang w:val="fr-CH"/>
        </w:rPr>
        <w:t xml:space="preserve"> l'UIT</w:t>
      </w:r>
      <w:r>
        <w:rPr>
          <w:lang w:val="fr-CH"/>
        </w:rPr>
        <w:t xml:space="preserve"> (UIT</w:t>
      </w:r>
      <w:r w:rsidRPr="00134885">
        <w:rPr>
          <w:lang w:val="fr-CH"/>
        </w:rPr>
        <w:t>-R</w:t>
      </w:r>
      <w:r>
        <w:rPr>
          <w:lang w:val="fr-CH"/>
        </w:rPr>
        <w:t>), en vue de la CMR</w:t>
      </w:r>
      <w:r>
        <w:rPr>
          <w:lang w:val="fr-CH"/>
        </w:rPr>
        <w:noBreakHyphen/>
        <w:t>97, a </w:t>
      </w:r>
      <w:r w:rsidRPr="00134885">
        <w:rPr>
          <w:lang w:val="fr-CH"/>
        </w:rPr>
        <w:t>recommandé l'utilisation d'environ 230 MHz par la composante de Terre et la composante satellite des IMT;</w:t>
      </w:r>
    </w:p>
    <w:p w:rsidR="00CF18BC" w:rsidRPr="00134885" w:rsidRDefault="00CF18BC" w:rsidP="00A17011">
      <w:pPr>
        <w:jc w:val="both"/>
        <w:rPr>
          <w:lang w:val="fr-CH"/>
        </w:rPr>
      </w:pPr>
      <w:r w:rsidRPr="00134885">
        <w:rPr>
          <w:i/>
          <w:iCs/>
          <w:lang w:val="fr-CH"/>
        </w:rPr>
        <w:t>c)</w:t>
      </w:r>
      <w:r w:rsidRPr="00134885">
        <w:rPr>
          <w:i/>
          <w:iCs/>
          <w:lang w:val="fr-CH"/>
        </w:rPr>
        <w:tab/>
      </w:r>
      <w:r w:rsidRPr="00134885">
        <w:rPr>
          <w:lang w:val="fr-CH"/>
        </w:rPr>
        <w:t>que, selon des études de l'UIT</w:t>
      </w:r>
      <w:r w:rsidRPr="00134885">
        <w:rPr>
          <w:lang w:val="fr-CH"/>
        </w:rPr>
        <w:noBreakHyphen/>
        <w:t>R, des bandes de fréquences additionnelles seront peut</w:t>
      </w:r>
      <w:r w:rsidRPr="00134885">
        <w:rPr>
          <w:lang w:val="fr-CH"/>
        </w:rPr>
        <w:noBreakHyphen/>
        <w:t>être nécessaires pour prendre en charge les services futurs des IMT, répondre aux besoins futurs des utilisateurs et pour permettre le déploiement de réseaux;</w:t>
      </w:r>
    </w:p>
    <w:p w:rsidR="00CF18BC" w:rsidRPr="00134885" w:rsidRDefault="00CF18BC" w:rsidP="00A17011">
      <w:pPr>
        <w:jc w:val="both"/>
        <w:rPr>
          <w:lang w:val="fr-CH"/>
        </w:rPr>
      </w:pPr>
      <w:r w:rsidRPr="00134885">
        <w:rPr>
          <w:i/>
          <w:iCs/>
          <w:lang w:val="fr-CH"/>
        </w:rPr>
        <w:t>d)</w:t>
      </w:r>
      <w:r w:rsidRPr="00134885">
        <w:rPr>
          <w:lang w:val="fr-CH"/>
        </w:rPr>
        <w:tab/>
        <w:t>que l'UIT-R a reconnu que les techniques spatiales font partie intégrante des IMT;</w:t>
      </w:r>
    </w:p>
    <w:p w:rsidR="00CF18BC" w:rsidRPr="00134885" w:rsidRDefault="00CF18BC" w:rsidP="00A17011">
      <w:pPr>
        <w:jc w:val="both"/>
        <w:rPr>
          <w:lang w:val="fr-CH"/>
        </w:rPr>
      </w:pPr>
      <w:r w:rsidRPr="00134885">
        <w:rPr>
          <w:i/>
          <w:iCs/>
          <w:lang w:val="fr-CH"/>
        </w:rPr>
        <w:t>e)</w:t>
      </w:r>
      <w:r w:rsidRPr="00134885">
        <w:rPr>
          <w:lang w:val="fr-CH"/>
        </w:rPr>
        <w:tab/>
        <w:t>que la CAMR</w:t>
      </w:r>
      <w:r w:rsidRPr="00134885">
        <w:rPr>
          <w:lang w:val="fr-CH"/>
        </w:rPr>
        <w:noBreakHyphen/>
        <w:t xml:space="preserve">92 a identifié, au numéro </w:t>
      </w:r>
      <w:r w:rsidRPr="00134885">
        <w:rPr>
          <w:b/>
          <w:bCs/>
          <w:lang w:val="fr-CH"/>
        </w:rPr>
        <w:t>5.388</w:t>
      </w:r>
      <w:r w:rsidRPr="00134885">
        <w:rPr>
          <w:lang w:val="fr-CH"/>
        </w:rPr>
        <w:t>, des bandes de fréquences pour prendre en charge certains services mobiles, aujourd'hui appelés IMT,</w:t>
      </w:r>
    </w:p>
    <w:p w:rsidR="00CF18BC" w:rsidRPr="00134885" w:rsidRDefault="00CF18BC" w:rsidP="00A17011">
      <w:pPr>
        <w:pStyle w:val="Call"/>
        <w:jc w:val="both"/>
        <w:rPr>
          <w:lang w:val="fr-CH"/>
        </w:rPr>
      </w:pPr>
      <w:r w:rsidRPr="00134885">
        <w:rPr>
          <w:lang w:val="fr-CH"/>
        </w:rPr>
        <w:t>notant</w:t>
      </w:r>
    </w:p>
    <w:p w:rsidR="00CF18BC" w:rsidRPr="002C6C91" w:rsidRDefault="00CF18BC" w:rsidP="00A17011">
      <w:pPr>
        <w:jc w:val="both"/>
      </w:pPr>
      <w:r w:rsidRPr="00134885">
        <w:rPr>
          <w:i/>
          <w:iCs/>
          <w:lang w:val="fr-CH"/>
        </w:rPr>
        <w:t>a)</w:t>
      </w:r>
      <w:r w:rsidRPr="00134885">
        <w:rPr>
          <w:lang w:val="fr-CH"/>
        </w:rPr>
        <w:tab/>
        <w:t xml:space="preserve">que la composante de Terre des IMT a déjà été </w:t>
      </w:r>
      <w:r w:rsidRPr="00C932C3">
        <w:rPr>
          <w:lang w:val="fr-CH"/>
        </w:rPr>
        <w:t>déployée</w:t>
      </w:r>
      <w:r w:rsidRPr="00134885">
        <w:rPr>
          <w:lang w:val="fr-CH"/>
        </w:rPr>
        <w:t xml:space="preserve">, ou que </w:t>
      </w:r>
      <w:r w:rsidRPr="00C932C3">
        <w:rPr>
          <w:lang w:val="fr-CH"/>
        </w:rPr>
        <w:t>son déploiement est envisagé</w:t>
      </w:r>
      <w:r w:rsidRPr="00134885">
        <w:rPr>
          <w:lang w:val="fr-CH"/>
        </w:rPr>
        <w:t>, dans les bandes</w:t>
      </w:r>
      <w:r>
        <w:rPr>
          <w:lang w:val="fr-CH"/>
        </w:rPr>
        <w:t xml:space="preserve"> de fréquences</w:t>
      </w:r>
      <w:r w:rsidRPr="00134885">
        <w:rPr>
          <w:lang w:val="fr-CH"/>
        </w:rPr>
        <w:t xml:space="preserve"> 1 885</w:t>
      </w:r>
      <w:r w:rsidRPr="00134885">
        <w:rPr>
          <w:caps/>
          <w:lang w:val="fr-CH"/>
        </w:rPr>
        <w:t>-1 980 MH</w:t>
      </w:r>
      <w:r w:rsidRPr="00C932C3">
        <w:rPr>
          <w:lang w:val="fr-CH"/>
        </w:rPr>
        <w:t>z</w:t>
      </w:r>
      <w:r w:rsidRPr="00134885">
        <w:rPr>
          <w:caps/>
          <w:lang w:val="fr-CH"/>
        </w:rPr>
        <w:t>, 2 010-</w:t>
      </w:r>
      <w:r w:rsidRPr="00134885">
        <w:rPr>
          <w:lang w:val="fr-CH"/>
        </w:rPr>
        <w:t>2 025 MHz et 2 110</w:t>
      </w:r>
      <w:r w:rsidRPr="00134885">
        <w:rPr>
          <w:caps/>
          <w:lang w:val="fr-CH"/>
        </w:rPr>
        <w:t>-</w:t>
      </w:r>
      <w:r w:rsidRPr="002C6C91">
        <w:t>2 170 MHz;</w:t>
      </w:r>
    </w:p>
    <w:p w:rsidR="00CF18BC" w:rsidRPr="00134885" w:rsidRDefault="00CF18BC" w:rsidP="00A17011">
      <w:pPr>
        <w:jc w:val="both"/>
        <w:rPr>
          <w:lang w:val="fr-CH"/>
        </w:rPr>
      </w:pPr>
      <w:r w:rsidRPr="00134885">
        <w:rPr>
          <w:i/>
          <w:iCs/>
          <w:lang w:val="fr-CH"/>
        </w:rPr>
        <w:t>b)</w:t>
      </w:r>
      <w:r w:rsidRPr="00134885">
        <w:rPr>
          <w:lang w:val="fr-CH"/>
        </w:rPr>
        <w:tab/>
        <w:t xml:space="preserve">que la composante de Terre et la composante satellite des IMT ont déjà été déployées, ou que leur déploiement est envisagé, dans les bandes </w:t>
      </w:r>
      <w:r>
        <w:rPr>
          <w:lang w:val="fr-CH"/>
        </w:rPr>
        <w:t xml:space="preserve">de fréquences </w:t>
      </w:r>
      <w:r w:rsidRPr="00134885">
        <w:rPr>
          <w:lang w:val="fr-CH"/>
        </w:rPr>
        <w:t>1 980-2 010 MHz et 2 170</w:t>
      </w:r>
      <w:r>
        <w:rPr>
          <w:lang w:val="fr-CH"/>
        </w:rPr>
        <w:noBreakHyphen/>
      </w:r>
      <w:r w:rsidRPr="00134885">
        <w:rPr>
          <w:lang w:val="fr-CH"/>
        </w:rPr>
        <w:t>2 200 MHz;</w:t>
      </w:r>
    </w:p>
    <w:p w:rsidR="00CF18BC" w:rsidRPr="00134885" w:rsidRDefault="00CF18BC" w:rsidP="00A17011">
      <w:pPr>
        <w:jc w:val="both"/>
        <w:rPr>
          <w:lang w:val="fr-CH"/>
        </w:rPr>
      </w:pPr>
      <w:r w:rsidRPr="00134885">
        <w:rPr>
          <w:i/>
          <w:iCs/>
          <w:lang w:val="fr-CH"/>
        </w:rPr>
        <w:t>c)</w:t>
      </w:r>
      <w:r w:rsidRPr="00134885">
        <w:rPr>
          <w:lang w:val="fr-CH"/>
        </w:rPr>
        <w:tab/>
        <w:t>que la disponibilité simultanée de la composante satellite des IMT dans les bandes</w:t>
      </w:r>
      <w:r>
        <w:rPr>
          <w:lang w:val="fr-CH"/>
        </w:rPr>
        <w:t xml:space="preserve"> de fréquences</w:t>
      </w:r>
      <w:r w:rsidRPr="00134885">
        <w:rPr>
          <w:lang w:val="fr-CH"/>
        </w:rPr>
        <w:t xml:space="preserve"> 1 980</w:t>
      </w:r>
      <w:r w:rsidRPr="00134885">
        <w:rPr>
          <w:caps/>
          <w:lang w:val="fr-CH"/>
        </w:rPr>
        <w:t>-</w:t>
      </w:r>
      <w:r w:rsidRPr="00134885">
        <w:rPr>
          <w:lang w:val="fr-CH"/>
        </w:rPr>
        <w:t>2 010 MHz et 2 170</w:t>
      </w:r>
      <w:r w:rsidRPr="00134885">
        <w:rPr>
          <w:caps/>
          <w:lang w:val="fr-CH"/>
        </w:rPr>
        <w:t>-</w:t>
      </w:r>
      <w:r w:rsidRPr="00134885">
        <w:rPr>
          <w:lang w:val="fr-CH"/>
        </w:rPr>
        <w:t>2 200 MHz et de la composante de Terre des IMT dans les bandes</w:t>
      </w:r>
      <w:r>
        <w:rPr>
          <w:lang w:val="fr-CH"/>
        </w:rPr>
        <w:t xml:space="preserve"> de fréquences</w:t>
      </w:r>
      <w:r w:rsidRPr="00134885">
        <w:rPr>
          <w:lang w:val="fr-CH"/>
        </w:rPr>
        <w:t xml:space="preserve"> indiquées dans le numéro </w:t>
      </w:r>
      <w:r w:rsidRPr="00134885">
        <w:rPr>
          <w:b/>
          <w:bCs/>
          <w:lang w:val="fr-CH"/>
        </w:rPr>
        <w:t>5.388</w:t>
      </w:r>
      <w:r w:rsidRPr="00134885">
        <w:rPr>
          <w:rStyle w:val="ArtrefBold0"/>
          <w:lang w:val="fr-CH"/>
        </w:rPr>
        <w:t xml:space="preserve"> </w:t>
      </w:r>
      <w:r w:rsidRPr="00134885">
        <w:rPr>
          <w:lang w:val="fr-CH"/>
        </w:rPr>
        <w:t>faciliterait la mise en œuvre générale et augmenterait l'attrait des IMT,</w:t>
      </w:r>
    </w:p>
    <w:p w:rsidR="00CF18BC" w:rsidRPr="00134885" w:rsidRDefault="00CF18BC" w:rsidP="00A17011">
      <w:pPr>
        <w:pStyle w:val="Call"/>
        <w:jc w:val="both"/>
        <w:rPr>
          <w:i w:val="0"/>
          <w:lang w:val="fr-CH"/>
        </w:rPr>
      </w:pPr>
      <w:r w:rsidRPr="00134885">
        <w:rPr>
          <w:lang w:val="fr-CH"/>
        </w:rPr>
        <w:t>notant en outre</w:t>
      </w:r>
    </w:p>
    <w:p w:rsidR="00CF18BC" w:rsidRPr="00134885" w:rsidRDefault="00CF18BC" w:rsidP="00A17011">
      <w:pPr>
        <w:jc w:val="both"/>
        <w:rPr>
          <w:bCs/>
          <w:lang w:val="fr-CH" w:eastAsia="zh-CN"/>
        </w:rPr>
      </w:pPr>
      <w:r w:rsidRPr="00134885">
        <w:rPr>
          <w:i/>
          <w:lang w:val="fr-CH"/>
        </w:rPr>
        <w:t>a)</w:t>
      </w:r>
      <w:r w:rsidRPr="00134885">
        <w:rPr>
          <w:i/>
          <w:lang w:val="fr-CH"/>
        </w:rPr>
        <w:tab/>
      </w:r>
      <w:r w:rsidRPr="00134885">
        <w:rPr>
          <w:bCs/>
          <w:lang w:val="fr-CH"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w:t>
      </w:r>
      <w:r>
        <w:rPr>
          <w:bCs/>
          <w:lang w:val="fr-CH" w:eastAsia="zh-CN"/>
        </w:rPr>
        <w:t> </w:t>
      </w:r>
      <w:r w:rsidRPr="00134885">
        <w:rPr>
          <w:bCs/>
          <w:lang w:val="fr-CH" w:eastAsia="zh-CN"/>
        </w:rPr>
        <w:t>Terre et la composante satellite des IMT</w:t>
      </w:r>
      <w:r w:rsidRPr="00134885">
        <w:rPr>
          <w:lang w:val="fr-CH"/>
        </w:rPr>
        <w:t>;</w:t>
      </w:r>
    </w:p>
    <w:p w:rsidR="00CF18BC" w:rsidRPr="00134885" w:rsidRDefault="00CF18BC" w:rsidP="00A17011">
      <w:pPr>
        <w:jc w:val="both"/>
        <w:rPr>
          <w:lang w:val="fr-CH"/>
        </w:rPr>
      </w:pPr>
      <w:r w:rsidRPr="00134885">
        <w:rPr>
          <w:i/>
          <w:lang w:val="fr-CH"/>
        </w:rPr>
        <w:t>b)</w:t>
      </w:r>
      <w:r w:rsidRPr="00134885">
        <w:rPr>
          <w:i/>
          <w:lang w:val="fr-CH"/>
        </w:rPr>
        <w:tab/>
      </w:r>
      <w:r w:rsidRPr="00134885">
        <w:rPr>
          <w:lang w:val="fr-CH"/>
        </w:rPr>
        <w:t xml:space="preserve">que lorsque </w:t>
      </w:r>
      <w:r w:rsidRPr="00134885">
        <w:rPr>
          <w:lang w:val="fr-CH" w:eastAsia="zh-CN"/>
        </w:rPr>
        <w:t xml:space="preserve">la composante </w:t>
      </w:r>
      <w:r w:rsidRPr="00C932C3">
        <w:rPr>
          <w:lang w:val="fr-CH" w:eastAsia="zh-CN"/>
        </w:rPr>
        <w:t xml:space="preserve">de Terre </w:t>
      </w:r>
      <w:r w:rsidRPr="00134885">
        <w:rPr>
          <w:lang w:val="fr-CH" w:eastAsia="zh-CN"/>
        </w:rPr>
        <w:t xml:space="preserve">et la composante </w:t>
      </w:r>
      <w:r w:rsidRPr="00C932C3">
        <w:rPr>
          <w:lang w:val="fr-CH" w:eastAsia="zh-CN"/>
        </w:rPr>
        <w:t xml:space="preserve">satellite </w:t>
      </w:r>
      <w:r w:rsidRPr="00134885">
        <w:rPr>
          <w:lang w:val="fr-CH" w:eastAsia="zh-CN"/>
        </w:rPr>
        <w:t xml:space="preserve">des IMT sont déployées </w:t>
      </w:r>
      <w:r w:rsidRPr="00134885">
        <w:rPr>
          <w:lang w:val="fr-CH"/>
        </w:rPr>
        <w:t xml:space="preserve">dans les bandes </w:t>
      </w:r>
      <w:r>
        <w:rPr>
          <w:lang w:val="fr-CH"/>
        </w:rPr>
        <w:t xml:space="preserve">de fréquences </w:t>
      </w:r>
      <w:r w:rsidRPr="00134885">
        <w:rPr>
          <w:lang w:val="fr-CH"/>
        </w:rPr>
        <w:t xml:space="preserve">1 980-2 010 MHz et 2 170-2 200 MHz </w:t>
      </w:r>
      <w:r w:rsidRPr="00134885">
        <w:rPr>
          <w:lang w:val="fr-CH" w:eastAsia="zh-CN"/>
        </w:rPr>
        <w:t xml:space="preserve">dans des zones géographiques adjacentes, des mesures techniques ou opérationnelles devront peut-être être mises en </w:t>
      </w:r>
      <w:proofErr w:type="spellStart"/>
      <w:r w:rsidRPr="00134885">
        <w:rPr>
          <w:lang w:val="fr-CH" w:eastAsia="zh-CN"/>
        </w:rPr>
        <w:t>oeuvre</w:t>
      </w:r>
      <w:proofErr w:type="spellEnd"/>
      <w:r w:rsidRPr="00134885">
        <w:rPr>
          <w:lang w:val="fr-CH" w:eastAsia="zh-CN"/>
        </w:rPr>
        <w:t xml:space="preserve"> </w:t>
      </w:r>
      <w:r w:rsidRPr="00C932C3">
        <w:rPr>
          <w:lang w:val="fr-CH" w:eastAsia="zh-CN"/>
        </w:rPr>
        <w:t>afin d'</w:t>
      </w:r>
      <w:r w:rsidRPr="00134885">
        <w:rPr>
          <w:lang w:val="fr-CH" w:eastAsia="zh-CN"/>
        </w:rPr>
        <w:t xml:space="preserve">éviter </w:t>
      </w:r>
      <w:r w:rsidRPr="00C932C3">
        <w:rPr>
          <w:lang w:val="fr-CH" w:eastAsia="zh-CN"/>
        </w:rPr>
        <w:t>tout brouillage préjudiciable</w:t>
      </w:r>
      <w:r w:rsidRPr="00134885">
        <w:rPr>
          <w:lang w:val="fr-CH" w:eastAsia="zh-CN"/>
        </w:rPr>
        <w:t xml:space="preserve"> et </w:t>
      </w:r>
      <w:r w:rsidRPr="00C932C3">
        <w:rPr>
          <w:lang w:val="fr-CH" w:eastAsia="zh-CN"/>
        </w:rPr>
        <w:t xml:space="preserve">que </w:t>
      </w:r>
      <w:r w:rsidRPr="00134885">
        <w:rPr>
          <w:lang w:val="fr-CH" w:eastAsia="zh-CN"/>
        </w:rPr>
        <w:t xml:space="preserve">des études complémentaires </w:t>
      </w:r>
      <w:r w:rsidRPr="00C932C3">
        <w:rPr>
          <w:lang w:val="fr-CH" w:eastAsia="zh-CN"/>
        </w:rPr>
        <w:t>de l'UIT</w:t>
      </w:r>
      <w:r w:rsidRPr="00C932C3">
        <w:rPr>
          <w:lang w:val="fr-CH" w:eastAsia="zh-CN"/>
        </w:rPr>
        <w:noBreakHyphen/>
        <w:t xml:space="preserve">R sont nécessaires </w:t>
      </w:r>
      <w:r w:rsidRPr="00134885">
        <w:rPr>
          <w:lang w:val="fr-CH" w:eastAsia="zh-CN"/>
        </w:rPr>
        <w:t>à cet égard</w:t>
      </w:r>
      <w:r w:rsidRPr="00134885">
        <w:rPr>
          <w:lang w:val="fr-CH"/>
        </w:rPr>
        <w:t>;</w:t>
      </w:r>
    </w:p>
    <w:p w:rsidR="00CF18BC" w:rsidRPr="00134885" w:rsidRDefault="00CF18BC" w:rsidP="00A17011">
      <w:pPr>
        <w:jc w:val="both"/>
        <w:rPr>
          <w:lang w:val="fr-CH"/>
        </w:rPr>
      </w:pPr>
      <w:r>
        <w:rPr>
          <w:bCs/>
          <w:i/>
          <w:lang w:val="fr-CH"/>
        </w:rPr>
        <w:t>c)</w:t>
      </w:r>
      <w:r w:rsidRPr="00134885">
        <w:rPr>
          <w:bCs/>
          <w:i/>
          <w:lang w:val="fr-CH"/>
        </w:rPr>
        <w:tab/>
      </w:r>
      <w:r w:rsidRPr="00134885">
        <w:rPr>
          <w:lang w:val="fr-CH" w:eastAsia="zh-CN"/>
        </w:rPr>
        <w:t>que certaines difficultés ont été soulevées concernant le traitement des brouillages qui pourraient être causés entre la composante satellite et la composante de Terre des IMT;</w:t>
      </w:r>
    </w:p>
    <w:p w:rsidR="00CF18BC" w:rsidRPr="00134885" w:rsidRDefault="00CF18BC" w:rsidP="00A17011">
      <w:pPr>
        <w:jc w:val="both"/>
        <w:rPr>
          <w:lang w:val="fr-CH"/>
        </w:rPr>
      </w:pPr>
      <w:r w:rsidRPr="00134885">
        <w:rPr>
          <w:i/>
          <w:lang w:val="fr-CH"/>
        </w:rPr>
        <w:lastRenderedPageBreak/>
        <w:t>d)</w:t>
      </w:r>
      <w:r w:rsidRPr="00134885">
        <w:rPr>
          <w:i/>
          <w:lang w:val="fr-CH"/>
        </w:rPr>
        <w:tab/>
      </w:r>
      <w:r w:rsidRPr="00134885">
        <w:rPr>
          <w:lang w:val="fr-CH"/>
        </w:rPr>
        <w:t xml:space="preserve">que le Rapport UIT-R M.2041 porte sur le partage et </w:t>
      </w:r>
      <w:r w:rsidRPr="00C932C3">
        <w:rPr>
          <w:lang w:val="fr-CH"/>
        </w:rPr>
        <w:t xml:space="preserve">la </w:t>
      </w:r>
      <w:r w:rsidRPr="00134885">
        <w:rPr>
          <w:lang w:val="fr-CH"/>
        </w:rPr>
        <w:t>compatibilité dans la bande adjacente dans la bande des 2,5 GHz entre la composante de Terre et la composante satellite des</w:t>
      </w:r>
      <w:r>
        <w:rPr>
          <w:lang w:val="fr-CH"/>
        </w:rPr>
        <w:t xml:space="preserve"> </w:t>
      </w:r>
      <w:r w:rsidRPr="00134885">
        <w:rPr>
          <w:lang w:val="fr-CH"/>
        </w:rPr>
        <w:t>IMT</w:t>
      </w:r>
      <w:r>
        <w:rPr>
          <w:lang w:val="fr-CH"/>
        </w:rPr>
        <w:noBreakHyphen/>
      </w:r>
      <w:r w:rsidRPr="00134885">
        <w:rPr>
          <w:lang w:val="fr-CH"/>
        </w:rPr>
        <w:t>2000,</w:t>
      </w:r>
    </w:p>
    <w:p w:rsidR="00CF18BC" w:rsidRPr="00134885" w:rsidRDefault="00CF18BC" w:rsidP="00A17011">
      <w:pPr>
        <w:pStyle w:val="Call"/>
        <w:jc w:val="both"/>
        <w:rPr>
          <w:lang w:val="fr-CH"/>
        </w:rPr>
      </w:pPr>
      <w:r w:rsidRPr="00134885">
        <w:rPr>
          <w:lang w:val="fr-CH"/>
        </w:rPr>
        <w:t>décide</w:t>
      </w:r>
    </w:p>
    <w:p w:rsidR="00CF18BC" w:rsidRPr="00134885" w:rsidRDefault="00CF18BC" w:rsidP="00A17011">
      <w:pPr>
        <w:jc w:val="both"/>
        <w:rPr>
          <w:lang w:val="fr-CH"/>
        </w:rPr>
      </w:pPr>
      <w:r w:rsidRPr="00134885">
        <w:rPr>
          <w:lang w:val="fr-CH"/>
        </w:rPr>
        <w:t>que les administrations qui mettront en œuvre des IMT:</w:t>
      </w:r>
    </w:p>
    <w:p w:rsidR="00CF18BC" w:rsidRPr="00134885" w:rsidRDefault="00CF18BC" w:rsidP="00A17011">
      <w:pPr>
        <w:jc w:val="both"/>
        <w:rPr>
          <w:lang w:val="fr-CH"/>
        </w:rPr>
      </w:pPr>
      <w:r w:rsidRPr="00134885">
        <w:rPr>
          <w:i/>
          <w:iCs/>
          <w:lang w:val="fr-CH"/>
        </w:rPr>
        <w:t>a)</w:t>
      </w:r>
      <w:r w:rsidRPr="00134885">
        <w:rPr>
          <w:lang w:val="fr-CH"/>
        </w:rPr>
        <w:tab/>
        <w:t>devraient libérer les fréquences nécessaires au développement des systèmes;</w:t>
      </w:r>
    </w:p>
    <w:p w:rsidR="00CF18BC" w:rsidRPr="00134885" w:rsidRDefault="00CF18BC" w:rsidP="00A17011">
      <w:pPr>
        <w:jc w:val="both"/>
        <w:rPr>
          <w:lang w:val="fr-CH"/>
        </w:rPr>
      </w:pPr>
      <w:r w:rsidRPr="00134885">
        <w:rPr>
          <w:i/>
          <w:iCs/>
          <w:lang w:val="fr-CH"/>
        </w:rPr>
        <w:t>b)</w:t>
      </w:r>
      <w:r w:rsidRPr="00134885">
        <w:rPr>
          <w:lang w:val="fr-CH"/>
        </w:rPr>
        <w:tab/>
        <w:t>devraient utiliser ces fréquences lorsque les IMT seront mises en œuvre;</w:t>
      </w:r>
    </w:p>
    <w:p w:rsidR="00CF18BC" w:rsidRPr="00134885" w:rsidRDefault="00CF18BC" w:rsidP="00A17011">
      <w:pPr>
        <w:jc w:val="both"/>
        <w:rPr>
          <w:lang w:val="fr-CH"/>
        </w:rPr>
      </w:pPr>
      <w:r w:rsidRPr="00134885">
        <w:rPr>
          <w:i/>
          <w:iCs/>
          <w:lang w:val="fr-CH"/>
        </w:rPr>
        <w:t>c)</w:t>
      </w:r>
      <w:r w:rsidRPr="00134885">
        <w:rPr>
          <w:lang w:val="fr-CH"/>
        </w:rPr>
        <w:tab/>
        <w:t>devraient utiliser les caractéristiques techniques internationales pertinentes, telles qu'elles sont définies dans les Recommandations UIT-R et UIT-T,</w:t>
      </w:r>
    </w:p>
    <w:p w:rsidR="00CF18BC" w:rsidRPr="00134885" w:rsidRDefault="00CF18BC" w:rsidP="00A17011">
      <w:pPr>
        <w:pStyle w:val="Call"/>
        <w:jc w:val="both"/>
        <w:rPr>
          <w:i w:val="0"/>
          <w:lang w:val="fr-CH"/>
        </w:rPr>
      </w:pPr>
      <w:r w:rsidRPr="00134885">
        <w:rPr>
          <w:lang w:val="fr-CH"/>
        </w:rPr>
        <w:t>invite l'UIT</w:t>
      </w:r>
      <w:r w:rsidRPr="00134885">
        <w:rPr>
          <w:lang w:val="fr-CH"/>
        </w:rPr>
        <w:noBreakHyphen/>
        <w:t>R</w:t>
      </w:r>
    </w:p>
    <w:p w:rsidR="00CF18BC" w:rsidRPr="00134885" w:rsidRDefault="00CF18BC" w:rsidP="00A17011">
      <w:pPr>
        <w:keepNext/>
        <w:keepLines/>
        <w:jc w:val="both"/>
        <w:rPr>
          <w:lang w:val="fr-CH"/>
        </w:rPr>
      </w:pPr>
      <w:r w:rsidRPr="00134885">
        <w:rPr>
          <w:lang w:val="fr-CH"/>
        </w:rPr>
        <w:t xml:space="preserve">à étudier les éventuelles mesures techniques et opérationnelles propres à assurer la coexistence et la compatibilité entre la composante de Terre des IMT (dans le </w:t>
      </w:r>
      <w:r>
        <w:rPr>
          <w:lang w:val="fr-CH"/>
        </w:rPr>
        <w:t>service mobile</w:t>
      </w:r>
      <w:r w:rsidRPr="00134885">
        <w:rPr>
          <w:lang w:val="fr-CH"/>
        </w:rPr>
        <w:t>) et la composante satellite des</w:t>
      </w:r>
      <w:r>
        <w:rPr>
          <w:lang w:val="fr-CH"/>
        </w:rPr>
        <w:t> </w:t>
      </w:r>
      <w:r w:rsidRPr="00134885">
        <w:rPr>
          <w:lang w:val="fr-CH"/>
        </w:rPr>
        <w:t>IMT (dans le</w:t>
      </w:r>
      <w:r>
        <w:rPr>
          <w:lang w:val="fr-CH"/>
        </w:rPr>
        <w:t xml:space="preserve"> service mobile par satellite</w:t>
      </w:r>
      <w:r w:rsidRPr="00134885">
        <w:rPr>
          <w:lang w:val="fr-CH"/>
        </w:rPr>
        <w:t>)</w:t>
      </w:r>
      <w:r w:rsidRPr="00134885" w:rsidDel="003923E6">
        <w:rPr>
          <w:lang w:val="fr-CH"/>
        </w:rPr>
        <w:t xml:space="preserve"> </w:t>
      </w:r>
      <w:r w:rsidRPr="00134885">
        <w:rPr>
          <w:lang w:val="fr-CH"/>
        </w:rPr>
        <w:t>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w:t>
      </w:r>
      <w:r w:rsidRPr="00C932C3">
        <w:rPr>
          <w:lang w:val="fr-CH"/>
        </w:rPr>
        <w:t xml:space="preserve"> la fois d</w:t>
      </w:r>
      <w:r w:rsidRPr="00134885">
        <w:rPr>
          <w:lang w:val="fr-CH"/>
        </w:rPr>
        <w:t>e</w:t>
      </w:r>
      <w:r w:rsidRPr="00C932C3">
        <w:rPr>
          <w:lang w:val="fr-CH"/>
        </w:rPr>
        <w:t xml:space="preserve"> </w:t>
      </w:r>
      <w:r w:rsidRPr="00134885">
        <w:rPr>
          <w:lang w:val="fr-CH"/>
        </w:rPr>
        <w:t xml:space="preserve">la composante </w:t>
      </w:r>
      <w:r w:rsidRPr="00C932C3">
        <w:rPr>
          <w:lang w:val="fr-CH"/>
        </w:rPr>
        <w:t xml:space="preserve">de Terre </w:t>
      </w:r>
      <w:r w:rsidRPr="00134885">
        <w:rPr>
          <w:lang w:val="fr-CH"/>
        </w:rPr>
        <w:t xml:space="preserve">et de la composante </w:t>
      </w:r>
      <w:r w:rsidRPr="00C932C3">
        <w:rPr>
          <w:lang w:val="fr-CH"/>
        </w:rPr>
        <w:t xml:space="preserve">satellite </w:t>
      </w:r>
      <w:r w:rsidRPr="00134885">
        <w:rPr>
          <w:lang w:val="fr-CH"/>
        </w:rPr>
        <w:t>des IMT,</w:t>
      </w:r>
    </w:p>
    <w:p w:rsidR="00CF18BC" w:rsidRPr="00134885" w:rsidRDefault="00CF18BC" w:rsidP="00A17011">
      <w:pPr>
        <w:pStyle w:val="Call"/>
        <w:jc w:val="both"/>
        <w:rPr>
          <w:lang w:val="fr-CH"/>
        </w:rPr>
      </w:pPr>
      <w:r w:rsidRPr="00134885">
        <w:rPr>
          <w:lang w:val="fr-CH"/>
        </w:rPr>
        <w:t>encourage les administrations</w:t>
      </w:r>
    </w:p>
    <w:p w:rsidR="00CF18BC" w:rsidRPr="00134885" w:rsidRDefault="00CF18BC" w:rsidP="00A17011">
      <w:pPr>
        <w:jc w:val="both"/>
        <w:rPr>
          <w:lang w:val="fr-CH"/>
        </w:rPr>
      </w:pPr>
      <w:r w:rsidRPr="00134885">
        <w:rPr>
          <w:lang w:val="fr-CH"/>
        </w:rPr>
        <w:t>1</w:t>
      </w:r>
      <w:r w:rsidRPr="00134885">
        <w:rPr>
          <w:lang w:val="fr-CH"/>
        </w:rPr>
        <w:tab/>
        <w:t>à tenir dûment compte, lorsqu'elles mettront en place les IMT, des besoins des autres services fonctionnant actuellement dans ces bandes</w:t>
      </w:r>
      <w:r>
        <w:rPr>
          <w:lang w:val="fr-CH"/>
        </w:rPr>
        <w:t xml:space="preserve"> de fréquences</w:t>
      </w:r>
      <w:r w:rsidRPr="00134885">
        <w:rPr>
          <w:lang w:val="fr-CH"/>
        </w:rPr>
        <w:t>;</w:t>
      </w:r>
    </w:p>
    <w:p w:rsidR="00CF18BC" w:rsidRPr="00134885" w:rsidRDefault="00CF18BC" w:rsidP="005131A3">
      <w:pPr>
        <w:jc w:val="both"/>
        <w:rPr>
          <w:lang w:val="fr-CH"/>
        </w:rPr>
      </w:pPr>
      <w:r w:rsidRPr="00134885">
        <w:rPr>
          <w:lang w:val="fr-CH"/>
        </w:rPr>
        <w:t>2</w:t>
      </w:r>
      <w:r w:rsidRPr="00134885">
        <w:rPr>
          <w:lang w:val="fr-CH"/>
        </w:rPr>
        <w:tab/>
        <w:t>à participer activement aux études de l'UIT</w:t>
      </w:r>
      <w:r w:rsidRPr="00134885">
        <w:rPr>
          <w:lang w:val="fr-CH"/>
        </w:rPr>
        <w:noBreakHyphen/>
        <w:t xml:space="preserve">R conformément au </w:t>
      </w:r>
      <w:r w:rsidRPr="00134885">
        <w:rPr>
          <w:i/>
          <w:iCs/>
          <w:lang w:val="fr-CH"/>
        </w:rPr>
        <w:t>invite l'UIT</w:t>
      </w:r>
      <w:r w:rsidRPr="00134885">
        <w:rPr>
          <w:i/>
          <w:iCs/>
          <w:lang w:val="fr-CH"/>
        </w:rPr>
        <w:noBreakHyphen/>
        <w:t>R</w:t>
      </w:r>
      <w:r w:rsidRPr="00134885">
        <w:rPr>
          <w:lang w:val="fr-CH"/>
        </w:rPr>
        <w:t xml:space="preserve"> ci</w:t>
      </w:r>
      <w:r w:rsidR="005131A3">
        <w:rPr>
          <w:lang w:val="fr-CH"/>
        </w:rPr>
        <w:noBreakHyphen/>
      </w:r>
      <w:r w:rsidRPr="00134885">
        <w:rPr>
          <w:lang w:val="fr-CH"/>
        </w:rPr>
        <w:t>dessus,</w:t>
      </w:r>
    </w:p>
    <w:p w:rsidR="00CF18BC" w:rsidRPr="00134885" w:rsidRDefault="00CF18BC" w:rsidP="00A17011">
      <w:pPr>
        <w:pStyle w:val="Call"/>
        <w:jc w:val="both"/>
        <w:rPr>
          <w:i w:val="0"/>
          <w:lang w:val="fr-CH"/>
        </w:rPr>
      </w:pPr>
      <w:r w:rsidRPr="00134885">
        <w:rPr>
          <w:lang w:val="fr-CH"/>
        </w:rPr>
        <w:t>charge le Directeur du Bureau des radiocommunications</w:t>
      </w:r>
    </w:p>
    <w:p w:rsidR="00CF18BC" w:rsidRPr="00134885" w:rsidRDefault="00CF18BC" w:rsidP="00A17011">
      <w:pPr>
        <w:jc w:val="both"/>
        <w:rPr>
          <w:lang w:val="fr-CH"/>
        </w:rPr>
      </w:pPr>
      <w:r w:rsidRPr="00134885">
        <w:rPr>
          <w:lang w:val="fr-CH"/>
        </w:rPr>
        <w:t xml:space="preserve">d'intégrer dans son Rapport les résultats des études de l'UIT-R mentionnées dans le </w:t>
      </w:r>
      <w:r w:rsidRPr="00134885">
        <w:rPr>
          <w:i/>
          <w:iCs/>
          <w:lang w:val="fr-CH"/>
        </w:rPr>
        <w:t>invite l'UIT</w:t>
      </w:r>
      <w:r w:rsidRPr="00134885">
        <w:rPr>
          <w:i/>
          <w:iCs/>
          <w:lang w:val="fr-CH"/>
        </w:rPr>
        <w:noBreakHyphen/>
        <w:t>R</w:t>
      </w:r>
      <w:r w:rsidRPr="00134885">
        <w:rPr>
          <w:lang w:val="fr-CH"/>
        </w:rPr>
        <w:t xml:space="preserve"> ci</w:t>
      </w:r>
      <w:r>
        <w:rPr>
          <w:lang w:val="fr-CH"/>
        </w:rPr>
        <w:noBreakHyphen/>
      </w:r>
      <w:r w:rsidRPr="00134885">
        <w:rPr>
          <w:lang w:val="fr-CH"/>
        </w:rPr>
        <w:t>dessus afin qu'ils soient examinés par la CMR-19</w:t>
      </w:r>
      <w:r>
        <w:rPr>
          <w:lang w:val="fr-CH"/>
        </w:rPr>
        <w:t>,</w:t>
      </w:r>
    </w:p>
    <w:p w:rsidR="00CF18BC" w:rsidRPr="00134885" w:rsidRDefault="00CF18BC" w:rsidP="00A17011">
      <w:pPr>
        <w:pStyle w:val="Call"/>
        <w:jc w:val="both"/>
        <w:rPr>
          <w:lang w:val="fr-CH"/>
        </w:rPr>
      </w:pPr>
      <w:r w:rsidRPr="00134885">
        <w:rPr>
          <w:lang w:val="fr-CH"/>
        </w:rPr>
        <w:t>invite</w:t>
      </w:r>
      <w:r>
        <w:rPr>
          <w:lang w:val="fr-CH"/>
        </w:rPr>
        <w:t xml:space="preserve"> en outre</w:t>
      </w:r>
      <w:r w:rsidRPr="00134885">
        <w:rPr>
          <w:lang w:val="fr-CH"/>
        </w:rPr>
        <w:t xml:space="preserve"> l'UIT-R</w:t>
      </w:r>
    </w:p>
    <w:p w:rsidR="00CF18BC" w:rsidRDefault="00CF18BC" w:rsidP="00A17011">
      <w:pPr>
        <w:jc w:val="both"/>
      </w:pPr>
      <w:r w:rsidRPr="00537189">
        <w: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t>
      </w:r>
    </w:p>
    <w:p w:rsidR="00601178" w:rsidRPr="001331D5" w:rsidRDefault="00601178" w:rsidP="00A17011">
      <w:pPr>
        <w:overflowPunct/>
        <w:autoSpaceDE/>
        <w:autoSpaceDN/>
        <w:adjustRightInd/>
        <w:spacing w:before="0"/>
        <w:textAlignment w:val="auto"/>
        <w:rPr>
          <w:rFonts w:asciiTheme="majorBidi" w:hAnsiTheme="majorBidi" w:cstheme="majorBidi"/>
          <w:szCs w:val="24"/>
        </w:rPr>
      </w:pPr>
      <w:r w:rsidRPr="001331D5">
        <w:rPr>
          <w:rFonts w:asciiTheme="majorBidi" w:hAnsiTheme="majorBidi" w:cstheme="majorBidi"/>
          <w:szCs w:val="24"/>
        </w:rPr>
        <w:br w:type="page"/>
      </w:r>
    </w:p>
    <w:p w:rsidR="00536000" w:rsidRPr="00536000" w:rsidRDefault="00536000" w:rsidP="00A17011">
      <w:pPr>
        <w:pStyle w:val="ResNo"/>
      </w:pPr>
      <w:bookmarkStart w:id="133" w:name="RES_235"/>
      <w:bookmarkStart w:id="134" w:name="_Toc444507557"/>
      <w:bookmarkStart w:id="135" w:name="_Toc460331704"/>
      <w:bookmarkStart w:id="136" w:name="_Toc463616161"/>
      <w:r w:rsidRPr="00536000">
        <w:lastRenderedPageBreak/>
        <w:t>R</w:t>
      </w:r>
      <w:r w:rsidR="001D5201" w:rsidRPr="001D5201">
        <w:t>É</w:t>
      </w:r>
      <w:r w:rsidRPr="00536000">
        <w:t xml:space="preserve">SOLUTION </w:t>
      </w:r>
      <w:r w:rsidRPr="00536000">
        <w:rPr>
          <w:rStyle w:val="href"/>
        </w:rPr>
        <w:t>235</w:t>
      </w:r>
      <w:r w:rsidRPr="00536000">
        <w:t xml:space="preserve"> </w:t>
      </w:r>
      <w:bookmarkEnd w:id="133"/>
      <w:r w:rsidRPr="00536000">
        <w:t>(</w:t>
      </w:r>
      <w:r w:rsidR="00F8363E" w:rsidRPr="00A20F5A">
        <w:t>C</w:t>
      </w:r>
      <w:r w:rsidR="00F8363E">
        <w:t>MR</w:t>
      </w:r>
      <w:r w:rsidRPr="00536000">
        <w:t>-15)</w:t>
      </w:r>
      <w:bookmarkEnd w:id="134"/>
      <w:bookmarkEnd w:id="135"/>
      <w:bookmarkEnd w:id="136"/>
    </w:p>
    <w:p w:rsidR="00950AF4" w:rsidRPr="0094526F" w:rsidRDefault="00950AF4" w:rsidP="00A17011">
      <w:pPr>
        <w:pStyle w:val="Restitle"/>
        <w:rPr>
          <w:lang w:eastAsia="nl-NL"/>
        </w:rPr>
      </w:pPr>
      <w:bookmarkStart w:id="137" w:name="_Toc450208661"/>
      <w:bookmarkStart w:id="138" w:name="_Toc463616162"/>
      <w:r w:rsidRPr="0094526F">
        <w:rPr>
          <w:lang w:eastAsia="nl-NL"/>
        </w:rPr>
        <w:t>Examen de l</w:t>
      </w:r>
      <w:r w:rsidR="00CC57A2">
        <w:rPr>
          <w:lang w:eastAsia="nl-NL"/>
        </w:rPr>
        <w:t>'</w:t>
      </w:r>
      <w:r w:rsidRPr="0094526F">
        <w:rPr>
          <w:lang w:eastAsia="nl-NL"/>
        </w:rPr>
        <w:t xml:space="preserve">utilisation du spectre dans la bande </w:t>
      </w:r>
      <w:r>
        <w:rPr>
          <w:lang w:eastAsia="nl-NL"/>
        </w:rPr>
        <w:t xml:space="preserve">de fréquences </w:t>
      </w:r>
      <w:r>
        <w:rPr>
          <w:lang w:eastAsia="nl-NL"/>
        </w:rPr>
        <w:br/>
      </w:r>
      <w:r w:rsidRPr="0094526F">
        <w:rPr>
          <w:lang w:eastAsia="nl-NL"/>
        </w:rPr>
        <w:t xml:space="preserve">470-960 MHz </w:t>
      </w:r>
      <w:r>
        <w:rPr>
          <w:lang w:eastAsia="nl-NL"/>
        </w:rPr>
        <w:t>e</w:t>
      </w:r>
      <w:r w:rsidRPr="0094526F">
        <w:rPr>
          <w:lang w:eastAsia="nl-NL"/>
        </w:rPr>
        <w:t>n R</w:t>
      </w:r>
      <w:r>
        <w:rPr>
          <w:lang w:eastAsia="nl-NL"/>
        </w:rPr>
        <w:t>é</w:t>
      </w:r>
      <w:r w:rsidRPr="0094526F">
        <w:rPr>
          <w:lang w:eastAsia="nl-NL"/>
        </w:rPr>
        <w:t>gion 1</w:t>
      </w:r>
      <w:bookmarkEnd w:id="137"/>
      <w:bookmarkEnd w:id="138"/>
      <w:r w:rsidRPr="0094526F">
        <w:rPr>
          <w:lang w:eastAsia="nl-NL"/>
        </w:rPr>
        <w:t xml:space="preserve"> </w:t>
      </w:r>
    </w:p>
    <w:p w:rsidR="00950AF4" w:rsidRPr="00C754FA" w:rsidRDefault="00950AF4" w:rsidP="00A17011">
      <w:pPr>
        <w:pStyle w:val="Normalaftertitle"/>
        <w:jc w:val="both"/>
        <w:rPr>
          <w:lang w:eastAsia="nl-NL"/>
        </w:rPr>
      </w:pPr>
      <w:r w:rsidRPr="00102BB2">
        <w:rPr>
          <w:rFonts w:cs="Arial"/>
          <w:szCs w:val="24"/>
        </w:rPr>
        <w:t>La Conférence mondiale des radiocommunications (Genève, 2015),</w:t>
      </w:r>
    </w:p>
    <w:p w:rsidR="00950AF4" w:rsidRPr="00102BB2" w:rsidRDefault="00950AF4" w:rsidP="00A17011">
      <w:pPr>
        <w:pStyle w:val="Call"/>
        <w:jc w:val="both"/>
        <w:rPr>
          <w:rFonts w:cs="Arial"/>
          <w:szCs w:val="24"/>
        </w:rPr>
      </w:pPr>
      <w:r w:rsidRPr="00102BB2">
        <w:rPr>
          <w:rFonts w:cs="Arial"/>
          <w:szCs w:val="24"/>
        </w:rPr>
        <w:t>considérant</w:t>
      </w:r>
    </w:p>
    <w:p w:rsidR="00950AF4" w:rsidRPr="00102BB2" w:rsidRDefault="00950AF4" w:rsidP="00A17011">
      <w:pPr>
        <w:jc w:val="both"/>
        <w:rPr>
          <w:rFonts w:cs="Arial"/>
          <w:szCs w:val="24"/>
        </w:rPr>
      </w:pPr>
      <w:r w:rsidRPr="00102BB2">
        <w:rPr>
          <w:rFonts w:cs="Arial"/>
          <w:i/>
          <w:szCs w:val="24"/>
        </w:rPr>
        <w:t>a)</w:t>
      </w:r>
      <w:r w:rsidRPr="00102BB2">
        <w:rPr>
          <w:rFonts w:cs="Arial"/>
          <w:szCs w:val="24"/>
        </w:rPr>
        <w:tab/>
        <w:t xml:space="preserve">que les caractéristiques de propagation favorables dans les bandes de fréquences au-dessous de 1 GHz sont propices à la mise en </w:t>
      </w:r>
      <w:proofErr w:type="spellStart"/>
      <w:r w:rsidRPr="00102BB2">
        <w:rPr>
          <w:rFonts w:cs="Arial"/>
          <w:szCs w:val="24"/>
        </w:rPr>
        <w:t>oeuvre</w:t>
      </w:r>
      <w:proofErr w:type="spellEnd"/>
      <w:r w:rsidRPr="00102BB2">
        <w:rPr>
          <w:rFonts w:cs="Arial"/>
          <w:szCs w:val="24"/>
        </w:rPr>
        <w:t xml:space="preserve"> de solutions rentables </w:t>
      </w:r>
      <w:r>
        <w:rPr>
          <w:rFonts w:cs="Arial"/>
          <w:szCs w:val="24"/>
        </w:rPr>
        <w:t>en matière</w:t>
      </w:r>
      <w:r w:rsidRPr="00102BB2">
        <w:rPr>
          <w:rFonts w:cs="Arial"/>
          <w:szCs w:val="24"/>
        </w:rPr>
        <w:t xml:space="preserve"> de couverture; </w:t>
      </w:r>
    </w:p>
    <w:p w:rsidR="00950AF4" w:rsidRPr="00102BB2" w:rsidRDefault="00950AF4" w:rsidP="00A17011">
      <w:pPr>
        <w:jc w:val="both"/>
        <w:rPr>
          <w:rFonts w:cs="Arial"/>
          <w:szCs w:val="24"/>
        </w:rPr>
      </w:pPr>
      <w:r w:rsidRPr="00102BB2">
        <w:rPr>
          <w:rFonts w:cs="Arial"/>
          <w:i/>
          <w:szCs w:val="24"/>
        </w:rPr>
        <w:t>b)</w:t>
      </w:r>
      <w:r w:rsidRPr="00102BB2">
        <w:rPr>
          <w:rFonts w:cs="Arial"/>
          <w:i/>
          <w:szCs w:val="24"/>
        </w:rPr>
        <w:tab/>
      </w:r>
      <w:r w:rsidRPr="00102BB2">
        <w:rPr>
          <w:rFonts w:cs="Arial"/>
          <w:szCs w:val="24"/>
        </w:rPr>
        <w:t>qu'il est nécessaire de tirer parti en permanence des progrès techniques pour accroître l'efficacité d'utilisation du spectre et faciliter l'accès au spectre;</w:t>
      </w:r>
      <w:r w:rsidRPr="00102BB2">
        <w:rPr>
          <w:rFonts w:cs="Arial"/>
          <w:i/>
          <w:szCs w:val="24"/>
        </w:rPr>
        <w:t xml:space="preserve"> </w:t>
      </w:r>
    </w:p>
    <w:p w:rsidR="00950AF4" w:rsidRPr="00102BB2" w:rsidRDefault="00950AF4" w:rsidP="00A17011">
      <w:pPr>
        <w:jc w:val="both"/>
        <w:rPr>
          <w:rFonts w:cs="Arial"/>
          <w:szCs w:val="24"/>
        </w:rPr>
      </w:pPr>
      <w:r w:rsidRPr="00102BB2">
        <w:rPr>
          <w:rFonts w:cs="Arial"/>
          <w:i/>
          <w:szCs w:val="24"/>
        </w:rPr>
        <w:t>c)</w:t>
      </w:r>
      <w:r w:rsidRPr="00102BB2">
        <w:rPr>
          <w:rFonts w:cs="Arial"/>
          <w:szCs w:val="24"/>
        </w:rPr>
        <w:tab/>
        <w:t xml:space="preserve">que la bande de fréquences 470-862 MHz est une bande harmonisée qui est utilisée pour fournir des services de radiodiffusion </w:t>
      </w:r>
      <w:r>
        <w:rPr>
          <w:rFonts w:cs="Arial"/>
          <w:szCs w:val="24"/>
        </w:rPr>
        <w:t>télé</w:t>
      </w:r>
      <w:r w:rsidRPr="00102BB2">
        <w:rPr>
          <w:rFonts w:cs="Arial"/>
          <w:szCs w:val="24"/>
        </w:rPr>
        <w:t>visuelle de Terre à l'échelle mondiale;</w:t>
      </w:r>
    </w:p>
    <w:p w:rsidR="00950AF4" w:rsidRPr="00102BB2" w:rsidRDefault="00950AF4" w:rsidP="00A17011">
      <w:pPr>
        <w:jc w:val="both"/>
        <w:rPr>
          <w:rFonts w:cs="Arial"/>
          <w:szCs w:val="24"/>
        </w:rPr>
      </w:pPr>
      <w:r w:rsidRPr="00102BB2">
        <w:rPr>
          <w:rFonts w:cs="Arial"/>
          <w:i/>
          <w:szCs w:val="24"/>
        </w:rPr>
        <w:t>d)</w:t>
      </w:r>
      <w:r w:rsidRPr="00102BB2">
        <w:rPr>
          <w:rFonts w:cs="Arial"/>
          <w:szCs w:val="24"/>
        </w:rPr>
        <w:tab/>
        <w:t xml:space="preserve">que dans de nombreux pays, il </w:t>
      </w:r>
      <w:r>
        <w:rPr>
          <w:rFonts w:cs="Arial"/>
          <w:szCs w:val="24"/>
        </w:rPr>
        <w:t>existe</w:t>
      </w:r>
      <w:r w:rsidRPr="00102BB2">
        <w:rPr>
          <w:rFonts w:cs="Arial"/>
          <w:szCs w:val="24"/>
        </w:rPr>
        <w:t xml:space="preserve"> une obligation souveraine de fournir des services de radiodiffusion;</w:t>
      </w:r>
    </w:p>
    <w:p w:rsidR="00950AF4" w:rsidRPr="00102BB2" w:rsidRDefault="00950AF4" w:rsidP="00A17011">
      <w:pPr>
        <w:jc w:val="both"/>
        <w:rPr>
          <w:rFonts w:cs="Arial"/>
          <w:szCs w:val="24"/>
        </w:rPr>
      </w:pPr>
      <w:r w:rsidRPr="00102BB2">
        <w:rPr>
          <w:rFonts w:cs="Arial"/>
          <w:i/>
          <w:szCs w:val="24"/>
        </w:rPr>
        <w:t>e)</w:t>
      </w:r>
      <w:r w:rsidRPr="00102BB2">
        <w:rPr>
          <w:rFonts w:cs="Arial"/>
          <w:i/>
          <w:szCs w:val="24"/>
        </w:rPr>
        <w:tab/>
      </w:r>
      <w:r w:rsidRPr="00102BB2">
        <w:rPr>
          <w:rFonts w:cs="Arial"/>
          <w:szCs w:val="24"/>
        </w:rPr>
        <w:t>que les réseaux de radiodiffusion de Terre ont une longue durée de vie et qu'un environnement réglementaire stable est nécessaire pour pro</w:t>
      </w:r>
      <w:r>
        <w:rPr>
          <w:rFonts w:cs="Arial"/>
          <w:szCs w:val="24"/>
        </w:rPr>
        <w:t>téger les investissements et le développement futur</w:t>
      </w:r>
      <w:r w:rsidRPr="00102BB2">
        <w:rPr>
          <w:rFonts w:cs="Arial"/>
          <w:szCs w:val="24"/>
        </w:rPr>
        <w:t>;</w:t>
      </w:r>
    </w:p>
    <w:p w:rsidR="00950AF4" w:rsidRPr="00102BB2" w:rsidRDefault="00950AF4" w:rsidP="00A17011">
      <w:pPr>
        <w:jc w:val="both"/>
        <w:rPr>
          <w:rFonts w:cs="Arial"/>
          <w:i/>
          <w:szCs w:val="24"/>
        </w:rPr>
      </w:pPr>
      <w:r w:rsidRPr="00102BB2">
        <w:rPr>
          <w:rFonts w:cs="Arial"/>
          <w:i/>
          <w:szCs w:val="24"/>
        </w:rPr>
        <w:t>f)</w:t>
      </w:r>
      <w:r w:rsidRPr="00102BB2">
        <w:rPr>
          <w:rFonts w:cs="Arial"/>
          <w:i/>
          <w:szCs w:val="24"/>
        </w:rPr>
        <w:tab/>
      </w:r>
      <w:r w:rsidRPr="00102BB2">
        <w:rPr>
          <w:rFonts w:cs="Arial"/>
          <w:szCs w:val="24"/>
        </w:rPr>
        <w:t>que dans de nombreux pays, il est nécessaire de procéder à des investissements</w:t>
      </w:r>
      <w:r>
        <w:rPr>
          <w:rFonts w:cs="Arial"/>
          <w:szCs w:val="24"/>
        </w:rPr>
        <w:t xml:space="preserve"> au cours des</w:t>
      </w:r>
      <w:r w:rsidRPr="00102BB2">
        <w:rPr>
          <w:rFonts w:cs="Arial"/>
          <w:szCs w:val="24"/>
        </w:rPr>
        <w:t xml:space="preserve"> dix prochaines années, en vue de la migration de la radiodiffusion vers la bande de fréquences au-dessous de 694 MHz et de la mise en œuvre de techn</w:t>
      </w:r>
      <w:r>
        <w:rPr>
          <w:rFonts w:cs="Arial"/>
          <w:szCs w:val="24"/>
        </w:rPr>
        <w:t>iques</w:t>
      </w:r>
      <w:r w:rsidRPr="00102BB2">
        <w:rPr>
          <w:rFonts w:cs="Arial"/>
          <w:szCs w:val="24"/>
        </w:rPr>
        <w:t xml:space="preserve"> de radiodiffusion de nouvelle génération, afin de mettre à profit les avancées technologiques </w:t>
      </w:r>
      <w:r>
        <w:rPr>
          <w:rFonts w:cs="Arial"/>
          <w:szCs w:val="24"/>
        </w:rPr>
        <w:t>pour</w:t>
      </w:r>
      <w:r w:rsidRPr="00102BB2">
        <w:rPr>
          <w:rFonts w:cs="Arial"/>
          <w:szCs w:val="24"/>
        </w:rPr>
        <w:t xml:space="preserve"> accroître l'efficacité d'utilisation du spectre;</w:t>
      </w:r>
    </w:p>
    <w:p w:rsidR="00950AF4" w:rsidRPr="00102BB2" w:rsidRDefault="00950AF4" w:rsidP="00A17011">
      <w:pPr>
        <w:jc w:val="both"/>
        <w:rPr>
          <w:rFonts w:cs="Arial"/>
          <w:szCs w:val="24"/>
        </w:rPr>
      </w:pPr>
      <w:r w:rsidRPr="00102BB2">
        <w:rPr>
          <w:rFonts w:cs="Arial"/>
          <w:i/>
          <w:szCs w:val="24"/>
        </w:rPr>
        <w:t>g)</w:t>
      </w:r>
      <w:r w:rsidRPr="00102BB2">
        <w:rPr>
          <w:rFonts w:cs="Arial"/>
          <w:szCs w:val="24"/>
        </w:rPr>
        <w:tab/>
        <w:t xml:space="preserve">que dans de nombreux pays en développement, la radiodiffusion de Terre est le seul moyen </w:t>
      </w:r>
      <w:r>
        <w:rPr>
          <w:rFonts w:cs="Arial"/>
          <w:szCs w:val="24"/>
        </w:rPr>
        <w:t>viable</w:t>
      </w:r>
      <w:r w:rsidRPr="00102BB2">
        <w:rPr>
          <w:rFonts w:cs="Arial"/>
          <w:szCs w:val="24"/>
        </w:rPr>
        <w:t xml:space="preserve"> de fournir des services de radiodiffusion; </w:t>
      </w:r>
    </w:p>
    <w:p w:rsidR="00950AF4" w:rsidRPr="00102BB2" w:rsidRDefault="00950AF4" w:rsidP="00A17011">
      <w:pPr>
        <w:jc w:val="both"/>
        <w:rPr>
          <w:rFonts w:cs="Arial"/>
          <w:i/>
          <w:szCs w:val="24"/>
        </w:rPr>
      </w:pPr>
      <w:r w:rsidRPr="00102BB2">
        <w:rPr>
          <w:rFonts w:cs="Arial"/>
          <w:i/>
          <w:szCs w:val="24"/>
        </w:rPr>
        <w:t>h)</w:t>
      </w:r>
      <w:r w:rsidRPr="00102BB2">
        <w:rPr>
          <w:rFonts w:cs="Arial"/>
          <w:szCs w:val="24"/>
        </w:rPr>
        <w:tab/>
        <w:t xml:space="preserve">qu'en matière de télévision numérique de Terre (TNT), la tendance technologique </w:t>
      </w:r>
      <w:r>
        <w:rPr>
          <w:rFonts w:cs="Arial"/>
          <w:szCs w:val="24"/>
        </w:rPr>
        <w:t>est</w:t>
      </w:r>
      <w:r w:rsidRPr="00102BB2">
        <w:rPr>
          <w:rFonts w:cs="Arial"/>
          <w:szCs w:val="24"/>
        </w:rPr>
        <w:t xml:space="preserve"> à la télévision à haute définition, </w:t>
      </w:r>
      <w:r>
        <w:rPr>
          <w:rFonts w:cs="Arial"/>
          <w:szCs w:val="24"/>
        </w:rPr>
        <w:t>qui</w:t>
      </w:r>
      <w:r w:rsidRPr="00102BB2">
        <w:rPr>
          <w:rFonts w:cs="Arial"/>
          <w:szCs w:val="24"/>
        </w:rPr>
        <w:t xml:space="preserve"> nécessite un débit binaire plus élevé que la </w:t>
      </w:r>
      <w:r>
        <w:rPr>
          <w:rFonts w:cs="Arial"/>
          <w:szCs w:val="24"/>
        </w:rPr>
        <w:t>télévision</w:t>
      </w:r>
      <w:r w:rsidRPr="00102BB2">
        <w:rPr>
          <w:rFonts w:cs="Arial"/>
          <w:szCs w:val="24"/>
        </w:rPr>
        <w:t xml:space="preserve"> à définition normale;</w:t>
      </w:r>
    </w:p>
    <w:p w:rsidR="00950AF4" w:rsidRPr="00102BB2" w:rsidRDefault="00950AF4" w:rsidP="00A17011">
      <w:pPr>
        <w:jc w:val="both"/>
        <w:rPr>
          <w:rFonts w:cs="Arial"/>
          <w:szCs w:val="24"/>
        </w:rPr>
      </w:pPr>
      <w:r w:rsidRPr="00102BB2">
        <w:rPr>
          <w:rFonts w:cs="Arial"/>
          <w:i/>
          <w:szCs w:val="24"/>
        </w:rPr>
        <w:t>i)</w:t>
      </w:r>
      <w:r w:rsidRPr="00102BB2">
        <w:rPr>
          <w:rFonts w:cs="Arial"/>
          <w:szCs w:val="24"/>
        </w:rPr>
        <w:tab/>
        <w:t xml:space="preserve">qu'il est nécessaire </w:t>
      </w:r>
      <w:r>
        <w:rPr>
          <w:rFonts w:cs="Arial"/>
          <w:szCs w:val="24"/>
        </w:rPr>
        <w:t>de protéger comme il se doit</w:t>
      </w:r>
      <w:r w:rsidRPr="00102BB2">
        <w:rPr>
          <w:rFonts w:cs="Arial"/>
          <w:szCs w:val="24"/>
        </w:rPr>
        <w:t xml:space="preserve"> tous les services ayant des attributions à titre primaire dans la bande de fréquences 470-694 MHz et dans les bandes de fréquences adjacentes;</w:t>
      </w:r>
    </w:p>
    <w:p w:rsidR="00950AF4" w:rsidRDefault="00950AF4" w:rsidP="00A17011">
      <w:pPr>
        <w:jc w:val="both"/>
      </w:pPr>
      <w:r w:rsidRPr="00102BB2">
        <w:rPr>
          <w:i/>
        </w:rPr>
        <w:t>j)</w:t>
      </w:r>
      <w:r w:rsidRPr="00102BB2">
        <w:tab/>
        <w:t>que les systèmes de Télécommunications mobiles internationales (IMT), qui utilisent certaines parties de la bande</w:t>
      </w:r>
      <w:r>
        <w:t xml:space="preserve"> de fréquences</w:t>
      </w:r>
      <w:r w:rsidRPr="00102BB2">
        <w:t xml:space="preserve"> 694/698-960 MHz, sont destinés à fournir des services de télécommunication dans le monde entier, quel que soit le lieu, le réseau ou le terminal utilisé;</w:t>
      </w:r>
    </w:p>
    <w:p w:rsidR="00950AF4" w:rsidRDefault="00950AF4" w:rsidP="00A17011">
      <w:pPr>
        <w:jc w:val="both"/>
        <w:rPr>
          <w:szCs w:val="24"/>
        </w:rPr>
      </w:pPr>
      <w:r>
        <w:rPr>
          <w:i/>
          <w:iCs/>
          <w:szCs w:val="24"/>
        </w:rPr>
        <w:t>k)</w:t>
      </w:r>
      <w:r>
        <w:rPr>
          <w:i/>
          <w:iCs/>
          <w:szCs w:val="24"/>
        </w:rPr>
        <w:tab/>
      </w:r>
      <w:r>
        <w:rPr>
          <w:szCs w:val="24"/>
        </w:rPr>
        <w:t xml:space="preserve">que, pour les pays visés au numéro </w:t>
      </w:r>
      <w:r w:rsidRPr="00F75E56">
        <w:rPr>
          <w:b/>
          <w:bCs/>
          <w:szCs w:val="24"/>
        </w:rPr>
        <w:t>5.296</w:t>
      </w:r>
      <w:r>
        <w:rPr>
          <w:szCs w:val="24"/>
        </w:rPr>
        <w:t>, le service mobile terrestre bénéficie d</w:t>
      </w:r>
      <w:r w:rsidR="00CC57A2">
        <w:rPr>
          <w:szCs w:val="24"/>
        </w:rPr>
        <w:t>'</w:t>
      </w:r>
      <w:r>
        <w:rPr>
          <w:szCs w:val="24"/>
        </w:rPr>
        <w:t>une attribution additionnelle à titre secondaire, destinée aux applications auxiliaires de la radiodiffusion et de la production de programmes;</w:t>
      </w:r>
    </w:p>
    <w:p w:rsidR="00950AF4" w:rsidRDefault="00950AF4" w:rsidP="00A17011">
      <w:pPr>
        <w:jc w:val="both"/>
        <w:rPr>
          <w:szCs w:val="24"/>
        </w:rPr>
      </w:pPr>
      <w:r>
        <w:rPr>
          <w:i/>
          <w:iCs/>
          <w:szCs w:val="24"/>
        </w:rPr>
        <w:t>l)</w:t>
      </w:r>
      <w:r>
        <w:rPr>
          <w:szCs w:val="24"/>
        </w:rPr>
        <w:tab/>
        <w:t xml:space="preserve">que la bande de fréquences 645-862 MHz est attribuée à titre primaire au service de radionavigation aéronautique (SRNA) dans les pays mentionnés au numéro </w:t>
      </w:r>
      <w:r w:rsidRPr="00F75E56">
        <w:rPr>
          <w:b/>
          <w:bCs/>
          <w:szCs w:val="24"/>
        </w:rPr>
        <w:t>5.312</w:t>
      </w:r>
      <w:r>
        <w:rPr>
          <w:szCs w:val="24"/>
        </w:rPr>
        <w:t>;</w:t>
      </w:r>
    </w:p>
    <w:p w:rsidR="00950AF4" w:rsidRDefault="00950AF4" w:rsidP="00A17011">
      <w:pPr>
        <w:jc w:val="both"/>
        <w:rPr>
          <w:szCs w:val="24"/>
        </w:rPr>
      </w:pPr>
      <w:r>
        <w:rPr>
          <w:i/>
          <w:iCs/>
          <w:szCs w:val="24"/>
        </w:rPr>
        <w:t>m)</w:t>
      </w:r>
      <w:r>
        <w:rPr>
          <w:szCs w:val="24"/>
        </w:rPr>
        <w:tab/>
        <w:t xml:space="preserve">que dans certains pays, des parties de la bande de fréquences sont, de plus, attribuées au service de radiolocalisation à titre secondaire, cette utilisation étant limitée à </w:t>
      </w:r>
      <w:r>
        <w:rPr>
          <w:szCs w:val="24"/>
        </w:rPr>
        <w:lastRenderedPageBreak/>
        <w:t>l</w:t>
      </w:r>
      <w:r w:rsidR="00CC57A2">
        <w:rPr>
          <w:szCs w:val="24"/>
        </w:rPr>
        <w:t>'</w:t>
      </w:r>
      <w:r>
        <w:rPr>
          <w:szCs w:val="24"/>
        </w:rPr>
        <w:t xml:space="preserve">exploitation des radars profileurs de vent (numéro </w:t>
      </w:r>
      <w:r w:rsidRPr="00F75E56">
        <w:rPr>
          <w:b/>
          <w:bCs/>
          <w:szCs w:val="24"/>
        </w:rPr>
        <w:t>5.291A</w:t>
      </w:r>
      <w:r>
        <w:rPr>
          <w:szCs w:val="24"/>
        </w:rPr>
        <w:t xml:space="preserve">) et, de plus, au service de radioastronomie à titre secondaire (numéro </w:t>
      </w:r>
      <w:r w:rsidRPr="00F75E56">
        <w:rPr>
          <w:b/>
          <w:bCs/>
          <w:szCs w:val="24"/>
        </w:rPr>
        <w:t>5.306</w:t>
      </w:r>
      <w:r>
        <w:rPr>
          <w:szCs w:val="24"/>
        </w:rPr>
        <w:t xml:space="preserve">) et que, conformément au numéro </w:t>
      </w:r>
      <w:r w:rsidRPr="00F75E56">
        <w:rPr>
          <w:b/>
          <w:bCs/>
          <w:szCs w:val="24"/>
        </w:rPr>
        <w:t>5.149</w:t>
      </w:r>
      <w:r>
        <w:rPr>
          <w:szCs w:val="24"/>
        </w:rPr>
        <w:t>, les administrations sont instamment priées de prendre toutes les mesures pratiquement réalisables pour protéger le service de radioastronomie contre les brouillages préjudiciables, lorsqu</w:t>
      </w:r>
      <w:r w:rsidR="00CC57A2">
        <w:rPr>
          <w:szCs w:val="24"/>
        </w:rPr>
        <w:t>'</w:t>
      </w:r>
      <w:r>
        <w:rPr>
          <w:szCs w:val="24"/>
        </w:rPr>
        <w:t>elles assignent des fréquences aux stations d'autres services,</w:t>
      </w:r>
    </w:p>
    <w:p w:rsidR="00950AF4" w:rsidRDefault="00950AF4" w:rsidP="00A17011">
      <w:pPr>
        <w:pStyle w:val="Call"/>
        <w:jc w:val="both"/>
      </w:pPr>
      <w:r>
        <w:t>reconnaissant</w:t>
      </w:r>
    </w:p>
    <w:p w:rsidR="00950AF4" w:rsidRDefault="00950AF4" w:rsidP="00A17011">
      <w:pPr>
        <w:jc w:val="both"/>
        <w:rPr>
          <w:szCs w:val="24"/>
        </w:rPr>
      </w:pPr>
      <w:r>
        <w:rPr>
          <w:i/>
          <w:iCs/>
          <w:szCs w:val="24"/>
        </w:rPr>
        <w:t>a)</w:t>
      </w:r>
      <w:r>
        <w:rPr>
          <w:szCs w:val="24"/>
        </w:rPr>
        <w:tab/>
        <w:t xml:space="preserve">que </w:t>
      </w:r>
      <w:r w:rsidRPr="00C577C2">
        <w:rPr>
          <w:szCs w:val="24"/>
        </w:rPr>
        <w:t xml:space="preserve">l'Accord GE06 s'applique dans tous les pays de la Région 1, à l'exception de la Mongolie, et </w:t>
      </w:r>
      <w:r>
        <w:rPr>
          <w:szCs w:val="24"/>
        </w:rPr>
        <w:t xml:space="preserve">en </w:t>
      </w:r>
      <w:r w:rsidRPr="00C577C2">
        <w:rPr>
          <w:szCs w:val="24"/>
        </w:rPr>
        <w:t>République islamique d'Iran</w:t>
      </w:r>
      <w:r>
        <w:rPr>
          <w:szCs w:val="24"/>
        </w:rPr>
        <w:t>, en particulier en ce qui concerne la bande de fréquences 470-862 MHz;</w:t>
      </w:r>
    </w:p>
    <w:p w:rsidR="00950AF4" w:rsidRDefault="00950AF4" w:rsidP="00A17011">
      <w:pPr>
        <w:jc w:val="both"/>
        <w:rPr>
          <w:szCs w:val="24"/>
        </w:rPr>
      </w:pPr>
      <w:r>
        <w:rPr>
          <w:i/>
          <w:iCs/>
          <w:szCs w:val="24"/>
        </w:rPr>
        <w:t>b)</w:t>
      </w:r>
      <w:r>
        <w:rPr>
          <w:szCs w:val="24"/>
        </w:rPr>
        <w:tab/>
        <w:t xml:space="preserve">que </w:t>
      </w:r>
      <w:r w:rsidRPr="00C577C2">
        <w:rPr>
          <w:szCs w:val="24"/>
        </w:rPr>
        <w:t>l'Accord</w:t>
      </w:r>
      <w:r>
        <w:rPr>
          <w:szCs w:val="24"/>
        </w:rPr>
        <w:t xml:space="preserve"> </w:t>
      </w:r>
      <w:r w:rsidRPr="00C577C2">
        <w:rPr>
          <w:szCs w:val="24"/>
        </w:rPr>
        <w:t>GE06</w:t>
      </w:r>
      <w:r>
        <w:rPr>
          <w:szCs w:val="24"/>
        </w:rPr>
        <w:t xml:space="preserve"> contient des dispositions applicables au service de radiodiffusion de Terre et à d</w:t>
      </w:r>
      <w:r w:rsidR="00CC57A2">
        <w:rPr>
          <w:szCs w:val="24"/>
        </w:rPr>
        <w:t>'</w:t>
      </w:r>
      <w:r>
        <w:rPr>
          <w:szCs w:val="24"/>
        </w:rPr>
        <w:t>autres services de Terre primaire ainsi qu</w:t>
      </w:r>
      <w:r w:rsidR="00CC57A2">
        <w:rPr>
          <w:szCs w:val="24"/>
        </w:rPr>
        <w:t>'</w:t>
      </w:r>
      <w:r>
        <w:rPr>
          <w:szCs w:val="24"/>
        </w:rPr>
        <w:t>un Plan pour la télévision numérique et une liste des stations d</w:t>
      </w:r>
      <w:r w:rsidR="00CC57A2">
        <w:rPr>
          <w:szCs w:val="24"/>
        </w:rPr>
        <w:t>'</w:t>
      </w:r>
      <w:r>
        <w:rPr>
          <w:szCs w:val="24"/>
        </w:rPr>
        <w:t>autres services de Terre primaire;</w:t>
      </w:r>
    </w:p>
    <w:p w:rsidR="00950AF4" w:rsidRDefault="00950AF4" w:rsidP="00A17011">
      <w:pPr>
        <w:jc w:val="both"/>
        <w:rPr>
          <w:szCs w:val="24"/>
        </w:rPr>
      </w:pPr>
      <w:r>
        <w:rPr>
          <w:i/>
          <w:iCs/>
          <w:szCs w:val="24"/>
        </w:rPr>
        <w:t>c)</w:t>
      </w:r>
      <w:r>
        <w:rPr>
          <w:szCs w:val="24"/>
        </w:rPr>
        <w:tab/>
      </w:r>
      <w:r w:rsidRPr="00FD3A13">
        <w:rPr>
          <w:szCs w:val="24"/>
        </w:rPr>
        <w:t xml:space="preserve">qu'une inscription numérique figurant dans le Plan GE06 peut aussi être utilisée pour des transmissions dans </w:t>
      </w:r>
      <w:r>
        <w:rPr>
          <w:szCs w:val="24"/>
        </w:rPr>
        <w:t xml:space="preserve">un service autre que </w:t>
      </w:r>
      <w:r w:rsidRPr="00FD3A13">
        <w:rPr>
          <w:szCs w:val="24"/>
        </w:rPr>
        <w:t xml:space="preserve">le service </w:t>
      </w:r>
      <w:r>
        <w:rPr>
          <w:szCs w:val="24"/>
        </w:rPr>
        <w:t xml:space="preserve">de radiodiffusion, selon </w:t>
      </w:r>
      <w:r w:rsidRPr="00FD3A13">
        <w:rPr>
          <w:szCs w:val="24"/>
        </w:rPr>
        <w:t>les conditions indiquées au § 5.1.3 de l'Accord GE06</w:t>
      </w:r>
      <w:r>
        <w:rPr>
          <w:szCs w:val="24"/>
        </w:rPr>
        <w:t xml:space="preserve"> et les dispositions du numéro </w:t>
      </w:r>
      <w:r w:rsidRPr="003D05F7">
        <w:rPr>
          <w:b/>
          <w:bCs/>
          <w:szCs w:val="24"/>
        </w:rPr>
        <w:t>4.4</w:t>
      </w:r>
      <w:r>
        <w:rPr>
          <w:szCs w:val="24"/>
        </w:rPr>
        <w:t xml:space="preserve"> du Règlement des radiocommunications;</w:t>
      </w:r>
    </w:p>
    <w:p w:rsidR="00950AF4" w:rsidRDefault="00950AF4" w:rsidP="00A17011">
      <w:pPr>
        <w:jc w:val="both"/>
        <w:rPr>
          <w:szCs w:val="24"/>
        </w:rPr>
      </w:pPr>
      <w:r>
        <w:rPr>
          <w:i/>
          <w:iCs/>
          <w:szCs w:val="24"/>
        </w:rPr>
        <w:t>d)</w:t>
      </w:r>
      <w:r>
        <w:rPr>
          <w:szCs w:val="24"/>
        </w:rPr>
        <w:tab/>
        <w:t xml:space="preserve">qu'il est nécessaire de disposer de renseignements sur la mise en </w:t>
      </w:r>
      <w:proofErr w:type="spellStart"/>
      <w:r>
        <w:rPr>
          <w:szCs w:val="24"/>
        </w:rPr>
        <w:t>oeuvre</w:t>
      </w:r>
      <w:proofErr w:type="spellEnd"/>
      <w:r>
        <w:rPr>
          <w:szCs w:val="24"/>
        </w:rPr>
        <w:t xml:space="preserve"> du dividende numérique ainsi que sur le passage à la télévision numérique et son évolution technique, et que ces renseignements ne seront peut-être pas disponibles avant 2019,</w:t>
      </w:r>
    </w:p>
    <w:p w:rsidR="00950AF4" w:rsidRDefault="00950AF4" w:rsidP="00A17011">
      <w:pPr>
        <w:pStyle w:val="Call"/>
        <w:jc w:val="both"/>
      </w:pPr>
      <w:r>
        <w:t>notant</w:t>
      </w:r>
    </w:p>
    <w:p w:rsidR="00950AF4" w:rsidRDefault="00950AF4" w:rsidP="00A17011">
      <w:pPr>
        <w:jc w:val="both"/>
        <w:rPr>
          <w:szCs w:val="24"/>
        </w:rPr>
      </w:pPr>
      <w:r>
        <w:rPr>
          <w:szCs w:val="24"/>
        </w:rPr>
        <w:t>la mise au point en permanence de nouvelles applications et de nouvelles technologies pour le service de radiodiffusion et le service mobile,</w:t>
      </w:r>
    </w:p>
    <w:p w:rsidR="00950AF4" w:rsidRDefault="00950AF4" w:rsidP="00A17011">
      <w:pPr>
        <w:pStyle w:val="Call"/>
        <w:jc w:val="both"/>
      </w:pPr>
      <w:r>
        <w:t>décide d</w:t>
      </w:r>
      <w:r w:rsidR="00CC57A2">
        <w:t>'</w:t>
      </w:r>
      <w:r>
        <w:t>inviter l</w:t>
      </w:r>
      <w:r w:rsidR="00CC57A2">
        <w:t>'</w:t>
      </w:r>
      <w:r>
        <w:t>UIT</w:t>
      </w:r>
      <w:r>
        <w:noBreakHyphen/>
        <w:t>R, après la Conférence mondiale des radiocommunications de 2019 et à temps pour la Conférence mondiale des radiocommunications de 2023</w:t>
      </w:r>
    </w:p>
    <w:p w:rsidR="00950AF4" w:rsidRDefault="00950AF4" w:rsidP="00A17011">
      <w:pPr>
        <w:jc w:val="both"/>
        <w:rPr>
          <w:szCs w:val="24"/>
        </w:rPr>
      </w:pPr>
      <w:r>
        <w:rPr>
          <w:szCs w:val="24"/>
        </w:rPr>
        <w:t>1</w:t>
      </w:r>
      <w:r>
        <w:rPr>
          <w:szCs w:val="24"/>
        </w:rPr>
        <w:tab/>
        <w:t>à examiner l</w:t>
      </w:r>
      <w:r w:rsidR="00CC57A2">
        <w:rPr>
          <w:szCs w:val="24"/>
        </w:rPr>
        <w:t>'</w:t>
      </w:r>
      <w:r>
        <w:rPr>
          <w:szCs w:val="24"/>
        </w:rPr>
        <w:t>utilisation du spectre et à étudier les besoins de spectre des services existants dans la bande de fréquences 470-960 MHz en Région 1, en particulier les besoins de spectre du service de radiodiffusion et du service mobile, sauf mobile aéronautique, en tenant compte des études, des Recommandations et des Rapports pertinents du Secteur des radiocommunications de l</w:t>
      </w:r>
      <w:r w:rsidR="00CC57A2">
        <w:rPr>
          <w:szCs w:val="24"/>
        </w:rPr>
        <w:t>'</w:t>
      </w:r>
      <w:r>
        <w:rPr>
          <w:szCs w:val="24"/>
        </w:rPr>
        <w:t>UIT (UIT</w:t>
      </w:r>
      <w:r>
        <w:rPr>
          <w:szCs w:val="24"/>
        </w:rPr>
        <w:noBreakHyphen/>
        <w:t>R);</w:t>
      </w:r>
    </w:p>
    <w:p w:rsidR="00950AF4" w:rsidRDefault="00950AF4" w:rsidP="00A17011">
      <w:pPr>
        <w:jc w:val="both"/>
        <w:rPr>
          <w:szCs w:val="24"/>
        </w:rPr>
      </w:pPr>
      <w:r>
        <w:rPr>
          <w:szCs w:val="24"/>
        </w:rPr>
        <w:t>2</w:t>
      </w:r>
      <w:r>
        <w:rPr>
          <w:szCs w:val="24"/>
        </w:rPr>
        <w:tab/>
        <w:t>à effectuer des études de partage et de compatibilité, selon le cas, dans la bande de fréquences 470-694 MHz en Région 1 entre le service de radiodiffusion et le service mobile, sauf mobile aéronautique, en tenant compte</w:t>
      </w:r>
      <w:r w:rsidRPr="00D0154C">
        <w:rPr>
          <w:szCs w:val="24"/>
        </w:rPr>
        <w:t xml:space="preserve"> </w:t>
      </w:r>
      <w:r>
        <w:rPr>
          <w:szCs w:val="24"/>
        </w:rPr>
        <w:t>des études, des Recommandations et des Rapports pertinents de l'UIT-R;</w:t>
      </w:r>
    </w:p>
    <w:p w:rsidR="00950AF4" w:rsidRDefault="00950AF4" w:rsidP="00A17011">
      <w:pPr>
        <w:jc w:val="both"/>
        <w:rPr>
          <w:szCs w:val="24"/>
        </w:rPr>
      </w:pPr>
      <w:r>
        <w:rPr>
          <w:szCs w:val="24"/>
        </w:rPr>
        <w:t>3</w:t>
      </w:r>
      <w:r>
        <w:rPr>
          <w:szCs w:val="24"/>
        </w:rPr>
        <w:tab/>
        <w:t>à procéder à des études de partage et de compatibilité, selon le cas, afin d'assurer la protection appropriée des systèmes des autres services existants,</w:t>
      </w:r>
    </w:p>
    <w:p w:rsidR="00950AF4" w:rsidRDefault="00950AF4" w:rsidP="00A17011">
      <w:pPr>
        <w:pStyle w:val="Call"/>
        <w:jc w:val="both"/>
      </w:pPr>
      <w:r>
        <w:t>invite les administrations</w:t>
      </w:r>
    </w:p>
    <w:p w:rsidR="00950AF4" w:rsidRDefault="00950AF4" w:rsidP="00A17011">
      <w:pPr>
        <w:jc w:val="both"/>
        <w:rPr>
          <w:szCs w:val="24"/>
        </w:rPr>
      </w:pPr>
      <w:r>
        <w:rPr>
          <w:szCs w:val="24"/>
        </w:rPr>
        <w:t>à participer activement aux études en soumettant des contributions à l</w:t>
      </w:r>
      <w:r w:rsidR="00CC57A2">
        <w:rPr>
          <w:szCs w:val="24"/>
        </w:rPr>
        <w:t>'</w:t>
      </w:r>
      <w:r>
        <w:rPr>
          <w:szCs w:val="24"/>
        </w:rPr>
        <w:t>UIT-R,</w:t>
      </w:r>
    </w:p>
    <w:p w:rsidR="00950AF4" w:rsidRDefault="00950AF4" w:rsidP="00A17011">
      <w:pPr>
        <w:pStyle w:val="Call"/>
        <w:jc w:val="both"/>
      </w:pPr>
      <w:r>
        <w:t>décide d</w:t>
      </w:r>
      <w:r w:rsidR="00CC57A2">
        <w:t>'</w:t>
      </w:r>
      <w:r>
        <w:t>inviter la Conférence mondiale des radiocommunications de 2023</w:t>
      </w:r>
    </w:p>
    <w:p w:rsidR="00950AF4" w:rsidRDefault="00950AF4" w:rsidP="00A17011">
      <w:pPr>
        <w:jc w:val="both"/>
        <w:rPr>
          <w:szCs w:val="24"/>
        </w:rPr>
      </w:pPr>
      <w:r>
        <w:rPr>
          <w:szCs w:val="24"/>
        </w:rPr>
        <w:t>à examiner, sur la base des résultats des études susmentionnées, et condition que ces études soient achevées et approuvées par l'UIT-R, les mesures réglementaires qui pourraient être prises dans la bande de fréquences 470-694 MHz en Région 1, selon qu</w:t>
      </w:r>
      <w:r w:rsidR="00CC57A2">
        <w:rPr>
          <w:szCs w:val="24"/>
        </w:rPr>
        <w:t>'</w:t>
      </w:r>
      <w:r>
        <w:rPr>
          <w:szCs w:val="24"/>
        </w:rPr>
        <w:t>il conviendra,</w:t>
      </w:r>
    </w:p>
    <w:p w:rsidR="00950AF4" w:rsidRDefault="00950AF4" w:rsidP="00A17011">
      <w:pPr>
        <w:pStyle w:val="Call"/>
        <w:jc w:val="both"/>
      </w:pPr>
      <w:r>
        <w:lastRenderedPageBreak/>
        <w:t>invite en outre l</w:t>
      </w:r>
      <w:r w:rsidR="00CC57A2">
        <w:t>'</w:t>
      </w:r>
      <w:r>
        <w:t>UIT-R</w:t>
      </w:r>
    </w:p>
    <w:p w:rsidR="00DB64A4" w:rsidRPr="00950AF4" w:rsidRDefault="00950AF4" w:rsidP="00A17011">
      <w:pPr>
        <w:jc w:val="both"/>
        <w:rPr>
          <w:rFonts w:asciiTheme="majorBidi" w:hAnsiTheme="majorBidi" w:cstheme="majorBidi"/>
          <w:szCs w:val="24"/>
        </w:rPr>
      </w:pPr>
      <w:r>
        <w:rPr>
          <w:szCs w:val="24"/>
        </w:rPr>
        <w:t>à assurer une collaboration intersectorielle avec le Secteur du développement des télécommunications de l</w:t>
      </w:r>
      <w:r w:rsidR="00CC57A2">
        <w:rPr>
          <w:szCs w:val="24"/>
        </w:rPr>
        <w:t>'</w:t>
      </w:r>
      <w:r>
        <w:rPr>
          <w:szCs w:val="24"/>
        </w:rPr>
        <w:t xml:space="preserve">UIT dans la mise en </w:t>
      </w:r>
      <w:proofErr w:type="spellStart"/>
      <w:r>
        <w:rPr>
          <w:szCs w:val="24"/>
        </w:rPr>
        <w:t>oeuvre</w:t>
      </w:r>
      <w:proofErr w:type="spellEnd"/>
      <w:r>
        <w:rPr>
          <w:szCs w:val="24"/>
        </w:rPr>
        <w:t xml:space="preserve"> de la présente Résolution.</w:t>
      </w:r>
    </w:p>
    <w:p w:rsidR="004B648D" w:rsidRPr="00950AF4" w:rsidRDefault="004B648D" w:rsidP="00A17011">
      <w:pPr>
        <w:jc w:val="both"/>
        <w:rPr>
          <w:rFonts w:asciiTheme="majorBidi" w:hAnsiTheme="majorBidi" w:cstheme="majorBidi"/>
          <w:szCs w:val="24"/>
        </w:rPr>
      </w:pPr>
    </w:p>
    <w:p w:rsidR="00BF7121" w:rsidRDefault="007C1B97" w:rsidP="00A17011">
      <w:pPr>
        <w:pStyle w:val="ResNo"/>
      </w:pPr>
      <w:r w:rsidRPr="00950AF4">
        <w:rPr>
          <w:rFonts w:asciiTheme="majorBidi" w:hAnsiTheme="majorBidi" w:cstheme="majorBidi"/>
          <w:sz w:val="24"/>
          <w:szCs w:val="24"/>
        </w:rPr>
        <w:br w:type="page"/>
      </w:r>
    </w:p>
    <w:p w:rsidR="007C11AB" w:rsidRPr="007C11AB" w:rsidRDefault="00F96BD5" w:rsidP="00A17011">
      <w:pPr>
        <w:pStyle w:val="ResNo"/>
      </w:pPr>
      <w:bookmarkStart w:id="139" w:name="RES_236"/>
      <w:bookmarkStart w:id="140" w:name="_Toc444507559"/>
      <w:bookmarkStart w:id="141" w:name="_Toc460331706"/>
      <w:bookmarkStart w:id="142" w:name="_Toc463616163"/>
      <w:r>
        <w:lastRenderedPageBreak/>
        <w:t>R</w:t>
      </w:r>
      <w:r w:rsidR="001D5201" w:rsidRPr="001D5201">
        <w:t>É</w:t>
      </w:r>
      <w:r w:rsidR="007C11AB" w:rsidRPr="007C11AB">
        <w:t xml:space="preserve">SOLUTION </w:t>
      </w:r>
      <w:r w:rsidR="007C11AB" w:rsidRPr="007C11AB">
        <w:rPr>
          <w:rStyle w:val="href"/>
        </w:rPr>
        <w:t>236</w:t>
      </w:r>
      <w:r w:rsidR="007C11AB" w:rsidRPr="007C11AB">
        <w:t xml:space="preserve"> </w:t>
      </w:r>
      <w:bookmarkEnd w:id="139"/>
      <w:r w:rsidR="007C11AB" w:rsidRPr="007C11AB">
        <w:t>(</w:t>
      </w:r>
      <w:r w:rsidR="00F8363E" w:rsidRPr="00A20F5A">
        <w:t>C</w:t>
      </w:r>
      <w:r w:rsidR="00F8363E">
        <w:t>MR</w:t>
      </w:r>
      <w:r w:rsidR="007C11AB" w:rsidRPr="007C11AB">
        <w:t>-15)</w:t>
      </w:r>
      <w:bookmarkEnd w:id="140"/>
      <w:bookmarkEnd w:id="141"/>
      <w:bookmarkEnd w:id="142"/>
    </w:p>
    <w:p w:rsidR="00BF7121" w:rsidRPr="00445A8F" w:rsidRDefault="00BF7121" w:rsidP="00A17011">
      <w:pPr>
        <w:pStyle w:val="Restitle"/>
        <w:rPr>
          <w:rFonts w:eastAsia="SimSun"/>
          <w:lang w:eastAsia="zh-CN"/>
        </w:rPr>
      </w:pPr>
      <w:bookmarkStart w:id="143" w:name="_Toc450208663"/>
      <w:bookmarkStart w:id="144" w:name="_Toc463616164"/>
      <w:r>
        <w:rPr>
          <w:rFonts w:eastAsia="SimSun"/>
          <w:lang w:eastAsia="zh-CN"/>
        </w:rPr>
        <w:t>S</w:t>
      </w:r>
      <w:r w:rsidRPr="00445A8F">
        <w:rPr>
          <w:rFonts w:eastAsia="SimSun"/>
          <w:lang w:eastAsia="zh-CN"/>
        </w:rPr>
        <w:t>ystème</w:t>
      </w:r>
      <w:r>
        <w:rPr>
          <w:rFonts w:eastAsia="SimSun"/>
          <w:lang w:eastAsia="zh-CN"/>
        </w:rPr>
        <w:t>s</w:t>
      </w:r>
      <w:r w:rsidRPr="00445A8F">
        <w:rPr>
          <w:rFonts w:eastAsia="SimSun"/>
          <w:lang w:eastAsia="zh-CN"/>
        </w:rPr>
        <w:t xml:space="preserve"> de radiocommunication</w:t>
      </w:r>
      <w:r>
        <w:rPr>
          <w:rFonts w:eastAsia="SimSun"/>
          <w:lang w:eastAsia="zh-CN"/>
        </w:rPr>
        <w:t xml:space="preserve"> ferroviaires</w:t>
      </w:r>
      <w:r w:rsidRPr="00445A8F">
        <w:rPr>
          <w:rFonts w:eastAsia="SimSun"/>
          <w:lang w:eastAsia="zh-CN"/>
        </w:rPr>
        <w:t xml:space="preserve"> train/voie</w:t>
      </w:r>
      <w:bookmarkEnd w:id="143"/>
      <w:bookmarkEnd w:id="144"/>
      <w:r w:rsidRPr="00445A8F">
        <w:rPr>
          <w:rFonts w:eastAsia="SimSun"/>
          <w:lang w:eastAsia="zh-CN"/>
        </w:rPr>
        <w:t xml:space="preserve"> </w:t>
      </w:r>
    </w:p>
    <w:p w:rsidR="00BF7121" w:rsidRPr="00445A8F" w:rsidRDefault="00BF7121" w:rsidP="00A17011">
      <w:pPr>
        <w:pStyle w:val="Normalaftertitle"/>
        <w:jc w:val="both"/>
      </w:pPr>
      <w:r w:rsidRPr="00445A8F">
        <w:t>La Conférence mondiale des radiocommunications (Genève, 2015),</w:t>
      </w:r>
    </w:p>
    <w:p w:rsidR="00BF7121" w:rsidRPr="00445A8F" w:rsidRDefault="00BF7121" w:rsidP="00A17011">
      <w:pPr>
        <w:pStyle w:val="Call"/>
        <w:jc w:val="both"/>
        <w:rPr>
          <w:lang w:eastAsia="zh-CN"/>
        </w:rPr>
      </w:pPr>
      <w:r w:rsidRPr="00445A8F">
        <w:rPr>
          <w:lang w:eastAsia="zh-CN"/>
        </w:rPr>
        <w:t>considérant</w:t>
      </w:r>
    </w:p>
    <w:p w:rsidR="00BF7121" w:rsidRPr="00445A8F" w:rsidRDefault="00BF7121" w:rsidP="00A17011">
      <w:pPr>
        <w:jc w:val="both"/>
        <w:rPr>
          <w:rFonts w:eastAsia="SimSun"/>
          <w:color w:val="000000"/>
          <w:lang w:eastAsia="zh-CN"/>
        </w:rPr>
      </w:pPr>
      <w:r>
        <w:rPr>
          <w:rFonts w:eastAsia="SimSun"/>
          <w:i/>
          <w:iCs/>
          <w:color w:val="000000"/>
          <w:lang w:eastAsia="zh-CN"/>
        </w:rPr>
        <w:t>a</w:t>
      </w:r>
      <w:r w:rsidRPr="00445A8F">
        <w:rPr>
          <w:rFonts w:eastAsia="SimSun"/>
          <w:i/>
          <w:iCs/>
          <w:color w:val="000000"/>
          <w:lang w:eastAsia="zh-CN"/>
        </w:rPr>
        <w:t>)</w:t>
      </w:r>
      <w:r w:rsidRPr="00445A8F">
        <w:rPr>
          <w:rFonts w:eastAsia="SimSun"/>
          <w:i/>
          <w:iCs/>
          <w:color w:val="000000"/>
          <w:lang w:eastAsia="zh-CN"/>
        </w:rPr>
        <w:tab/>
      </w:r>
      <w:r w:rsidRPr="00445A8F">
        <w:rPr>
          <w:rFonts w:eastAsia="SimSun"/>
          <w:color w:val="000000"/>
          <w:lang w:eastAsia="zh-CN"/>
        </w:rPr>
        <w:t>que le</w:t>
      </w:r>
      <w:r>
        <w:rPr>
          <w:rFonts w:eastAsia="SimSun"/>
          <w:color w:val="000000"/>
          <w:lang w:eastAsia="zh-CN"/>
        </w:rPr>
        <w:t>s</w:t>
      </w:r>
      <w:r w:rsidRPr="00445A8F">
        <w:rPr>
          <w:rFonts w:eastAsia="SimSun"/>
          <w:color w:val="000000"/>
          <w:lang w:eastAsia="zh-CN"/>
        </w:rPr>
        <w:t xml:space="preserve"> système</w:t>
      </w:r>
      <w:r>
        <w:rPr>
          <w:rFonts w:eastAsia="SimSun"/>
          <w:color w:val="000000"/>
          <w:lang w:eastAsia="zh-CN"/>
        </w:rPr>
        <w:t>s de transport ferroviaire sont en pleine évolution</w:t>
      </w:r>
      <w:r w:rsidRPr="00445A8F">
        <w:rPr>
          <w:rFonts w:eastAsia="SimSun"/>
          <w:color w:val="000000"/>
          <w:lang w:eastAsia="zh-CN"/>
        </w:rPr>
        <w:t>;</w:t>
      </w:r>
    </w:p>
    <w:p w:rsidR="00BF7121" w:rsidRPr="00445A8F" w:rsidRDefault="00BF7121" w:rsidP="00A17011">
      <w:pPr>
        <w:jc w:val="both"/>
        <w:rPr>
          <w:rFonts w:eastAsia="SimSun"/>
          <w:color w:val="000000"/>
          <w:lang w:eastAsia="zh-CN"/>
        </w:rPr>
      </w:pPr>
      <w:r>
        <w:rPr>
          <w:rFonts w:eastAsia="SimSun"/>
          <w:i/>
          <w:iCs/>
          <w:color w:val="000000"/>
          <w:lang w:eastAsia="zh-CN"/>
        </w:rPr>
        <w:t>b</w:t>
      </w:r>
      <w:r w:rsidRPr="00445A8F">
        <w:rPr>
          <w:rFonts w:eastAsia="SimSun"/>
          <w:i/>
          <w:iCs/>
          <w:color w:val="000000"/>
          <w:lang w:eastAsia="zh-CN"/>
        </w:rPr>
        <w:t>)</w:t>
      </w:r>
      <w:r w:rsidRPr="00445A8F">
        <w:rPr>
          <w:rFonts w:eastAsia="SimSun"/>
          <w:i/>
          <w:iCs/>
          <w:color w:val="000000"/>
          <w:lang w:eastAsia="zh-CN"/>
        </w:rPr>
        <w:tab/>
      </w:r>
      <w:r>
        <w:t>qu'il est nécessaire d'intégrer différentes technologies afin de faciliter diverses fonctions, comme les commandes de régulation des trains, le contrôle d'exploitation et la transmission de données, dans les systèmes utilisés dans les trains et sur les voies, pour répondre aux besoins de l'environnement des lignes de chemin de fer à grande vitesse</w:t>
      </w:r>
      <w:r w:rsidRPr="00445A8F">
        <w:rPr>
          <w:rFonts w:eastAsia="SimSun"/>
          <w:color w:val="000000"/>
          <w:lang w:eastAsia="zh-CN"/>
        </w:rPr>
        <w:t>;</w:t>
      </w:r>
    </w:p>
    <w:p w:rsidR="00BF7121" w:rsidRPr="00841A3D" w:rsidRDefault="00BF7121" w:rsidP="00A17011">
      <w:pPr>
        <w:jc w:val="both"/>
      </w:pPr>
      <w:r>
        <w:rPr>
          <w:rFonts w:eastAsia="SimSun"/>
          <w:i/>
          <w:iCs/>
          <w:color w:val="000000"/>
          <w:lang w:eastAsia="zh-CN"/>
        </w:rPr>
        <w:t>c</w:t>
      </w:r>
      <w:r w:rsidRPr="00445A8F">
        <w:rPr>
          <w:rFonts w:eastAsia="SimSun"/>
          <w:i/>
          <w:iCs/>
          <w:color w:val="000000"/>
          <w:lang w:eastAsia="zh-CN"/>
        </w:rPr>
        <w:t>)</w:t>
      </w:r>
      <w:r w:rsidRPr="00445A8F">
        <w:rPr>
          <w:rFonts w:eastAsia="SimSun"/>
          <w:i/>
          <w:iCs/>
          <w:color w:val="000000"/>
          <w:lang w:eastAsia="zh-CN"/>
        </w:rPr>
        <w:tab/>
      </w:r>
      <w:r w:rsidRPr="00841A3D">
        <w:t xml:space="preserve">que les systèmes de radiocommunication ferroviaires utilisés actuellement pour </w:t>
      </w:r>
      <w:r>
        <w:t>assurer</w:t>
      </w:r>
      <w:r w:rsidRPr="00841A3D">
        <w:t xml:space="preserve"> les communications dans les trains et sur les voies sont des systèmes à bande étroite;</w:t>
      </w:r>
    </w:p>
    <w:p w:rsidR="00BF7121" w:rsidRPr="00841A3D" w:rsidRDefault="00BF7121" w:rsidP="00A17011">
      <w:pPr>
        <w:jc w:val="both"/>
      </w:pPr>
      <w:r>
        <w:rPr>
          <w:rFonts w:eastAsia="SimSun"/>
          <w:i/>
          <w:iCs/>
          <w:lang w:eastAsia="zh-CN"/>
        </w:rPr>
        <w:t>d</w:t>
      </w:r>
      <w:r w:rsidRPr="00445A8F">
        <w:rPr>
          <w:rFonts w:eastAsia="SimSun"/>
          <w:i/>
          <w:iCs/>
          <w:lang w:eastAsia="zh-CN"/>
        </w:rPr>
        <w:t>)</w:t>
      </w:r>
      <w:r w:rsidRPr="00445A8F">
        <w:rPr>
          <w:rFonts w:eastAsia="SimSun"/>
          <w:i/>
          <w:iCs/>
          <w:lang w:eastAsia="zh-CN"/>
        </w:rPr>
        <w:tab/>
      </w:r>
      <w:r w:rsidRPr="00841A3D">
        <w:t>que le déploiement de systèmes de radiocommunication ferroviaires train/voie exige des investissements dans l'infrastructure,</w:t>
      </w:r>
    </w:p>
    <w:p w:rsidR="00BF7121" w:rsidRPr="00841A3D" w:rsidRDefault="00BF7121" w:rsidP="00A17011">
      <w:pPr>
        <w:pStyle w:val="Call"/>
        <w:jc w:val="both"/>
      </w:pPr>
      <w:r w:rsidRPr="00841A3D">
        <w:t>reconnaissant</w:t>
      </w:r>
    </w:p>
    <w:p w:rsidR="00BF7121" w:rsidRPr="00445A8F" w:rsidRDefault="00BF7121" w:rsidP="00A17011">
      <w:pPr>
        <w:jc w:val="both"/>
        <w:rPr>
          <w:rFonts w:eastAsia="SimSun"/>
          <w:color w:val="000000"/>
          <w:lang w:eastAsia="zh-CN"/>
        </w:rPr>
      </w:pPr>
      <w:r w:rsidRPr="00445A8F">
        <w:rPr>
          <w:i/>
          <w:iCs/>
          <w:lang w:eastAsia="zh-CN"/>
        </w:rPr>
        <w:t>a)</w:t>
      </w:r>
      <w:r w:rsidRPr="00445A8F">
        <w:rPr>
          <w:i/>
          <w:iCs/>
          <w:lang w:eastAsia="zh-CN"/>
        </w:rPr>
        <w:tab/>
      </w:r>
      <w:r w:rsidRPr="00445A8F">
        <w:rPr>
          <w:lang w:eastAsia="zh-CN"/>
        </w:rPr>
        <w:t xml:space="preserve">que les </w:t>
      </w:r>
      <w:r>
        <w:rPr>
          <w:lang w:eastAsia="zh-CN"/>
        </w:rPr>
        <w:t xml:space="preserve">technologies de l'information et de radiocommunication dans les </w:t>
      </w:r>
      <w:r w:rsidRPr="00445A8F">
        <w:rPr>
          <w:lang w:eastAsia="zh-CN"/>
        </w:rPr>
        <w:t>systèmes de radiocommunication</w:t>
      </w:r>
      <w:r>
        <w:rPr>
          <w:lang w:eastAsia="zh-CN"/>
        </w:rPr>
        <w:t xml:space="preserve"> ferroviaires</w:t>
      </w:r>
      <w:r w:rsidRPr="00445A8F">
        <w:rPr>
          <w:lang w:eastAsia="zh-CN"/>
        </w:rPr>
        <w:t xml:space="preserve"> train/voie </w:t>
      </w:r>
      <w:r>
        <w:rPr>
          <w:lang w:eastAsia="zh-CN"/>
        </w:rPr>
        <w:t>permettent d'améliorer le contrôle du trafic ferroviaire, la sécurité des passagers et la sécurité des opérations ferroviaires</w:t>
      </w:r>
      <w:r w:rsidRPr="00445A8F">
        <w:rPr>
          <w:color w:val="000000"/>
          <w:lang w:eastAsia="ja-JP"/>
        </w:rPr>
        <w:t>;</w:t>
      </w:r>
    </w:p>
    <w:p w:rsidR="00BF7121" w:rsidRDefault="00BF7121" w:rsidP="00A17011">
      <w:pPr>
        <w:jc w:val="both"/>
        <w:rPr>
          <w:lang w:eastAsia="zh-CN"/>
        </w:rPr>
      </w:pPr>
      <w:r>
        <w:rPr>
          <w:i/>
          <w:iCs/>
          <w:lang w:eastAsia="ja-JP"/>
        </w:rPr>
        <w:t>b</w:t>
      </w:r>
      <w:r w:rsidRPr="00445A8F">
        <w:rPr>
          <w:i/>
          <w:iCs/>
          <w:lang w:eastAsia="ja-JP"/>
        </w:rPr>
        <w:t>)</w:t>
      </w:r>
      <w:r w:rsidRPr="00445A8F">
        <w:rPr>
          <w:i/>
          <w:iCs/>
          <w:lang w:eastAsia="ja-JP"/>
        </w:rPr>
        <w:tab/>
      </w:r>
      <w:r w:rsidRPr="00445A8F">
        <w:rPr>
          <w:lang w:eastAsia="zh-CN"/>
        </w:rPr>
        <w:t xml:space="preserve">qu'il </w:t>
      </w:r>
      <w:r>
        <w:rPr>
          <w:lang w:eastAsia="zh-CN"/>
        </w:rPr>
        <w:t xml:space="preserve">faut </w:t>
      </w:r>
      <w:r w:rsidRPr="00445A8F">
        <w:rPr>
          <w:lang w:eastAsia="zh-CN"/>
        </w:rPr>
        <w:t xml:space="preserve">effectuer dans les meilleurs délais des études sur les </w:t>
      </w:r>
      <w:r>
        <w:rPr>
          <w:lang w:eastAsia="zh-CN"/>
        </w:rPr>
        <w:t>technologies permettant d'assurer des radiocommunications ferroviaires;</w:t>
      </w:r>
    </w:p>
    <w:p w:rsidR="00BF7121" w:rsidRDefault="00BF7121" w:rsidP="00A17011">
      <w:pPr>
        <w:jc w:val="both"/>
        <w:rPr>
          <w:lang w:eastAsia="zh-CN"/>
        </w:rPr>
      </w:pPr>
      <w:r>
        <w:rPr>
          <w:i/>
          <w:iCs/>
          <w:lang w:eastAsia="zh-CN"/>
        </w:rPr>
        <w:t>c)</w:t>
      </w:r>
      <w:r>
        <w:rPr>
          <w:i/>
          <w:iCs/>
          <w:lang w:eastAsia="zh-CN"/>
        </w:rPr>
        <w:tab/>
      </w:r>
      <w:r>
        <w:rPr>
          <w:lang w:eastAsia="zh-CN"/>
        </w:rPr>
        <w:t>que des normes internationales et des fréquences harmonisées à l'échelle mondiale faciliteraient le déploiement, partout dans le monde, de systèmes de radiocommunication ferroviaires train/voie et permettraient de réaliser des économies d'échelle dans le domaine du transport ferroviaire pour le public;</w:t>
      </w:r>
    </w:p>
    <w:p w:rsidR="00BF7121" w:rsidRDefault="00BF7121" w:rsidP="00A17011">
      <w:pPr>
        <w:jc w:val="both"/>
        <w:rPr>
          <w:lang w:eastAsia="zh-CN"/>
        </w:rPr>
      </w:pPr>
      <w:r>
        <w:rPr>
          <w:i/>
          <w:iCs/>
          <w:lang w:eastAsia="zh-CN"/>
        </w:rPr>
        <w:t>d)</w:t>
      </w:r>
      <w:r>
        <w:rPr>
          <w:i/>
          <w:iCs/>
          <w:lang w:eastAsia="zh-CN"/>
        </w:rPr>
        <w:tab/>
      </w:r>
      <w:r>
        <w:rPr>
          <w:lang w:eastAsia="zh-CN"/>
        </w:rPr>
        <w:t>qu'il est nécessaire de mettre à profit l'expérience acquise pour assurer la compatibilité entre les systèmes de radiocommunication ferroviaires train/voie actuels et les autres systèmes de radiocommunication,</w:t>
      </w:r>
    </w:p>
    <w:p w:rsidR="00BF7121" w:rsidRPr="00841A3D" w:rsidRDefault="00BF7121" w:rsidP="00A17011">
      <w:pPr>
        <w:pStyle w:val="Call"/>
        <w:jc w:val="both"/>
      </w:pPr>
      <w:r w:rsidRPr="00841A3D">
        <w:t>notant</w:t>
      </w:r>
    </w:p>
    <w:p w:rsidR="00BF7121" w:rsidRDefault="00BF7121" w:rsidP="00A17011">
      <w:pPr>
        <w:jc w:val="both"/>
        <w:rPr>
          <w:lang w:eastAsia="zh-CN"/>
        </w:rPr>
      </w:pPr>
      <w:r>
        <w:rPr>
          <w:i/>
          <w:iCs/>
          <w:lang w:eastAsia="zh-CN"/>
        </w:rPr>
        <w:t>a)</w:t>
      </w:r>
      <w:r>
        <w:rPr>
          <w:i/>
          <w:iCs/>
          <w:lang w:eastAsia="zh-CN"/>
        </w:rPr>
        <w:tab/>
      </w:r>
      <w:r>
        <w:rPr>
          <w:lang w:eastAsia="zh-CN"/>
        </w:rPr>
        <w:t>que le transport ferroviaire contribue au développement socioéconomique mondial, en particulier dans les pays en développement;</w:t>
      </w:r>
    </w:p>
    <w:p w:rsidR="00BF7121" w:rsidRDefault="00BF7121" w:rsidP="00A17011">
      <w:pPr>
        <w:jc w:val="both"/>
        <w:rPr>
          <w:lang w:eastAsia="zh-CN"/>
        </w:rPr>
      </w:pPr>
      <w:r>
        <w:rPr>
          <w:i/>
          <w:iCs/>
          <w:lang w:eastAsia="zh-CN"/>
        </w:rPr>
        <w:t>b)</w:t>
      </w:r>
      <w:r>
        <w:rPr>
          <w:i/>
          <w:iCs/>
          <w:lang w:eastAsia="zh-CN"/>
        </w:rPr>
        <w:tab/>
      </w:r>
      <w:r>
        <w:rPr>
          <w:lang w:eastAsia="zh-CN"/>
        </w:rPr>
        <w:t>que certaines organisations ferroviaires nationales et internationales ont commencé à étudier de nouvelles technologies pour les systèmes de radiocommunication ferroviaires;</w:t>
      </w:r>
    </w:p>
    <w:p w:rsidR="00BF7121" w:rsidRDefault="00BF7121" w:rsidP="005131A3">
      <w:pPr>
        <w:jc w:val="both"/>
        <w:rPr>
          <w:lang w:eastAsia="zh-CN"/>
        </w:rPr>
      </w:pPr>
      <w:r>
        <w:rPr>
          <w:i/>
          <w:iCs/>
          <w:lang w:eastAsia="zh-CN"/>
        </w:rPr>
        <w:t>c)</w:t>
      </w:r>
      <w:r>
        <w:rPr>
          <w:i/>
          <w:iCs/>
          <w:lang w:eastAsia="zh-CN"/>
        </w:rPr>
        <w:tab/>
      </w:r>
      <w:r>
        <w:rPr>
          <w:lang w:eastAsia="zh-CN"/>
        </w:rPr>
        <w:t>que la Commission d'études 5 du Secteur des radiocommunications de l'UIT (UIT</w:t>
      </w:r>
      <w:r w:rsidR="005131A3">
        <w:rPr>
          <w:lang w:eastAsia="zh-CN"/>
        </w:rPr>
        <w:noBreakHyphen/>
      </w:r>
      <w:r>
        <w:rPr>
          <w:lang w:eastAsia="zh-CN"/>
        </w:rPr>
        <w:t>R) étudie actuellement les caractéristiques techniques et opérationnelles pertinentes pour les systèmes de radiocommunication ferroviaires;</w:t>
      </w:r>
    </w:p>
    <w:p w:rsidR="00BF7121" w:rsidRDefault="00BF7121" w:rsidP="00A17011">
      <w:pPr>
        <w:jc w:val="both"/>
        <w:rPr>
          <w:lang w:eastAsia="zh-CN"/>
        </w:rPr>
      </w:pPr>
      <w:r>
        <w:rPr>
          <w:i/>
          <w:iCs/>
          <w:lang w:eastAsia="zh-CN"/>
        </w:rPr>
        <w:t>d)</w:t>
      </w:r>
      <w:r>
        <w:rPr>
          <w:i/>
          <w:iCs/>
          <w:lang w:eastAsia="zh-CN"/>
        </w:rPr>
        <w:tab/>
      </w:r>
      <w:r>
        <w:rPr>
          <w:lang w:eastAsia="zh-CN"/>
        </w:rPr>
        <w:t>que, dans certains pays, les systèmes de radiocommunication ferroviaires peuvent faciliter la fourniture des services aux voyageurs,</w:t>
      </w:r>
    </w:p>
    <w:p w:rsidR="00BF7121" w:rsidRPr="00841A3D" w:rsidRDefault="00BF7121" w:rsidP="00A17011">
      <w:pPr>
        <w:pStyle w:val="Call"/>
        <w:jc w:val="both"/>
      </w:pPr>
      <w:r w:rsidRPr="00841A3D">
        <w:t>soulignant</w:t>
      </w:r>
    </w:p>
    <w:p w:rsidR="00BF7121" w:rsidRDefault="00BF7121" w:rsidP="00A17011">
      <w:pPr>
        <w:jc w:val="both"/>
        <w:rPr>
          <w:lang w:eastAsia="zh-CN"/>
        </w:rPr>
      </w:pPr>
      <w:r>
        <w:rPr>
          <w:i/>
          <w:iCs/>
          <w:lang w:eastAsia="zh-CN"/>
        </w:rPr>
        <w:t>a)</w:t>
      </w:r>
      <w:r>
        <w:rPr>
          <w:i/>
          <w:iCs/>
          <w:lang w:eastAsia="zh-CN"/>
        </w:rPr>
        <w:tab/>
      </w:r>
      <w:r>
        <w:rPr>
          <w:lang w:eastAsia="zh-CN"/>
        </w:rPr>
        <w:t>que, dans les bandes de fréquences dans lesquelles ces systèmes actuels et futurs fonctionnent et fonctionneront, les systèmes de radiocommunication ferroviaires train/voie devraient être compatibles avec divers autres systèmes;</w:t>
      </w:r>
    </w:p>
    <w:p w:rsidR="00BF7121" w:rsidRPr="000B4FCF" w:rsidRDefault="00BF7121" w:rsidP="00A17011">
      <w:pPr>
        <w:jc w:val="both"/>
        <w:rPr>
          <w:lang w:eastAsia="zh-CN"/>
        </w:rPr>
      </w:pPr>
      <w:r>
        <w:rPr>
          <w:i/>
          <w:iCs/>
          <w:lang w:eastAsia="zh-CN"/>
        </w:rPr>
        <w:lastRenderedPageBreak/>
        <w:t>b)</w:t>
      </w:r>
      <w:r>
        <w:rPr>
          <w:i/>
          <w:iCs/>
          <w:lang w:eastAsia="zh-CN"/>
        </w:rPr>
        <w:tab/>
      </w:r>
      <w:r>
        <w:rPr>
          <w:lang w:eastAsia="zh-CN"/>
        </w:rPr>
        <w:t xml:space="preserve">que les dispositions des numéros </w:t>
      </w:r>
      <w:r w:rsidRPr="006E56D7">
        <w:rPr>
          <w:b/>
          <w:bCs/>
          <w:lang w:eastAsia="zh-CN"/>
        </w:rPr>
        <w:t>1.59</w:t>
      </w:r>
      <w:r>
        <w:rPr>
          <w:lang w:eastAsia="zh-CN"/>
        </w:rPr>
        <w:t xml:space="preserve"> et </w:t>
      </w:r>
      <w:r w:rsidRPr="006E56D7">
        <w:rPr>
          <w:b/>
          <w:bCs/>
          <w:lang w:eastAsia="zh-CN"/>
        </w:rPr>
        <w:t>4.10</w:t>
      </w:r>
      <w:r>
        <w:rPr>
          <w:lang w:eastAsia="zh-CN"/>
        </w:rPr>
        <w:t xml:space="preserve"> ne s'appliquent pas pour les systèmes de radiocommunication ferroviaires,</w:t>
      </w:r>
    </w:p>
    <w:p w:rsidR="00BF7121" w:rsidRPr="00841A3D" w:rsidRDefault="00BF7121" w:rsidP="00A17011">
      <w:pPr>
        <w:pStyle w:val="Call"/>
        <w:jc w:val="both"/>
      </w:pPr>
      <w:r w:rsidRPr="00841A3D">
        <w:t xml:space="preserve">décide d'inviter la </w:t>
      </w:r>
      <w:r>
        <w:t>Conférence mondiale des radiocommunications de 2019</w:t>
      </w:r>
    </w:p>
    <w:p w:rsidR="00BF7121" w:rsidRPr="00445A8F" w:rsidRDefault="00BF7121" w:rsidP="00A17011">
      <w:pPr>
        <w:jc w:val="both"/>
      </w:pPr>
      <w:r w:rsidRPr="00445A8F">
        <w:t xml:space="preserve">compte tenu des résultats des études de l'UIT-R, </w:t>
      </w:r>
      <w:r w:rsidRPr="00445A8F">
        <w:rPr>
          <w:rFonts w:eastAsia="SimSun"/>
          <w:lang w:eastAsia="zh-CN"/>
        </w:rPr>
        <w:t>à</w:t>
      </w:r>
      <w:r>
        <w:rPr>
          <w:rFonts w:eastAsia="SimSun"/>
          <w:lang w:eastAsia="zh-CN"/>
        </w:rPr>
        <w:t xml:space="preserve"> prendre les mesures nécessaires, le cas échéant, </w:t>
      </w:r>
      <w:r>
        <w:t xml:space="preserve">pour faciliter l'identification de bandes de fréquences harmonisées à l'échelle mondiale ou régionale, dans toute la mesure possible, </w:t>
      </w:r>
      <w:r w:rsidRPr="00445A8F">
        <w:t>pour la mise en œuvre d</w:t>
      </w:r>
      <w:r>
        <w:t>e</w:t>
      </w:r>
      <w:r w:rsidRPr="00445A8F">
        <w:t xml:space="preserve"> système</w:t>
      </w:r>
      <w:r>
        <w:t>s</w:t>
      </w:r>
      <w:r w:rsidRPr="00445A8F">
        <w:t xml:space="preserve"> de radiocommunication</w:t>
      </w:r>
      <w:r>
        <w:t xml:space="preserve"> ferroviaires</w:t>
      </w:r>
      <w:r w:rsidRPr="00445A8F">
        <w:t xml:space="preserve"> train/voie</w:t>
      </w:r>
      <w:r>
        <w:t xml:space="preserve">, dans les bandes </w:t>
      </w:r>
      <w:r>
        <w:rPr>
          <w:lang w:val="fr-CH"/>
        </w:rPr>
        <w:t>de fréquences</w:t>
      </w:r>
      <w:r>
        <w:t xml:space="preserve"> actuellement attribuées au service mobile</w:t>
      </w:r>
      <w:r w:rsidRPr="00445A8F">
        <w:t xml:space="preserve">, </w:t>
      </w:r>
    </w:p>
    <w:p w:rsidR="00BF7121" w:rsidRPr="00841A3D" w:rsidRDefault="00BF7121" w:rsidP="00A17011">
      <w:pPr>
        <w:pStyle w:val="Call"/>
        <w:jc w:val="both"/>
      </w:pPr>
      <w:r>
        <w:t xml:space="preserve">invite </w:t>
      </w:r>
      <w:r w:rsidRPr="00841A3D">
        <w:t>l'UIT</w:t>
      </w:r>
      <w:r>
        <w:t>-R</w:t>
      </w:r>
    </w:p>
    <w:p w:rsidR="00BF7121" w:rsidRPr="00445A8F" w:rsidRDefault="00BF7121" w:rsidP="00A17011">
      <w:pPr>
        <w:jc w:val="both"/>
        <w:rPr>
          <w:rFonts w:eastAsia="SimSun"/>
          <w:lang w:eastAsia="zh-CN"/>
        </w:rPr>
      </w:pPr>
      <w:r w:rsidRPr="00445A8F">
        <w:rPr>
          <w:rFonts w:eastAsia="SimSun"/>
          <w:lang w:eastAsia="zh-CN"/>
        </w:rPr>
        <w:t>à étudier les besoins de fréquences</w:t>
      </w:r>
      <w:r>
        <w:rPr>
          <w:rFonts w:eastAsia="SimSun"/>
          <w:lang w:eastAsia="zh-CN"/>
        </w:rPr>
        <w:t xml:space="preserve">, les caractéristiques techniques et opérationnelles ainsi que la mise en </w:t>
      </w:r>
      <w:proofErr w:type="spellStart"/>
      <w:r>
        <w:rPr>
          <w:rFonts w:eastAsia="SimSun"/>
          <w:lang w:eastAsia="zh-CN"/>
        </w:rPr>
        <w:t>oeuvre</w:t>
      </w:r>
      <w:proofErr w:type="spellEnd"/>
      <w:r>
        <w:rPr>
          <w:rFonts w:eastAsia="SimSun"/>
          <w:lang w:eastAsia="zh-CN"/>
        </w:rPr>
        <w:t xml:space="preserve"> des</w:t>
      </w:r>
      <w:r w:rsidRPr="00445A8F">
        <w:rPr>
          <w:rFonts w:eastAsia="SimSun"/>
          <w:lang w:eastAsia="zh-CN"/>
        </w:rPr>
        <w:t xml:space="preserve"> système</w:t>
      </w:r>
      <w:r>
        <w:rPr>
          <w:rFonts w:eastAsia="SimSun"/>
          <w:lang w:eastAsia="zh-CN"/>
        </w:rPr>
        <w:t>s</w:t>
      </w:r>
      <w:r w:rsidRPr="00445A8F">
        <w:rPr>
          <w:rFonts w:eastAsia="SimSun"/>
          <w:lang w:eastAsia="zh-CN"/>
        </w:rPr>
        <w:t xml:space="preserve"> de radiocommunication</w:t>
      </w:r>
      <w:r>
        <w:rPr>
          <w:rFonts w:eastAsia="SimSun"/>
          <w:lang w:eastAsia="zh-CN"/>
        </w:rPr>
        <w:t xml:space="preserve"> ferroviaires</w:t>
      </w:r>
      <w:r w:rsidRPr="00445A8F">
        <w:rPr>
          <w:rFonts w:eastAsia="SimSun"/>
          <w:lang w:eastAsia="zh-CN"/>
        </w:rPr>
        <w:t xml:space="preserve"> train/voie, </w:t>
      </w:r>
    </w:p>
    <w:p w:rsidR="00BF7121" w:rsidRPr="00445A8F" w:rsidRDefault="00BF7121" w:rsidP="00A17011">
      <w:pPr>
        <w:pStyle w:val="Call"/>
        <w:jc w:val="both"/>
      </w:pPr>
      <w:r w:rsidRPr="00445A8F">
        <w:t xml:space="preserve">invite les </w:t>
      </w:r>
      <w:proofErr w:type="spellStart"/>
      <w:r w:rsidRPr="00445A8F">
        <w:t>Etats</w:t>
      </w:r>
      <w:proofErr w:type="spellEnd"/>
      <w:r w:rsidRPr="00445A8F">
        <w:t xml:space="preserve"> Membres, les Membres de Secteur,</w:t>
      </w:r>
      <w:r w:rsidRPr="00D23760">
        <w:t xml:space="preserve"> </w:t>
      </w:r>
      <w:r w:rsidRPr="00445A8F">
        <w:t>les Associés</w:t>
      </w:r>
      <w:r>
        <w:t xml:space="preserve"> et</w:t>
      </w:r>
      <w:r w:rsidRPr="00445A8F">
        <w:t xml:space="preserve"> les é</w:t>
      </w:r>
      <w:r>
        <w:t>tablissements universitaires</w:t>
      </w:r>
    </w:p>
    <w:p w:rsidR="00BF7121" w:rsidRDefault="00BF7121" w:rsidP="00A17011">
      <w:pPr>
        <w:jc w:val="both"/>
        <w:rPr>
          <w:lang w:eastAsia="nl-NL"/>
        </w:rPr>
      </w:pPr>
      <w:r w:rsidRPr="00445A8F">
        <w:rPr>
          <w:lang w:eastAsia="nl-NL"/>
        </w:rPr>
        <w:t>à participer activement aux études en soumettant des contributions à l'UIT-R</w:t>
      </w:r>
      <w:r>
        <w:rPr>
          <w:lang w:eastAsia="nl-NL"/>
        </w:rPr>
        <w:t>,</w:t>
      </w:r>
    </w:p>
    <w:p w:rsidR="00BF7121" w:rsidRPr="00743BC9" w:rsidRDefault="00BF7121" w:rsidP="00A17011">
      <w:pPr>
        <w:pStyle w:val="Call"/>
        <w:jc w:val="both"/>
        <w:rPr>
          <w:lang w:eastAsia="nl-NL"/>
        </w:rPr>
      </w:pPr>
      <w:r w:rsidRPr="00743BC9">
        <w:rPr>
          <w:lang w:eastAsia="nl-NL"/>
        </w:rPr>
        <w:t>charge le Secrétaire général</w:t>
      </w:r>
    </w:p>
    <w:p w:rsidR="00BF7121" w:rsidRDefault="00BF7121" w:rsidP="00A17011">
      <w:pPr>
        <w:jc w:val="both"/>
      </w:pPr>
      <w:r>
        <w:rPr>
          <w:lang w:eastAsia="nl-NL"/>
        </w:rPr>
        <w:t xml:space="preserve">de porter la présente Résolution à l'attention de </w:t>
      </w:r>
      <w:r>
        <w:t>l'Union internationale des chemins de fer (UIC) et des autres organisations internationales et régionales concernées.</w:t>
      </w:r>
    </w:p>
    <w:p w:rsidR="004B648D" w:rsidRPr="001331D5" w:rsidRDefault="004B648D" w:rsidP="00A17011">
      <w:pPr>
        <w:jc w:val="both"/>
        <w:rPr>
          <w:rFonts w:asciiTheme="majorBidi" w:hAnsiTheme="majorBidi" w:cstheme="majorBidi"/>
          <w:szCs w:val="24"/>
        </w:rPr>
      </w:pPr>
    </w:p>
    <w:p w:rsidR="002808BC" w:rsidRDefault="002808BC" w:rsidP="00A17011">
      <w:pPr>
        <w:pStyle w:val="ResNo"/>
        <w:rPr>
          <w:rFonts w:asciiTheme="majorBidi" w:hAnsiTheme="majorBidi" w:cstheme="majorBidi"/>
          <w:sz w:val="24"/>
          <w:szCs w:val="24"/>
          <w:lang w:eastAsia="nl-NL"/>
        </w:rPr>
      </w:pPr>
    </w:p>
    <w:p w:rsidR="00BF7121" w:rsidRDefault="007C1B97" w:rsidP="00A17011">
      <w:pPr>
        <w:pStyle w:val="ResNo"/>
        <w:rPr>
          <w:lang w:val="fr-CH"/>
        </w:rPr>
      </w:pPr>
      <w:r w:rsidRPr="00BF7121">
        <w:rPr>
          <w:rFonts w:asciiTheme="majorBidi" w:hAnsiTheme="majorBidi" w:cstheme="majorBidi"/>
          <w:sz w:val="24"/>
          <w:szCs w:val="24"/>
          <w:lang w:eastAsia="nl-NL"/>
        </w:rPr>
        <w:br w:type="page"/>
      </w:r>
      <w:bookmarkStart w:id="145" w:name="_Toc327364449"/>
      <w:bookmarkStart w:id="146" w:name="_Toc337471330"/>
    </w:p>
    <w:p w:rsidR="007C11AB" w:rsidRPr="007C11AB" w:rsidRDefault="00F96BD5" w:rsidP="00A17011">
      <w:pPr>
        <w:pStyle w:val="ResNo"/>
      </w:pPr>
      <w:bookmarkStart w:id="147" w:name="RES_237"/>
      <w:bookmarkStart w:id="148" w:name="_Toc444507560"/>
      <w:bookmarkStart w:id="149" w:name="_Toc460331708"/>
      <w:bookmarkStart w:id="150" w:name="_Toc463616165"/>
      <w:r>
        <w:lastRenderedPageBreak/>
        <w:t>R</w:t>
      </w:r>
      <w:r w:rsidR="001D5201" w:rsidRPr="001D5201">
        <w:t>É</w:t>
      </w:r>
      <w:r w:rsidR="007C11AB" w:rsidRPr="007C11AB">
        <w:t xml:space="preserve">SOLUTION </w:t>
      </w:r>
      <w:r w:rsidR="007C11AB" w:rsidRPr="007C11AB">
        <w:rPr>
          <w:rStyle w:val="href"/>
        </w:rPr>
        <w:t>237</w:t>
      </w:r>
      <w:r w:rsidR="007C11AB" w:rsidRPr="007C11AB">
        <w:t xml:space="preserve"> </w:t>
      </w:r>
      <w:bookmarkEnd w:id="147"/>
      <w:r w:rsidR="007C11AB" w:rsidRPr="007C11AB">
        <w:t>(</w:t>
      </w:r>
      <w:r w:rsidR="00F8363E" w:rsidRPr="00A20F5A">
        <w:t>C</w:t>
      </w:r>
      <w:r w:rsidR="00F8363E">
        <w:t>MR</w:t>
      </w:r>
      <w:r w:rsidR="007C11AB" w:rsidRPr="007C11AB">
        <w:t>-15)</w:t>
      </w:r>
      <w:bookmarkEnd w:id="148"/>
      <w:bookmarkEnd w:id="149"/>
      <w:bookmarkEnd w:id="150"/>
    </w:p>
    <w:p w:rsidR="00BF7121" w:rsidRPr="002F0998" w:rsidRDefault="00BF7121" w:rsidP="00A17011">
      <w:pPr>
        <w:pStyle w:val="Restitle"/>
        <w:rPr>
          <w:lang w:val="fr-CH"/>
        </w:rPr>
      </w:pPr>
      <w:bookmarkStart w:id="151" w:name="_Toc450208665"/>
      <w:bookmarkStart w:id="152" w:name="_Toc463616166"/>
      <w:r w:rsidRPr="002F0998">
        <w:rPr>
          <w:color w:val="000000"/>
          <w:lang w:val="fr-CH"/>
        </w:rPr>
        <w:t>Applications des systèmes de transport intelligents</w:t>
      </w:r>
      <w:bookmarkEnd w:id="151"/>
      <w:bookmarkEnd w:id="152"/>
    </w:p>
    <w:p w:rsidR="00BF7121" w:rsidRPr="002F0998" w:rsidRDefault="00BF7121" w:rsidP="00A17011">
      <w:pPr>
        <w:pStyle w:val="Normalaftertitle"/>
        <w:rPr>
          <w:szCs w:val="24"/>
          <w:lang w:val="fr-CH" w:eastAsia="nl-NL"/>
        </w:rPr>
      </w:pPr>
      <w:r w:rsidRPr="002F0998">
        <w:rPr>
          <w:szCs w:val="24"/>
          <w:lang w:val="fr-CH" w:eastAsia="nl-NL"/>
        </w:rPr>
        <w:t>La Conférence mondiale des radiocommunications (Genève, 2015),</w:t>
      </w:r>
    </w:p>
    <w:p w:rsidR="00BF7121" w:rsidRPr="002F0998" w:rsidRDefault="00BF7121" w:rsidP="00A17011">
      <w:pPr>
        <w:pStyle w:val="Call"/>
        <w:rPr>
          <w:lang w:val="fr-CH"/>
        </w:rPr>
      </w:pPr>
      <w:r w:rsidRPr="002F0998">
        <w:rPr>
          <w:lang w:val="fr-CH"/>
        </w:rPr>
        <w:t>considérant</w:t>
      </w:r>
    </w:p>
    <w:p w:rsidR="00BF7121" w:rsidRPr="002F0998" w:rsidRDefault="00BF7121" w:rsidP="00A17011">
      <w:pPr>
        <w:jc w:val="both"/>
        <w:rPr>
          <w:lang w:val="fr-CH"/>
        </w:rPr>
      </w:pPr>
      <w:r w:rsidRPr="002F0998">
        <w:rPr>
          <w:i/>
          <w:iCs/>
          <w:lang w:val="fr-CH"/>
        </w:rPr>
        <w:t>a)</w:t>
      </w:r>
      <w:r w:rsidRPr="002F0998">
        <w:rPr>
          <w:lang w:val="fr-CH"/>
        </w:rPr>
        <w:tab/>
        <w:t xml:space="preserve">que les </w:t>
      </w:r>
      <w:r>
        <w:rPr>
          <w:lang w:val="fr-CH"/>
        </w:rPr>
        <w:t>technologies de l'information et de la communication sont intégrées dans un système de véhicule pour fournir des applications de communication pour systèmes de transport intelligents (ITS), en vue d'améliorer la gestion du trafic et de contribuer à la sécurité au volant</w:t>
      </w:r>
      <w:r w:rsidRPr="002F0998">
        <w:rPr>
          <w:lang w:val="fr-CH"/>
        </w:rPr>
        <w:t>;</w:t>
      </w:r>
    </w:p>
    <w:p w:rsidR="00BF7121" w:rsidRPr="002F0998" w:rsidRDefault="00BF7121" w:rsidP="00A17011">
      <w:pPr>
        <w:jc w:val="both"/>
        <w:rPr>
          <w:lang w:val="fr-CH"/>
        </w:rPr>
      </w:pPr>
      <w:r w:rsidRPr="002F0998">
        <w:rPr>
          <w:i/>
          <w:iCs/>
          <w:lang w:val="fr-CH"/>
        </w:rPr>
        <w:t>b)</w:t>
      </w:r>
      <w:r w:rsidRPr="002F0998">
        <w:rPr>
          <w:lang w:val="fr-CH"/>
        </w:rPr>
        <w:tab/>
        <w:t xml:space="preserve">qu'il est nécessaire d'examiner </w:t>
      </w:r>
      <w:r>
        <w:rPr>
          <w:lang w:val="fr-CH"/>
        </w:rPr>
        <w:t>l'harmonisation</w:t>
      </w:r>
      <w:r w:rsidRPr="002F0998">
        <w:rPr>
          <w:lang w:val="fr-CH"/>
        </w:rPr>
        <w:t xml:space="preserve"> de</w:t>
      </w:r>
      <w:r>
        <w:rPr>
          <w:lang w:val="fr-CH"/>
        </w:rPr>
        <w:t>s</w:t>
      </w:r>
      <w:r w:rsidRPr="002F0998">
        <w:rPr>
          <w:lang w:val="fr-CH"/>
        </w:rPr>
        <w:t xml:space="preserve"> fréquences </w:t>
      </w:r>
      <w:r>
        <w:rPr>
          <w:lang w:val="fr-CH"/>
        </w:rPr>
        <w:t>pour</w:t>
      </w:r>
      <w:r w:rsidRPr="002F0998">
        <w:rPr>
          <w:lang w:val="fr-CH"/>
        </w:rPr>
        <w:t xml:space="preserve"> les applications ITS, qui sont actuellement utilisées à l'échelle mondiale ou régionale;</w:t>
      </w:r>
    </w:p>
    <w:p w:rsidR="00BF7121" w:rsidRPr="002F0998" w:rsidRDefault="00BF7121" w:rsidP="00A17011">
      <w:pPr>
        <w:jc w:val="both"/>
        <w:rPr>
          <w:lang w:val="fr-CH"/>
        </w:rPr>
      </w:pPr>
      <w:r w:rsidRPr="002F0998">
        <w:rPr>
          <w:i/>
          <w:iCs/>
          <w:lang w:val="fr-CH"/>
        </w:rPr>
        <w:t>c)</w:t>
      </w:r>
      <w:r w:rsidRPr="002F0998">
        <w:rPr>
          <w:lang w:val="fr-CH"/>
        </w:rPr>
        <w:tab/>
        <w:t xml:space="preserve">qu'il est nécessaire d'intégrer diverses technologies, notamment </w:t>
      </w:r>
      <w:r>
        <w:rPr>
          <w:lang w:val="fr-CH"/>
        </w:rPr>
        <w:t xml:space="preserve">de </w:t>
      </w:r>
      <w:r w:rsidRPr="002F0998">
        <w:rPr>
          <w:lang w:val="fr-CH"/>
        </w:rPr>
        <w:t>radiocommunications</w:t>
      </w:r>
      <w:r>
        <w:rPr>
          <w:lang w:val="fr-CH"/>
        </w:rPr>
        <w:t xml:space="preserve">, </w:t>
      </w:r>
      <w:r w:rsidRPr="002F0998">
        <w:rPr>
          <w:lang w:val="fr-CH"/>
        </w:rPr>
        <w:t>dans les systèmes de transport terrestres;</w:t>
      </w:r>
    </w:p>
    <w:p w:rsidR="00BF7121" w:rsidRPr="002F0998" w:rsidRDefault="00BF7121" w:rsidP="00A17011">
      <w:pPr>
        <w:jc w:val="both"/>
        <w:rPr>
          <w:lang w:val="fr-CH"/>
        </w:rPr>
      </w:pPr>
      <w:r w:rsidRPr="002F0998">
        <w:rPr>
          <w:i/>
          <w:iCs/>
          <w:lang w:val="fr-CH"/>
        </w:rPr>
        <w:t>d)</w:t>
      </w:r>
      <w:r w:rsidRPr="002F0998">
        <w:rPr>
          <w:lang w:val="fr-CH"/>
        </w:rPr>
        <w:tab/>
        <w:t xml:space="preserve">qu'un grand nombre de nouveaux </w:t>
      </w:r>
      <w:r>
        <w:rPr>
          <w:lang w:val="fr-CH"/>
        </w:rPr>
        <w:t>véhicules connectés</w:t>
      </w:r>
      <w:r w:rsidRPr="002F0998">
        <w:rPr>
          <w:lang w:val="fr-CH"/>
        </w:rPr>
        <w:t xml:space="preserve"> associent des</w:t>
      </w:r>
      <w:r>
        <w:rPr>
          <w:lang w:val="fr-CH"/>
        </w:rPr>
        <w:t xml:space="preserve"> technologies intelligentes dans les</w:t>
      </w:r>
      <w:r w:rsidRPr="002F0998">
        <w:rPr>
          <w:lang w:val="fr-CH"/>
        </w:rPr>
        <w:t xml:space="preserve"> véhicules à des systèmes évolués de gestion du trafic, d'informations destinées aux voyageurs, de transports publics et</w:t>
      </w:r>
      <w:r>
        <w:rPr>
          <w:lang w:val="fr-CH"/>
        </w:rPr>
        <w:t>/ou</w:t>
      </w:r>
      <w:r w:rsidRPr="002F0998">
        <w:rPr>
          <w:lang w:val="fr-CH"/>
        </w:rPr>
        <w:t xml:space="preserve"> de gestion de la flotte</w:t>
      </w:r>
      <w:r>
        <w:rPr>
          <w:lang w:val="fr-CH"/>
        </w:rPr>
        <w:t>,</w:t>
      </w:r>
      <w:r w:rsidRPr="002F0998">
        <w:rPr>
          <w:lang w:val="fr-CH"/>
        </w:rPr>
        <w:t xml:space="preserve"> pour améliorer la gestion du trafic;</w:t>
      </w:r>
    </w:p>
    <w:p w:rsidR="00BF7121" w:rsidRPr="002F0998" w:rsidRDefault="00BF7121" w:rsidP="00A17011">
      <w:pPr>
        <w:jc w:val="both"/>
        <w:rPr>
          <w:lang w:val="fr-CH"/>
        </w:rPr>
      </w:pPr>
      <w:r w:rsidRPr="002F0998">
        <w:rPr>
          <w:i/>
          <w:iCs/>
          <w:lang w:val="fr-CH"/>
        </w:rPr>
        <w:t>e)</w:t>
      </w:r>
      <w:r w:rsidRPr="002F0998">
        <w:rPr>
          <w:lang w:val="fr-CH"/>
        </w:rPr>
        <w:tab/>
        <w:t xml:space="preserve">que </w:t>
      </w:r>
      <w:r>
        <w:rPr>
          <w:lang w:val="fr-CH"/>
        </w:rPr>
        <w:t>l'Organisation internationale de normalisation (</w:t>
      </w:r>
      <w:r w:rsidRPr="002F0998">
        <w:rPr>
          <w:lang w:val="fr-CH"/>
        </w:rPr>
        <w:t>ISO</w:t>
      </w:r>
      <w:r>
        <w:rPr>
          <w:lang w:val="fr-CH"/>
        </w:rPr>
        <w:t>)</w:t>
      </w:r>
      <w:r w:rsidRPr="002F0998">
        <w:rPr>
          <w:lang w:val="fr-CH"/>
        </w:rPr>
        <w:t xml:space="preserve"> normalise actuellement des systèmes ITS (aspects non radioélectriques) dans le cadre de la norme ISO/TC204, y compris </w:t>
      </w:r>
      <w:r>
        <w:rPr>
          <w:lang w:val="fr-CH"/>
        </w:rPr>
        <w:t>d</w:t>
      </w:r>
      <w:r w:rsidRPr="002F0998">
        <w:rPr>
          <w:lang w:val="fr-CH"/>
        </w:rPr>
        <w:t xml:space="preserve">es applications destinées </w:t>
      </w:r>
      <w:r>
        <w:rPr>
          <w:lang w:val="fr-CH"/>
        </w:rPr>
        <w:t xml:space="preserve">à des </w:t>
      </w:r>
      <w:r w:rsidRPr="002F0998">
        <w:rPr>
          <w:lang w:val="fr-CH"/>
        </w:rPr>
        <w:t xml:space="preserve">«systèmes coopératifs» </w:t>
      </w:r>
      <w:r>
        <w:rPr>
          <w:lang w:val="fr-CH"/>
        </w:rPr>
        <w:t>qui nécessite</w:t>
      </w:r>
      <w:r w:rsidRPr="002F0998">
        <w:rPr>
          <w:lang w:val="fr-CH"/>
        </w:rPr>
        <w:t>nt des radiocommunications entre véhicules ou de véhicule à infrastructure;</w:t>
      </w:r>
    </w:p>
    <w:p w:rsidR="00BF7121" w:rsidRPr="002F0998" w:rsidRDefault="00BF7121" w:rsidP="00A17011">
      <w:pPr>
        <w:jc w:val="both"/>
        <w:rPr>
          <w:lang w:val="fr-CH"/>
        </w:rPr>
      </w:pPr>
      <w:r w:rsidRPr="002F0998">
        <w:rPr>
          <w:i/>
          <w:iCs/>
          <w:lang w:val="fr-CH"/>
        </w:rPr>
        <w:t>f)</w:t>
      </w:r>
      <w:r w:rsidRPr="002F0998">
        <w:rPr>
          <w:lang w:val="fr-CH"/>
        </w:rPr>
        <w:tab/>
        <w:t xml:space="preserve">que le </w:t>
      </w:r>
      <w:r>
        <w:rPr>
          <w:lang w:val="fr-CH"/>
        </w:rPr>
        <w:t>Projet du partenariat de 3ème génération (</w:t>
      </w:r>
      <w:r w:rsidRPr="002F0998">
        <w:rPr>
          <w:lang w:val="fr-CH"/>
        </w:rPr>
        <w:t>3GPP</w:t>
      </w:r>
      <w:r>
        <w:rPr>
          <w:lang w:val="fr-CH"/>
        </w:rPr>
        <w:t>)</w:t>
      </w:r>
      <w:r w:rsidRPr="002F0998">
        <w:rPr>
          <w:lang w:val="fr-CH"/>
        </w:rPr>
        <w:t xml:space="preserve"> normalise actuellement l'interface radioélectrique, l'architecture de système et les </w:t>
      </w:r>
      <w:r w:rsidRPr="002F0998">
        <w:rPr>
          <w:color w:val="000000"/>
          <w:lang w:val="fr-CH"/>
        </w:rPr>
        <w:t>prescriptions des services</w:t>
      </w:r>
      <w:r w:rsidRPr="002F0998">
        <w:rPr>
          <w:lang w:val="fr-CH"/>
        </w:rPr>
        <w:t xml:space="preserve"> V2X </w:t>
      </w:r>
      <w:r>
        <w:rPr>
          <w:lang w:val="fr-CH"/>
        </w:rPr>
        <w:t xml:space="preserve">fondés sur la technologie LTE </w:t>
      </w:r>
      <w:r w:rsidRPr="002F0998">
        <w:rPr>
          <w:lang w:val="fr-CH"/>
        </w:rPr>
        <w:t>pour les applications ITS;</w:t>
      </w:r>
    </w:p>
    <w:p w:rsidR="00BF7121" w:rsidRPr="002F0998" w:rsidRDefault="00BF7121" w:rsidP="00A17011">
      <w:pPr>
        <w:jc w:val="both"/>
        <w:rPr>
          <w:lang w:val="fr-CH"/>
        </w:rPr>
      </w:pPr>
      <w:r w:rsidRPr="002F0998">
        <w:rPr>
          <w:i/>
          <w:iCs/>
          <w:lang w:val="fr-CH"/>
        </w:rPr>
        <w:t>g)</w:t>
      </w:r>
      <w:r w:rsidRPr="002F0998">
        <w:rPr>
          <w:lang w:val="fr-CH"/>
        </w:rPr>
        <w:tab/>
        <w:t>que</w:t>
      </w:r>
      <w:r>
        <w:rPr>
          <w:lang w:val="fr-CH"/>
        </w:rPr>
        <w:t xml:space="preserve"> de nouvelles techniques de radiocommunication</w:t>
      </w:r>
      <w:r w:rsidRPr="002F0998">
        <w:rPr>
          <w:lang w:val="fr-CH"/>
        </w:rPr>
        <w:t xml:space="preserve"> </w:t>
      </w:r>
      <w:r>
        <w:rPr>
          <w:lang w:val="fr-CH"/>
        </w:rPr>
        <w:t>pour véhicule</w:t>
      </w:r>
      <w:r w:rsidRPr="002F0998">
        <w:rPr>
          <w:lang w:val="fr-CH"/>
        </w:rPr>
        <w:t>s</w:t>
      </w:r>
      <w:r w:rsidRPr="00191FDB">
        <w:rPr>
          <w:lang w:val="fr-CH"/>
        </w:rPr>
        <w:t xml:space="preserve"> </w:t>
      </w:r>
      <w:r w:rsidRPr="002F0998">
        <w:rPr>
          <w:lang w:val="fr-CH"/>
        </w:rPr>
        <w:t xml:space="preserve">et </w:t>
      </w:r>
      <w:r>
        <w:rPr>
          <w:lang w:val="fr-CH"/>
        </w:rPr>
        <w:t>l</w:t>
      </w:r>
      <w:r w:rsidRPr="002F0998">
        <w:rPr>
          <w:lang w:val="fr-CH"/>
        </w:rPr>
        <w:t>es systèmes de radiodiffusion ITS voient actuellement le jour;</w:t>
      </w:r>
    </w:p>
    <w:p w:rsidR="00BF7121" w:rsidRPr="002F0998" w:rsidRDefault="00BF7121" w:rsidP="00A17011">
      <w:pPr>
        <w:jc w:val="both"/>
        <w:rPr>
          <w:rFonts w:eastAsia="MS Mincho"/>
          <w:lang w:val="fr-CH" w:eastAsia="ja-JP"/>
        </w:rPr>
      </w:pPr>
      <w:r w:rsidRPr="002F0998">
        <w:rPr>
          <w:i/>
          <w:iCs/>
          <w:lang w:val="fr-CH"/>
        </w:rPr>
        <w:t>h)</w:t>
      </w:r>
      <w:r w:rsidRPr="002F0998">
        <w:rPr>
          <w:i/>
          <w:iCs/>
          <w:lang w:val="fr-CH"/>
        </w:rPr>
        <w:tab/>
      </w:r>
      <w:r w:rsidRPr="002655F5">
        <w:rPr>
          <w:lang w:val="fr-CH"/>
        </w:rPr>
        <w:t>que certaines administrations disposent de bandes de fréquences harmonisées pour les applications de radiocommunication ITS</w:t>
      </w:r>
      <w:r>
        <w:rPr>
          <w:rFonts w:eastAsia="MS Mincho"/>
          <w:lang w:val="fr-CH" w:eastAsia="ja-JP"/>
        </w:rPr>
        <w:t>,</w:t>
      </w:r>
    </w:p>
    <w:p w:rsidR="00BF7121" w:rsidRPr="002655F5" w:rsidRDefault="00BF7121" w:rsidP="00A17011">
      <w:pPr>
        <w:pStyle w:val="Call"/>
        <w:jc w:val="both"/>
        <w:rPr>
          <w:lang w:val="fr-CH"/>
        </w:rPr>
      </w:pPr>
      <w:r w:rsidRPr="002655F5">
        <w:rPr>
          <w:lang w:val="fr-CH"/>
        </w:rPr>
        <w:t>reconnaissant</w:t>
      </w:r>
    </w:p>
    <w:p w:rsidR="00BF7121" w:rsidRPr="002F0998" w:rsidRDefault="00BF7121" w:rsidP="00A17011">
      <w:pPr>
        <w:jc w:val="both"/>
        <w:rPr>
          <w:lang w:val="fr-CH"/>
        </w:rPr>
      </w:pPr>
      <w:r w:rsidRPr="00101B22">
        <w:t xml:space="preserve">que des </w:t>
      </w:r>
      <w:r>
        <w:t xml:space="preserve">bandes de </w:t>
      </w:r>
      <w:r w:rsidRPr="00101B22">
        <w:t>fréquences harmonisées et</w:t>
      </w:r>
      <w:r>
        <w:t xml:space="preserve"> des</w:t>
      </w:r>
      <w:r w:rsidRPr="00101B22">
        <w:t xml:space="preserve"> normes internationales faciliteraient le déploiement partout dans le monde de</w:t>
      </w:r>
      <w:r>
        <w:t>s</w:t>
      </w:r>
      <w:r w:rsidRPr="00101B22">
        <w:t xml:space="preserve"> radiocommunications </w:t>
      </w:r>
      <w:r>
        <w:t>ITS</w:t>
      </w:r>
      <w:r w:rsidRPr="00101B22">
        <w:t xml:space="preserve"> et permettraient</w:t>
      </w:r>
      <w:r>
        <w:t xml:space="preserve"> de réaliser</w:t>
      </w:r>
      <w:r w:rsidRPr="00101B22">
        <w:t xml:space="preserve"> des économies d</w:t>
      </w:r>
      <w:r>
        <w:t>'</w:t>
      </w:r>
      <w:r w:rsidRPr="00101B22">
        <w:t xml:space="preserve">échelle dans </w:t>
      </w:r>
      <w:r>
        <w:t>la mise à la disposition du public d'équipements et de services ITS,</w:t>
      </w:r>
    </w:p>
    <w:p w:rsidR="00BF7121" w:rsidRPr="002F0998" w:rsidRDefault="00BF7121" w:rsidP="00A17011">
      <w:pPr>
        <w:pStyle w:val="Call"/>
        <w:jc w:val="both"/>
        <w:rPr>
          <w:lang w:val="fr-CH" w:eastAsia="ja-JP"/>
        </w:rPr>
      </w:pPr>
      <w:r w:rsidRPr="002F0998">
        <w:rPr>
          <w:lang w:val="fr-CH" w:eastAsia="ja-JP"/>
        </w:rPr>
        <w:t>notant</w:t>
      </w:r>
    </w:p>
    <w:p w:rsidR="00BF7121" w:rsidRPr="002655F5" w:rsidRDefault="00BF7121" w:rsidP="00A17011">
      <w:pPr>
        <w:jc w:val="both"/>
      </w:pPr>
      <w:r w:rsidRPr="002655F5">
        <w:rPr>
          <w:i/>
          <w:iCs/>
        </w:rPr>
        <w:t>a)</w:t>
      </w:r>
      <w:r w:rsidRPr="002655F5">
        <w:tab/>
        <w:t>que les lignes directrices relatives aux spécifications des interfaces radioélectriques des systèmes ITS sont décrites dans la Recommandation UIT-R M.1890;</w:t>
      </w:r>
    </w:p>
    <w:p w:rsidR="00BF7121" w:rsidRPr="002F0998" w:rsidRDefault="00BF7121" w:rsidP="00A17011">
      <w:pPr>
        <w:jc w:val="both"/>
        <w:rPr>
          <w:lang w:val="fr-CH" w:eastAsia="ja-JP"/>
        </w:rPr>
      </w:pPr>
      <w:r w:rsidRPr="002F0998">
        <w:rPr>
          <w:rFonts w:eastAsia="MS Mincho"/>
          <w:i/>
          <w:iCs/>
          <w:lang w:val="fr-CH" w:eastAsia="ja-JP"/>
        </w:rPr>
        <w:t>b)</w:t>
      </w:r>
      <w:r w:rsidRPr="002F0998">
        <w:rPr>
          <w:rFonts w:eastAsia="MS Mincho"/>
          <w:i/>
          <w:iCs/>
          <w:lang w:val="fr-CH" w:eastAsia="ja-JP"/>
        </w:rPr>
        <w:tab/>
      </w:r>
      <w:r w:rsidRPr="002655F5">
        <w:t>qu'une vue d'ensemble des technologies et des caractéristiques relatives aux communications spécialisées à courte distance à 5,8 GHz est donnée dans la Recommandation UIT</w:t>
      </w:r>
      <w:r>
        <w:noBreakHyphen/>
        <w:t>R </w:t>
      </w:r>
      <w:r w:rsidRPr="002655F5">
        <w:t>M.1453-2;</w:t>
      </w:r>
    </w:p>
    <w:p w:rsidR="00BF7121" w:rsidRPr="002F0998" w:rsidRDefault="00BF7121" w:rsidP="00A17011">
      <w:pPr>
        <w:jc w:val="both"/>
        <w:rPr>
          <w:lang w:val="fr-CH" w:eastAsia="ja-JP"/>
        </w:rPr>
      </w:pPr>
      <w:r w:rsidRPr="00931AC8">
        <w:rPr>
          <w:i/>
          <w:iCs/>
          <w:lang w:val="fr-CH" w:eastAsia="ja-JP"/>
        </w:rPr>
        <w:t>c)</w:t>
      </w:r>
      <w:r w:rsidRPr="002F0998">
        <w:rPr>
          <w:lang w:val="fr-CH" w:eastAsia="ja-JP"/>
        </w:rPr>
        <w:tab/>
      </w:r>
      <w:r w:rsidRPr="002655F5">
        <w:t>que</w:t>
      </w:r>
      <w:r>
        <w:t>,</w:t>
      </w:r>
      <w:r w:rsidRPr="002655F5">
        <w:t xml:space="preserve"> dans chacune des trois Régions, certaines administrations ont mis en place des réseaux locaux hertziens dans la bande de fréquences 5 725-5 825 MHz, qui est</w:t>
      </w:r>
      <w:r>
        <w:t xml:space="preserve"> également </w:t>
      </w:r>
      <w:r w:rsidRPr="002655F5">
        <w:t>identifiée pour les applications industrielles, scientifiques et médicales (ISM);</w:t>
      </w:r>
    </w:p>
    <w:p w:rsidR="00BF7121" w:rsidRPr="002655F5" w:rsidRDefault="00BF7121" w:rsidP="00A17011">
      <w:pPr>
        <w:jc w:val="both"/>
      </w:pPr>
      <w:r w:rsidRPr="002F0998">
        <w:rPr>
          <w:i/>
          <w:iCs/>
          <w:lang w:val="fr-CH" w:eastAsia="ja-JP"/>
        </w:rPr>
        <w:lastRenderedPageBreak/>
        <w:t>d)</w:t>
      </w:r>
      <w:r w:rsidRPr="002F0998">
        <w:rPr>
          <w:lang w:val="fr-CH" w:eastAsia="ja-JP"/>
        </w:rPr>
        <w:tab/>
      </w:r>
      <w:r w:rsidRPr="002655F5">
        <w:t>qu</w:t>
      </w:r>
      <w:r>
        <w:t>e l</w:t>
      </w:r>
      <w:r w:rsidRPr="002655F5">
        <w:t>'on a activement procédé à des études et à des tests de faisabilité concernant les radiocommunications ITS évoluées, en vue de contribuer à la sécurité routière</w:t>
      </w:r>
      <w:r>
        <w:t>,</w:t>
      </w:r>
      <w:r w:rsidRPr="002655F5">
        <w:t xml:space="preserve"> et qu'une limitation des conséquences sur l'environnement est décrite dans le Rapport UIT-R M.2228;</w:t>
      </w:r>
    </w:p>
    <w:p w:rsidR="00BF7121" w:rsidRPr="002655F5" w:rsidRDefault="00BF7121" w:rsidP="00A17011">
      <w:pPr>
        <w:jc w:val="both"/>
      </w:pPr>
      <w:r w:rsidRPr="008352AD">
        <w:rPr>
          <w:rFonts w:eastAsia="MS Gothic"/>
          <w:i/>
          <w:iCs/>
          <w:lang w:val="fr-CH" w:eastAsia="ja-JP"/>
        </w:rPr>
        <w:t>e)</w:t>
      </w:r>
      <w:r w:rsidRPr="002F0998">
        <w:rPr>
          <w:rFonts w:eastAsia="MS Gothic"/>
          <w:lang w:val="fr-CH" w:eastAsia="ja-JP"/>
        </w:rPr>
        <w:tab/>
      </w:r>
      <w:r w:rsidRPr="002655F5">
        <w:t xml:space="preserve">que les normes relatives aux interfaces radioélectriques pour les communications entre véhicules et de véhicule à infrastructure </w:t>
      </w:r>
      <w:r>
        <w:t xml:space="preserve">destinées aux </w:t>
      </w:r>
      <w:r w:rsidRPr="002655F5">
        <w:t xml:space="preserve">applications </w:t>
      </w:r>
      <w:r>
        <w:t xml:space="preserve">ITS </w:t>
      </w:r>
      <w:r w:rsidRPr="002655F5">
        <w:t>sont décrites dans la Recommandation UIT-R M.2084,</w:t>
      </w:r>
    </w:p>
    <w:p w:rsidR="00BF7121" w:rsidRPr="002F0998" w:rsidRDefault="00BF7121" w:rsidP="00A17011">
      <w:pPr>
        <w:pStyle w:val="Call"/>
        <w:jc w:val="both"/>
        <w:rPr>
          <w:lang w:val="fr-CH" w:eastAsia="ja-JP"/>
        </w:rPr>
      </w:pPr>
      <w:r>
        <w:rPr>
          <w:lang w:val="fr-CH" w:eastAsia="ja-JP"/>
        </w:rPr>
        <w:t>soulignant</w:t>
      </w:r>
    </w:p>
    <w:p w:rsidR="00BF7121" w:rsidRPr="002655F5" w:rsidRDefault="00BF7121" w:rsidP="00A17011">
      <w:pPr>
        <w:jc w:val="both"/>
      </w:pPr>
      <w:r>
        <w:rPr>
          <w:rFonts w:eastAsia="MS Gothic"/>
          <w:i/>
          <w:iCs/>
          <w:lang w:val="fr-CH" w:eastAsia="ja-JP"/>
        </w:rPr>
        <w:t>a)</w:t>
      </w:r>
      <w:r>
        <w:rPr>
          <w:rFonts w:eastAsia="MS Gothic"/>
          <w:i/>
          <w:iCs/>
          <w:lang w:val="fr-CH" w:eastAsia="ja-JP"/>
        </w:rPr>
        <w:tab/>
      </w:r>
      <w:r w:rsidRPr="002655F5">
        <w:t xml:space="preserve">que les applications ITS fonctionnent actuellement dans des bandes de fréquences attribuées à un certain nombre de services de radiocommunication, conformément </w:t>
      </w:r>
      <w:r>
        <w:t>aux dispositions pertinentes du</w:t>
      </w:r>
      <w:r w:rsidRPr="002655F5">
        <w:t xml:space="preserve"> Rè</w:t>
      </w:r>
      <w:r>
        <w:t>glement des radiocommunications</w:t>
      </w:r>
      <w:r w:rsidRPr="002655F5">
        <w:t>;</w:t>
      </w:r>
    </w:p>
    <w:p w:rsidR="00BF7121" w:rsidRPr="00101B22" w:rsidRDefault="00BF7121" w:rsidP="00A17011">
      <w:pPr>
        <w:jc w:val="both"/>
        <w:rPr>
          <w:rFonts w:eastAsia="MS Gothic"/>
          <w:lang w:val="fr-CH" w:eastAsia="ja-JP"/>
        </w:rPr>
      </w:pPr>
      <w:r>
        <w:rPr>
          <w:rFonts w:eastAsia="MS Gothic"/>
          <w:i/>
          <w:iCs/>
          <w:lang w:val="fr-CH" w:eastAsia="ja-JP"/>
        </w:rPr>
        <w:t>b)</w:t>
      </w:r>
      <w:r>
        <w:rPr>
          <w:rFonts w:eastAsia="MS Gothic"/>
          <w:i/>
          <w:iCs/>
          <w:lang w:val="fr-CH" w:eastAsia="ja-JP"/>
        </w:rPr>
        <w:tab/>
      </w:r>
      <w:r w:rsidRPr="00191FDB">
        <w:rPr>
          <w:rFonts w:eastAsia="MS Gothic"/>
          <w:lang w:eastAsia="ja-JP"/>
        </w:rPr>
        <w:t xml:space="preserve">que les </w:t>
      </w:r>
      <w:r w:rsidRPr="00056D28">
        <w:t>dispositions</w:t>
      </w:r>
      <w:r w:rsidRPr="00191FDB">
        <w:rPr>
          <w:rFonts w:eastAsia="MS Gothic"/>
          <w:lang w:eastAsia="ja-JP"/>
        </w:rPr>
        <w:t xml:space="preserve"> </w:t>
      </w:r>
      <w:r w:rsidRPr="002655F5">
        <w:t>des</w:t>
      </w:r>
      <w:r w:rsidRPr="00191FDB">
        <w:rPr>
          <w:rFonts w:eastAsia="MS Gothic"/>
          <w:lang w:eastAsia="ja-JP"/>
        </w:rPr>
        <w:t xml:space="preserve"> numéros </w:t>
      </w:r>
      <w:r w:rsidRPr="00191FDB">
        <w:rPr>
          <w:rFonts w:eastAsia="MS Gothic"/>
          <w:b/>
          <w:bCs/>
          <w:lang w:eastAsia="ja-JP"/>
        </w:rPr>
        <w:t>1.59</w:t>
      </w:r>
      <w:r w:rsidRPr="00191FDB">
        <w:rPr>
          <w:rFonts w:eastAsia="MS Gothic"/>
          <w:lang w:eastAsia="ja-JP"/>
        </w:rPr>
        <w:t xml:space="preserve"> et </w:t>
      </w:r>
      <w:r w:rsidRPr="00191FDB">
        <w:rPr>
          <w:rFonts w:eastAsia="MS Gothic"/>
          <w:b/>
          <w:bCs/>
          <w:lang w:eastAsia="ja-JP"/>
        </w:rPr>
        <w:t>4.10</w:t>
      </w:r>
      <w:r>
        <w:rPr>
          <w:rFonts w:eastAsia="MS Gothic"/>
          <w:lang w:eastAsia="ja-JP"/>
        </w:rPr>
        <w:t xml:space="preserve"> ne s'</w:t>
      </w:r>
      <w:r w:rsidRPr="00191FDB">
        <w:rPr>
          <w:rFonts w:eastAsia="MS Gothic"/>
          <w:lang w:eastAsia="ja-JP"/>
        </w:rPr>
        <w:t>appliquent pas</w:t>
      </w:r>
      <w:r>
        <w:rPr>
          <w:rFonts w:eastAsia="MS Gothic"/>
          <w:lang w:eastAsia="ja-JP"/>
        </w:rPr>
        <w:t xml:space="preserve"> aux applications ITS,</w:t>
      </w:r>
    </w:p>
    <w:p w:rsidR="00BF7121" w:rsidRPr="002655F5" w:rsidRDefault="00BF7121" w:rsidP="00A17011">
      <w:pPr>
        <w:pStyle w:val="Call"/>
        <w:jc w:val="both"/>
        <w:rPr>
          <w:lang w:val="fr-CH" w:eastAsia="ja-JP"/>
        </w:rPr>
      </w:pPr>
      <w:r w:rsidRPr="002655F5">
        <w:rPr>
          <w:lang w:val="fr-CH" w:eastAsia="ja-JP"/>
        </w:rPr>
        <w:t xml:space="preserve">décide d'inviter la </w:t>
      </w:r>
      <w:r>
        <w:rPr>
          <w:lang w:val="fr-CH" w:eastAsia="ja-JP"/>
        </w:rPr>
        <w:t>Conférence mondiale des radiocommunications de 2019</w:t>
      </w:r>
    </w:p>
    <w:p w:rsidR="00BF7121" w:rsidRPr="002F0998" w:rsidRDefault="00BF7121" w:rsidP="00A17011">
      <w:pPr>
        <w:jc w:val="both"/>
        <w:rPr>
          <w:lang w:val="fr-CH"/>
        </w:rPr>
      </w:pPr>
      <w:r w:rsidRPr="00445A8F">
        <w:t xml:space="preserve">compte tenu des résultats des études </w:t>
      </w:r>
      <w:r>
        <w:t xml:space="preserve">du Secteur des radiocommunications </w:t>
      </w:r>
      <w:r w:rsidRPr="00445A8F">
        <w:t>de l'UIT</w:t>
      </w:r>
      <w:r>
        <w:t xml:space="preserve"> (UIT</w:t>
      </w:r>
      <w:r w:rsidRPr="00445A8F">
        <w:t>-R</w:t>
      </w:r>
      <w:r>
        <w:t>)</w:t>
      </w:r>
      <w:r w:rsidRPr="00445A8F">
        <w:t xml:space="preserve">, </w:t>
      </w:r>
      <w:r>
        <w:rPr>
          <w:lang w:val="fr-CH"/>
        </w:rPr>
        <w:t xml:space="preserve">à </w:t>
      </w:r>
      <w:r w:rsidRPr="002F0998">
        <w:rPr>
          <w:lang w:val="fr-CH"/>
        </w:rPr>
        <w:t>envisage</w:t>
      </w:r>
      <w:r>
        <w:rPr>
          <w:lang w:val="fr-CH"/>
        </w:rPr>
        <w:t>r</w:t>
      </w:r>
      <w:r w:rsidRPr="002F0998">
        <w:rPr>
          <w:lang w:val="fr-CH"/>
        </w:rPr>
        <w:t xml:space="preserve"> </w:t>
      </w:r>
      <w:r>
        <w:rPr>
          <w:lang w:val="fr-CH"/>
        </w:rPr>
        <w:t>d'éventuelles</w:t>
      </w:r>
      <w:r w:rsidRPr="002F0998">
        <w:rPr>
          <w:lang w:val="fr-CH"/>
        </w:rPr>
        <w:t xml:space="preserve"> bandes</w:t>
      </w:r>
      <w:r>
        <w:rPr>
          <w:lang w:val="fr-CH"/>
        </w:rPr>
        <w:t xml:space="preserve"> de fréquences harmonisées à l'échelle mondiale ou régionale pour la mise en </w:t>
      </w:r>
      <w:proofErr w:type="spellStart"/>
      <w:r>
        <w:rPr>
          <w:lang w:val="fr-CH"/>
        </w:rPr>
        <w:t>oeuvre</w:t>
      </w:r>
      <w:proofErr w:type="spellEnd"/>
      <w:r>
        <w:rPr>
          <w:lang w:val="fr-CH"/>
        </w:rPr>
        <w:t xml:space="preserve"> des systèmes ITS en évolution, dans le cadre des attributions existantes au service mobile</w:t>
      </w:r>
      <w:r w:rsidRPr="002F0998">
        <w:rPr>
          <w:lang w:val="fr-CH"/>
        </w:rPr>
        <w:t>,</w:t>
      </w:r>
    </w:p>
    <w:p w:rsidR="00BF7121" w:rsidRPr="002655F5" w:rsidRDefault="00BF7121" w:rsidP="00A17011">
      <w:pPr>
        <w:pStyle w:val="Call"/>
        <w:jc w:val="both"/>
        <w:rPr>
          <w:lang w:val="fr-CH" w:eastAsia="ja-JP"/>
        </w:rPr>
      </w:pPr>
      <w:r w:rsidRPr="002655F5">
        <w:rPr>
          <w:lang w:val="fr-CH" w:eastAsia="ja-JP"/>
        </w:rPr>
        <w:t>invite</w:t>
      </w:r>
      <w:r>
        <w:rPr>
          <w:lang w:val="fr-CH" w:eastAsia="ja-JP"/>
        </w:rPr>
        <w:t xml:space="preserve"> </w:t>
      </w:r>
      <w:r w:rsidRPr="002655F5">
        <w:rPr>
          <w:lang w:val="fr-CH" w:eastAsia="ja-JP"/>
        </w:rPr>
        <w:t>l'UIT</w:t>
      </w:r>
      <w:r>
        <w:rPr>
          <w:lang w:val="fr-CH" w:eastAsia="ja-JP"/>
        </w:rPr>
        <w:t>-R</w:t>
      </w:r>
    </w:p>
    <w:p w:rsidR="00BF7121" w:rsidRPr="00ED67B3" w:rsidRDefault="00BF7121" w:rsidP="00A17011">
      <w:pPr>
        <w:jc w:val="both"/>
        <w:rPr>
          <w:lang w:val="fr-CH"/>
        </w:rPr>
      </w:pPr>
      <w:r>
        <w:rPr>
          <w:lang w:val="fr-CH"/>
        </w:rPr>
        <w:t xml:space="preserve">à mener des études sur les aspects techniques et opérationnels de la mise en </w:t>
      </w:r>
      <w:proofErr w:type="spellStart"/>
      <w:r>
        <w:rPr>
          <w:lang w:val="fr-CH"/>
        </w:rPr>
        <w:t>oeuvre</w:t>
      </w:r>
      <w:proofErr w:type="spellEnd"/>
      <w:r>
        <w:rPr>
          <w:lang w:val="fr-CH"/>
        </w:rPr>
        <w:t xml:space="preserve"> des systèmes ITS en évolution dans le cadre des attributions existantes au service mobile,</w:t>
      </w:r>
    </w:p>
    <w:p w:rsidR="00BF7121" w:rsidRPr="002F0998" w:rsidRDefault="00BF7121" w:rsidP="00A17011">
      <w:pPr>
        <w:pStyle w:val="Call"/>
        <w:jc w:val="both"/>
        <w:rPr>
          <w:lang w:val="fr-CH" w:eastAsia="ja-JP"/>
        </w:rPr>
      </w:pPr>
      <w:r w:rsidRPr="002F0998">
        <w:rPr>
          <w:lang w:val="fr-CH" w:eastAsia="ja-JP"/>
        </w:rPr>
        <w:t>invite les administrations</w:t>
      </w:r>
    </w:p>
    <w:p w:rsidR="00EC4934" w:rsidRPr="00BF7121" w:rsidRDefault="00BF7121" w:rsidP="00A17011">
      <w:pPr>
        <w:jc w:val="both"/>
        <w:rPr>
          <w:rFonts w:asciiTheme="majorBidi" w:eastAsia="MS Mincho" w:hAnsiTheme="majorBidi" w:cstheme="majorBidi"/>
          <w:szCs w:val="24"/>
          <w:lang w:eastAsia="ja-JP"/>
        </w:rPr>
      </w:pPr>
      <w:r w:rsidRPr="002F0998">
        <w:rPr>
          <w:lang w:val="fr-CH"/>
        </w:rPr>
        <w:t xml:space="preserve">à </w:t>
      </w:r>
      <w:r>
        <w:rPr>
          <w:lang w:val="fr-CH"/>
        </w:rPr>
        <w:t>contribuer</w:t>
      </w:r>
      <w:r w:rsidRPr="002F0998">
        <w:rPr>
          <w:lang w:val="fr-CH"/>
        </w:rPr>
        <w:t xml:space="preserve"> activement aux études </w:t>
      </w:r>
      <w:r>
        <w:rPr>
          <w:lang w:val="fr-CH"/>
        </w:rPr>
        <w:t>de l'UIT-R sur cette question</w:t>
      </w:r>
    </w:p>
    <w:p w:rsidR="004B648D" w:rsidRPr="00BF7121" w:rsidRDefault="004B648D" w:rsidP="00A17011">
      <w:pPr>
        <w:overflowPunct/>
        <w:autoSpaceDE/>
        <w:autoSpaceDN/>
        <w:adjustRightInd/>
        <w:spacing w:before="0"/>
        <w:jc w:val="both"/>
        <w:textAlignment w:val="auto"/>
        <w:rPr>
          <w:rFonts w:asciiTheme="majorBidi" w:eastAsia="MS Mincho" w:hAnsiTheme="majorBidi" w:cstheme="majorBidi"/>
          <w:szCs w:val="24"/>
          <w:lang w:eastAsia="ja-JP"/>
        </w:rPr>
      </w:pPr>
    </w:p>
    <w:p w:rsidR="004B648D" w:rsidRPr="00BF7121" w:rsidRDefault="004B648D" w:rsidP="00A17011">
      <w:pPr>
        <w:overflowPunct/>
        <w:autoSpaceDE/>
        <w:autoSpaceDN/>
        <w:adjustRightInd/>
        <w:spacing w:before="0"/>
        <w:jc w:val="both"/>
        <w:textAlignment w:val="auto"/>
        <w:rPr>
          <w:rFonts w:asciiTheme="majorBidi" w:eastAsia="MS Mincho" w:hAnsiTheme="majorBidi" w:cstheme="majorBidi"/>
          <w:szCs w:val="24"/>
          <w:lang w:eastAsia="ja-JP"/>
        </w:rPr>
      </w:pPr>
      <w:r w:rsidRPr="00BF7121">
        <w:rPr>
          <w:rFonts w:asciiTheme="majorBidi" w:eastAsia="MS Mincho" w:hAnsiTheme="majorBidi" w:cstheme="majorBidi"/>
          <w:szCs w:val="24"/>
          <w:lang w:eastAsia="ja-JP"/>
        </w:rPr>
        <w:br w:type="page"/>
      </w:r>
    </w:p>
    <w:p w:rsidR="007C11AB" w:rsidRPr="007C11AB" w:rsidRDefault="007C11AB" w:rsidP="00A17011">
      <w:pPr>
        <w:pStyle w:val="ResNo"/>
      </w:pPr>
      <w:bookmarkStart w:id="153" w:name="RES_238"/>
      <w:bookmarkStart w:id="154" w:name="_Toc444507562"/>
      <w:bookmarkStart w:id="155" w:name="_Toc460331710"/>
      <w:bookmarkStart w:id="156" w:name="_Toc463616167"/>
      <w:r w:rsidRPr="007C11AB">
        <w:lastRenderedPageBreak/>
        <w:t>R</w:t>
      </w:r>
      <w:r w:rsidR="001D5201" w:rsidRPr="001D5201">
        <w:t>É</w:t>
      </w:r>
      <w:r w:rsidRPr="007C11AB">
        <w:t xml:space="preserve">SOLUTION </w:t>
      </w:r>
      <w:r w:rsidRPr="007C11AB">
        <w:rPr>
          <w:rStyle w:val="href"/>
          <w:rFonts w:eastAsia="SimSun"/>
        </w:rPr>
        <w:t>238</w:t>
      </w:r>
      <w:r w:rsidRPr="007C11AB">
        <w:t xml:space="preserve"> </w:t>
      </w:r>
      <w:bookmarkEnd w:id="153"/>
      <w:r w:rsidR="00F96BD5">
        <w:t>(</w:t>
      </w:r>
      <w:r w:rsidR="00F8363E" w:rsidRPr="00A20F5A">
        <w:t>C</w:t>
      </w:r>
      <w:r w:rsidR="00F8363E">
        <w:t>MR</w:t>
      </w:r>
      <w:r w:rsidRPr="007C11AB">
        <w:noBreakHyphen/>
        <w:t>15)</w:t>
      </w:r>
      <w:bookmarkEnd w:id="154"/>
      <w:bookmarkEnd w:id="155"/>
      <w:bookmarkEnd w:id="156"/>
    </w:p>
    <w:p w:rsidR="0001024D" w:rsidRPr="00445A8F" w:rsidRDefault="0001024D" w:rsidP="00A17011">
      <w:pPr>
        <w:pStyle w:val="Restitle"/>
        <w:rPr>
          <w:bCs/>
          <w:szCs w:val="28"/>
          <w:lang w:eastAsia="ja-JP"/>
        </w:rPr>
      </w:pPr>
      <w:bookmarkStart w:id="157" w:name="_Toc450208667"/>
      <w:bookmarkStart w:id="158" w:name="_Toc463616168"/>
      <w:proofErr w:type="spellStart"/>
      <w:r w:rsidRPr="00445A8F">
        <w:t>Etudes</w:t>
      </w:r>
      <w:proofErr w:type="spellEnd"/>
      <w:r w:rsidRPr="00445A8F">
        <w:t xml:space="preserve"> sur les questions liées aux fréquences </w:t>
      </w:r>
      <w:r w:rsidRPr="00445A8F">
        <w:rPr>
          <w:lang w:eastAsia="ko-KR"/>
        </w:rPr>
        <w:t>en vue de l</w:t>
      </w:r>
      <w:r>
        <w:rPr>
          <w:lang w:eastAsia="ko-KR"/>
        </w:rPr>
        <w:t>'</w:t>
      </w:r>
      <w:r w:rsidRPr="00445A8F">
        <w:rPr>
          <w:lang w:eastAsia="ko-KR"/>
        </w:rPr>
        <w:t xml:space="preserve">identification de bandes de fréquences pour les </w:t>
      </w:r>
      <w:r>
        <w:rPr>
          <w:lang w:eastAsia="ko-KR"/>
        </w:rPr>
        <w:t>Télécommunications mobiles internationales (IMT)</w:t>
      </w:r>
      <w:r w:rsidRPr="00445A8F">
        <w:rPr>
          <w:lang w:eastAsia="ko-KR"/>
        </w:rPr>
        <w:t>, y compris des attributions additionnelles possibles</w:t>
      </w:r>
      <w:r>
        <w:rPr>
          <w:lang w:eastAsia="ko-KR"/>
        </w:rPr>
        <w:t xml:space="preserve"> </w:t>
      </w:r>
      <w:r w:rsidRPr="00445A8F">
        <w:t>à</w:t>
      </w:r>
      <w:r w:rsidRPr="00445A8F">
        <w:rPr>
          <w:lang w:eastAsia="ko-KR"/>
        </w:rPr>
        <w:t xml:space="preserve"> titre primaire au service mobile </w:t>
      </w:r>
      <w:r w:rsidRPr="00445A8F">
        <w:rPr>
          <w:color w:val="000000"/>
        </w:rPr>
        <w:t xml:space="preserve">dans une ou </w:t>
      </w:r>
      <w:r>
        <w:rPr>
          <w:color w:val="000000"/>
        </w:rPr>
        <w:t>plusieurs</w:t>
      </w:r>
      <w:r w:rsidRPr="00445A8F">
        <w:rPr>
          <w:color w:val="000000"/>
        </w:rPr>
        <w:t xml:space="preserve"> parties de la</w:t>
      </w:r>
      <w:r>
        <w:rPr>
          <w:bCs/>
          <w:szCs w:val="28"/>
          <w:lang w:eastAsia="ja-JP"/>
        </w:rPr>
        <w:t xml:space="preserve"> gamme de </w:t>
      </w:r>
      <w:r w:rsidRPr="00445A8F">
        <w:rPr>
          <w:bCs/>
          <w:szCs w:val="28"/>
          <w:lang w:eastAsia="ja-JP"/>
        </w:rPr>
        <w:t xml:space="preserve">fréquences comprise entre </w:t>
      </w:r>
      <w:r>
        <w:rPr>
          <w:bCs/>
          <w:szCs w:val="28"/>
          <w:lang w:eastAsia="ja-JP"/>
        </w:rPr>
        <w:t xml:space="preserve">24,25 </w:t>
      </w:r>
      <w:r w:rsidRPr="00445A8F">
        <w:rPr>
          <w:bCs/>
          <w:szCs w:val="28"/>
          <w:lang w:eastAsia="ja-JP"/>
        </w:rPr>
        <w:t xml:space="preserve">et 86 GHz </w:t>
      </w:r>
      <w:r w:rsidRPr="00445A8F">
        <w:rPr>
          <w:color w:val="000000"/>
        </w:rPr>
        <w:t>pour le développement futur</w:t>
      </w:r>
      <w:r w:rsidRPr="00445A8F">
        <w:rPr>
          <w:color w:val="000000"/>
        </w:rPr>
        <w:br/>
        <w:t>des</w:t>
      </w:r>
      <w:r w:rsidRPr="00445A8F">
        <w:rPr>
          <w:bCs/>
          <w:szCs w:val="28"/>
          <w:lang w:eastAsia="ja-JP"/>
        </w:rPr>
        <w:t xml:space="preserve"> IMT à l</w:t>
      </w:r>
      <w:r>
        <w:rPr>
          <w:bCs/>
          <w:szCs w:val="28"/>
          <w:lang w:eastAsia="ja-JP"/>
        </w:rPr>
        <w:t>'</w:t>
      </w:r>
      <w:r w:rsidRPr="00445A8F">
        <w:rPr>
          <w:bCs/>
          <w:szCs w:val="28"/>
          <w:lang w:eastAsia="ja-JP"/>
        </w:rPr>
        <w:t>horizon 2020 et au-delà</w:t>
      </w:r>
      <w:bookmarkEnd w:id="157"/>
      <w:bookmarkEnd w:id="158"/>
    </w:p>
    <w:p w:rsidR="0001024D" w:rsidRPr="00445A8F" w:rsidRDefault="0001024D" w:rsidP="00A17011">
      <w:pPr>
        <w:pStyle w:val="Normalaftertitle"/>
        <w:jc w:val="both"/>
        <w:rPr>
          <w:szCs w:val="24"/>
          <w:lang w:eastAsia="nl-NL"/>
        </w:rPr>
      </w:pPr>
      <w:r w:rsidRPr="00445A8F">
        <w:rPr>
          <w:szCs w:val="24"/>
          <w:lang w:eastAsia="nl-NL"/>
        </w:rPr>
        <w:t>La Conférence mondiale des radiocommunications (Genève, 2015),</w:t>
      </w:r>
    </w:p>
    <w:p w:rsidR="0001024D" w:rsidRPr="00445A8F" w:rsidRDefault="0001024D" w:rsidP="00A17011">
      <w:pPr>
        <w:pStyle w:val="Call"/>
        <w:jc w:val="both"/>
      </w:pPr>
      <w:r w:rsidRPr="00445A8F">
        <w:t>considérant</w:t>
      </w:r>
    </w:p>
    <w:p w:rsidR="0001024D" w:rsidRPr="00445A8F" w:rsidRDefault="0001024D" w:rsidP="00A17011">
      <w:pPr>
        <w:jc w:val="both"/>
      </w:pPr>
      <w:r w:rsidRPr="00445A8F">
        <w:rPr>
          <w:i/>
        </w:rPr>
        <w:t>a)</w:t>
      </w:r>
      <w:r w:rsidRPr="00445A8F">
        <w:rPr>
          <w:i/>
        </w:rPr>
        <w:tab/>
      </w:r>
      <w:r w:rsidRPr="00445A8F">
        <w:t xml:space="preserve">que les </w:t>
      </w:r>
      <w:r>
        <w:t>T</w:t>
      </w:r>
      <w:r w:rsidRPr="00445A8F">
        <w:t xml:space="preserve">élécommunications mobiles internationales (IMT) </w:t>
      </w:r>
      <w:r w:rsidRPr="00C351D0">
        <w:t>sont destiné</w:t>
      </w:r>
      <w:r>
        <w:t>e</w:t>
      </w:r>
      <w:r w:rsidRPr="00C351D0">
        <w:t xml:space="preserve">s à fournir des services de télécommunication </w:t>
      </w:r>
      <w:r>
        <w:t>à l'échelle mondiale</w:t>
      </w:r>
      <w:r w:rsidRPr="00C351D0">
        <w:t>, quel que soit le lieu</w:t>
      </w:r>
      <w:r>
        <w:t xml:space="preserve"> et le type de</w:t>
      </w:r>
      <w:r w:rsidRPr="00C351D0">
        <w:t xml:space="preserve"> réseau ou </w:t>
      </w:r>
      <w:r>
        <w:t>de</w:t>
      </w:r>
      <w:r w:rsidRPr="00C351D0">
        <w:t xml:space="preserve"> terminal</w:t>
      </w:r>
      <w:r w:rsidRPr="00445A8F">
        <w:t>;</w:t>
      </w:r>
    </w:p>
    <w:p w:rsidR="0001024D" w:rsidRPr="00445A8F" w:rsidRDefault="0001024D" w:rsidP="00A17011">
      <w:pPr>
        <w:jc w:val="both"/>
      </w:pPr>
      <w:r>
        <w:rPr>
          <w:i/>
        </w:rPr>
        <w:t>b</w:t>
      </w:r>
      <w:r w:rsidRPr="00445A8F">
        <w:rPr>
          <w:i/>
        </w:rPr>
        <w:t>)</w:t>
      </w:r>
      <w:r w:rsidRPr="00445A8F">
        <w:rPr>
          <w:i/>
        </w:rPr>
        <w:tab/>
      </w:r>
      <w:r w:rsidRPr="00445A8F">
        <w:t>que les systèmes IMT ont contribué au développement socio-économique mondial;</w:t>
      </w:r>
    </w:p>
    <w:p w:rsidR="0001024D" w:rsidRPr="00445A8F" w:rsidRDefault="0001024D" w:rsidP="00A17011">
      <w:pPr>
        <w:jc w:val="both"/>
        <w:rPr>
          <w:lang w:eastAsia="ko-KR"/>
        </w:rPr>
      </w:pPr>
      <w:r>
        <w:rPr>
          <w:i/>
          <w:iCs/>
          <w:lang w:eastAsia="ko-KR"/>
        </w:rPr>
        <w:t>c</w:t>
      </w:r>
      <w:r w:rsidRPr="00445A8F">
        <w:rPr>
          <w:i/>
          <w:iCs/>
        </w:rPr>
        <w:t>)</w:t>
      </w:r>
      <w:r w:rsidRPr="00445A8F">
        <w:tab/>
        <w:t>que les systèmes IMT évoluent actuellement pour fournir divers scénarios d</w:t>
      </w:r>
      <w:r>
        <w:t>'</w:t>
      </w:r>
      <w:r w:rsidRPr="00445A8F">
        <w:t>utilisation et diverses applications, par exemple le large bande mobile évolué, les communications massives de type machine</w:t>
      </w:r>
      <w:r w:rsidRPr="00445A8F">
        <w:rPr>
          <w:lang w:eastAsia="ko-KR"/>
        </w:rPr>
        <w:t xml:space="preserve"> et les communication </w:t>
      </w:r>
      <w:proofErr w:type="spellStart"/>
      <w:r w:rsidRPr="00445A8F">
        <w:rPr>
          <w:lang w:eastAsia="ko-KR"/>
        </w:rPr>
        <w:t>ultrafiables</w:t>
      </w:r>
      <w:proofErr w:type="spellEnd"/>
      <w:r w:rsidRPr="00445A8F">
        <w:rPr>
          <w:lang w:eastAsia="ko-KR"/>
        </w:rPr>
        <w:t xml:space="preserve"> présentant un faible temps de latence;</w:t>
      </w:r>
    </w:p>
    <w:p w:rsidR="0001024D" w:rsidRPr="00445A8F" w:rsidRDefault="0001024D" w:rsidP="00A17011">
      <w:pPr>
        <w:jc w:val="both"/>
        <w:rPr>
          <w:rFonts w:eastAsia="Malgun Gothic"/>
          <w:lang w:eastAsia="ko-KR"/>
        </w:rPr>
      </w:pPr>
      <w:r w:rsidRPr="00445A8F">
        <w:rPr>
          <w:i/>
          <w:iCs/>
          <w:lang w:eastAsia="nl-NL"/>
        </w:rPr>
        <w:t>d)</w:t>
      </w:r>
      <w:r w:rsidRPr="00445A8F">
        <w:rPr>
          <w:i/>
          <w:iCs/>
          <w:lang w:eastAsia="nl-NL"/>
        </w:rPr>
        <w:tab/>
      </w:r>
      <w:r w:rsidRPr="00730563">
        <w:rPr>
          <w:rStyle w:val="BRNormal"/>
          <w:lang w:val="fr-CH"/>
        </w:rPr>
        <w:t xml:space="preserve">que les applications IMT à </w:t>
      </w:r>
      <w:r>
        <w:rPr>
          <w:color w:val="000000"/>
        </w:rPr>
        <w:t xml:space="preserve">temps de latence ultra-faible et utilisant des </w:t>
      </w:r>
      <w:r w:rsidRPr="00730563">
        <w:rPr>
          <w:lang w:val="fr-CH"/>
        </w:rPr>
        <w:t>débits de données très élevés auront besoin</w:t>
      </w:r>
      <w:r w:rsidRPr="00730563">
        <w:rPr>
          <w:rStyle w:val="NormalaftertitleChar"/>
          <w:lang w:val="fr-CH"/>
        </w:rPr>
        <w:t xml:space="preserve"> de </w:t>
      </w:r>
      <w:r>
        <w:rPr>
          <w:rStyle w:val="NormalaftertitleChar"/>
          <w:lang w:val="fr-CH"/>
        </w:rPr>
        <w:t xml:space="preserve">blocs de fréquences contigus plus grands </w:t>
      </w:r>
      <w:r w:rsidRPr="00730563">
        <w:rPr>
          <w:rStyle w:val="NormalaftertitleChar"/>
          <w:lang w:val="fr-CH"/>
        </w:rPr>
        <w:t>que ceux qui sont disponibles dans les bandes de fréquences actuellement identifiées</w:t>
      </w:r>
      <w:r w:rsidRPr="00D44A27">
        <w:rPr>
          <w:color w:val="000000"/>
        </w:rPr>
        <w:t xml:space="preserve"> </w:t>
      </w:r>
      <w:r>
        <w:rPr>
          <w:color w:val="000000"/>
        </w:rPr>
        <w:t>pour pouvoir être utilisées par les administrations souhaitant mettre en œuvre des IMT</w:t>
      </w:r>
      <w:r w:rsidRPr="00445A8F">
        <w:rPr>
          <w:rFonts w:eastAsia="Malgun Gothic"/>
        </w:rPr>
        <w:t>;</w:t>
      </w:r>
    </w:p>
    <w:p w:rsidR="0001024D" w:rsidRPr="00445A8F" w:rsidRDefault="0001024D" w:rsidP="00A17011">
      <w:pPr>
        <w:jc w:val="both"/>
        <w:rPr>
          <w:lang w:eastAsia="ko-KR"/>
        </w:rPr>
      </w:pPr>
      <w:r w:rsidRPr="00445A8F">
        <w:rPr>
          <w:i/>
          <w:lang w:eastAsia="ko-KR"/>
        </w:rPr>
        <w:t>e)</w:t>
      </w:r>
      <w:r w:rsidRPr="00445A8F">
        <w:rPr>
          <w:lang w:eastAsia="ko-KR"/>
        </w:rPr>
        <w:tab/>
      </w:r>
      <w:r>
        <w:rPr>
          <w:rStyle w:val="BRNormal"/>
          <w:lang w:val="fr-CH"/>
        </w:rPr>
        <w:t>que l'on pourrait envisager d'examiner</w:t>
      </w:r>
      <w:r w:rsidRPr="00730563">
        <w:rPr>
          <w:rStyle w:val="BRNormal"/>
          <w:lang w:val="fr-CH"/>
        </w:rPr>
        <w:t xml:space="preserve"> </w:t>
      </w:r>
      <w:r>
        <w:rPr>
          <w:rStyle w:val="BRNormal"/>
          <w:lang w:val="fr-CH"/>
        </w:rPr>
        <w:t>d</w:t>
      </w:r>
      <w:r w:rsidRPr="00730563">
        <w:rPr>
          <w:rStyle w:val="BRNormal"/>
          <w:lang w:val="fr-CH"/>
        </w:rPr>
        <w:t xml:space="preserve">es bandes de fréquences </w:t>
      </w:r>
      <w:r>
        <w:rPr>
          <w:rStyle w:val="BRNormal"/>
          <w:lang w:val="fr-CH"/>
        </w:rPr>
        <w:t>plus élevées</w:t>
      </w:r>
      <w:r w:rsidRPr="00730563">
        <w:rPr>
          <w:rStyle w:val="BRNormal"/>
          <w:lang w:val="fr-CH"/>
        </w:rPr>
        <w:t xml:space="preserve"> pour ces </w:t>
      </w:r>
      <w:r w:rsidRPr="00730563">
        <w:rPr>
          <w:rStyle w:val="NormalaftertitleChar"/>
          <w:lang w:val="fr-CH"/>
        </w:rPr>
        <w:t xml:space="preserve">plus grands blocs </w:t>
      </w:r>
      <w:r w:rsidRPr="00730563">
        <w:rPr>
          <w:rStyle w:val="BRNormal"/>
          <w:lang w:val="fr-CH"/>
        </w:rPr>
        <w:t>de fréquences</w:t>
      </w:r>
      <w:r w:rsidRPr="00445A8F">
        <w:rPr>
          <w:lang w:eastAsia="ko-KR"/>
        </w:rPr>
        <w:t>;</w:t>
      </w:r>
    </w:p>
    <w:p w:rsidR="0001024D" w:rsidRPr="00445A8F" w:rsidRDefault="0001024D" w:rsidP="00A17011">
      <w:pPr>
        <w:jc w:val="both"/>
        <w:rPr>
          <w:lang w:eastAsia="ja-JP"/>
        </w:rPr>
      </w:pPr>
      <w:r w:rsidRPr="00445A8F">
        <w:rPr>
          <w:i/>
          <w:lang w:eastAsia="ko-KR"/>
        </w:rPr>
        <w:t>f</w:t>
      </w:r>
      <w:r w:rsidRPr="00445A8F">
        <w:rPr>
          <w:i/>
          <w:lang w:eastAsia="ja-JP"/>
        </w:rPr>
        <w:t>)</w:t>
      </w:r>
      <w:r w:rsidRPr="00445A8F">
        <w:rPr>
          <w:lang w:eastAsia="ja-JP"/>
        </w:rPr>
        <w:tab/>
      </w:r>
      <w:r w:rsidRPr="00BC4FDE">
        <w:rPr>
          <w:lang w:val="fr-CH" w:eastAsia="ja-JP"/>
        </w:rPr>
        <w:t>qu</w:t>
      </w:r>
      <w:r>
        <w:rPr>
          <w:lang w:val="fr-CH" w:eastAsia="ja-JP"/>
        </w:rPr>
        <w:t>'</w:t>
      </w:r>
      <w:r w:rsidRPr="00BC4FDE">
        <w:rPr>
          <w:lang w:val="fr-CH" w:eastAsia="ja-JP"/>
        </w:rPr>
        <w:t>il est nécessaire de tirer parti en permanence des progrès technologiques, pour accroître l</w:t>
      </w:r>
      <w:r>
        <w:rPr>
          <w:lang w:val="fr-CH" w:eastAsia="ja-JP"/>
        </w:rPr>
        <w:t>'</w:t>
      </w:r>
      <w:r w:rsidRPr="00BC4FDE">
        <w:rPr>
          <w:lang w:val="fr-CH" w:eastAsia="ja-JP"/>
        </w:rPr>
        <w:t>efficacité d</w:t>
      </w:r>
      <w:r>
        <w:rPr>
          <w:lang w:val="fr-CH" w:eastAsia="ja-JP"/>
        </w:rPr>
        <w:t>'</w:t>
      </w:r>
      <w:r w:rsidRPr="00BC4FDE">
        <w:rPr>
          <w:lang w:val="fr-CH" w:eastAsia="ja-JP"/>
        </w:rPr>
        <w:t>utilisation du spectre et faciliter l</w:t>
      </w:r>
      <w:r>
        <w:rPr>
          <w:lang w:val="fr-CH" w:eastAsia="ja-JP"/>
        </w:rPr>
        <w:t>'</w:t>
      </w:r>
      <w:r w:rsidRPr="00BC4FDE">
        <w:rPr>
          <w:lang w:val="fr-CH" w:eastAsia="ja-JP"/>
        </w:rPr>
        <w:t>accès au spectre</w:t>
      </w:r>
      <w:r w:rsidRPr="00445A8F">
        <w:rPr>
          <w:lang w:eastAsia="ja-JP"/>
        </w:rPr>
        <w:t>;</w:t>
      </w:r>
    </w:p>
    <w:p w:rsidR="0001024D" w:rsidRPr="00445A8F" w:rsidRDefault="0001024D" w:rsidP="00A17011">
      <w:pPr>
        <w:jc w:val="both"/>
        <w:rPr>
          <w:rFonts w:eastAsia="Malgun Gothic"/>
          <w:lang w:eastAsia="ko-KR"/>
        </w:rPr>
      </w:pPr>
      <w:r w:rsidRPr="00445A8F">
        <w:rPr>
          <w:i/>
          <w:lang w:eastAsia="ko-KR"/>
        </w:rPr>
        <w:t>g)</w:t>
      </w:r>
      <w:r w:rsidRPr="00445A8F">
        <w:rPr>
          <w:lang w:eastAsia="ko-KR"/>
        </w:rPr>
        <w:tab/>
      </w:r>
      <w:r w:rsidRPr="00111BCD">
        <w:rPr>
          <w:lang w:val="fr-CH" w:eastAsia="ko-KR"/>
        </w:rPr>
        <w:t xml:space="preserve">que les caractéristiques des bandes de fréquences </w:t>
      </w:r>
      <w:r>
        <w:rPr>
          <w:lang w:val="fr-CH" w:eastAsia="ko-KR"/>
        </w:rPr>
        <w:t>plus élevées</w:t>
      </w:r>
      <w:r w:rsidRPr="00111BCD">
        <w:rPr>
          <w:lang w:val="fr-CH" w:eastAsia="ko-KR"/>
        </w:rPr>
        <w:t>, par exemple la longueur d</w:t>
      </w:r>
      <w:r>
        <w:rPr>
          <w:lang w:val="fr-CH" w:eastAsia="ko-KR"/>
        </w:rPr>
        <w:t>'</w:t>
      </w:r>
      <w:r w:rsidRPr="00111BCD">
        <w:rPr>
          <w:lang w:val="fr-CH" w:eastAsia="ko-KR"/>
        </w:rPr>
        <w:t xml:space="preserve">onde plus courte, </w:t>
      </w:r>
      <w:r>
        <w:rPr>
          <w:lang w:val="fr-CH" w:eastAsia="ko-KR"/>
        </w:rPr>
        <w:t>seraient mieux indiquées en ce sens qu'elles faciliteraient</w:t>
      </w:r>
      <w:r w:rsidRPr="00111BCD">
        <w:rPr>
          <w:lang w:val="fr-CH" w:eastAsia="ko-KR"/>
        </w:rPr>
        <w:t xml:space="preserve"> l</w:t>
      </w:r>
      <w:r>
        <w:rPr>
          <w:lang w:val="fr-CH" w:eastAsia="ko-KR"/>
        </w:rPr>
        <w:t>'</w:t>
      </w:r>
      <w:r w:rsidRPr="00111BCD">
        <w:rPr>
          <w:lang w:val="fr-CH" w:eastAsia="ko-KR"/>
        </w:rPr>
        <w:t>utilisation</w:t>
      </w:r>
      <w:r>
        <w:rPr>
          <w:lang w:val="fr-CH" w:eastAsia="ko-KR"/>
        </w:rPr>
        <w:t xml:space="preserve"> de systèmes d'antenne perfectionnés, y compris</w:t>
      </w:r>
      <w:r w:rsidRPr="00111BCD">
        <w:rPr>
          <w:lang w:val="fr-CH" w:eastAsia="ko-KR"/>
        </w:rPr>
        <w:t xml:space="preserve"> de</w:t>
      </w:r>
      <w:r>
        <w:rPr>
          <w:lang w:val="fr-CH" w:eastAsia="ko-KR"/>
        </w:rPr>
        <w:t xml:space="preserve"> </w:t>
      </w:r>
      <w:r w:rsidRPr="00111BCD">
        <w:rPr>
          <w:lang w:val="fr-CH" w:eastAsia="ko-KR"/>
        </w:rPr>
        <w:t>technique</w:t>
      </w:r>
      <w:r>
        <w:rPr>
          <w:lang w:val="fr-CH" w:eastAsia="ko-KR"/>
        </w:rPr>
        <w:t>s</w:t>
      </w:r>
      <w:r w:rsidRPr="00111BCD">
        <w:rPr>
          <w:lang w:val="fr-CH" w:eastAsia="ko-KR"/>
        </w:rPr>
        <w:t xml:space="preserve"> </w:t>
      </w:r>
      <w:r w:rsidRPr="00111BCD">
        <w:rPr>
          <w:lang w:eastAsia="ko-KR"/>
        </w:rPr>
        <w:t>d</w:t>
      </w:r>
      <w:r>
        <w:rPr>
          <w:lang w:eastAsia="ko-KR"/>
        </w:rPr>
        <w:t>'</w:t>
      </w:r>
      <w:r w:rsidRPr="00111BCD">
        <w:rPr>
          <w:lang w:eastAsia="ko-KR"/>
        </w:rPr>
        <w:t xml:space="preserve">entrées multiples/sorties multiples (MIMO) et </w:t>
      </w:r>
      <w:r w:rsidRPr="00111BCD">
        <w:rPr>
          <w:lang w:val="fr-CH" w:eastAsia="ko-KR"/>
        </w:rPr>
        <w:t>de formation des faisceaux</w:t>
      </w:r>
      <w:r>
        <w:rPr>
          <w:lang w:val="fr-CH" w:eastAsia="ko-KR"/>
        </w:rPr>
        <w:t>, afin de prendre en charge le large bande évolué</w:t>
      </w:r>
      <w:r w:rsidRPr="00445A8F">
        <w:rPr>
          <w:rFonts w:eastAsia="Malgun Gothic"/>
          <w:lang w:eastAsia="ko-KR"/>
        </w:rPr>
        <w:t>;</w:t>
      </w:r>
    </w:p>
    <w:p w:rsidR="0001024D" w:rsidRPr="00445A8F" w:rsidRDefault="0001024D" w:rsidP="00A17011">
      <w:pPr>
        <w:jc w:val="both"/>
        <w:rPr>
          <w:rFonts w:eastAsia="Malgun Gothic"/>
        </w:rPr>
      </w:pPr>
      <w:r w:rsidRPr="00445A8F">
        <w:rPr>
          <w:i/>
          <w:lang w:eastAsia="ko-KR"/>
        </w:rPr>
        <w:t>h</w:t>
      </w:r>
      <w:r w:rsidRPr="00445A8F">
        <w:rPr>
          <w:i/>
        </w:rPr>
        <w:t>)</w:t>
      </w:r>
      <w:r w:rsidRPr="00445A8F">
        <w:rPr>
          <w:rFonts w:eastAsia="Malgun Gothic"/>
        </w:rPr>
        <w:tab/>
      </w:r>
      <w:r w:rsidRPr="00445A8F">
        <w:rPr>
          <w:lang w:eastAsia="ko-KR"/>
        </w:rPr>
        <w:t>que</w:t>
      </w:r>
      <w:r w:rsidRPr="00445A8F">
        <w:rPr>
          <w:rFonts w:eastAsia="Malgun Gothic"/>
          <w:lang w:eastAsia="ko-KR"/>
        </w:rPr>
        <w:t xml:space="preserve"> l</w:t>
      </w:r>
      <w:r>
        <w:rPr>
          <w:rFonts w:eastAsia="Malgun Gothic"/>
          <w:lang w:eastAsia="ko-KR"/>
        </w:rPr>
        <w:t>'</w:t>
      </w:r>
      <w:r w:rsidRPr="00445A8F">
        <w:rPr>
          <w:rFonts w:eastAsia="Malgun Gothic"/>
          <w:lang w:eastAsia="ko-KR"/>
        </w:rPr>
        <w:t>UIT-T a commencé à étudier la normalisation des réseaux pour les IMT à l</w:t>
      </w:r>
      <w:r>
        <w:rPr>
          <w:rFonts w:eastAsia="Malgun Gothic"/>
          <w:lang w:eastAsia="ko-KR"/>
        </w:rPr>
        <w:t>'</w:t>
      </w:r>
      <w:r w:rsidRPr="00445A8F">
        <w:rPr>
          <w:rFonts w:eastAsia="Malgun Gothic"/>
          <w:lang w:eastAsia="ko-KR"/>
        </w:rPr>
        <w:t>horizon</w:t>
      </w:r>
      <w:r>
        <w:rPr>
          <w:rFonts w:eastAsia="Malgun Gothic"/>
          <w:lang w:eastAsia="ko-KR"/>
        </w:rPr>
        <w:t> </w:t>
      </w:r>
      <w:r w:rsidRPr="00445A8F">
        <w:rPr>
          <w:rFonts w:eastAsia="Malgun Gothic"/>
          <w:lang w:eastAsia="ko-KR"/>
        </w:rPr>
        <w:t>2020 et au-delà</w:t>
      </w:r>
      <w:r w:rsidRPr="00445A8F">
        <w:rPr>
          <w:rFonts w:eastAsia="Malgun Gothic"/>
        </w:rPr>
        <w:t>;</w:t>
      </w:r>
    </w:p>
    <w:p w:rsidR="0001024D" w:rsidRPr="00445A8F" w:rsidRDefault="0001024D" w:rsidP="00A17011">
      <w:pPr>
        <w:jc w:val="both"/>
      </w:pPr>
      <w:r w:rsidRPr="00445A8F">
        <w:rPr>
          <w:i/>
        </w:rPr>
        <w:t>i)</w:t>
      </w:r>
      <w:r w:rsidRPr="00445A8F">
        <w:rPr>
          <w:i/>
        </w:rPr>
        <w:tab/>
      </w:r>
      <w:r w:rsidRPr="00445A8F">
        <w:t>qu</w:t>
      </w:r>
      <w:r>
        <w:t>'</w:t>
      </w:r>
      <w:r w:rsidRPr="00445A8F">
        <w:t>il est essentiel de mettre à disposition, en temps voulu, une quantité de spectre suffisante et de prévoir des dispositions réglementaires pour atteindre les objectifs de la Recommandation</w:t>
      </w:r>
      <w:r w:rsidRPr="00445A8F">
        <w:rPr>
          <w:lang w:eastAsia="ko-KR"/>
        </w:rPr>
        <w:t xml:space="preserve"> UIT-R M.2083</w:t>
      </w:r>
      <w:r w:rsidRPr="00445A8F">
        <w:t>;</w:t>
      </w:r>
    </w:p>
    <w:p w:rsidR="0001024D" w:rsidRPr="00445A8F" w:rsidRDefault="0001024D" w:rsidP="00A17011">
      <w:pPr>
        <w:jc w:val="both"/>
      </w:pPr>
      <w:r w:rsidRPr="00445A8F">
        <w:rPr>
          <w:i/>
        </w:rPr>
        <w:t>j)</w:t>
      </w:r>
      <w:r w:rsidRPr="00445A8F">
        <w:rPr>
          <w:i/>
        </w:rPr>
        <w:tab/>
      </w:r>
      <w:r w:rsidRPr="00445A8F">
        <w:t>qu</w:t>
      </w:r>
      <w:r>
        <w:t>'</w:t>
      </w:r>
      <w:r w:rsidRPr="00445A8F">
        <w:t>il est vivement souhaitable d</w:t>
      </w:r>
      <w:r>
        <w:t>'</w:t>
      </w:r>
      <w:r w:rsidRPr="00445A8F">
        <w:t>utiliser des bandes harmonisées à l</w:t>
      </w:r>
      <w:r>
        <w:t>'</w:t>
      </w:r>
      <w:r w:rsidRPr="00445A8F">
        <w:t>échelle mondiale et des dispositions de fréquences harmonisées pour les IMT, afin de parvenir à l</w:t>
      </w:r>
      <w:r>
        <w:t>'</w:t>
      </w:r>
      <w:r w:rsidRPr="00445A8F">
        <w:t>itinérance mondiale et de tirer parti des économies d</w:t>
      </w:r>
      <w:r>
        <w:t>'</w:t>
      </w:r>
      <w:r w:rsidRPr="00445A8F">
        <w:t>échelle;</w:t>
      </w:r>
    </w:p>
    <w:p w:rsidR="0001024D" w:rsidRPr="00445A8F" w:rsidRDefault="0001024D" w:rsidP="00A17011">
      <w:pPr>
        <w:jc w:val="both"/>
        <w:rPr>
          <w:rFonts w:eastAsia="Malgun Gothic"/>
          <w:lang w:eastAsia="ko-KR"/>
        </w:rPr>
      </w:pPr>
      <w:r w:rsidRPr="00445A8F">
        <w:rPr>
          <w:rFonts w:eastAsia="MS Mincho"/>
          <w:i/>
          <w:lang w:eastAsia="ja-JP"/>
        </w:rPr>
        <w:t>k)</w:t>
      </w:r>
      <w:r w:rsidRPr="00445A8F">
        <w:rPr>
          <w:rFonts w:eastAsia="MS Mincho"/>
          <w:lang w:eastAsia="ja-JP"/>
        </w:rPr>
        <w:tab/>
      </w:r>
      <w:r w:rsidRPr="00B11C3D">
        <w:rPr>
          <w:rFonts w:eastAsia="MS Mincho"/>
          <w:lang w:val="fr-CH" w:eastAsia="ja-JP"/>
        </w:rPr>
        <w:t>que l</w:t>
      </w:r>
      <w:r>
        <w:rPr>
          <w:rFonts w:eastAsia="MS Mincho"/>
          <w:lang w:val="fr-CH" w:eastAsia="ja-JP"/>
        </w:rPr>
        <w:t>'</w:t>
      </w:r>
      <w:r w:rsidRPr="00B11C3D">
        <w:rPr>
          <w:rFonts w:eastAsia="MS Mincho"/>
          <w:lang w:val="fr-CH" w:eastAsia="ja-JP"/>
        </w:rPr>
        <w:t xml:space="preserve">identification des bandes de fréquences attribuées au service mobile pour les IMT modifiera peut-être la situation de partage concernant les applications des services auxquels la bande </w:t>
      </w:r>
      <w:r>
        <w:t>de fréquences</w:t>
      </w:r>
      <w:r w:rsidRPr="00B11C3D">
        <w:rPr>
          <w:rFonts w:eastAsia="MS Mincho"/>
          <w:lang w:val="fr-CH" w:eastAsia="ja-JP"/>
        </w:rPr>
        <w:t xml:space="preserve"> est déjà attribuée et nécessitera peut-être des mesures réglementaires additionnelles</w:t>
      </w:r>
      <w:r w:rsidRPr="00445A8F">
        <w:rPr>
          <w:rFonts w:eastAsia="MS Mincho"/>
          <w:lang w:eastAsia="ja-JP"/>
        </w:rPr>
        <w:t>;</w:t>
      </w:r>
    </w:p>
    <w:p w:rsidR="0001024D" w:rsidRDefault="0001024D" w:rsidP="00A17011">
      <w:pPr>
        <w:jc w:val="both"/>
        <w:rPr>
          <w:rFonts w:eastAsia="MS Mincho"/>
          <w:lang w:eastAsia="ja-JP"/>
        </w:rPr>
      </w:pPr>
      <w:r>
        <w:rPr>
          <w:rFonts w:eastAsia="MS Mincho"/>
          <w:i/>
          <w:lang w:eastAsia="ja-JP"/>
        </w:rPr>
        <w:lastRenderedPageBreak/>
        <w:t>l</w:t>
      </w:r>
      <w:r w:rsidRPr="00445A8F">
        <w:rPr>
          <w:rFonts w:eastAsia="MS Mincho"/>
          <w:i/>
          <w:lang w:eastAsia="ja-JP"/>
        </w:rPr>
        <w:t>)</w:t>
      </w:r>
      <w:r w:rsidRPr="00445A8F">
        <w:rPr>
          <w:rFonts w:eastAsia="MS Mincho"/>
          <w:lang w:eastAsia="ja-JP"/>
        </w:rPr>
        <w:tab/>
        <w:t>qu</w:t>
      </w:r>
      <w:r>
        <w:rPr>
          <w:rFonts w:eastAsia="MS Mincho"/>
          <w:lang w:eastAsia="ja-JP"/>
        </w:rPr>
        <w:t>'</w:t>
      </w:r>
      <w:r w:rsidRPr="00445A8F">
        <w:rPr>
          <w:rFonts w:eastAsia="MS Mincho"/>
          <w:lang w:eastAsia="ja-JP"/>
        </w:rPr>
        <w:t xml:space="preserve">il est nécessaire de protéger les services existants </w:t>
      </w:r>
      <w:r w:rsidRPr="000B452E">
        <w:rPr>
          <w:rFonts w:eastAsia="MS Mincho"/>
          <w:lang w:eastAsia="ja-JP"/>
        </w:rPr>
        <w:t>et de permettre la poursuite de leur développement</w:t>
      </w:r>
      <w:r>
        <w:rPr>
          <w:rFonts w:eastAsia="MS Mincho"/>
          <w:lang w:eastAsia="ja-JP"/>
        </w:rPr>
        <w:t xml:space="preserve"> </w:t>
      </w:r>
      <w:r w:rsidRPr="00445A8F">
        <w:rPr>
          <w:rFonts w:eastAsia="MS Mincho"/>
          <w:lang w:eastAsia="ja-JP"/>
        </w:rPr>
        <w:t>lorsqu</w:t>
      </w:r>
      <w:r>
        <w:rPr>
          <w:rFonts w:eastAsia="MS Mincho"/>
          <w:lang w:eastAsia="ja-JP"/>
        </w:rPr>
        <w:t>'</w:t>
      </w:r>
      <w:r w:rsidRPr="00445A8F">
        <w:rPr>
          <w:rFonts w:eastAsia="MS Mincho"/>
          <w:lang w:eastAsia="ja-JP"/>
        </w:rPr>
        <w:t>on examine des bandes de fréquences en vue de faire d</w:t>
      </w:r>
      <w:r>
        <w:rPr>
          <w:rFonts w:eastAsia="MS Mincho"/>
          <w:lang w:eastAsia="ja-JP"/>
        </w:rPr>
        <w:t>'</w:t>
      </w:r>
      <w:r w:rsidRPr="00445A8F">
        <w:rPr>
          <w:rFonts w:eastAsia="MS Mincho"/>
          <w:lang w:eastAsia="ja-JP"/>
        </w:rPr>
        <w:t>éventuelles attributi</w:t>
      </w:r>
      <w:r>
        <w:rPr>
          <w:rFonts w:eastAsia="MS Mincho"/>
          <w:lang w:eastAsia="ja-JP"/>
        </w:rPr>
        <w:t>ons additionnelles à un service,</w:t>
      </w:r>
    </w:p>
    <w:p w:rsidR="0001024D" w:rsidRDefault="0001024D" w:rsidP="00A17011">
      <w:pPr>
        <w:pStyle w:val="Call"/>
        <w:jc w:val="both"/>
      </w:pPr>
      <w:r w:rsidRPr="00445A8F">
        <w:t>notant</w:t>
      </w:r>
    </w:p>
    <w:p w:rsidR="0001024D" w:rsidRPr="00FE1688" w:rsidRDefault="0001024D" w:rsidP="00A17011">
      <w:pPr>
        <w:jc w:val="both"/>
        <w:rPr>
          <w:lang w:val="fr-CH"/>
        </w:rPr>
      </w:pPr>
      <w:r w:rsidRPr="00C34689">
        <w:rPr>
          <w:i/>
          <w:iCs/>
          <w:lang w:val="fr-CH"/>
        </w:rPr>
        <w:t>a)</w:t>
      </w:r>
      <w:r>
        <w:rPr>
          <w:lang w:val="fr-CH"/>
        </w:rPr>
        <w:tab/>
      </w:r>
      <w:r w:rsidRPr="00FE1688">
        <w:rPr>
          <w:lang w:val="fr-CH"/>
        </w:rPr>
        <w:t xml:space="preserve">que la Résolution UIT-R </w:t>
      </w:r>
      <w:r w:rsidRPr="00C34689">
        <w:rPr>
          <w:lang w:val="fr-CH"/>
        </w:rPr>
        <w:t xml:space="preserve">65 </w:t>
      </w:r>
      <w:r w:rsidRPr="00FE1688">
        <w:rPr>
          <w:lang w:val="fr-CH"/>
        </w:rPr>
        <w:t>trait</w:t>
      </w:r>
      <w:r>
        <w:rPr>
          <w:lang w:val="fr-CH"/>
        </w:rPr>
        <w:t xml:space="preserve">e des principes applicables au </w:t>
      </w:r>
      <w:r w:rsidRPr="00FE1688">
        <w:rPr>
          <w:lang w:val="fr-CH"/>
        </w:rPr>
        <w:t>développement des IMT à l</w:t>
      </w:r>
      <w:r>
        <w:rPr>
          <w:lang w:val="fr-CH"/>
        </w:rPr>
        <w:t>'</w:t>
      </w:r>
      <w:r w:rsidRPr="00FE1688">
        <w:rPr>
          <w:lang w:val="fr-CH"/>
        </w:rPr>
        <w:t>horizon</w:t>
      </w:r>
      <w:r>
        <w:rPr>
          <w:lang w:val="fr-CH"/>
        </w:rPr>
        <w:t xml:space="preserve"> 2020 et au-delà </w:t>
      </w:r>
      <w:r w:rsidRPr="00FE1688">
        <w:t xml:space="preserve">et que la Question UIT-R 77-7/5 traite des besoins des pays en développement en ce qui concerne le développement et la mise en </w:t>
      </w:r>
      <w:proofErr w:type="spellStart"/>
      <w:r w:rsidRPr="00FE1688">
        <w:t>oeuvre</w:t>
      </w:r>
      <w:proofErr w:type="spellEnd"/>
      <w:r w:rsidRPr="00FE1688">
        <w:t xml:space="preserve"> des IMT;</w:t>
      </w:r>
      <w:r>
        <w:rPr>
          <w:highlight w:val="cyan"/>
          <w:lang w:val="fr-CH"/>
        </w:rPr>
        <w:t xml:space="preserve"> </w:t>
      </w:r>
    </w:p>
    <w:p w:rsidR="0001024D" w:rsidRPr="00C34689" w:rsidRDefault="0001024D" w:rsidP="00A17011">
      <w:pPr>
        <w:jc w:val="both"/>
      </w:pPr>
      <w:r w:rsidRPr="00C34689">
        <w:rPr>
          <w:i/>
          <w:iCs/>
        </w:rPr>
        <w:t>b)</w:t>
      </w:r>
      <w:r w:rsidRPr="00C34689">
        <w:tab/>
        <w:t>que la Question UIT-R 229/5 traite de la poursuite du développement des IMT;</w:t>
      </w:r>
    </w:p>
    <w:p w:rsidR="0001024D" w:rsidRPr="00C34689" w:rsidRDefault="0001024D" w:rsidP="00A17011">
      <w:pPr>
        <w:jc w:val="both"/>
      </w:pPr>
      <w:r w:rsidRPr="00C34689">
        <w:rPr>
          <w:i/>
          <w:iCs/>
        </w:rPr>
        <w:t>c)</w:t>
      </w:r>
      <w:r w:rsidRPr="00C34689">
        <w:tab/>
        <w:t>que les IMT eng</w:t>
      </w:r>
      <w:r>
        <w:t xml:space="preserve">lobent à la fois les IMT-2000, </w:t>
      </w:r>
      <w:r w:rsidRPr="00C34689">
        <w:t>les IMT évoluées et les IMT-2020, comme indiqué dans la Résolution UIT-R 56-2;</w:t>
      </w:r>
    </w:p>
    <w:p w:rsidR="0001024D" w:rsidRPr="00FE1688" w:rsidRDefault="0001024D" w:rsidP="00A17011">
      <w:pPr>
        <w:jc w:val="both"/>
        <w:rPr>
          <w:rFonts w:cs="Arial"/>
          <w:color w:val="000000" w:themeColor="text1"/>
          <w:szCs w:val="24"/>
        </w:rPr>
      </w:pPr>
      <w:r w:rsidRPr="00C34689">
        <w:rPr>
          <w:i/>
          <w:iCs/>
        </w:rPr>
        <w:t>d)</w:t>
      </w:r>
      <w:r>
        <w:tab/>
        <w:t>que la Recommandation UIT-R M.2083 définit le cadre et les objectifs généraux du développement futur des IMT à l'horizon 2020 et au-delà;</w:t>
      </w:r>
    </w:p>
    <w:p w:rsidR="0001024D" w:rsidRPr="00FE1688" w:rsidRDefault="0001024D" w:rsidP="00A17011">
      <w:pPr>
        <w:jc w:val="both"/>
        <w:rPr>
          <w:lang w:val="fr-CH"/>
        </w:rPr>
      </w:pPr>
      <w:r w:rsidRPr="00C34689">
        <w:rPr>
          <w:i/>
          <w:lang w:val="fr-CH"/>
        </w:rPr>
        <w:t>e)</w:t>
      </w:r>
      <w:r w:rsidRPr="00C34689">
        <w:rPr>
          <w:lang w:val="fr-CH"/>
        </w:rPr>
        <w:tab/>
      </w:r>
      <w:r>
        <w:rPr>
          <w:color w:val="000000"/>
        </w:rPr>
        <w:t>que le Rapport UIT-R M.2320 traite de l'évolution technologique future des systèmes IMT de Terre;</w:t>
      </w:r>
      <w:r>
        <w:rPr>
          <w:lang w:val="fr-CH"/>
        </w:rPr>
        <w:t xml:space="preserve"> </w:t>
      </w:r>
    </w:p>
    <w:p w:rsidR="0001024D" w:rsidRPr="00FE1688" w:rsidRDefault="0001024D" w:rsidP="00A17011">
      <w:pPr>
        <w:jc w:val="both"/>
        <w:rPr>
          <w:highlight w:val="cyan"/>
          <w:lang w:val="fr-CH"/>
        </w:rPr>
      </w:pPr>
      <w:r w:rsidRPr="00C34689">
        <w:rPr>
          <w:i/>
          <w:lang w:val="fr-CH"/>
        </w:rPr>
        <w:t>f)</w:t>
      </w:r>
      <w:r w:rsidRPr="00C34689">
        <w:rPr>
          <w:lang w:val="fr-CH"/>
        </w:rPr>
        <w:tab/>
      </w:r>
      <w:r>
        <w:rPr>
          <w:color w:val="000000"/>
        </w:rPr>
        <w:t>que le Rapport UIT-R M.2376 traite de la possibilité, sur le plan technique, de déployer des IMT dans les bandes supérieures à 6 GHz;</w:t>
      </w:r>
      <w:r>
        <w:rPr>
          <w:highlight w:val="cyan"/>
          <w:lang w:val="fr-CH"/>
        </w:rPr>
        <w:t xml:space="preserve"> </w:t>
      </w:r>
    </w:p>
    <w:p w:rsidR="0001024D" w:rsidRPr="00FE1688" w:rsidRDefault="0001024D" w:rsidP="00A17011">
      <w:pPr>
        <w:jc w:val="both"/>
        <w:rPr>
          <w:highlight w:val="cyan"/>
          <w:lang w:val="fr-CH"/>
        </w:rPr>
      </w:pPr>
      <w:r w:rsidRPr="00C34689">
        <w:rPr>
          <w:i/>
          <w:lang w:val="fr-CH"/>
        </w:rPr>
        <w:t>g)</w:t>
      </w:r>
      <w:r w:rsidRPr="00C34689">
        <w:rPr>
          <w:lang w:val="fr-CH"/>
        </w:rPr>
        <w:tab/>
      </w:r>
      <w:r>
        <w:rPr>
          <w:color w:val="000000"/>
        </w:rPr>
        <w:t>que le Rapport UIT-R M.2370 contient une analyse des tendances qui influeront sur la croissance future du trafic des IMT au-delà de 2020 et des estimations de la demande de trafic à l'échelle mondiale pour la période 2020-2030;</w:t>
      </w:r>
    </w:p>
    <w:p w:rsidR="0001024D" w:rsidRPr="00FE1688" w:rsidRDefault="0001024D" w:rsidP="00A17011">
      <w:pPr>
        <w:jc w:val="both"/>
        <w:rPr>
          <w:lang w:val="fr-CH"/>
        </w:rPr>
      </w:pPr>
      <w:r w:rsidRPr="00C34689">
        <w:rPr>
          <w:i/>
          <w:lang w:val="fr-CH"/>
        </w:rPr>
        <w:t>h)</w:t>
      </w:r>
      <w:r w:rsidRPr="00C34689">
        <w:rPr>
          <w:lang w:val="fr-CH"/>
        </w:rPr>
        <w:tab/>
      </w:r>
      <w:r>
        <w:rPr>
          <w:color w:val="000000"/>
        </w:rPr>
        <w:t>que les caractéristiques de propagation des systèmes mobiles dans les bandes de fréquences supérieures font actuellement l'objet d'études à l'UIT-R;</w:t>
      </w:r>
    </w:p>
    <w:p w:rsidR="0001024D" w:rsidRPr="00C34689" w:rsidRDefault="0001024D" w:rsidP="00A17011">
      <w:pPr>
        <w:jc w:val="both"/>
        <w:rPr>
          <w:lang w:val="fr-CH"/>
        </w:rPr>
      </w:pPr>
      <w:r w:rsidRPr="00C34689">
        <w:rPr>
          <w:i/>
          <w:lang w:val="fr-CH"/>
        </w:rPr>
        <w:t>i)</w:t>
      </w:r>
      <w:r w:rsidRPr="00C34689">
        <w:rPr>
          <w:lang w:val="fr-CH"/>
        </w:rPr>
        <w:tab/>
        <w:t>la pertinen</w:t>
      </w:r>
      <w:r>
        <w:rPr>
          <w:lang w:val="fr-CH"/>
        </w:rPr>
        <w:t>ce des dispositions des numéros</w:t>
      </w:r>
      <w:r w:rsidRPr="00C34689">
        <w:rPr>
          <w:lang w:val="fr-CH"/>
        </w:rPr>
        <w:t xml:space="preserve"> </w:t>
      </w:r>
      <w:r w:rsidRPr="008B407A">
        <w:rPr>
          <w:b/>
          <w:bCs/>
          <w:lang w:val="fr-CH"/>
        </w:rPr>
        <w:t>5.340</w:t>
      </w:r>
      <w:r w:rsidRPr="00C34689">
        <w:rPr>
          <w:lang w:val="fr-CH"/>
        </w:rPr>
        <w:t xml:space="preserve">, </w:t>
      </w:r>
      <w:r w:rsidRPr="008B407A">
        <w:rPr>
          <w:b/>
          <w:bCs/>
          <w:lang w:val="fr-CH"/>
        </w:rPr>
        <w:t>5.516B</w:t>
      </w:r>
      <w:r w:rsidRPr="00C34689">
        <w:rPr>
          <w:lang w:val="fr-CH"/>
        </w:rPr>
        <w:t xml:space="preserve">, </w:t>
      </w:r>
      <w:r w:rsidRPr="008B407A">
        <w:rPr>
          <w:b/>
          <w:bCs/>
          <w:lang w:val="fr-CH"/>
        </w:rPr>
        <w:t>5.547</w:t>
      </w:r>
      <w:r w:rsidRPr="00C34689">
        <w:rPr>
          <w:lang w:val="fr-CH"/>
        </w:rPr>
        <w:t xml:space="preserve"> et </w:t>
      </w:r>
      <w:r w:rsidRPr="008B407A">
        <w:rPr>
          <w:b/>
          <w:bCs/>
          <w:lang w:val="fr-CH"/>
        </w:rPr>
        <w:t>5.553</w:t>
      </w:r>
      <w:r w:rsidRPr="00C34689">
        <w:rPr>
          <w:lang w:val="fr-CH"/>
        </w:rPr>
        <w:t>, qu</w:t>
      </w:r>
      <w:r>
        <w:rPr>
          <w:lang w:val="fr-CH"/>
        </w:rPr>
        <w:t>'</w:t>
      </w:r>
      <w:r w:rsidRPr="00C34689">
        <w:rPr>
          <w:lang w:val="fr-CH"/>
        </w:rPr>
        <w:t>il faudra peut-être prendre en considération dans les études</w:t>
      </w:r>
      <w:r>
        <w:rPr>
          <w:lang w:val="fr-CH"/>
        </w:rPr>
        <w:t>;</w:t>
      </w:r>
    </w:p>
    <w:p w:rsidR="0001024D" w:rsidRDefault="0001024D" w:rsidP="00A17011">
      <w:pPr>
        <w:jc w:val="both"/>
        <w:rPr>
          <w:lang w:val="fr-CH"/>
        </w:rPr>
      </w:pPr>
      <w:r w:rsidRPr="00C34689">
        <w:rPr>
          <w:i/>
          <w:lang w:val="fr-CH"/>
        </w:rPr>
        <w:t>j)</w:t>
      </w:r>
      <w:r w:rsidRPr="00C34689">
        <w:rPr>
          <w:i/>
          <w:lang w:val="fr-CH"/>
        </w:rPr>
        <w:tab/>
      </w:r>
      <w:r w:rsidRPr="00C34689">
        <w:rPr>
          <w:lang w:val="fr-CH"/>
        </w:rPr>
        <w:t>que l</w:t>
      </w:r>
      <w:r>
        <w:rPr>
          <w:lang w:val="fr-CH"/>
        </w:rPr>
        <w:t>'</w:t>
      </w:r>
      <w:r w:rsidRPr="00C34689">
        <w:rPr>
          <w:lang w:val="fr-CH"/>
        </w:rPr>
        <w:t>attribution de la bande de fréquences 24</w:t>
      </w:r>
      <w:r>
        <w:rPr>
          <w:lang w:val="fr-CH"/>
        </w:rPr>
        <w:t>,</w:t>
      </w:r>
      <w:r w:rsidRPr="00C34689">
        <w:rPr>
          <w:lang w:val="fr-CH"/>
        </w:rPr>
        <w:t>65-25</w:t>
      </w:r>
      <w:r>
        <w:rPr>
          <w:lang w:val="fr-CH"/>
        </w:rPr>
        <w:t>,</w:t>
      </w:r>
      <w:r w:rsidRPr="00C34689">
        <w:rPr>
          <w:lang w:val="fr-CH"/>
        </w:rPr>
        <w:t>25 GHz au SFS a été faite par la</w:t>
      </w:r>
      <w:r>
        <w:rPr>
          <w:lang w:val="fr-CH"/>
        </w:rPr>
        <w:t> </w:t>
      </w:r>
      <w:r w:rsidRPr="00C34689">
        <w:rPr>
          <w:lang w:val="fr-CH"/>
        </w:rPr>
        <w:t>CMR</w:t>
      </w:r>
      <w:r>
        <w:rPr>
          <w:lang w:val="fr-CH"/>
        </w:rPr>
        <w:noBreakHyphen/>
      </w:r>
      <w:r w:rsidRPr="00C34689">
        <w:rPr>
          <w:lang w:val="fr-CH"/>
        </w:rPr>
        <w:t>12</w:t>
      </w:r>
      <w:r>
        <w:rPr>
          <w:lang w:val="fr-CH"/>
        </w:rPr>
        <w:t>,</w:t>
      </w:r>
    </w:p>
    <w:p w:rsidR="0001024D" w:rsidRPr="005D34A2" w:rsidRDefault="0001024D" w:rsidP="00A17011">
      <w:pPr>
        <w:pStyle w:val="Call"/>
        <w:jc w:val="both"/>
        <w:rPr>
          <w:highlight w:val="cyan"/>
        </w:rPr>
      </w:pPr>
      <w:r w:rsidRPr="005D34A2">
        <w:t xml:space="preserve">reconnaissant </w:t>
      </w:r>
    </w:p>
    <w:p w:rsidR="0001024D" w:rsidRPr="00FE1688" w:rsidRDefault="0001024D" w:rsidP="00A17011">
      <w:pPr>
        <w:jc w:val="both"/>
        <w:rPr>
          <w:highlight w:val="cyan"/>
          <w:lang w:val="fr-CH"/>
        </w:rPr>
      </w:pPr>
      <w:r w:rsidRPr="00C34689">
        <w:rPr>
          <w:i/>
          <w:lang w:val="fr-CH"/>
        </w:rPr>
        <w:t>a)</w:t>
      </w:r>
      <w:r w:rsidRPr="00C34689">
        <w:rPr>
          <w:lang w:val="fr-CH"/>
        </w:rPr>
        <w:tab/>
      </w:r>
      <w:r>
        <w:t>qu'il existe un délai entre l'attribution de bandes de fréquences par les conférences mondiale des radiocommunications et le déploiement de systèmes dans ces bandes</w:t>
      </w:r>
      <w:r w:rsidRPr="00706CC2">
        <w:t xml:space="preserve"> </w:t>
      </w:r>
      <w:r>
        <w:t>de fréquences</w:t>
      </w:r>
      <w:r w:rsidRPr="00FE1688">
        <w:t xml:space="preserve"> </w:t>
      </w:r>
      <w:r>
        <w:t>et qu'il est donc important de mettre rapidement à disposition des blocs de fréquences larges et contigus pour permettre le développement des IMT;</w:t>
      </w:r>
      <w:r>
        <w:rPr>
          <w:highlight w:val="cyan"/>
          <w:lang w:val="fr-CH"/>
        </w:rPr>
        <w:t xml:space="preserve"> </w:t>
      </w:r>
    </w:p>
    <w:p w:rsidR="0001024D" w:rsidRPr="00C34689" w:rsidRDefault="0001024D" w:rsidP="00A17011">
      <w:pPr>
        <w:jc w:val="both"/>
        <w:rPr>
          <w:highlight w:val="cyan"/>
        </w:rPr>
      </w:pPr>
      <w:r w:rsidRPr="00C34689">
        <w:rPr>
          <w:i/>
          <w:lang w:val="fr-CH"/>
        </w:rPr>
        <w:t>b)</w:t>
      </w:r>
      <w:r w:rsidRPr="00C34689">
        <w:rPr>
          <w:lang w:val="fr-CH"/>
        </w:rPr>
        <w:tab/>
      </w:r>
      <w:r>
        <w:t>que les bandes de fréquences attribuées en exclusivité aux services passifs ne conviennent pas pour une attribution au service mobile;</w:t>
      </w:r>
    </w:p>
    <w:p w:rsidR="0001024D" w:rsidRPr="00FE1688" w:rsidRDefault="0001024D" w:rsidP="00A17011">
      <w:pPr>
        <w:jc w:val="both"/>
        <w:rPr>
          <w:lang w:val="fr-CH"/>
        </w:rPr>
      </w:pPr>
      <w:r w:rsidRPr="00C34689">
        <w:rPr>
          <w:i/>
          <w:lang w:val="fr-CH"/>
        </w:rPr>
        <w:t>c)</w:t>
      </w:r>
      <w:r w:rsidRPr="00C34689">
        <w:rPr>
          <w:lang w:val="fr-CH"/>
        </w:rPr>
        <w:tab/>
      </w:r>
      <w:r>
        <w:t>que toute identification de bandes de fréquences pour les IMT devrait tenir compte de l'utilisation des bandes</w:t>
      </w:r>
      <w:r w:rsidRPr="00706CC2">
        <w:t xml:space="preserve"> </w:t>
      </w:r>
      <w:r>
        <w:t>de fréquences par d'autres services</w:t>
      </w:r>
      <w:r w:rsidRPr="00FE1688">
        <w:t xml:space="preserve"> </w:t>
      </w:r>
      <w:r>
        <w:t>ainsi que de l'évolution des besoins de ces services</w:t>
      </w:r>
      <w:r>
        <w:rPr>
          <w:lang w:val="fr-CH"/>
        </w:rPr>
        <w:t xml:space="preserve">; </w:t>
      </w:r>
    </w:p>
    <w:p w:rsidR="0001024D" w:rsidRPr="00FE1688" w:rsidRDefault="0001024D" w:rsidP="00A17011">
      <w:pPr>
        <w:jc w:val="both"/>
        <w:rPr>
          <w:lang w:val="fr-CH"/>
        </w:rPr>
      </w:pPr>
      <w:r w:rsidRPr="00FE1688">
        <w:rPr>
          <w:i/>
          <w:iCs/>
          <w:lang w:val="fr-CH"/>
        </w:rPr>
        <w:t>d)</w:t>
      </w:r>
      <w:r w:rsidRPr="00FE1688">
        <w:rPr>
          <w:lang w:val="fr-CH"/>
        </w:rPr>
        <w:tab/>
      </w:r>
      <w:r w:rsidRPr="00445A8F">
        <w:t>qu</w:t>
      </w:r>
      <w:r>
        <w:t>'</w:t>
      </w:r>
      <w:r w:rsidRPr="00445A8F">
        <w:t>aucune autre contrainte réglementaire ou technique ne devrait être imposée aux services auxquels la bande</w:t>
      </w:r>
      <w:r w:rsidRPr="00706CC2">
        <w:t xml:space="preserve"> </w:t>
      </w:r>
      <w:r>
        <w:t>de fréquences</w:t>
      </w:r>
      <w:r w:rsidRPr="00445A8F">
        <w:t xml:space="preserve"> est actuellement attribuée à titre primaire</w:t>
      </w:r>
      <w:r>
        <w:t>,</w:t>
      </w:r>
    </w:p>
    <w:p w:rsidR="0001024D" w:rsidRPr="005D34A2" w:rsidRDefault="0001024D" w:rsidP="00A17011">
      <w:pPr>
        <w:pStyle w:val="Call"/>
        <w:jc w:val="both"/>
      </w:pPr>
      <w:r w:rsidRPr="005D34A2">
        <w:t>décide d</w:t>
      </w:r>
      <w:r>
        <w:t>'</w:t>
      </w:r>
      <w:r w:rsidRPr="005D34A2">
        <w:t>inviter l</w:t>
      </w:r>
      <w:r>
        <w:t>'</w:t>
      </w:r>
      <w:r w:rsidRPr="005D34A2">
        <w:t xml:space="preserve">UIT-R </w:t>
      </w:r>
    </w:p>
    <w:p w:rsidR="0001024D" w:rsidRDefault="0001024D" w:rsidP="00A17011">
      <w:pPr>
        <w:jc w:val="both"/>
        <w:rPr>
          <w:lang w:val="fr-CH"/>
        </w:rPr>
      </w:pPr>
      <w:r>
        <w:t>1</w:t>
      </w:r>
      <w:r>
        <w:tab/>
      </w:r>
      <w:r w:rsidRPr="00FE1688">
        <w:t>à mener et à achever, à temps pour la CMR-19, les études appropriées pour déterminer les besoins de</w:t>
      </w:r>
      <w:r>
        <w:t xml:space="preserve"> spectre</w:t>
      </w:r>
      <w:r w:rsidRPr="00FE1688">
        <w:t xml:space="preserve"> de la composante de Terre des IMT dans la gamme de fréquences comprise entre </w:t>
      </w:r>
      <w:r>
        <w:rPr>
          <w:lang w:val="fr-CH"/>
        </w:rPr>
        <w:t>24,25</w:t>
      </w:r>
      <w:r w:rsidRPr="005D34A2">
        <w:rPr>
          <w:lang w:val="fr-CH"/>
        </w:rPr>
        <w:t xml:space="preserve"> GHz </w:t>
      </w:r>
      <w:r w:rsidRPr="00FE1688">
        <w:t>et 86 GHz, en tenant compte:</w:t>
      </w:r>
      <w:r>
        <w:t xml:space="preserve"> </w:t>
      </w:r>
    </w:p>
    <w:p w:rsidR="0001024D" w:rsidRPr="00445A8F" w:rsidRDefault="0001024D" w:rsidP="00A17011">
      <w:pPr>
        <w:pStyle w:val="enumlev1"/>
        <w:jc w:val="both"/>
        <w:rPr>
          <w:lang w:eastAsia="ko-KR"/>
        </w:rPr>
      </w:pPr>
      <w:r w:rsidRPr="00445A8F">
        <w:rPr>
          <w:lang w:eastAsia="ko-KR"/>
        </w:rPr>
        <w:lastRenderedPageBreak/>
        <w:t>–</w:t>
      </w:r>
      <w:r w:rsidRPr="00445A8F">
        <w:rPr>
          <w:lang w:eastAsia="ko-KR"/>
        </w:rPr>
        <w:tab/>
        <w:t>des caractéristiques techniques et opérationnelles des systèmes IMT</w:t>
      </w:r>
      <w:r>
        <w:rPr>
          <w:lang w:eastAsia="ko-KR"/>
        </w:rPr>
        <w:t xml:space="preserve"> de Terre qui fonctionneraient dans cette gamme </w:t>
      </w:r>
      <w:r w:rsidRPr="00445A8F">
        <w:rPr>
          <w:lang w:eastAsia="ko-KR"/>
        </w:rPr>
        <w:t>de fréquences</w:t>
      </w:r>
      <w:r>
        <w:rPr>
          <w:lang w:eastAsia="ko-KR"/>
        </w:rPr>
        <w:t>,</w:t>
      </w:r>
      <w:r w:rsidRPr="00445A8F">
        <w:rPr>
          <w:lang w:eastAsia="ko-KR"/>
        </w:rPr>
        <w:t xml:space="preserve"> y compris de l</w:t>
      </w:r>
      <w:r>
        <w:rPr>
          <w:lang w:eastAsia="ko-KR"/>
        </w:rPr>
        <w:t>'</w:t>
      </w:r>
      <w:r w:rsidRPr="00445A8F">
        <w:rPr>
          <w:lang w:eastAsia="ko-KR"/>
        </w:rPr>
        <w:t>évolution des IMT grâce aux progrès technologiques et aux techniques à grande efficacité spectrale</w:t>
      </w:r>
      <w:r>
        <w:rPr>
          <w:lang w:eastAsia="ko-KR"/>
        </w:rPr>
        <w:t>;</w:t>
      </w:r>
    </w:p>
    <w:p w:rsidR="0001024D" w:rsidRPr="005D34A2" w:rsidRDefault="0001024D" w:rsidP="00A17011">
      <w:pPr>
        <w:pStyle w:val="enumlev1"/>
        <w:jc w:val="both"/>
      </w:pPr>
      <w:r w:rsidRPr="005D34A2">
        <w:t>–</w:t>
      </w:r>
      <w:r w:rsidRPr="005D34A2">
        <w:tab/>
        <w:t>des scénarios de déploiement envisagés pour les systèmes IMT</w:t>
      </w:r>
      <w:r>
        <w:t>-</w:t>
      </w:r>
      <w:r w:rsidRPr="005D34A2">
        <w:t>2020 et des exigences liées au volume de trafic de données important, par exemple dans les zones urbaines denses et/ou aux heures de pointe</w:t>
      </w:r>
      <w:r>
        <w:t>;</w:t>
      </w:r>
    </w:p>
    <w:p w:rsidR="0001024D" w:rsidRPr="005D34A2" w:rsidRDefault="0001024D" w:rsidP="00A17011">
      <w:pPr>
        <w:pStyle w:val="enumlev1"/>
        <w:jc w:val="both"/>
        <w:rPr>
          <w:lang w:val="fr-CH"/>
        </w:rPr>
      </w:pPr>
      <w:r w:rsidRPr="005D34A2">
        <w:rPr>
          <w:lang w:val="fr-CH"/>
        </w:rPr>
        <w:t>–</w:t>
      </w:r>
      <w:r w:rsidRPr="005D34A2">
        <w:rPr>
          <w:lang w:val="fr-CH"/>
        </w:rPr>
        <w:tab/>
        <w:t>des besoins des pays en développement</w:t>
      </w:r>
      <w:r>
        <w:rPr>
          <w:lang w:val="fr-CH"/>
        </w:rPr>
        <w:t>;</w:t>
      </w:r>
    </w:p>
    <w:p w:rsidR="0001024D" w:rsidRPr="005D34A2" w:rsidRDefault="0001024D" w:rsidP="00A17011">
      <w:pPr>
        <w:pStyle w:val="enumlev1"/>
        <w:jc w:val="both"/>
        <w:rPr>
          <w:lang w:val="fr-CH"/>
        </w:rPr>
      </w:pPr>
      <w:r w:rsidRPr="005D34A2">
        <w:rPr>
          <w:lang w:eastAsia="ko-KR"/>
        </w:rPr>
        <w:t>–</w:t>
      </w:r>
      <w:r w:rsidRPr="005D34A2">
        <w:rPr>
          <w:lang w:eastAsia="ko-KR"/>
        </w:rPr>
        <w:tab/>
        <w:t>des délais dans lesquels les bandes de fréquences seraient nécessaires;</w:t>
      </w:r>
    </w:p>
    <w:p w:rsidR="0001024D" w:rsidRPr="005D34A2" w:rsidRDefault="0001024D" w:rsidP="00A17011">
      <w:pPr>
        <w:jc w:val="both"/>
        <w:rPr>
          <w:lang w:val="fr-CH"/>
        </w:rPr>
      </w:pPr>
      <w:r w:rsidRPr="005D34A2">
        <w:t>2</w:t>
      </w:r>
      <w:r w:rsidRPr="005D34A2">
        <w:tab/>
        <w:t>à mener et à achever, à temps pour la CMR-19, les études de partage et de compatibilité appropriées</w:t>
      </w:r>
      <w:r>
        <w:rPr>
          <w:rStyle w:val="FootnoteReference"/>
        </w:rPr>
        <w:footnoteReference w:customMarkFollows="1" w:id="7"/>
        <w:t>1</w:t>
      </w:r>
      <w:r w:rsidRPr="005D34A2">
        <w:rPr>
          <w:lang w:val="fr-CH"/>
        </w:rPr>
        <w:t>,</w:t>
      </w:r>
      <w:r w:rsidRPr="005D34A2">
        <w:t xml:space="preserve"> compte tenu de la protection des services auxquels la bande </w:t>
      </w:r>
      <w:r>
        <w:t>de fréquences</w:t>
      </w:r>
      <w:r w:rsidRPr="005D34A2">
        <w:t xml:space="preserve"> est attribuée à titre</w:t>
      </w:r>
      <w:r>
        <w:t xml:space="preserve"> </w:t>
      </w:r>
      <w:r w:rsidRPr="005D34A2">
        <w:t>primaire,</w:t>
      </w:r>
      <w:r>
        <w:t xml:space="preserve"> </w:t>
      </w:r>
      <w:r w:rsidRPr="005D34A2">
        <w:t>pour les bandes de fréquences</w:t>
      </w:r>
      <w:r w:rsidRPr="005D34A2">
        <w:rPr>
          <w:lang w:val="fr-CH"/>
        </w:rPr>
        <w:t xml:space="preserve">: </w:t>
      </w:r>
    </w:p>
    <w:p w:rsidR="0001024D" w:rsidRPr="00D7363F" w:rsidRDefault="0001024D" w:rsidP="00A17011">
      <w:pPr>
        <w:pStyle w:val="enumlev1"/>
        <w:jc w:val="both"/>
      </w:pPr>
      <w:r w:rsidRPr="005D34A2">
        <w:t>–</w:t>
      </w:r>
      <w:r w:rsidRPr="005D34A2">
        <w:tab/>
      </w:r>
      <w:r>
        <w:t>24,25-27,</w:t>
      </w:r>
      <w:r w:rsidRPr="00D7363F">
        <w:t>5 GHz</w:t>
      </w:r>
      <w:r w:rsidRPr="00D7363F">
        <w:rPr>
          <w:rStyle w:val="FootnoteReference"/>
        </w:rPr>
        <w:footnoteReference w:customMarkFollows="1" w:id="8"/>
        <w:t>2</w:t>
      </w:r>
      <w:r w:rsidRPr="00D7363F">
        <w:t>, 37-40</w:t>
      </w:r>
      <w:r>
        <w:t>,</w:t>
      </w:r>
      <w:r w:rsidRPr="00D7363F">
        <w:t>5 GHz, 42</w:t>
      </w:r>
      <w:r>
        <w:t>,</w:t>
      </w:r>
      <w:r w:rsidRPr="00D7363F">
        <w:t>5-43</w:t>
      </w:r>
      <w:r>
        <w:t>,</w:t>
      </w:r>
      <w:r w:rsidRPr="00D7363F">
        <w:t>5 GHz, 45</w:t>
      </w:r>
      <w:r>
        <w:t>,</w:t>
      </w:r>
      <w:r w:rsidRPr="00D7363F">
        <w:t>5-47 GHz, 47</w:t>
      </w:r>
      <w:r>
        <w:t>,</w:t>
      </w:r>
      <w:r w:rsidRPr="00D7363F">
        <w:t>2-50</w:t>
      </w:r>
      <w:r>
        <w:t>,</w:t>
      </w:r>
      <w:r w:rsidRPr="00D7363F">
        <w:t>2 GHz, 50</w:t>
      </w:r>
      <w:r>
        <w:t>,</w:t>
      </w:r>
      <w:r w:rsidRPr="00D7363F">
        <w:t>4</w:t>
      </w:r>
      <w:r>
        <w:noBreakHyphen/>
      </w:r>
      <w:r w:rsidRPr="00D7363F">
        <w:t>52</w:t>
      </w:r>
      <w:r>
        <w:t>,</w:t>
      </w:r>
      <w:r w:rsidRPr="00D7363F">
        <w:t xml:space="preserve">6 GHz, 66-76 GHz </w:t>
      </w:r>
      <w:r>
        <w:t>et</w:t>
      </w:r>
      <w:r w:rsidRPr="00D7363F">
        <w:t xml:space="preserve"> 81-86 GHz,</w:t>
      </w:r>
      <w:r>
        <w:t xml:space="preserve"> qui font l'objet d'attributions au service mobile à titre primaire; et</w:t>
      </w:r>
    </w:p>
    <w:p w:rsidR="0001024D" w:rsidRDefault="0001024D" w:rsidP="00A17011">
      <w:pPr>
        <w:pStyle w:val="enumlev1"/>
        <w:jc w:val="both"/>
        <w:rPr>
          <w:lang w:val="fr-CH"/>
        </w:rPr>
      </w:pPr>
      <w:r w:rsidRPr="005D34A2">
        <w:rPr>
          <w:lang w:val="fr-CH"/>
        </w:rPr>
        <w:t>–</w:t>
      </w:r>
      <w:r w:rsidRPr="005D34A2">
        <w:rPr>
          <w:lang w:val="fr-CH"/>
        </w:rPr>
        <w:tab/>
        <w:t>31</w:t>
      </w:r>
      <w:r>
        <w:rPr>
          <w:lang w:val="fr-CH"/>
        </w:rPr>
        <w:t>,</w:t>
      </w:r>
      <w:r w:rsidRPr="005D34A2">
        <w:rPr>
          <w:lang w:val="fr-CH"/>
        </w:rPr>
        <w:t>8-33</w:t>
      </w:r>
      <w:r>
        <w:rPr>
          <w:lang w:val="fr-CH"/>
        </w:rPr>
        <w:t>,4 GHz, 40,5-42,</w:t>
      </w:r>
      <w:r w:rsidRPr="005D34A2">
        <w:rPr>
          <w:lang w:val="fr-CH"/>
        </w:rPr>
        <w:t xml:space="preserve">5 GHz et </w:t>
      </w:r>
      <w:r>
        <w:rPr>
          <w:lang w:val="fr-CH"/>
        </w:rPr>
        <w:t>47-47,</w:t>
      </w:r>
      <w:r w:rsidRPr="005D34A2">
        <w:rPr>
          <w:lang w:val="fr-CH"/>
        </w:rPr>
        <w:t>2 GHz, qui nécessiteront peut-être des attributions additionnelles au service mobile à titre primaire</w:t>
      </w:r>
      <w:r>
        <w:rPr>
          <w:lang w:val="fr-CH"/>
        </w:rPr>
        <w:t>,</w:t>
      </w:r>
    </w:p>
    <w:p w:rsidR="0001024D" w:rsidRPr="005D34A2" w:rsidRDefault="0001024D" w:rsidP="00A17011">
      <w:pPr>
        <w:pStyle w:val="Call"/>
        <w:jc w:val="both"/>
      </w:pPr>
      <w:r w:rsidRPr="005D34A2">
        <w:t xml:space="preserve">décide en outre </w:t>
      </w:r>
    </w:p>
    <w:p w:rsidR="0001024D" w:rsidRPr="005D34A2" w:rsidRDefault="0001024D" w:rsidP="00A17011">
      <w:pPr>
        <w:jc w:val="both"/>
        <w:rPr>
          <w:lang w:val="fr-CH"/>
        </w:rPr>
      </w:pPr>
      <w:r w:rsidRPr="005D34A2">
        <w:rPr>
          <w:lang w:val="fr-CH"/>
        </w:rPr>
        <w:t>1</w:t>
      </w:r>
      <w:r w:rsidRPr="005D34A2">
        <w:rPr>
          <w:lang w:val="fr-CH"/>
        </w:rPr>
        <w:tab/>
      </w:r>
      <w:r w:rsidRPr="005D34A2">
        <w:t>d</w:t>
      </w:r>
      <w:r>
        <w:t>'</w:t>
      </w:r>
      <w:r w:rsidRPr="005D34A2">
        <w:t>inviter</w:t>
      </w:r>
      <w:r>
        <w:t xml:space="preserve"> la RPC-19, à sa première session, à définir la date à laquelle les caractéristiques techniques et opérationnelles nécessaires aux études de partage et de compatibilité devront être </w:t>
      </w:r>
      <w:r w:rsidRPr="005D34A2">
        <w:t xml:space="preserve">disponibles, afin de veiller à ce que les études visées dans la partie </w:t>
      </w:r>
      <w:r w:rsidRPr="00C50707">
        <w:rPr>
          <w:i/>
          <w:iCs/>
        </w:rPr>
        <w:t>décide d'inviter l'UIT-R</w:t>
      </w:r>
      <w:r w:rsidRPr="005D34A2">
        <w:t xml:space="preserve"> puissent être terminées à temps pour pouvoir être examinées par la CMR</w:t>
      </w:r>
      <w:r>
        <w:noBreakHyphen/>
      </w:r>
      <w:r w:rsidRPr="005D34A2">
        <w:t>19;</w:t>
      </w:r>
    </w:p>
    <w:p w:rsidR="0001024D" w:rsidRPr="00ED450B" w:rsidRDefault="0001024D" w:rsidP="00A17011">
      <w:pPr>
        <w:jc w:val="both"/>
        <w:rPr>
          <w:lang w:val="fr-CH"/>
        </w:rPr>
      </w:pPr>
      <w:r w:rsidRPr="005D34A2">
        <w:rPr>
          <w:lang w:val="fr-CH"/>
        </w:rPr>
        <w:t>2</w:t>
      </w:r>
      <w:r w:rsidRPr="005D34A2">
        <w:rPr>
          <w:lang w:val="fr-CH"/>
        </w:rPr>
        <w:tab/>
        <w:t>d</w:t>
      </w:r>
      <w:r>
        <w:rPr>
          <w:lang w:val="fr-CH"/>
        </w:rPr>
        <w:t>'</w:t>
      </w:r>
      <w:r w:rsidRPr="005D34A2">
        <w:rPr>
          <w:lang w:val="fr-CH"/>
        </w:rPr>
        <w:t xml:space="preserve">inviter la CMR-19 à </w:t>
      </w:r>
      <w:r w:rsidRPr="005D34A2">
        <w:t>étudier</w:t>
      </w:r>
      <w:r>
        <w:rPr>
          <w:lang w:val="fr-CH"/>
        </w:rPr>
        <w:t>,</w:t>
      </w:r>
      <w:r w:rsidRPr="005D34A2">
        <w:rPr>
          <w:lang w:val="fr-CH"/>
        </w:rPr>
        <w:t xml:space="preserve"> compte tenu des résultats des études ci-dessus, </w:t>
      </w:r>
      <w:r w:rsidRPr="005D34A2">
        <w:t>des attributions de fréquences additionnelles au service mobile à titre primaire</w:t>
      </w:r>
      <w:r>
        <w:t>,</w:t>
      </w:r>
      <w:r w:rsidRPr="005D34A2">
        <w:t xml:space="preserve"> et</w:t>
      </w:r>
      <w:r>
        <w:t xml:space="preserve"> </w:t>
      </w:r>
      <w:r w:rsidRPr="005D34A2">
        <w:rPr>
          <w:lang w:val="fr-CH"/>
        </w:rPr>
        <w:t xml:space="preserve">à </w:t>
      </w:r>
      <w:r w:rsidRPr="005D34A2">
        <w:t>envisager</w:t>
      </w:r>
      <w:r>
        <w:rPr>
          <w:lang w:val="fr-CH"/>
        </w:rPr>
        <w:t xml:space="preserve"> </w:t>
      </w:r>
      <w:r w:rsidRPr="005D34A2">
        <w:rPr>
          <w:lang w:val="fr-CH"/>
        </w:rPr>
        <w:t>l</w:t>
      </w:r>
      <w:r>
        <w:rPr>
          <w:lang w:val="fr-CH"/>
        </w:rPr>
        <w:t>'</w:t>
      </w:r>
      <w:r w:rsidRPr="005D34A2">
        <w:rPr>
          <w:lang w:val="fr-CH"/>
        </w:rPr>
        <w:t xml:space="preserve">identification de bandes de fréquences pour la composante de Terre des </w:t>
      </w:r>
      <w:r>
        <w:rPr>
          <w:lang w:val="fr-CH"/>
        </w:rPr>
        <w:t>IMT;</w:t>
      </w:r>
      <w:r w:rsidRPr="005D34A2">
        <w:rPr>
          <w:lang w:val="fr-CH"/>
        </w:rPr>
        <w:t xml:space="preserve"> les bandes</w:t>
      </w:r>
      <w:r w:rsidRPr="00706CC2">
        <w:t xml:space="preserve"> </w:t>
      </w:r>
      <w:r>
        <w:t>de fréquences</w:t>
      </w:r>
      <w:r w:rsidRPr="005D34A2">
        <w:rPr>
          <w:lang w:val="fr-CH"/>
        </w:rPr>
        <w:t xml:space="preserve"> qui seront envisagées seront limitées à une partie ou à la totalité des bandes </w:t>
      </w:r>
      <w:r>
        <w:t>de fréquences</w:t>
      </w:r>
      <w:r w:rsidRPr="005D34A2">
        <w:rPr>
          <w:lang w:val="fr-CH"/>
        </w:rPr>
        <w:t xml:space="preserve"> énumérées au point 2 du</w:t>
      </w:r>
      <w:r>
        <w:rPr>
          <w:lang w:val="fr-CH"/>
        </w:rPr>
        <w:t xml:space="preserve"> </w:t>
      </w:r>
      <w:r w:rsidRPr="00C50707">
        <w:rPr>
          <w:i/>
          <w:iCs/>
          <w:lang w:val="fr-CH"/>
        </w:rPr>
        <w:t>décide d'inviter l'UIT-R</w:t>
      </w:r>
      <w:r>
        <w:rPr>
          <w:lang w:val="fr-CH"/>
        </w:rPr>
        <w:t>,</w:t>
      </w:r>
    </w:p>
    <w:p w:rsidR="0001024D" w:rsidRPr="005D34A2" w:rsidRDefault="0001024D" w:rsidP="00A17011">
      <w:pPr>
        <w:pStyle w:val="Call"/>
        <w:jc w:val="both"/>
      </w:pPr>
      <w:r w:rsidRPr="005D34A2">
        <w:t xml:space="preserve">invite les administrations </w:t>
      </w:r>
    </w:p>
    <w:p w:rsidR="00255329" w:rsidRPr="0001024D" w:rsidRDefault="0001024D" w:rsidP="00A17011">
      <w:pPr>
        <w:jc w:val="both"/>
        <w:rPr>
          <w:rFonts w:asciiTheme="majorBidi" w:hAnsiTheme="majorBidi" w:cstheme="majorBidi"/>
          <w:szCs w:val="24"/>
          <w:lang w:eastAsia="nl-NL"/>
        </w:rPr>
      </w:pPr>
      <w:r w:rsidRPr="00445A8F">
        <w:rPr>
          <w:lang w:eastAsia="nl-NL"/>
        </w:rPr>
        <w:t xml:space="preserve">à participer </w:t>
      </w:r>
      <w:r>
        <w:rPr>
          <w:lang w:eastAsia="nl-NL"/>
        </w:rPr>
        <w:t xml:space="preserve">activement à ces </w:t>
      </w:r>
      <w:r w:rsidRPr="00445A8F">
        <w:rPr>
          <w:lang w:eastAsia="nl-NL"/>
        </w:rPr>
        <w:t>études en soumettant des contributions à l</w:t>
      </w:r>
      <w:r>
        <w:rPr>
          <w:lang w:eastAsia="nl-NL"/>
        </w:rPr>
        <w:t>'</w:t>
      </w:r>
      <w:r w:rsidRPr="00445A8F">
        <w:rPr>
          <w:lang w:eastAsia="nl-NL"/>
        </w:rPr>
        <w:t>UIT-R.</w:t>
      </w:r>
    </w:p>
    <w:p w:rsidR="00166A5C" w:rsidRPr="0001024D" w:rsidRDefault="00166A5C" w:rsidP="00A17011">
      <w:pPr>
        <w:jc w:val="both"/>
        <w:rPr>
          <w:rFonts w:asciiTheme="majorBidi" w:hAnsiTheme="majorBidi" w:cstheme="majorBidi"/>
          <w:szCs w:val="24"/>
          <w:lang w:eastAsia="nl-NL"/>
        </w:rPr>
      </w:pPr>
    </w:p>
    <w:bookmarkEnd w:id="145"/>
    <w:bookmarkEnd w:id="146"/>
    <w:p w:rsidR="009C2043" w:rsidRDefault="007C1B97" w:rsidP="00A17011">
      <w:pPr>
        <w:pStyle w:val="ResNo"/>
      </w:pPr>
      <w:r w:rsidRPr="0001024D">
        <w:rPr>
          <w:rFonts w:asciiTheme="majorBidi" w:hAnsiTheme="majorBidi" w:cstheme="majorBidi"/>
          <w:sz w:val="24"/>
          <w:szCs w:val="24"/>
          <w:lang w:eastAsia="nl-NL"/>
        </w:rPr>
        <w:br w:type="page"/>
      </w:r>
    </w:p>
    <w:p w:rsidR="007C11AB" w:rsidRPr="007C11AB" w:rsidRDefault="00F96BD5" w:rsidP="00A17011">
      <w:pPr>
        <w:pStyle w:val="ResNo"/>
      </w:pPr>
      <w:bookmarkStart w:id="159" w:name="RES_239"/>
      <w:bookmarkStart w:id="160" w:name="_Toc444507564"/>
      <w:bookmarkStart w:id="161" w:name="_Toc460331712"/>
      <w:bookmarkStart w:id="162" w:name="_Toc463616169"/>
      <w:r>
        <w:lastRenderedPageBreak/>
        <w:t>R</w:t>
      </w:r>
      <w:r w:rsidR="001D5201" w:rsidRPr="001D5201">
        <w:t>É</w:t>
      </w:r>
      <w:r w:rsidR="007C11AB" w:rsidRPr="007C11AB">
        <w:t xml:space="preserve">SOLUTION </w:t>
      </w:r>
      <w:r w:rsidR="007C11AB" w:rsidRPr="007C11AB">
        <w:rPr>
          <w:rStyle w:val="href"/>
        </w:rPr>
        <w:t>239</w:t>
      </w:r>
      <w:r w:rsidR="007C11AB" w:rsidRPr="007C11AB">
        <w:t xml:space="preserve"> </w:t>
      </w:r>
      <w:bookmarkEnd w:id="159"/>
      <w:r w:rsidR="007C11AB" w:rsidRPr="007C11AB">
        <w:t>(</w:t>
      </w:r>
      <w:r w:rsidR="00F8363E" w:rsidRPr="00A20F5A">
        <w:t>C</w:t>
      </w:r>
      <w:r w:rsidR="00F8363E">
        <w:t>MR</w:t>
      </w:r>
      <w:r w:rsidR="007C11AB" w:rsidRPr="007C11AB">
        <w:noBreakHyphen/>
        <w:t>15)</w:t>
      </w:r>
      <w:bookmarkEnd w:id="160"/>
      <w:bookmarkEnd w:id="161"/>
      <w:bookmarkEnd w:id="162"/>
    </w:p>
    <w:p w:rsidR="009C2043" w:rsidRPr="00F159C7" w:rsidRDefault="009C2043" w:rsidP="00A17011">
      <w:pPr>
        <w:pStyle w:val="Restitle"/>
        <w:rPr>
          <w:lang w:val="fr-CH"/>
        </w:rPr>
      </w:pPr>
      <w:bookmarkStart w:id="163" w:name="_Toc450208669"/>
      <w:bookmarkStart w:id="164" w:name="_Toc463616170"/>
      <w:proofErr w:type="spellStart"/>
      <w:r w:rsidRPr="00F159C7">
        <w:rPr>
          <w:lang w:val="fr-CH"/>
        </w:rPr>
        <w:t>Etudes</w:t>
      </w:r>
      <w:proofErr w:type="spellEnd"/>
      <w:r w:rsidRPr="00F159C7">
        <w:rPr>
          <w:lang w:val="fr-CH"/>
        </w:rPr>
        <w:t xml:space="preserve"> relatives aux </w:t>
      </w:r>
      <w:r>
        <w:rPr>
          <w:lang w:val="fr-CH"/>
        </w:rPr>
        <w:t xml:space="preserve">systèmes d'accès hertzien, y compris les réseaux locaux hertziens, dans les bandes de fréquences comprises </w:t>
      </w:r>
      <w:r>
        <w:rPr>
          <w:lang w:val="fr-CH"/>
        </w:rPr>
        <w:br/>
        <w:t xml:space="preserve">entre 5 150 MHz et </w:t>
      </w:r>
      <w:r w:rsidRPr="006A517A">
        <w:t>5 925</w:t>
      </w:r>
      <w:r>
        <w:rPr>
          <w:lang w:val="fr-CH"/>
        </w:rPr>
        <w:t xml:space="preserve"> MHz</w:t>
      </w:r>
      <w:bookmarkEnd w:id="163"/>
      <w:bookmarkEnd w:id="164"/>
    </w:p>
    <w:p w:rsidR="009C2043" w:rsidRDefault="009C2043" w:rsidP="00A17011">
      <w:pPr>
        <w:pStyle w:val="Normalaftertitle"/>
        <w:jc w:val="both"/>
        <w:rPr>
          <w:lang w:val="fr-CH"/>
        </w:rPr>
      </w:pPr>
      <w:r w:rsidRPr="00C4247A">
        <w:rPr>
          <w:lang w:val="fr-CH"/>
        </w:rPr>
        <w:t>La Conférence mondiale des radiocommunications (Genève, 20</w:t>
      </w:r>
      <w:r>
        <w:rPr>
          <w:lang w:val="fr-CH"/>
        </w:rPr>
        <w:t>15</w:t>
      </w:r>
      <w:r w:rsidRPr="00C4247A">
        <w:rPr>
          <w:lang w:val="fr-CH"/>
        </w:rPr>
        <w:t>),</w:t>
      </w:r>
    </w:p>
    <w:p w:rsidR="009C2043" w:rsidRPr="00C33BE0" w:rsidRDefault="009C2043" w:rsidP="00A17011">
      <w:pPr>
        <w:pStyle w:val="Call"/>
        <w:jc w:val="both"/>
      </w:pPr>
      <w:r w:rsidRPr="00C33BE0">
        <w:t>considérant</w:t>
      </w:r>
    </w:p>
    <w:p w:rsidR="009C2043" w:rsidRDefault="009C2043" w:rsidP="00A17011">
      <w:pPr>
        <w:jc w:val="both"/>
        <w:rPr>
          <w:lang w:val="fr-CH"/>
        </w:rPr>
      </w:pPr>
      <w:r w:rsidRPr="00264D76">
        <w:rPr>
          <w:i/>
          <w:iCs/>
          <w:lang w:val="fr-CH"/>
        </w:rPr>
        <w:t>a)</w:t>
      </w:r>
      <w:r w:rsidRPr="00264D76">
        <w:rPr>
          <w:lang w:val="fr-CH"/>
        </w:rPr>
        <w:tab/>
        <w:t xml:space="preserve">que la demande </w:t>
      </w:r>
      <w:r>
        <w:rPr>
          <w:lang w:val="fr-CH"/>
        </w:rPr>
        <w:t>d'applications de systèmes d'accès hertzien, y compris les réseaux locaux hertziens (WAS/RLAN), offrant différentes fonctionnalités, a considérablement augmenté;</w:t>
      </w:r>
    </w:p>
    <w:p w:rsidR="009C2043" w:rsidRDefault="009C2043" w:rsidP="00A17011">
      <w:pPr>
        <w:jc w:val="both"/>
        <w:rPr>
          <w:lang w:val="fr-CH"/>
        </w:rPr>
      </w:pPr>
      <w:r>
        <w:rPr>
          <w:i/>
          <w:iCs/>
          <w:lang w:val="fr-CH"/>
        </w:rPr>
        <w:t>b)</w:t>
      </w:r>
      <w:r>
        <w:rPr>
          <w:i/>
          <w:iCs/>
          <w:lang w:val="fr-CH"/>
        </w:rPr>
        <w:tab/>
      </w:r>
      <w:r w:rsidRPr="003F7CEF">
        <w:rPr>
          <w:lang w:val="fr-CH"/>
        </w:rPr>
        <w:t>que le</w:t>
      </w:r>
      <w:r>
        <w:rPr>
          <w:lang w:val="fr-CH"/>
        </w:rPr>
        <w:t>s applications des réseaux WAS/RLAN co</w:t>
      </w:r>
      <w:r w:rsidRPr="003F7CEF">
        <w:rPr>
          <w:lang w:val="fr-CH"/>
        </w:rPr>
        <w:t>ntribuent au développement</w:t>
      </w:r>
      <w:r>
        <w:rPr>
          <w:lang w:val="fr-CH"/>
        </w:rPr>
        <w:t xml:space="preserve"> socio-économique </w:t>
      </w:r>
      <w:r w:rsidRPr="003F7CEF">
        <w:rPr>
          <w:lang w:val="fr-CH"/>
        </w:rPr>
        <w:t>mondial</w:t>
      </w:r>
      <w:r>
        <w:rPr>
          <w:lang w:val="fr-CH"/>
        </w:rPr>
        <w:t>,</w:t>
      </w:r>
      <w:r w:rsidRPr="003F7CEF">
        <w:rPr>
          <w:lang w:val="fr-CH"/>
        </w:rPr>
        <w:t xml:space="preserve"> dans la mesure o</w:t>
      </w:r>
      <w:r>
        <w:rPr>
          <w:lang w:val="fr-CH"/>
        </w:rPr>
        <w:t>ù elles offrent une gamme d'applications multimédias très diverses</w:t>
      </w:r>
      <w:r w:rsidRPr="003F7CEF">
        <w:rPr>
          <w:lang w:val="fr-CH"/>
        </w:rPr>
        <w:t>;</w:t>
      </w:r>
    </w:p>
    <w:p w:rsidR="009C2043" w:rsidRDefault="009C2043" w:rsidP="00A17011">
      <w:pPr>
        <w:jc w:val="both"/>
        <w:rPr>
          <w:color w:val="000000" w:themeColor="text1"/>
          <w:lang w:val="fr-CH"/>
        </w:rPr>
      </w:pPr>
      <w:r>
        <w:rPr>
          <w:i/>
          <w:iCs/>
          <w:lang w:val="fr-CH"/>
        </w:rPr>
        <w:t>c)</w:t>
      </w:r>
      <w:r>
        <w:rPr>
          <w:i/>
          <w:iCs/>
          <w:lang w:val="fr-CH"/>
        </w:rPr>
        <w:tab/>
      </w:r>
      <w:r w:rsidRPr="00377ADD">
        <w:rPr>
          <w:lang w:val="fr-CH"/>
        </w:rPr>
        <w:t>qu</w:t>
      </w:r>
      <w:r>
        <w:rPr>
          <w:lang w:val="fr-CH"/>
        </w:rPr>
        <w:t>'</w:t>
      </w:r>
      <w:r w:rsidRPr="00377ADD">
        <w:rPr>
          <w:lang w:val="fr-CH"/>
        </w:rPr>
        <w:t>il est nécessaire de tirer parti en permanence des progrès technologique</w:t>
      </w:r>
      <w:r>
        <w:rPr>
          <w:lang w:val="fr-CH"/>
        </w:rPr>
        <w:t>s,</w:t>
      </w:r>
      <w:r w:rsidRPr="00377ADD">
        <w:rPr>
          <w:lang w:val="fr-CH"/>
        </w:rPr>
        <w:t xml:space="preserve"> pour accro</w:t>
      </w:r>
      <w:r>
        <w:rPr>
          <w:lang w:val="fr-CH"/>
        </w:rPr>
        <w:t>ître l'efficacité d'utilisation du spectre et faciliter l'accès au spectre</w:t>
      </w:r>
      <w:r w:rsidRPr="00377ADD">
        <w:rPr>
          <w:color w:val="000000" w:themeColor="text1"/>
          <w:lang w:val="fr-CH"/>
        </w:rPr>
        <w:t>;</w:t>
      </w:r>
    </w:p>
    <w:p w:rsidR="009C2043" w:rsidRDefault="009C2043" w:rsidP="00A17011">
      <w:pPr>
        <w:jc w:val="both"/>
        <w:rPr>
          <w:color w:val="000000" w:themeColor="text1"/>
          <w:lang w:val="fr-CH"/>
        </w:rPr>
      </w:pPr>
      <w:r>
        <w:rPr>
          <w:i/>
          <w:iCs/>
          <w:color w:val="000000" w:themeColor="text1"/>
          <w:lang w:val="fr-CH"/>
        </w:rPr>
        <w:t>d</w:t>
      </w:r>
      <w:r w:rsidRPr="00264D76">
        <w:rPr>
          <w:i/>
          <w:iCs/>
          <w:color w:val="000000" w:themeColor="text1"/>
          <w:lang w:val="fr-CH"/>
        </w:rPr>
        <w:t>)</w:t>
      </w:r>
      <w:r w:rsidRPr="00264D76">
        <w:rPr>
          <w:i/>
          <w:iCs/>
          <w:color w:val="000000" w:themeColor="text1"/>
          <w:lang w:val="fr-CH"/>
        </w:rPr>
        <w:tab/>
      </w:r>
      <w:r>
        <w:rPr>
          <w:color w:val="000000" w:themeColor="text1"/>
          <w:lang w:val="fr-CH"/>
        </w:rPr>
        <w:t>qu'avec l'évolution des</w:t>
      </w:r>
      <w:r w:rsidRPr="00264D76">
        <w:rPr>
          <w:color w:val="000000" w:themeColor="text1"/>
          <w:lang w:val="fr-CH"/>
        </w:rPr>
        <w:t xml:space="preserve"> technologies pour répondre aux exigences </w:t>
      </w:r>
      <w:r>
        <w:rPr>
          <w:color w:val="000000" w:themeColor="text1"/>
          <w:lang w:val="fr-CH"/>
        </w:rPr>
        <w:t>de qualité de fonctionnement croissantes</w:t>
      </w:r>
      <w:r w:rsidRPr="00264D76">
        <w:rPr>
          <w:color w:val="000000" w:themeColor="text1"/>
          <w:lang w:val="fr-CH"/>
        </w:rPr>
        <w:t xml:space="preserve"> et </w:t>
      </w:r>
      <w:r>
        <w:rPr>
          <w:color w:val="000000" w:themeColor="text1"/>
          <w:lang w:val="fr-CH"/>
        </w:rPr>
        <w:t>avec l'augmentation du</w:t>
      </w:r>
      <w:r w:rsidRPr="00264D76">
        <w:rPr>
          <w:color w:val="000000" w:themeColor="text1"/>
          <w:lang w:val="fr-CH"/>
        </w:rPr>
        <w:t xml:space="preserve"> trafic</w:t>
      </w:r>
      <w:r>
        <w:rPr>
          <w:color w:val="000000" w:themeColor="text1"/>
          <w:lang w:val="fr-CH"/>
        </w:rPr>
        <w:t xml:space="preserve"> </w:t>
      </w:r>
      <w:r w:rsidRPr="00264D76">
        <w:rPr>
          <w:color w:val="000000" w:themeColor="text1"/>
          <w:lang w:val="fr-CH"/>
        </w:rPr>
        <w:t xml:space="preserve">sur les systèmes WAS </w:t>
      </w:r>
      <w:r>
        <w:rPr>
          <w:color w:val="000000" w:themeColor="text1"/>
          <w:lang w:val="fr-CH"/>
        </w:rPr>
        <w:t>large bande</w:t>
      </w:r>
      <w:r w:rsidRPr="00264D76">
        <w:rPr>
          <w:color w:val="000000" w:themeColor="text1"/>
          <w:lang w:val="fr-CH"/>
        </w:rPr>
        <w:t xml:space="preserve">, l'utilisation de </w:t>
      </w:r>
      <w:r>
        <w:rPr>
          <w:color w:val="000000" w:themeColor="text1"/>
          <w:lang w:val="fr-CH"/>
        </w:rPr>
        <w:t>canaux</w:t>
      </w:r>
      <w:r w:rsidRPr="00264D76">
        <w:rPr>
          <w:color w:val="000000" w:themeColor="text1"/>
          <w:lang w:val="fr-CH"/>
        </w:rPr>
        <w:t xml:space="preserve"> </w:t>
      </w:r>
      <w:r>
        <w:rPr>
          <w:color w:val="000000" w:themeColor="text1"/>
          <w:lang w:val="fr-CH"/>
        </w:rPr>
        <w:t>à plus grande largeur de bande afin d'assurer des débits de données élevés nécessite des fréquences supplémentaires;</w:t>
      </w:r>
    </w:p>
    <w:p w:rsidR="009C2043" w:rsidRDefault="009C2043" w:rsidP="00A17011">
      <w:pPr>
        <w:jc w:val="both"/>
        <w:rPr>
          <w:lang w:val="fr-CH"/>
        </w:rPr>
      </w:pPr>
      <w:r>
        <w:rPr>
          <w:i/>
          <w:iCs/>
          <w:lang w:val="fr-CH"/>
        </w:rPr>
        <w:t>e</w:t>
      </w:r>
      <w:r w:rsidRPr="00264D76">
        <w:rPr>
          <w:i/>
          <w:iCs/>
          <w:lang w:val="fr-CH"/>
        </w:rPr>
        <w:t>)</w:t>
      </w:r>
      <w:r w:rsidRPr="00264D76">
        <w:rPr>
          <w:lang w:val="fr-CH"/>
        </w:rPr>
        <w:tab/>
      </w:r>
      <w:r>
        <w:rPr>
          <w:lang w:val="fr-CH"/>
        </w:rPr>
        <w:t>que la bande de fréquences 5 350-5 460 MHz est attribuée à l</w:t>
      </w:r>
      <w:r w:rsidR="00CC57A2">
        <w:rPr>
          <w:lang w:val="fr-CH"/>
        </w:rPr>
        <w:t>'</w:t>
      </w:r>
      <w:r>
        <w:rPr>
          <w:lang w:val="fr-CH"/>
        </w:rPr>
        <w:t xml:space="preserve">échelle mondiale à titre primaire au service de radionavigation aéronautique (numéro </w:t>
      </w:r>
      <w:r>
        <w:rPr>
          <w:b/>
          <w:bCs/>
          <w:lang w:val="fr-CH"/>
        </w:rPr>
        <w:t>5.</w:t>
      </w:r>
      <w:r w:rsidRPr="00D87B3A">
        <w:rPr>
          <w:b/>
          <w:bCs/>
          <w:lang w:val="fr-CH"/>
        </w:rPr>
        <w:t>449</w:t>
      </w:r>
      <w:r>
        <w:rPr>
          <w:lang w:val="fr-CH"/>
        </w:rPr>
        <w:t>);</w:t>
      </w:r>
    </w:p>
    <w:p w:rsidR="009C2043" w:rsidRDefault="009C2043" w:rsidP="00A17011">
      <w:pPr>
        <w:jc w:val="both"/>
        <w:rPr>
          <w:lang w:val="fr-CH"/>
        </w:rPr>
      </w:pPr>
      <w:r>
        <w:rPr>
          <w:i/>
          <w:iCs/>
          <w:lang w:val="fr-CH"/>
        </w:rPr>
        <w:t>f</w:t>
      </w:r>
      <w:r w:rsidRPr="00264D76">
        <w:rPr>
          <w:i/>
          <w:iCs/>
          <w:lang w:val="fr-CH"/>
        </w:rPr>
        <w:t>)</w:t>
      </w:r>
      <w:r w:rsidRPr="00264D76">
        <w:rPr>
          <w:lang w:val="fr-CH"/>
        </w:rPr>
        <w:tab/>
      </w:r>
      <w:r>
        <w:rPr>
          <w:lang w:val="fr-CH"/>
        </w:rPr>
        <w:t>que la bande de fréquences 5 460-5 470 MHz est attribuée à l</w:t>
      </w:r>
      <w:r w:rsidR="00CC57A2">
        <w:rPr>
          <w:lang w:val="fr-CH"/>
        </w:rPr>
        <w:t>'</w:t>
      </w:r>
      <w:r>
        <w:rPr>
          <w:lang w:val="fr-CH"/>
        </w:rPr>
        <w:t xml:space="preserve">échelle mondiale à titre primaire au service de radionavigation (numéro </w:t>
      </w:r>
      <w:r>
        <w:rPr>
          <w:b/>
          <w:bCs/>
          <w:lang w:val="fr-CH"/>
        </w:rPr>
        <w:t>5.</w:t>
      </w:r>
      <w:r w:rsidRPr="00D87B3A">
        <w:rPr>
          <w:b/>
          <w:bCs/>
          <w:lang w:val="fr-CH"/>
        </w:rPr>
        <w:t>449</w:t>
      </w:r>
      <w:r>
        <w:rPr>
          <w:lang w:val="fr-CH"/>
        </w:rPr>
        <w:t>);</w:t>
      </w:r>
    </w:p>
    <w:p w:rsidR="009C2043" w:rsidRDefault="009C2043" w:rsidP="00A17011">
      <w:pPr>
        <w:jc w:val="both"/>
        <w:rPr>
          <w:lang w:val="fr-CH"/>
        </w:rPr>
      </w:pPr>
      <w:r>
        <w:rPr>
          <w:i/>
          <w:iCs/>
          <w:lang w:val="fr-CH"/>
        </w:rPr>
        <w:t>g</w:t>
      </w:r>
      <w:r w:rsidRPr="00264D76">
        <w:rPr>
          <w:i/>
          <w:iCs/>
          <w:lang w:val="fr-CH"/>
        </w:rPr>
        <w:t>)</w:t>
      </w:r>
      <w:r w:rsidRPr="00264D76">
        <w:rPr>
          <w:lang w:val="fr-CH"/>
        </w:rPr>
        <w:tab/>
      </w:r>
      <w:r>
        <w:rPr>
          <w:lang w:val="fr-CH"/>
        </w:rPr>
        <w:t>que la bande de fréquences 5 350-5 470 MHz est attribuée à l</w:t>
      </w:r>
      <w:r w:rsidR="00CC57A2">
        <w:rPr>
          <w:lang w:val="fr-CH"/>
        </w:rPr>
        <w:t>'</w:t>
      </w:r>
      <w:r>
        <w:rPr>
          <w:lang w:val="fr-CH"/>
        </w:rPr>
        <w:t>échelle mondiale à titre primaire avec égalité des droits au service d</w:t>
      </w:r>
      <w:r w:rsidR="00CC57A2">
        <w:rPr>
          <w:lang w:val="fr-CH"/>
        </w:rPr>
        <w:t>'</w:t>
      </w:r>
      <w:r>
        <w:rPr>
          <w:lang w:val="fr-CH"/>
        </w:rPr>
        <w:t>exploration de la Terre par satellite (active) (numéro </w:t>
      </w:r>
      <w:r w:rsidRPr="00D87B3A">
        <w:rPr>
          <w:b/>
          <w:bCs/>
          <w:lang w:val="fr-CH"/>
        </w:rPr>
        <w:t>5.448B</w:t>
      </w:r>
      <w:r>
        <w:rPr>
          <w:lang w:val="fr-CH"/>
        </w:rPr>
        <w:t xml:space="preserve">), au service de recherche spatiale (active) (numéro </w:t>
      </w:r>
      <w:r>
        <w:rPr>
          <w:b/>
          <w:bCs/>
          <w:lang w:val="fr-CH"/>
        </w:rPr>
        <w:t>5.</w:t>
      </w:r>
      <w:r w:rsidRPr="00D87B3A">
        <w:rPr>
          <w:b/>
          <w:bCs/>
          <w:lang w:val="fr-CH"/>
        </w:rPr>
        <w:t>448C</w:t>
      </w:r>
      <w:r>
        <w:rPr>
          <w:lang w:val="fr-CH"/>
        </w:rPr>
        <w:t xml:space="preserve">) et au service de radiolocalisation (numéro </w:t>
      </w:r>
      <w:r>
        <w:rPr>
          <w:b/>
          <w:bCs/>
          <w:lang w:val="fr-CH"/>
        </w:rPr>
        <w:t>5.</w:t>
      </w:r>
      <w:r w:rsidRPr="00D87B3A">
        <w:rPr>
          <w:b/>
          <w:bCs/>
          <w:lang w:val="fr-CH"/>
        </w:rPr>
        <w:t>448D</w:t>
      </w:r>
      <w:r>
        <w:rPr>
          <w:lang w:val="fr-CH"/>
        </w:rPr>
        <w:t>);</w:t>
      </w:r>
    </w:p>
    <w:p w:rsidR="009C2043" w:rsidRDefault="009C2043" w:rsidP="00A17011">
      <w:pPr>
        <w:jc w:val="both"/>
        <w:rPr>
          <w:lang w:val="fr-CH"/>
        </w:rPr>
      </w:pPr>
      <w:r>
        <w:rPr>
          <w:i/>
          <w:iCs/>
          <w:lang w:val="fr-CH"/>
        </w:rPr>
        <w:t>h</w:t>
      </w:r>
      <w:r w:rsidRPr="00264D76">
        <w:rPr>
          <w:i/>
          <w:iCs/>
          <w:lang w:val="fr-CH"/>
        </w:rPr>
        <w:t>)</w:t>
      </w:r>
      <w:r w:rsidRPr="00264D76">
        <w:rPr>
          <w:lang w:val="fr-CH"/>
        </w:rPr>
        <w:tab/>
      </w:r>
      <w:r>
        <w:rPr>
          <w:lang w:val="fr-CH"/>
        </w:rPr>
        <w:t>que les bandes de fréquences comprises entre 5 725 et 5 850 MHz sont attribuées à l'échelle mondiale à titre primaire au service de radiolocalisation, et en Région 1, au service fixe par satellite;</w:t>
      </w:r>
    </w:p>
    <w:p w:rsidR="009C2043" w:rsidRPr="00CE5D05" w:rsidRDefault="009C2043" w:rsidP="00A17011">
      <w:pPr>
        <w:jc w:val="both"/>
        <w:rPr>
          <w:lang w:val="fr-CH"/>
        </w:rPr>
      </w:pPr>
      <w:r>
        <w:rPr>
          <w:i/>
          <w:iCs/>
          <w:lang w:val="fr-CH"/>
        </w:rPr>
        <w:t>i)</w:t>
      </w:r>
      <w:r>
        <w:rPr>
          <w:i/>
          <w:iCs/>
          <w:lang w:val="fr-CH"/>
        </w:rPr>
        <w:tab/>
      </w:r>
      <w:r>
        <w:rPr>
          <w:lang w:val="fr-CH"/>
        </w:rPr>
        <w:t>que la bande de fréquences 5 850-5 925 MHz est attribuée à l'échelle mondiale à titre primaire au service mobile, au service fixe et au service fixe par satellite;</w:t>
      </w:r>
    </w:p>
    <w:p w:rsidR="009C2043" w:rsidRDefault="009C2043" w:rsidP="00A17011">
      <w:pPr>
        <w:jc w:val="both"/>
        <w:rPr>
          <w:lang w:val="fr-CH"/>
        </w:rPr>
      </w:pPr>
      <w:r>
        <w:rPr>
          <w:i/>
          <w:iCs/>
          <w:lang w:val="fr-CH"/>
        </w:rPr>
        <w:t>j)</w:t>
      </w:r>
      <w:r>
        <w:rPr>
          <w:i/>
          <w:iCs/>
          <w:lang w:val="fr-CH"/>
        </w:rPr>
        <w:tab/>
      </w:r>
      <w:r>
        <w:rPr>
          <w:lang w:val="fr-CH"/>
        </w:rPr>
        <w:t>qu</w:t>
      </w:r>
      <w:r w:rsidR="00CC57A2">
        <w:rPr>
          <w:lang w:val="fr-CH"/>
        </w:rPr>
        <w:t>'</w:t>
      </w:r>
      <w:r>
        <w:rPr>
          <w:lang w:val="fr-CH"/>
        </w:rPr>
        <w:t>il est nécessaire de protéger les services primaires existants, y compris leur utilisation actuelle ou prévue;</w:t>
      </w:r>
    </w:p>
    <w:p w:rsidR="009C2043" w:rsidRPr="00264D76" w:rsidRDefault="009C2043" w:rsidP="00A17011">
      <w:pPr>
        <w:jc w:val="both"/>
        <w:rPr>
          <w:color w:val="000000" w:themeColor="text1"/>
          <w:lang w:val="fr-CH"/>
        </w:rPr>
      </w:pPr>
      <w:r>
        <w:rPr>
          <w:i/>
          <w:iCs/>
          <w:lang w:val="fr-CH"/>
        </w:rPr>
        <w:t>k</w:t>
      </w:r>
      <w:r w:rsidRPr="00264D76">
        <w:rPr>
          <w:i/>
          <w:iCs/>
          <w:lang w:val="fr-CH"/>
        </w:rPr>
        <w:t>)</w:t>
      </w:r>
      <w:r w:rsidRPr="00264D76">
        <w:rPr>
          <w:lang w:val="fr-CH"/>
        </w:rPr>
        <w:tab/>
      </w:r>
      <w:r>
        <w:rPr>
          <w:color w:val="000000"/>
        </w:rPr>
        <w:t xml:space="preserve">qu'il peut être nécessaire d'indiquer les restrictions techniques et opérationnelles qui pourraient être appliquées aux systèmes WAS/RLAN du service mobile exploités dans la gamme de fréquences des 5 GHz pour faciliter le partage avec les systèmes des services existants, </w:t>
      </w:r>
    </w:p>
    <w:p w:rsidR="009C2043" w:rsidRPr="00960442" w:rsidRDefault="009C2043" w:rsidP="00A17011">
      <w:pPr>
        <w:pStyle w:val="Call"/>
        <w:jc w:val="both"/>
        <w:rPr>
          <w:lang w:val="fr-CH"/>
        </w:rPr>
      </w:pPr>
      <w:r w:rsidRPr="00960442">
        <w:rPr>
          <w:lang w:val="fr-CH"/>
        </w:rPr>
        <w:t>considérant en outre</w:t>
      </w:r>
    </w:p>
    <w:p w:rsidR="009C2043" w:rsidRDefault="009C2043" w:rsidP="00A17011">
      <w:pPr>
        <w:jc w:val="both"/>
        <w:rPr>
          <w:lang w:val="fr-CH"/>
        </w:rPr>
      </w:pPr>
      <w:r w:rsidRPr="00960442">
        <w:rPr>
          <w:i/>
          <w:iCs/>
          <w:lang w:val="fr-CH"/>
        </w:rPr>
        <w:t>a)</w:t>
      </w:r>
      <w:r w:rsidRPr="00960442">
        <w:rPr>
          <w:i/>
          <w:iCs/>
          <w:lang w:val="fr-CH"/>
        </w:rPr>
        <w:tab/>
      </w:r>
      <w:r>
        <w:rPr>
          <w:lang w:val="fr-CH"/>
        </w:rPr>
        <w:t>qu'il est essentiel de mettre</w:t>
      </w:r>
      <w:r w:rsidRPr="00DC236B">
        <w:rPr>
          <w:lang w:val="fr-CH"/>
        </w:rPr>
        <w:t xml:space="preserve"> à disposition</w:t>
      </w:r>
      <w:r>
        <w:rPr>
          <w:lang w:val="fr-CH"/>
        </w:rPr>
        <w:t>,</w:t>
      </w:r>
      <w:r w:rsidRPr="00DC236B">
        <w:rPr>
          <w:lang w:val="fr-CH"/>
        </w:rPr>
        <w:t xml:space="preserve"> en temps </w:t>
      </w:r>
      <w:r>
        <w:rPr>
          <w:lang w:val="fr-CH"/>
        </w:rPr>
        <w:t xml:space="preserve">utile, </w:t>
      </w:r>
      <w:r w:rsidRPr="00DC236B">
        <w:rPr>
          <w:lang w:val="fr-CH"/>
        </w:rPr>
        <w:t xml:space="preserve">une quantité de spectre suffisante et de </w:t>
      </w:r>
      <w:r>
        <w:rPr>
          <w:lang w:val="fr-CH"/>
        </w:rPr>
        <w:t xml:space="preserve">prévoir des </w:t>
      </w:r>
      <w:r w:rsidRPr="00DC236B">
        <w:rPr>
          <w:lang w:val="fr-CH"/>
        </w:rPr>
        <w:t xml:space="preserve">dispositions </w:t>
      </w:r>
      <w:r>
        <w:rPr>
          <w:lang w:val="fr-CH"/>
        </w:rPr>
        <w:t>réglementaires appropriées pour soutenir la croissance future des applications des systèmes WAS/RLAN;</w:t>
      </w:r>
    </w:p>
    <w:p w:rsidR="009C2043" w:rsidRPr="0064436C" w:rsidRDefault="009C2043" w:rsidP="00A17011">
      <w:pPr>
        <w:jc w:val="both"/>
        <w:rPr>
          <w:lang w:val="fr-CH"/>
        </w:rPr>
      </w:pPr>
      <w:r w:rsidRPr="0064436C">
        <w:rPr>
          <w:i/>
          <w:iCs/>
          <w:lang w:val="fr-CH"/>
        </w:rPr>
        <w:lastRenderedPageBreak/>
        <w:t>b)</w:t>
      </w:r>
      <w:r w:rsidRPr="0064436C">
        <w:rPr>
          <w:i/>
          <w:iCs/>
          <w:lang w:val="fr-CH"/>
        </w:rPr>
        <w:tab/>
      </w:r>
      <w:r>
        <w:rPr>
          <w:lang w:val="fr-CH"/>
        </w:rPr>
        <w:t>qu'une harmonisation des bandes</w:t>
      </w:r>
      <w:r w:rsidRPr="00706CC2">
        <w:t xml:space="preserve"> </w:t>
      </w:r>
      <w:r>
        <w:t>de fréquences</w:t>
      </w:r>
      <w:r>
        <w:rPr>
          <w:lang w:val="fr-CH"/>
        </w:rPr>
        <w:t xml:space="preserve"> </w:t>
      </w:r>
      <w:r w:rsidRPr="0064436C">
        <w:rPr>
          <w:lang w:val="fr-CH"/>
        </w:rPr>
        <w:t xml:space="preserve">à l'échelle mondiale est vivement souhaitable pour </w:t>
      </w:r>
      <w:r>
        <w:rPr>
          <w:lang w:val="fr-CH"/>
        </w:rPr>
        <w:t>soutenir</w:t>
      </w:r>
      <w:r w:rsidRPr="0064436C">
        <w:rPr>
          <w:lang w:val="fr-CH"/>
        </w:rPr>
        <w:t xml:space="preserve"> la croissance future </w:t>
      </w:r>
      <w:r>
        <w:rPr>
          <w:lang w:val="fr-CH"/>
        </w:rPr>
        <w:t xml:space="preserve">des applications </w:t>
      </w:r>
      <w:r w:rsidRPr="0064436C">
        <w:rPr>
          <w:lang w:val="fr-CH"/>
        </w:rPr>
        <w:t>des systèmes WAS</w:t>
      </w:r>
      <w:r>
        <w:rPr>
          <w:lang w:val="fr-CH"/>
        </w:rPr>
        <w:t>/RLAN, compte tenu des avantages qui en résulteraient en termes d'économies d'échelle,</w:t>
      </w:r>
    </w:p>
    <w:p w:rsidR="009C2043" w:rsidRPr="0064436C" w:rsidRDefault="009C2043" w:rsidP="00A17011">
      <w:pPr>
        <w:pStyle w:val="Call"/>
        <w:jc w:val="both"/>
        <w:rPr>
          <w:lang w:val="fr-CH"/>
        </w:rPr>
      </w:pPr>
      <w:r w:rsidRPr="0064436C">
        <w:rPr>
          <w:lang w:val="fr-CH"/>
        </w:rPr>
        <w:t>notant</w:t>
      </w:r>
    </w:p>
    <w:p w:rsidR="009C2043" w:rsidRDefault="009C2043" w:rsidP="00A17011">
      <w:pPr>
        <w:jc w:val="both"/>
        <w:rPr>
          <w:rStyle w:val="BRNormal"/>
          <w:lang w:val="fr-CH"/>
        </w:rPr>
      </w:pPr>
      <w:r w:rsidRPr="0064436C">
        <w:rPr>
          <w:i/>
          <w:iCs/>
          <w:lang w:val="fr-CH"/>
        </w:rPr>
        <w:t>a)</w:t>
      </w:r>
      <w:r w:rsidRPr="0064436C">
        <w:rPr>
          <w:i/>
          <w:iCs/>
          <w:lang w:val="fr-CH"/>
        </w:rPr>
        <w:tab/>
      </w:r>
      <w:r w:rsidRPr="0064436C">
        <w:rPr>
          <w:lang w:val="fr-CH"/>
        </w:rPr>
        <w:t xml:space="preserve">que, conformément à la Résolution </w:t>
      </w:r>
      <w:r>
        <w:rPr>
          <w:b/>
          <w:bCs/>
          <w:lang w:val="fr-CH"/>
        </w:rPr>
        <w:t>229 (Rév.CMR-</w:t>
      </w:r>
      <w:r w:rsidRPr="0064436C">
        <w:rPr>
          <w:b/>
          <w:bCs/>
          <w:lang w:val="fr-CH"/>
        </w:rPr>
        <w:t>12)</w:t>
      </w:r>
      <w:r>
        <w:rPr>
          <w:lang w:val="fr-CH"/>
        </w:rPr>
        <w:t xml:space="preserve">, les bandes de fréquences </w:t>
      </w:r>
      <w:r w:rsidRPr="0064436C">
        <w:rPr>
          <w:lang w:val="fr-CH"/>
        </w:rPr>
        <w:t>5 150-5 250 MHz, 5 </w:t>
      </w:r>
      <w:r w:rsidRPr="0064436C">
        <w:rPr>
          <w:rStyle w:val="BRNormal"/>
          <w:lang w:val="fr-CH"/>
        </w:rPr>
        <w:t xml:space="preserve">250-5 350 MHz </w:t>
      </w:r>
      <w:r>
        <w:rPr>
          <w:rStyle w:val="BRNormal"/>
          <w:lang w:val="fr-CH"/>
        </w:rPr>
        <w:t>et</w:t>
      </w:r>
      <w:r w:rsidRPr="0064436C">
        <w:rPr>
          <w:rStyle w:val="BRNormal"/>
          <w:lang w:val="fr-CH"/>
        </w:rPr>
        <w:t xml:space="preserve"> 5 470-5 725 MHz</w:t>
      </w:r>
      <w:r>
        <w:rPr>
          <w:rStyle w:val="BRNormal"/>
          <w:lang w:val="fr-CH"/>
        </w:rPr>
        <w:t xml:space="preserve"> sont attribuées au service mobile à titre primaire pour la mise en </w:t>
      </w:r>
      <w:proofErr w:type="spellStart"/>
      <w:r>
        <w:rPr>
          <w:rStyle w:val="BRNormal"/>
          <w:lang w:val="fr-CH"/>
        </w:rPr>
        <w:t>oeuvre</w:t>
      </w:r>
      <w:proofErr w:type="spellEnd"/>
      <w:r>
        <w:rPr>
          <w:rStyle w:val="BRNormal"/>
          <w:lang w:val="fr-CH"/>
        </w:rPr>
        <w:t xml:space="preserve"> des applications des systèmes WAS/RLAN;</w:t>
      </w:r>
    </w:p>
    <w:p w:rsidR="009C2043" w:rsidRPr="00EE7881" w:rsidRDefault="009C2043" w:rsidP="00A17011">
      <w:pPr>
        <w:jc w:val="both"/>
        <w:rPr>
          <w:lang w:val="fr-CH"/>
        </w:rPr>
      </w:pPr>
      <w:r>
        <w:rPr>
          <w:i/>
          <w:iCs/>
          <w:lang w:val="fr-CH"/>
        </w:rPr>
        <w:t>b</w:t>
      </w:r>
      <w:r w:rsidRPr="0064436C">
        <w:rPr>
          <w:i/>
          <w:iCs/>
          <w:lang w:val="fr-CH"/>
        </w:rPr>
        <w:t>)</w:t>
      </w:r>
      <w:r w:rsidRPr="0064436C">
        <w:rPr>
          <w:i/>
          <w:iCs/>
          <w:lang w:val="fr-CH"/>
        </w:rPr>
        <w:tab/>
      </w:r>
      <w:r>
        <w:rPr>
          <w:lang w:val="fr-CH"/>
        </w:rPr>
        <w:t>que la bande de fréquences 5 250-5 850 MHz est attribuée à l'échelle mondiale à titre primaire au service de radiolocalisation;</w:t>
      </w:r>
    </w:p>
    <w:p w:rsidR="009C2043" w:rsidRPr="0064436C" w:rsidRDefault="009C2043" w:rsidP="00A17011">
      <w:pPr>
        <w:jc w:val="both"/>
        <w:rPr>
          <w:lang w:val="fr-CH"/>
        </w:rPr>
      </w:pPr>
      <w:r w:rsidRPr="00EE7881">
        <w:rPr>
          <w:i/>
          <w:iCs/>
          <w:lang w:val="fr-CH"/>
        </w:rPr>
        <w:t>c)</w:t>
      </w:r>
      <w:r>
        <w:rPr>
          <w:lang w:val="fr-CH"/>
        </w:rPr>
        <w:tab/>
      </w:r>
      <w:r w:rsidRPr="00D87B3A">
        <w:rPr>
          <w:lang w:val="fr-CH"/>
        </w:rPr>
        <w:t>qu</w:t>
      </w:r>
      <w:r w:rsidR="00CC57A2">
        <w:rPr>
          <w:lang w:val="fr-CH"/>
        </w:rPr>
        <w:t>'</w:t>
      </w:r>
      <w:r w:rsidRPr="00D87B3A">
        <w:rPr>
          <w:lang w:val="fr-CH"/>
        </w:rPr>
        <w:t>il n</w:t>
      </w:r>
      <w:r w:rsidR="00CC57A2">
        <w:rPr>
          <w:lang w:val="fr-CH"/>
        </w:rPr>
        <w:t>'</w:t>
      </w:r>
      <w:r w:rsidRPr="00D87B3A">
        <w:rPr>
          <w:lang w:val="fr-CH"/>
        </w:rPr>
        <w:t>y a pas d</w:t>
      </w:r>
      <w:r w:rsidR="00CC57A2">
        <w:rPr>
          <w:lang w:val="fr-CH"/>
        </w:rPr>
        <w:t>'</w:t>
      </w:r>
      <w:r w:rsidRPr="00D87B3A">
        <w:rPr>
          <w:lang w:val="fr-CH"/>
        </w:rPr>
        <w:t xml:space="preserve">attribution </w:t>
      </w:r>
      <w:r>
        <w:rPr>
          <w:lang w:val="fr-CH"/>
        </w:rPr>
        <w:t xml:space="preserve">à titre </w:t>
      </w:r>
      <w:r w:rsidRPr="00D87B3A">
        <w:rPr>
          <w:lang w:val="fr-CH"/>
        </w:rPr>
        <w:t>primaire au service mobile</w:t>
      </w:r>
      <w:r>
        <w:rPr>
          <w:lang w:val="fr-CH"/>
        </w:rPr>
        <w:t xml:space="preserve"> dans la bande de fréquences 5 350-5 470 MHz;</w:t>
      </w:r>
    </w:p>
    <w:p w:rsidR="009C2043" w:rsidRPr="00D8002E" w:rsidRDefault="009C2043" w:rsidP="00E25FB6">
      <w:pPr>
        <w:jc w:val="both"/>
        <w:rPr>
          <w:rStyle w:val="BRNormal"/>
          <w:lang w:val="fr-CH"/>
        </w:rPr>
      </w:pPr>
      <w:r>
        <w:rPr>
          <w:rStyle w:val="BRNormal"/>
          <w:i/>
          <w:iCs/>
          <w:lang w:val="fr-CH"/>
        </w:rPr>
        <w:t>d</w:t>
      </w:r>
      <w:r w:rsidRPr="00D8002E">
        <w:rPr>
          <w:rStyle w:val="BRNormal"/>
          <w:i/>
          <w:iCs/>
          <w:lang w:val="fr-CH"/>
        </w:rPr>
        <w:t>)</w:t>
      </w:r>
      <w:r w:rsidRPr="00D8002E">
        <w:rPr>
          <w:rStyle w:val="BRNormal"/>
          <w:i/>
          <w:iCs/>
          <w:lang w:val="fr-CH"/>
        </w:rPr>
        <w:tab/>
      </w:r>
      <w:r w:rsidRPr="00D8002E">
        <w:rPr>
          <w:rStyle w:val="BRNormal"/>
          <w:lang w:val="fr-CH"/>
        </w:rPr>
        <w:t>qu</w:t>
      </w:r>
      <w:r>
        <w:rPr>
          <w:rStyle w:val="BRNormal"/>
          <w:lang w:val="fr-CH"/>
        </w:rPr>
        <w:t xml:space="preserve">e </w:t>
      </w:r>
      <w:r w:rsidRPr="00D8002E">
        <w:rPr>
          <w:rStyle w:val="BRNormal"/>
          <w:lang w:val="fr-CH"/>
        </w:rPr>
        <w:t>dans la bande</w:t>
      </w:r>
      <w:r>
        <w:rPr>
          <w:rStyle w:val="BRNormal"/>
          <w:lang w:val="fr-CH"/>
        </w:rPr>
        <w:t xml:space="preserve"> de fréquences</w:t>
      </w:r>
      <w:r w:rsidRPr="00D8002E">
        <w:rPr>
          <w:rStyle w:val="BRNormal"/>
          <w:lang w:val="fr-CH"/>
        </w:rPr>
        <w:t xml:space="preserve"> 5 725-5 850 MHz</w:t>
      </w:r>
      <w:r>
        <w:rPr>
          <w:rStyle w:val="BRNormal"/>
          <w:lang w:val="fr-CH"/>
        </w:rPr>
        <w:t xml:space="preserve">, il n'y a pas d'attribution à titre primaire au service mobile, mais que cette bande </w:t>
      </w:r>
      <w:r>
        <w:t>de fréquences</w:t>
      </w:r>
      <w:r>
        <w:rPr>
          <w:rStyle w:val="BRNormal"/>
          <w:lang w:val="fr-CH"/>
        </w:rPr>
        <w:t xml:space="preserve"> est attribuée par renvoi aux services fixe et mobile dans certains pays et que, de plus, son utilisation pour les réseaux WAS/RLAN, est déjà autorisée dans certains pays situés dans chacune des Régions de l'UIT</w:t>
      </w:r>
      <w:r w:rsidR="00E25FB6">
        <w:rPr>
          <w:rStyle w:val="BRNormal"/>
          <w:lang w:val="fr-CH"/>
        </w:rPr>
        <w:noBreakHyphen/>
      </w:r>
      <w:r>
        <w:rPr>
          <w:rStyle w:val="BRNormal"/>
          <w:lang w:val="fr-CH"/>
        </w:rPr>
        <w:t>R;</w:t>
      </w:r>
    </w:p>
    <w:p w:rsidR="009C2043" w:rsidRDefault="009C2043" w:rsidP="00A17011">
      <w:pPr>
        <w:jc w:val="both"/>
        <w:rPr>
          <w:rStyle w:val="BRNormal"/>
          <w:lang w:val="fr-CH"/>
        </w:rPr>
      </w:pPr>
      <w:r>
        <w:rPr>
          <w:rStyle w:val="BRNormal"/>
          <w:i/>
          <w:iCs/>
          <w:lang w:val="fr-CH"/>
        </w:rPr>
        <w:t>e</w:t>
      </w:r>
      <w:r w:rsidRPr="007D3151">
        <w:rPr>
          <w:rStyle w:val="BRNormal"/>
          <w:i/>
          <w:iCs/>
          <w:lang w:val="fr-CH"/>
        </w:rPr>
        <w:t>)</w:t>
      </w:r>
      <w:r w:rsidRPr="007D3151">
        <w:rPr>
          <w:rStyle w:val="BRNormal"/>
          <w:i/>
          <w:iCs/>
          <w:lang w:val="fr-CH"/>
        </w:rPr>
        <w:tab/>
      </w:r>
      <w:r w:rsidRPr="007D3151">
        <w:rPr>
          <w:rStyle w:val="BRNormal"/>
          <w:lang w:val="fr-CH"/>
        </w:rPr>
        <w:t>que les attributions au service d'exploration de la Terre par satellite (active) dans les bandes</w:t>
      </w:r>
      <w:r>
        <w:rPr>
          <w:rStyle w:val="BRNormal"/>
          <w:lang w:val="fr-CH"/>
        </w:rPr>
        <w:t xml:space="preserve"> de fréquences</w:t>
      </w:r>
      <w:r w:rsidRPr="007D3151">
        <w:rPr>
          <w:rStyle w:val="BRNormal"/>
          <w:lang w:val="fr-CH"/>
        </w:rPr>
        <w:t xml:space="preserve"> 5 350-5 460 MHz </w:t>
      </w:r>
      <w:r>
        <w:rPr>
          <w:rStyle w:val="BRNormal"/>
          <w:lang w:val="fr-CH"/>
        </w:rPr>
        <w:t>et</w:t>
      </w:r>
      <w:r w:rsidRPr="007D3151">
        <w:rPr>
          <w:rStyle w:val="BRNormal"/>
          <w:lang w:val="fr-CH"/>
        </w:rPr>
        <w:t xml:space="preserve"> 5 460-5 470 MHz</w:t>
      </w:r>
      <w:r>
        <w:rPr>
          <w:rStyle w:val="BRNormal"/>
          <w:lang w:val="fr-CH"/>
        </w:rPr>
        <w:t xml:space="preserve"> sont essentielles pour des programmes d'observation de la Terre tels que </w:t>
      </w:r>
      <w:proofErr w:type="spellStart"/>
      <w:r>
        <w:rPr>
          <w:rStyle w:val="BRNormal"/>
          <w:lang w:val="fr-CH"/>
        </w:rPr>
        <w:t>Copernicus</w:t>
      </w:r>
      <w:proofErr w:type="spellEnd"/>
      <w:r>
        <w:rPr>
          <w:rStyle w:val="BRNormal"/>
          <w:lang w:val="fr-CH"/>
        </w:rPr>
        <w:t xml:space="preserve"> (</w:t>
      </w:r>
      <w:r w:rsidRPr="007D3151">
        <w:rPr>
          <w:rStyle w:val="BRNormal"/>
          <w:lang w:val="fr-CH"/>
        </w:rPr>
        <w:t xml:space="preserve">Sentinel-1 </w:t>
      </w:r>
      <w:r>
        <w:rPr>
          <w:rStyle w:val="BRNormal"/>
          <w:lang w:val="fr-CH"/>
        </w:rPr>
        <w:t>et</w:t>
      </w:r>
      <w:r w:rsidRPr="007D3151">
        <w:rPr>
          <w:rStyle w:val="BRNormal"/>
          <w:lang w:val="fr-CH"/>
        </w:rPr>
        <w:t xml:space="preserve"> Sentinel-3)</w:t>
      </w:r>
      <w:r>
        <w:rPr>
          <w:rStyle w:val="BRNormal"/>
          <w:lang w:val="fr-CH"/>
        </w:rPr>
        <w:t>, Jason, Sentinel-6 et RADARSAT (RADARSAT-2 et RADARSAT-3), et que les données collectées dans le cadre de ces programmes sont primordiales pour disposer d'informations fiables et actualisées concernant l'évolution de notre planète et de son climat;</w:t>
      </w:r>
    </w:p>
    <w:p w:rsidR="009C2043" w:rsidRPr="00EB2AA3" w:rsidRDefault="009C2043" w:rsidP="00A17011">
      <w:pPr>
        <w:jc w:val="both"/>
        <w:rPr>
          <w:rStyle w:val="BRNormal"/>
          <w:lang w:val="fr-CH"/>
        </w:rPr>
      </w:pPr>
      <w:r>
        <w:rPr>
          <w:rStyle w:val="BRNormal"/>
          <w:i/>
          <w:iCs/>
          <w:lang w:val="fr-CH"/>
        </w:rPr>
        <w:t>f)</w:t>
      </w:r>
      <w:r>
        <w:rPr>
          <w:rStyle w:val="BRNormal"/>
          <w:i/>
          <w:iCs/>
          <w:lang w:val="fr-CH"/>
        </w:rPr>
        <w:tab/>
      </w:r>
      <w:r>
        <w:rPr>
          <w:rStyle w:val="BRNormal"/>
          <w:lang w:val="fr-CH"/>
        </w:rPr>
        <w:t>qu'il est prévu que les futurs systèmes du service d'exploration de la Terre par satellite (active) utilisent jusqu'à 300 MHz de largeur de bande dans la bande de fréquences des 5 GHz attribuée au SETS, afin d'améliorer la résolution d'image et les applications fournies aux utilisateurs;</w:t>
      </w:r>
    </w:p>
    <w:p w:rsidR="009C2043" w:rsidRDefault="009C2043" w:rsidP="00A17011">
      <w:pPr>
        <w:jc w:val="both"/>
        <w:rPr>
          <w:lang w:val="fr-CH"/>
        </w:rPr>
      </w:pPr>
      <w:r>
        <w:rPr>
          <w:i/>
          <w:iCs/>
          <w:lang w:val="fr-CH"/>
        </w:rPr>
        <w:t>g</w:t>
      </w:r>
      <w:r w:rsidRPr="0064436C">
        <w:rPr>
          <w:i/>
          <w:iCs/>
          <w:lang w:val="fr-CH"/>
        </w:rPr>
        <w:t>)</w:t>
      </w:r>
      <w:r w:rsidRPr="0064436C">
        <w:rPr>
          <w:i/>
          <w:iCs/>
          <w:lang w:val="fr-CH"/>
        </w:rPr>
        <w:tab/>
      </w:r>
      <w:r>
        <w:rPr>
          <w:lang w:val="fr-CH"/>
        </w:rPr>
        <w:t>que la bande de fréquences 5 150-5 250 MHz est également attribuée à l'échelle mondiale à titre primaire au service de radionavigation aéronautique et au service fixe par satellite (numéro </w:t>
      </w:r>
      <w:r>
        <w:rPr>
          <w:b/>
          <w:bCs/>
          <w:lang w:val="fr-CH"/>
        </w:rPr>
        <w:t>5.447A</w:t>
      </w:r>
      <w:r>
        <w:rPr>
          <w:lang w:val="fr-CH"/>
        </w:rPr>
        <w:t>);</w:t>
      </w:r>
    </w:p>
    <w:p w:rsidR="009C2043" w:rsidRPr="00EE7881" w:rsidRDefault="009C2043" w:rsidP="00A17011">
      <w:pPr>
        <w:jc w:val="both"/>
        <w:rPr>
          <w:lang w:val="fr-CH"/>
        </w:rPr>
      </w:pPr>
      <w:r>
        <w:rPr>
          <w:i/>
          <w:iCs/>
          <w:lang w:val="fr-CH"/>
        </w:rPr>
        <w:t>h)</w:t>
      </w:r>
      <w:r>
        <w:rPr>
          <w:i/>
          <w:iCs/>
          <w:lang w:val="fr-CH"/>
        </w:rPr>
        <w:tab/>
      </w:r>
      <w:r>
        <w:rPr>
          <w:lang w:val="fr-CH"/>
        </w:rPr>
        <w:t>que les bandes de fréquences comprises entre 5 250 et 5 350 MHz sont également attribuées à l'échelle mondiale à titre primaire au service d'exploration de la Terre par satellite (active), au service de recherche spatiale et au service de recherche spatiale (active);</w:t>
      </w:r>
    </w:p>
    <w:p w:rsidR="009C2043" w:rsidRPr="009B2D39" w:rsidRDefault="009C2043" w:rsidP="00A17011">
      <w:pPr>
        <w:jc w:val="both"/>
        <w:rPr>
          <w:rStyle w:val="BRNormal"/>
          <w:lang w:val="fr-CH"/>
        </w:rPr>
      </w:pPr>
      <w:r>
        <w:rPr>
          <w:i/>
          <w:iCs/>
          <w:lang w:val="fr-CH"/>
        </w:rPr>
        <w:t>i)</w:t>
      </w:r>
      <w:r>
        <w:rPr>
          <w:i/>
          <w:iCs/>
          <w:lang w:val="fr-CH"/>
        </w:rPr>
        <w:tab/>
      </w:r>
      <w:r>
        <w:rPr>
          <w:iCs/>
          <w:lang w:val="fr-CH"/>
        </w:rPr>
        <w:t>que les critères de protection et de qualité de fonctionnement applicables aux services existants sont fournis par l</w:t>
      </w:r>
      <w:r w:rsidR="00CC57A2">
        <w:rPr>
          <w:iCs/>
          <w:lang w:val="fr-CH"/>
        </w:rPr>
        <w:t>'</w:t>
      </w:r>
      <w:r>
        <w:rPr>
          <w:iCs/>
          <w:lang w:val="fr-CH"/>
        </w:rPr>
        <w:t>UIT-R,</w:t>
      </w:r>
    </w:p>
    <w:p w:rsidR="009C2043" w:rsidRPr="00024F39" w:rsidRDefault="009C2043" w:rsidP="00A17011">
      <w:pPr>
        <w:pStyle w:val="Call"/>
        <w:keepNext w:val="0"/>
        <w:keepLines w:val="0"/>
        <w:jc w:val="both"/>
      </w:pPr>
      <w:r w:rsidRPr="00024F39">
        <w:t>reconnaissant</w:t>
      </w:r>
    </w:p>
    <w:p w:rsidR="009C2043" w:rsidRPr="001F3030" w:rsidRDefault="009C2043" w:rsidP="00A17011">
      <w:pPr>
        <w:jc w:val="both"/>
        <w:rPr>
          <w:rStyle w:val="BRNormal"/>
          <w:lang w:val="fr-CH"/>
        </w:rPr>
      </w:pPr>
      <w:r w:rsidRPr="001F3030">
        <w:rPr>
          <w:rStyle w:val="BRNormal"/>
          <w:i/>
          <w:iCs/>
          <w:lang w:val="fr-CH"/>
        </w:rPr>
        <w:t>a)</w:t>
      </w:r>
      <w:r w:rsidRPr="001F3030">
        <w:rPr>
          <w:rStyle w:val="BRNormal"/>
          <w:i/>
          <w:iCs/>
          <w:lang w:val="fr-CH"/>
        </w:rPr>
        <w:tab/>
      </w:r>
      <w:r w:rsidRPr="001F3030">
        <w:rPr>
          <w:rStyle w:val="BRNormal"/>
          <w:lang w:val="fr-CH"/>
        </w:rPr>
        <w:t xml:space="preserve">que les études de compatibilité menées par l'UIT-R en vue de la </w:t>
      </w:r>
      <w:r>
        <w:rPr>
          <w:rStyle w:val="BRNormal"/>
          <w:lang w:val="fr-CH"/>
        </w:rPr>
        <w:t>précédente Conférence</w:t>
      </w:r>
      <w:r w:rsidRPr="001F3030">
        <w:rPr>
          <w:rStyle w:val="BRNormal"/>
          <w:lang w:val="fr-CH"/>
        </w:rPr>
        <w:t xml:space="preserve"> montrent que, si on adoptait des mesures d'atténuation des brouillages dus aux réseaux </w:t>
      </w:r>
      <w:r>
        <w:rPr>
          <w:rStyle w:val="BRNormal"/>
          <w:lang w:val="fr-CH"/>
        </w:rPr>
        <w:t>WAS/</w:t>
      </w:r>
      <w:r w:rsidRPr="001F3030">
        <w:rPr>
          <w:rStyle w:val="BRNormal"/>
          <w:lang w:val="fr-CH"/>
        </w:rPr>
        <w:t xml:space="preserve">RLAN conformément aux dispositions </w:t>
      </w:r>
      <w:r>
        <w:rPr>
          <w:rStyle w:val="BRNormal"/>
          <w:lang w:val="fr-CH"/>
        </w:rPr>
        <w:t xml:space="preserve">réglementaires </w:t>
      </w:r>
      <w:r w:rsidRPr="001F3030">
        <w:rPr>
          <w:rStyle w:val="BRNormal"/>
          <w:lang w:val="fr-CH"/>
        </w:rPr>
        <w:t>de la Ré</w:t>
      </w:r>
      <w:r>
        <w:rPr>
          <w:rStyle w:val="BRNormal"/>
          <w:lang w:val="fr-CH"/>
        </w:rPr>
        <w:t>solution </w:t>
      </w:r>
      <w:r w:rsidRPr="003D05F7">
        <w:rPr>
          <w:rStyle w:val="BRNormal"/>
          <w:b/>
          <w:lang w:val="fr-CH"/>
        </w:rPr>
        <w:t>229 (Rév.CMR-12)</w:t>
      </w:r>
      <w:r w:rsidRPr="001F3030">
        <w:rPr>
          <w:rStyle w:val="BRNormal"/>
          <w:lang w:val="fr-CH"/>
        </w:rPr>
        <w:t xml:space="preserve">, le partage entre les réseaux </w:t>
      </w:r>
      <w:r>
        <w:rPr>
          <w:rStyle w:val="BRNormal"/>
          <w:lang w:val="fr-CH"/>
        </w:rPr>
        <w:t>WAS/</w:t>
      </w:r>
      <w:r w:rsidRPr="001F3030">
        <w:rPr>
          <w:rStyle w:val="BRNormal"/>
          <w:lang w:val="fr-CH"/>
        </w:rPr>
        <w:t>RLAN et les systèmes du SETS (active) dans la bande de fréquences 5 350</w:t>
      </w:r>
      <w:r>
        <w:rPr>
          <w:rStyle w:val="BRNormal"/>
          <w:lang w:val="fr-CH"/>
        </w:rPr>
        <w:noBreakHyphen/>
      </w:r>
      <w:r w:rsidRPr="001F3030">
        <w:rPr>
          <w:rStyle w:val="BRNormal"/>
          <w:lang w:val="fr-CH"/>
        </w:rPr>
        <w:t xml:space="preserve">5 470 MHz ne serait pas possible et </w:t>
      </w:r>
      <w:r>
        <w:rPr>
          <w:rStyle w:val="BRNormal"/>
          <w:lang w:val="fr-CH"/>
        </w:rPr>
        <w:t xml:space="preserve">ne suffirait pas pour </w:t>
      </w:r>
      <w:r w:rsidRPr="001F3030">
        <w:rPr>
          <w:rStyle w:val="BRNormal"/>
          <w:lang w:val="fr-CH"/>
        </w:rPr>
        <w:t>assurer la protection de certains types de radars</w:t>
      </w:r>
      <w:r>
        <w:rPr>
          <w:rStyle w:val="BRNormal"/>
          <w:lang w:val="fr-CH"/>
        </w:rPr>
        <w:t xml:space="preserve"> dans cette bande</w:t>
      </w:r>
      <w:r w:rsidRPr="00706CC2">
        <w:t xml:space="preserve"> </w:t>
      </w:r>
      <w:r>
        <w:t>de fréquences</w:t>
      </w:r>
      <w:r>
        <w:rPr>
          <w:rStyle w:val="BRNormal"/>
          <w:lang w:val="fr-CH"/>
        </w:rPr>
        <w:t>. Dans ces cas,</w:t>
      </w:r>
      <w:r w:rsidRPr="001F3030">
        <w:rPr>
          <w:rStyle w:val="BRNormal"/>
          <w:lang w:val="fr-CH"/>
        </w:rPr>
        <w:t xml:space="preserve"> le partage ne peut être envisageable que si des mesures supplémentaires d'atténuation des brouillages dus aux réseaux </w:t>
      </w:r>
      <w:r>
        <w:rPr>
          <w:rStyle w:val="BRNormal"/>
          <w:lang w:val="fr-CH"/>
        </w:rPr>
        <w:t>WAS/</w:t>
      </w:r>
      <w:r w:rsidRPr="001F3030">
        <w:rPr>
          <w:rStyle w:val="BRNormal"/>
          <w:lang w:val="fr-CH"/>
        </w:rPr>
        <w:t xml:space="preserve">RLAN sont mises en </w:t>
      </w:r>
      <w:proofErr w:type="spellStart"/>
      <w:r w:rsidRPr="001F3030">
        <w:rPr>
          <w:rStyle w:val="BRNormal"/>
          <w:lang w:val="fr-CH"/>
        </w:rPr>
        <w:t>oeuvre</w:t>
      </w:r>
      <w:proofErr w:type="spellEnd"/>
      <w:r w:rsidRPr="001F3030">
        <w:rPr>
          <w:rStyle w:val="BRNormal"/>
          <w:lang w:val="fr-CH"/>
        </w:rPr>
        <w:t xml:space="preserve">, mais aucun accord n'a été trouvé concernant la possibilité d'appliquer de telles </w:t>
      </w:r>
      <w:r>
        <w:rPr>
          <w:rStyle w:val="BRNormal"/>
          <w:lang w:val="fr-CH"/>
        </w:rPr>
        <w:t>mesures</w:t>
      </w:r>
      <w:r w:rsidRPr="001F3030">
        <w:rPr>
          <w:rStyle w:val="BRNormal"/>
          <w:lang w:val="fr-CH"/>
        </w:rPr>
        <w:t>;</w:t>
      </w:r>
    </w:p>
    <w:p w:rsidR="009C2043" w:rsidRPr="001F3030" w:rsidRDefault="009C2043" w:rsidP="00A17011">
      <w:pPr>
        <w:jc w:val="both"/>
        <w:rPr>
          <w:szCs w:val="24"/>
          <w:lang w:val="fr-CH"/>
        </w:rPr>
      </w:pPr>
      <w:r w:rsidRPr="001F3030">
        <w:rPr>
          <w:i/>
          <w:szCs w:val="24"/>
          <w:lang w:val="fr-CH"/>
        </w:rPr>
        <w:lastRenderedPageBreak/>
        <w:t>b)</w:t>
      </w:r>
      <w:r w:rsidRPr="001F3030">
        <w:rPr>
          <w:szCs w:val="24"/>
          <w:lang w:val="fr-CH"/>
        </w:rPr>
        <w:tab/>
        <w:t xml:space="preserve">que les résultats des études de l'UIT-R font apparaître que, d'après les estimations, les besoins de </w:t>
      </w:r>
      <w:r>
        <w:rPr>
          <w:szCs w:val="24"/>
          <w:lang w:val="fr-CH"/>
        </w:rPr>
        <w:t xml:space="preserve">spectre </w:t>
      </w:r>
      <w:r w:rsidRPr="001F3030">
        <w:rPr>
          <w:szCs w:val="24"/>
          <w:lang w:val="fr-CH"/>
        </w:rPr>
        <w:t xml:space="preserve">des réseaux </w:t>
      </w:r>
      <w:r>
        <w:rPr>
          <w:szCs w:val="24"/>
          <w:lang w:val="fr-CH"/>
        </w:rPr>
        <w:t>WAS/</w:t>
      </w:r>
      <w:r w:rsidRPr="001F3030">
        <w:rPr>
          <w:szCs w:val="24"/>
          <w:lang w:val="fr-CH"/>
        </w:rPr>
        <w:t>RLAN dans la gamme de fréquences des 5</w:t>
      </w:r>
      <w:r>
        <w:rPr>
          <w:szCs w:val="24"/>
          <w:lang w:val="fr-CH"/>
        </w:rPr>
        <w:t> GHz en 2018 devraient être d'au moins</w:t>
      </w:r>
      <w:r w:rsidRPr="001F3030">
        <w:rPr>
          <w:szCs w:val="24"/>
          <w:lang w:val="fr-CH"/>
        </w:rPr>
        <w:t xml:space="preserve"> 880</w:t>
      </w:r>
      <w:r>
        <w:rPr>
          <w:szCs w:val="24"/>
          <w:lang w:val="fr-CH"/>
        </w:rPr>
        <w:t> </w:t>
      </w:r>
      <w:r w:rsidRPr="001F3030">
        <w:rPr>
          <w:szCs w:val="24"/>
          <w:lang w:val="fr-CH"/>
        </w:rPr>
        <w:t>MHz</w:t>
      </w:r>
      <w:r>
        <w:rPr>
          <w:szCs w:val="24"/>
          <w:lang w:val="fr-CH"/>
        </w:rPr>
        <w:t>;</w:t>
      </w:r>
      <w:r w:rsidRPr="001F3030">
        <w:rPr>
          <w:szCs w:val="24"/>
          <w:lang w:val="fr-CH"/>
        </w:rPr>
        <w:t xml:space="preserve"> </w:t>
      </w:r>
      <w:r>
        <w:rPr>
          <w:szCs w:val="24"/>
          <w:lang w:val="fr-CH"/>
        </w:rPr>
        <w:t>c</w:t>
      </w:r>
      <w:r w:rsidRPr="001F3030">
        <w:rPr>
          <w:szCs w:val="24"/>
          <w:lang w:val="fr-CH"/>
        </w:rPr>
        <w:t xml:space="preserve">e chiffre comprend </w:t>
      </w:r>
      <w:r>
        <w:rPr>
          <w:szCs w:val="24"/>
          <w:lang w:val="fr-CH"/>
        </w:rPr>
        <w:t xml:space="preserve">les </w:t>
      </w:r>
      <w:r w:rsidRPr="001F3030">
        <w:rPr>
          <w:szCs w:val="24"/>
          <w:lang w:val="fr-CH"/>
        </w:rPr>
        <w:t>455</w:t>
      </w:r>
      <w:r>
        <w:rPr>
          <w:szCs w:val="24"/>
          <w:lang w:val="fr-CH"/>
        </w:rPr>
        <w:t xml:space="preserve"> à 580 MHz déjà utilisés</w:t>
      </w:r>
      <w:r w:rsidRPr="001F3030">
        <w:rPr>
          <w:szCs w:val="24"/>
          <w:lang w:val="fr-CH"/>
        </w:rPr>
        <w:t xml:space="preserve"> par les applications mobiles à large bande autres que les IMT fonctionnant dans la </w:t>
      </w:r>
      <w:r>
        <w:rPr>
          <w:szCs w:val="24"/>
          <w:lang w:val="fr-CH"/>
        </w:rPr>
        <w:t>gamme</w:t>
      </w:r>
      <w:r w:rsidRPr="001F3030">
        <w:rPr>
          <w:szCs w:val="24"/>
          <w:lang w:val="fr-CH"/>
        </w:rPr>
        <w:t xml:space="preserve"> des 5</w:t>
      </w:r>
      <w:r>
        <w:rPr>
          <w:szCs w:val="24"/>
          <w:lang w:val="fr-CH"/>
        </w:rPr>
        <w:t> </w:t>
      </w:r>
      <w:r w:rsidRPr="001F3030">
        <w:rPr>
          <w:szCs w:val="24"/>
          <w:lang w:val="fr-CH"/>
        </w:rPr>
        <w:t xml:space="preserve">GHz, de sorte qu'il faut </w:t>
      </w:r>
      <w:r>
        <w:rPr>
          <w:szCs w:val="24"/>
          <w:lang w:val="fr-CH"/>
        </w:rPr>
        <w:t xml:space="preserve">trouver entre </w:t>
      </w:r>
      <w:r w:rsidRPr="001F3030">
        <w:rPr>
          <w:szCs w:val="24"/>
          <w:lang w:val="fr-CH"/>
        </w:rPr>
        <w:t>300 et 425 MHz</w:t>
      </w:r>
      <w:r>
        <w:rPr>
          <w:szCs w:val="24"/>
          <w:lang w:val="fr-CH"/>
        </w:rPr>
        <w:t xml:space="preserve"> de spectre supplémentaire</w:t>
      </w:r>
      <w:r w:rsidRPr="001F3030">
        <w:rPr>
          <w:szCs w:val="24"/>
          <w:lang w:val="fr-CH"/>
        </w:rPr>
        <w:t>;</w:t>
      </w:r>
    </w:p>
    <w:p w:rsidR="009C2043" w:rsidRDefault="009C2043" w:rsidP="00A17011">
      <w:pPr>
        <w:jc w:val="both"/>
        <w:rPr>
          <w:szCs w:val="24"/>
          <w:lang w:val="fr-CH"/>
        </w:rPr>
      </w:pPr>
      <w:r w:rsidRPr="001F3030">
        <w:rPr>
          <w:i/>
          <w:szCs w:val="24"/>
          <w:lang w:val="fr-CH"/>
        </w:rPr>
        <w:t>c)</w:t>
      </w:r>
      <w:r w:rsidRPr="001F3030">
        <w:rPr>
          <w:szCs w:val="24"/>
          <w:lang w:val="fr-CH"/>
        </w:rPr>
        <w:tab/>
        <w:t xml:space="preserve">que, dans la gamme de fréquences des 5 GHz, les dispositifs </w:t>
      </w:r>
      <w:r>
        <w:rPr>
          <w:szCs w:val="24"/>
          <w:lang w:val="fr-CH"/>
        </w:rPr>
        <w:t>WAS/</w:t>
      </w:r>
      <w:r w:rsidRPr="001F3030">
        <w:rPr>
          <w:szCs w:val="24"/>
          <w:lang w:val="fr-CH"/>
        </w:rPr>
        <w:t>RLAN utilisent les bandes de fréquences 5 150-5 250 MHz, 5 250-5 350 MHz et 5 470-5 725 MHz</w:t>
      </w:r>
      <w:r>
        <w:rPr>
          <w:szCs w:val="24"/>
          <w:lang w:val="fr-CH"/>
        </w:rPr>
        <w:t>,</w:t>
      </w:r>
      <w:r w:rsidRPr="001F3030">
        <w:rPr>
          <w:szCs w:val="24"/>
          <w:lang w:val="fr-CH"/>
        </w:rPr>
        <w:t xml:space="preserve"> ainsi que</w:t>
      </w:r>
      <w:r>
        <w:rPr>
          <w:szCs w:val="24"/>
          <w:lang w:val="fr-CH"/>
        </w:rPr>
        <w:t>,</w:t>
      </w:r>
      <w:r w:rsidRPr="00B321AF">
        <w:rPr>
          <w:szCs w:val="24"/>
          <w:lang w:val="fr-CH"/>
        </w:rPr>
        <w:t xml:space="preserve"> </w:t>
      </w:r>
      <w:r w:rsidRPr="001F3030">
        <w:rPr>
          <w:szCs w:val="24"/>
          <w:lang w:val="fr-CH"/>
        </w:rPr>
        <w:t>dans certains pays</w:t>
      </w:r>
      <w:r>
        <w:rPr>
          <w:szCs w:val="24"/>
          <w:lang w:val="fr-CH"/>
        </w:rPr>
        <w:t>,</w:t>
      </w:r>
      <w:r w:rsidRPr="001F3030">
        <w:rPr>
          <w:szCs w:val="24"/>
          <w:lang w:val="fr-CH"/>
        </w:rPr>
        <w:t xml:space="preserve"> la bande </w:t>
      </w:r>
      <w:r>
        <w:rPr>
          <w:szCs w:val="24"/>
          <w:lang w:val="fr-CH"/>
        </w:rPr>
        <w:t xml:space="preserve">de fréquences </w:t>
      </w:r>
      <w:r w:rsidRPr="001F3030">
        <w:rPr>
          <w:szCs w:val="24"/>
          <w:lang w:val="fr-CH"/>
        </w:rPr>
        <w:t>5 725-5 850 MHz;</w:t>
      </w:r>
    </w:p>
    <w:p w:rsidR="009C2043" w:rsidRPr="00722143" w:rsidRDefault="009C2043" w:rsidP="00A17011">
      <w:pPr>
        <w:jc w:val="both"/>
        <w:rPr>
          <w:iCs/>
          <w:szCs w:val="24"/>
          <w:lang w:val="fr-CH"/>
        </w:rPr>
      </w:pPr>
      <w:r w:rsidRPr="00F77092">
        <w:rPr>
          <w:i/>
          <w:szCs w:val="24"/>
          <w:lang w:val="fr-CH"/>
        </w:rPr>
        <w:t>d)</w:t>
      </w:r>
      <w:r w:rsidRPr="00F77092">
        <w:rPr>
          <w:szCs w:val="24"/>
          <w:lang w:val="fr-CH"/>
        </w:rPr>
        <w:tab/>
        <w:t xml:space="preserve">que, dans certains pays, la bande de fréquences </w:t>
      </w:r>
      <w:r w:rsidRPr="00F77092">
        <w:rPr>
          <w:lang w:val="fr-CH"/>
        </w:rPr>
        <w:t>5 850-5 925 MHz</w:t>
      </w:r>
      <w:r w:rsidRPr="00F77092">
        <w:rPr>
          <w:szCs w:val="24"/>
          <w:lang w:val="fr-CH"/>
        </w:rPr>
        <w:t xml:space="preserve"> est </w:t>
      </w:r>
      <w:r>
        <w:rPr>
          <w:szCs w:val="24"/>
          <w:lang w:val="fr-CH"/>
        </w:rPr>
        <w:t>très</w:t>
      </w:r>
      <w:r w:rsidRPr="00F77092">
        <w:rPr>
          <w:szCs w:val="24"/>
          <w:lang w:val="fr-CH"/>
        </w:rPr>
        <w:t xml:space="preserve"> utilisée par le service fixe par satellite;</w:t>
      </w:r>
    </w:p>
    <w:p w:rsidR="009C2043" w:rsidRDefault="009C2043" w:rsidP="00A17011">
      <w:pPr>
        <w:jc w:val="both"/>
        <w:rPr>
          <w:szCs w:val="24"/>
          <w:lang w:val="fr-CH"/>
        </w:rPr>
      </w:pPr>
      <w:r w:rsidRPr="001F3030">
        <w:rPr>
          <w:i/>
          <w:szCs w:val="24"/>
          <w:lang w:val="fr-CH"/>
        </w:rPr>
        <w:t>e)</w:t>
      </w:r>
      <w:r w:rsidRPr="001F3030">
        <w:rPr>
          <w:szCs w:val="24"/>
          <w:lang w:val="fr-CH"/>
        </w:rPr>
        <w:tab/>
        <w:t xml:space="preserve">que des attributions </w:t>
      </w:r>
      <w:r>
        <w:rPr>
          <w:szCs w:val="24"/>
          <w:lang w:val="fr-CH"/>
        </w:rPr>
        <w:t>additionnelles à l'échelle mondiale</w:t>
      </w:r>
      <w:r w:rsidRPr="001F3030">
        <w:rPr>
          <w:szCs w:val="24"/>
          <w:lang w:val="fr-CH"/>
        </w:rPr>
        <w:t xml:space="preserve"> au service mobile dans les bandes de fréquences 5 350-5 470 MHz</w:t>
      </w:r>
      <w:r>
        <w:rPr>
          <w:szCs w:val="24"/>
          <w:lang w:val="fr-CH"/>
        </w:rPr>
        <w:t xml:space="preserve"> et</w:t>
      </w:r>
      <w:r w:rsidRPr="001F3030">
        <w:rPr>
          <w:szCs w:val="24"/>
          <w:lang w:val="fr-CH"/>
        </w:rPr>
        <w:t xml:space="preserve"> 5</w:t>
      </w:r>
      <w:r>
        <w:rPr>
          <w:szCs w:val="24"/>
          <w:lang w:val="fr-CH"/>
        </w:rPr>
        <w:t> </w:t>
      </w:r>
      <w:r w:rsidRPr="001F3030">
        <w:rPr>
          <w:szCs w:val="24"/>
          <w:lang w:val="fr-CH"/>
        </w:rPr>
        <w:t>725-5</w:t>
      </w:r>
      <w:r>
        <w:rPr>
          <w:szCs w:val="24"/>
          <w:lang w:val="fr-CH"/>
        </w:rPr>
        <w:t> </w:t>
      </w:r>
      <w:r w:rsidRPr="001F3030">
        <w:rPr>
          <w:szCs w:val="24"/>
          <w:lang w:val="fr-CH"/>
        </w:rPr>
        <w:t xml:space="preserve">850 MHz permettraient de mettre à disposition une portion de spectre contiguë aux réseaux </w:t>
      </w:r>
      <w:r>
        <w:rPr>
          <w:szCs w:val="24"/>
          <w:lang w:val="fr-CH"/>
        </w:rPr>
        <w:t>WAS/</w:t>
      </w:r>
      <w:r w:rsidRPr="001F3030">
        <w:rPr>
          <w:szCs w:val="24"/>
          <w:lang w:val="fr-CH"/>
        </w:rPr>
        <w:t>RLAN et, partant, d'utiliser des largeurs de bande de canaux plus importantes pour assurer un débit de données plus élevé;</w:t>
      </w:r>
    </w:p>
    <w:p w:rsidR="009C2043" w:rsidRPr="006A631F" w:rsidRDefault="009C2043" w:rsidP="00A17011">
      <w:pPr>
        <w:jc w:val="both"/>
        <w:rPr>
          <w:rStyle w:val="BRNormal"/>
          <w:lang w:val="fr-CH"/>
        </w:rPr>
      </w:pPr>
      <w:r>
        <w:rPr>
          <w:rStyle w:val="BRNormal"/>
          <w:i/>
          <w:iCs/>
          <w:lang w:val="fr-CH"/>
        </w:rPr>
        <w:t>f)</w:t>
      </w:r>
      <w:r>
        <w:rPr>
          <w:rStyle w:val="BRNormal"/>
          <w:i/>
          <w:iCs/>
          <w:lang w:val="fr-CH"/>
        </w:rPr>
        <w:tab/>
      </w:r>
      <w:r w:rsidRPr="00D936E1">
        <w:rPr>
          <w:rStyle w:val="BRNormal"/>
          <w:lang w:val="fr-CH"/>
        </w:rPr>
        <w:t xml:space="preserve">que, </w:t>
      </w:r>
      <w:r>
        <w:rPr>
          <w:rStyle w:val="BRNormal"/>
          <w:lang w:val="fr-CH"/>
        </w:rPr>
        <w:t xml:space="preserve">dans le cadre </w:t>
      </w:r>
      <w:r w:rsidRPr="00D936E1">
        <w:rPr>
          <w:rStyle w:val="BRNormal"/>
          <w:lang w:val="fr-CH"/>
        </w:rPr>
        <w:t>des études de partage, il conviendrait d'</w:t>
      </w:r>
      <w:r>
        <w:rPr>
          <w:rStyle w:val="BRNormal"/>
          <w:lang w:val="fr-CH"/>
        </w:rPr>
        <w:t>envisag</w:t>
      </w:r>
      <w:r w:rsidRPr="00D936E1">
        <w:rPr>
          <w:rStyle w:val="BRNormal"/>
          <w:lang w:val="fr-CH"/>
        </w:rPr>
        <w:t xml:space="preserve">er </w:t>
      </w:r>
      <w:r>
        <w:rPr>
          <w:rStyle w:val="BRNormal"/>
          <w:lang w:val="fr-CH"/>
        </w:rPr>
        <w:t>d</w:t>
      </w:r>
      <w:r w:rsidRPr="00D936E1">
        <w:rPr>
          <w:rStyle w:val="BRNormal"/>
          <w:lang w:val="fr-CH"/>
        </w:rPr>
        <w:t xml:space="preserve">es techniques </w:t>
      </w:r>
      <w:r>
        <w:rPr>
          <w:rStyle w:val="BRNormal"/>
          <w:lang w:val="fr-CH"/>
        </w:rPr>
        <w:t xml:space="preserve">supplémentaires d'atténuation </w:t>
      </w:r>
      <w:r w:rsidRPr="00D936E1">
        <w:rPr>
          <w:rStyle w:val="BRNormal"/>
          <w:lang w:val="fr-CH"/>
        </w:rPr>
        <w:t xml:space="preserve">des brouillages, </w:t>
      </w:r>
      <w:r>
        <w:rPr>
          <w:rStyle w:val="BRNormal"/>
          <w:lang w:val="fr-CH"/>
        </w:rPr>
        <w:t xml:space="preserve">afin que les dispositifs WAS/RLAN </w:t>
      </w:r>
      <w:r w:rsidRPr="00D936E1">
        <w:rPr>
          <w:rStyle w:val="BRNormal"/>
          <w:lang w:val="fr-CH"/>
        </w:rPr>
        <w:t>n'entraînent aucune dégradation de la qualité de fonctionnement des systèmes existants</w:t>
      </w:r>
      <w:r>
        <w:rPr>
          <w:rStyle w:val="BRNormal"/>
          <w:lang w:val="fr-CH"/>
        </w:rPr>
        <w:t>;</w:t>
      </w:r>
    </w:p>
    <w:p w:rsidR="009C2043" w:rsidRPr="001F3030" w:rsidRDefault="009C2043" w:rsidP="00A17011">
      <w:pPr>
        <w:jc w:val="both"/>
        <w:rPr>
          <w:rStyle w:val="BRNormal"/>
          <w:lang w:val="fr-CH"/>
        </w:rPr>
      </w:pPr>
      <w:r>
        <w:rPr>
          <w:rStyle w:val="BRNormal"/>
          <w:i/>
          <w:iCs/>
          <w:lang w:val="fr-CH"/>
        </w:rPr>
        <w:t>g</w:t>
      </w:r>
      <w:r w:rsidRPr="001F3030">
        <w:rPr>
          <w:rStyle w:val="BRNormal"/>
          <w:i/>
          <w:iCs/>
          <w:lang w:val="fr-CH"/>
        </w:rPr>
        <w:t>)</w:t>
      </w:r>
      <w:r w:rsidRPr="001F3030">
        <w:rPr>
          <w:rStyle w:val="BRNormal"/>
          <w:i/>
          <w:iCs/>
          <w:lang w:val="fr-CH"/>
        </w:rPr>
        <w:tab/>
      </w:r>
      <w:r w:rsidRPr="001F3030">
        <w:rPr>
          <w:rStyle w:val="BRNormal"/>
          <w:lang w:val="fr-CH"/>
        </w:rPr>
        <w:t xml:space="preserve">que l'application des éventuelles mesures supplémentaires d'atténuation des brouillages </w:t>
      </w:r>
      <w:r>
        <w:rPr>
          <w:rStyle w:val="BRNormal"/>
          <w:lang w:val="fr-CH"/>
        </w:rPr>
        <w:t>causés par les</w:t>
      </w:r>
      <w:r w:rsidRPr="001F3030">
        <w:rPr>
          <w:rStyle w:val="BRNormal"/>
          <w:lang w:val="fr-CH"/>
        </w:rPr>
        <w:t xml:space="preserve"> réseaux </w:t>
      </w:r>
      <w:r>
        <w:rPr>
          <w:rStyle w:val="BRNormal"/>
          <w:lang w:val="fr-CH"/>
        </w:rPr>
        <w:t>WAS/</w:t>
      </w:r>
      <w:r w:rsidRPr="001F3030">
        <w:rPr>
          <w:rStyle w:val="BRNormal"/>
          <w:lang w:val="fr-CH"/>
        </w:rPr>
        <w:t xml:space="preserve">RLAN visées au point </w:t>
      </w:r>
      <w:r>
        <w:rPr>
          <w:i/>
          <w:iCs/>
        </w:rPr>
        <w:t>a</w:t>
      </w:r>
      <w:r w:rsidRPr="00182B20">
        <w:rPr>
          <w:i/>
          <w:iCs/>
        </w:rPr>
        <w:t>)</w:t>
      </w:r>
      <w:r w:rsidRPr="001F3030">
        <w:rPr>
          <w:rStyle w:val="BRNormal"/>
          <w:lang w:val="fr-CH"/>
        </w:rPr>
        <w:t xml:space="preserve"> du </w:t>
      </w:r>
      <w:r w:rsidRPr="00182B20">
        <w:rPr>
          <w:i/>
          <w:iCs/>
        </w:rPr>
        <w:t>reconnaissant</w:t>
      </w:r>
      <w:r w:rsidRPr="001F3030">
        <w:rPr>
          <w:rStyle w:val="BRNormal"/>
          <w:lang w:val="fr-CH"/>
        </w:rPr>
        <w:t xml:space="preserve"> peu</w:t>
      </w:r>
      <w:r>
        <w:rPr>
          <w:rStyle w:val="BRNormal"/>
          <w:lang w:val="fr-CH"/>
        </w:rPr>
        <w:t>t aussi être utile</w:t>
      </w:r>
      <w:r w:rsidRPr="001F3030">
        <w:rPr>
          <w:rStyle w:val="BRNormal"/>
          <w:lang w:val="fr-CH"/>
        </w:rPr>
        <w:t xml:space="preserve"> pour assurer le fonctionnement des réseaux </w:t>
      </w:r>
      <w:r>
        <w:rPr>
          <w:rStyle w:val="BRNormal"/>
          <w:lang w:val="fr-CH"/>
        </w:rPr>
        <w:t>WAS/</w:t>
      </w:r>
      <w:r w:rsidRPr="001F3030">
        <w:rPr>
          <w:rStyle w:val="BRNormal"/>
          <w:lang w:val="fr-CH"/>
        </w:rPr>
        <w:t xml:space="preserve">RLAN </w:t>
      </w:r>
      <w:r>
        <w:rPr>
          <w:rStyle w:val="BRNormal"/>
          <w:lang w:val="fr-CH"/>
        </w:rPr>
        <w:t>en extérieur dans d'autres</w:t>
      </w:r>
      <w:r w:rsidRPr="001F3030">
        <w:rPr>
          <w:rStyle w:val="BRNormal"/>
          <w:lang w:val="fr-CH"/>
        </w:rPr>
        <w:t xml:space="preserve"> bandes d</w:t>
      </w:r>
      <w:r>
        <w:rPr>
          <w:rStyle w:val="BRNormal"/>
          <w:lang w:val="fr-CH"/>
        </w:rPr>
        <w:t>e fréquences</w:t>
      </w:r>
      <w:r w:rsidRPr="001F3030">
        <w:rPr>
          <w:rStyle w:val="BRNormal"/>
          <w:lang w:val="fr-CH"/>
        </w:rPr>
        <w:t>;</w:t>
      </w:r>
    </w:p>
    <w:p w:rsidR="009C2043" w:rsidRPr="001F3030" w:rsidRDefault="009C2043" w:rsidP="00A17011">
      <w:pPr>
        <w:jc w:val="both"/>
        <w:rPr>
          <w:lang w:val="fr-CH"/>
        </w:rPr>
      </w:pPr>
      <w:r>
        <w:rPr>
          <w:rStyle w:val="BRNormal"/>
          <w:i/>
          <w:iCs/>
          <w:lang w:val="fr-CH"/>
        </w:rPr>
        <w:t>h</w:t>
      </w:r>
      <w:r w:rsidRPr="001F3030">
        <w:rPr>
          <w:rStyle w:val="BRNormal"/>
          <w:i/>
          <w:iCs/>
          <w:lang w:val="fr-CH"/>
        </w:rPr>
        <w:t>)</w:t>
      </w:r>
      <w:r w:rsidRPr="001F3030">
        <w:rPr>
          <w:rStyle w:val="BRNormal"/>
          <w:i/>
          <w:iCs/>
          <w:lang w:val="fr-CH"/>
        </w:rPr>
        <w:tab/>
      </w:r>
      <w:r w:rsidRPr="001F3030">
        <w:rPr>
          <w:lang w:val="fr-CH"/>
        </w:rPr>
        <w:t xml:space="preserve">que conformément au numéro </w:t>
      </w:r>
      <w:r w:rsidRPr="001F3030">
        <w:rPr>
          <w:b/>
          <w:lang w:val="fr-CH"/>
        </w:rPr>
        <w:t>5.150</w:t>
      </w:r>
      <w:r w:rsidRPr="001F3030">
        <w:rPr>
          <w:lang w:val="fr-CH"/>
        </w:rPr>
        <w:t xml:space="preserve">, la bande de fréquences 5 725-5 875 MHz est également utilisable pour les applications industrielles, scientifiques et médicales (ISM), et que les services de radiocommunication exploités dans cette bande </w:t>
      </w:r>
      <w:r>
        <w:rPr>
          <w:lang w:val="fr-CH"/>
        </w:rPr>
        <w:t xml:space="preserve">de fréquences </w:t>
      </w:r>
      <w:r w:rsidRPr="001F3030">
        <w:rPr>
          <w:lang w:val="fr-CH"/>
        </w:rPr>
        <w:t>doivent accepter les brouillages préjudiciables qui peuvent se produire du fait de ces applications,</w:t>
      </w:r>
    </w:p>
    <w:p w:rsidR="009C2043" w:rsidRPr="001F3030" w:rsidRDefault="009C2043" w:rsidP="00A17011">
      <w:pPr>
        <w:pStyle w:val="Call"/>
        <w:jc w:val="both"/>
        <w:rPr>
          <w:lang w:val="fr-CH"/>
        </w:rPr>
      </w:pPr>
      <w:r>
        <w:rPr>
          <w:lang w:val="fr-CH"/>
        </w:rPr>
        <w:t>décide d'inviter la Conférence mondiale des radiocommunications de 2019</w:t>
      </w:r>
    </w:p>
    <w:p w:rsidR="009C2043" w:rsidRPr="001F3030" w:rsidRDefault="009C2043" w:rsidP="00A17011">
      <w:pPr>
        <w:jc w:val="both"/>
        <w:rPr>
          <w:lang w:val="fr-CH"/>
        </w:rPr>
      </w:pPr>
      <w:r w:rsidRPr="001F3030">
        <w:rPr>
          <w:lang w:val="fr-CH"/>
        </w:rPr>
        <w:t xml:space="preserve">à examiner les résultats des études </w:t>
      </w:r>
      <w:r>
        <w:rPr>
          <w:lang w:val="fr-CH"/>
        </w:rPr>
        <w:t xml:space="preserve">de l'UIT-R </w:t>
      </w:r>
      <w:r w:rsidRPr="001F3030">
        <w:rPr>
          <w:lang w:val="fr-CH"/>
        </w:rPr>
        <w:t>et à prendre les mesures appropriées,</w:t>
      </w:r>
    </w:p>
    <w:p w:rsidR="009C2043" w:rsidRPr="001F3030" w:rsidRDefault="009C2043" w:rsidP="00A17011">
      <w:pPr>
        <w:pStyle w:val="Call"/>
        <w:jc w:val="both"/>
        <w:rPr>
          <w:lang w:val="fr-CH"/>
        </w:rPr>
      </w:pPr>
      <w:r>
        <w:rPr>
          <w:lang w:val="fr-CH"/>
        </w:rPr>
        <w:t>invite</w:t>
      </w:r>
      <w:r w:rsidRPr="001F3030">
        <w:rPr>
          <w:lang w:val="fr-CH"/>
        </w:rPr>
        <w:t xml:space="preserve"> l'UIT-R</w:t>
      </w:r>
    </w:p>
    <w:p w:rsidR="009C2043" w:rsidRPr="00004B0E" w:rsidRDefault="009C2043" w:rsidP="00A17011">
      <w:pPr>
        <w:jc w:val="both"/>
        <w:rPr>
          <w:lang w:val="fr-CH"/>
        </w:rPr>
      </w:pPr>
      <w:r w:rsidRPr="001F3030">
        <w:rPr>
          <w:lang w:val="fr-CH"/>
        </w:rPr>
        <w:t>à effectuer et à achever à temps pour la CMR-19 ce qui suit</w:t>
      </w:r>
      <w:r w:rsidRPr="00004B0E">
        <w:rPr>
          <w:lang w:val="fr-CH"/>
        </w:rPr>
        <w:t xml:space="preserve">: </w:t>
      </w:r>
    </w:p>
    <w:p w:rsidR="009C2043" w:rsidRPr="00004B0E" w:rsidRDefault="009C2043" w:rsidP="00A17011">
      <w:pPr>
        <w:pStyle w:val="enumlev1"/>
        <w:jc w:val="both"/>
        <w:rPr>
          <w:rFonts w:eastAsia="Calibri"/>
          <w:lang w:val="fr-CH"/>
        </w:rPr>
      </w:pPr>
      <w:r w:rsidRPr="001F3030">
        <w:rPr>
          <w:i/>
          <w:iCs/>
          <w:lang w:val="fr-CH"/>
        </w:rPr>
        <w:t>a)</w:t>
      </w:r>
      <w:r w:rsidRPr="00004B0E">
        <w:rPr>
          <w:lang w:val="fr-CH"/>
        </w:rPr>
        <w:tab/>
      </w:r>
      <w:r w:rsidRPr="001F3030">
        <w:rPr>
          <w:lang w:val="fr-CH"/>
        </w:rPr>
        <w:t xml:space="preserve">à étudier les </w:t>
      </w:r>
      <w:r>
        <w:rPr>
          <w:lang w:val="fr-CH"/>
        </w:rPr>
        <w:t xml:space="preserve">caractéristiques techniques et les </w:t>
      </w:r>
      <w:r w:rsidRPr="001F3030">
        <w:rPr>
          <w:lang w:val="fr-CH"/>
        </w:rPr>
        <w:t xml:space="preserve">besoins opérationnels des réseaux </w:t>
      </w:r>
      <w:r>
        <w:rPr>
          <w:lang w:val="fr-CH"/>
        </w:rPr>
        <w:t>WAS/</w:t>
      </w:r>
      <w:r w:rsidRPr="00004B0E">
        <w:rPr>
          <w:rFonts w:eastAsia="Calibri"/>
          <w:lang w:val="fr-CH"/>
        </w:rPr>
        <w:t xml:space="preserve">RLAN </w:t>
      </w:r>
      <w:r w:rsidRPr="001F3030">
        <w:rPr>
          <w:rFonts w:eastAsia="Calibri"/>
          <w:lang w:val="fr-CH"/>
        </w:rPr>
        <w:t xml:space="preserve">dans la gamme de fréquences des </w:t>
      </w:r>
      <w:r w:rsidRPr="00004B0E">
        <w:rPr>
          <w:rFonts w:eastAsia="Calibri"/>
          <w:lang w:val="fr-CH"/>
        </w:rPr>
        <w:t>5 GHz;</w:t>
      </w:r>
    </w:p>
    <w:p w:rsidR="009C2043" w:rsidRPr="00004B0E" w:rsidRDefault="009C2043" w:rsidP="00A17011">
      <w:pPr>
        <w:pStyle w:val="enumlev1"/>
        <w:jc w:val="both"/>
        <w:rPr>
          <w:rFonts w:eastAsia="Calibri"/>
          <w:lang w:val="fr-CH"/>
        </w:rPr>
      </w:pPr>
      <w:r w:rsidRPr="001F3030">
        <w:rPr>
          <w:rFonts w:eastAsia="Calibri"/>
          <w:i/>
          <w:iCs/>
          <w:lang w:val="fr-CH"/>
        </w:rPr>
        <w:t>b)</w:t>
      </w:r>
      <w:r w:rsidRPr="00004B0E">
        <w:rPr>
          <w:rFonts w:eastAsia="Calibri"/>
          <w:lang w:val="fr-CH"/>
        </w:rPr>
        <w:tab/>
      </w:r>
      <w:r w:rsidRPr="001F3030">
        <w:rPr>
          <w:rFonts w:eastAsia="Calibri"/>
          <w:lang w:val="fr-CH"/>
        </w:rPr>
        <w:t xml:space="preserve">à </w:t>
      </w:r>
      <w:r>
        <w:rPr>
          <w:rFonts w:eastAsia="Calibri"/>
          <w:lang w:val="fr-CH"/>
        </w:rPr>
        <w:t>procéder à des études visant à définir</w:t>
      </w:r>
      <w:r w:rsidRPr="001F3030">
        <w:rPr>
          <w:rFonts w:eastAsia="Calibri"/>
          <w:lang w:val="fr-CH"/>
        </w:rPr>
        <w:t xml:space="preserve"> les techniques possibles d'atténuation des brouillages</w:t>
      </w:r>
      <w:r>
        <w:rPr>
          <w:rFonts w:eastAsia="Calibri"/>
          <w:lang w:val="fr-CH"/>
        </w:rPr>
        <w:t xml:space="preserve"> dus aux réseaux WAS/RLAN</w:t>
      </w:r>
      <w:r w:rsidRPr="00004B0E">
        <w:rPr>
          <w:rFonts w:eastAsia="Calibri"/>
          <w:lang w:val="fr-CH"/>
        </w:rPr>
        <w:t xml:space="preserve"> </w:t>
      </w:r>
      <w:r>
        <w:rPr>
          <w:rFonts w:eastAsia="Calibri"/>
          <w:lang w:val="fr-CH"/>
        </w:rPr>
        <w:t xml:space="preserve">pour faciliter le partage avec les systèmes existants </w:t>
      </w:r>
      <w:r w:rsidRPr="001F3030">
        <w:rPr>
          <w:rFonts w:eastAsia="Calibri"/>
          <w:lang w:val="fr-CH"/>
        </w:rPr>
        <w:t xml:space="preserve">dans les bandes de fréquences </w:t>
      </w:r>
      <w:r w:rsidRPr="00004B0E">
        <w:rPr>
          <w:rFonts w:eastAsia="Calibri"/>
          <w:lang w:val="fr-CH"/>
        </w:rPr>
        <w:t>5 150-5 350 MHz, 5 </w:t>
      </w:r>
      <w:r w:rsidRPr="001F3030">
        <w:rPr>
          <w:rFonts w:eastAsia="Calibri"/>
          <w:lang w:val="fr-CH"/>
        </w:rPr>
        <w:t>350-</w:t>
      </w:r>
      <w:r w:rsidRPr="00004B0E">
        <w:rPr>
          <w:rFonts w:eastAsia="Calibri"/>
          <w:lang w:val="fr-CH"/>
        </w:rPr>
        <w:t>5 470 MHz</w:t>
      </w:r>
      <w:r>
        <w:rPr>
          <w:rFonts w:eastAsia="Calibri"/>
          <w:lang w:val="fr-CH"/>
        </w:rPr>
        <w:t xml:space="preserve">, </w:t>
      </w:r>
      <w:r w:rsidRPr="00004B0E">
        <w:rPr>
          <w:rFonts w:eastAsia="Calibri"/>
          <w:lang w:val="fr-CH"/>
        </w:rPr>
        <w:t>5 725</w:t>
      </w:r>
      <w:r>
        <w:rPr>
          <w:rFonts w:eastAsia="Calibri"/>
          <w:lang w:val="fr-CH"/>
        </w:rPr>
        <w:noBreakHyphen/>
        <w:t>5 850 </w:t>
      </w:r>
      <w:r w:rsidRPr="00004B0E">
        <w:rPr>
          <w:rFonts w:eastAsia="Calibri"/>
          <w:lang w:val="fr-CH"/>
        </w:rPr>
        <w:t>MHz</w:t>
      </w:r>
      <w:r w:rsidRPr="001F3030">
        <w:rPr>
          <w:rFonts w:eastAsia="Calibri"/>
          <w:lang w:val="fr-CH"/>
        </w:rPr>
        <w:t xml:space="preserve"> et </w:t>
      </w:r>
      <w:r w:rsidRPr="00004B0E">
        <w:rPr>
          <w:rFonts w:eastAsia="Calibri"/>
          <w:lang w:val="fr-CH"/>
        </w:rPr>
        <w:t>5 850-5 925</w:t>
      </w:r>
      <w:r>
        <w:rPr>
          <w:rFonts w:eastAsia="Calibri"/>
          <w:lang w:val="fr-CH"/>
        </w:rPr>
        <w:t> </w:t>
      </w:r>
      <w:r w:rsidRPr="00004B0E">
        <w:rPr>
          <w:rFonts w:eastAsia="Calibri"/>
          <w:lang w:val="fr-CH"/>
        </w:rPr>
        <w:t>MHz</w:t>
      </w:r>
      <w:r>
        <w:rPr>
          <w:rFonts w:eastAsia="Calibri"/>
          <w:lang w:val="fr-CH"/>
        </w:rPr>
        <w:t xml:space="preserve">, </w:t>
      </w:r>
      <w:r w:rsidRPr="001F3030">
        <w:rPr>
          <w:rFonts w:eastAsia="Calibri"/>
          <w:lang w:val="fr-CH"/>
        </w:rPr>
        <w:t xml:space="preserve">tout en </w:t>
      </w:r>
      <w:r>
        <w:rPr>
          <w:rFonts w:eastAsia="Calibri"/>
          <w:lang w:val="fr-CH"/>
        </w:rPr>
        <w:t xml:space="preserve">assurant </w:t>
      </w:r>
      <w:r w:rsidRPr="001F3030">
        <w:rPr>
          <w:rFonts w:eastAsia="Calibri"/>
          <w:lang w:val="fr-CH"/>
        </w:rPr>
        <w:t xml:space="preserve">la </w:t>
      </w:r>
      <w:r w:rsidRPr="00004B0E">
        <w:rPr>
          <w:rFonts w:eastAsia="Calibri"/>
          <w:lang w:val="fr-CH"/>
        </w:rPr>
        <w:t xml:space="preserve">protection </w:t>
      </w:r>
      <w:r w:rsidRPr="001F3030">
        <w:rPr>
          <w:rFonts w:eastAsia="Calibri"/>
          <w:lang w:val="fr-CH"/>
        </w:rPr>
        <w:t xml:space="preserve">des </w:t>
      </w:r>
      <w:r w:rsidRPr="00004B0E">
        <w:rPr>
          <w:rFonts w:eastAsia="Calibri"/>
          <w:lang w:val="fr-CH"/>
        </w:rPr>
        <w:t xml:space="preserve">services </w:t>
      </w:r>
      <w:r w:rsidRPr="001F3030">
        <w:rPr>
          <w:rFonts w:eastAsia="Calibri"/>
          <w:lang w:val="fr-CH"/>
        </w:rPr>
        <w:t>existants</w:t>
      </w:r>
      <w:r>
        <w:rPr>
          <w:rFonts w:eastAsia="Calibri"/>
          <w:lang w:val="fr-CH"/>
        </w:rPr>
        <w:t xml:space="preserve">, y compris leur </w:t>
      </w:r>
      <w:r w:rsidRPr="001F3030">
        <w:rPr>
          <w:rFonts w:eastAsia="Calibri"/>
          <w:lang w:val="fr-CH"/>
        </w:rPr>
        <w:t>utilisation actuelle ou prévue</w:t>
      </w:r>
      <w:r w:rsidRPr="00004B0E">
        <w:rPr>
          <w:rFonts w:eastAsia="Calibri"/>
          <w:lang w:val="fr-CH"/>
        </w:rPr>
        <w:t>;</w:t>
      </w:r>
    </w:p>
    <w:p w:rsidR="009C2043" w:rsidRPr="00004B0E" w:rsidRDefault="009C2043" w:rsidP="00A17011">
      <w:pPr>
        <w:pStyle w:val="enumlev1"/>
        <w:jc w:val="both"/>
        <w:rPr>
          <w:rFonts w:eastAsia="Calibri"/>
          <w:lang w:val="fr-CH"/>
        </w:rPr>
      </w:pPr>
      <w:r w:rsidRPr="001F3030">
        <w:rPr>
          <w:i/>
          <w:iCs/>
          <w:lang w:val="fr-CH"/>
        </w:rPr>
        <w:t>c)</w:t>
      </w:r>
      <w:r w:rsidRPr="00004B0E">
        <w:rPr>
          <w:lang w:val="fr-CH"/>
        </w:rPr>
        <w:tab/>
      </w:r>
      <w:r w:rsidRPr="001F3030">
        <w:rPr>
          <w:lang w:val="fr-CH"/>
        </w:rPr>
        <w:t xml:space="preserve">à </w:t>
      </w:r>
      <w:r>
        <w:rPr>
          <w:lang w:val="fr-CH"/>
        </w:rPr>
        <w:t xml:space="preserve">procéder à des études de partage et de compatibilité entre les applications des réseaux WAS/RLAN et les services existants dans la bande de fréquences 5 150-5 350 MHz, </w:t>
      </w:r>
      <w:r w:rsidRPr="001F3030">
        <w:rPr>
          <w:bCs/>
          <w:lang w:val="fr-CH"/>
        </w:rPr>
        <w:t xml:space="preserve">en </w:t>
      </w:r>
      <w:r>
        <w:rPr>
          <w:bCs/>
          <w:lang w:val="fr-CH"/>
        </w:rPr>
        <w:t>prévoyant la possibilité de permettre l'exploitation des</w:t>
      </w:r>
      <w:r w:rsidRPr="001F3030">
        <w:rPr>
          <w:bCs/>
          <w:lang w:val="fr-CH"/>
        </w:rPr>
        <w:t xml:space="preserve"> réseaux </w:t>
      </w:r>
      <w:r>
        <w:rPr>
          <w:bCs/>
          <w:lang w:val="fr-CH"/>
        </w:rPr>
        <w:t>WAS/</w:t>
      </w:r>
      <w:r w:rsidRPr="00004B0E">
        <w:rPr>
          <w:bCs/>
          <w:lang w:val="fr-CH"/>
        </w:rPr>
        <w:t xml:space="preserve">RLAN </w:t>
      </w:r>
      <w:r w:rsidRPr="001F3030">
        <w:rPr>
          <w:bCs/>
          <w:lang w:val="fr-CH"/>
        </w:rPr>
        <w:t>en extérieur</w:t>
      </w:r>
      <w:r>
        <w:rPr>
          <w:bCs/>
          <w:lang w:val="fr-CH"/>
        </w:rPr>
        <w:t>, y compris en définissant les conditions éventuelles</w:t>
      </w:r>
      <w:r w:rsidRPr="0025684B">
        <w:rPr>
          <w:bCs/>
          <w:lang w:val="fr-CH"/>
        </w:rPr>
        <w:t xml:space="preserve"> </w:t>
      </w:r>
      <w:r>
        <w:rPr>
          <w:bCs/>
          <w:lang w:val="fr-CH"/>
        </w:rPr>
        <w:t>associées</w:t>
      </w:r>
      <w:r w:rsidRPr="00004B0E">
        <w:rPr>
          <w:lang w:val="fr-CH"/>
        </w:rPr>
        <w:t>;</w:t>
      </w:r>
    </w:p>
    <w:p w:rsidR="009C2043" w:rsidRPr="00004B0E" w:rsidRDefault="009C2043" w:rsidP="00A17011">
      <w:pPr>
        <w:pStyle w:val="enumlev1"/>
        <w:jc w:val="both"/>
        <w:rPr>
          <w:rFonts w:eastAsia="Calibri"/>
          <w:lang w:val="fr-CH"/>
        </w:rPr>
      </w:pPr>
      <w:r w:rsidRPr="001F3030">
        <w:rPr>
          <w:i/>
          <w:iCs/>
          <w:lang w:val="fr-CH" w:eastAsia="fr-FR"/>
        </w:rPr>
        <w:t>d)</w:t>
      </w:r>
      <w:r w:rsidRPr="00004B0E">
        <w:rPr>
          <w:lang w:val="fr-CH" w:eastAsia="fr-FR"/>
        </w:rPr>
        <w:tab/>
      </w:r>
      <w:r w:rsidRPr="001F3030">
        <w:rPr>
          <w:lang w:val="fr-CH" w:eastAsia="fr-FR"/>
        </w:rPr>
        <w:t>à procéder à d'autres études de partage et de compatibilité</w:t>
      </w:r>
      <w:r w:rsidRPr="00004B0E">
        <w:rPr>
          <w:lang w:val="fr-CH" w:eastAsia="fr-FR"/>
        </w:rPr>
        <w:t xml:space="preserve"> </w:t>
      </w:r>
      <w:r w:rsidRPr="001F3030">
        <w:rPr>
          <w:lang w:val="fr-CH" w:eastAsia="fr-FR"/>
        </w:rPr>
        <w:t xml:space="preserve">entre les applications des réseaux </w:t>
      </w:r>
      <w:r>
        <w:rPr>
          <w:lang w:val="fr-CH" w:eastAsia="fr-FR"/>
        </w:rPr>
        <w:t>WAS/</w:t>
      </w:r>
      <w:r w:rsidRPr="001F3030">
        <w:rPr>
          <w:lang w:val="fr-CH" w:eastAsia="fr-FR"/>
        </w:rPr>
        <w:t>RLAN</w:t>
      </w:r>
      <w:r w:rsidRPr="00004B0E">
        <w:rPr>
          <w:lang w:val="fr-CH" w:eastAsia="fr-FR"/>
        </w:rPr>
        <w:t xml:space="preserve"> </w:t>
      </w:r>
      <w:r w:rsidRPr="001F3030">
        <w:rPr>
          <w:lang w:val="fr-CH" w:eastAsia="fr-FR"/>
        </w:rPr>
        <w:t xml:space="preserve">et les </w:t>
      </w:r>
      <w:r w:rsidRPr="00004B0E">
        <w:rPr>
          <w:lang w:val="fr-CH" w:eastAsia="fr-FR"/>
        </w:rPr>
        <w:t xml:space="preserve">services </w:t>
      </w:r>
      <w:r w:rsidRPr="001F3030">
        <w:rPr>
          <w:lang w:val="fr-CH" w:eastAsia="fr-FR"/>
        </w:rPr>
        <w:t>existants afin de déterminer</w:t>
      </w:r>
      <w:r w:rsidRPr="00004B0E">
        <w:rPr>
          <w:lang w:val="fr-CH" w:eastAsia="fr-FR"/>
        </w:rPr>
        <w:t>:</w:t>
      </w:r>
    </w:p>
    <w:p w:rsidR="009C2043" w:rsidRPr="00004B0E" w:rsidRDefault="009C2043" w:rsidP="00A17011">
      <w:pPr>
        <w:pStyle w:val="enumlev1"/>
        <w:jc w:val="both"/>
        <w:rPr>
          <w:lang w:val="fr-CH"/>
        </w:rPr>
      </w:pPr>
      <w:r>
        <w:rPr>
          <w:lang w:val="fr-CH"/>
        </w:rPr>
        <w:lastRenderedPageBreak/>
        <w:t>i)</w:t>
      </w:r>
      <w:r w:rsidRPr="00004B0E">
        <w:rPr>
          <w:lang w:val="fr-CH"/>
        </w:rPr>
        <w:tab/>
      </w:r>
      <w:r w:rsidRPr="001F3030">
        <w:rPr>
          <w:lang w:val="fr-CH"/>
        </w:rPr>
        <w:t xml:space="preserve">si </w:t>
      </w:r>
      <w:r w:rsidRPr="001F3030">
        <w:rPr>
          <w:lang w:val="fr-CH" w:eastAsia="fr-FR"/>
        </w:rPr>
        <w:t>d'éventuelles</w:t>
      </w:r>
      <w:r w:rsidRPr="001F3030">
        <w:rPr>
          <w:lang w:val="fr-CH"/>
        </w:rPr>
        <w:t xml:space="preserve"> techniques supplémentaires d'atténuation des brouillages dans la bande de fréquences </w:t>
      </w:r>
      <w:r w:rsidRPr="00004B0E">
        <w:rPr>
          <w:lang w:val="fr-CH"/>
        </w:rPr>
        <w:t>5 </w:t>
      </w:r>
      <w:r w:rsidRPr="001F3030">
        <w:rPr>
          <w:lang w:val="fr-CH"/>
        </w:rPr>
        <w:t>350-</w:t>
      </w:r>
      <w:r w:rsidRPr="00004B0E">
        <w:rPr>
          <w:lang w:val="fr-CH"/>
        </w:rPr>
        <w:t xml:space="preserve">5 470 MHz, </w:t>
      </w:r>
      <w:r>
        <w:rPr>
          <w:lang w:val="fr-CH"/>
        </w:rPr>
        <w:t xml:space="preserve">autres que celles </w:t>
      </w:r>
      <w:r w:rsidRPr="001F3030">
        <w:rPr>
          <w:lang w:val="fr-CH"/>
        </w:rPr>
        <w:t xml:space="preserve">qui ont été analysées dans le cadre des études mentionnées au point </w:t>
      </w:r>
      <w:r w:rsidRPr="001F3030">
        <w:rPr>
          <w:i/>
          <w:iCs/>
          <w:lang w:val="fr-CH"/>
        </w:rPr>
        <w:t>a)</w:t>
      </w:r>
      <w:r w:rsidRPr="001F3030">
        <w:rPr>
          <w:lang w:val="fr-CH"/>
        </w:rPr>
        <w:t xml:space="preserve"> du </w:t>
      </w:r>
      <w:r w:rsidRPr="001F3030">
        <w:rPr>
          <w:i/>
          <w:iCs/>
          <w:lang w:val="fr-CH"/>
        </w:rPr>
        <w:t>reconnaissant</w:t>
      </w:r>
      <w:r w:rsidRPr="001F3030">
        <w:rPr>
          <w:lang w:val="fr-CH"/>
        </w:rPr>
        <w:t xml:space="preserve">, permettraient d'assurer la </w:t>
      </w:r>
      <w:r>
        <w:rPr>
          <w:lang w:val="fr-CH"/>
        </w:rPr>
        <w:t>coexistence d</w:t>
      </w:r>
      <w:r w:rsidRPr="001F3030">
        <w:rPr>
          <w:lang w:val="fr-CH"/>
        </w:rPr>
        <w:t xml:space="preserve">es systèmes </w:t>
      </w:r>
      <w:r>
        <w:rPr>
          <w:lang w:val="fr-CH"/>
        </w:rPr>
        <w:t>WAS/</w:t>
      </w:r>
      <w:r w:rsidRPr="00004B0E">
        <w:rPr>
          <w:lang w:val="fr-CH"/>
        </w:rPr>
        <w:t xml:space="preserve">RLAN </w:t>
      </w:r>
      <w:r>
        <w:rPr>
          <w:lang w:val="fr-CH"/>
        </w:rPr>
        <w:t>et d</w:t>
      </w:r>
      <w:r w:rsidRPr="001F3030">
        <w:rPr>
          <w:lang w:val="fr-CH"/>
        </w:rPr>
        <w:t xml:space="preserve">es systèmes du SETS </w:t>
      </w:r>
      <w:r w:rsidRPr="00004B0E">
        <w:rPr>
          <w:lang w:val="fr-CH"/>
        </w:rPr>
        <w:t xml:space="preserve">(active) </w:t>
      </w:r>
      <w:r w:rsidRPr="001F3030">
        <w:rPr>
          <w:lang w:val="fr-CH"/>
        </w:rPr>
        <w:t xml:space="preserve">et du service de recherche spatiale </w:t>
      </w:r>
      <w:r w:rsidRPr="00004B0E">
        <w:rPr>
          <w:lang w:val="fr-CH"/>
        </w:rPr>
        <w:t>(active);</w:t>
      </w:r>
    </w:p>
    <w:p w:rsidR="009C2043" w:rsidRPr="00004B0E" w:rsidRDefault="009C2043" w:rsidP="00A17011">
      <w:pPr>
        <w:pStyle w:val="enumlev1"/>
        <w:jc w:val="both"/>
        <w:rPr>
          <w:lang w:val="fr-CH"/>
        </w:rPr>
      </w:pPr>
      <w:r>
        <w:rPr>
          <w:lang w:val="fr-CH"/>
        </w:rPr>
        <w:t>ii)</w:t>
      </w:r>
      <w:r w:rsidRPr="00004B0E">
        <w:rPr>
          <w:lang w:val="fr-CH"/>
        </w:rPr>
        <w:tab/>
      </w:r>
      <w:r w:rsidRPr="001F3030">
        <w:rPr>
          <w:lang w:val="fr-CH"/>
        </w:rPr>
        <w:t xml:space="preserve">si d'éventuelles techniques d'atténuation des brouillages dans la bande de fréquences </w:t>
      </w:r>
      <w:r w:rsidRPr="00004B0E">
        <w:rPr>
          <w:lang w:val="fr-CH"/>
        </w:rPr>
        <w:t>5 350</w:t>
      </w:r>
      <w:r w:rsidRPr="001F3030">
        <w:rPr>
          <w:lang w:val="fr-CH"/>
        </w:rPr>
        <w:t>-</w:t>
      </w:r>
      <w:r w:rsidRPr="00004B0E">
        <w:rPr>
          <w:lang w:val="fr-CH"/>
        </w:rPr>
        <w:t xml:space="preserve">5 470 MHz </w:t>
      </w:r>
      <w:r w:rsidRPr="001F3030">
        <w:rPr>
          <w:lang w:val="fr-CH"/>
        </w:rPr>
        <w:t>permettraient d'assurer la compatibilité</w:t>
      </w:r>
      <w:r w:rsidRPr="00004B0E">
        <w:rPr>
          <w:lang w:val="fr-CH"/>
        </w:rPr>
        <w:t xml:space="preserve"> </w:t>
      </w:r>
      <w:r w:rsidRPr="001F3030">
        <w:rPr>
          <w:lang w:val="fr-CH"/>
        </w:rPr>
        <w:t xml:space="preserve">entre les systèmes </w:t>
      </w:r>
      <w:r>
        <w:rPr>
          <w:lang w:val="fr-CH"/>
        </w:rPr>
        <w:t>WAS/</w:t>
      </w:r>
      <w:r w:rsidRPr="00004B0E">
        <w:rPr>
          <w:lang w:val="fr-CH"/>
        </w:rPr>
        <w:t xml:space="preserve">RLAN </w:t>
      </w:r>
      <w:r w:rsidRPr="001F3030">
        <w:rPr>
          <w:lang w:val="fr-CH"/>
        </w:rPr>
        <w:t xml:space="preserve">et les systèmes de </w:t>
      </w:r>
      <w:r w:rsidRPr="00004B0E">
        <w:rPr>
          <w:lang w:val="fr-CH"/>
        </w:rPr>
        <w:t>radio</w:t>
      </w:r>
      <w:r w:rsidRPr="001F3030">
        <w:rPr>
          <w:lang w:val="fr-CH"/>
        </w:rPr>
        <w:t>repérage</w:t>
      </w:r>
      <w:r w:rsidRPr="00004B0E">
        <w:rPr>
          <w:lang w:val="fr-CH"/>
        </w:rPr>
        <w:t>;</w:t>
      </w:r>
    </w:p>
    <w:p w:rsidR="009C2043" w:rsidRPr="00004B0E" w:rsidRDefault="009C2043" w:rsidP="00A17011">
      <w:pPr>
        <w:pStyle w:val="enumlev1"/>
        <w:jc w:val="both"/>
        <w:rPr>
          <w:lang w:val="fr-CH"/>
        </w:rPr>
      </w:pPr>
      <w:r>
        <w:rPr>
          <w:lang w:val="fr-CH"/>
        </w:rPr>
        <w:t>iii)</w:t>
      </w:r>
      <w:r w:rsidRPr="00004B0E">
        <w:rPr>
          <w:lang w:val="fr-CH"/>
        </w:rPr>
        <w:tab/>
      </w:r>
      <w:r w:rsidRPr="001F3030">
        <w:rPr>
          <w:lang w:val="fr-CH"/>
        </w:rPr>
        <w:t xml:space="preserve">si les résultats des études visées aux points </w:t>
      </w:r>
      <w:r w:rsidRPr="00004B0E">
        <w:rPr>
          <w:lang w:val="fr-CH"/>
        </w:rPr>
        <w:t>i</w:t>
      </w:r>
      <w:r>
        <w:rPr>
          <w:lang w:val="fr-CH"/>
        </w:rPr>
        <w:t>)</w:t>
      </w:r>
      <w:r w:rsidRPr="00004B0E">
        <w:rPr>
          <w:lang w:val="fr-CH"/>
        </w:rPr>
        <w:t xml:space="preserve"> </w:t>
      </w:r>
      <w:r w:rsidRPr="001F3030">
        <w:rPr>
          <w:lang w:val="fr-CH"/>
        </w:rPr>
        <w:t xml:space="preserve">et </w:t>
      </w:r>
      <w:r w:rsidRPr="00004B0E">
        <w:rPr>
          <w:lang w:val="fr-CH"/>
        </w:rPr>
        <w:t>ii</w:t>
      </w:r>
      <w:r>
        <w:rPr>
          <w:lang w:val="fr-CH"/>
        </w:rPr>
        <w:t>)</w:t>
      </w:r>
      <w:r w:rsidRPr="00004B0E">
        <w:rPr>
          <w:lang w:val="fr-CH"/>
        </w:rPr>
        <w:t xml:space="preserve"> </w:t>
      </w:r>
      <w:r w:rsidRPr="001F3030">
        <w:rPr>
          <w:lang w:val="fr-CH"/>
        </w:rPr>
        <w:t xml:space="preserve">permettraient d'attribuer la bande de fréquences </w:t>
      </w:r>
      <w:r w:rsidRPr="00004B0E">
        <w:rPr>
          <w:lang w:val="fr-CH"/>
        </w:rPr>
        <w:t xml:space="preserve">5 350-5 470 MHz </w:t>
      </w:r>
      <w:r w:rsidRPr="001F3030">
        <w:rPr>
          <w:lang w:val="fr-CH"/>
        </w:rPr>
        <w:t xml:space="preserve">au service </w:t>
      </w:r>
      <w:r w:rsidRPr="00004B0E">
        <w:rPr>
          <w:lang w:val="fr-CH"/>
        </w:rPr>
        <w:t xml:space="preserve">mobile </w:t>
      </w:r>
      <w:r>
        <w:rPr>
          <w:lang w:val="fr-CH"/>
        </w:rPr>
        <w:t>afin</w:t>
      </w:r>
      <w:r w:rsidRPr="001F3030">
        <w:rPr>
          <w:lang w:val="fr-CH"/>
        </w:rPr>
        <w:t xml:space="preserve"> de </w:t>
      </w:r>
      <w:r>
        <w:rPr>
          <w:lang w:val="fr-CH"/>
        </w:rPr>
        <w:t>rendre possible l'utilisation d</w:t>
      </w:r>
      <w:r w:rsidRPr="001F3030">
        <w:rPr>
          <w:lang w:val="fr-CH"/>
        </w:rPr>
        <w:t xml:space="preserve">es réseaux </w:t>
      </w:r>
      <w:r>
        <w:rPr>
          <w:lang w:val="fr-CH"/>
        </w:rPr>
        <w:t>WAS/</w:t>
      </w:r>
      <w:r w:rsidRPr="00004B0E">
        <w:rPr>
          <w:lang w:val="fr-CH"/>
        </w:rPr>
        <w:t>RLAN;</w:t>
      </w:r>
    </w:p>
    <w:p w:rsidR="009C2043" w:rsidRPr="00004B0E" w:rsidRDefault="009C2043" w:rsidP="005131A3">
      <w:pPr>
        <w:pStyle w:val="enumlev1"/>
        <w:jc w:val="both"/>
        <w:rPr>
          <w:rFonts w:eastAsia="Calibri"/>
          <w:lang w:val="fr-CH"/>
        </w:rPr>
      </w:pPr>
      <w:r w:rsidRPr="001F3030">
        <w:rPr>
          <w:i/>
          <w:iCs/>
          <w:lang w:val="fr-CH" w:eastAsia="fr-FR"/>
        </w:rPr>
        <w:t>e)</w:t>
      </w:r>
      <w:r w:rsidRPr="00004B0E">
        <w:rPr>
          <w:lang w:val="fr-CH" w:eastAsia="fr-FR"/>
        </w:rPr>
        <w:tab/>
      </w:r>
      <w:r w:rsidRPr="001F3030">
        <w:rPr>
          <w:lang w:val="fr-CH" w:eastAsia="fr-FR"/>
        </w:rPr>
        <w:t>à effectuer également des études approfondies de partage et de compatibilité</w:t>
      </w:r>
      <w:r>
        <w:rPr>
          <w:lang w:val="fr-CH" w:eastAsia="fr-FR"/>
        </w:rPr>
        <w:t>, y compris des techniques d'atténuation des brouillages,</w:t>
      </w:r>
      <w:r w:rsidRPr="00004B0E">
        <w:rPr>
          <w:lang w:val="fr-CH" w:eastAsia="fr-FR"/>
        </w:rPr>
        <w:t xml:space="preserve"> </w:t>
      </w:r>
      <w:r w:rsidRPr="001F3030">
        <w:rPr>
          <w:lang w:val="fr-CH" w:eastAsia="fr-FR"/>
        </w:rPr>
        <w:t>entre les réseaux</w:t>
      </w:r>
      <w:r>
        <w:rPr>
          <w:lang w:val="fr-CH" w:eastAsia="fr-FR"/>
        </w:rPr>
        <w:t xml:space="preserve"> WAS/</w:t>
      </w:r>
      <w:r w:rsidRPr="001F3030">
        <w:rPr>
          <w:lang w:val="fr-CH" w:eastAsia="fr-FR"/>
        </w:rPr>
        <w:t xml:space="preserve">RLAN et les </w:t>
      </w:r>
      <w:r w:rsidRPr="00004B0E">
        <w:rPr>
          <w:lang w:val="fr-CH" w:eastAsia="fr-FR"/>
        </w:rPr>
        <w:t xml:space="preserve">services </w:t>
      </w:r>
      <w:r w:rsidRPr="001F3030">
        <w:rPr>
          <w:lang w:val="fr-CH" w:eastAsia="fr-FR"/>
        </w:rPr>
        <w:t xml:space="preserve">existants dans la bande de fréquences </w:t>
      </w:r>
      <w:r w:rsidRPr="00004B0E">
        <w:rPr>
          <w:lang w:val="fr-CH" w:eastAsia="fr-FR"/>
        </w:rPr>
        <w:t>5 725-5 850</w:t>
      </w:r>
      <w:r w:rsidR="005131A3">
        <w:rPr>
          <w:lang w:val="fr-CH" w:eastAsia="fr-FR"/>
        </w:rPr>
        <w:t> </w:t>
      </w:r>
      <w:r w:rsidRPr="00004B0E">
        <w:rPr>
          <w:lang w:val="fr-CH" w:eastAsia="fr-FR"/>
        </w:rPr>
        <w:t xml:space="preserve">MHz </w:t>
      </w:r>
      <w:r>
        <w:rPr>
          <w:lang w:val="fr-CH" w:eastAsia="fr-FR"/>
        </w:rPr>
        <w:t>afin</w:t>
      </w:r>
      <w:r w:rsidRPr="001F3030">
        <w:rPr>
          <w:lang w:val="fr-CH" w:eastAsia="fr-FR"/>
        </w:rPr>
        <w:t xml:space="preserve"> d'attribuer cette bande de fréquences au service </w:t>
      </w:r>
      <w:r w:rsidRPr="00004B0E">
        <w:rPr>
          <w:lang w:val="fr-CH" w:eastAsia="fr-FR"/>
        </w:rPr>
        <w:t xml:space="preserve">mobile </w:t>
      </w:r>
      <w:r>
        <w:rPr>
          <w:lang w:val="fr-CH" w:eastAsia="fr-FR"/>
        </w:rPr>
        <w:t>et de rendre possible l'utilisation d</w:t>
      </w:r>
      <w:r w:rsidRPr="001F3030">
        <w:rPr>
          <w:lang w:val="fr-CH" w:eastAsia="fr-FR"/>
        </w:rPr>
        <w:t xml:space="preserve">es réseaux </w:t>
      </w:r>
      <w:r>
        <w:rPr>
          <w:lang w:val="fr-CH" w:eastAsia="fr-FR"/>
        </w:rPr>
        <w:t>WAS/</w:t>
      </w:r>
      <w:r w:rsidRPr="001F3030">
        <w:rPr>
          <w:lang w:val="fr-CH" w:eastAsia="fr-FR"/>
        </w:rPr>
        <w:t>RLAN</w:t>
      </w:r>
      <w:r w:rsidRPr="00004B0E">
        <w:rPr>
          <w:lang w:val="fr-CH" w:eastAsia="fr-FR"/>
        </w:rPr>
        <w:t>;</w:t>
      </w:r>
    </w:p>
    <w:p w:rsidR="009C2043" w:rsidRPr="00004B0E" w:rsidRDefault="009C2043" w:rsidP="00A17011">
      <w:pPr>
        <w:pStyle w:val="enumlev1"/>
        <w:jc w:val="both"/>
        <w:rPr>
          <w:lang w:val="fr-CH"/>
        </w:rPr>
      </w:pPr>
      <w:r w:rsidRPr="001F3030">
        <w:rPr>
          <w:i/>
          <w:iCs/>
          <w:lang w:val="fr-CH" w:eastAsia="fr-FR"/>
        </w:rPr>
        <w:t>f)</w:t>
      </w:r>
      <w:r w:rsidRPr="00004B0E">
        <w:rPr>
          <w:lang w:val="fr-CH" w:eastAsia="fr-FR"/>
        </w:rPr>
        <w:tab/>
      </w:r>
      <w:r w:rsidRPr="001F3030">
        <w:rPr>
          <w:lang w:val="fr-CH" w:eastAsia="fr-FR"/>
        </w:rPr>
        <w:t>à effectuer également des études approfondies de partage et de compatibilité</w:t>
      </w:r>
      <w:r>
        <w:rPr>
          <w:lang w:val="fr-CH" w:eastAsia="fr-FR"/>
        </w:rPr>
        <w:t>, y compris des techniques d'atténuation des brouillages,</w:t>
      </w:r>
      <w:r w:rsidRPr="00004B0E">
        <w:rPr>
          <w:lang w:val="fr-CH" w:eastAsia="fr-FR"/>
        </w:rPr>
        <w:t xml:space="preserve"> </w:t>
      </w:r>
      <w:r w:rsidRPr="001F3030">
        <w:rPr>
          <w:lang w:val="fr-CH" w:eastAsia="fr-FR"/>
        </w:rPr>
        <w:t xml:space="preserve">entre les réseaux </w:t>
      </w:r>
      <w:r>
        <w:rPr>
          <w:lang w:val="fr-CH" w:eastAsia="fr-FR"/>
        </w:rPr>
        <w:t>WAS/</w:t>
      </w:r>
      <w:r w:rsidRPr="001F3030">
        <w:rPr>
          <w:lang w:val="fr-CH" w:eastAsia="fr-FR"/>
        </w:rPr>
        <w:t xml:space="preserve">RLAN et les </w:t>
      </w:r>
      <w:r w:rsidRPr="00004B0E">
        <w:rPr>
          <w:lang w:val="fr-CH" w:eastAsia="fr-FR"/>
        </w:rPr>
        <w:t xml:space="preserve">services </w:t>
      </w:r>
      <w:r w:rsidRPr="001F3030">
        <w:rPr>
          <w:lang w:val="fr-CH" w:eastAsia="fr-FR"/>
        </w:rPr>
        <w:t xml:space="preserve">existants dans la bande de fréquences </w:t>
      </w:r>
      <w:r w:rsidRPr="00004B0E">
        <w:rPr>
          <w:lang w:val="fr-CH" w:eastAsia="fr-FR"/>
        </w:rPr>
        <w:t>5 </w:t>
      </w:r>
      <w:r w:rsidRPr="001F3030">
        <w:rPr>
          <w:lang w:val="fr-CH" w:eastAsia="fr-FR"/>
        </w:rPr>
        <w:t>850</w:t>
      </w:r>
      <w:r w:rsidRPr="00004B0E">
        <w:rPr>
          <w:lang w:val="fr-CH" w:eastAsia="fr-FR"/>
        </w:rPr>
        <w:t>-5 </w:t>
      </w:r>
      <w:r w:rsidRPr="001F3030">
        <w:rPr>
          <w:lang w:val="fr-CH" w:eastAsia="fr-FR"/>
        </w:rPr>
        <w:t>925 </w:t>
      </w:r>
      <w:r w:rsidRPr="00004B0E">
        <w:rPr>
          <w:lang w:val="fr-CH" w:eastAsia="fr-FR"/>
        </w:rPr>
        <w:t xml:space="preserve">MHz </w:t>
      </w:r>
      <w:r>
        <w:rPr>
          <w:lang w:val="fr-CH" w:eastAsia="fr-FR"/>
        </w:rPr>
        <w:t>afin de rendre possible l'utilisation d</w:t>
      </w:r>
      <w:r w:rsidRPr="001F3030">
        <w:rPr>
          <w:lang w:val="fr-CH" w:eastAsia="fr-FR"/>
        </w:rPr>
        <w:t xml:space="preserve">es réseaux </w:t>
      </w:r>
      <w:r>
        <w:rPr>
          <w:lang w:val="fr-CH" w:eastAsia="fr-FR"/>
        </w:rPr>
        <w:t>WAS/</w:t>
      </w:r>
      <w:r w:rsidRPr="001F3030">
        <w:rPr>
          <w:lang w:val="fr-CH" w:eastAsia="fr-FR"/>
        </w:rPr>
        <w:t xml:space="preserve">RLAN dans le cadre de l'attribution existante à titre primaire au service </w:t>
      </w:r>
      <w:r w:rsidRPr="00004B0E">
        <w:rPr>
          <w:lang w:val="fr-CH" w:eastAsia="fr-FR"/>
        </w:rPr>
        <w:t>mobile,</w:t>
      </w:r>
      <w:r>
        <w:rPr>
          <w:lang w:val="fr-CH" w:eastAsia="fr-FR"/>
        </w:rPr>
        <w:t xml:space="preserve"> sans imposer de contraintes supplémentaires aux services existants,</w:t>
      </w:r>
    </w:p>
    <w:p w:rsidR="009C2043" w:rsidRPr="001F3030" w:rsidRDefault="009C2043" w:rsidP="00A17011">
      <w:pPr>
        <w:pStyle w:val="Call"/>
        <w:jc w:val="both"/>
        <w:rPr>
          <w:lang w:val="fr-CH"/>
        </w:rPr>
      </w:pPr>
      <w:r w:rsidRPr="001F3030">
        <w:rPr>
          <w:lang w:val="fr-CH"/>
        </w:rPr>
        <w:t>invite les administrations</w:t>
      </w:r>
    </w:p>
    <w:p w:rsidR="00255329" w:rsidRPr="009C2043" w:rsidRDefault="009C2043" w:rsidP="00A17011">
      <w:pPr>
        <w:jc w:val="both"/>
        <w:rPr>
          <w:rFonts w:asciiTheme="majorBidi" w:hAnsiTheme="majorBidi" w:cstheme="majorBidi"/>
          <w:szCs w:val="24"/>
        </w:rPr>
      </w:pPr>
      <w:r w:rsidRPr="001F3030">
        <w:rPr>
          <w:lang w:val="fr-CH" w:eastAsia="nl-NL"/>
        </w:rPr>
        <w:t xml:space="preserve">à participer aux études en soumettant </w:t>
      </w:r>
      <w:r>
        <w:rPr>
          <w:lang w:val="fr-CH" w:eastAsia="nl-NL"/>
        </w:rPr>
        <w:t>des contributions à l'UIT-R</w:t>
      </w:r>
      <w:r w:rsidR="00255329" w:rsidRPr="009C2043">
        <w:rPr>
          <w:rFonts w:asciiTheme="majorBidi" w:hAnsiTheme="majorBidi" w:cstheme="majorBidi"/>
          <w:szCs w:val="24"/>
        </w:rPr>
        <w:t>.</w:t>
      </w:r>
    </w:p>
    <w:p w:rsidR="009C2043" w:rsidRDefault="007C1B97" w:rsidP="00A17011">
      <w:pPr>
        <w:pStyle w:val="ResNo"/>
        <w:rPr>
          <w:lang w:val="fr-CH"/>
        </w:rPr>
      </w:pPr>
      <w:r w:rsidRPr="009C2043">
        <w:rPr>
          <w:rFonts w:asciiTheme="majorBidi" w:hAnsiTheme="majorBidi" w:cstheme="majorBidi"/>
          <w:sz w:val="24"/>
          <w:szCs w:val="24"/>
          <w:lang w:eastAsia="nl-NL"/>
        </w:rPr>
        <w:br w:type="page"/>
      </w:r>
      <w:bookmarkStart w:id="165" w:name="_Toc319341036"/>
      <w:bookmarkStart w:id="166" w:name="_Toc319401821"/>
      <w:bookmarkStart w:id="167" w:name="_Toc320519989"/>
      <w:bookmarkStart w:id="168" w:name="_Toc320862090"/>
      <w:bookmarkStart w:id="169" w:name="_Toc320862250"/>
      <w:bookmarkStart w:id="170" w:name="_Toc324918345"/>
      <w:bookmarkStart w:id="171" w:name="_Toc327364453"/>
      <w:bookmarkStart w:id="172" w:name="_Toc337471334"/>
    </w:p>
    <w:p w:rsidR="007C11AB" w:rsidRPr="004C120E" w:rsidRDefault="00F96BD5" w:rsidP="00A17011">
      <w:pPr>
        <w:pStyle w:val="ResNo"/>
      </w:pPr>
      <w:bookmarkStart w:id="173" w:name="RES_359"/>
      <w:bookmarkStart w:id="174" w:name="_Toc319341035"/>
      <w:bookmarkStart w:id="175" w:name="_Toc319401819"/>
      <w:bookmarkStart w:id="176" w:name="_Toc320519988"/>
      <w:bookmarkStart w:id="177" w:name="_Toc320862089"/>
      <w:bookmarkStart w:id="178" w:name="_Toc320862249"/>
      <w:bookmarkStart w:id="179" w:name="_Toc324918344"/>
      <w:bookmarkStart w:id="180" w:name="_Toc327364451"/>
      <w:bookmarkStart w:id="181" w:name="_Toc444507566"/>
      <w:bookmarkStart w:id="182" w:name="_Toc460331714"/>
      <w:bookmarkStart w:id="183" w:name="_Toc463616171"/>
      <w:r>
        <w:lastRenderedPageBreak/>
        <w:t>R</w:t>
      </w:r>
      <w:r w:rsidR="001D5201" w:rsidRPr="001D5201">
        <w:t>É</w:t>
      </w:r>
      <w:r w:rsidR="007C11AB" w:rsidRPr="004C120E">
        <w:t xml:space="preserve">SOLUTION </w:t>
      </w:r>
      <w:r w:rsidR="007C11AB" w:rsidRPr="007C11AB">
        <w:t>359</w:t>
      </w:r>
      <w:r w:rsidR="007C11AB" w:rsidRPr="004C120E">
        <w:t xml:space="preserve"> </w:t>
      </w:r>
      <w:bookmarkEnd w:id="173"/>
      <w:r w:rsidR="007C11AB" w:rsidRPr="004C120E">
        <w:t>(</w:t>
      </w:r>
      <w:r w:rsidRPr="004C120E">
        <w:rPr>
          <w:caps w:val="0"/>
        </w:rPr>
        <w:t>R</w:t>
      </w:r>
      <w:r>
        <w:rPr>
          <w:caps w:val="0"/>
        </w:rPr>
        <w:t>é</w:t>
      </w:r>
      <w:r w:rsidRPr="004C120E">
        <w:rPr>
          <w:caps w:val="0"/>
        </w:rPr>
        <w:t>v</w:t>
      </w:r>
      <w:r w:rsidR="007C11AB" w:rsidRPr="004C120E">
        <w:t>.</w:t>
      </w:r>
      <w:r w:rsidR="00F8363E" w:rsidRPr="00A20F5A">
        <w:t>C</w:t>
      </w:r>
      <w:r w:rsidR="00F8363E">
        <w:t>MR</w:t>
      </w:r>
      <w:r w:rsidR="007C11AB" w:rsidRPr="004C120E">
        <w:noBreakHyphen/>
        <w:t>15)</w:t>
      </w:r>
      <w:bookmarkEnd w:id="174"/>
      <w:bookmarkEnd w:id="175"/>
      <w:bookmarkEnd w:id="176"/>
      <w:bookmarkEnd w:id="177"/>
      <w:bookmarkEnd w:id="178"/>
      <w:bookmarkEnd w:id="179"/>
      <w:bookmarkEnd w:id="180"/>
      <w:bookmarkEnd w:id="181"/>
      <w:bookmarkEnd w:id="182"/>
      <w:bookmarkEnd w:id="183"/>
    </w:p>
    <w:p w:rsidR="009C2043" w:rsidRPr="009C7CEE" w:rsidRDefault="009C2043" w:rsidP="00A17011">
      <w:pPr>
        <w:pStyle w:val="Restitle"/>
      </w:pPr>
      <w:bookmarkStart w:id="184" w:name="_Toc450208687"/>
      <w:bookmarkStart w:id="185" w:name="_Toc463616172"/>
      <w:r w:rsidRPr="009C7CEE">
        <w:t>Examen de dispositio</w:t>
      </w:r>
      <w:r>
        <w:t xml:space="preserve">ns réglementaires relatives à la mise à jour et la modernisation </w:t>
      </w:r>
      <w:r w:rsidRPr="009C7CEE">
        <w:t>du Système mondial de détresse et de sécurité en mer</w:t>
      </w:r>
      <w:bookmarkEnd w:id="184"/>
      <w:bookmarkEnd w:id="185"/>
    </w:p>
    <w:p w:rsidR="009C2043" w:rsidRPr="002117B0" w:rsidRDefault="009C2043" w:rsidP="00A17011">
      <w:pPr>
        <w:pStyle w:val="Normalaftertitle"/>
      </w:pPr>
      <w:r w:rsidRPr="002117B0">
        <w:t>La Conférence mondiale des radiocommunications (Genève,</w:t>
      </w:r>
      <w:r>
        <w:t xml:space="preserve"> 2015</w:t>
      </w:r>
      <w:r w:rsidRPr="002117B0">
        <w:t>),</w:t>
      </w:r>
    </w:p>
    <w:p w:rsidR="009C2043" w:rsidRPr="0022476E" w:rsidRDefault="009C2043" w:rsidP="00A17011">
      <w:pPr>
        <w:pStyle w:val="Call"/>
        <w:jc w:val="both"/>
        <w:rPr>
          <w:lang w:val="fr-CH"/>
        </w:rPr>
      </w:pPr>
      <w:r w:rsidRPr="0022476E">
        <w:rPr>
          <w:lang w:val="fr-CH"/>
        </w:rPr>
        <w:t>considérant</w:t>
      </w:r>
    </w:p>
    <w:p w:rsidR="009C2043" w:rsidRPr="0022476E" w:rsidRDefault="009C2043" w:rsidP="00A17011">
      <w:pPr>
        <w:tabs>
          <w:tab w:val="left" w:pos="1080"/>
        </w:tabs>
        <w:jc w:val="both"/>
        <w:rPr>
          <w:lang w:val="fr-CH"/>
        </w:rPr>
      </w:pPr>
      <w:r w:rsidRPr="00A31EA2">
        <w:rPr>
          <w:i/>
          <w:iCs/>
        </w:rPr>
        <w:t>a)</w:t>
      </w:r>
      <w:r w:rsidRPr="0022476E">
        <w:rPr>
          <w:lang w:val="fr-CH"/>
        </w:rPr>
        <w:tab/>
        <w:t>qu'il est toujours nécessaire, dans le Système mondial de détresse et de sécurité en mer (SMDSM), à l'échelle mondiale, d'améliorer les communications en vue de renforcer les capacités maritimes;</w:t>
      </w:r>
    </w:p>
    <w:p w:rsidR="009C2043" w:rsidRPr="0022476E" w:rsidRDefault="009C2043" w:rsidP="00A17011">
      <w:pPr>
        <w:tabs>
          <w:tab w:val="left" w:pos="1080"/>
        </w:tabs>
        <w:jc w:val="both"/>
        <w:rPr>
          <w:lang w:val="fr-CH"/>
        </w:rPr>
      </w:pPr>
      <w:r w:rsidRPr="00A31EA2">
        <w:rPr>
          <w:i/>
          <w:iCs/>
        </w:rPr>
        <w:t>b)</w:t>
      </w:r>
      <w:r w:rsidRPr="0022476E">
        <w:rPr>
          <w:lang w:val="fr-CH"/>
        </w:rPr>
        <w:tab/>
        <w:t>que l'Organisation maritime internationale (OMI)</w:t>
      </w:r>
      <w:r>
        <w:rPr>
          <w:lang w:val="fr-CH"/>
        </w:rPr>
        <w:t xml:space="preserve"> envisage de moderniser</w:t>
      </w:r>
      <w:r w:rsidRPr="0022476E">
        <w:rPr>
          <w:lang w:val="fr-CH"/>
        </w:rPr>
        <w:t xml:space="preserve"> </w:t>
      </w:r>
      <w:r>
        <w:rPr>
          <w:lang w:val="fr-CH"/>
        </w:rPr>
        <w:t>le</w:t>
      </w:r>
      <w:r w:rsidRPr="0022476E">
        <w:rPr>
          <w:lang w:val="fr-CH"/>
        </w:rPr>
        <w:t xml:space="preserve"> SMDSM;</w:t>
      </w:r>
    </w:p>
    <w:p w:rsidR="009C2043" w:rsidRPr="0022476E" w:rsidRDefault="009C2043" w:rsidP="00A17011">
      <w:pPr>
        <w:tabs>
          <w:tab w:val="left" w:pos="1080"/>
        </w:tabs>
        <w:jc w:val="both"/>
        <w:rPr>
          <w:lang w:val="fr-CH"/>
        </w:rPr>
      </w:pPr>
      <w:r>
        <w:rPr>
          <w:i/>
          <w:iCs/>
        </w:rPr>
        <w:t>c</w:t>
      </w:r>
      <w:r w:rsidRPr="00A31EA2">
        <w:rPr>
          <w:i/>
          <w:iCs/>
        </w:rPr>
        <w:t>)</w:t>
      </w:r>
      <w:r w:rsidRPr="0022476E">
        <w:rPr>
          <w:lang w:val="fr-CH"/>
        </w:rPr>
        <w:tab/>
        <w:t>que des systèmes de données maritimes évolués en ondes hectométriques/décamétriques/métriques et des systèmes de communication par satellite peuvent être utilisés pour transmettre des informations sur la sécurité maritime (MSI) ainsi que d'autres communications du SMDSM;</w:t>
      </w:r>
    </w:p>
    <w:p w:rsidR="009C2043" w:rsidRDefault="009C2043" w:rsidP="00A17011">
      <w:pPr>
        <w:tabs>
          <w:tab w:val="left" w:pos="1080"/>
        </w:tabs>
        <w:jc w:val="both"/>
        <w:rPr>
          <w:lang w:val="fr-CH"/>
        </w:rPr>
      </w:pPr>
      <w:r>
        <w:rPr>
          <w:i/>
          <w:iCs/>
        </w:rPr>
        <w:t>d</w:t>
      </w:r>
      <w:r w:rsidRPr="00A31EA2">
        <w:rPr>
          <w:i/>
          <w:iCs/>
        </w:rPr>
        <w:t>)</w:t>
      </w:r>
      <w:r w:rsidRPr="0022476E">
        <w:rPr>
          <w:lang w:val="fr-CH"/>
        </w:rPr>
        <w:tab/>
        <w:t xml:space="preserve">que l'OMI envisage </w:t>
      </w:r>
      <w:r>
        <w:rPr>
          <w:lang w:val="fr-CH"/>
        </w:rPr>
        <w:t xml:space="preserve">de reconnaître d'autres systèmes mondiaux ou régionaux de communication par satellite </w:t>
      </w:r>
      <w:r w:rsidRPr="0022476E">
        <w:rPr>
          <w:lang w:val="fr-CH"/>
        </w:rPr>
        <w:t>dans le SMDSM;</w:t>
      </w:r>
    </w:p>
    <w:p w:rsidR="009C2043" w:rsidRPr="0022476E" w:rsidRDefault="009C2043" w:rsidP="00A17011">
      <w:pPr>
        <w:tabs>
          <w:tab w:val="left" w:pos="1080"/>
        </w:tabs>
        <w:jc w:val="both"/>
        <w:rPr>
          <w:lang w:val="fr-CH"/>
        </w:rPr>
      </w:pPr>
      <w:r w:rsidRPr="002A2F17">
        <w:rPr>
          <w:i/>
          <w:iCs/>
          <w:lang w:val="fr-CH"/>
        </w:rPr>
        <w:t>e)</w:t>
      </w:r>
      <w:r>
        <w:rPr>
          <w:lang w:val="fr-CH"/>
        </w:rPr>
        <w:tab/>
        <w:t>que les systèmes à satellites du SMDSM doivent assurer la protection contre les brouillages préjudiciables des services existants, y compris de ceux exploités dans les bandes de fréquences adjacentes, conformément au Règlement des radiocommunications, et que ces systèmes à satellites du SMDSM devraient fonctionner dans l'environnement de brouillage des systèmes existants,</w:t>
      </w:r>
    </w:p>
    <w:p w:rsidR="009C2043" w:rsidRPr="0022476E" w:rsidRDefault="009C2043" w:rsidP="00A17011">
      <w:pPr>
        <w:pStyle w:val="Call"/>
        <w:jc w:val="both"/>
        <w:rPr>
          <w:lang w:val="fr-CH"/>
        </w:rPr>
      </w:pPr>
      <w:r w:rsidRPr="0022476E">
        <w:rPr>
          <w:lang w:val="fr-CH"/>
        </w:rPr>
        <w:t>notant</w:t>
      </w:r>
    </w:p>
    <w:p w:rsidR="009C2043" w:rsidRPr="0022476E" w:rsidRDefault="009C2043" w:rsidP="00A17011">
      <w:pPr>
        <w:tabs>
          <w:tab w:val="left" w:pos="1080"/>
        </w:tabs>
        <w:jc w:val="both"/>
        <w:rPr>
          <w:lang w:val="fr-CH"/>
        </w:rPr>
      </w:pPr>
      <w:r w:rsidRPr="0022476E">
        <w:rPr>
          <w:i/>
          <w:iCs/>
          <w:lang w:val="fr-CH"/>
        </w:rPr>
        <w:t>a)</w:t>
      </w:r>
      <w:r>
        <w:rPr>
          <w:lang w:val="fr-CH"/>
        </w:rPr>
        <w:tab/>
        <w:t>que la CMR-12 a examiné l'A</w:t>
      </w:r>
      <w:r w:rsidRPr="0022476E">
        <w:rPr>
          <w:lang w:val="fr-CH"/>
        </w:rPr>
        <w:t xml:space="preserve">ppendice </w:t>
      </w:r>
      <w:r w:rsidRPr="008C0EDF">
        <w:rPr>
          <w:b/>
          <w:bCs/>
        </w:rPr>
        <w:t>17</w:t>
      </w:r>
      <w:r w:rsidRPr="0022476E">
        <w:rPr>
          <w:lang w:val="fr-CH"/>
        </w:rPr>
        <w:t xml:space="preserve"> afin d'améliorer l'efficacité et de mettre à disposition des bandes de fréquences pour les nouvelles techniques numériques;</w:t>
      </w:r>
    </w:p>
    <w:p w:rsidR="009C2043" w:rsidRDefault="009C2043" w:rsidP="00A17011">
      <w:pPr>
        <w:tabs>
          <w:tab w:val="left" w:pos="1080"/>
        </w:tabs>
        <w:jc w:val="both"/>
        <w:rPr>
          <w:lang w:val="fr-CH"/>
        </w:rPr>
      </w:pPr>
      <w:r w:rsidRPr="0022476E">
        <w:rPr>
          <w:i/>
          <w:iCs/>
          <w:lang w:val="fr-CH"/>
        </w:rPr>
        <w:t>b)</w:t>
      </w:r>
      <w:r w:rsidRPr="0022476E">
        <w:rPr>
          <w:lang w:val="fr-CH"/>
        </w:rPr>
        <w:tab/>
      </w:r>
      <w:r>
        <w:rPr>
          <w:lang w:val="fr-CH"/>
        </w:rPr>
        <w:t xml:space="preserve">que la CMR-12 </w:t>
      </w:r>
      <w:r w:rsidRPr="0022476E">
        <w:rPr>
          <w:lang w:val="fr-CH"/>
        </w:rPr>
        <w:t xml:space="preserve">a examiné les dispositions réglementaires et les attributions de fréquences destinées à être utilisées par les systèmes de sécurité </w:t>
      </w:r>
      <w:r>
        <w:rPr>
          <w:lang w:val="fr-CH"/>
        </w:rPr>
        <w:t>maritimes pour les</w:t>
      </w:r>
      <w:r w:rsidRPr="0022476E">
        <w:rPr>
          <w:lang w:val="fr-CH"/>
        </w:rPr>
        <w:t xml:space="preserve"> navires et </w:t>
      </w:r>
      <w:r>
        <w:rPr>
          <w:lang w:val="fr-CH"/>
        </w:rPr>
        <w:t>l</w:t>
      </w:r>
      <w:r w:rsidRPr="0022476E">
        <w:rPr>
          <w:lang w:val="fr-CH"/>
        </w:rPr>
        <w:t>es ports,</w:t>
      </w:r>
    </w:p>
    <w:p w:rsidR="009C2043" w:rsidRDefault="009C2043" w:rsidP="00A17011">
      <w:pPr>
        <w:pStyle w:val="Call"/>
        <w:jc w:val="both"/>
        <w:rPr>
          <w:lang w:val="fr-CH"/>
        </w:rPr>
      </w:pPr>
      <w:r w:rsidRPr="0022476E">
        <w:rPr>
          <w:lang w:val="fr-CH"/>
        </w:rPr>
        <w:t>notant</w:t>
      </w:r>
      <w:r>
        <w:rPr>
          <w:lang w:val="fr-CH"/>
        </w:rPr>
        <w:t xml:space="preserve"> en outre</w:t>
      </w:r>
    </w:p>
    <w:p w:rsidR="009C2043" w:rsidRPr="0006035D" w:rsidRDefault="009C2043" w:rsidP="00A17011">
      <w:pPr>
        <w:jc w:val="both"/>
        <w:rPr>
          <w:lang w:val="fr-CH"/>
        </w:rPr>
      </w:pPr>
      <w:r>
        <w:rPr>
          <w:lang w:val="fr-CH"/>
        </w:rPr>
        <w:t xml:space="preserve">que la CMR-12 et la présente Conférence ont examiné l'Appendice </w:t>
      </w:r>
      <w:r w:rsidRPr="0006035D">
        <w:rPr>
          <w:b/>
          <w:bCs/>
          <w:lang w:val="fr-CH"/>
        </w:rPr>
        <w:t>18</w:t>
      </w:r>
      <w:r w:rsidRPr="000D6004">
        <w:rPr>
          <w:lang w:val="fr-CH"/>
        </w:rPr>
        <w:t>,</w:t>
      </w:r>
      <w:r>
        <w:rPr>
          <w:lang w:val="fr-CH"/>
        </w:rPr>
        <w:t xml:space="preserve"> afin d'améliorer l'efficacité et de mettre à disposition</w:t>
      </w:r>
      <w:r w:rsidRPr="00737F99">
        <w:rPr>
          <w:lang w:val="fr-CH"/>
        </w:rPr>
        <w:t xml:space="preserve"> </w:t>
      </w:r>
      <w:r w:rsidRPr="0022476E">
        <w:rPr>
          <w:lang w:val="fr-CH"/>
        </w:rPr>
        <w:t>des bandes de fréquences pour les nouvelles techniques numériques</w:t>
      </w:r>
      <w:r>
        <w:rPr>
          <w:lang w:val="fr-CH"/>
        </w:rPr>
        <w:t>,</w:t>
      </w:r>
    </w:p>
    <w:p w:rsidR="009C2043" w:rsidRPr="0022476E" w:rsidRDefault="009C2043" w:rsidP="00A17011">
      <w:pPr>
        <w:pStyle w:val="Call"/>
        <w:jc w:val="both"/>
        <w:rPr>
          <w:lang w:val="fr-CH"/>
        </w:rPr>
      </w:pPr>
      <w:r w:rsidRPr="0022476E">
        <w:rPr>
          <w:lang w:val="fr-CH"/>
        </w:rPr>
        <w:t>reconnaissant</w:t>
      </w:r>
    </w:p>
    <w:p w:rsidR="009C2043" w:rsidRPr="0022476E" w:rsidRDefault="009C2043" w:rsidP="00A17011">
      <w:pPr>
        <w:tabs>
          <w:tab w:val="left" w:pos="1080"/>
        </w:tabs>
        <w:jc w:val="both"/>
        <w:rPr>
          <w:lang w:val="fr-CH"/>
        </w:rPr>
      </w:pPr>
      <w:r w:rsidRPr="0022476E">
        <w:rPr>
          <w:i/>
          <w:iCs/>
          <w:lang w:val="fr-CH"/>
        </w:rPr>
        <w:t>a)</w:t>
      </w:r>
      <w:r w:rsidRPr="0022476E">
        <w:rPr>
          <w:lang w:val="fr-CH"/>
        </w:rPr>
        <w:tab/>
        <w:t xml:space="preserve">que les systèmes de communication maritime évolués peuvent contribuer à la mise en </w:t>
      </w:r>
      <w:proofErr w:type="spellStart"/>
      <w:r>
        <w:rPr>
          <w:lang w:val="fr-CH"/>
        </w:rPr>
        <w:t>oe</w:t>
      </w:r>
      <w:r w:rsidRPr="0022476E">
        <w:rPr>
          <w:lang w:val="fr-CH"/>
        </w:rPr>
        <w:t>uvre</w:t>
      </w:r>
      <w:proofErr w:type="spellEnd"/>
      <w:r w:rsidRPr="0022476E">
        <w:rPr>
          <w:lang w:val="fr-CH"/>
        </w:rPr>
        <w:t xml:space="preserve"> de la modernisation du SMDSM;</w:t>
      </w:r>
    </w:p>
    <w:p w:rsidR="009C2043" w:rsidRPr="0022476E" w:rsidRDefault="009C2043" w:rsidP="00A17011">
      <w:pPr>
        <w:tabs>
          <w:tab w:val="left" w:pos="1080"/>
        </w:tabs>
        <w:jc w:val="both"/>
        <w:rPr>
          <w:lang w:val="fr-CH"/>
        </w:rPr>
      </w:pPr>
      <w:r w:rsidRPr="00A31EA2">
        <w:rPr>
          <w:i/>
          <w:iCs/>
        </w:rPr>
        <w:t>b)</w:t>
      </w:r>
      <w:r w:rsidRPr="0022476E">
        <w:rPr>
          <w:lang w:val="fr-CH"/>
        </w:rPr>
        <w:tab/>
        <w:t xml:space="preserve">que les efforts </w:t>
      </w:r>
      <w:r>
        <w:rPr>
          <w:lang w:val="fr-CH"/>
        </w:rPr>
        <w:t>déployés par</w:t>
      </w:r>
      <w:r w:rsidRPr="0022476E">
        <w:rPr>
          <w:lang w:val="fr-CH"/>
        </w:rPr>
        <w:t xml:space="preserve"> l'OMI </w:t>
      </w:r>
      <w:r>
        <w:rPr>
          <w:lang w:val="fr-CH"/>
        </w:rPr>
        <w:t>pour</w:t>
      </w:r>
      <w:r w:rsidRPr="0022476E">
        <w:rPr>
          <w:lang w:val="fr-CH"/>
        </w:rPr>
        <w:t xml:space="preserve"> mettre en </w:t>
      </w:r>
      <w:proofErr w:type="spellStart"/>
      <w:r>
        <w:rPr>
          <w:lang w:val="fr-CH"/>
        </w:rPr>
        <w:t>oe</w:t>
      </w:r>
      <w:r w:rsidRPr="0022476E">
        <w:rPr>
          <w:lang w:val="fr-CH"/>
        </w:rPr>
        <w:t>uvre</w:t>
      </w:r>
      <w:proofErr w:type="spellEnd"/>
      <w:r w:rsidRPr="0022476E">
        <w:rPr>
          <w:lang w:val="fr-CH"/>
        </w:rPr>
        <w:t xml:space="preserve"> la modernisation du SMDSM </w:t>
      </w:r>
      <w:r>
        <w:rPr>
          <w:lang w:val="fr-CH"/>
        </w:rPr>
        <w:t xml:space="preserve">nécessitent peut-être une modification </w:t>
      </w:r>
      <w:r w:rsidRPr="0022476E">
        <w:rPr>
          <w:lang w:val="fr-CH"/>
        </w:rPr>
        <w:t>du Règlement des radiocommunications</w:t>
      </w:r>
      <w:r>
        <w:rPr>
          <w:lang w:val="fr-CH"/>
        </w:rPr>
        <w:t>,</w:t>
      </w:r>
      <w:r w:rsidRPr="0022476E">
        <w:rPr>
          <w:lang w:val="fr-CH"/>
        </w:rPr>
        <w:t xml:space="preserve"> afin de tenir compt</w:t>
      </w:r>
      <w:r>
        <w:rPr>
          <w:lang w:val="fr-CH"/>
        </w:rPr>
        <w:t>e des systèmes de communication maritime</w:t>
      </w:r>
      <w:r w:rsidRPr="0022476E">
        <w:rPr>
          <w:lang w:val="fr-CH"/>
        </w:rPr>
        <w:t xml:space="preserve"> évolués;</w:t>
      </w:r>
    </w:p>
    <w:p w:rsidR="009C2043" w:rsidRDefault="009C2043" w:rsidP="00A17011">
      <w:pPr>
        <w:tabs>
          <w:tab w:val="left" w:pos="1080"/>
        </w:tabs>
        <w:jc w:val="both"/>
        <w:rPr>
          <w:lang w:val="fr-CH"/>
        </w:rPr>
      </w:pPr>
      <w:r w:rsidRPr="0022476E">
        <w:rPr>
          <w:i/>
          <w:iCs/>
          <w:lang w:val="fr-CH"/>
        </w:rPr>
        <w:t>c)</w:t>
      </w:r>
      <w:r w:rsidRPr="0022476E">
        <w:rPr>
          <w:lang w:val="fr-CH"/>
        </w:rPr>
        <w:tab/>
        <w:t xml:space="preserve">que les </w:t>
      </w:r>
      <w:r>
        <w:rPr>
          <w:lang w:val="fr-CH"/>
        </w:rPr>
        <w:t>systèmes de communication du SMDSM</w:t>
      </w:r>
      <w:r w:rsidRPr="0022476E">
        <w:rPr>
          <w:lang w:val="fr-CH"/>
        </w:rPr>
        <w:t xml:space="preserve">, compte tenu de leur importance pour garantir la sécurité des transports maritimes et du commerce ainsi que la sécurité en mer, doivent </w:t>
      </w:r>
      <w:r>
        <w:rPr>
          <w:lang w:val="fr-CH"/>
        </w:rPr>
        <w:t xml:space="preserve">résister </w:t>
      </w:r>
      <w:r w:rsidRPr="0022476E">
        <w:rPr>
          <w:lang w:val="fr-CH"/>
        </w:rPr>
        <w:t>aux brouillages</w:t>
      </w:r>
      <w:r>
        <w:rPr>
          <w:lang w:val="fr-CH"/>
        </w:rPr>
        <w:t>;</w:t>
      </w:r>
    </w:p>
    <w:p w:rsidR="009C2043" w:rsidRDefault="009C2043" w:rsidP="00A17011">
      <w:pPr>
        <w:tabs>
          <w:tab w:val="left" w:pos="1080"/>
        </w:tabs>
        <w:jc w:val="both"/>
        <w:rPr>
          <w:lang w:val="fr-CH"/>
        </w:rPr>
      </w:pPr>
      <w:r w:rsidRPr="0006035D">
        <w:rPr>
          <w:i/>
          <w:iCs/>
          <w:lang w:val="fr-CH"/>
        </w:rPr>
        <w:lastRenderedPageBreak/>
        <w:t>d)</w:t>
      </w:r>
      <w:r>
        <w:rPr>
          <w:lang w:val="fr-CH"/>
        </w:rPr>
        <w:tab/>
      </w:r>
      <w:r>
        <w:rPr>
          <w:color w:val="000000"/>
        </w:rPr>
        <w:t>que l'OMI a été saisie d'une demande de reconnaissance d'un système à satellites existant dans le cadre du SMDSM, et qu'il faudra peut-être envisager de prendre des mesures réglementaires en conséquence;</w:t>
      </w:r>
    </w:p>
    <w:p w:rsidR="009C2043" w:rsidRDefault="009C2043" w:rsidP="00A17011">
      <w:pPr>
        <w:tabs>
          <w:tab w:val="left" w:pos="1080"/>
        </w:tabs>
        <w:jc w:val="both"/>
        <w:rPr>
          <w:lang w:val="fr-CH"/>
        </w:rPr>
      </w:pPr>
      <w:r w:rsidRPr="003074D3">
        <w:rPr>
          <w:i/>
          <w:lang w:val="fr-CH"/>
        </w:rPr>
        <w:t>e)</w:t>
      </w:r>
      <w:r>
        <w:rPr>
          <w:lang w:val="fr-CH"/>
        </w:rPr>
        <w:tab/>
        <w:t xml:space="preserve">que les numéros </w:t>
      </w:r>
      <w:r w:rsidRPr="0006035D">
        <w:rPr>
          <w:b/>
          <w:bCs/>
          <w:lang w:val="fr-CH"/>
        </w:rPr>
        <w:t>4.6</w:t>
      </w:r>
      <w:r w:rsidRPr="00337121">
        <w:rPr>
          <w:lang w:val="fr-CH"/>
        </w:rPr>
        <w:t>,</w:t>
      </w:r>
      <w:r w:rsidRPr="0006035D">
        <w:rPr>
          <w:b/>
          <w:bCs/>
          <w:lang w:val="fr-CH"/>
        </w:rPr>
        <w:t xml:space="preserve"> 5.369</w:t>
      </w:r>
      <w:r w:rsidRPr="00337121">
        <w:rPr>
          <w:lang w:val="fr-CH"/>
        </w:rPr>
        <w:t xml:space="preserve"> et </w:t>
      </w:r>
      <w:r w:rsidRPr="0006035D">
        <w:rPr>
          <w:b/>
          <w:bCs/>
          <w:lang w:val="fr-CH"/>
        </w:rPr>
        <w:t>5.372</w:t>
      </w:r>
      <w:r>
        <w:rPr>
          <w:lang w:val="fr-CH"/>
        </w:rPr>
        <w:t xml:space="preserve"> donnent des renseignements sur l'utilisation de la bande de fréquences 1 616-1 626,5 MHz ou de parties de cette bande</w:t>
      </w:r>
      <w:r w:rsidRPr="00162638">
        <w:rPr>
          <w:lang w:val="fr-CH"/>
        </w:rPr>
        <w:t xml:space="preserve"> </w:t>
      </w:r>
      <w:r>
        <w:rPr>
          <w:lang w:val="fr-CH"/>
        </w:rPr>
        <w:t>de fréquences,</w:t>
      </w:r>
    </w:p>
    <w:p w:rsidR="009C2043" w:rsidRDefault="009C2043" w:rsidP="00A17011">
      <w:pPr>
        <w:pStyle w:val="Call"/>
        <w:tabs>
          <w:tab w:val="left" w:pos="6210"/>
        </w:tabs>
        <w:jc w:val="both"/>
        <w:rPr>
          <w:lang w:val="fr-CH"/>
        </w:rPr>
      </w:pPr>
      <w:r>
        <w:rPr>
          <w:lang w:val="fr-CH"/>
        </w:rPr>
        <w:t>décide d'inviter l'UIT-R</w:t>
      </w:r>
    </w:p>
    <w:p w:rsidR="009C2043" w:rsidRDefault="009C2043" w:rsidP="00A17011">
      <w:pPr>
        <w:jc w:val="both"/>
        <w:rPr>
          <w:color w:val="000000"/>
        </w:rPr>
      </w:pPr>
      <w:r>
        <w:rPr>
          <w:lang w:val="fr-CH"/>
        </w:rPr>
        <w:t>1</w:t>
      </w:r>
      <w:r>
        <w:rPr>
          <w:lang w:val="fr-CH"/>
        </w:rPr>
        <w:tab/>
      </w:r>
      <w:r>
        <w:rPr>
          <w:color w:val="000000"/>
        </w:rPr>
        <w:t>à mener des études, en tenant compte des activités de l'OMI, ainsi que des informations et des exigences fournies par l</w:t>
      </w:r>
      <w:r>
        <w:rPr>
          <w:lang w:val="fr-CH"/>
        </w:rPr>
        <w:t>'</w:t>
      </w:r>
      <w:r>
        <w:rPr>
          <w:color w:val="000000"/>
        </w:rPr>
        <w:t>OMI, en vue de déterminer les dispositions réglementaires nécessaires pour permettre la modernisation du SMDSM;</w:t>
      </w:r>
    </w:p>
    <w:p w:rsidR="009C2043" w:rsidRPr="005E06A3" w:rsidRDefault="009C2043" w:rsidP="00A17011">
      <w:pPr>
        <w:jc w:val="both"/>
      </w:pPr>
      <w:r>
        <w:t>2</w:t>
      </w:r>
      <w:r>
        <w:tab/>
      </w:r>
      <w:r>
        <w:rPr>
          <w:color w:val="000000"/>
        </w:rPr>
        <w:t>à mener des études, en tenant compte des activités de l'OMI et de la reconnaissance d'autres systèmes à satellites destinés à être utilisés dans le SMDSM, y compris l</w:t>
      </w:r>
      <w:r>
        <w:rPr>
          <w:lang w:val="fr-CH"/>
        </w:rPr>
        <w:t>'</w:t>
      </w:r>
      <w:r>
        <w:rPr>
          <w:color w:val="000000"/>
        </w:rPr>
        <w:t>examen des attributions au service mobile par satellite qui sont utilisées et des conséquences que pourraient avoir d</w:t>
      </w:r>
      <w:r>
        <w:rPr>
          <w:lang w:val="fr-CH"/>
        </w:rPr>
        <w:t>'</w:t>
      </w:r>
      <w:r>
        <w:rPr>
          <w:color w:val="000000"/>
        </w:rPr>
        <w:t>éventuelles modifications des dispositions du Règlement des radiocommunications relatives au partage et à la compatibilité avec d</w:t>
      </w:r>
      <w:r>
        <w:rPr>
          <w:lang w:val="fr-CH"/>
        </w:rPr>
        <w:t>'</w:t>
      </w:r>
      <w:r>
        <w:rPr>
          <w:color w:val="000000"/>
        </w:rPr>
        <w:t>autres services et systèmes exploités dans la bande de fréquences et dans les bandes de fréquences adjacentes,</w:t>
      </w:r>
    </w:p>
    <w:p w:rsidR="009C2043" w:rsidRPr="0022476E" w:rsidRDefault="009C2043" w:rsidP="00A17011">
      <w:pPr>
        <w:pStyle w:val="Call"/>
        <w:tabs>
          <w:tab w:val="left" w:pos="6210"/>
        </w:tabs>
        <w:jc w:val="both"/>
        <w:rPr>
          <w:lang w:val="fr-CH"/>
        </w:rPr>
      </w:pPr>
      <w:r w:rsidRPr="0022476E">
        <w:rPr>
          <w:lang w:val="fr-CH"/>
        </w:rPr>
        <w:t xml:space="preserve">invite la </w:t>
      </w:r>
      <w:r>
        <w:rPr>
          <w:lang w:val="fr-CH"/>
        </w:rPr>
        <w:t>Conférence mondiale des radiocommunications de 2019</w:t>
      </w:r>
    </w:p>
    <w:p w:rsidR="009C2043" w:rsidRPr="0022476E" w:rsidRDefault="009C2043" w:rsidP="00A17011">
      <w:pPr>
        <w:tabs>
          <w:tab w:val="left" w:pos="1080"/>
        </w:tabs>
        <w:jc w:val="both"/>
        <w:rPr>
          <w:lang w:val="fr-CH"/>
        </w:rPr>
      </w:pPr>
      <w:r w:rsidRPr="0022476E">
        <w:rPr>
          <w:lang w:val="fr-CH"/>
        </w:rPr>
        <w:t>1</w:t>
      </w:r>
      <w:r w:rsidRPr="0022476E">
        <w:rPr>
          <w:lang w:val="fr-CH"/>
        </w:rPr>
        <w:tab/>
        <w:t xml:space="preserve">à examiner </w:t>
      </w:r>
      <w:r>
        <w:rPr>
          <w:lang w:val="fr-CH"/>
        </w:rPr>
        <w:t>les résultats des études du Secteur des radiocommunications de l'UIT (UIT</w:t>
      </w:r>
      <w:r>
        <w:rPr>
          <w:lang w:val="fr-CH"/>
        </w:rPr>
        <w:noBreakHyphen/>
        <w:t>R) et à prendre, au besoin, les</w:t>
      </w:r>
      <w:r w:rsidRPr="0022476E">
        <w:rPr>
          <w:lang w:val="fr-CH"/>
        </w:rPr>
        <w:t xml:space="preserve"> mesures </w:t>
      </w:r>
      <w:r>
        <w:rPr>
          <w:lang w:val="fr-CH"/>
        </w:rPr>
        <w:t>nécessaires pour permettre la modernisation du </w:t>
      </w:r>
      <w:r w:rsidRPr="0022476E">
        <w:rPr>
          <w:lang w:val="fr-CH"/>
        </w:rPr>
        <w:t>SMDSM;</w:t>
      </w:r>
    </w:p>
    <w:p w:rsidR="009C2043" w:rsidRPr="0022476E" w:rsidRDefault="009C2043" w:rsidP="00A17011">
      <w:pPr>
        <w:tabs>
          <w:tab w:val="left" w:pos="1080"/>
        </w:tabs>
        <w:jc w:val="both"/>
        <w:rPr>
          <w:lang w:val="fr-CH"/>
        </w:rPr>
      </w:pPr>
      <w:r w:rsidRPr="0022476E">
        <w:rPr>
          <w:lang w:val="fr-CH"/>
        </w:rPr>
        <w:t>2</w:t>
      </w:r>
      <w:r w:rsidRPr="0022476E">
        <w:rPr>
          <w:lang w:val="fr-CH"/>
        </w:rPr>
        <w:tab/>
      </w:r>
      <w:r>
        <w:rPr>
          <w:lang w:val="fr-CH"/>
        </w:rPr>
        <w:t xml:space="preserve">à examiner des dispositions réglementaires, s'il y a lieu, sur la base des études de l'UIT-R et compte tenu des activités de l'OMI, relatives à la mise en </w:t>
      </w:r>
      <w:proofErr w:type="spellStart"/>
      <w:r>
        <w:rPr>
          <w:lang w:val="fr-CH"/>
        </w:rPr>
        <w:t>oeuvre</w:t>
      </w:r>
      <w:proofErr w:type="spellEnd"/>
      <w:r>
        <w:rPr>
          <w:lang w:val="fr-CH"/>
        </w:rPr>
        <w:t xml:space="preserve"> d'autres systèmes à satellites dans le SMDSM, y compris l'examen des attributions au service mobile par satellite (SMS) qui sont utilisées, tout en assurant la protection contre les brouillages préjudiciables de tous les services existants, y compris de ceux exploités dans les bandes de fréquences adjacentes, comme indiqué au point </w:t>
      </w:r>
      <w:r w:rsidRPr="0006035D">
        <w:rPr>
          <w:i/>
          <w:iCs/>
          <w:lang w:val="fr-CH"/>
        </w:rPr>
        <w:t>e)</w:t>
      </w:r>
      <w:r>
        <w:rPr>
          <w:lang w:val="fr-CH"/>
        </w:rPr>
        <w:t xml:space="preserve"> du </w:t>
      </w:r>
      <w:r w:rsidRPr="0006035D">
        <w:rPr>
          <w:i/>
          <w:iCs/>
          <w:lang w:val="fr-CH"/>
        </w:rPr>
        <w:t>reconnaissant</w:t>
      </w:r>
      <w:r w:rsidRPr="0022476E">
        <w:rPr>
          <w:lang w:val="fr-CH"/>
        </w:rPr>
        <w:t>,</w:t>
      </w:r>
    </w:p>
    <w:p w:rsidR="009C2043" w:rsidRPr="0022476E" w:rsidRDefault="009C2043" w:rsidP="00A17011">
      <w:pPr>
        <w:pStyle w:val="Call"/>
        <w:jc w:val="both"/>
        <w:rPr>
          <w:lang w:val="fr-CH"/>
        </w:rPr>
      </w:pPr>
      <w:r w:rsidRPr="0022476E">
        <w:rPr>
          <w:lang w:val="fr-CH"/>
        </w:rPr>
        <w:t>invite</w:t>
      </w:r>
    </w:p>
    <w:p w:rsidR="009C2043" w:rsidRDefault="009C2043" w:rsidP="00A17011">
      <w:pPr>
        <w:jc w:val="both"/>
        <w:rPr>
          <w:lang w:val="fr-CH"/>
        </w:rPr>
      </w:pPr>
      <w:r>
        <w:rPr>
          <w:lang w:val="fr-CH"/>
        </w:rPr>
        <w:t>1</w:t>
      </w:r>
      <w:r>
        <w:rPr>
          <w:lang w:val="fr-CH"/>
        </w:rPr>
        <w:tab/>
        <w:t>l'OMI à participer activement aux études en fournissant les exigences et les informations qu'il conviendra de prendre en compte dans les études de l'UIT-R;</w:t>
      </w:r>
    </w:p>
    <w:p w:rsidR="009C2043" w:rsidRPr="0022476E" w:rsidRDefault="009C2043" w:rsidP="00A17011">
      <w:pPr>
        <w:jc w:val="both"/>
        <w:rPr>
          <w:lang w:val="fr-CH"/>
        </w:rPr>
      </w:pPr>
      <w:r>
        <w:rPr>
          <w:lang w:val="fr-CH"/>
        </w:rPr>
        <w:t>2</w:t>
      </w:r>
      <w:r>
        <w:rPr>
          <w:lang w:val="fr-CH"/>
        </w:rPr>
        <w:tab/>
      </w:r>
      <w:r w:rsidRPr="0022476E">
        <w:rPr>
          <w:lang w:val="fr-CH"/>
        </w:rPr>
        <w:t>l'Association internationale de signalisation maritime (AISM), la Commission électrotechnique internationale (CEI), l'Organisation hydrographique internationale (OHI), l'Organisation internationale de normalisation (ISO) et l'Organisation météorologique mondiale (OMM) à contribuer à ces études,</w:t>
      </w:r>
    </w:p>
    <w:p w:rsidR="009C2043" w:rsidRPr="0022476E" w:rsidRDefault="009C2043" w:rsidP="00A17011">
      <w:pPr>
        <w:pStyle w:val="Call"/>
        <w:jc w:val="both"/>
        <w:rPr>
          <w:lang w:val="fr-CH"/>
        </w:rPr>
      </w:pPr>
      <w:r w:rsidRPr="0022476E">
        <w:rPr>
          <w:lang w:val="fr-CH"/>
        </w:rPr>
        <w:t>charge le Secrétaire général</w:t>
      </w:r>
    </w:p>
    <w:p w:rsidR="00255329" w:rsidRPr="009C2043" w:rsidRDefault="009C2043" w:rsidP="00A17011">
      <w:pPr>
        <w:jc w:val="both"/>
        <w:rPr>
          <w:rFonts w:asciiTheme="majorBidi" w:hAnsiTheme="majorBidi" w:cstheme="majorBidi"/>
          <w:szCs w:val="24"/>
        </w:rPr>
      </w:pPr>
      <w:r w:rsidRPr="0022476E">
        <w:rPr>
          <w:lang w:val="fr-CH"/>
        </w:rPr>
        <w:t xml:space="preserve">de porter la présente Résolution à l'attention de l'OMI et </w:t>
      </w:r>
      <w:r>
        <w:rPr>
          <w:lang w:val="fr-CH"/>
        </w:rPr>
        <w:t xml:space="preserve">des </w:t>
      </w:r>
      <w:r w:rsidRPr="0022476E">
        <w:rPr>
          <w:lang w:val="fr-CH"/>
        </w:rPr>
        <w:t>autres organisations internationales et régionales concernées.</w:t>
      </w:r>
    </w:p>
    <w:p w:rsidR="00601178" w:rsidRPr="009C2043" w:rsidRDefault="00601178" w:rsidP="00A17011">
      <w:pPr>
        <w:overflowPunct/>
        <w:autoSpaceDE/>
        <w:autoSpaceDN/>
        <w:adjustRightInd/>
        <w:spacing w:before="0"/>
        <w:jc w:val="both"/>
        <w:textAlignment w:val="auto"/>
        <w:rPr>
          <w:rFonts w:asciiTheme="majorBidi" w:hAnsiTheme="majorBidi" w:cstheme="majorBidi"/>
          <w:szCs w:val="24"/>
        </w:rPr>
      </w:pPr>
      <w:bookmarkStart w:id="186" w:name="_Toc444507570"/>
      <w:r w:rsidRPr="009C2043">
        <w:rPr>
          <w:rFonts w:asciiTheme="majorBidi" w:hAnsiTheme="majorBidi" w:cstheme="majorBidi"/>
          <w:szCs w:val="24"/>
        </w:rPr>
        <w:br w:type="page"/>
      </w:r>
    </w:p>
    <w:p w:rsidR="00F96BD5" w:rsidRPr="00F96BD5" w:rsidRDefault="00F96BD5" w:rsidP="00A17011">
      <w:pPr>
        <w:pStyle w:val="ResNo"/>
      </w:pPr>
      <w:bookmarkStart w:id="187" w:name="RES_360"/>
      <w:bookmarkStart w:id="188" w:name="_Toc450048714"/>
      <w:bookmarkStart w:id="189" w:name="_Toc460331716"/>
      <w:bookmarkStart w:id="190" w:name="_Toc463616173"/>
      <w:r w:rsidRPr="00F96BD5">
        <w:lastRenderedPageBreak/>
        <w:t>R</w:t>
      </w:r>
      <w:r w:rsidR="001D5201" w:rsidRPr="001D5201">
        <w:t>É</w:t>
      </w:r>
      <w:r w:rsidRPr="00F96BD5">
        <w:t xml:space="preserve">SOLUTION </w:t>
      </w:r>
      <w:r w:rsidRPr="00F96BD5">
        <w:rPr>
          <w:rStyle w:val="href"/>
        </w:rPr>
        <w:t>360</w:t>
      </w:r>
      <w:r w:rsidRPr="00F96BD5">
        <w:t xml:space="preserve"> </w:t>
      </w:r>
      <w:bookmarkEnd w:id="187"/>
      <w:r w:rsidRPr="00F96BD5">
        <w:t>(</w:t>
      </w:r>
      <w:r w:rsidR="00F8363E" w:rsidRPr="00F96BD5">
        <w:rPr>
          <w:caps w:val="0"/>
        </w:rPr>
        <w:t>Rév</w:t>
      </w:r>
      <w:r w:rsidRPr="00F96BD5">
        <w:t>.</w:t>
      </w:r>
      <w:r w:rsidR="00F8363E" w:rsidRPr="00A20F5A">
        <w:t>C</w:t>
      </w:r>
      <w:r w:rsidR="00F8363E">
        <w:t>MR</w:t>
      </w:r>
      <w:r w:rsidRPr="00F96BD5">
        <w:noBreakHyphen/>
        <w:t>15)</w:t>
      </w:r>
      <w:bookmarkEnd w:id="188"/>
      <w:bookmarkEnd w:id="189"/>
      <w:bookmarkEnd w:id="190"/>
    </w:p>
    <w:p w:rsidR="00533C74" w:rsidRPr="00B232CE" w:rsidRDefault="00533C74" w:rsidP="00A17011">
      <w:pPr>
        <w:pStyle w:val="Restitle"/>
        <w:rPr>
          <w:lang w:val="fr-CH"/>
        </w:rPr>
      </w:pPr>
      <w:bookmarkStart w:id="191" w:name="_Toc450208689"/>
      <w:bookmarkStart w:id="192" w:name="_Toc463616174"/>
      <w:r w:rsidRPr="00B232CE">
        <w:rPr>
          <w:lang w:val="fr-CH"/>
        </w:rPr>
        <w:t xml:space="preserve">Examen des dispositions réglementaires et des attributions de fréquences au service mobile maritime par satellite pour </w:t>
      </w:r>
      <w:r>
        <w:rPr>
          <w:lang w:val="fr-CH"/>
        </w:rPr>
        <w:t xml:space="preserve">permettre l'exploitation de </w:t>
      </w:r>
      <w:r w:rsidRPr="00B232CE">
        <w:rPr>
          <w:lang w:val="fr-CH"/>
        </w:rPr>
        <w:t xml:space="preserve">la composante satellite du système d'échange de données en ondes </w:t>
      </w:r>
      <w:r>
        <w:rPr>
          <w:lang w:val="fr-CH"/>
        </w:rPr>
        <w:br/>
      </w:r>
      <w:r w:rsidRPr="00B232CE">
        <w:rPr>
          <w:lang w:val="fr-CH"/>
        </w:rPr>
        <w:t xml:space="preserve">métriques et </w:t>
      </w:r>
      <w:r>
        <w:rPr>
          <w:lang w:val="fr-CH"/>
        </w:rPr>
        <w:t>l'</w:t>
      </w:r>
      <w:r w:rsidRPr="00B232CE">
        <w:rPr>
          <w:lang w:val="fr-CH"/>
        </w:rPr>
        <w:t>amélior</w:t>
      </w:r>
      <w:r>
        <w:rPr>
          <w:lang w:val="fr-CH"/>
        </w:rPr>
        <w:t>ation</w:t>
      </w:r>
      <w:r w:rsidRPr="00B232CE">
        <w:rPr>
          <w:lang w:val="fr-CH"/>
        </w:rPr>
        <w:t xml:space="preserve"> </w:t>
      </w:r>
      <w:r>
        <w:rPr>
          <w:lang w:val="fr-CH"/>
        </w:rPr>
        <w:t>des</w:t>
      </w:r>
      <w:r w:rsidRPr="00B232CE">
        <w:rPr>
          <w:lang w:val="fr-CH"/>
        </w:rPr>
        <w:t xml:space="preserve"> radiocommunications maritimes</w:t>
      </w:r>
      <w:bookmarkEnd w:id="191"/>
      <w:bookmarkEnd w:id="192"/>
    </w:p>
    <w:p w:rsidR="00533C74" w:rsidRPr="00B232CE" w:rsidRDefault="00533C74" w:rsidP="00A17011">
      <w:pPr>
        <w:pStyle w:val="Normalaftertitle"/>
        <w:jc w:val="both"/>
        <w:rPr>
          <w:lang w:val="fr-CH"/>
        </w:rPr>
      </w:pPr>
      <w:r w:rsidRPr="00B232CE">
        <w:rPr>
          <w:lang w:val="fr-CH"/>
        </w:rPr>
        <w:t>La Conférence mondiale des radiocommunications (Genève, 2015),</w:t>
      </w:r>
    </w:p>
    <w:p w:rsidR="00533C74" w:rsidRPr="00B232CE" w:rsidRDefault="00533C74" w:rsidP="00A17011">
      <w:pPr>
        <w:pStyle w:val="Call"/>
        <w:jc w:val="both"/>
        <w:rPr>
          <w:lang w:val="fr-CH"/>
        </w:rPr>
      </w:pPr>
      <w:r w:rsidRPr="00B232CE">
        <w:rPr>
          <w:lang w:val="fr-CH"/>
        </w:rPr>
        <w:t>considérant</w:t>
      </w:r>
    </w:p>
    <w:p w:rsidR="00533C74" w:rsidRPr="00B232CE" w:rsidRDefault="00533C74" w:rsidP="00A17011">
      <w:pPr>
        <w:jc w:val="both"/>
        <w:rPr>
          <w:lang w:val="fr-CH"/>
        </w:rPr>
      </w:pPr>
      <w:r w:rsidRPr="00B232CE">
        <w:rPr>
          <w:i/>
          <w:iCs/>
          <w:lang w:val="fr-CH"/>
        </w:rPr>
        <w:t>a)</w:t>
      </w:r>
      <w:r w:rsidRPr="00B232CE">
        <w:rPr>
          <w:lang w:val="fr-CH"/>
        </w:rPr>
        <w:tab/>
      </w:r>
      <w:r w:rsidRPr="00B232CE">
        <w:rPr>
          <w:lang w:val="fr-CH" w:eastAsia="de-DE"/>
        </w:rPr>
        <w:t>que</w:t>
      </w:r>
      <w:r>
        <w:rPr>
          <w:lang w:val="fr-CH" w:eastAsia="de-DE"/>
        </w:rPr>
        <w:t xml:space="preserve"> le Secteur des radiocommunications de</w:t>
      </w:r>
      <w:r w:rsidRPr="0006035D">
        <w:rPr>
          <w:lang w:val="fr-CH" w:eastAsia="de-DE"/>
        </w:rPr>
        <w:t xml:space="preserve"> </w:t>
      </w:r>
      <w:r w:rsidRPr="00B232CE">
        <w:rPr>
          <w:lang w:val="fr-CH" w:eastAsia="de-DE"/>
        </w:rPr>
        <w:t>l'UIT</w:t>
      </w:r>
      <w:r>
        <w:rPr>
          <w:lang w:val="fr-CH" w:eastAsia="de-DE"/>
        </w:rPr>
        <w:t xml:space="preserve"> (UIT</w:t>
      </w:r>
      <w:r w:rsidRPr="00B232CE">
        <w:rPr>
          <w:lang w:val="fr-CH" w:eastAsia="de-DE"/>
        </w:rPr>
        <w:t>-R</w:t>
      </w:r>
      <w:r>
        <w:rPr>
          <w:lang w:val="fr-CH" w:eastAsia="de-DE"/>
        </w:rPr>
        <w:t>)</w:t>
      </w:r>
      <w:r w:rsidRPr="00B232CE">
        <w:rPr>
          <w:lang w:val="fr-CH" w:eastAsia="de-DE"/>
        </w:rPr>
        <w:t xml:space="preserve"> a décrit les caractéristiques techniques d'un système d'échange de données en ondes métriques (VDES) dans la Recommandation UIT-R M.2092;</w:t>
      </w:r>
    </w:p>
    <w:p w:rsidR="00533C74" w:rsidRPr="00B232CE" w:rsidRDefault="00533C74" w:rsidP="00A17011">
      <w:pPr>
        <w:jc w:val="both"/>
        <w:rPr>
          <w:lang w:val="fr-CH"/>
        </w:rPr>
      </w:pPr>
      <w:r w:rsidRPr="00B232CE">
        <w:rPr>
          <w:i/>
          <w:iCs/>
          <w:lang w:val="fr-CH"/>
        </w:rPr>
        <w:t>b)</w:t>
      </w:r>
      <w:r w:rsidRPr="00B232CE">
        <w:rPr>
          <w:lang w:val="fr-CH"/>
        </w:rPr>
        <w:tab/>
      </w:r>
      <w:r w:rsidRPr="00B232CE">
        <w:rPr>
          <w:lang w:val="fr-CH" w:eastAsia="de-DE"/>
        </w:rPr>
        <w:t>que le système d'identification automatique (AIS) décrit dans la Recommandation UIT</w:t>
      </w:r>
      <w:r>
        <w:rPr>
          <w:lang w:val="fr-CH" w:eastAsia="de-DE"/>
        </w:rPr>
        <w:noBreakHyphen/>
        <w:t>R </w:t>
      </w:r>
      <w:r w:rsidRPr="00B232CE">
        <w:rPr>
          <w:lang w:val="fr-CH" w:eastAsia="de-DE"/>
        </w:rPr>
        <w:t>M.1371 fait partie intégrante du système VDES;</w:t>
      </w:r>
    </w:p>
    <w:p w:rsidR="00533C74" w:rsidRPr="00B232CE" w:rsidRDefault="00533C74" w:rsidP="00A17011">
      <w:pPr>
        <w:jc w:val="both"/>
        <w:rPr>
          <w:lang w:val="fr-CH" w:eastAsia="de-DE"/>
        </w:rPr>
      </w:pPr>
      <w:r w:rsidRPr="00B232CE">
        <w:rPr>
          <w:i/>
          <w:iCs/>
          <w:lang w:val="fr-CH"/>
        </w:rPr>
        <w:t>c)</w:t>
      </w:r>
      <w:r w:rsidRPr="00B232CE">
        <w:rPr>
          <w:lang w:val="fr-CH"/>
        </w:rPr>
        <w:tab/>
      </w:r>
      <w:r w:rsidRPr="00B232CE">
        <w:rPr>
          <w:lang w:val="fr-CH" w:eastAsia="de-DE"/>
        </w:rPr>
        <w:t>que le système VDES utilise la structure temporelle et de trame du système AIS;</w:t>
      </w:r>
    </w:p>
    <w:p w:rsidR="00533C74" w:rsidRPr="00B232CE" w:rsidRDefault="00533C74" w:rsidP="00A17011">
      <w:pPr>
        <w:jc w:val="both"/>
        <w:rPr>
          <w:lang w:val="fr-CH" w:eastAsia="de-DE"/>
        </w:rPr>
      </w:pPr>
      <w:r w:rsidRPr="00B232CE">
        <w:rPr>
          <w:i/>
          <w:iCs/>
          <w:lang w:val="fr-CH" w:eastAsia="de-DE"/>
        </w:rPr>
        <w:t>d)</w:t>
      </w:r>
      <w:r w:rsidRPr="00B232CE">
        <w:rPr>
          <w:lang w:val="fr-CH" w:eastAsia="de-DE"/>
        </w:rPr>
        <w:tab/>
        <w:t xml:space="preserve">que le système AIS </w:t>
      </w:r>
      <w:r>
        <w:rPr>
          <w:lang w:val="fr-CH" w:eastAsia="de-DE"/>
        </w:rPr>
        <w:t>est utilisé</w:t>
      </w:r>
      <w:r w:rsidRPr="00B232CE">
        <w:rPr>
          <w:lang w:val="fr-CH" w:eastAsia="de-DE"/>
        </w:rPr>
        <w:t xml:space="preserve"> avant tout pour la surveillance et la sécurité de la navigation dans le cadre d'applications navire-navire, de comptes rendus des mouvements de navire et d</w:t>
      </w:r>
      <w:r>
        <w:rPr>
          <w:lang w:val="fr-CH" w:eastAsia="de-DE"/>
        </w:rPr>
        <w:t>u</w:t>
      </w:r>
      <w:r w:rsidRPr="00B232CE">
        <w:rPr>
          <w:lang w:val="fr-CH" w:eastAsia="de-DE"/>
        </w:rPr>
        <w:t xml:space="preserve"> trafic maritime;</w:t>
      </w:r>
    </w:p>
    <w:p w:rsidR="00533C74" w:rsidRPr="00B232CE" w:rsidRDefault="00533C74" w:rsidP="00A17011">
      <w:pPr>
        <w:jc w:val="both"/>
        <w:rPr>
          <w:lang w:val="fr-CH" w:eastAsia="de-DE"/>
        </w:rPr>
      </w:pPr>
      <w:r w:rsidRPr="00B232CE">
        <w:rPr>
          <w:i/>
          <w:iCs/>
          <w:lang w:val="fr-CH" w:eastAsia="de-DE"/>
        </w:rPr>
        <w:t>e)</w:t>
      </w:r>
      <w:r w:rsidRPr="00B232CE">
        <w:rPr>
          <w:lang w:val="fr-CH" w:eastAsia="de-DE"/>
        </w:rPr>
        <w:tab/>
        <w:t xml:space="preserve">qu'il est de plus en plus nécessaire de mettre en </w:t>
      </w:r>
      <w:r>
        <w:rPr>
          <w:lang w:val="fr-CH" w:eastAsia="de-DE"/>
        </w:rPr>
        <w:t xml:space="preserve">place </w:t>
      </w:r>
      <w:r w:rsidRPr="00B232CE">
        <w:rPr>
          <w:lang w:val="fr-CH" w:eastAsia="de-DE"/>
        </w:rPr>
        <w:t>une composante satellite</w:t>
      </w:r>
      <w:r>
        <w:rPr>
          <w:lang w:val="fr-CH" w:eastAsia="de-DE"/>
        </w:rPr>
        <w:t xml:space="preserve"> </w:t>
      </w:r>
      <w:r w:rsidRPr="00B232CE">
        <w:rPr>
          <w:lang w:val="fr-CH" w:eastAsia="de-DE"/>
        </w:rPr>
        <w:t>future du système VDES qui offrirait la possibilité d'améliorer la sécurité maritime;</w:t>
      </w:r>
    </w:p>
    <w:p w:rsidR="00533C74" w:rsidRPr="00B232CE" w:rsidRDefault="00533C74" w:rsidP="00A17011">
      <w:pPr>
        <w:jc w:val="both"/>
        <w:rPr>
          <w:lang w:val="fr-CH" w:eastAsia="de-DE"/>
        </w:rPr>
      </w:pPr>
      <w:r w:rsidRPr="00B232CE">
        <w:rPr>
          <w:i/>
          <w:iCs/>
          <w:lang w:val="fr-CH" w:eastAsia="de-DE"/>
        </w:rPr>
        <w:t>f)</w:t>
      </w:r>
      <w:r w:rsidRPr="00B232CE">
        <w:rPr>
          <w:lang w:val="fr-CH" w:eastAsia="de-DE"/>
        </w:rPr>
        <w:tab/>
        <w:t xml:space="preserve">que </w:t>
      </w:r>
      <w:r w:rsidRPr="00B232CE">
        <w:rPr>
          <w:lang w:val="fr-CH"/>
        </w:rPr>
        <w:t xml:space="preserve">la composante satellite du système VDES ne devrait pas </w:t>
      </w:r>
      <w:r>
        <w:rPr>
          <w:lang w:val="fr-CH"/>
        </w:rPr>
        <w:t>affecter</w:t>
      </w:r>
      <w:r w:rsidRPr="00B232CE">
        <w:rPr>
          <w:lang w:val="fr-CH"/>
        </w:rPr>
        <w:t xml:space="preserve"> le système AIS, les messages propres aux applications (ASM) et la composante de Terre du système VDES,</w:t>
      </w:r>
      <w:r>
        <w:rPr>
          <w:lang w:val="fr-CH"/>
        </w:rPr>
        <w:t xml:space="preserve"> tout en</w:t>
      </w:r>
      <w:r w:rsidRPr="00B232CE">
        <w:rPr>
          <w:lang w:val="fr-CH"/>
        </w:rPr>
        <w:t xml:space="preserve"> utilis</w:t>
      </w:r>
      <w:r>
        <w:rPr>
          <w:lang w:val="fr-CH"/>
        </w:rPr>
        <w:t>ant</w:t>
      </w:r>
      <w:r w:rsidRPr="00B232CE">
        <w:rPr>
          <w:lang w:val="fr-CH"/>
        </w:rPr>
        <w:t xml:space="preserve"> efficacement les bandes d'ondes métriques attribuées </w:t>
      </w:r>
      <w:r>
        <w:rPr>
          <w:lang w:val="fr-CH"/>
        </w:rPr>
        <w:t xml:space="preserve">aux </w:t>
      </w:r>
      <w:r w:rsidRPr="00B232CE">
        <w:rPr>
          <w:lang w:val="fr-CH"/>
        </w:rPr>
        <w:t xml:space="preserve">radiocommunications </w:t>
      </w:r>
      <w:r w:rsidRPr="00B232CE">
        <w:rPr>
          <w:lang w:val="fr-CH" w:eastAsia="de-DE"/>
        </w:rPr>
        <w:t xml:space="preserve">maritimes </w:t>
      </w:r>
      <w:r w:rsidRPr="00B232CE">
        <w:rPr>
          <w:lang w:val="fr-CH"/>
        </w:rPr>
        <w:t xml:space="preserve">et </w:t>
      </w:r>
      <w:r>
        <w:rPr>
          <w:lang w:val="fr-CH"/>
        </w:rPr>
        <w:t>répondant aux besoins de</w:t>
      </w:r>
      <w:r w:rsidRPr="00B232CE">
        <w:rPr>
          <w:lang w:val="fr-CH"/>
        </w:rPr>
        <w:t xml:space="preserve"> tous les utilisateurs</w:t>
      </w:r>
      <w:r w:rsidRPr="00B232CE">
        <w:rPr>
          <w:lang w:val="fr-CH" w:eastAsia="de-DE"/>
        </w:rPr>
        <w:t>;</w:t>
      </w:r>
    </w:p>
    <w:p w:rsidR="00533C74" w:rsidRPr="00B232CE" w:rsidRDefault="00533C74" w:rsidP="00A17011">
      <w:pPr>
        <w:jc w:val="both"/>
        <w:rPr>
          <w:lang w:val="fr-CH" w:eastAsia="de-DE"/>
        </w:rPr>
      </w:pPr>
      <w:r w:rsidRPr="00B232CE">
        <w:rPr>
          <w:i/>
          <w:iCs/>
          <w:lang w:val="fr-CH" w:eastAsia="de-DE"/>
        </w:rPr>
        <w:t>g)</w:t>
      </w:r>
      <w:r w:rsidRPr="00B232CE">
        <w:rPr>
          <w:lang w:val="fr-CH" w:eastAsia="de-DE"/>
        </w:rPr>
        <w:tab/>
        <w:t>que</w:t>
      </w:r>
      <w:r w:rsidRPr="0006035D">
        <w:rPr>
          <w:lang w:val="fr-CH"/>
        </w:rPr>
        <w:t xml:space="preserve"> </w:t>
      </w:r>
      <w:r w:rsidRPr="00B232CE">
        <w:rPr>
          <w:lang w:val="fr-CH"/>
        </w:rPr>
        <w:t>la composante satellite du système VDES ne devrait pas causer de brouillages préjudiciables aux voies utilisant l'appel sélectif numérique (ASN), aux voies AIS et aux voies utilisées par les communications vocales pour la détresse, la sécurité et l'appel</w:t>
      </w:r>
      <w:r w:rsidRPr="00B232CE">
        <w:rPr>
          <w:lang w:val="fr-CH" w:eastAsia="de-DE"/>
        </w:rPr>
        <w:t>;</w:t>
      </w:r>
    </w:p>
    <w:p w:rsidR="00533C74" w:rsidRPr="00B232CE" w:rsidRDefault="00533C74" w:rsidP="00A17011">
      <w:pPr>
        <w:keepNext/>
        <w:keepLines/>
        <w:jc w:val="both"/>
        <w:rPr>
          <w:lang w:val="fr-CH"/>
        </w:rPr>
      </w:pPr>
      <w:r w:rsidRPr="00B232CE">
        <w:rPr>
          <w:i/>
          <w:iCs/>
          <w:lang w:val="fr-CH" w:eastAsia="de-DE"/>
        </w:rPr>
        <w:t>h)</w:t>
      </w:r>
      <w:r w:rsidRPr="00B232CE">
        <w:rPr>
          <w:lang w:val="fr-CH" w:eastAsia="de-DE"/>
        </w:rPr>
        <w:tab/>
        <w:t xml:space="preserve">que </w:t>
      </w:r>
      <w:r w:rsidRPr="00B232CE">
        <w:rPr>
          <w:lang w:val="fr-CH"/>
        </w:rPr>
        <w:t>la composante satellite du système VDES peut fonctionner dans la partie pertinente des bandes de fréquences en ondes métriques 156,0125-157,4375 MHz et 160,6125-162,0375 MHz</w:t>
      </w:r>
      <w:r>
        <w:rPr>
          <w:lang w:val="fr-CH"/>
        </w:rPr>
        <w:t xml:space="preserve"> </w:t>
      </w:r>
      <w:r w:rsidRPr="00B232CE">
        <w:rPr>
          <w:lang w:val="fr-CH"/>
        </w:rPr>
        <w:t xml:space="preserve">attribuées </w:t>
      </w:r>
      <w:r>
        <w:rPr>
          <w:lang w:val="fr-CH"/>
        </w:rPr>
        <w:t xml:space="preserve">aux services </w:t>
      </w:r>
      <w:r w:rsidRPr="00B232CE">
        <w:rPr>
          <w:lang w:val="fr-CH"/>
        </w:rPr>
        <w:t>maritimes</w:t>
      </w:r>
      <w:r w:rsidRPr="00B232CE">
        <w:rPr>
          <w:lang w:val="fr-CH" w:eastAsia="de-DE"/>
        </w:rPr>
        <w:t>,</w:t>
      </w:r>
    </w:p>
    <w:p w:rsidR="00533C74" w:rsidRPr="0006035D" w:rsidRDefault="00533C74" w:rsidP="00A17011">
      <w:pPr>
        <w:keepNext/>
        <w:keepLines/>
        <w:spacing w:before="160"/>
        <w:ind w:left="1134"/>
        <w:jc w:val="both"/>
        <w:rPr>
          <w:i/>
          <w:lang w:val="fr-CH"/>
        </w:rPr>
      </w:pPr>
      <w:r w:rsidRPr="0006035D">
        <w:rPr>
          <w:i/>
          <w:lang w:val="fr-CH"/>
        </w:rPr>
        <w:t>notant</w:t>
      </w:r>
    </w:p>
    <w:p w:rsidR="00533C74" w:rsidRPr="0006035D" w:rsidRDefault="00533C74" w:rsidP="00A17011">
      <w:pPr>
        <w:jc w:val="both"/>
        <w:rPr>
          <w:lang w:val="fr-CH"/>
        </w:rPr>
      </w:pPr>
      <w:r w:rsidRPr="0006035D">
        <w:rPr>
          <w:lang w:val="fr-CH"/>
        </w:rPr>
        <w:t>que l'Organisation maritime internationale (OMI) a élaboré un code international pour les navires exploités dans les eaux polaires</w:t>
      </w:r>
      <w:r>
        <w:rPr>
          <w:lang w:val="fr-CH"/>
        </w:rPr>
        <w:t xml:space="preserve"> appelé</w:t>
      </w:r>
      <w:r w:rsidRPr="0006035D">
        <w:rPr>
          <w:lang w:val="fr-CH"/>
        </w:rPr>
        <w:t xml:space="preserve"> </w:t>
      </w:r>
      <w:r w:rsidRPr="00B232CE">
        <w:rPr>
          <w:lang w:val="fr-CH"/>
        </w:rPr>
        <w:t>«</w:t>
      </w:r>
      <w:r w:rsidRPr="0006035D">
        <w:rPr>
          <w:lang w:val="fr-CH"/>
        </w:rPr>
        <w:t>Code polaire</w:t>
      </w:r>
      <w:r w:rsidRPr="00B232CE">
        <w:rPr>
          <w:lang w:val="fr-CH"/>
        </w:rPr>
        <w:t>»</w:t>
      </w:r>
      <w:r w:rsidRPr="0006035D">
        <w:rPr>
          <w:lang w:val="fr-CH"/>
        </w:rPr>
        <w:t>,</w:t>
      </w:r>
    </w:p>
    <w:p w:rsidR="00533C74" w:rsidRPr="00B232CE" w:rsidRDefault="00533C74" w:rsidP="00A17011">
      <w:pPr>
        <w:pStyle w:val="Call"/>
        <w:jc w:val="both"/>
        <w:rPr>
          <w:lang w:val="fr-CH"/>
        </w:rPr>
      </w:pPr>
      <w:r w:rsidRPr="00B232CE">
        <w:rPr>
          <w:lang w:val="fr-CH"/>
        </w:rPr>
        <w:t>reconnaissant</w:t>
      </w:r>
    </w:p>
    <w:p w:rsidR="00533C74" w:rsidRPr="00B232CE" w:rsidRDefault="00533C74" w:rsidP="00A17011">
      <w:pPr>
        <w:jc w:val="both"/>
        <w:rPr>
          <w:lang w:val="fr-CH"/>
        </w:rPr>
      </w:pPr>
      <w:r w:rsidRPr="00B232CE">
        <w:rPr>
          <w:i/>
          <w:iCs/>
          <w:lang w:val="fr-CH"/>
        </w:rPr>
        <w:t>a)</w:t>
      </w:r>
      <w:r w:rsidRPr="00B232CE">
        <w:rPr>
          <w:lang w:val="fr-CH"/>
        </w:rPr>
        <w:tab/>
        <w:t xml:space="preserve">qu'une composante satellite </w:t>
      </w:r>
      <w:r>
        <w:rPr>
          <w:lang w:val="fr-CH"/>
        </w:rPr>
        <w:t>du</w:t>
      </w:r>
      <w:r w:rsidRPr="00B232CE">
        <w:rPr>
          <w:lang w:val="fr-CH"/>
        </w:rPr>
        <w:t xml:space="preserve"> système VDES est nécessaire</w:t>
      </w:r>
      <w:r>
        <w:rPr>
          <w:lang w:val="fr-CH"/>
        </w:rPr>
        <w:t>,</w:t>
      </w:r>
      <w:r w:rsidRPr="00B232CE">
        <w:rPr>
          <w:lang w:val="fr-CH"/>
        </w:rPr>
        <w:t xml:space="preserve"> afin</w:t>
      </w:r>
      <w:r>
        <w:rPr>
          <w:lang w:val="fr-CH"/>
        </w:rPr>
        <w:t xml:space="preserve"> d'élargir</w:t>
      </w:r>
      <w:r w:rsidRPr="00B232CE">
        <w:rPr>
          <w:lang w:val="fr-CH"/>
        </w:rPr>
        <w:t xml:space="preserve"> la couverture du système des zones côtières au monde entier;</w:t>
      </w:r>
    </w:p>
    <w:p w:rsidR="00533C74" w:rsidRPr="00B232CE" w:rsidRDefault="00533C74" w:rsidP="00A17011">
      <w:pPr>
        <w:jc w:val="both"/>
        <w:rPr>
          <w:lang w:val="fr-CH"/>
        </w:rPr>
      </w:pPr>
      <w:r w:rsidRPr="00B232CE">
        <w:rPr>
          <w:i/>
          <w:iCs/>
          <w:lang w:val="fr-CH"/>
        </w:rPr>
        <w:t>b)</w:t>
      </w:r>
      <w:r w:rsidRPr="00B232CE">
        <w:rPr>
          <w:lang w:val="fr-CH"/>
        </w:rPr>
        <w:tab/>
        <w:t>qu'une composante satellite du système VDES offre la possibilité d'améliorer les communications de sécurité en ondes métriques à l'échelle mondiale</w:t>
      </w:r>
      <w:r>
        <w:rPr>
          <w:lang w:val="fr-CH"/>
        </w:rPr>
        <w:t>,</w:t>
      </w:r>
      <w:r w:rsidRPr="00B232CE">
        <w:rPr>
          <w:lang w:val="fr-CH"/>
        </w:rPr>
        <w:t xml:space="preserve"> afin de </w:t>
      </w:r>
      <w:r>
        <w:rPr>
          <w:lang w:val="fr-CH"/>
        </w:rPr>
        <w:t>répondre aux</w:t>
      </w:r>
      <w:r w:rsidRPr="00B232CE">
        <w:rPr>
          <w:lang w:val="fr-CH"/>
        </w:rPr>
        <w:t xml:space="preserve"> besoin</w:t>
      </w:r>
      <w:r>
        <w:rPr>
          <w:lang w:val="fr-CH"/>
        </w:rPr>
        <w:t>s</w:t>
      </w:r>
      <w:r w:rsidRPr="00B232CE">
        <w:rPr>
          <w:lang w:val="fr-CH"/>
        </w:rPr>
        <w:t xml:space="preserve"> croissant</w:t>
      </w:r>
      <w:r>
        <w:rPr>
          <w:lang w:val="fr-CH"/>
        </w:rPr>
        <w:t>s</w:t>
      </w:r>
      <w:r w:rsidRPr="00B232CE">
        <w:rPr>
          <w:lang w:val="fr-CH"/>
        </w:rPr>
        <w:t xml:space="preserve"> de communications maritimes en vue d'améliorer la sécurité maritime;</w:t>
      </w:r>
    </w:p>
    <w:p w:rsidR="00533C74" w:rsidRPr="00B232CE" w:rsidRDefault="00533C74" w:rsidP="00A17011">
      <w:pPr>
        <w:jc w:val="both"/>
        <w:rPr>
          <w:lang w:val="fr-CH"/>
        </w:rPr>
      </w:pPr>
      <w:r w:rsidRPr="00B232CE">
        <w:rPr>
          <w:i/>
          <w:iCs/>
          <w:lang w:val="fr-CH"/>
        </w:rPr>
        <w:t>c)</w:t>
      </w:r>
      <w:r w:rsidRPr="00B232CE">
        <w:rPr>
          <w:lang w:val="fr-CH"/>
        </w:rPr>
        <w:tab/>
        <w:t xml:space="preserve">que cette composante satellite devrait pouvoir fonctionner avec le système VDES de Terre (AIS, ASM et VDE) et ne devrait pas </w:t>
      </w:r>
      <w:r>
        <w:rPr>
          <w:lang w:val="fr-CH"/>
        </w:rPr>
        <w:t xml:space="preserve">affecter </w:t>
      </w:r>
      <w:r w:rsidRPr="00B232CE">
        <w:rPr>
          <w:lang w:val="fr-CH"/>
        </w:rPr>
        <w:t>ce système, ni le bloquer;</w:t>
      </w:r>
    </w:p>
    <w:p w:rsidR="00533C74" w:rsidRPr="00B232CE" w:rsidRDefault="00533C74" w:rsidP="00A17011">
      <w:pPr>
        <w:jc w:val="both"/>
        <w:rPr>
          <w:lang w:val="fr-CH"/>
        </w:rPr>
      </w:pPr>
      <w:r w:rsidRPr="00B232CE">
        <w:rPr>
          <w:i/>
          <w:iCs/>
          <w:lang w:val="fr-CH"/>
        </w:rPr>
        <w:lastRenderedPageBreak/>
        <w:t>d)</w:t>
      </w:r>
      <w:r w:rsidRPr="00B232CE">
        <w:rPr>
          <w:lang w:val="fr-CH"/>
        </w:rPr>
        <w:tab/>
        <w:t xml:space="preserve">que la composante satellite ne devrait pas causer de brouillages préjudiciables aux services existants et aux services </w:t>
      </w:r>
      <w:r>
        <w:rPr>
          <w:lang w:val="fr-CH"/>
        </w:rPr>
        <w:t xml:space="preserve">exploités </w:t>
      </w:r>
      <w:r w:rsidRPr="00B232CE">
        <w:rPr>
          <w:lang w:val="fr-CH"/>
        </w:rPr>
        <w:t>dans les bandes de fréquences adjacentes qui sont définis pour la bande de fréquences adjacente inférieure 154</w:t>
      </w:r>
      <w:r>
        <w:rPr>
          <w:lang w:val="fr-CH"/>
        </w:rPr>
        <w:t>-</w:t>
      </w:r>
      <w:r w:rsidRPr="00B232CE">
        <w:rPr>
          <w:lang w:val="fr-CH"/>
        </w:rPr>
        <w:t>156</w:t>
      </w:r>
      <w:r w:rsidRPr="0006035D">
        <w:rPr>
          <w:lang w:val="fr-CH"/>
        </w:rPr>
        <w:t> </w:t>
      </w:r>
      <w:r w:rsidRPr="00B232CE">
        <w:rPr>
          <w:lang w:val="fr-CH"/>
        </w:rPr>
        <w:t>MHz et pour la bande de fréquences adjacente supérieure 162</w:t>
      </w:r>
      <w:r>
        <w:rPr>
          <w:lang w:val="fr-CH"/>
        </w:rPr>
        <w:t>-</w:t>
      </w:r>
      <w:r w:rsidRPr="00B232CE">
        <w:rPr>
          <w:lang w:val="fr-CH"/>
        </w:rPr>
        <w:t>164 MHz, ni à toutes les autres composantes du système VDES existant décrites dans la Recommandation UIT-R M.2092, aux voies ASN, aux voies AIS et aux voies utilisées par les communications vocales pour la détresse, la sécurité et l'appel;</w:t>
      </w:r>
    </w:p>
    <w:p w:rsidR="00533C74" w:rsidRPr="00B232CE" w:rsidRDefault="00533C74" w:rsidP="00A17011">
      <w:pPr>
        <w:jc w:val="both"/>
        <w:rPr>
          <w:lang w:val="fr-CH"/>
        </w:rPr>
      </w:pPr>
      <w:r w:rsidRPr="00B232CE">
        <w:rPr>
          <w:i/>
          <w:iCs/>
          <w:lang w:val="fr-CH"/>
        </w:rPr>
        <w:t>e)</w:t>
      </w:r>
      <w:r w:rsidRPr="00B232CE">
        <w:rPr>
          <w:lang w:val="fr-CH"/>
        </w:rPr>
        <w:tab/>
        <w:t>que le récepteur à bord du satellite devrait résister aux brouillages préjudiciables causés par les services existants et les services dans les bandes adjacentes qui sont définis pour la bande de fréquences adjacente inférieure 154</w:t>
      </w:r>
      <w:r>
        <w:rPr>
          <w:lang w:val="fr-CH"/>
        </w:rPr>
        <w:t>-</w:t>
      </w:r>
      <w:r w:rsidRPr="00B232CE">
        <w:rPr>
          <w:lang w:val="fr-CH"/>
        </w:rPr>
        <w:t>156 MHz et pour la bande de fréquences adjacente supérieure 162</w:t>
      </w:r>
      <w:r>
        <w:rPr>
          <w:lang w:val="fr-CH"/>
        </w:rPr>
        <w:t>-</w:t>
      </w:r>
      <w:r w:rsidRPr="00B232CE">
        <w:rPr>
          <w:lang w:val="fr-CH"/>
        </w:rPr>
        <w:t>164 MHz;</w:t>
      </w:r>
    </w:p>
    <w:p w:rsidR="00533C74" w:rsidRPr="00B232CE" w:rsidRDefault="00533C74" w:rsidP="00A17011">
      <w:pPr>
        <w:jc w:val="both"/>
        <w:rPr>
          <w:lang w:val="fr-CH" w:eastAsia="nl-NL"/>
        </w:rPr>
      </w:pPr>
      <w:r w:rsidRPr="00B232CE">
        <w:rPr>
          <w:i/>
          <w:iCs/>
          <w:lang w:val="fr-CH"/>
        </w:rPr>
        <w:t>f)</w:t>
      </w:r>
      <w:r w:rsidRPr="00B232CE">
        <w:rPr>
          <w:i/>
          <w:iCs/>
          <w:lang w:val="fr-CH"/>
        </w:rPr>
        <w:tab/>
      </w:r>
      <w:r w:rsidRPr="00B232CE">
        <w:rPr>
          <w:lang w:val="fr-CH" w:eastAsia="nl-NL"/>
        </w:rPr>
        <w:t xml:space="preserve">que, étant donné que le système </w:t>
      </w:r>
      <w:r w:rsidRPr="00B232CE">
        <w:rPr>
          <w:lang w:val="fr-CH"/>
        </w:rPr>
        <w:t>VDES décrit dans la Recommandation UIT-R M.2092 utilise les bandes de fréquences de l'Appendice </w:t>
      </w:r>
      <w:r w:rsidRPr="00721235">
        <w:rPr>
          <w:b/>
          <w:bCs/>
          <w:lang w:val="fr-CH"/>
        </w:rPr>
        <w:t>18</w:t>
      </w:r>
      <w:r w:rsidRPr="00B232CE">
        <w:rPr>
          <w:lang w:val="fr-CH"/>
        </w:rPr>
        <w:t xml:space="preserve">, la mise en </w:t>
      </w:r>
      <w:proofErr w:type="spellStart"/>
      <w:r>
        <w:rPr>
          <w:lang w:val="fr-CH"/>
        </w:rPr>
        <w:t>oeuvre</w:t>
      </w:r>
      <w:proofErr w:type="spellEnd"/>
      <w:r>
        <w:rPr>
          <w:lang w:val="fr-CH"/>
        </w:rPr>
        <w:t xml:space="preserve"> </w:t>
      </w:r>
      <w:r w:rsidRPr="00B232CE">
        <w:rPr>
          <w:lang w:val="fr-CH"/>
        </w:rPr>
        <w:t>de la composante satellite du système VDES serait plus efficace si elle utilisait les bandes de fréquences de l'Appendice </w:t>
      </w:r>
      <w:r w:rsidRPr="00721235">
        <w:rPr>
          <w:b/>
          <w:bCs/>
          <w:lang w:val="fr-CH"/>
        </w:rPr>
        <w:t>18</w:t>
      </w:r>
      <w:r>
        <w:rPr>
          <w:lang w:val="fr-CH" w:eastAsia="nl-NL"/>
        </w:rPr>
        <w:t>;</w:t>
      </w:r>
    </w:p>
    <w:p w:rsidR="00533C74" w:rsidRPr="00B232CE" w:rsidRDefault="00533C74" w:rsidP="00A17011">
      <w:pPr>
        <w:jc w:val="both"/>
        <w:rPr>
          <w:lang w:val="fr-CH"/>
        </w:rPr>
      </w:pPr>
      <w:r w:rsidRPr="00B232CE">
        <w:rPr>
          <w:i/>
          <w:iCs/>
          <w:lang w:val="fr-CH"/>
        </w:rPr>
        <w:t>g)</w:t>
      </w:r>
      <w:r w:rsidRPr="00B232CE">
        <w:rPr>
          <w:lang w:val="fr-CH"/>
        </w:rPr>
        <w:tab/>
        <w:t>qu'il conviendrait de mener des études afin d'identifier les fréquences nécessaires pour la composante satellite du système VDES;</w:t>
      </w:r>
    </w:p>
    <w:p w:rsidR="00533C74" w:rsidRPr="00B232CE" w:rsidRDefault="00533C74" w:rsidP="00A17011">
      <w:pPr>
        <w:jc w:val="both"/>
        <w:rPr>
          <w:lang w:val="fr-CH"/>
        </w:rPr>
      </w:pPr>
      <w:r w:rsidRPr="00B232CE">
        <w:rPr>
          <w:i/>
          <w:iCs/>
          <w:lang w:val="fr-CH"/>
        </w:rPr>
        <w:t>h)</w:t>
      </w:r>
      <w:r w:rsidRPr="00B232CE">
        <w:rPr>
          <w:lang w:val="fr-CH"/>
        </w:rPr>
        <w:tab/>
        <w:t xml:space="preserve">que certaines administrations ont entrepris des essais de la composante satellite du système VDES </w:t>
      </w:r>
      <w:r>
        <w:rPr>
          <w:lang w:val="fr-CH"/>
        </w:rPr>
        <w:t>et que ces essais</w:t>
      </w:r>
      <w:r w:rsidRPr="00B232CE">
        <w:rPr>
          <w:lang w:val="fr-CH"/>
        </w:rPr>
        <w:t xml:space="preserve"> vont se poursuivre,</w:t>
      </w:r>
    </w:p>
    <w:p w:rsidR="00533C74" w:rsidRPr="00B232CE" w:rsidRDefault="00533C74" w:rsidP="00A17011">
      <w:pPr>
        <w:pStyle w:val="Call"/>
        <w:jc w:val="both"/>
        <w:rPr>
          <w:lang w:val="fr-CH"/>
        </w:rPr>
      </w:pPr>
      <w:r w:rsidRPr="00B232CE">
        <w:rPr>
          <w:lang w:val="fr-CH"/>
        </w:rPr>
        <w:t xml:space="preserve">décide d'inviter la </w:t>
      </w:r>
      <w:r>
        <w:rPr>
          <w:lang w:val="fr-CH"/>
        </w:rPr>
        <w:t>Conférence mondiale des radiocommunications de 2019</w:t>
      </w:r>
    </w:p>
    <w:p w:rsidR="00533C74" w:rsidRPr="00B232CE" w:rsidRDefault="00533C74" w:rsidP="00A17011">
      <w:pPr>
        <w:jc w:val="both"/>
        <w:rPr>
          <w:lang w:val="fr-CH"/>
        </w:rPr>
      </w:pPr>
      <w:r w:rsidRPr="00B232CE">
        <w:rPr>
          <w:lang w:val="fr-CH" w:eastAsia="nl-NL"/>
        </w:rPr>
        <w:t>à examiner, sur la base des résultats des études de l'UIT-R, les modifications à apporter au Règlement des radiocommunications, y compris de nouvelles attributions de fréquences</w:t>
      </w:r>
      <w:r w:rsidRPr="0006035D">
        <w:rPr>
          <w:lang w:val="fr-CH" w:eastAsia="nl-NL"/>
        </w:rPr>
        <w:t xml:space="preserve"> au service mobile maritime par satellite</w:t>
      </w:r>
      <w:r>
        <w:rPr>
          <w:lang w:val="fr-CH" w:eastAsia="nl-NL"/>
        </w:rPr>
        <w:t xml:space="preserve"> (SMMS)</w:t>
      </w:r>
      <w:r w:rsidRPr="0006035D">
        <w:rPr>
          <w:lang w:val="fr-CH" w:eastAsia="nl-NL"/>
        </w:rPr>
        <w:t xml:space="preserve"> (Terre vers espace et espace vers Terre)</w:t>
      </w:r>
      <w:r w:rsidRPr="00B232CE">
        <w:rPr>
          <w:lang w:val="fr-CH" w:eastAsia="nl-NL"/>
        </w:rPr>
        <w:t>,</w:t>
      </w:r>
      <w:r w:rsidRPr="0006035D">
        <w:rPr>
          <w:lang w:val="fr-CH" w:eastAsia="nl-NL"/>
        </w:rPr>
        <w:t xml:space="preserve"> de préférence dans les bandes de fréquences </w:t>
      </w:r>
      <w:r w:rsidRPr="0006035D">
        <w:rPr>
          <w:lang w:val="fr-CH"/>
        </w:rPr>
        <w:t>156,0125-157,4375 MHz et 160,6125-162,0375 MHz de l'</w:t>
      </w:r>
      <w:r w:rsidRPr="0006035D">
        <w:rPr>
          <w:lang w:val="fr-CH" w:eastAsia="nl-NL"/>
        </w:rPr>
        <w:t xml:space="preserve">Appendice </w:t>
      </w:r>
      <w:r w:rsidRPr="0006035D">
        <w:rPr>
          <w:b/>
          <w:bCs/>
          <w:lang w:val="fr-CH" w:eastAsia="nl-NL"/>
        </w:rPr>
        <w:t>18</w:t>
      </w:r>
      <w:r w:rsidRPr="0006035D">
        <w:rPr>
          <w:lang w:val="fr-CH" w:eastAsia="nl-NL"/>
        </w:rPr>
        <w:t>, pour</w:t>
      </w:r>
      <w:r>
        <w:rPr>
          <w:lang w:val="fr-CH" w:eastAsia="nl-NL"/>
        </w:rPr>
        <w:t xml:space="preserve"> permettre l'exploitation d'</w:t>
      </w:r>
      <w:r w:rsidRPr="0006035D">
        <w:rPr>
          <w:lang w:val="fr-CH" w:eastAsia="nl-NL"/>
        </w:rPr>
        <w:t xml:space="preserve">une nouvelle composante satellite du système </w:t>
      </w:r>
      <w:r w:rsidRPr="0006035D">
        <w:rPr>
          <w:lang w:val="fr-CH"/>
        </w:rPr>
        <w:t>VDES</w:t>
      </w:r>
      <w:r w:rsidRPr="0006035D">
        <w:rPr>
          <w:lang w:val="fr-CH" w:eastAsia="nl-NL"/>
        </w:rPr>
        <w:t>, tout en garantissant que cette composante ne dégradera pas le fonctionnement de</w:t>
      </w:r>
      <w:r>
        <w:rPr>
          <w:lang w:val="fr-CH" w:eastAsia="nl-NL"/>
        </w:rPr>
        <w:t>s</w:t>
      </w:r>
      <w:r w:rsidRPr="00B232CE">
        <w:rPr>
          <w:lang w:val="fr-CH" w:eastAsia="nl-NL"/>
        </w:rPr>
        <w:t xml:space="preserve"> </w:t>
      </w:r>
      <w:r w:rsidRPr="0006035D">
        <w:rPr>
          <w:lang w:val="fr-CH" w:eastAsia="nl-NL"/>
        </w:rPr>
        <w:t>composante</w:t>
      </w:r>
      <w:r>
        <w:rPr>
          <w:lang w:val="fr-CH" w:eastAsia="nl-NL"/>
        </w:rPr>
        <w:t>s</w:t>
      </w:r>
      <w:r w:rsidRPr="0006035D">
        <w:rPr>
          <w:lang w:val="fr-CH" w:eastAsia="nl-NL"/>
        </w:rPr>
        <w:t xml:space="preserve"> de Terre </w:t>
      </w:r>
      <w:r w:rsidRPr="00B232CE">
        <w:rPr>
          <w:lang w:val="fr-CH" w:eastAsia="nl-NL"/>
        </w:rPr>
        <w:t>actuelle</w:t>
      </w:r>
      <w:r>
        <w:rPr>
          <w:lang w:val="fr-CH" w:eastAsia="nl-NL"/>
        </w:rPr>
        <w:t>s</w:t>
      </w:r>
      <w:r w:rsidRPr="00B232CE">
        <w:rPr>
          <w:lang w:val="fr-CH" w:eastAsia="nl-NL"/>
        </w:rPr>
        <w:t xml:space="preserve"> </w:t>
      </w:r>
      <w:r w:rsidRPr="0006035D">
        <w:rPr>
          <w:lang w:val="fr-CH" w:eastAsia="nl-NL"/>
        </w:rPr>
        <w:t>du système VDES</w:t>
      </w:r>
      <w:r w:rsidRPr="00B232CE">
        <w:rPr>
          <w:lang w:val="fr-CH" w:eastAsia="nl-NL"/>
        </w:rPr>
        <w:t>,</w:t>
      </w:r>
      <w:r w:rsidRPr="0006035D">
        <w:rPr>
          <w:lang w:val="fr-CH" w:eastAsia="nl-NL"/>
        </w:rPr>
        <w:t xml:space="preserve"> des </w:t>
      </w:r>
      <w:r w:rsidRPr="00B232CE">
        <w:rPr>
          <w:lang w:val="fr-CH" w:eastAsia="nl-NL"/>
        </w:rPr>
        <w:t>application</w:t>
      </w:r>
      <w:r w:rsidRPr="0006035D">
        <w:rPr>
          <w:lang w:val="fr-CH" w:eastAsia="nl-NL"/>
        </w:rPr>
        <w:t>s ASM et AIS</w:t>
      </w:r>
      <w:r w:rsidRPr="00B232CE">
        <w:rPr>
          <w:lang w:val="fr-CH" w:eastAsia="nl-NL"/>
        </w:rPr>
        <w:t>,</w:t>
      </w:r>
      <w:r w:rsidRPr="0006035D">
        <w:rPr>
          <w:lang w:val="fr-CH" w:eastAsia="nl-NL"/>
        </w:rPr>
        <w:t xml:space="preserve"> et </w:t>
      </w:r>
      <w:r w:rsidRPr="0006035D">
        <w:rPr>
          <w:lang w:val="fr-CH"/>
        </w:rPr>
        <w:t xml:space="preserve">n'imposera pas de contraintes </w:t>
      </w:r>
      <w:r>
        <w:rPr>
          <w:lang w:val="fr-CH"/>
        </w:rPr>
        <w:t xml:space="preserve">additionnelles </w:t>
      </w:r>
      <w:r w:rsidRPr="0006035D">
        <w:rPr>
          <w:lang w:val="fr-CH"/>
        </w:rPr>
        <w:t>aux services existants dans ces bandes de fréquences et dans les bandes de fréquences adjacentes</w:t>
      </w:r>
      <w:r>
        <w:rPr>
          <w:lang w:val="fr-CH"/>
        </w:rPr>
        <w:t>,</w:t>
      </w:r>
      <w:r w:rsidRPr="0006035D">
        <w:rPr>
          <w:lang w:val="fr-CH"/>
        </w:rPr>
        <w:t xml:space="preserve"> comme indiqué aux points </w:t>
      </w:r>
      <w:r w:rsidRPr="0006035D">
        <w:rPr>
          <w:i/>
          <w:iCs/>
          <w:lang w:val="fr-CH"/>
        </w:rPr>
        <w:t>d)</w:t>
      </w:r>
      <w:r w:rsidRPr="0006035D">
        <w:rPr>
          <w:lang w:val="fr-CH"/>
        </w:rPr>
        <w:t xml:space="preserve"> et </w:t>
      </w:r>
      <w:r w:rsidRPr="0006035D">
        <w:rPr>
          <w:i/>
          <w:iCs/>
          <w:lang w:val="fr-CH"/>
        </w:rPr>
        <w:t>e)</w:t>
      </w:r>
      <w:r w:rsidRPr="0006035D">
        <w:rPr>
          <w:lang w:val="fr-CH"/>
        </w:rPr>
        <w:t xml:space="preserve"> du </w:t>
      </w:r>
      <w:r w:rsidRPr="0006035D">
        <w:rPr>
          <w:i/>
          <w:iCs/>
          <w:lang w:val="fr-CH"/>
        </w:rPr>
        <w:t>reconnaissant</w:t>
      </w:r>
      <w:r w:rsidRPr="00B232CE">
        <w:rPr>
          <w:lang w:val="fr-CH"/>
        </w:rPr>
        <w:t>,</w:t>
      </w:r>
    </w:p>
    <w:p w:rsidR="00533C74" w:rsidRPr="00B232CE" w:rsidRDefault="00533C74" w:rsidP="00A17011">
      <w:pPr>
        <w:pStyle w:val="Call"/>
        <w:jc w:val="both"/>
        <w:rPr>
          <w:lang w:val="fr-CH"/>
        </w:rPr>
      </w:pPr>
      <w:r w:rsidRPr="00B232CE">
        <w:rPr>
          <w:lang w:val="fr-CH"/>
        </w:rPr>
        <w:t xml:space="preserve">invite </w:t>
      </w:r>
      <w:r>
        <w:rPr>
          <w:lang w:val="fr-CH"/>
        </w:rPr>
        <w:t>l'UIT-R</w:t>
      </w:r>
    </w:p>
    <w:p w:rsidR="00533C74" w:rsidRPr="00B232CE" w:rsidRDefault="00533C74" w:rsidP="00A17011">
      <w:pPr>
        <w:jc w:val="both"/>
        <w:rPr>
          <w:lang w:val="fr-CH"/>
        </w:rPr>
      </w:pPr>
      <w:r w:rsidRPr="00B232CE">
        <w:rPr>
          <w:lang w:val="fr-CH"/>
        </w:rPr>
        <w:t>à procéder d'urgence</w:t>
      </w:r>
      <w:r>
        <w:rPr>
          <w:lang w:val="fr-CH"/>
        </w:rPr>
        <w:t>,</w:t>
      </w:r>
      <w:r w:rsidRPr="00B232CE">
        <w:rPr>
          <w:lang w:val="fr-CH"/>
        </w:rPr>
        <w:t xml:space="preserve"> </w:t>
      </w:r>
      <w:r w:rsidRPr="0006035D">
        <w:rPr>
          <w:lang w:val="fr-CH"/>
        </w:rPr>
        <w:t>et à temps pour la CMR</w:t>
      </w:r>
      <w:r w:rsidRPr="00B232CE">
        <w:rPr>
          <w:lang w:val="fr-CH"/>
        </w:rPr>
        <w:t xml:space="preserve">-19, </w:t>
      </w:r>
      <w:r w:rsidRPr="0006035D">
        <w:rPr>
          <w:lang w:val="fr-CH"/>
        </w:rPr>
        <w:t>à des études de partage et de compatibilité</w:t>
      </w:r>
      <w:r w:rsidRPr="00B232CE">
        <w:rPr>
          <w:lang w:val="fr-CH"/>
        </w:rPr>
        <w:t xml:space="preserve"> </w:t>
      </w:r>
      <w:r w:rsidRPr="0006035D">
        <w:rPr>
          <w:lang w:val="fr-CH"/>
        </w:rPr>
        <w:t>entre l</w:t>
      </w:r>
      <w:r w:rsidRPr="00B232CE">
        <w:rPr>
          <w:lang w:val="fr-CH"/>
        </w:rPr>
        <w:t>a</w:t>
      </w:r>
      <w:r w:rsidRPr="0006035D">
        <w:rPr>
          <w:lang w:val="fr-CH"/>
        </w:rPr>
        <w:t xml:space="preserve"> composante satellite du système </w:t>
      </w:r>
      <w:r w:rsidRPr="00B232CE">
        <w:rPr>
          <w:lang w:val="fr-CH"/>
        </w:rPr>
        <w:t xml:space="preserve">VDES </w:t>
      </w:r>
      <w:r w:rsidRPr="0006035D">
        <w:rPr>
          <w:lang w:val="fr-CH"/>
        </w:rPr>
        <w:t xml:space="preserve">et les </w:t>
      </w:r>
      <w:r w:rsidRPr="00B232CE">
        <w:rPr>
          <w:lang w:val="fr-CH"/>
        </w:rPr>
        <w:t xml:space="preserve">services </w:t>
      </w:r>
      <w:r w:rsidRPr="0006035D">
        <w:rPr>
          <w:lang w:val="fr-CH"/>
        </w:rPr>
        <w:t xml:space="preserve">existants dans les mêmes bandes de fréquences et dans les bandes de fréquences adjacentes indiquées aux points </w:t>
      </w:r>
      <w:r w:rsidRPr="0006035D">
        <w:rPr>
          <w:i/>
          <w:iCs/>
          <w:lang w:val="fr-CH"/>
        </w:rPr>
        <w:t>d)</w:t>
      </w:r>
      <w:r w:rsidRPr="0006035D">
        <w:rPr>
          <w:lang w:val="fr-CH"/>
        </w:rPr>
        <w:t xml:space="preserve"> et </w:t>
      </w:r>
      <w:r w:rsidRPr="0006035D">
        <w:rPr>
          <w:i/>
          <w:iCs/>
          <w:lang w:val="fr-CH"/>
        </w:rPr>
        <w:t>e)</w:t>
      </w:r>
      <w:r w:rsidRPr="0006035D">
        <w:rPr>
          <w:lang w:val="fr-CH"/>
        </w:rPr>
        <w:t xml:space="preserve"> du </w:t>
      </w:r>
      <w:r w:rsidRPr="00B232CE">
        <w:rPr>
          <w:i/>
          <w:lang w:val="fr-CH"/>
        </w:rPr>
        <w:t>reco</w:t>
      </w:r>
      <w:r w:rsidRPr="0006035D">
        <w:rPr>
          <w:i/>
          <w:lang w:val="fr-CH"/>
        </w:rPr>
        <w:t>nnaissant</w:t>
      </w:r>
      <w:r>
        <w:rPr>
          <w:iCs/>
          <w:lang w:val="fr-CH"/>
        </w:rPr>
        <w:t>,</w:t>
      </w:r>
      <w:r w:rsidRPr="0006035D">
        <w:rPr>
          <w:i/>
          <w:lang w:val="fr-CH"/>
        </w:rPr>
        <w:t xml:space="preserve"> </w:t>
      </w:r>
      <w:r w:rsidRPr="0006035D">
        <w:rPr>
          <w:lang w:val="fr-CH"/>
        </w:rPr>
        <w:t xml:space="preserve">afin de </w:t>
      </w:r>
      <w:r w:rsidRPr="00B232CE">
        <w:rPr>
          <w:lang w:val="fr-CH"/>
        </w:rPr>
        <w:t>d</w:t>
      </w:r>
      <w:r w:rsidRPr="0006035D">
        <w:rPr>
          <w:lang w:val="fr-CH"/>
        </w:rPr>
        <w:t>é</w:t>
      </w:r>
      <w:r w:rsidRPr="00B232CE">
        <w:rPr>
          <w:lang w:val="fr-CH"/>
        </w:rPr>
        <w:t>termine</w:t>
      </w:r>
      <w:r w:rsidRPr="0006035D">
        <w:rPr>
          <w:lang w:val="fr-CH"/>
        </w:rPr>
        <w:t>r les mesures réglementaires qui pourraient être prises</w:t>
      </w:r>
      <w:r w:rsidRPr="00B232CE">
        <w:rPr>
          <w:lang w:val="fr-CH"/>
        </w:rPr>
        <w:t xml:space="preserve">, </w:t>
      </w:r>
      <w:r w:rsidRPr="0006035D">
        <w:rPr>
          <w:lang w:val="fr-CH"/>
        </w:rPr>
        <w:t xml:space="preserve">y compris des attributions de fréquences au </w:t>
      </w:r>
      <w:r>
        <w:rPr>
          <w:lang w:val="fr-CH"/>
        </w:rPr>
        <w:t>SMMS</w:t>
      </w:r>
      <w:r w:rsidRPr="00B232CE">
        <w:rPr>
          <w:lang w:val="fr-CH"/>
        </w:rPr>
        <w:t xml:space="preserve"> (</w:t>
      </w:r>
      <w:r w:rsidRPr="0006035D">
        <w:rPr>
          <w:lang w:val="fr-CH"/>
        </w:rPr>
        <w:t>Terre vers e</w:t>
      </w:r>
      <w:r w:rsidRPr="00B232CE">
        <w:rPr>
          <w:lang w:val="fr-CH"/>
        </w:rPr>
        <w:t xml:space="preserve">space </w:t>
      </w:r>
      <w:r w:rsidRPr="0006035D">
        <w:rPr>
          <w:lang w:val="fr-CH"/>
        </w:rPr>
        <w:t>et e</w:t>
      </w:r>
      <w:r w:rsidRPr="00B232CE">
        <w:rPr>
          <w:lang w:val="fr-CH"/>
        </w:rPr>
        <w:t>space</w:t>
      </w:r>
      <w:r w:rsidRPr="0006035D">
        <w:rPr>
          <w:lang w:val="fr-CH"/>
        </w:rPr>
        <w:t xml:space="preserve"> vers Terre</w:t>
      </w:r>
      <w:r w:rsidRPr="00B232CE">
        <w:rPr>
          <w:lang w:val="fr-CH"/>
        </w:rPr>
        <w:t xml:space="preserve">) </w:t>
      </w:r>
      <w:r w:rsidRPr="0006035D">
        <w:rPr>
          <w:lang w:val="fr-CH"/>
        </w:rPr>
        <w:t xml:space="preserve">pour les applications </w:t>
      </w:r>
      <w:r w:rsidRPr="00B232CE">
        <w:rPr>
          <w:lang w:val="fr-CH"/>
        </w:rPr>
        <w:t>VDES,</w:t>
      </w:r>
    </w:p>
    <w:p w:rsidR="00533C74" w:rsidRPr="00B232CE" w:rsidRDefault="00533C74" w:rsidP="00A17011">
      <w:pPr>
        <w:pStyle w:val="Call"/>
        <w:jc w:val="both"/>
        <w:rPr>
          <w:lang w:val="fr-CH"/>
        </w:rPr>
      </w:pPr>
      <w:r w:rsidRPr="00B232CE">
        <w:rPr>
          <w:lang w:val="fr-CH"/>
        </w:rPr>
        <w:t>invite en outre</w:t>
      </w:r>
    </w:p>
    <w:p w:rsidR="00533C74" w:rsidRPr="00B232CE" w:rsidRDefault="00533C74" w:rsidP="00A17011">
      <w:pPr>
        <w:jc w:val="both"/>
        <w:rPr>
          <w:lang w:val="fr-CH"/>
        </w:rPr>
      </w:pPr>
      <w:r w:rsidRPr="00B232CE">
        <w:rPr>
          <w:lang w:val="fr-CH"/>
        </w:rPr>
        <w:t xml:space="preserve">tous les membres </w:t>
      </w:r>
      <w:r>
        <w:rPr>
          <w:lang w:val="fr-CH"/>
        </w:rPr>
        <w:t>de l'UIT-R</w:t>
      </w:r>
      <w:r w:rsidRPr="00B232CE">
        <w:rPr>
          <w:lang w:val="fr-CH"/>
        </w:rPr>
        <w:t>, l'OMI, l'Organisation météorologique mondiale (OMM), l'Organisation hydrographique internationale (OHI), l'Association internationale de signalisation maritime (AISM), la Commission électrotechnique internationale (CEI) et le Comité international radio-maritime (CIRM) à contribuer à ces études,</w:t>
      </w:r>
    </w:p>
    <w:p w:rsidR="00533C74" w:rsidRPr="0006035D" w:rsidRDefault="00533C74" w:rsidP="00A17011">
      <w:pPr>
        <w:keepNext/>
        <w:keepLines/>
        <w:spacing w:before="160"/>
        <w:ind w:left="1134"/>
        <w:jc w:val="both"/>
        <w:rPr>
          <w:i/>
          <w:lang w:val="fr-CH"/>
        </w:rPr>
      </w:pPr>
      <w:r w:rsidRPr="0006035D">
        <w:rPr>
          <w:i/>
          <w:lang w:val="fr-CH"/>
        </w:rPr>
        <w:t>invite les administrations</w:t>
      </w:r>
    </w:p>
    <w:p w:rsidR="00533C74" w:rsidRPr="0006035D" w:rsidRDefault="00533C74" w:rsidP="00A17011">
      <w:pPr>
        <w:jc w:val="both"/>
        <w:rPr>
          <w:lang w:val="fr-CH"/>
        </w:rPr>
      </w:pPr>
      <w:r w:rsidRPr="0006035D">
        <w:rPr>
          <w:lang w:val="fr-CH"/>
        </w:rPr>
        <w:t>à participer et à apporter leur appui aux essais sur le terrain de la composante satellite du système VDES,</w:t>
      </w:r>
    </w:p>
    <w:p w:rsidR="00533C74" w:rsidRPr="005E234F" w:rsidRDefault="00533C74" w:rsidP="00A17011">
      <w:pPr>
        <w:pStyle w:val="Call"/>
        <w:jc w:val="both"/>
      </w:pPr>
      <w:r w:rsidRPr="005E234F">
        <w:lastRenderedPageBreak/>
        <w:t>charge le Secrétaire général</w:t>
      </w:r>
    </w:p>
    <w:p w:rsidR="00255329" w:rsidRPr="00533C74" w:rsidRDefault="00533C74" w:rsidP="00A17011">
      <w:pPr>
        <w:jc w:val="both"/>
        <w:rPr>
          <w:rFonts w:asciiTheme="majorBidi" w:hAnsiTheme="majorBidi" w:cstheme="majorBidi"/>
          <w:szCs w:val="24"/>
        </w:rPr>
      </w:pPr>
      <w:r w:rsidRPr="00B67AA7">
        <w:t>de porter la présente Résolution à l'attention de l'OMI, de l'OMM, de l'OHI, de la CEI, de l'AISM</w:t>
      </w:r>
      <w:r>
        <w:t>,</w:t>
      </w:r>
      <w:r w:rsidRPr="00B67AA7">
        <w:t xml:space="preserve"> du CIRM et </w:t>
      </w:r>
      <w:r>
        <w:t xml:space="preserve">des </w:t>
      </w:r>
      <w:r w:rsidRPr="00B67AA7">
        <w:t xml:space="preserve">autres organisations internationales </w:t>
      </w:r>
      <w:r>
        <w:t>ou</w:t>
      </w:r>
      <w:r w:rsidRPr="00B67AA7">
        <w:t xml:space="preserve"> régionales concernées.</w:t>
      </w:r>
    </w:p>
    <w:p w:rsidR="00255329" w:rsidRPr="00533C74" w:rsidRDefault="00255329" w:rsidP="00A17011">
      <w:pPr>
        <w:jc w:val="both"/>
        <w:rPr>
          <w:rFonts w:asciiTheme="majorBidi" w:hAnsiTheme="majorBidi" w:cstheme="majorBidi"/>
          <w:szCs w:val="24"/>
        </w:rPr>
      </w:pPr>
    </w:p>
    <w:p w:rsidR="00255329" w:rsidRPr="00533C74" w:rsidRDefault="00255329" w:rsidP="00A17011">
      <w:pPr>
        <w:jc w:val="both"/>
        <w:rPr>
          <w:rFonts w:asciiTheme="majorBidi" w:hAnsiTheme="majorBidi" w:cstheme="majorBidi"/>
          <w:szCs w:val="24"/>
        </w:rPr>
      </w:pPr>
    </w:p>
    <w:p w:rsidR="003E724F" w:rsidRPr="00533C74" w:rsidRDefault="003E724F" w:rsidP="00A17011">
      <w:pPr>
        <w:overflowPunct/>
        <w:autoSpaceDE/>
        <w:autoSpaceDN/>
        <w:adjustRightInd/>
        <w:spacing w:before="0"/>
        <w:textAlignment w:val="auto"/>
        <w:rPr>
          <w:rFonts w:asciiTheme="majorBidi" w:hAnsiTheme="majorBidi" w:cstheme="majorBidi"/>
          <w:szCs w:val="24"/>
        </w:rPr>
      </w:pPr>
      <w:r w:rsidRPr="00533C74">
        <w:rPr>
          <w:rFonts w:asciiTheme="majorBidi" w:hAnsiTheme="majorBidi" w:cstheme="majorBidi"/>
          <w:szCs w:val="24"/>
        </w:rPr>
        <w:br w:type="page"/>
      </w:r>
    </w:p>
    <w:p w:rsidR="007C11AB" w:rsidRPr="007C11AB" w:rsidRDefault="00F96BD5" w:rsidP="00A17011">
      <w:pPr>
        <w:pStyle w:val="ResNo"/>
      </w:pPr>
      <w:bookmarkStart w:id="193" w:name="RES_361"/>
      <w:bookmarkStart w:id="194" w:name="_Toc460331718"/>
      <w:bookmarkStart w:id="195" w:name="_Toc463616175"/>
      <w:bookmarkEnd w:id="186"/>
      <w:r>
        <w:lastRenderedPageBreak/>
        <w:t>R</w:t>
      </w:r>
      <w:r w:rsidR="001D5201" w:rsidRPr="001D5201">
        <w:t>É</w:t>
      </w:r>
      <w:r w:rsidR="007C11AB" w:rsidRPr="007C11AB">
        <w:t xml:space="preserve">SOLUTION </w:t>
      </w:r>
      <w:r w:rsidR="007C11AB" w:rsidRPr="007C11AB">
        <w:rPr>
          <w:rStyle w:val="href"/>
        </w:rPr>
        <w:t>361</w:t>
      </w:r>
      <w:r w:rsidR="007C11AB" w:rsidRPr="007C11AB">
        <w:t xml:space="preserve"> </w:t>
      </w:r>
      <w:bookmarkEnd w:id="193"/>
      <w:r>
        <w:t>(</w:t>
      </w:r>
      <w:r w:rsidR="005A2541" w:rsidRPr="00A20F5A">
        <w:t>C</w:t>
      </w:r>
      <w:r w:rsidR="005A2541">
        <w:t>MR</w:t>
      </w:r>
      <w:r w:rsidR="007C11AB" w:rsidRPr="007C11AB">
        <w:noBreakHyphen/>
        <w:t>15)</w:t>
      </w:r>
      <w:bookmarkEnd w:id="194"/>
      <w:bookmarkEnd w:id="195"/>
    </w:p>
    <w:p w:rsidR="00DF13FD" w:rsidRPr="00554760" w:rsidRDefault="00DF13FD" w:rsidP="00A17011">
      <w:pPr>
        <w:pStyle w:val="Restitle"/>
      </w:pPr>
      <w:bookmarkStart w:id="196" w:name="_Toc450208691"/>
      <w:bookmarkStart w:id="197" w:name="_Toc463616176"/>
      <w:r w:rsidRPr="00554760">
        <w:t xml:space="preserve">Examen de dispositions réglementaires relatives à la modernisation </w:t>
      </w:r>
      <w:r>
        <w:br/>
      </w:r>
      <w:r w:rsidRPr="00554760">
        <w:t xml:space="preserve">du Système mondial de détresse et de sécurité en mer </w:t>
      </w:r>
      <w:r>
        <w:br/>
      </w:r>
      <w:r w:rsidRPr="00554760">
        <w:t xml:space="preserve">et à la mise en </w:t>
      </w:r>
      <w:proofErr w:type="spellStart"/>
      <w:r>
        <w:t>oe</w:t>
      </w:r>
      <w:r w:rsidRPr="00554760">
        <w:t>uvre</w:t>
      </w:r>
      <w:proofErr w:type="spellEnd"/>
      <w:r w:rsidRPr="00554760">
        <w:t xml:space="preserve"> de la navigation électronique</w:t>
      </w:r>
      <w:bookmarkEnd w:id="196"/>
      <w:bookmarkEnd w:id="197"/>
    </w:p>
    <w:p w:rsidR="00DF13FD" w:rsidRPr="00554760" w:rsidRDefault="00DF13FD" w:rsidP="00A17011">
      <w:pPr>
        <w:pStyle w:val="Normalaftertitle"/>
        <w:jc w:val="both"/>
      </w:pPr>
      <w:r w:rsidRPr="00554760">
        <w:t>La Conférence mondiale des radiocommunications (Genève, 2015),</w:t>
      </w:r>
    </w:p>
    <w:p w:rsidR="00DF13FD" w:rsidRPr="00554760" w:rsidRDefault="00DF13FD" w:rsidP="00A17011">
      <w:pPr>
        <w:pStyle w:val="Call"/>
        <w:jc w:val="both"/>
        <w:rPr>
          <w:lang w:val="fr-CH"/>
        </w:rPr>
      </w:pPr>
      <w:r w:rsidRPr="00554760">
        <w:rPr>
          <w:lang w:val="fr-CH"/>
        </w:rPr>
        <w:t>considérant</w:t>
      </w:r>
    </w:p>
    <w:p w:rsidR="00DF13FD" w:rsidRPr="00554760" w:rsidRDefault="00DF13FD" w:rsidP="00A17011">
      <w:pPr>
        <w:tabs>
          <w:tab w:val="left" w:pos="1080"/>
        </w:tabs>
        <w:jc w:val="both"/>
        <w:rPr>
          <w:lang w:val="fr-CH"/>
        </w:rPr>
      </w:pPr>
      <w:r w:rsidRPr="00554760">
        <w:rPr>
          <w:i/>
          <w:iCs/>
        </w:rPr>
        <w:t>a)</w:t>
      </w:r>
      <w:r w:rsidRPr="00554760">
        <w:rPr>
          <w:lang w:val="fr-CH"/>
        </w:rPr>
        <w:tab/>
        <w:t>qu</w:t>
      </w:r>
      <w:r>
        <w:rPr>
          <w:lang w:val="fr-CH"/>
        </w:rPr>
        <w:t>'</w:t>
      </w:r>
      <w:r w:rsidRPr="00554760">
        <w:rPr>
          <w:lang w:val="fr-CH"/>
        </w:rPr>
        <w:t>il est toujours nécessaire, dans le Système mondial de détresse et de sécurité en mer (SMDSM), à l</w:t>
      </w:r>
      <w:r>
        <w:rPr>
          <w:lang w:val="fr-CH"/>
        </w:rPr>
        <w:t>'</w:t>
      </w:r>
      <w:r w:rsidRPr="00554760">
        <w:rPr>
          <w:lang w:val="fr-CH"/>
        </w:rPr>
        <w:t>échelle mondiale, d</w:t>
      </w:r>
      <w:r>
        <w:rPr>
          <w:lang w:val="fr-CH"/>
        </w:rPr>
        <w:t>'</w:t>
      </w:r>
      <w:r w:rsidRPr="00554760">
        <w:rPr>
          <w:lang w:val="fr-CH"/>
        </w:rPr>
        <w:t>améliorer les communications en vue de renforcer les capacités maritimes;</w:t>
      </w:r>
    </w:p>
    <w:p w:rsidR="00DF13FD" w:rsidRPr="00554760" w:rsidRDefault="00DF13FD" w:rsidP="00A17011">
      <w:pPr>
        <w:tabs>
          <w:tab w:val="left" w:pos="1080"/>
        </w:tabs>
        <w:jc w:val="both"/>
        <w:rPr>
          <w:lang w:val="fr-CH"/>
        </w:rPr>
      </w:pPr>
      <w:r w:rsidRPr="00554760">
        <w:rPr>
          <w:i/>
          <w:iCs/>
        </w:rPr>
        <w:t>b)</w:t>
      </w:r>
      <w:r w:rsidRPr="00554760">
        <w:rPr>
          <w:lang w:val="fr-CH"/>
        </w:rPr>
        <w:tab/>
        <w:t>que l</w:t>
      </w:r>
      <w:r>
        <w:rPr>
          <w:lang w:val="fr-CH"/>
        </w:rPr>
        <w:t>'</w:t>
      </w:r>
      <w:r w:rsidRPr="00554760">
        <w:rPr>
          <w:lang w:val="fr-CH"/>
        </w:rPr>
        <w:t>Organisation maritime internationale (OMI) envisage de moderniser le SMDSM;</w:t>
      </w:r>
    </w:p>
    <w:p w:rsidR="00DF13FD" w:rsidRPr="00554760" w:rsidRDefault="00DF13FD" w:rsidP="00A17011">
      <w:pPr>
        <w:tabs>
          <w:tab w:val="left" w:pos="1080"/>
        </w:tabs>
        <w:jc w:val="both"/>
        <w:rPr>
          <w:lang w:val="fr-CH"/>
        </w:rPr>
      </w:pPr>
      <w:r w:rsidRPr="00554760">
        <w:rPr>
          <w:i/>
          <w:iCs/>
        </w:rPr>
        <w:t>c)</w:t>
      </w:r>
      <w:r w:rsidRPr="00554760">
        <w:rPr>
          <w:lang w:val="fr-CH"/>
        </w:rPr>
        <w:tab/>
        <w:t>que des systèmes de données maritimes évolués en ondes hectométriques/décamétriques/métriques et des systèmes de communication par satellite peuvent être utilisés pour transmettre des informations sur la sécurité maritime (MSI) ainsi que d</w:t>
      </w:r>
      <w:r>
        <w:rPr>
          <w:lang w:val="fr-CH"/>
        </w:rPr>
        <w:t>'</w:t>
      </w:r>
      <w:r w:rsidRPr="00554760">
        <w:rPr>
          <w:lang w:val="fr-CH"/>
        </w:rPr>
        <w:t>autres communications du SMDSM;</w:t>
      </w:r>
    </w:p>
    <w:p w:rsidR="00DF13FD" w:rsidRPr="00554760" w:rsidRDefault="00DF13FD" w:rsidP="00A17011">
      <w:pPr>
        <w:tabs>
          <w:tab w:val="left" w:pos="1080"/>
        </w:tabs>
        <w:jc w:val="both"/>
        <w:rPr>
          <w:lang w:val="fr-CH"/>
        </w:rPr>
      </w:pPr>
      <w:r w:rsidRPr="00554760">
        <w:rPr>
          <w:i/>
          <w:iCs/>
        </w:rPr>
        <w:t>d)</w:t>
      </w:r>
      <w:r w:rsidRPr="00554760">
        <w:rPr>
          <w:lang w:val="fr-CH"/>
        </w:rPr>
        <w:tab/>
        <w:t>que l</w:t>
      </w:r>
      <w:r>
        <w:rPr>
          <w:lang w:val="fr-CH"/>
        </w:rPr>
        <w:t>'</w:t>
      </w:r>
      <w:r w:rsidRPr="00554760">
        <w:rPr>
          <w:lang w:val="fr-CH"/>
        </w:rPr>
        <w:t>OMI envisage d</w:t>
      </w:r>
      <w:r>
        <w:rPr>
          <w:lang w:val="fr-CH"/>
        </w:rPr>
        <w:t>'</w:t>
      </w:r>
      <w:r w:rsidRPr="00554760">
        <w:rPr>
          <w:lang w:val="fr-CH"/>
        </w:rPr>
        <w:t>intégrer dans le SMDSM d</w:t>
      </w:r>
      <w:r>
        <w:rPr>
          <w:lang w:val="fr-CH"/>
        </w:rPr>
        <w:t>'</w:t>
      </w:r>
      <w:r w:rsidRPr="00554760">
        <w:rPr>
          <w:lang w:val="fr-CH"/>
        </w:rPr>
        <w:t>autres fournisseurs de services par satellite aux niveaux mondial et régional;</w:t>
      </w:r>
    </w:p>
    <w:p w:rsidR="00DF13FD" w:rsidRPr="00554760" w:rsidRDefault="00DF13FD" w:rsidP="00A17011">
      <w:pPr>
        <w:tabs>
          <w:tab w:val="left" w:pos="1080"/>
        </w:tabs>
        <w:jc w:val="both"/>
        <w:rPr>
          <w:lang w:val="fr-CH"/>
        </w:rPr>
      </w:pPr>
      <w:r w:rsidRPr="00554760">
        <w:rPr>
          <w:i/>
          <w:iCs/>
          <w:lang w:val="fr-CH"/>
        </w:rPr>
        <w:t>e)</w:t>
      </w:r>
      <w:r w:rsidRPr="00554760">
        <w:rPr>
          <w:lang w:val="fr-CH"/>
        </w:rPr>
        <w:tab/>
        <w:t xml:space="preserve">que la CMR-19 </w:t>
      </w:r>
      <w:r>
        <w:rPr>
          <w:lang w:val="fr-CH"/>
        </w:rPr>
        <w:t>aura</w:t>
      </w:r>
      <w:r w:rsidRPr="00554760">
        <w:rPr>
          <w:lang w:val="fr-CH"/>
        </w:rPr>
        <w:t xml:space="preserve"> commencé à prendre des mesures réglementaires </w:t>
      </w:r>
      <w:r>
        <w:rPr>
          <w:lang w:val="fr-CH"/>
        </w:rPr>
        <w:t xml:space="preserve">en ce qui concerne </w:t>
      </w:r>
      <w:r w:rsidRPr="00554760">
        <w:rPr>
          <w:lang w:val="fr-CH"/>
        </w:rPr>
        <w:t>la modernisation du SMDSM;</w:t>
      </w:r>
    </w:p>
    <w:p w:rsidR="00DF13FD" w:rsidRPr="00554760" w:rsidRDefault="00DF13FD" w:rsidP="00A17011">
      <w:pPr>
        <w:tabs>
          <w:tab w:val="left" w:pos="1080"/>
        </w:tabs>
        <w:jc w:val="both"/>
        <w:rPr>
          <w:lang w:val="fr-CH"/>
        </w:rPr>
      </w:pPr>
      <w:r w:rsidRPr="00554760">
        <w:rPr>
          <w:i/>
          <w:iCs/>
          <w:lang w:val="fr-CH"/>
        </w:rPr>
        <w:t>f</w:t>
      </w:r>
      <w:r w:rsidRPr="00554760">
        <w:rPr>
          <w:i/>
          <w:iCs/>
        </w:rPr>
        <w:t>)</w:t>
      </w:r>
      <w:r w:rsidRPr="00554760">
        <w:rPr>
          <w:lang w:val="fr-CH"/>
        </w:rPr>
        <w:tab/>
        <w:t>que l</w:t>
      </w:r>
      <w:r>
        <w:rPr>
          <w:lang w:val="fr-CH"/>
        </w:rPr>
        <w:t>'</w:t>
      </w:r>
      <w:r w:rsidRPr="00554760">
        <w:rPr>
          <w:lang w:val="fr-CH"/>
        </w:rPr>
        <w:t xml:space="preserve">OMI est en train </w:t>
      </w:r>
      <w:r>
        <w:rPr>
          <w:lang w:val="fr-CH"/>
        </w:rPr>
        <w:t xml:space="preserve">de mettre en </w:t>
      </w:r>
      <w:proofErr w:type="spellStart"/>
      <w:r>
        <w:rPr>
          <w:lang w:val="fr-CH"/>
        </w:rPr>
        <w:t>oe</w:t>
      </w:r>
      <w:r w:rsidRPr="00554760">
        <w:rPr>
          <w:lang w:val="fr-CH"/>
        </w:rPr>
        <w:t>uvre</w:t>
      </w:r>
      <w:proofErr w:type="spellEnd"/>
      <w:r w:rsidRPr="00554760">
        <w:rPr>
          <w:lang w:val="fr-CH"/>
        </w:rPr>
        <w:t xml:space="preserve"> la navigation électronique, définie comme étant la collecte, l</w:t>
      </w:r>
      <w:r>
        <w:rPr>
          <w:lang w:val="fr-CH"/>
        </w:rPr>
        <w:t>'</w:t>
      </w:r>
      <w:r w:rsidRPr="00554760">
        <w:rPr>
          <w:lang w:val="fr-CH"/>
        </w:rPr>
        <w:t>intégration, l</w:t>
      </w:r>
      <w:r>
        <w:rPr>
          <w:lang w:val="fr-CH"/>
        </w:rPr>
        <w:t>'</w:t>
      </w:r>
      <w:r w:rsidRPr="00554760">
        <w:rPr>
          <w:lang w:val="fr-CH"/>
        </w:rPr>
        <w:t>échange, la présentation et l</w:t>
      </w:r>
      <w:r>
        <w:rPr>
          <w:lang w:val="fr-CH"/>
        </w:rPr>
        <w:t>'</w:t>
      </w:r>
      <w:r w:rsidRPr="00554760">
        <w:rPr>
          <w:lang w:val="fr-CH"/>
        </w:rPr>
        <w:t>analyse harmonisés de renseignements maritimes à bord et à terre par voie électronique, dans le but d</w:t>
      </w:r>
      <w:r>
        <w:rPr>
          <w:lang w:val="fr-CH"/>
        </w:rPr>
        <w:t>'</w:t>
      </w:r>
      <w:r w:rsidRPr="00554760">
        <w:rPr>
          <w:lang w:val="fr-CH"/>
        </w:rPr>
        <w:t>améliorer la navigation quai à quai et les services connexes à des fins de sécurité et de sûreté en mer et de protection du milieu marin;</w:t>
      </w:r>
    </w:p>
    <w:p w:rsidR="00DF13FD" w:rsidRPr="00554760" w:rsidRDefault="00DF13FD" w:rsidP="00A17011">
      <w:pPr>
        <w:tabs>
          <w:tab w:val="left" w:pos="1080"/>
        </w:tabs>
        <w:jc w:val="both"/>
        <w:rPr>
          <w:lang w:val="fr-CH"/>
        </w:rPr>
      </w:pPr>
      <w:r w:rsidRPr="00554760">
        <w:rPr>
          <w:i/>
          <w:iCs/>
        </w:rPr>
        <w:t>g)</w:t>
      </w:r>
      <w:r w:rsidRPr="00554760">
        <w:rPr>
          <w:lang w:val="fr-CH"/>
        </w:rPr>
        <w:tab/>
        <w:t>que le développement de la navigation électronique peut avoir des incidences sur la modernisation du SMDSM,</w:t>
      </w:r>
    </w:p>
    <w:p w:rsidR="00DF13FD" w:rsidRPr="00554760" w:rsidRDefault="00DF13FD" w:rsidP="00A17011">
      <w:pPr>
        <w:pStyle w:val="Call"/>
        <w:jc w:val="both"/>
        <w:rPr>
          <w:lang w:val="fr-CH"/>
        </w:rPr>
      </w:pPr>
      <w:r w:rsidRPr="00554760">
        <w:rPr>
          <w:lang w:val="fr-CH"/>
        </w:rPr>
        <w:t>notant</w:t>
      </w:r>
    </w:p>
    <w:p w:rsidR="00DF13FD" w:rsidRPr="00554760" w:rsidRDefault="00DF13FD" w:rsidP="00A17011">
      <w:pPr>
        <w:tabs>
          <w:tab w:val="left" w:pos="1080"/>
        </w:tabs>
        <w:jc w:val="both"/>
        <w:rPr>
          <w:lang w:val="fr-CH"/>
        </w:rPr>
      </w:pPr>
      <w:r w:rsidRPr="00554760">
        <w:rPr>
          <w:i/>
          <w:iCs/>
          <w:lang w:val="fr-CH"/>
        </w:rPr>
        <w:t>a)</w:t>
      </w:r>
      <w:r w:rsidRPr="00554760">
        <w:rPr>
          <w:lang w:val="fr-CH"/>
        </w:rPr>
        <w:tab/>
        <w:t xml:space="preserve">que </w:t>
      </w:r>
      <w:r>
        <w:rPr>
          <w:lang w:val="fr-CH"/>
        </w:rPr>
        <w:t xml:space="preserve">la CMR-12 </w:t>
      </w:r>
      <w:r w:rsidRPr="00554760">
        <w:rPr>
          <w:lang w:val="fr-CH"/>
        </w:rPr>
        <w:t xml:space="preserve">a examiné les Appendices </w:t>
      </w:r>
      <w:r w:rsidRPr="00554760">
        <w:rPr>
          <w:b/>
          <w:bCs/>
        </w:rPr>
        <w:t>17</w:t>
      </w:r>
      <w:r w:rsidRPr="00554760">
        <w:rPr>
          <w:lang w:val="fr-CH"/>
        </w:rPr>
        <w:t xml:space="preserve"> et </w:t>
      </w:r>
      <w:r w:rsidRPr="00554760">
        <w:rPr>
          <w:b/>
          <w:bCs/>
        </w:rPr>
        <w:t>18</w:t>
      </w:r>
      <w:r w:rsidRPr="00554760">
        <w:rPr>
          <w:lang w:val="fr-CH"/>
        </w:rPr>
        <w:t>, afin d</w:t>
      </w:r>
      <w:r>
        <w:rPr>
          <w:lang w:val="fr-CH"/>
        </w:rPr>
        <w:t>'</w:t>
      </w:r>
      <w:r w:rsidRPr="00554760">
        <w:rPr>
          <w:lang w:val="fr-CH"/>
        </w:rPr>
        <w:t>améliorer l</w:t>
      </w:r>
      <w:r>
        <w:rPr>
          <w:lang w:val="fr-CH"/>
        </w:rPr>
        <w:t>'</w:t>
      </w:r>
      <w:r w:rsidRPr="00554760">
        <w:rPr>
          <w:lang w:val="fr-CH"/>
        </w:rPr>
        <w:t>efficacité et de mettre à disposition des bandes de fréquences pour les nouvelles techniques numériques;</w:t>
      </w:r>
    </w:p>
    <w:p w:rsidR="00DF13FD" w:rsidRPr="00554760" w:rsidRDefault="00DF13FD" w:rsidP="00A17011">
      <w:pPr>
        <w:tabs>
          <w:tab w:val="left" w:pos="1080"/>
        </w:tabs>
        <w:jc w:val="both"/>
        <w:rPr>
          <w:lang w:val="fr-CH"/>
        </w:rPr>
      </w:pPr>
      <w:r w:rsidRPr="00554760">
        <w:rPr>
          <w:i/>
          <w:iCs/>
          <w:lang w:val="fr-CH"/>
        </w:rPr>
        <w:t>b)</w:t>
      </w:r>
      <w:r w:rsidRPr="00554760">
        <w:rPr>
          <w:lang w:val="fr-CH"/>
        </w:rPr>
        <w:tab/>
        <w:t xml:space="preserve">que </w:t>
      </w:r>
      <w:r>
        <w:rPr>
          <w:lang w:val="fr-CH"/>
        </w:rPr>
        <w:t xml:space="preserve">la CMR-12 </w:t>
      </w:r>
      <w:r w:rsidRPr="00554760">
        <w:rPr>
          <w:lang w:val="fr-CH"/>
        </w:rPr>
        <w:t>a examiné les dispositions réglementaires et les attributions de fréquences destinées à être utilisées par les systèmes de sécurité maritimes pour les navires et les ports,</w:t>
      </w:r>
    </w:p>
    <w:p w:rsidR="00DF13FD" w:rsidRPr="00554760" w:rsidRDefault="00DF13FD" w:rsidP="00A17011">
      <w:pPr>
        <w:pStyle w:val="Call"/>
        <w:jc w:val="both"/>
        <w:rPr>
          <w:lang w:val="fr-CH"/>
        </w:rPr>
      </w:pPr>
      <w:r w:rsidRPr="00554760">
        <w:rPr>
          <w:lang w:val="fr-CH"/>
        </w:rPr>
        <w:t>notant en outre</w:t>
      </w:r>
    </w:p>
    <w:p w:rsidR="00DF13FD" w:rsidRPr="00554760" w:rsidRDefault="00DF13FD" w:rsidP="00A17011">
      <w:pPr>
        <w:keepNext/>
        <w:keepLines/>
        <w:tabs>
          <w:tab w:val="left" w:pos="1080"/>
        </w:tabs>
        <w:jc w:val="both"/>
        <w:rPr>
          <w:lang w:val="fr-CH"/>
        </w:rPr>
      </w:pPr>
      <w:r w:rsidRPr="00554760">
        <w:rPr>
          <w:lang w:val="fr-CH"/>
        </w:rPr>
        <w:t xml:space="preserve">que la CMR-12 et la </w:t>
      </w:r>
      <w:r>
        <w:rPr>
          <w:lang w:val="fr-CH"/>
        </w:rPr>
        <w:t xml:space="preserve">présente Conférence </w:t>
      </w:r>
      <w:r w:rsidRPr="00554760">
        <w:rPr>
          <w:lang w:val="fr-CH"/>
        </w:rPr>
        <w:t xml:space="preserve">ont examiné </w:t>
      </w:r>
      <w:r w:rsidRPr="00554760">
        <w:rPr>
          <w:color w:val="000000"/>
        </w:rPr>
        <w:t>l</w:t>
      </w:r>
      <w:r>
        <w:rPr>
          <w:color w:val="000000"/>
        </w:rPr>
        <w:t>'</w:t>
      </w:r>
      <w:r w:rsidRPr="00554760">
        <w:rPr>
          <w:color w:val="000000"/>
        </w:rPr>
        <w:t xml:space="preserve">Appendice </w:t>
      </w:r>
      <w:r w:rsidRPr="00554760">
        <w:rPr>
          <w:b/>
          <w:bCs/>
          <w:color w:val="000000"/>
        </w:rPr>
        <w:t>18</w:t>
      </w:r>
      <w:r>
        <w:rPr>
          <w:color w:val="000000"/>
        </w:rPr>
        <w:t>,</w:t>
      </w:r>
      <w:r w:rsidRPr="00554760">
        <w:rPr>
          <w:color w:val="000000"/>
        </w:rPr>
        <w:t xml:space="preserve"> afin d</w:t>
      </w:r>
      <w:r>
        <w:rPr>
          <w:color w:val="000000"/>
        </w:rPr>
        <w:t>'</w:t>
      </w:r>
      <w:r w:rsidRPr="00554760">
        <w:rPr>
          <w:color w:val="000000"/>
        </w:rPr>
        <w:t>améliorer l</w:t>
      </w:r>
      <w:r>
        <w:rPr>
          <w:color w:val="000000"/>
        </w:rPr>
        <w:t>'</w:t>
      </w:r>
      <w:r w:rsidRPr="00554760">
        <w:rPr>
          <w:color w:val="000000"/>
        </w:rPr>
        <w:t>efficacité et de mettre à disposition des bandes de fréquences pour les nouvelles techniques numériques,</w:t>
      </w:r>
    </w:p>
    <w:p w:rsidR="00DF13FD" w:rsidRPr="00554760" w:rsidRDefault="00DF13FD" w:rsidP="00A17011">
      <w:pPr>
        <w:pStyle w:val="Call"/>
        <w:jc w:val="both"/>
        <w:rPr>
          <w:lang w:val="fr-CH"/>
        </w:rPr>
      </w:pPr>
      <w:r w:rsidRPr="00554760">
        <w:rPr>
          <w:lang w:val="fr-CH"/>
        </w:rPr>
        <w:t>reconnaissant</w:t>
      </w:r>
    </w:p>
    <w:p w:rsidR="00DF13FD" w:rsidRPr="00554760" w:rsidRDefault="00DF13FD" w:rsidP="00A17011">
      <w:pPr>
        <w:tabs>
          <w:tab w:val="left" w:pos="1080"/>
        </w:tabs>
        <w:jc w:val="both"/>
        <w:rPr>
          <w:lang w:val="fr-CH"/>
        </w:rPr>
      </w:pPr>
      <w:r w:rsidRPr="00554760">
        <w:rPr>
          <w:i/>
          <w:iCs/>
          <w:lang w:val="fr-CH"/>
        </w:rPr>
        <w:t>a)</w:t>
      </w:r>
      <w:r w:rsidRPr="00554760">
        <w:rPr>
          <w:lang w:val="fr-CH"/>
        </w:rPr>
        <w:tab/>
        <w:t xml:space="preserve">que les systèmes de communication maritime évolués peuvent contribuer à la mise en </w:t>
      </w:r>
      <w:proofErr w:type="spellStart"/>
      <w:r w:rsidRPr="00554760">
        <w:rPr>
          <w:lang w:val="fr-CH"/>
        </w:rPr>
        <w:t>oeuvre</w:t>
      </w:r>
      <w:proofErr w:type="spellEnd"/>
      <w:r w:rsidRPr="00554760">
        <w:rPr>
          <w:lang w:val="fr-CH"/>
        </w:rPr>
        <w:t xml:space="preserve"> de la modernisation du SMDSM et de la navigation électronique;</w:t>
      </w:r>
    </w:p>
    <w:p w:rsidR="00DF13FD" w:rsidRPr="00554760" w:rsidRDefault="00DF13FD" w:rsidP="00A17011">
      <w:pPr>
        <w:tabs>
          <w:tab w:val="left" w:pos="1080"/>
        </w:tabs>
        <w:jc w:val="both"/>
        <w:rPr>
          <w:lang w:val="fr-CH"/>
        </w:rPr>
      </w:pPr>
      <w:r w:rsidRPr="00554760">
        <w:rPr>
          <w:i/>
          <w:iCs/>
        </w:rPr>
        <w:lastRenderedPageBreak/>
        <w:t>b)</w:t>
      </w:r>
      <w:r w:rsidRPr="00554760">
        <w:rPr>
          <w:lang w:val="fr-CH"/>
        </w:rPr>
        <w:tab/>
        <w:t>que les efforts déployés par l</w:t>
      </w:r>
      <w:r>
        <w:rPr>
          <w:lang w:val="fr-CH"/>
        </w:rPr>
        <w:t>'</w:t>
      </w:r>
      <w:r w:rsidRPr="00554760">
        <w:rPr>
          <w:lang w:val="fr-CH"/>
        </w:rPr>
        <w:t xml:space="preserve">OMI pour mettre en </w:t>
      </w:r>
      <w:proofErr w:type="spellStart"/>
      <w:r w:rsidRPr="00554760">
        <w:rPr>
          <w:lang w:val="fr-CH"/>
        </w:rPr>
        <w:t>oeuvre</w:t>
      </w:r>
      <w:proofErr w:type="spellEnd"/>
      <w:r w:rsidRPr="00554760">
        <w:rPr>
          <w:lang w:val="fr-CH"/>
        </w:rPr>
        <w:t xml:space="preserve"> la modernisation du SMDSM et la navigation électronique nécessitent peut-être un réexamen du Règlement des radiocommunications</w:t>
      </w:r>
      <w:r>
        <w:rPr>
          <w:lang w:val="fr-CH"/>
        </w:rPr>
        <w:t>,</w:t>
      </w:r>
      <w:r w:rsidRPr="00554760">
        <w:rPr>
          <w:lang w:val="fr-CH"/>
        </w:rPr>
        <w:t xml:space="preserve"> afin de tenir compte des systèmes de communication maritime évolués;</w:t>
      </w:r>
    </w:p>
    <w:p w:rsidR="00DF13FD" w:rsidRPr="00554760" w:rsidRDefault="00DF13FD" w:rsidP="00A17011">
      <w:pPr>
        <w:tabs>
          <w:tab w:val="left" w:pos="1080"/>
        </w:tabs>
        <w:jc w:val="both"/>
        <w:rPr>
          <w:lang w:val="fr-CH"/>
        </w:rPr>
      </w:pPr>
      <w:r w:rsidRPr="00554760">
        <w:rPr>
          <w:i/>
          <w:iCs/>
          <w:lang w:val="fr-CH"/>
        </w:rPr>
        <w:t>c)</w:t>
      </w:r>
      <w:r w:rsidRPr="00554760">
        <w:rPr>
          <w:lang w:val="fr-CH"/>
        </w:rPr>
        <w:tab/>
        <w:t>que les liaisons radioélectriques en question, compte tenu de leur importance pour garantir la sécurité des transports maritimes et du commerce ainsi que la sécurité en mer, doivent résister aux brouillages,</w:t>
      </w:r>
    </w:p>
    <w:p w:rsidR="00DF13FD" w:rsidRPr="00554760" w:rsidRDefault="00DF13FD" w:rsidP="00A17011">
      <w:pPr>
        <w:pStyle w:val="Call"/>
        <w:tabs>
          <w:tab w:val="left" w:pos="6210"/>
        </w:tabs>
        <w:jc w:val="both"/>
        <w:rPr>
          <w:lang w:val="fr-CH"/>
        </w:rPr>
      </w:pPr>
      <w:r w:rsidRPr="00554760">
        <w:rPr>
          <w:lang w:val="fr-CH"/>
        </w:rPr>
        <w:t>décide d</w:t>
      </w:r>
      <w:r>
        <w:rPr>
          <w:lang w:val="fr-CH"/>
        </w:rPr>
        <w:t>'inviter la Conférence mondiale des radiocommunications de 2023</w:t>
      </w:r>
    </w:p>
    <w:p w:rsidR="00DF13FD" w:rsidRPr="00554760" w:rsidRDefault="00DF13FD" w:rsidP="00A17011">
      <w:pPr>
        <w:tabs>
          <w:tab w:val="left" w:pos="1080"/>
        </w:tabs>
        <w:jc w:val="both"/>
        <w:rPr>
          <w:lang w:val="fr-CH"/>
        </w:rPr>
      </w:pPr>
      <w:r w:rsidRPr="00554760">
        <w:rPr>
          <w:lang w:val="fr-CH"/>
        </w:rPr>
        <w:t>1</w:t>
      </w:r>
      <w:r w:rsidRPr="00554760">
        <w:rPr>
          <w:lang w:val="fr-CH"/>
        </w:rPr>
        <w:tab/>
      </w:r>
      <w:r w:rsidRPr="00554760">
        <w:rPr>
          <w:color w:val="000000"/>
        </w:rPr>
        <w:t xml:space="preserve">à </w:t>
      </w:r>
      <w:r>
        <w:rPr>
          <w:color w:val="000000"/>
        </w:rPr>
        <w:t>tenir</w:t>
      </w:r>
      <w:r w:rsidRPr="00554760">
        <w:rPr>
          <w:color w:val="000000"/>
        </w:rPr>
        <w:t xml:space="preserve"> compte des activités de l</w:t>
      </w:r>
      <w:r>
        <w:rPr>
          <w:color w:val="000000"/>
        </w:rPr>
        <w:t>'</w:t>
      </w:r>
      <w:r w:rsidRPr="00554760">
        <w:rPr>
          <w:color w:val="000000"/>
        </w:rPr>
        <w:t>OMI</w:t>
      </w:r>
      <w:r>
        <w:rPr>
          <w:color w:val="000000"/>
        </w:rPr>
        <w:t>,</w:t>
      </w:r>
      <w:r w:rsidRPr="00554760">
        <w:rPr>
          <w:color w:val="000000"/>
        </w:rPr>
        <w:t xml:space="preserve"> ainsi que des informations et des </w:t>
      </w:r>
      <w:r>
        <w:rPr>
          <w:color w:val="000000"/>
        </w:rPr>
        <w:t>exigence</w:t>
      </w:r>
      <w:r w:rsidRPr="00554760">
        <w:rPr>
          <w:color w:val="000000"/>
        </w:rPr>
        <w:t xml:space="preserve">s fournies par </w:t>
      </w:r>
      <w:r>
        <w:rPr>
          <w:color w:val="000000"/>
        </w:rPr>
        <w:t xml:space="preserve">l'OMI, afin de déterminer </w:t>
      </w:r>
      <w:r w:rsidRPr="00554760">
        <w:rPr>
          <w:color w:val="000000"/>
        </w:rPr>
        <w:t>les</w:t>
      </w:r>
      <w:r w:rsidRPr="00554760">
        <w:rPr>
          <w:lang w:val="fr-CH"/>
        </w:rPr>
        <w:t xml:space="preserve"> mesures réglementaires </w:t>
      </w:r>
      <w:r>
        <w:rPr>
          <w:lang w:val="fr-CH"/>
        </w:rPr>
        <w:t>à prendre</w:t>
      </w:r>
      <w:r w:rsidRPr="00554760">
        <w:rPr>
          <w:lang w:val="fr-CH"/>
        </w:rPr>
        <w:t xml:space="preserve"> pour permettre la modernisation du SMDSM;</w:t>
      </w:r>
    </w:p>
    <w:p w:rsidR="00DF13FD" w:rsidRPr="00554760" w:rsidRDefault="00DF13FD" w:rsidP="00A17011">
      <w:pPr>
        <w:tabs>
          <w:tab w:val="left" w:pos="1080"/>
        </w:tabs>
        <w:jc w:val="both"/>
        <w:rPr>
          <w:lang w:val="fr-CH"/>
        </w:rPr>
      </w:pPr>
      <w:r w:rsidRPr="00554760">
        <w:rPr>
          <w:lang w:val="fr-CH"/>
        </w:rPr>
        <w:t>2</w:t>
      </w:r>
      <w:r w:rsidRPr="00554760">
        <w:rPr>
          <w:lang w:val="fr-CH"/>
        </w:rPr>
        <w:tab/>
        <w:t>à examiner d</w:t>
      </w:r>
      <w:r>
        <w:rPr>
          <w:lang w:val="fr-CH"/>
        </w:rPr>
        <w:t>'</w:t>
      </w:r>
      <w:r w:rsidRPr="00554760">
        <w:rPr>
          <w:lang w:val="fr-CH"/>
        </w:rPr>
        <w:t>éventuelles mesures réglementaires, y compris</w:t>
      </w:r>
      <w:r>
        <w:rPr>
          <w:lang w:val="fr-CH"/>
        </w:rPr>
        <w:t xml:space="preserve"> des attributions de fréquences sur la base des études du Secteur des radiocommunications de l'UIT</w:t>
      </w:r>
      <w:r w:rsidRPr="00554760">
        <w:rPr>
          <w:lang w:val="fr-CH"/>
        </w:rPr>
        <w:t xml:space="preserve"> </w:t>
      </w:r>
      <w:r>
        <w:rPr>
          <w:lang w:val="fr-CH"/>
        </w:rPr>
        <w:t>(</w:t>
      </w:r>
      <w:r w:rsidRPr="00554760">
        <w:rPr>
          <w:lang w:val="fr-CH"/>
        </w:rPr>
        <w:t>UIT-R</w:t>
      </w:r>
      <w:r>
        <w:rPr>
          <w:lang w:val="fr-CH"/>
        </w:rPr>
        <w:t>)</w:t>
      </w:r>
      <w:r w:rsidRPr="00554760">
        <w:rPr>
          <w:lang w:val="fr-CH"/>
        </w:rPr>
        <w:t>, en ce qui concerne le service mobile maritime</w:t>
      </w:r>
      <w:r>
        <w:rPr>
          <w:lang w:val="fr-CH"/>
        </w:rPr>
        <w:t>, à l'appui de</w:t>
      </w:r>
      <w:r w:rsidRPr="00554760">
        <w:rPr>
          <w:lang w:val="fr-CH"/>
        </w:rPr>
        <w:t xml:space="preserve"> la navigation électronique,</w:t>
      </w:r>
    </w:p>
    <w:p w:rsidR="00DF13FD" w:rsidRPr="00554760" w:rsidRDefault="00DF13FD" w:rsidP="00A17011">
      <w:pPr>
        <w:pStyle w:val="Call"/>
        <w:jc w:val="both"/>
        <w:rPr>
          <w:lang w:val="fr-CH"/>
        </w:rPr>
      </w:pPr>
      <w:r w:rsidRPr="00554760">
        <w:rPr>
          <w:lang w:val="fr-CH"/>
        </w:rPr>
        <w:t xml:space="preserve">invite </w:t>
      </w:r>
      <w:r>
        <w:rPr>
          <w:lang w:val="fr-CH"/>
        </w:rPr>
        <w:t>l'</w:t>
      </w:r>
      <w:r w:rsidRPr="00554760">
        <w:rPr>
          <w:lang w:val="fr-CH"/>
        </w:rPr>
        <w:t>UIT</w:t>
      </w:r>
      <w:r>
        <w:rPr>
          <w:lang w:val="fr-CH"/>
        </w:rPr>
        <w:t>-R</w:t>
      </w:r>
    </w:p>
    <w:p w:rsidR="00DF13FD" w:rsidRPr="00554760" w:rsidRDefault="00DF13FD" w:rsidP="00A17011">
      <w:pPr>
        <w:jc w:val="both"/>
        <w:rPr>
          <w:lang w:val="fr-CH"/>
        </w:rPr>
      </w:pPr>
      <w:r w:rsidRPr="00554760">
        <w:rPr>
          <w:lang w:val="fr-CH"/>
        </w:rPr>
        <w:t>à procéder à des études, en tenant compte des activités de l</w:t>
      </w:r>
      <w:r>
        <w:rPr>
          <w:lang w:val="fr-CH"/>
        </w:rPr>
        <w:t>'</w:t>
      </w:r>
      <w:r w:rsidRPr="00554760">
        <w:rPr>
          <w:lang w:val="fr-CH"/>
        </w:rPr>
        <w:t>OMI, en vu</w:t>
      </w:r>
      <w:r>
        <w:rPr>
          <w:lang w:val="fr-CH"/>
        </w:rPr>
        <w:t>e de déterminer les besoins de fréquences</w:t>
      </w:r>
      <w:r w:rsidRPr="00554760">
        <w:rPr>
          <w:lang w:val="fr-CH"/>
        </w:rPr>
        <w:t xml:space="preserve"> et les mesures réglementaires à prendre pour permettre la modernisation du SMDSM et la mise en </w:t>
      </w:r>
      <w:proofErr w:type="spellStart"/>
      <w:r w:rsidRPr="00554760">
        <w:rPr>
          <w:lang w:val="fr-CH"/>
        </w:rPr>
        <w:t>oeuvre</w:t>
      </w:r>
      <w:proofErr w:type="spellEnd"/>
      <w:r w:rsidRPr="00554760">
        <w:rPr>
          <w:lang w:val="fr-CH"/>
        </w:rPr>
        <w:t xml:space="preserve"> de la navigation électronique,</w:t>
      </w:r>
    </w:p>
    <w:p w:rsidR="00DF13FD" w:rsidRPr="00554760" w:rsidRDefault="00DF13FD" w:rsidP="00A17011">
      <w:pPr>
        <w:pStyle w:val="Call"/>
        <w:jc w:val="both"/>
        <w:rPr>
          <w:lang w:val="fr-CH"/>
        </w:rPr>
      </w:pPr>
      <w:r>
        <w:rPr>
          <w:lang w:val="fr-CH"/>
        </w:rPr>
        <w:t xml:space="preserve">invite </w:t>
      </w:r>
    </w:p>
    <w:p w:rsidR="00DF13FD" w:rsidRPr="00554760" w:rsidRDefault="00DF13FD" w:rsidP="00A17011">
      <w:pPr>
        <w:jc w:val="both"/>
        <w:rPr>
          <w:lang w:val="fr-CH"/>
        </w:rPr>
      </w:pPr>
      <w:r w:rsidRPr="00554760">
        <w:rPr>
          <w:lang w:val="fr-CH"/>
        </w:rPr>
        <w:t>1</w:t>
      </w:r>
      <w:r w:rsidRPr="00554760">
        <w:rPr>
          <w:lang w:val="fr-CH"/>
        </w:rPr>
        <w:tab/>
        <w:t>l</w:t>
      </w:r>
      <w:r>
        <w:rPr>
          <w:lang w:val="fr-CH"/>
        </w:rPr>
        <w:t>'</w:t>
      </w:r>
      <w:r w:rsidRPr="00554760">
        <w:rPr>
          <w:lang w:val="fr-CH"/>
        </w:rPr>
        <w:t>OMI à participer active</w:t>
      </w:r>
      <w:r>
        <w:rPr>
          <w:lang w:val="fr-CH"/>
        </w:rPr>
        <w:t>ment aux études, en fournissant les informations et l</w:t>
      </w:r>
      <w:r w:rsidRPr="00554760">
        <w:rPr>
          <w:lang w:val="fr-CH"/>
        </w:rPr>
        <w:t xml:space="preserve">es </w:t>
      </w:r>
      <w:r>
        <w:rPr>
          <w:lang w:val="fr-CH"/>
        </w:rPr>
        <w:t>exigence</w:t>
      </w:r>
      <w:r w:rsidRPr="00554760">
        <w:rPr>
          <w:lang w:val="fr-CH"/>
        </w:rPr>
        <w:t>s qui devraient être prises en compte dans les études de l</w:t>
      </w:r>
      <w:r>
        <w:rPr>
          <w:lang w:val="fr-CH"/>
        </w:rPr>
        <w:t>'</w:t>
      </w:r>
      <w:r w:rsidRPr="00554760">
        <w:rPr>
          <w:lang w:val="fr-CH"/>
        </w:rPr>
        <w:t>UIT-R;</w:t>
      </w:r>
    </w:p>
    <w:p w:rsidR="00DF13FD" w:rsidRPr="00554760" w:rsidRDefault="00DF13FD" w:rsidP="00A17011">
      <w:pPr>
        <w:jc w:val="both"/>
        <w:rPr>
          <w:lang w:val="fr-CH"/>
        </w:rPr>
      </w:pPr>
      <w:r w:rsidRPr="00554760">
        <w:rPr>
          <w:lang w:val="fr-CH"/>
        </w:rPr>
        <w:t>2</w:t>
      </w:r>
      <w:r w:rsidRPr="00554760">
        <w:rPr>
          <w:lang w:val="fr-CH"/>
        </w:rPr>
        <w:tab/>
        <w:t>l</w:t>
      </w:r>
      <w:r>
        <w:rPr>
          <w:lang w:val="fr-CH"/>
        </w:rPr>
        <w:t>'</w:t>
      </w:r>
      <w:r w:rsidRPr="00554760">
        <w:rPr>
          <w:lang w:val="fr-CH"/>
        </w:rPr>
        <w:t>Association internationale de signalisation maritime (AISM), l</w:t>
      </w:r>
      <w:r>
        <w:rPr>
          <w:lang w:val="fr-CH"/>
        </w:rPr>
        <w:t>'</w:t>
      </w:r>
      <w:r w:rsidRPr="00554760">
        <w:rPr>
          <w:lang w:val="fr-CH"/>
        </w:rPr>
        <w:t>Organisation de l</w:t>
      </w:r>
      <w:r>
        <w:rPr>
          <w:lang w:val="fr-CH"/>
        </w:rPr>
        <w:t>'</w:t>
      </w:r>
      <w:r w:rsidRPr="00554760">
        <w:rPr>
          <w:lang w:val="fr-CH"/>
        </w:rPr>
        <w:t>aviation civile internationale (OACI), la Commission électrotechnique internationale (CEI), l</w:t>
      </w:r>
      <w:r>
        <w:rPr>
          <w:lang w:val="fr-CH"/>
        </w:rPr>
        <w:t>'</w:t>
      </w:r>
      <w:r w:rsidRPr="00554760">
        <w:rPr>
          <w:lang w:val="fr-CH"/>
        </w:rPr>
        <w:t>Organisation hydrographique internationale (OHI), l</w:t>
      </w:r>
      <w:r>
        <w:rPr>
          <w:lang w:val="fr-CH"/>
        </w:rPr>
        <w:t>'</w:t>
      </w:r>
      <w:r w:rsidRPr="00554760">
        <w:rPr>
          <w:lang w:val="fr-CH"/>
        </w:rPr>
        <w:t>Organisation internationale de normalisation (ISO) et l</w:t>
      </w:r>
      <w:r>
        <w:rPr>
          <w:lang w:val="fr-CH"/>
        </w:rPr>
        <w:t>'</w:t>
      </w:r>
      <w:r w:rsidRPr="00554760">
        <w:rPr>
          <w:lang w:val="fr-CH"/>
        </w:rPr>
        <w:t>Organisation météorologique mondiale (OMM) à contribuer à ces études,</w:t>
      </w:r>
    </w:p>
    <w:p w:rsidR="00DF13FD" w:rsidRDefault="00DF13FD" w:rsidP="00A17011">
      <w:pPr>
        <w:pStyle w:val="Call"/>
        <w:jc w:val="both"/>
        <w:rPr>
          <w:lang w:val="fr-CH"/>
        </w:rPr>
      </w:pPr>
      <w:r w:rsidRPr="00554760">
        <w:rPr>
          <w:lang w:val="fr-CH"/>
        </w:rPr>
        <w:t>charge le Secrétaire général</w:t>
      </w:r>
    </w:p>
    <w:p w:rsidR="00DF13FD" w:rsidRDefault="00DF13FD" w:rsidP="00A17011">
      <w:pPr>
        <w:jc w:val="both"/>
        <w:rPr>
          <w:lang w:val="fr-CH"/>
        </w:rPr>
      </w:pPr>
      <w:r>
        <w:rPr>
          <w:lang w:val="fr-CH"/>
        </w:rPr>
        <w:t>de porter la présente Résolution à l'attention de l'OMI et des autres organisations internationales et régionales concernées.</w:t>
      </w:r>
    </w:p>
    <w:p w:rsidR="00F1211C" w:rsidRPr="00DF13FD" w:rsidRDefault="00F1211C" w:rsidP="00A17011">
      <w:pPr>
        <w:overflowPunct/>
        <w:autoSpaceDE/>
        <w:autoSpaceDN/>
        <w:adjustRightInd/>
        <w:spacing w:before="0"/>
        <w:textAlignment w:val="auto"/>
        <w:rPr>
          <w:rFonts w:asciiTheme="majorBidi" w:hAnsiTheme="majorBidi" w:cstheme="majorBidi"/>
          <w:szCs w:val="24"/>
        </w:rPr>
      </w:pPr>
      <w:r w:rsidRPr="00DF13FD">
        <w:rPr>
          <w:rFonts w:asciiTheme="majorBidi" w:hAnsiTheme="majorBidi" w:cstheme="majorBidi"/>
          <w:szCs w:val="24"/>
        </w:rPr>
        <w:br w:type="page"/>
      </w:r>
    </w:p>
    <w:p w:rsidR="007C11AB" w:rsidRPr="007C11AB" w:rsidRDefault="00F96BD5" w:rsidP="00A17011">
      <w:pPr>
        <w:pStyle w:val="ResNo"/>
      </w:pPr>
      <w:bookmarkStart w:id="198" w:name="RES_362"/>
      <w:bookmarkStart w:id="199" w:name="_Toc444507572"/>
      <w:bookmarkStart w:id="200" w:name="_Toc460331720"/>
      <w:bookmarkStart w:id="201" w:name="_Toc463616177"/>
      <w:bookmarkStart w:id="202" w:name="_Toc319341044"/>
      <w:bookmarkStart w:id="203" w:name="_Toc319401836"/>
      <w:bookmarkStart w:id="204" w:name="_Toc320519994"/>
      <w:bookmarkStart w:id="205" w:name="_Toc320862095"/>
      <w:bookmarkStart w:id="206" w:name="_Toc320862255"/>
      <w:bookmarkStart w:id="207" w:name="_Toc324918350"/>
      <w:bookmarkStart w:id="208" w:name="_Toc327364467"/>
      <w:bookmarkStart w:id="209" w:name="_Toc337471336"/>
      <w:bookmarkEnd w:id="165"/>
      <w:bookmarkEnd w:id="166"/>
      <w:bookmarkEnd w:id="167"/>
      <w:bookmarkEnd w:id="168"/>
      <w:bookmarkEnd w:id="169"/>
      <w:bookmarkEnd w:id="170"/>
      <w:bookmarkEnd w:id="171"/>
      <w:bookmarkEnd w:id="172"/>
      <w:r>
        <w:lastRenderedPageBreak/>
        <w:t>R</w:t>
      </w:r>
      <w:r w:rsidR="001D5201" w:rsidRPr="001D5201">
        <w:t>É</w:t>
      </w:r>
      <w:r w:rsidR="007C11AB" w:rsidRPr="007C11AB">
        <w:t xml:space="preserve">SOLUTION </w:t>
      </w:r>
      <w:r w:rsidR="007C11AB" w:rsidRPr="007C11AB">
        <w:rPr>
          <w:rStyle w:val="href"/>
        </w:rPr>
        <w:t>362</w:t>
      </w:r>
      <w:r w:rsidR="007C11AB" w:rsidRPr="007C11AB">
        <w:t xml:space="preserve"> </w:t>
      </w:r>
      <w:bookmarkEnd w:id="198"/>
      <w:r w:rsidR="007C11AB" w:rsidRPr="007C11AB">
        <w:t>(</w:t>
      </w:r>
      <w:r w:rsidR="005A2541" w:rsidRPr="00A20F5A">
        <w:t>C</w:t>
      </w:r>
      <w:r w:rsidR="005A2541">
        <w:t>MR</w:t>
      </w:r>
      <w:r w:rsidR="007C11AB" w:rsidRPr="007C11AB">
        <w:noBreakHyphen/>
        <w:t>15)</w:t>
      </w:r>
      <w:bookmarkEnd w:id="199"/>
      <w:bookmarkEnd w:id="200"/>
      <w:bookmarkEnd w:id="201"/>
    </w:p>
    <w:p w:rsidR="00DF13FD" w:rsidRPr="000F300D" w:rsidRDefault="00DF13FD" w:rsidP="00A17011">
      <w:pPr>
        <w:pStyle w:val="Restitle"/>
      </w:pPr>
      <w:bookmarkStart w:id="210" w:name="_Toc450208693"/>
      <w:bookmarkStart w:id="211" w:name="_Toc463616178"/>
      <w:r>
        <w:t>D</w:t>
      </w:r>
      <w:r w:rsidRPr="000F300D">
        <w:t xml:space="preserve">ispositifs de radiocommunication maritimes autonomes fonctionnant dans </w:t>
      </w:r>
      <w:r>
        <w:br/>
      </w:r>
      <w:r w:rsidRPr="000F300D">
        <w:t>la bande de fréquences 15</w:t>
      </w:r>
      <w:r>
        <w:t>6</w:t>
      </w:r>
      <w:r w:rsidRPr="000F300D">
        <w:t>-1</w:t>
      </w:r>
      <w:r>
        <w:t>62,05</w:t>
      </w:r>
      <w:r w:rsidRPr="000F300D">
        <w:t xml:space="preserve"> MHz</w:t>
      </w:r>
      <w:bookmarkEnd w:id="210"/>
      <w:bookmarkEnd w:id="211"/>
    </w:p>
    <w:p w:rsidR="00DF13FD" w:rsidRPr="00C95727" w:rsidRDefault="00DF13FD" w:rsidP="00A17011">
      <w:pPr>
        <w:pStyle w:val="Normalaftertitle"/>
        <w:rPr>
          <w:lang w:val="fr-CH"/>
        </w:rPr>
      </w:pPr>
      <w:r w:rsidRPr="00C95727">
        <w:rPr>
          <w:lang w:val="fr-CH"/>
        </w:rPr>
        <w:t>La Conférence mondiale des radiocommunications (Genève, 2015),</w:t>
      </w:r>
    </w:p>
    <w:p w:rsidR="00DF13FD" w:rsidRPr="00B42483" w:rsidRDefault="00DF13FD" w:rsidP="00A17011">
      <w:pPr>
        <w:pStyle w:val="Call"/>
        <w:keepNext w:val="0"/>
        <w:keepLines w:val="0"/>
      </w:pPr>
      <w:r w:rsidRPr="00B42483">
        <w:t>considérant</w:t>
      </w:r>
    </w:p>
    <w:p w:rsidR="00DF13FD" w:rsidRPr="00332200" w:rsidRDefault="00DF13FD" w:rsidP="00A17011">
      <w:pPr>
        <w:jc w:val="both"/>
        <w:rPr>
          <w:color w:val="000000"/>
        </w:rPr>
      </w:pPr>
      <w:r w:rsidRPr="00B42483">
        <w:rPr>
          <w:i/>
          <w:iCs/>
        </w:rPr>
        <w:t>a)</w:t>
      </w:r>
      <w:r w:rsidRPr="00B42483">
        <w:tab/>
      </w:r>
      <w:r>
        <w:t xml:space="preserve">que, pour améliorer la sécurité de la navigation, il est nécessaire d'identifier et de classer par catégories les </w:t>
      </w:r>
      <w:r w:rsidRPr="000F300D">
        <w:t xml:space="preserve">dispositifs de radiocommunication maritimes </w:t>
      </w:r>
      <w:r>
        <w:t xml:space="preserve">qui fonctionnent de façon autonome dans l'environnement maritime, notamment, mais sans que cette liste soit exhaustive, </w:t>
      </w:r>
      <w:r>
        <w:rPr>
          <w:color w:val="000000"/>
        </w:rPr>
        <w:t xml:space="preserve">les dispositifs sur les embarcations et les barges non motorisées remorquées, les navires abandonnés et les glaces dérivantes, les robots marins propulsés par le mouvement des vagues, les dispositifs «signalant la présence d'un homme à la mer», les dispositifs de repérage, d'alerte et de radiotéléphonie pour les plongeurs, les </w:t>
      </w:r>
      <w:r w:rsidRPr="00A216B0">
        <w:rPr>
          <w:color w:val="000000"/>
        </w:rPr>
        <w:t xml:space="preserve">bouées de localisation des filets de pêche, </w:t>
      </w:r>
      <w:r>
        <w:rPr>
          <w:color w:val="000000"/>
        </w:rPr>
        <w:t>les bouées de suivi des marées noires et les bouées océanographiques et autres bouées dérivantes;</w:t>
      </w:r>
    </w:p>
    <w:p w:rsidR="00DF13FD" w:rsidRDefault="00DF13FD" w:rsidP="00A17011">
      <w:pPr>
        <w:jc w:val="both"/>
      </w:pPr>
      <w:r w:rsidRPr="00B42483">
        <w:rPr>
          <w:i/>
          <w:iCs/>
        </w:rPr>
        <w:t>b)</w:t>
      </w:r>
      <w:r w:rsidRPr="00B42483">
        <w:rPr>
          <w:i/>
          <w:iCs/>
        </w:rPr>
        <w:tab/>
      </w:r>
      <w:r>
        <w:t xml:space="preserve">que ces dispositifs </w:t>
      </w:r>
      <w:r w:rsidRPr="000F300D">
        <w:t>de radiocommunication maritimes</w:t>
      </w:r>
      <w:r>
        <w:t xml:space="preserve"> autonomes utilisent des technologies </w:t>
      </w:r>
      <w:r>
        <w:rPr>
          <w:color w:val="000000"/>
        </w:rPr>
        <w:t>fondées sur le système d'identification automatique (AIS) ou sur l'appel sélectif numérique (ASN) ou la transmission de messages par voix de synthèse, voire une combinaison de ces technologies, qu'ils</w:t>
      </w:r>
      <w:r w:rsidRPr="00EF0A9E">
        <w:rPr>
          <w:color w:val="000000"/>
        </w:rPr>
        <w:t xml:space="preserve"> </w:t>
      </w:r>
      <w:r>
        <w:rPr>
          <w:color w:val="000000"/>
        </w:rPr>
        <w:t>ont été conçus à des fins de sécurité et que leur nombre devrait augmenter</w:t>
      </w:r>
      <w:r w:rsidRPr="00B42483">
        <w:t>;</w:t>
      </w:r>
    </w:p>
    <w:p w:rsidR="00DF13FD" w:rsidRDefault="00DF13FD" w:rsidP="00A17011">
      <w:pPr>
        <w:jc w:val="both"/>
        <w:rPr>
          <w:color w:val="000000"/>
        </w:rPr>
      </w:pPr>
      <w:r w:rsidRPr="00B42483">
        <w:rPr>
          <w:i/>
          <w:iCs/>
        </w:rPr>
        <w:t>c)</w:t>
      </w:r>
      <w:r w:rsidRPr="00B42483">
        <w:tab/>
      </w:r>
      <w:r>
        <w:rPr>
          <w:color w:val="000000"/>
        </w:rPr>
        <w:t>que le système AIS est fondé sur une technologie éprouvée pour les applications liées à la sécurité maritime, qui fournit des fonctions d'identification et de sécurité de la navigation, des aides à la navigation, des signaux de repérage et des communications de données;</w:t>
      </w:r>
    </w:p>
    <w:p w:rsidR="00DF13FD" w:rsidRDefault="00DF13FD" w:rsidP="00A17011">
      <w:pPr>
        <w:jc w:val="both"/>
        <w:rPr>
          <w:color w:val="000000"/>
        </w:rPr>
      </w:pPr>
      <w:r>
        <w:rPr>
          <w:i/>
          <w:iCs/>
        </w:rPr>
        <w:t>d</w:t>
      </w:r>
      <w:r w:rsidRPr="00B42483">
        <w:rPr>
          <w:i/>
          <w:iCs/>
        </w:rPr>
        <w:t>)</w:t>
      </w:r>
      <w:r w:rsidRPr="00B42483">
        <w:tab/>
      </w:r>
      <w:r>
        <w:rPr>
          <w:color w:val="000000"/>
        </w:rPr>
        <w:t xml:space="preserve">que certains de ces dispositifs </w:t>
      </w:r>
      <w:r w:rsidRPr="000F300D">
        <w:t>de radiocommunication maritimes</w:t>
      </w:r>
      <w:r>
        <w:t xml:space="preserve"> autonomes </w:t>
      </w:r>
      <w:r>
        <w:rPr>
          <w:color w:val="000000"/>
        </w:rPr>
        <w:t>peuvent avoir besoin d'identificateurs maritimes différents de ceux utilisés pour les équipements personnels ou les équipements installés à bord de navires,</w:t>
      </w:r>
    </w:p>
    <w:p w:rsidR="00DF13FD" w:rsidRPr="00636601" w:rsidRDefault="00DF13FD" w:rsidP="00A17011">
      <w:pPr>
        <w:pStyle w:val="Call"/>
        <w:jc w:val="both"/>
      </w:pPr>
      <w:r>
        <w:t>reconnaissant</w:t>
      </w:r>
    </w:p>
    <w:p w:rsidR="00DF13FD" w:rsidRPr="00636601" w:rsidRDefault="00DF13FD" w:rsidP="00A17011">
      <w:pPr>
        <w:jc w:val="both"/>
        <w:rPr>
          <w:lang w:val="fr-CH"/>
        </w:rPr>
      </w:pPr>
      <w:r>
        <w:rPr>
          <w:i/>
          <w:iCs/>
          <w:color w:val="000000"/>
        </w:rPr>
        <w:t>a</w:t>
      </w:r>
      <w:r w:rsidRPr="0002178C">
        <w:rPr>
          <w:i/>
          <w:iCs/>
          <w:color w:val="000000"/>
        </w:rPr>
        <w:t>)</w:t>
      </w:r>
      <w:r>
        <w:rPr>
          <w:color w:val="000000"/>
        </w:rPr>
        <w:tab/>
        <w:t>qu'il convient de protéger l'intégrité du système AIS et du Système mondial de détresse et de sécurité en mer (SMDSM);</w:t>
      </w:r>
    </w:p>
    <w:p w:rsidR="00DF13FD" w:rsidRDefault="00DF13FD" w:rsidP="00A17011">
      <w:pPr>
        <w:jc w:val="both"/>
        <w:rPr>
          <w:color w:val="000000"/>
        </w:rPr>
      </w:pPr>
      <w:r>
        <w:rPr>
          <w:i/>
          <w:iCs/>
          <w:color w:val="000000"/>
        </w:rPr>
        <w:t>b</w:t>
      </w:r>
      <w:r w:rsidRPr="0002178C">
        <w:rPr>
          <w:i/>
          <w:iCs/>
          <w:color w:val="000000"/>
        </w:rPr>
        <w:t>)</w:t>
      </w:r>
      <w:r>
        <w:rPr>
          <w:color w:val="000000"/>
        </w:rPr>
        <w:tab/>
        <w:t>que, pour les navires conformes à la Convention internationale pour la sauvegarde de la vie humaine en mer (SOLAS), 1974 (telle qu'elle a été amendée) et les autres navires équipés de systèmes de radiocommunication automatiques, y compris les systèmes AIS et ASN et/ou les dispositifs d'alerte du SMDSM, les identités du service mobile maritime (MMSI) devraient être assignées conformément aux dispositions de la Recommandation UIT-R M.585;</w:t>
      </w:r>
    </w:p>
    <w:p w:rsidR="00DF13FD" w:rsidRDefault="00DF13FD" w:rsidP="00A17011">
      <w:pPr>
        <w:jc w:val="both"/>
        <w:rPr>
          <w:color w:val="000000"/>
        </w:rPr>
      </w:pPr>
      <w:r>
        <w:rPr>
          <w:i/>
          <w:iCs/>
          <w:color w:val="000000"/>
        </w:rPr>
        <w:t>c</w:t>
      </w:r>
      <w:r w:rsidRPr="0002178C">
        <w:rPr>
          <w:i/>
          <w:iCs/>
          <w:color w:val="000000"/>
        </w:rPr>
        <w:t>)</w:t>
      </w:r>
      <w:r>
        <w:rPr>
          <w:color w:val="000000"/>
        </w:rPr>
        <w:tab/>
        <w:t xml:space="preserve">que l'utilisation de fréquences figurant dans l'Appendice </w:t>
      </w:r>
      <w:r w:rsidRPr="003C2A84">
        <w:rPr>
          <w:b/>
          <w:bCs/>
          <w:color w:val="000000"/>
        </w:rPr>
        <w:t>18</w:t>
      </w:r>
      <w:r>
        <w:rPr>
          <w:color w:val="000000"/>
        </w:rPr>
        <w:t xml:space="preserve"> du Règlement des radiocommunications et des identités maritimes décrites dans la Recommandation UIT-R M.585 devrait être limitée aux dispositifs identifiés comme faisant partie du service mobile maritime;</w:t>
      </w:r>
    </w:p>
    <w:p w:rsidR="00DF13FD" w:rsidRDefault="00DF13FD" w:rsidP="00A17011">
      <w:pPr>
        <w:jc w:val="both"/>
        <w:rPr>
          <w:color w:val="000000"/>
        </w:rPr>
      </w:pPr>
      <w:r>
        <w:rPr>
          <w:i/>
          <w:iCs/>
          <w:color w:val="000000"/>
        </w:rPr>
        <w:t>d</w:t>
      </w:r>
      <w:r w:rsidRPr="0002178C">
        <w:rPr>
          <w:i/>
          <w:iCs/>
          <w:color w:val="000000"/>
        </w:rPr>
        <w:t>)</w:t>
      </w:r>
      <w:r>
        <w:rPr>
          <w:color w:val="000000"/>
        </w:rPr>
        <w:tab/>
        <w:t>qu'il est nécessaire de classer dans une nouvelle catégorie ces dispositifs de radiocommunication maritimes autonomes, qui ne relèvent pas de la définition donnée au numéro </w:t>
      </w:r>
      <w:r>
        <w:rPr>
          <w:b/>
          <w:bCs/>
          <w:color w:val="000000"/>
        </w:rPr>
        <w:t>1.28</w:t>
      </w:r>
      <w:r>
        <w:rPr>
          <w:color w:val="000000"/>
        </w:rPr>
        <w:t xml:space="preserve"> et dans les Recommandations du Secteur des radiocommunications de l'UIT (UIT-R),</w:t>
      </w:r>
    </w:p>
    <w:p w:rsidR="00DF13FD" w:rsidRPr="00636601" w:rsidRDefault="00DF13FD" w:rsidP="00A17011">
      <w:pPr>
        <w:pStyle w:val="Call"/>
        <w:jc w:val="both"/>
      </w:pPr>
      <w:r>
        <w:lastRenderedPageBreak/>
        <w:t>reconnaissant en outre</w:t>
      </w:r>
    </w:p>
    <w:p w:rsidR="00DF13FD" w:rsidRDefault="00DF13FD" w:rsidP="00A17011">
      <w:pPr>
        <w:jc w:val="both"/>
        <w:rPr>
          <w:color w:val="000000"/>
        </w:rPr>
      </w:pPr>
      <w:r w:rsidRPr="0002178C">
        <w:rPr>
          <w:i/>
          <w:iCs/>
          <w:color w:val="000000"/>
        </w:rPr>
        <w:t>a)</w:t>
      </w:r>
      <w:r>
        <w:rPr>
          <w:color w:val="000000"/>
        </w:rPr>
        <w:tab/>
        <w:t>que la plupart des dispositifs de radiocommunication maritimes autonomes reposant sur la technologie AIS fonctionnent dans les bandes de fréquences AIS1 et AIS2 et utilisent, dans une certaine mesure, les ressources des MMSI destinées aux stations de navire ou aux auxiliaires de la navigation;</w:t>
      </w:r>
    </w:p>
    <w:p w:rsidR="00DF13FD" w:rsidRDefault="00DF13FD" w:rsidP="00A17011">
      <w:pPr>
        <w:jc w:val="both"/>
        <w:rPr>
          <w:color w:val="000000"/>
        </w:rPr>
      </w:pPr>
      <w:r>
        <w:rPr>
          <w:i/>
          <w:iCs/>
          <w:color w:val="000000"/>
        </w:rPr>
        <w:t>b</w:t>
      </w:r>
      <w:r w:rsidRPr="005C50D3">
        <w:rPr>
          <w:i/>
          <w:iCs/>
          <w:color w:val="000000"/>
        </w:rPr>
        <w:t>)</w:t>
      </w:r>
      <w:r w:rsidRPr="005C50D3">
        <w:rPr>
          <w:color w:val="000000"/>
        </w:rPr>
        <w:tab/>
      </w:r>
      <w:r w:rsidRPr="005C50D3">
        <w:rPr>
          <w:rFonts w:eastAsia="SimSun"/>
          <w:lang w:eastAsia="zh-CN"/>
        </w:rPr>
        <w:t xml:space="preserve">que les </w:t>
      </w:r>
      <w:r>
        <w:rPr>
          <w:rFonts w:eastAsia="SimSun"/>
          <w:lang w:eastAsia="zh-CN"/>
        </w:rPr>
        <w:t>Recomma</w:t>
      </w:r>
      <w:r w:rsidRPr="005C50D3">
        <w:rPr>
          <w:rFonts w:eastAsia="SimSun"/>
          <w:lang w:eastAsia="zh-CN"/>
        </w:rPr>
        <w:t xml:space="preserve">ndations </w:t>
      </w:r>
      <w:r>
        <w:rPr>
          <w:rFonts w:eastAsia="SimSun"/>
          <w:lang w:eastAsia="zh-CN"/>
        </w:rPr>
        <w:t>UIT</w:t>
      </w:r>
      <w:r w:rsidRPr="005C50D3">
        <w:rPr>
          <w:rFonts w:eastAsia="SimSun"/>
          <w:lang w:eastAsia="zh-CN"/>
        </w:rPr>
        <w:t xml:space="preserve">-R M.493, </w:t>
      </w:r>
      <w:r>
        <w:rPr>
          <w:rFonts w:eastAsia="SimSun"/>
          <w:lang w:eastAsia="zh-CN"/>
        </w:rPr>
        <w:t>UIT</w:t>
      </w:r>
      <w:r w:rsidRPr="005C50D3">
        <w:rPr>
          <w:rFonts w:eastAsia="SimSun"/>
          <w:lang w:eastAsia="zh-CN"/>
        </w:rPr>
        <w:t>-R M.1371</w:t>
      </w:r>
      <w:r>
        <w:rPr>
          <w:rFonts w:eastAsia="SimSun"/>
          <w:lang w:eastAsia="zh-CN"/>
        </w:rPr>
        <w:t xml:space="preserve"> et UIT</w:t>
      </w:r>
      <w:r w:rsidRPr="005C50D3">
        <w:rPr>
          <w:rFonts w:eastAsia="SimSun"/>
          <w:lang w:eastAsia="zh-CN"/>
        </w:rPr>
        <w:t>-R M.541</w:t>
      </w:r>
      <w:r>
        <w:rPr>
          <w:rFonts w:eastAsia="SimSun"/>
          <w:lang w:eastAsia="zh-CN"/>
        </w:rPr>
        <w:t xml:space="preserve"> décrivent les caractéristiques techniques et opérationnelles de certains dispositifs de radiocommunication maritimes pertinents;</w:t>
      </w:r>
    </w:p>
    <w:p w:rsidR="00DF13FD" w:rsidRDefault="00DF13FD" w:rsidP="00A17011">
      <w:pPr>
        <w:jc w:val="both"/>
        <w:rPr>
          <w:color w:val="000000"/>
        </w:rPr>
      </w:pPr>
      <w:r>
        <w:rPr>
          <w:i/>
          <w:iCs/>
          <w:color w:val="000000"/>
        </w:rPr>
        <w:t>c</w:t>
      </w:r>
      <w:r w:rsidRPr="0002178C">
        <w:rPr>
          <w:i/>
          <w:iCs/>
          <w:color w:val="000000"/>
        </w:rPr>
        <w:t>)</w:t>
      </w:r>
      <w:r>
        <w:rPr>
          <w:color w:val="000000"/>
        </w:rPr>
        <w:tab/>
        <w:t>que le Rapport UIT-R M.2285 donne un aperçu des systèmes et de leur mode de fonctionnement dans le cas de certains dispositifs maritimes utilisés comme systèmes et dispositifs de localisation des survivants en mer (systèmes signalant la présence d'un homme à la mer);</w:t>
      </w:r>
    </w:p>
    <w:p w:rsidR="00DF13FD" w:rsidRDefault="00DF13FD" w:rsidP="00A17011">
      <w:pPr>
        <w:jc w:val="both"/>
        <w:rPr>
          <w:color w:val="000000"/>
        </w:rPr>
      </w:pPr>
      <w:r>
        <w:rPr>
          <w:i/>
          <w:iCs/>
          <w:color w:val="000000"/>
        </w:rPr>
        <w:t>d</w:t>
      </w:r>
      <w:r w:rsidRPr="0002178C">
        <w:rPr>
          <w:i/>
          <w:iCs/>
          <w:color w:val="000000"/>
        </w:rPr>
        <w:t>)</w:t>
      </w:r>
      <w:r>
        <w:rPr>
          <w:color w:val="000000"/>
        </w:rPr>
        <w:tab/>
        <w:t>qu'il est nécessaire d'évaluer les incidences sur le fonctionnement du système AIS utilisé pour la sécurité de la navigation et, en particulier, pour les activités de recherche et de sauvetage effectuées par les émetteurs de recherche et de sauvetage AIS (AIS-SART),</w:t>
      </w:r>
    </w:p>
    <w:p w:rsidR="00DF13FD" w:rsidRPr="00636601" w:rsidRDefault="00DF13FD" w:rsidP="00A17011">
      <w:pPr>
        <w:pStyle w:val="Call"/>
        <w:jc w:val="both"/>
      </w:pPr>
      <w:r>
        <w:t>notant</w:t>
      </w:r>
    </w:p>
    <w:p w:rsidR="00DF13FD" w:rsidRDefault="00DF13FD" w:rsidP="00A17011">
      <w:pPr>
        <w:jc w:val="both"/>
      </w:pPr>
      <w:r w:rsidRPr="0002178C">
        <w:rPr>
          <w:i/>
          <w:iCs/>
          <w:color w:val="000000"/>
        </w:rPr>
        <w:t>a)</w:t>
      </w:r>
      <w:r>
        <w:rPr>
          <w:color w:val="000000"/>
        </w:rPr>
        <w:tab/>
      </w:r>
      <w:r w:rsidRPr="003C2A84">
        <w:t xml:space="preserve">que la CMR-12 a désigné des voies dans l'Appendice </w:t>
      </w:r>
      <w:r w:rsidRPr="000D37E9">
        <w:rPr>
          <w:b/>
          <w:bCs/>
        </w:rPr>
        <w:t>18</w:t>
      </w:r>
      <w:r w:rsidRPr="003C2A84">
        <w:t xml:space="preserve"> du Règlement des radiocommunications à des fins expérimentales et d'essai pour les nouvelles applications ou les nouveaux systèmes AIS futurs;</w:t>
      </w:r>
    </w:p>
    <w:p w:rsidR="00DF13FD" w:rsidRDefault="00DF13FD" w:rsidP="00A17011">
      <w:pPr>
        <w:jc w:val="both"/>
      </w:pPr>
      <w:r>
        <w:rPr>
          <w:i/>
          <w:iCs/>
          <w:color w:val="000000"/>
        </w:rPr>
        <w:t>b</w:t>
      </w:r>
      <w:r w:rsidRPr="0002178C">
        <w:rPr>
          <w:i/>
          <w:iCs/>
          <w:color w:val="000000"/>
        </w:rPr>
        <w:t>)</w:t>
      </w:r>
      <w:r>
        <w:rPr>
          <w:color w:val="000000"/>
        </w:rPr>
        <w:tab/>
      </w:r>
      <w:r w:rsidRPr="003C2A84">
        <w:t>qu</w:t>
      </w:r>
      <w:r>
        <w:t>'il a été demandé à</w:t>
      </w:r>
      <w:r w:rsidRPr="003C2A84">
        <w:t xml:space="preserve"> l'UIT-R </w:t>
      </w:r>
      <w:r>
        <w:t xml:space="preserve">d'étudier </w:t>
      </w:r>
      <w:r w:rsidRPr="003C2A84">
        <w:t>un nouveau système d'identification maritime futur,</w:t>
      </w:r>
    </w:p>
    <w:p w:rsidR="00DF13FD" w:rsidRPr="00B42483" w:rsidRDefault="00DF13FD" w:rsidP="00A17011">
      <w:pPr>
        <w:pStyle w:val="Call"/>
        <w:jc w:val="both"/>
      </w:pPr>
      <w:r w:rsidRPr="00B42483">
        <w:t>décide</w:t>
      </w:r>
      <w:r>
        <w:t xml:space="preserve"> d'inviter la Conférence mondiale des radiocommunications de 2019</w:t>
      </w:r>
    </w:p>
    <w:p w:rsidR="00DF13FD" w:rsidRDefault="00DF13FD" w:rsidP="00A17011">
      <w:pPr>
        <w:jc w:val="both"/>
      </w:pPr>
      <w:r>
        <w:t>à examiner les résultats des études de l'UIT-R et à prendre les mesures voulues,</w:t>
      </w:r>
    </w:p>
    <w:p w:rsidR="00DF13FD" w:rsidRDefault="00DF13FD" w:rsidP="00A17011">
      <w:pPr>
        <w:pStyle w:val="Call"/>
        <w:jc w:val="both"/>
      </w:pPr>
      <w:r w:rsidRPr="00B42483">
        <w:t>invite</w:t>
      </w:r>
      <w:r>
        <w:t xml:space="preserve"> l'UIT-R</w:t>
      </w:r>
    </w:p>
    <w:p w:rsidR="00DF13FD" w:rsidRDefault="00DF13FD" w:rsidP="00A17011">
      <w:pPr>
        <w:jc w:val="both"/>
      </w:pPr>
      <w:r>
        <w:t>1</w:t>
      </w:r>
      <w:r>
        <w:tab/>
        <w:t>à procéder, à temps pour la CMR-19, aux études nécessaires pour déterminer</w:t>
      </w:r>
      <w:r w:rsidRPr="00594322">
        <w:t xml:space="preserve"> </w:t>
      </w:r>
      <w:r>
        <w:t>les besoins de fréquences et les caractéristiques techniques et opérationnelles des dispositifs de radiocommunication maritimes autonomes fonctionnant dans la bande de fréquences 156</w:t>
      </w:r>
      <w:r>
        <w:noBreakHyphen/>
        <w:t>162,05 MHz;</w:t>
      </w:r>
    </w:p>
    <w:p w:rsidR="00DF13FD" w:rsidRDefault="00DF13FD" w:rsidP="00A17011">
      <w:pPr>
        <w:jc w:val="both"/>
      </w:pPr>
      <w:r>
        <w:t>2</w:t>
      </w:r>
      <w:r>
        <w:tab/>
        <w:t>à procéder aux études nécessaires pour classer par catégorie les différents dispositifs de radiocommunication maritimes autonomes;</w:t>
      </w:r>
    </w:p>
    <w:p w:rsidR="00DF13FD" w:rsidRDefault="00DF13FD" w:rsidP="00A17011">
      <w:pPr>
        <w:jc w:val="both"/>
      </w:pPr>
      <w:r>
        <w:t>3</w:t>
      </w:r>
      <w:r>
        <w:tab/>
        <w:t xml:space="preserve">à mener des études de partage et de compatibilité, sur la base des résultats des études visées aux points 1 et 2 du </w:t>
      </w:r>
      <w:r>
        <w:rPr>
          <w:i/>
          <w:iCs/>
        </w:rPr>
        <w:t>décide d'</w:t>
      </w:r>
      <w:r w:rsidRPr="00275528">
        <w:rPr>
          <w:i/>
          <w:iCs/>
        </w:rPr>
        <w:t>invite</w:t>
      </w:r>
      <w:r>
        <w:rPr>
          <w:i/>
          <w:iCs/>
        </w:rPr>
        <w:t xml:space="preserve">r </w:t>
      </w:r>
      <w:r w:rsidRPr="00275528">
        <w:rPr>
          <w:i/>
          <w:iCs/>
        </w:rPr>
        <w:t>l'UIT</w:t>
      </w:r>
      <w:r>
        <w:rPr>
          <w:i/>
          <w:iCs/>
        </w:rPr>
        <w:t>-R</w:t>
      </w:r>
      <w:r>
        <w:t>, afin de faire en sorte qu'aucune contrainte inutile ne soit imposée au SMDSM et au système AIS;</w:t>
      </w:r>
    </w:p>
    <w:p w:rsidR="00DF13FD" w:rsidRDefault="00DF13FD" w:rsidP="00A17011">
      <w:pPr>
        <w:jc w:val="both"/>
      </w:pPr>
      <w:r>
        <w:t>4</w:t>
      </w:r>
      <w:r>
        <w:tab/>
        <w:t xml:space="preserve">à mener des études, compte tenu des résultats des études visées aux points 1 à 3 du </w:t>
      </w:r>
      <w:r>
        <w:rPr>
          <w:i/>
          <w:iCs/>
        </w:rPr>
        <w:t>décide d'</w:t>
      </w:r>
      <w:r w:rsidRPr="00275528">
        <w:rPr>
          <w:i/>
          <w:iCs/>
        </w:rPr>
        <w:t>invite</w:t>
      </w:r>
      <w:r>
        <w:rPr>
          <w:i/>
          <w:iCs/>
        </w:rPr>
        <w:t xml:space="preserve">r </w:t>
      </w:r>
      <w:r w:rsidRPr="00275528">
        <w:rPr>
          <w:i/>
          <w:iCs/>
        </w:rPr>
        <w:t>l'UIT</w:t>
      </w:r>
      <w:r>
        <w:rPr>
          <w:i/>
          <w:iCs/>
        </w:rPr>
        <w:t>-R</w:t>
      </w:r>
      <w:r>
        <w:t>, ainsi que des techniques maritimes actuelles, afin de déterminer des mesures réglementaires éventuelles et des fréquences appropriées pour les dispositifs de radiocommunication maritimes autonomes dans la bande de fréquences 156-162,05 MHz,</w:t>
      </w:r>
    </w:p>
    <w:p w:rsidR="00DF13FD" w:rsidRPr="00B42483" w:rsidRDefault="00DF13FD" w:rsidP="00A17011">
      <w:pPr>
        <w:pStyle w:val="Call"/>
        <w:keepNext w:val="0"/>
        <w:keepLines w:val="0"/>
        <w:jc w:val="both"/>
      </w:pPr>
      <w:r>
        <w:t>invite en outre</w:t>
      </w:r>
    </w:p>
    <w:p w:rsidR="00DF13FD" w:rsidRPr="00B42483" w:rsidRDefault="00DF13FD" w:rsidP="00A17011">
      <w:pPr>
        <w:jc w:val="both"/>
      </w:pPr>
      <w:r>
        <w:t>l'Organisation maritime internationale (OMI), l'Organisation de l'aviation civile internationale (OACI), l'Organisation météorologique mondiale (OMM), l'Organisation hydrographique internationale (OHI), l'Association internationale de signalisation maritime (AISM), la Commission électrotechnique internationale (CEI) et le Comité international radio-maritime (CIRM) à contribuer à ces études</w:t>
      </w:r>
      <w:r w:rsidRPr="00B42483">
        <w:t>,</w:t>
      </w:r>
    </w:p>
    <w:p w:rsidR="00DF13FD" w:rsidRPr="00B42483" w:rsidRDefault="00DF13FD" w:rsidP="00A17011">
      <w:pPr>
        <w:pStyle w:val="Call"/>
        <w:keepNext w:val="0"/>
        <w:keepLines w:val="0"/>
        <w:jc w:val="both"/>
      </w:pPr>
      <w:r w:rsidRPr="00B42483">
        <w:lastRenderedPageBreak/>
        <w:t>charge le Secrétaire général</w:t>
      </w:r>
    </w:p>
    <w:p w:rsidR="00DF13FD" w:rsidRDefault="00DF13FD" w:rsidP="00A17011">
      <w:pPr>
        <w:jc w:val="both"/>
      </w:pPr>
      <w:r>
        <w:t>de porter la présente Résolution à l'attention de l'OMI, de l'OACI, de l'OMM, de la CEI, de l'AISM, de l'OHI et du CIRM ainsi que des autres organisations internationales ou régionales concernées.</w:t>
      </w:r>
    </w:p>
    <w:p w:rsidR="00DF13FD" w:rsidRDefault="00DF13FD" w:rsidP="00A17011">
      <w:pPr>
        <w:jc w:val="both"/>
      </w:pPr>
    </w:p>
    <w:p w:rsidR="00301E6F" w:rsidRPr="00DF13FD" w:rsidRDefault="00301E6F" w:rsidP="00A17011">
      <w:pPr>
        <w:overflowPunct/>
        <w:autoSpaceDE/>
        <w:autoSpaceDN/>
        <w:adjustRightInd/>
        <w:spacing w:before="0"/>
        <w:textAlignment w:val="auto"/>
        <w:rPr>
          <w:rFonts w:asciiTheme="majorBidi" w:hAnsiTheme="majorBidi" w:cstheme="majorBidi"/>
          <w:szCs w:val="24"/>
        </w:rPr>
      </w:pPr>
      <w:r w:rsidRPr="00DF13FD">
        <w:rPr>
          <w:rFonts w:asciiTheme="majorBidi" w:hAnsiTheme="majorBidi" w:cstheme="majorBidi"/>
          <w:szCs w:val="24"/>
        </w:rPr>
        <w:br w:type="page"/>
      </w:r>
    </w:p>
    <w:p w:rsidR="007C11AB" w:rsidRPr="004C120E" w:rsidRDefault="00F96BD5" w:rsidP="00A17011">
      <w:pPr>
        <w:pStyle w:val="ResNo"/>
      </w:pPr>
      <w:bookmarkStart w:id="212" w:name="RES_426"/>
      <w:bookmarkStart w:id="213" w:name="_Toc444507582"/>
      <w:bookmarkStart w:id="214" w:name="_Toc460331722"/>
      <w:bookmarkStart w:id="215" w:name="_Toc463616179"/>
      <w:r>
        <w:lastRenderedPageBreak/>
        <w:t>R</w:t>
      </w:r>
      <w:r w:rsidR="001D5201" w:rsidRPr="001D5201">
        <w:t>É</w:t>
      </w:r>
      <w:r w:rsidR="007C11AB" w:rsidRPr="004C120E">
        <w:t xml:space="preserve">SOLUTION </w:t>
      </w:r>
      <w:r w:rsidR="007C11AB" w:rsidRPr="007C11AB">
        <w:rPr>
          <w:rStyle w:val="href"/>
          <w:rFonts w:asciiTheme="majorBidi" w:hAnsiTheme="majorBidi" w:cstheme="majorBidi"/>
          <w:szCs w:val="28"/>
        </w:rPr>
        <w:t>426</w:t>
      </w:r>
      <w:r w:rsidR="007C11AB" w:rsidRPr="007C11AB">
        <w:rPr>
          <w:sz w:val="32"/>
          <w:szCs w:val="22"/>
        </w:rPr>
        <w:t xml:space="preserve"> </w:t>
      </w:r>
      <w:bookmarkEnd w:id="212"/>
      <w:r w:rsidR="007C11AB" w:rsidRPr="004C120E">
        <w:t>(</w:t>
      </w:r>
      <w:r w:rsidR="005A2541" w:rsidRPr="00A20F5A">
        <w:t>C</w:t>
      </w:r>
      <w:r w:rsidR="005A2541">
        <w:t>MR</w:t>
      </w:r>
      <w:r w:rsidR="007C11AB" w:rsidRPr="004C120E">
        <w:t>-15)</w:t>
      </w:r>
      <w:bookmarkEnd w:id="213"/>
      <w:bookmarkEnd w:id="214"/>
      <w:bookmarkEnd w:id="215"/>
    </w:p>
    <w:p w:rsidR="009958F8" w:rsidRPr="00730563" w:rsidRDefault="009958F8" w:rsidP="00A17011">
      <w:pPr>
        <w:pStyle w:val="Restitle"/>
        <w:rPr>
          <w:lang w:val="fr-CH"/>
        </w:rPr>
      </w:pPr>
      <w:bookmarkStart w:id="216" w:name="_Toc450208711"/>
      <w:bookmarkStart w:id="217" w:name="_Toc463616180"/>
      <w:proofErr w:type="spellStart"/>
      <w:r>
        <w:rPr>
          <w:lang w:val="fr-CH"/>
        </w:rPr>
        <w:t>Etudes</w:t>
      </w:r>
      <w:proofErr w:type="spellEnd"/>
      <w:r>
        <w:rPr>
          <w:lang w:val="fr-CH"/>
        </w:rPr>
        <w:t xml:space="preserve"> relatives aux besoins de fréquences et aux dispositions réglementaires en vue de la mise en place et de l'utilisation du Système mondial de détresse et de sécurité aéronautique</w:t>
      </w:r>
      <w:bookmarkEnd w:id="216"/>
      <w:bookmarkEnd w:id="217"/>
    </w:p>
    <w:p w:rsidR="009958F8" w:rsidRPr="00730563" w:rsidRDefault="009958F8" w:rsidP="00A17011">
      <w:pPr>
        <w:pStyle w:val="Normalaftertitle"/>
        <w:rPr>
          <w:lang w:val="fr-CH"/>
        </w:rPr>
      </w:pPr>
      <w:r w:rsidRPr="00730563">
        <w:rPr>
          <w:lang w:val="fr-CH"/>
        </w:rPr>
        <w:t>La Conférence mondiale des radiocommunications (Genève</w:t>
      </w:r>
      <w:r>
        <w:rPr>
          <w:lang w:val="fr-CH"/>
        </w:rPr>
        <w:t>,</w:t>
      </w:r>
      <w:r w:rsidRPr="00730563">
        <w:rPr>
          <w:lang w:val="fr-CH"/>
        </w:rPr>
        <w:t xml:space="preserve"> 2015),</w:t>
      </w:r>
    </w:p>
    <w:p w:rsidR="009958F8" w:rsidRPr="003369DD" w:rsidRDefault="009958F8" w:rsidP="00A17011">
      <w:pPr>
        <w:pStyle w:val="Call"/>
      </w:pPr>
      <w:r w:rsidRPr="00742954">
        <w:t>considérant</w:t>
      </w:r>
    </w:p>
    <w:p w:rsidR="009958F8" w:rsidRPr="007C5A10" w:rsidRDefault="009958F8" w:rsidP="00A17011">
      <w:pPr>
        <w:jc w:val="both"/>
        <w:rPr>
          <w:lang w:val="fr-CH"/>
        </w:rPr>
      </w:pPr>
      <w:r w:rsidRPr="007C5A10">
        <w:rPr>
          <w:i/>
          <w:iCs/>
          <w:lang w:val="fr-CH"/>
        </w:rPr>
        <w:t>a)</w:t>
      </w:r>
      <w:r w:rsidRPr="007C5A10">
        <w:rPr>
          <w:lang w:val="fr-CH"/>
        </w:rPr>
        <w:tab/>
        <w:t>que l</w:t>
      </w:r>
      <w:r>
        <w:rPr>
          <w:lang w:val="fr-CH"/>
        </w:rPr>
        <w:t>'</w:t>
      </w:r>
      <w:r w:rsidRPr="007C5A10">
        <w:rPr>
          <w:lang w:val="fr-CH"/>
        </w:rPr>
        <w:t>Organisation de l</w:t>
      </w:r>
      <w:r>
        <w:rPr>
          <w:lang w:val="fr-CH"/>
        </w:rPr>
        <w:t>'</w:t>
      </w:r>
      <w:r w:rsidRPr="007C5A10">
        <w:rPr>
          <w:lang w:val="fr-CH"/>
        </w:rPr>
        <w:t>aviation civile internationale</w:t>
      </w:r>
      <w:r>
        <w:rPr>
          <w:lang w:val="fr-CH"/>
        </w:rPr>
        <w:t xml:space="preserve"> </w:t>
      </w:r>
      <w:r w:rsidRPr="007C5A10">
        <w:rPr>
          <w:color w:val="000000"/>
        </w:rPr>
        <w:t>(OACI)</w:t>
      </w:r>
      <w:r>
        <w:rPr>
          <w:color w:val="000000"/>
        </w:rPr>
        <w:t xml:space="preserve"> </w:t>
      </w:r>
      <w:r w:rsidRPr="007C5A10">
        <w:rPr>
          <w:color w:val="000000"/>
        </w:rPr>
        <w:t>a élaboré la version initial</w:t>
      </w:r>
      <w:r>
        <w:rPr>
          <w:color w:val="000000"/>
        </w:rPr>
        <w:t>e du concept d'exploitation du S</w:t>
      </w:r>
      <w:r w:rsidRPr="007C5A10">
        <w:rPr>
          <w:color w:val="000000"/>
        </w:rPr>
        <w:t>ystème mondial de détresse et de sécurité aéronautique (GADSS);</w:t>
      </w:r>
    </w:p>
    <w:p w:rsidR="009958F8" w:rsidRPr="007C5A10" w:rsidRDefault="009958F8" w:rsidP="00A17011">
      <w:pPr>
        <w:jc w:val="both"/>
        <w:rPr>
          <w:lang w:val="fr-CH"/>
        </w:rPr>
      </w:pPr>
      <w:r>
        <w:rPr>
          <w:i/>
          <w:iCs/>
          <w:lang w:val="fr-CH"/>
        </w:rPr>
        <w:t>b</w:t>
      </w:r>
      <w:r w:rsidRPr="007C5A10">
        <w:rPr>
          <w:i/>
          <w:iCs/>
          <w:lang w:val="fr-CH"/>
        </w:rPr>
        <w:t>)</w:t>
      </w:r>
      <w:r w:rsidRPr="007C5A10">
        <w:rPr>
          <w:lang w:val="fr-CH"/>
        </w:rPr>
        <w:tab/>
        <w:t>que le GADSS a été conçu</w:t>
      </w:r>
      <w:r>
        <w:rPr>
          <w:lang w:val="fr-CH"/>
        </w:rPr>
        <w:t xml:space="preserve"> </w:t>
      </w:r>
      <w:r w:rsidRPr="007C5A10">
        <w:rPr>
          <w:lang w:val="fr-CH"/>
        </w:rPr>
        <w:t>pour permettre l'identification et la localisation rapide</w:t>
      </w:r>
      <w:r>
        <w:rPr>
          <w:lang w:val="fr-CH"/>
        </w:rPr>
        <w:t>s</w:t>
      </w:r>
      <w:r w:rsidRPr="007C5A10">
        <w:rPr>
          <w:lang w:val="fr-CH"/>
        </w:rPr>
        <w:t xml:space="preserve"> d'un aéronef pendant toutes les phases d'un vol ainsi que dans les situations de détresse et d'urgence;</w:t>
      </w:r>
    </w:p>
    <w:p w:rsidR="009958F8" w:rsidRDefault="009958F8" w:rsidP="00A17011">
      <w:pPr>
        <w:jc w:val="both"/>
        <w:rPr>
          <w:lang w:val="fr-CH"/>
        </w:rPr>
      </w:pPr>
      <w:r>
        <w:rPr>
          <w:i/>
          <w:iCs/>
          <w:lang w:val="fr-CH"/>
        </w:rPr>
        <w:t>c</w:t>
      </w:r>
      <w:r w:rsidRPr="007C5A10">
        <w:rPr>
          <w:i/>
          <w:iCs/>
          <w:lang w:val="fr-CH"/>
        </w:rPr>
        <w:t>)</w:t>
      </w:r>
      <w:r w:rsidRPr="007C5A10">
        <w:rPr>
          <w:lang w:val="fr-CH"/>
        </w:rPr>
        <w:tab/>
        <w:t>que le GADSS vise à</w:t>
      </w:r>
      <w:r>
        <w:rPr>
          <w:lang w:val="fr-CH"/>
        </w:rPr>
        <w:t xml:space="preserve"> utiliser les applications existantes ou nouvelles </w:t>
      </w:r>
      <w:r w:rsidRPr="007C5A10">
        <w:rPr>
          <w:lang w:val="fr-CH"/>
        </w:rPr>
        <w:t>pour</w:t>
      </w:r>
      <w:r>
        <w:rPr>
          <w:lang w:val="fr-CH"/>
        </w:rPr>
        <w:t xml:space="preserve"> faciliter les opérations de </w:t>
      </w:r>
      <w:r w:rsidRPr="007C5A10">
        <w:rPr>
          <w:lang w:val="fr-CH"/>
        </w:rPr>
        <w:t xml:space="preserve">recherche et </w:t>
      </w:r>
      <w:r>
        <w:rPr>
          <w:lang w:val="fr-CH"/>
        </w:rPr>
        <w:t>d</w:t>
      </w:r>
      <w:r w:rsidRPr="007C5A10">
        <w:rPr>
          <w:color w:val="000000"/>
        </w:rPr>
        <w:t>e sauvetage</w:t>
      </w:r>
      <w:r>
        <w:rPr>
          <w:color w:val="000000"/>
        </w:rPr>
        <w:t xml:space="preserve"> (SAR)</w:t>
      </w:r>
      <w:r w:rsidRPr="007C5A10">
        <w:rPr>
          <w:lang w:val="fr-CH"/>
        </w:rPr>
        <w:t xml:space="preserve"> </w:t>
      </w:r>
      <w:r>
        <w:rPr>
          <w:lang w:val="fr-CH"/>
        </w:rPr>
        <w:t>ainsi que</w:t>
      </w:r>
      <w:r w:rsidRPr="007C5A10">
        <w:rPr>
          <w:lang w:val="fr-CH"/>
        </w:rPr>
        <w:t xml:space="preserve"> la récupération</w:t>
      </w:r>
      <w:r>
        <w:rPr>
          <w:lang w:val="fr-CH"/>
        </w:rPr>
        <w:t xml:space="preserve"> </w:t>
      </w:r>
      <w:r w:rsidRPr="007C5A10">
        <w:rPr>
          <w:lang w:val="fr-CH"/>
        </w:rPr>
        <w:t>des</w:t>
      </w:r>
      <w:r>
        <w:rPr>
          <w:lang w:val="fr-CH"/>
        </w:rPr>
        <w:t xml:space="preserve"> </w:t>
      </w:r>
      <w:r w:rsidRPr="007C5A10">
        <w:rPr>
          <w:lang w:val="fr-CH"/>
        </w:rPr>
        <w:t>données de vol;</w:t>
      </w:r>
    </w:p>
    <w:p w:rsidR="009958F8" w:rsidRPr="007C5A10" w:rsidRDefault="009958F8" w:rsidP="00A17011">
      <w:pPr>
        <w:jc w:val="both"/>
        <w:rPr>
          <w:lang w:val="fr-CH"/>
        </w:rPr>
      </w:pPr>
      <w:r w:rsidRPr="007C5A10">
        <w:rPr>
          <w:i/>
          <w:iCs/>
          <w:lang w:val="fr-CH"/>
        </w:rPr>
        <w:t>d)</w:t>
      </w:r>
      <w:r w:rsidRPr="007C5A10">
        <w:rPr>
          <w:lang w:val="fr-CH"/>
        </w:rPr>
        <w:tab/>
        <w:t>que le GADSS</w:t>
      </w:r>
      <w:r>
        <w:rPr>
          <w:lang w:val="fr-CH"/>
        </w:rPr>
        <w:t xml:space="preserve"> vise à inclure l</w:t>
      </w:r>
      <w:r w:rsidRPr="007C5A10">
        <w:rPr>
          <w:lang w:val="fr-CH"/>
        </w:rPr>
        <w:t>es composantes de Terre</w:t>
      </w:r>
      <w:r>
        <w:rPr>
          <w:lang w:val="fr-CH"/>
        </w:rPr>
        <w:t xml:space="preserve"> </w:t>
      </w:r>
      <w:r w:rsidRPr="007C5A10">
        <w:rPr>
          <w:lang w:val="fr-CH"/>
        </w:rPr>
        <w:t>et par satellite prenant en charge différentes applications de Terre et spatiale</w:t>
      </w:r>
      <w:r>
        <w:rPr>
          <w:lang w:val="fr-CH"/>
        </w:rPr>
        <w:t>s;</w:t>
      </w:r>
    </w:p>
    <w:p w:rsidR="009958F8" w:rsidRPr="007C5A10" w:rsidRDefault="009958F8" w:rsidP="00A17011">
      <w:pPr>
        <w:jc w:val="both"/>
        <w:rPr>
          <w:rFonts w:eastAsiaTheme="minorEastAsia"/>
          <w:lang w:val="fr-CH"/>
        </w:rPr>
      </w:pPr>
      <w:r w:rsidRPr="007C5A10">
        <w:rPr>
          <w:rFonts w:eastAsiaTheme="minorEastAsia"/>
          <w:i/>
          <w:lang w:val="fr-CH"/>
        </w:rPr>
        <w:t>e)</w:t>
      </w:r>
      <w:r w:rsidRPr="007C5A10">
        <w:rPr>
          <w:rFonts w:eastAsiaTheme="minorEastAsia"/>
          <w:lang w:val="fr-CH"/>
        </w:rPr>
        <w:tab/>
        <w:t>qu</w:t>
      </w:r>
      <w:r>
        <w:rPr>
          <w:rFonts w:eastAsiaTheme="minorEastAsia"/>
          <w:lang w:val="fr-CH"/>
        </w:rPr>
        <w:t>'</w:t>
      </w:r>
      <w:r w:rsidRPr="007C5A10">
        <w:rPr>
          <w:rFonts w:eastAsiaTheme="minorEastAsia"/>
          <w:lang w:val="fr-CH"/>
        </w:rPr>
        <w:t>à l</w:t>
      </w:r>
      <w:r>
        <w:rPr>
          <w:rFonts w:eastAsiaTheme="minorEastAsia"/>
          <w:lang w:val="fr-CH"/>
        </w:rPr>
        <w:t>'</w:t>
      </w:r>
      <w:r w:rsidRPr="007C5A10">
        <w:rPr>
          <w:rFonts w:eastAsiaTheme="minorEastAsia"/>
          <w:lang w:val="fr-CH"/>
        </w:rPr>
        <w:t xml:space="preserve">heure actuelle, les technologies existantes </w:t>
      </w:r>
      <w:r>
        <w:rPr>
          <w:rFonts w:eastAsiaTheme="minorEastAsia"/>
          <w:lang w:val="fr-CH"/>
        </w:rPr>
        <w:t xml:space="preserve">ne permettent pas de satisfaire toutes </w:t>
      </w:r>
      <w:r w:rsidRPr="007C5A10">
        <w:rPr>
          <w:rFonts w:eastAsiaTheme="minorEastAsia"/>
          <w:lang w:val="fr-CH"/>
        </w:rPr>
        <w:t>les exigences liées au concept d</w:t>
      </w:r>
      <w:r>
        <w:rPr>
          <w:rFonts w:eastAsiaTheme="minorEastAsia"/>
          <w:lang w:val="fr-CH"/>
        </w:rPr>
        <w:t>'</w:t>
      </w:r>
      <w:r w:rsidRPr="007C5A10">
        <w:rPr>
          <w:rFonts w:eastAsiaTheme="minorEastAsia"/>
          <w:lang w:val="fr-CH"/>
        </w:rPr>
        <w:t xml:space="preserve">exploitation du </w:t>
      </w:r>
      <w:r>
        <w:rPr>
          <w:rFonts w:eastAsiaTheme="minorEastAsia"/>
          <w:lang w:val="fr-CH"/>
        </w:rPr>
        <w:t>GADSS;</w:t>
      </w:r>
    </w:p>
    <w:p w:rsidR="009958F8" w:rsidRPr="007C5A10" w:rsidRDefault="009958F8" w:rsidP="00A17011">
      <w:pPr>
        <w:jc w:val="both"/>
        <w:rPr>
          <w:rFonts w:eastAsiaTheme="minorEastAsia"/>
          <w:lang w:val="fr-CH"/>
        </w:rPr>
      </w:pPr>
      <w:r w:rsidRPr="007C5A10">
        <w:rPr>
          <w:rFonts w:eastAsiaTheme="minorEastAsia"/>
          <w:i/>
          <w:lang w:val="fr-CH"/>
        </w:rPr>
        <w:t>f)</w:t>
      </w:r>
      <w:r w:rsidRPr="007C5A10">
        <w:rPr>
          <w:rFonts w:eastAsiaTheme="minorEastAsia"/>
          <w:lang w:val="fr-CH"/>
        </w:rPr>
        <w:tab/>
        <w:t>que des systèmes futurs reposant sur des technologies nouvelles sont actuellement mis au point pour contribuer à répondre pleinement aux besoins du</w:t>
      </w:r>
      <w:r>
        <w:rPr>
          <w:rFonts w:eastAsiaTheme="minorEastAsia"/>
          <w:lang w:val="fr-CH"/>
        </w:rPr>
        <w:t xml:space="preserve"> </w:t>
      </w:r>
      <w:r w:rsidRPr="007C5A10">
        <w:rPr>
          <w:rFonts w:eastAsiaTheme="minorEastAsia"/>
          <w:lang w:val="fr-CH"/>
        </w:rPr>
        <w:t>GADSS</w:t>
      </w:r>
      <w:r>
        <w:rPr>
          <w:rFonts w:eastAsiaTheme="minorEastAsia"/>
          <w:lang w:val="fr-CH"/>
        </w:rPr>
        <w:t>;</w:t>
      </w:r>
    </w:p>
    <w:p w:rsidR="009958F8" w:rsidRPr="007C5A10" w:rsidRDefault="009958F8" w:rsidP="00A17011">
      <w:pPr>
        <w:jc w:val="both"/>
        <w:rPr>
          <w:rFonts w:eastAsiaTheme="minorEastAsia"/>
          <w:lang w:val="fr-CH"/>
        </w:rPr>
      </w:pPr>
      <w:r w:rsidRPr="007C5A10">
        <w:rPr>
          <w:rFonts w:eastAsiaTheme="minorEastAsia"/>
          <w:i/>
          <w:iCs/>
          <w:lang w:val="fr-CH"/>
        </w:rPr>
        <w:t>g)</w:t>
      </w:r>
      <w:r w:rsidRPr="007C5A10">
        <w:rPr>
          <w:rFonts w:eastAsiaTheme="minorEastAsia"/>
          <w:lang w:val="fr-CH"/>
        </w:rPr>
        <w:tab/>
        <w:t>que, comme l</w:t>
      </w:r>
      <w:r>
        <w:rPr>
          <w:rFonts w:eastAsiaTheme="minorEastAsia"/>
          <w:lang w:val="fr-CH"/>
        </w:rPr>
        <w:t>'</w:t>
      </w:r>
      <w:r w:rsidRPr="007C5A10">
        <w:rPr>
          <w:rFonts w:eastAsiaTheme="minorEastAsia"/>
          <w:lang w:val="fr-CH"/>
        </w:rPr>
        <w:t xml:space="preserve">a </w:t>
      </w:r>
      <w:r>
        <w:rPr>
          <w:rFonts w:eastAsiaTheme="minorEastAsia"/>
          <w:lang w:val="fr-CH"/>
        </w:rPr>
        <w:t>déclaré</w:t>
      </w:r>
      <w:r w:rsidRPr="007C5A10">
        <w:rPr>
          <w:rFonts w:eastAsiaTheme="minorEastAsia"/>
          <w:lang w:val="fr-CH"/>
        </w:rPr>
        <w:t xml:space="preserve"> l</w:t>
      </w:r>
      <w:r>
        <w:rPr>
          <w:rFonts w:eastAsiaTheme="minorEastAsia"/>
          <w:lang w:val="fr-CH"/>
        </w:rPr>
        <w:t>'</w:t>
      </w:r>
      <w:r w:rsidRPr="007C5A10">
        <w:rPr>
          <w:rFonts w:eastAsiaTheme="minorEastAsia"/>
          <w:lang w:val="fr-CH"/>
        </w:rPr>
        <w:t>OACI,</w:t>
      </w:r>
      <w:r>
        <w:rPr>
          <w:rFonts w:eastAsiaTheme="minorEastAsia"/>
          <w:lang w:val="fr-CH"/>
        </w:rPr>
        <w:t xml:space="preserve"> «le concept détaillé du</w:t>
      </w:r>
      <w:r w:rsidRPr="007C5A10">
        <w:rPr>
          <w:rFonts w:eastAsiaTheme="minorEastAsia"/>
          <w:lang w:val="fr-CH"/>
        </w:rPr>
        <w:t xml:space="preserve"> GADSS </w:t>
      </w:r>
      <w:r>
        <w:rPr>
          <w:rFonts w:eastAsiaTheme="minorEastAsia"/>
          <w:lang w:val="fr-CH"/>
        </w:rPr>
        <w:t xml:space="preserve">peut être </w:t>
      </w:r>
      <w:r w:rsidRPr="007C5A10">
        <w:rPr>
          <w:rFonts w:eastAsiaTheme="minorEastAsia"/>
          <w:lang w:val="fr-CH"/>
        </w:rPr>
        <w:t>mis en œuvre d</w:t>
      </w:r>
      <w:r>
        <w:rPr>
          <w:rFonts w:eastAsiaTheme="minorEastAsia"/>
          <w:lang w:val="fr-CH"/>
        </w:rPr>
        <w:t>'</w:t>
      </w:r>
      <w:r w:rsidRPr="007C5A10">
        <w:rPr>
          <w:rFonts w:eastAsiaTheme="minorEastAsia"/>
          <w:lang w:val="fr-CH"/>
        </w:rPr>
        <w:t>une manière évolutive» et que certaines applications seront peut-être mises au point après 2019</w:t>
      </w:r>
      <w:r>
        <w:rPr>
          <w:rFonts w:eastAsiaTheme="minorEastAsia"/>
          <w:lang w:val="fr-CH"/>
        </w:rPr>
        <w:t>;</w:t>
      </w:r>
    </w:p>
    <w:p w:rsidR="009958F8" w:rsidRPr="007C5A10" w:rsidRDefault="009958F8" w:rsidP="00A17011">
      <w:pPr>
        <w:jc w:val="both"/>
        <w:rPr>
          <w:rFonts w:eastAsiaTheme="minorEastAsia"/>
          <w:lang w:val="fr-CH"/>
        </w:rPr>
      </w:pPr>
      <w:r w:rsidRPr="007C5A10">
        <w:rPr>
          <w:rFonts w:eastAsiaTheme="minorEastAsia"/>
          <w:i/>
          <w:lang w:val="fr-CH"/>
        </w:rPr>
        <w:t>h)</w:t>
      </w:r>
      <w:r w:rsidRPr="007C5A10">
        <w:rPr>
          <w:rFonts w:eastAsiaTheme="minorEastAsia"/>
          <w:lang w:val="fr-CH"/>
        </w:rPr>
        <w:tab/>
      </w:r>
      <w:r w:rsidRPr="00742954">
        <w:rPr>
          <w:lang w:val="fr-CH"/>
        </w:rPr>
        <w:t xml:space="preserve">que l'OACI continue de définir actuellement les éléments du GADSS fondés sur la qualité de fonctionnement et devrait communiquer ces éléments à temps pour qu'ils puissent être utilisés dans les études </w:t>
      </w:r>
      <w:r>
        <w:rPr>
          <w:lang w:val="fr-CH"/>
        </w:rPr>
        <w:t xml:space="preserve">du Secteur des radiocommunications </w:t>
      </w:r>
      <w:r w:rsidRPr="00742954">
        <w:rPr>
          <w:lang w:val="fr-CH"/>
        </w:rPr>
        <w:t>de l'UIT</w:t>
      </w:r>
      <w:r>
        <w:rPr>
          <w:lang w:val="fr-CH"/>
        </w:rPr>
        <w:t xml:space="preserve"> (UIT</w:t>
      </w:r>
      <w:r w:rsidRPr="00742954">
        <w:rPr>
          <w:lang w:val="fr-CH"/>
        </w:rPr>
        <w:t>-R</w:t>
      </w:r>
      <w:r>
        <w:rPr>
          <w:lang w:val="fr-CH"/>
        </w:rPr>
        <w:t>)</w:t>
      </w:r>
      <w:r w:rsidRPr="00742954">
        <w:rPr>
          <w:lang w:val="fr-CH"/>
        </w:rPr>
        <w:t>;</w:t>
      </w:r>
    </w:p>
    <w:p w:rsidR="009958F8" w:rsidRPr="007C5A10" w:rsidRDefault="009958F8" w:rsidP="00A17011">
      <w:pPr>
        <w:jc w:val="both"/>
        <w:rPr>
          <w:rFonts w:eastAsiaTheme="minorEastAsia"/>
          <w:lang w:val="fr-CH"/>
        </w:rPr>
      </w:pPr>
      <w:r w:rsidRPr="007C5A10">
        <w:rPr>
          <w:rFonts w:eastAsiaTheme="minorEastAsia"/>
          <w:i/>
          <w:iCs/>
          <w:lang w:val="fr-CH"/>
        </w:rPr>
        <w:t>i)</w:t>
      </w:r>
      <w:r w:rsidRPr="007C5A10">
        <w:rPr>
          <w:rFonts w:eastAsiaTheme="minorEastAsia"/>
          <w:lang w:val="fr-CH"/>
        </w:rPr>
        <w:tab/>
      </w:r>
      <w:r w:rsidRPr="007C5A10">
        <w:rPr>
          <w:lang w:val="fr-CH"/>
        </w:rPr>
        <w:t>que la mise en œuvre du GADSS doit garantir la protection de tous les services</w:t>
      </w:r>
      <w:r>
        <w:rPr>
          <w:lang w:val="fr-CH"/>
        </w:rPr>
        <w:t xml:space="preserve"> </w:t>
      </w:r>
      <w:r w:rsidRPr="007C5A10">
        <w:rPr>
          <w:lang w:val="fr-CH"/>
        </w:rPr>
        <w:t>existants</w:t>
      </w:r>
      <w:r>
        <w:rPr>
          <w:lang w:val="fr-CH"/>
        </w:rPr>
        <w:t xml:space="preserve">, </w:t>
      </w:r>
      <w:r w:rsidRPr="007C5A10">
        <w:rPr>
          <w:lang w:val="fr-CH"/>
        </w:rPr>
        <w:t xml:space="preserve">et ne doit </w:t>
      </w:r>
      <w:r>
        <w:rPr>
          <w:lang w:val="fr-CH"/>
        </w:rPr>
        <w:t xml:space="preserve">pas </w:t>
      </w:r>
      <w:r w:rsidRPr="007C5A10">
        <w:rPr>
          <w:lang w:val="fr-CH"/>
        </w:rPr>
        <w:t xml:space="preserve">imposer </w:t>
      </w:r>
      <w:r>
        <w:rPr>
          <w:lang w:val="fr-CH"/>
        </w:rPr>
        <w:t xml:space="preserve">de </w:t>
      </w:r>
      <w:r w:rsidRPr="007C5A10">
        <w:rPr>
          <w:lang w:val="fr-CH"/>
        </w:rPr>
        <w:t>contrainte</w:t>
      </w:r>
      <w:r>
        <w:rPr>
          <w:lang w:val="fr-CH"/>
        </w:rPr>
        <w:t>s</w:t>
      </w:r>
      <w:r w:rsidRPr="007C5A10">
        <w:rPr>
          <w:lang w:val="fr-CH"/>
        </w:rPr>
        <w:t xml:space="preserve"> additionnelle</w:t>
      </w:r>
      <w:r>
        <w:rPr>
          <w:lang w:val="fr-CH"/>
        </w:rPr>
        <w:t>s</w:t>
      </w:r>
      <w:r w:rsidRPr="007C5A10">
        <w:rPr>
          <w:lang w:val="fr-CH"/>
        </w:rPr>
        <w:t xml:space="preserve"> à ces services,</w:t>
      </w:r>
    </w:p>
    <w:p w:rsidR="009958F8" w:rsidRPr="007C5A10" w:rsidRDefault="009958F8" w:rsidP="00A17011">
      <w:pPr>
        <w:pStyle w:val="Call"/>
        <w:jc w:val="both"/>
        <w:rPr>
          <w:lang w:val="fr-CH"/>
        </w:rPr>
      </w:pPr>
      <w:r>
        <w:rPr>
          <w:lang w:val="fr-CH"/>
        </w:rPr>
        <w:t>reconnaissant</w:t>
      </w:r>
    </w:p>
    <w:p w:rsidR="009958F8" w:rsidRPr="007C5A10" w:rsidRDefault="009958F8" w:rsidP="00A17011">
      <w:pPr>
        <w:jc w:val="both"/>
        <w:rPr>
          <w:lang w:val="fr-CH"/>
        </w:rPr>
      </w:pPr>
      <w:r w:rsidRPr="007C5A10">
        <w:rPr>
          <w:rFonts w:eastAsiaTheme="minorEastAsia"/>
          <w:i/>
          <w:lang w:val="fr-CH"/>
        </w:rPr>
        <w:t>a)</w:t>
      </w:r>
      <w:r w:rsidRPr="007C5A10">
        <w:rPr>
          <w:rFonts w:eastAsiaTheme="minorEastAsia"/>
          <w:lang w:val="fr-CH"/>
        </w:rPr>
        <w:tab/>
      </w:r>
      <w:r w:rsidRPr="00742954">
        <w:rPr>
          <w:lang w:val="fr-CH"/>
        </w:rPr>
        <w:t xml:space="preserve">que le Règlement des radiocommunications contient des dispositions, y compris des attributions de bandes de fréquences, relatives aux services aéronautiques </w:t>
      </w:r>
      <w:r>
        <w:rPr>
          <w:lang w:val="fr-CH"/>
        </w:rPr>
        <w:t>qui prennent</w:t>
      </w:r>
      <w:r w:rsidRPr="00742954">
        <w:rPr>
          <w:lang w:val="fr-CH"/>
        </w:rPr>
        <w:t xml:space="preserve"> en charge des systèmes de détresse et de sécurité;</w:t>
      </w:r>
    </w:p>
    <w:p w:rsidR="009958F8" w:rsidRPr="007C5A10" w:rsidRDefault="009958F8" w:rsidP="00A17011">
      <w:pPr>
        <w:jc w:val="both"/>
        <w:rPr>
          <w:lang w:val="fr-CH"/>
        </w:rPr>
      </w:pPr>
      <w:r w:rsidRPr="007C5A10">
        <w:rPr>
          <w:i/>
          <w:iCs/>
          <w:lang w:eastAsia="ja-JP"/>
        </w:rPr>
        <w:t>b)</w:t>
      </w:r>
      <w:r w:rsidRPr="007C5A10">
        <w:rPr>
          <w:lang w:eastAsia="ja-JP"/>
        </w:rPr>
        <w:tab/>
        <w:t xml:space="preserve">que </w:t>
      </w:r>
      <w:r w:rsidRPr="007C5A10">
        <w:t>l'Annexe 10 de la Convention relative à l'aviation civile internationale fait partie des normes et pratiques internationales recommandées (SARP) pour les systèmes de télécommunication aéronautique</w:t>
      </w:r>
      <w:r>
        <w:t xml:space="preserve"> </w:t>
      </w:r>
      <w:r w:rsidRPr="007C5A10">
        <w:t>utilisés par l'aviation civile internationale</w:t>
      </w:r>
      <w:r>
        <w:rPr>
          <w:lang w:eastAsia="ja-JP"/>
        </w:rPr>
        <w:t>,</w:t>
      </w:r>
    </w:p>
    <w:p w:rsidR="009958F8" w:rsidRPr="007C5A10" w:rsidRDefault="009958F8" w:rsidP="00A17011">
      <w:pPr>
        <w:pStyle w:val="Call"/>
        <w:jc w:val="both"/>
        <w:rPr>
          <w:lang w:val="fr-CH"/>
        </w:rPr>
      </w:pPr>
      <w:r w:rsidRPr="007C5A10">
        <w:rPr>
          <w:lang w:val="fr-CH"/>
        </w:rPr>
        <w:t>notant</w:t>
      </w:r>
    </w:p>
    <w:p w:rsidR="009958F8" w:rsidRPr="007C5A10" w:rsidRDefault="009958F8" w:rsidP="00A17011">
      <w:pPr>
        <w:jc w:val="both"/>
        <w:rPr>
          <w:lang w:val="fr-CH"/>
        </w:rPr>
      </w:pPr>
      <w:r w:rsidRPr="007C5A10">
        <w:rPr>
          <w:lang w:val="fr-CH"/>
        </w:rPr>
        <w:t xml:space="preserve">que le concept d'exploitation et les besoins du GADSS </w:t>
      </w:r>
      <w:r>
        <w:rPr>
          <w:lang w:val="fr-CH"/>
        </w:rPr>
        <w:t>en général, s</w:t>
      </w:r>
      <w:r w:rsidRPr="007C5A10">
        <w:rPr>
          <w:lang w:val="fr-CH"/>
        </w:rPr>
        <w:t xml:space="preserve">es composantes et </w:t>
      </w:r>
      <w:r>
        <w:rPr>
          <w:lang w:val="fr-CH"/>
        </w:rPr>
        <w:t>s</w:t>
      </w:r>
      <w:r w:rsidRPr="007C5A10">
        <w:rPr>
          <w:lang w:val="fr-CH"/>
        </w:rPr>
        <w:t xml:space="preserve">es applications </w:t>
      </w:r>
      <w:r>
        <w:rPr>
          <w:lang w:val="fr-CH"/>
        </w:rPr>
        <w:t>ne prévoient</w:t>
      </w:r>
      <w:r w:rsidRPr="007C5A10">
        <w:rPr>
          <w:lang w:val="fr-CH"/>
        </w:rPr>
        <w:t xml:space="preserve"> actuellement qu</w:t>
      </w:r>
      <w:r>
        <w:rPr>
          <w:lang w:val="fr-CH"/>
        </w:rPr>
        <w:t>e des scénarios et que ce concept</w:t>
      </w:r>
      <w:r w:rsidRPr="007C5A10">
        <w:rPr>
          <w:lang w:val="fr-CH"/>
        </w:rPr>
        <w:t xml:space="preserve"> est actuellement </w:t>
      </w:r>
      <w:r>
        <w:rPr>
          <w:lang w:val="fr-CH"/>
        </w:rPr>
        <w:t xml:space="preserve">défini </w:t>
      </w:r>
      <w:r w:rsidRPr="007C5A10">
        <w:rPr>
          <w:lang w:val="fr-CH"/>
        </w:rPr>
        <w:t>d</w:t>
      </w:r>
      <w:r>
        <w:rPr>
          <w:lang w:val="fr-CH"/>
        </w:rPr>
        <w:t>'</w:t>
      </w:r>
      <w:r w:rsidRPr="007C5A10">
        <w:rPr>
          <w:lang w:val="fr-CH"/>
        </w:rPr>
        <w:t>une manière évolutive au sein de l</w:t>
      </w:r>
      <w:r>
        <w:rPr>
          <w:lang w:val="fr-CH"/>
        </w:rPr>
        <w:t>'</w:t>
      </w:r>
      <w:r w:rsidRPr="007C5A10">
        <w:rPr>
          <w:lang w:val="fr-CH"/>
        </w:rPr>
        <w:t>OACI</w:t>
      </w:r>
      <w:r>
        <w:rPr>
          <w:lang w:val="fr-CH"/>
        </w:rPr>
        <w:t>,</w:t>
      </w:r>
    </w:p>
    <w:p w:rsidR="009958F8" w:rsidRPr="007C5A10" w:rsidRDefault="009958F8" w:rsidP="00A17011">
      <w:pPr>
        <w:pStyle w:val="Call"/>
        <w:jc w:val="both"/>
        <w:rPr>
          <w:lang w:val="fr-CH"/>
        </w:rPr>
      </w:pPr>
      <w:r>
        <w:rPr>
          <w:lang w:val="fr-CH"/>
        </w:rPr>
        <w:lastRenderedPageBreak/>
        <w:t>décide d'inviter la Conférence mondiale des radiocommunications de 2019</w:t>
      </w:r>
    </w:p>
    <w:p w:rsidR="009958F8" w:rsidRPr="008D168C" w:rsidRDefault="009958F8" w:rsidP="005131A3">
      <w:pPr>
        <w:jc w:val="both"/>
        <w:rPr>
          <w:lang w:val="fr-CH"/>
        </w:rPr>
      </w:pPr>
      <w:r w:rsidRPr="007C5A10">
        <w:rPr>
          <w:rFonts w:eastAsiaTheme="minorEastAsia"/>
          <w:lang w:val="fr-CH"/>
        </w:rPr>
        <w:t>1</w:t>
      </w:r>
      <w:r w:rsidRPr="007C5A10">
        <w:rPr>
          <w:rFonts w:eastAsiaTheme="minorEastAsia"/>
          <w:lang w:val="fr-CH"/>
        </w:rPr>
        <w:tab/>
      </w:r>
      <w:r w:rsidRPr="008D168C">
        <w:rPr>
          <w:lang w:val="fr-CH"/>
        </w:rPr>
        <w:t xml:space="preserve">à prendre les mesures </w:t>
      </w:r>
      <w:r>
        <w:rPr>
          <w:lang w:val="fr-CH"/>
        </w:rPr>
        <w:t>appropriées</w:t>
      </w:r>
      <w:r w:rsidRPr="008D168C">
        <w:rPr>
          <w:lang w:val="fr-CH"/>
        </w:rPr>
        <w:t>, compte tenu des résultats des études de l</w:t>
      </w:r>
      <w:r>
        <w:rPr>
          <w:lang w:val="fr-CH"/>
        </w:rPr>
        <w:t>'</w:t>
      </w:r>
      <w:r w:rsidRPr="008D168C">
        <w:rPr>
          <w:lang w:val="fr-CH"/>
        </w:rPr>
        <w:t>UIT</w:t>
      </w:r>
      <w:r w:rsidR="005131A3">
        <w:rPr>
          <w:lang w:val="fr-CH"/>
        </w:rPr>
        <w:noBreakHyphen/>
      </w:r>
      <w:r w:rsidRPr="008D168C">
        <w:rPr>
          <w:lang w:val="fr-CH"/>
        </w:rPr>
        <w:t>R;</w:t>
      </w:r>
    </w:p>
    <w:p w:rsidR="009958F8" w:rsidRPr="008D168C" w:rsidRDefault="009958F8" w:rsidP="00A17011">
      <w:pPr>
        <w:jc w:val="both"/>
        <w:rPr>
          <w:lang w:val="fr-CH"/>
        </w:rPr>
      </w:pPr>
      <w:r w:rsidRPr="008D168C">
        <w:rPr>
          <w:lang w:val="fr-CH"/>
        </w:rPr>
        <w:t>2</w:t>
      </w:r>
      <w:r w:rsidRPr="008D168C">
        <w:rPr>
          <w:lang w:val="fr-CH"/>
        </w:rPr>
        <w:tab/>
        <w:t>à analyser la nécessité de procéder à des études</w:t>
      </w:r>
      <w:r>
        <w:rPr>
          <w:lang w:val="fr-CH"/>
        </w:rPr>
        <w:t xml:space="preserve"> </w:t>
      </w:r>
      <w:r w:rsidRPr="008D168C">
        <w:rPr>
          <w:lang w:val="fr-CH"/>
        </w:rPr>
        <w:t>complémentaires et à examiner s</w:t>
      </w:r>
      <w:r>
        <w:rPr>
          <w:lang w:val="fr-CH"/>
        </w:rPr>
        <w:t>'</w:t>
      </w:r>
      <w:r w:rsidRPr="008D168C">
        <w:rPr>
          <w:lang w:val="fr-CH"/>
        </w:rPr>
        <w:t>il convient de porter cette question à l</w:t>
      </w:r>
      <w:r>
        <w:rPr>
          <w:lang w:val="fr-CH"/>
        </w:rPr>
        <w:t>'</w:t>
      </w:r>
      <w:r w:rsidRPr="008D168C">
        <w:rPr>
          <w:lang w:val="fr-CH"/>
        </w:rPr>
        <w:t>attention d</w:t>
      </w:r>
      <w:r>
        <w:rPr>
          <w:lang w:val="fr-CH"/>
        </w:rPr>
        <w:t>'</w:t>
      </w:r>
      <w:r w:rsidRPr="008D168C">
        <w:rPr>
          <w:lang w:val="fr-CH"/>
        </w:rPr>
        <w:t>une future conférence compétente</w:t>
      </w:r>
      <w:r>
        <w:rPr>
          <w:lang w:val="fr-CH"/>
        </w:rPr>
        <w:t>,</w:t>
      </w:r>
    </w:p>
    <w:p w:rsidR="009958F8" w:rsidRDefault="009958F8" w:rsidP="00A17011">
      <w:pPr>
        <w:pStyle w:val="Call"/>
        <w:jc w:val="both"/>
        <w:rPr>
          <w:lang w:val="fr-CH"/>
        </w:rPr>
      </w:pPr>
      <w:r>
        <w:rPr>
          <w:lang w:val="fr-CH"/>
        </w:rPr>
        <w:t xml:space="preserve">invite </w:t>
      </w:r>
      <w:r w:rsidRPr="007C5A10">
        <w:rPr>
          <w:lang w:val="fr-CH"/>
        </w:rPr>
        <w:t>l'UIT</w:t>
      </w:r>
      <w:r>
        <w:rPr>
          <w:lang w:val="fr-CH"/>
        </w:rPr>
        <w:t>-R</w:t>
      </w:r>
    </w:p>
    <w:p w:rsidR="009958F8" w:rsidRDefault="009958F8" w:rsidP="00A17011">
      <w:pPr>
        <w:jc w:val="both"/>
        <w:rPr>
          <w:rFonts w:eastAsiaTheme="minorEastAsia"/>
          <w:lang w:val="fr-CH"/>
        </w:rPr>
      </w:pPr>
      <w:r w:rsidRPr="007C5A10">
        <w:rPr>
          <w:rFonts w:eastAsiaTheme="minorEastAsia"/>
          <w:lang w:val="fr-CH"/>
        </w:rPr>
        <w:t>1</w:t>
      </w:r>
      <w:r w:rsidRPr="007C5A10">
        <w:rPr>
          <w:rFonts w:eastAsiaTheme="minorEastAsia"/>
          <w:lang w:val="fr-CH"/>
        </w:rPr>
        <w:tab/>
      </w:r>
      <w:r w:rsidRPr="00742954">
        <w:rPr>
          <w:lang w:val="fr-CH"/>
        </w:rPr>
        <w:t xml:space="preserve">à procéder aux études pertinentes, en tenant compte des renseignements et des besoins fournis par </w:t>
      </w:r>
      <w:r w:rsidRPr="007C5A10">
        <w:rPr>
          <w:lang w:val="fr-CH"/>
        </w:rPr>
        <w:t>l</w:t>
      </w:r>
      <w:r>
        <w:rPr>
          <w:lang w:val="fr-CH"/>
        </w:rPr>
        <w:t>'</w:t>
      </w:r>
      <w:r w:rsidRPr="007C5A10">
        <w:rPr>
          <w:lang w:val="fr-CH"/>
        </w:rPr>
        <w:t>OACI</w:t>
      </w:r>
      <w:r w:rsidRPr="00742954">
        <w:rPr>
          <w:lang w:val="fr-CH"/>
        </w:rPr>
        <w:t xml:space="preserve"> pour les composantes de Terre et par satellite, et notamment:</w:t>
      </w:r>
    </w:p>
    <w:p w:rsidR="009958F8" w:rsidRPr="003D0E4B" w:rsidRDefault="009958F8" w:rsidP="00A17011">
      <w:pPr>
        <w:pStyle w:val="enumlev1"/>
        <w:jc w:val="both"/>
        <w:rPr>
          <w:rFonts w:eastAsiaTheme="minorEastAsia"/>
          <w:lang w:val="fr-CH"/>
        </w:rPr>
      </w:pPr>
      <w:r w:rsidRPr="005B11A9">
        <w:rPr>
          <w:rFonts w:eastAsiaTheme="minorEastAsia"/>
          <w:i/>
          <w:iCs/>
          <w:lang w:val="fr-CH"/>
        </w:rPr>
        <w:t>a)</w:t>
      </w:r>
      <w:r w:rsidRPr="003D0E4B">
        <w:rPr>
          <w:rFonts w:eastAsiaTheme="minorEastAsia"/>
          <w:i/>
          <w:iCs/>
          <w:lang w:val="fr-CH"/>
        </w:rPr>
        <w:tab/>
      </w:r>
      <w:r w:rsidRPr="003D0E4B">
        <w:rPr>
          <w:rFonts w:eastAsiaTheme="minorEastAsia"/>
          <w:lang w:val="fr-CH"/>
        </w:rPr>
        <w:t xml:space="preserve">à une étude quantitative et à la détermination des besoins de radiocommunication liés au GADSS, </w:t>
      </w:r>
      <w:r>
        <w:rPr>
          <w:rFonts w:eastAsiaTheme="minorEastAsia"/>
          <w:lang w:val="fr-CH"/>
        </w:rPr>
        <w:t xml:space="preserve">concernant </w:t>
      </w:r>
      <w:r w:rsidRPr="003D0E4B">
        <w:rPr>
          <w:rFonts w:eastAsiaTheme="minorEastAsia"/>
          <w:lang w:val="fr-CH"/>
        </w:rPr>
        <w:t>par exemple:</w:t>
      </w:r>
    </w:p>
    <w:p w:rsidR="009958F8" w:rsidRDefault="009958F8" w:rsidP="00A17011">
      <w:pPr>
        <w:pStyle w:val="enumlev2"/>
        <w:jc w:val="both"/>
        <w:rPr>
          <w:rFonts w:eastAsiaTheme="minorEastAsia"/>
          <w:lang w:val="fr-CH"/>
        </w:rPr>
      </w:pPr>
      <w:r w:rsidRPr="007428E9">
        <w:rPr>
          <w:rFonts w:eastAsiaTheme="minorEastAsia"/>
          <w:lang w:val="fr-CH"/>
        </w:rPr>
        <w:t>–</w:t>
      </w:r>
      <w:r>
        <w:rPr>
          <w:rFonts w:eastAsiaTheme="minorEastAsia"/>
          <w:lang w:val="fr-CH"/>
        </w:rPr>
        <w:tab/>
        <w:t xml:space="preserve">les </w:t>
      </w:r>
      <w:r w:rsidRPr="007C5A10">
        <w:rPr>
          <w:rFonts w:eastAsiaTheme="minorEastAsia"/>
          <w:lang w:val="fr-CH"/>
        </w:rPr>
        <w:t>besoins de trafic de données pour différentes composantes de systèmes du</w:t>
      </w:r>
      <w:r>
        <w:rPr>
          <w:rFonts w:eastAsiaTheme="minorEastAsia"/>
          <w:lang w:val="fr-CH"/>
        </w:rPr>
        <w:t xml:space="preserve"> </w:t>
      </w:r>
      <w:r w:rsidRPr="007C5A10">
        <w:rPr>
          <w:rFonts w:eastAsiaTheme="minorEastAsia"/>
          <w:lang w:val="fr-CH"/>
        </w:rPr>
        <w:t>GADSS (systèmes de suivi des aéronefs,</w:t>
      </w:r>
      <w:r w:rsidRPr="007C5A10">
        <w:rPr>
          <w:color w:val="000000"/>
        </w:rPr>
        <w:t xml:space="preserve"> de suivi autonome en cas de détresse, de récupération des données de vol par exemple)</w:t>
      </w:r>
      <w:r>
        <w:rPr>
          <w:color w:val="000000"/>
        </w:rPr>
        <w:t xml:space="preserve"> </w:t>
      </w:r>
      <w:r w:rsidRPr="007C5A10">
        <w:rPr>
          <w:rFonts w:eastAsiaTheme="minorEastAsia"/>
          <w:lang w:val="fr-CH"/>
        </w:rPr>
        <w:t xml:space="preserve">ainsi que pour leurs composantes de Terre </w:t>
      </w:r>
      <w:r>
        <w:rPr>
          <w:rFonts w:eastAsiaTheme="minorEastAsia"/>
          <w:lang w:val="fr-CH"/>
        </w:rPr>
        <w:t xml:space="preserve">et </w:t>
      </w:r>
      <w:r w:rsidRPr="007C5A10">
        <w:rPr>
          <w:rFonts w:eastAsiaTheme="minorEastAsia"/>
          <w:lang w:val="fr-CH"/>
        </w:rPr>
        <w:t xml:space="preserve">par satellite à </w:t>
      </w:r>
      <w:r>
        <w:rPr>
          <w:rFonts w:eastAsiaTheme="minorEastAsia"/>
          <w:lang w:val="fr-CH"/>
        </w:rPr>
        <w:t>chaque phase de l'exploitation;</w:t>
      </w:r>
    </w:p>
    <w:p w:rsidR="009958F8" w:rsidRDefault="009958F8" w:rsidP="00A17011">
      <w:pPr>
        <w:pStyle w:val="enumlev2"/>
        <w:jc w:val="both"/>
        <w:rPr>
          <w:rFonts w:eastAsiaTheme="minorEastAsia"/>
          <w:lang w:val="fr-CH"/>
        </w:rPr>
      </w:pPr>
      <w:r w:rsidRPr="007428E9">
        <w:rPr>
          <w:rFonts w:eastAsiaTheme="minorEastAsia"/>
          <w:lang w:val="fr-CH"/>
        </w:rPr>
        <w:t>–</w:t>
      </w:r>
      <w:r>
        <w:rPr>
          <w:rFonts w:eastAsiaTheme="minorEastAsia"/>
          <w:lang w:val="fr-CH"/>
        </w:rPr>
        <w:tab/>
        <w:t xml:space="preserve">les </w:t>
      </w:r>
      <w:r w:rsidRPr="007C5A10">
        <w:rPr>
          <w:rFonts w:eastAsiaTheme="minorEastAsia"/>
          <w:lang w:val="fr-CH"/>
        </w:rPr>
        <w:t xml:space="preserve">renseignements sur les besoins de </w:t>
      </w:r>
      <w:r>
        <w:rPr>
          <w:rFonts w:eastAsiaTheme="minorEastAsia"/>
          <w:lang w:val="fr-CH"/>
        </w:rPr>
        <w:t>radio</w:t>
      </w:r>
      <w:r w:rsidRPr="007C5A10">
        <w:rPr>
          <w:rFonts w:eastAsiaTheme="minorEastAsia"/>
          <w:lang w:val="fr-CH"/>
        </w:rPr>
        <w:t>communication relatifs aux applications liées à la sécurité de la vie humaine</w:t>
      </w:r>
      <w:r>
        <w:rPr>
          <w:rFonts w:eastAsiaTheme="minorEastAsia"/>
          <w:lang w:val="fr-CH"/>
        </w:rPr>
        <w:t>;</w:t>
      </w:r>
    </w:p>
    <w:p w:rsidR="009958F8" w:rsidRPr="007C5A10" w:rsidRDefault="009958F8" w:rsidP="00A17011">
      <w:pPr>
        <w:pStyle w:val="enumlev2"/>
        <w:jc w:val="both"/>
        <w:rPr>
          <w:rFonts w:eastAsiaTheme="minorEastAsia"/>
          <w:lang w:val="fr-CH"/>
        </w:rPr>
      </w:pPr>
      <w:r w:rsidRPr="007428E9">
        <w:rPr>
          <w:rFonts w:eastAsiaTheme="minorEastAsia"/>
          <w:lang w:val="fr-CH"/>
        </w:rPr>
        <w:t>–</w:t>
      </w:r>
      <w:r>
        <w:rPr>
          <w:rFonts w:eastAsiaTheme="minorEastAsia"/>
          <w:lang w:val="fr-CH"/>
        </w:rPr>
        <w:tab/>
        <w:t xml:space="preserve">les </w:t>
      </w:r>
      <w:r w:rsidRPr="007C5A10">
        <w:rPr>
          <w:rFonts w:eastAsiaTheme="minorEastAsia"/>
          <w:lang w:val="fr-CH"/>
        </w:rPr>
        <w:t xml:space="preserve">critères de qualité de fonctionnement </w:t>
      </w:r>
      <w:r>
        <w:rPr>
          <w:rFonts w:eastAsiaTheme="minorEastAsia"/>
          <w:lang w:val="fr-CH"/>
        </w:rPr>
        <w:t>applicables aux</w:t>
      </w:r>
      <w:r w:rsidRPr="007C5A10">
        <w:rPr>
          <w:rFonts w:eastAsiaTheme="minorEastAsia"/>
          <w:lang w:val="fr-CH"/>
        </w:rPr>
        <w:t xml:space="preserve"> systèmes de Terre et à satellites</w:t>
      </w:r>
      <w:r>
        <w:rPr>
          <w:rFonts w:eastAsiaTheme="minorEastAsia"/>
          <w:lang w:val="fr-CH"/>
        </w:rPr>
        <w:t>;</w:t>
      </w:r>
    </w:p>
    <w:p w:rsidR="009958F8" w:rsidRPr="008D168C" w:rsidRDefault="009958F8" w:rsidP="00A17011">
      <w:pPr>
        <w:pStyle w:val="enumlev1"/>
        <w:jc w:val="both"/>
        <w:rPr>
          <w:lang w:val="fr-CH"/>
        </w:rPr>
      </w:pPr>
      <w:r w:rsidRPr="005B11A9">
        <w:rPr>
          <w:rFonts w:eastAsiaTheme="minorEastAsia"/>
          <w:i/>
          <w:iCs/>
          <w:lang w:val="fr-CH"/>
        </w:rPr>
        <w:t>b)</w:t>
      </w:r>
      <w:r w:rsidRPr="007C5A10">
        <w:rPr>
          <w:rFonts w:eastAsiaTheme="minorEastAsia"/>
          <w:lang w:val="fr-CH"/>
        </w:rPr>
        <w:tab/>
      </w:r>
      <w:r w:rsidRPr="008D168C">
        <w:rPr>
          <w:lang w:val="fr-CH"/>
        </w:rPr>
        <w:t xml:space="preserve">à une analyse des attributions existantes aux services aéronautiques concernés et </w:t>
      </w:r>
      <w:r>
        <w:rPr>
          <w:lang w:val="fr-CH"/>
        </w:rPr>
        <w:t xml:space="preserve">à la </w:t>
      </w:r>
      <w:r w:rsidRPr="008D168C">
        <w:rPr>
          <w:lang w:val="fr-CH"/>
        </w:rPr>
        <w:t xml:space="preserve">détermination des besoins éventuels de fréquences </w:t>
      </w:r>
      <w:r>
        <w:rPr>
          <w:lang w:val="fr-CH"/>
        </w:rPr>
        <w:t>supplémentaires;</w:t>
      </w:r>
    </w:p>
    <w:p w:rsidR="009958F8" w:rsidRPr="008D168C" w:rsidRDefault="009958F8" w:rsidP="00A17011">
      <w:pPr>
        <w:pStyle w:val="enumlev1"/>
        <w:jc w:val="both"/>
        <w:rPr>
          <w:lang w:val="fr-CH"/>
        </w:rPr>
      </w:pPr>
      <w:r w:rsidRPr="005B11A9">
        <w:rPr>
          <w:rFonts w:eastAsiaTheme="minorEastAsia"/>
          <w:i/>
          <w:iCs/>
          <w:lang w:val="fr-CH"/>
        </w:rPr>
        <w:t>c)</w:t>
      </w:r>
      <w:r w:rsidRPr="007C5A10">
        <w:rPr>
          <w:rFonts w:eastAsiaTheme="minorEastAsia"/>
          <w:lang w:val="fr-CH"/>
        </w:rPr>
        <w:tab/>
      </w:r>
      <w:r w:rsidRPr="008D168C">
        <w:rPr>
          <w:lang w:val="fr-CH"/>
        </w:rPr>
        <w:t>à des études de partage ou de compatibilité avec les services existants</w:t>
      </w:r>
      <w:r>
        <w:rPr>
          <w:lang w:val="fr-CH"/>
        </w:rPr>
        <w:t>;</w:t>
      </w:r>
    </w:p>
    <w:p w:rsidR="009958F8" w:rsidRPr="008D168C" w:rsidRDefault="009958F8" w:rsidP="00A17011">
      <w:pPr>
        <w:jc w:val="both"/>
        <w:rPr>
          <w:lang w:val="fr-CH"/>
        </w:rPr>
      </w:pPr>
      <w:r w:rsidRPr="007C5A10">
        <w:rPr>
          <w:rFonts w:eastAsiaTheme="minorEastAsia"/>
          <w:lang w:val="fr-CH"/>
        </w:rPr>
        <w:t>2</w:t>
      </w:r>
      <w:r w:rsidRPr="007C5A10">
        <w:rPr>
          <w:rFonts w:eastAsiaTheme="minorEastAsia"/>
          <w:lang w:val="fr-CH"/>
        </w:rPr>
        <w:tab/>
      </w:r>
      <w:r w:rsidRPr="008D168C">
        <w:rPr>
          <w:lang w:val="fr-CH"/>
        </w:rPr>
        <w:t>à entreprendre des études sur les dispositions réglementaires actuelles</w:t>
      </w:r>
      <w:r>
        <w:rPr>
          <w:lang w:val="fr-CH"/>
        </w:rPr>
        <w:t xml:space="preserve">, </w:t>
      </w:r>
      <w:r w:rsidRPr="008D168C">
        <w:rPr>
          <w:lang w:val="fr-CH"/>
        </w:rPr>
        <w:t>afin de déterminer s</w:t>
      </w:r>
      <w:r>
        <w:rPr>
          <w:lang w:val="fr-CH"/>
        </w:rPr>
        <w:t>'</w:t>
      </w:r>
      <w:r w:rsidRPr="008D168C">
        <w:rPr>
          <w:lang w:val="fr-CH"/>
        </w:rPr>
        <w:t>il pourrait être nécessaire d</w:t>
      </w:r>
      <w:r>
        <w:rPr>
          <w:lang w:val="fr-CH"/>
        </w:rPr>
        <w:t>'</w:t>
      </w:r>
      <w:r w:rsidRPr="008D168C">
        <w:rPr>
          <w:lang w:val="fr-CH"/>
        </w:rPr>
        <w:t>appliquer des mesures réglementaires additionnelles</w:t>
      </w:r>
      <w:r>
        <w:rPr>
          <w:lang w:val="fr-CH"/>
        </w:rPr>
        <w:t>,</w:t>
      </w:r>
    </w:p>
    <w:p w:rsidR="009958F8" w:rsidRPr="007C5A10" w:rsidRDefault="009958F8" w:rsidP="00A17011">
      <w:pPr>
        <w:pStyle w:val="Call"/>
        <w:jc w:val="both"/>
        <w:rPr>
          <w:lang w:val="fr-CH"/>
        </w:rPr>
      </w:pPr>
      <w:r w:rsidRPr="007C5A10">
        <w:rPr>
          <w:lang w:val="fr-CH"/>
        </w:rPr>
        <w:t xml:space="preserve">invite </w:t>
      </w:r>
      <w:r>
        <w:rPr>
          <w:lang w:val="fr-CH"/>
        </w:rPr>
        <w:t>l'Organisation de l'aviation civile internationale</w:t>
      </w:r>
    </w:p>
    <w:p w:rsidR="009958F8" w:rsidRPr="002D26F6" w:rsidRDefault="009958F8" w:rsidP="00A17011">
      <w:pPr>
        <w:jc w:val="both"/>
        <w:rPr>
          <w:lang w:val="fr-CH"/>
        </w:rPr>
      </w:pPr>
      <w:r w:rsidRPr="007C5A10">
        <w:rPr>
          <w:lang w:val="fr-CH"/>
        </w:rPr>
        <w:t xml:space="preserve">à participer activement aux études, en </w:t>
      </w:r>
      <w:r>
        <w:rPr>
          <w:lang w:val="fr-CH"/>
        </w:rPr>
        <w:t>indiquant</w:t>
      </w:r>
      <w:r w:rsidRPr="007C5A10">
        <w:rPr>
          <w:lang w:val="fr-CH"/>
        </w:rPr>
        <w:t xml:space="preserve"> les besoins et </w:t>
      </w:r>
      <w:r>
        <w:rPr>
          <w:lang w:val="fr-CH"/>
        </w:rPr>
        <w:t xml:space="preserve">en fournissant </w:t>
      </w:r>
      <w:r w:rsidRPr="007C5A10">
        <w:rPr>
          <w:lang w:val="fr-CH"/>
        </w:rPr>
        <w:t>les renseignements qu</w:t>
      </w:r>
      <w:r>
        <w:rPr>
          <w:lang w:val="fr-CH"/>
        </w:rPr>
        <w:t>'</w:t>
      </w:r>
      <w:r w:rsidRPr="007C5A10">
        <w:rPr>
          <w:lang w:val="fr-CH"/>
        </w:rPr>
        <w:t>il convient de prendre en considération dans les études de l</w:t>
      </w:r>
      <w:r>
        <w:rPr>
          <w:lang w:val="fr-CH"/>
        </w:rPr>
        <w:t>'</w:t>
      </w:r>
      <w:r w:rsidRPr="007C5A10">
        <w:rPr>
          <w:lang w:val="fr-CH"/>
        </w:rPr>
        <w:t>UIT-R, en particulier c</w:t>
      </w:r>
      <w:r>
        <w:rPr>
          <w:lang w:val="fr-CH"/>
        </w:rPr>
        <w:t>elles</w:t>
      </w:r>
      <w:r w:rsidRPr="007C5A10">
        <w:rPr>
          <w:lang w:val="fr-CH"/>
        </w:rPr>
        <w:t xml:space="preserve"> </w:t>
      </w:r>
      <w:r>
        <w:rPr>
          <w:lang w:val="fr-CH"/>
        </w:rPr>
        <w:t>mentionnées</w:t>
      </w:r>
      <w:r w:rsidRPr="007C5A10">
        <w:rPr>
          <w:lang w:val="fr-CH"/>
        </w:rPr>
        <w:t xml:space="preserve"> au point 1</w:t>
      </w:r>
      <w:r w:rsidRPr="00C95FCC">
        <w:rPr>
          <w:i/>
          <w:iCs/>
          <w:lang w:val="fr-CH"/>
        </w:rPr>
        <w:t>a)</w:t>
      </w:r>
      <w:r>
        <w:rPr>
          <w:lang w:val="fr-CH"/>
        </w:rPr>
        <w:t xml:space="preserve"> </w:t>
      </w:r>
      <w:r w:rsidRPr="007C5A10">
        <w:rPr>
          <w:lang w:val="fr-CH"/>
        </w:rPr>
        <w:t xml:space="preserve">du </w:t>
      </w:r>
      <w:r w:rsidRPr="002D26F6">
        <w:rPr>
          <w:i/>
          <w:iCs/>
          <w:lang w:val="fr-CH"/>
        </w:rPr>
        <w:t>invite</w:t>
      </w:r>
      <w:r>
        <w:rPr>
          <w:i/>
          <w:iCs/>
          <w:lang w:val="fr-CH"/>
        </w:rPr>
        <w:t xml:space="preserve"> </w:t>
      </w:r>
      <w:r w:rsidRPr="002D26F6">
        <w:rPr>
          <w:i/>
          <w:iCs/>
          <w:lang w:val="fr-CH"/>
        </w:rPr>
        <w:t>l'UIT</w:t>
      </w:r>
      <w:r>
        <w:rPr>
          <w:i/>
          <w:iCs/>
          <w:lang w:val="fr-CH"/>
        </w:rPr>
        <w:t>-R</w:t>
      </w:r>
      <w:r>
        <w:rPr>
          <w:lang w:val="fr-CH"/>
        </w:rPr>
        <w:t>,</w:t>
      </w:r>
    </w:p>
    <w:p w:rsidR="009958F8" w:rsidRPr="007C5A10" w:rsidRDefault="009958F8" w:rsidP="00A17011">
      <w:pPr>
        <w:pStyle w:val="Call"/>
        <w:jc w:val="both"/>
        <w:rPr>
          <w:lang w:val="fr-CH"/>
        </w:rPr>
      </w:pPr>
      <w:r w:rsidRPr="007C5A10">
        <w:rPr>
          <w:lang w:val="fr-CH"/>
        </w:rPr>
        <w:t xml:space="preserve">charge le Secrétaire général </w:t>
      </w:r>
    </w:p>
    <w:p w:rsidR="009958F8" w:rsidRDefault="009958F8" w:rsidP="00A17011">
      <w:pPr>
        <w:jc w:val="both"/>
        <w:rPr>
          <w:lang w:val="fr-CH"/>
        </w:rPr>
      </w:pPr>
      <w:r w:rsidRPr="007C5A10">
        <w:rPr>
          <w:lang w:val="fr-CH"/>
        </w:rPr>
        <w:t xml:space="preserve">de porter la présente Résolution à l'attention de </w:t>
      </w:r>
      <w:r>
        <w:rPr>
          <w:lang w:val="fr-CH"/>
        </w:rPr>
        <w:t>l'O</w:t>
      </w:r>
      <w:r w:rsidRPr="007C5A10">
        <w:rPr>
          <w:lang w:val="fr-CH"/>
        </w:rPr>
        <w:t>rganisation de l</w:t>
      </w:r>
      <w:r>
        <w:rPr>
          <w:lang w:val="fr-CH"/>
        </w:rPr>
        <w:t>'</w:t>
      </w:r>
      <w:r w:rsidRPr="007C5A10">
        <w:rPr>
          <w:lang w:val="fr-CH"/>
        </w:rPr>
        <w:t>aviation civile (OACI</w:t>
      </w:r>
      <w:r>
        <w:rPr>
          <w:lang w:val="fr-CH"/>
        </w:rPr>
        <w:t>)</w:t>
      </w:r>
      <w:r w:rsidRPr="007C5A10">
        <w:rPr>
          <w:lang w:val="fr-CH"/>
        </w:rPr>
        <w:t>, l</w:t>
      </w:r>
      <w:r>
        <w:rPr>
          <w:lang w:val="fr-CH"/>
        </w:rPr>
        <w:t>'A</w:t>
      </w:r>
      <w:r w:rsidRPr="007C5A10">
        <w:rPr>
          <w:lang w:val="fr-CH"/>
        </w:rPr>
        <w:t>ssociation du transport aérien</w:t>
      </w:r>
      <w:r w:rsidRPr="00003A46">
        <w:rPr>
          <w:lang w:val="fr-CH"/>
        </w:rPr>
        <w:t xml:space="preserve"> </w:t>
      </w:r>
      <w:r>
        <w:rPr>
          <w:lang w:val="fr-CH"/>
        </w:rPr>
        <w:t>international</w:t>
      </w:r>
      <w:r w:rsidRPr="007C5A10">
        <w:rPr>
          <w:lang w:val="fr-CH"/>
        </w:rPr>
        <w:t xml:space="preserve"> </w:t>
      </w:r>
      <w:r>
        <w:rPr>
          <w:lang w:val="fr-CH"/>
        </w:rPr>
        <w:t>(IATA) et l'O</w:t>
      </w:r>
      <w:r w:rsidRPr="007C5A10">
        <w:rPr>
          <w:lang w:val="fr-CH"/>
        </w:rPr>
        <w:t>rganisation maritime internationale</w:t>
      </w:r>
      <w:r>
        <w:rPr>
          <w:lang w:val="fr-CH"/>
        </w:rPr>
        <w:t xml:space="preserve"> (</w:t>
      </w:r>
      <w:r w:rsidRPr="007C5A10">
        <w:rPr>
          <w:lang w:val="fr-CH"/>
        </w:rPr>
        <w:t>OMI)</w:t>
      </w:r>
      <w:r>
        <w:rPr>
          <w:lang w:val="fr-CH"/>
        </w:rPr>
        <w:t>.</w:t>
      </w:r>
    </w:p>
    <w:p w:rsidR="00B83183" w:rsidRPr="009958F8" w:rsidRDefault="00B83183" w:rsidP="00A17011">
      <w:pPr>
        <w:overflowPunct/>
        <w:autoSpaceDE/>
        <w:autoSpaceDN/>
        <w:adjustRightInd/>
        <w:spacing w:before="0"/>
        <w:jc w:val="both"/>
        <w:textAlignment w:val="auto"/>
        <w:rPr>
          <w:rFonts w:asciiTheme="majorBidi" w:hAnsiTheme="majorBidi" w:cstheme="majorBidi"/>
          <w:szCs w:val="24"/>
        </w:rPr>
      </w:pPr>
    </w:p>
    <w:p w:rsidR="00301E6F" w:rsidRPr="009958F8" w:rsidRDefault="00301E6F" w:rsidP="00A17011">
      <w:pPr>
        <w:overflowPunct/>
        <w:autoSpaceDE/>
        <w:autoSpaceDN/>
        <w:adjustRightInd/>
        <w:spacing w:before="0"/>
        <w:textAlignment w:val="auto"/>
        <w:rPr>
          <w:rFonts w:asciiTheme="majorBidi" w:hAnsiTheme="majorBidi" w:cstheme="majorBidi"/>
          <w:szCs w:val="24"/>
        </w:rPr>
      </w:pPr>
      <w:r w:rsidRPr="009958F8">
        <w:rPr>
          <w:rFonts w:asciiTheme="majorBidi" w:hAnsiTheme="majorBidi" w:cstheme="majorBidi"/>
          <w:szCs w:val="24"/>
        </w:rPr>
        <w:br w:type="page"/>
      </w:r>
    </w:p>
    <w:p w:rsidR="007C11AB" w:rsidRPr="007C11AB" w:rsidRDefault="00F96BD5" w:rsidP="00A17011">
      <w:pPr>
        <w:pStyle w:val="ResNo"/>
        <w:rPr>
          <w:rStyle w:val="Artdef"/>
          <w:b w:val="0"/>
        </w:rPr>
      </w:pPr>
      <w:bookmarkStart w:id="218" w:name="RES_557"/>
      <w:bookmarkStart w:id="219" w:name="_Toc444507602"/>
      <w:bookmarkStart w:id="220" w:name="_Toc460331724"/>
      <w:bookmarkStart w:id="221" w:name="_Toc463616181"/>
      <w:r>
        <w:rPr>
          <w:rStyle w:val="Artdef"/>
          <w:b w:val="0"/>
        </w:rPr>
        <w:lastRenderedPageBreak/>
        <w:t>R</w:t>
      </w:r>
      <w:r w:rsidR="001D5201" w:rsidRPr="001D5201">
        <w:t>É</w:t>
      </w:r>
      <w:r w:rsidR="007C11AB" w:rsidRPr="007C11AB">
        <w:rPr>
          <w:rStyle w:val="Artdef"/>
          <w:b w:val="0"/>
        </w:rPr>
        <w:t xml:space="preserve">SOLUTION </w:t>
      </w:r>
      <w:r w:rsidR="007C11AB" w:rsidRPr="007C11AB">
        <w:rPr>
          <w:rStyle w:val="href"/>
        </w:rPr>
        <w:t>557</w:t>
      </w:r>
      <w:r w:rsidR="007C11AB" w:rsidRPr="007C11AB">
        <w:rPr>
          <w:rStyle w:val="Artdef"/>
          <w:b w:val="0"/>
        </w:rPr>
        <w:t xml:space="preserve"> </w:t>
      </w:r>
      <w:bookmarkEnd w:id="218"/>
      <w:r w:rsidR="007C11AB" w:rsidRPr="007C11AB">
        <w:rPr>
          <w:rStyle w:val="Artdef"/>
          <w:b w:val="0"/>
        </w:rPr>
        <w:t>(</w:t>
      </w:r>
      <w:r w:rsidR="005A2541" w:rsidRPr="00A20F5A">
        <w:t>C</w:t>
      </w:r>
      <w:r w:rsidR="005A2541">
        <w:t>MR</w:t>
      </w:r>
      <w:r w:rsidR="007C11AB" w:rsidRPr="007C11AB">
        <w:rPr>
          <w:rStyle w:val="Artdef"/>
          <w:b w:val="0"/>
        </w:rPr>
        <w:t>-15)</w:t>
      </w:r>
      <w:bookmarkEnd w:id="219"/>
      <w:bookmarkEnd w:id="220"/>
      <w:bookmarkEnd w:id="221"/>
    </w:p>
    <w:p w:rsidR="001B2E1B" w:rsidRPr="00730563" w:rsidRDefault="001B2E1B" w:rsidP="00A17011">
      <w:pPr>
        <w:pStyle w:val="Restitle"/>
        <w:rPr>
          <w:lang w:val="fr-CH"/>
        </w:rPr>
      </w:pPr>
      <w:bookmarkStart w:id="222" w:name="_Toc450208747"/>
      <w:bookmarkStart w:id="223" w:name="_Toc463616182"/>
      <w:r w:rsidRPr="00730563">
        <w:rPr>
          <w:lang w:val="fr-CH"/>
        </w:rPr>
        <w:t>Examen d</w:t>
      </w:r>
      <w:r>
        <w:rPr>
          <w:lang w:val="fr-CH"/>
        </w:rPr>
        <w:t xml:space="preserve">'une </w:t>
      </w:r>
      <w:r w:rsidRPr="00730563">
        <w:rPr>
          <w:lang w:val="fr-CH"/>
        </w:rPr>
        <w:t>révision</w:t>
      </w:r>
      <w:r>
        <w:rPr>
          <w:lang w:val="fr-CH"/>
        </w:rPr>
        <w:t xml:space="preserve"> éventuelle</w:t>
      </w:r>
      <w:r w:rsidRPr="00730563">
        <w:rPr>
          <w:lang w:val="fr-CH"/>
        </w:rPr>
        <w:t xml:space="preserve"> de l</w:t>
      </w:r>
      <w:r>
        <w:rPr>
          <w:lang w:val="fr-CH"/>
        </w:rPr>
        <w:t>'Annexe</w:t>
      </w:r>
      <w:r w:rsidRPr="00730563">
        <w:rPr>
          <w:lang w:val="fr-CH"/>
        </w:rPr>
        <w:t xml:space="preserve"> 7 de l</w:t>
      </w:r>
      <w:r>
        <w:rPr>
          <w:lang w:val="fr-CH"/>
        </w:rPr>
        <w:t>'</w:t>
      </w:r>
      <w:r w:rsidRPr="00730563">
        <w:rPr>
          <w:lang w:val="fr-CH"/>
        </w:rPr>
        <w:t xml:space="preserve">Appendice 30 du </w:t>
      </w:r>
      <w:r>
        <w:rPr>
          <w:lang w:val="fr-CH"/>
        </w:rPr>
        <w:br/>
        <w:t>Règlement des radiocommunications</w:t>
      </w:r>
      <w:bookmarkEnd w:id="222"/>
      <w:bookmarkEnd w:id="223"/>
      <w:r>
        <w:rPr>
          <w:lang w:val="fr-CH"/>
        </w:rPr>
        <w:t xml:space="preserve"> </w:t>
      </w:r>
    </w:p>
    <w:p w:rsidR="001B2E1B" w:rsidRPr="00730563" w:rsidRDefault="001B2E1B" w:rsidP="00A17011">
      <w:pPr>
        <w:pStyle w:val="Normalaftertitle"/>
        <w:rPr>
          <w:lang w:val="fr-CH"/>
        </w:rPr>
      </w:pPr>
      <w:r w:rsidRPr="00730563">
        <w:rPr>
          <w:lang w:val="fr-CH"/>
        </w:rPr>
        <w:t>La Conférence mondiale des radiocommunications (Genève</w:t>
      </w:r>
      <w:r>
        <w:rPr>
          <w:lang w:val="fr-CH"/>
        </w:rPr>
        <w:t>,</w:t>
      </w:r>
      <w:r w:rsidRPr="00730563">
        <w:rPr>
          <w:lang w:val="fr-CH"/>
        </w:rPr>
        <w:t xml:space="preserve"> 2015),</w:t>
      </w:r>
    </w:p>
    <w:p w:rsidR="001B2E1B" w:rsidRPr="00730563" w:rsidRDefault="001B2E1B" w:rsidP="00A17011">
      <w:pPr>
        <w:pStyle w:val="Call"/>
        <w:rPr>
          <w:lang w:val="fr-CH"/>
        </w:rPr>
      </w:pPr>
      <w:r w:rsidRPr="00730563">
        <w:rPr>
          <w:lang w:val="fr-CH"/>
        </w:rPr>
        <w:t xml:space="preserve">considérant </w:t>
      </w:r>
    </w:p>
    <w:p w:rsidR="001B2E1B" w:rsidRDefault="001B2E1B" w:rsidP="00A17011">
      <w:pPr>
        <w:jc w:val="both"/>
        <w:rPr>
          <w:lang w:val="fr-CH"/>
        </w:rPr>
      </w:pPr>
      <w:r w:rsidRPr="000E0653">
        <w:rPr>
          <w:i/>
          <w:iCs/>
          <w:lang w:val="fr-CH"/>
        </w:rPr>
        <w:t>a)</w:t>
      </w:r>
      <w:r w:rsidRPr="00730563">
        <w:rPr>
          <w:lang w:val="fr-CH"/>
        </w:rPr>
        <w:tab/>
      </w:r>
      <w:r>
        <w:rPr>
          <w:lang w:val="fr-CH"/>
        </w:rPr>
        <w:t>que les dispositions applicables au service de radiodiffusion par satellite (SRS) dans les bandes de fréquences 11,7-12,5 GHz en Région 1, 12,2-12,7 GHz en Région 2 et 11,7</w:t>
      </w:r>
      <w:r>
        <w:rPr>
          <w:lang w:val="fr-CH"/>
        </w:rPr>
        <w:noBreakHyphen/>
        <w:t xml:space="preserve">12,2 GHz en Région 3 sont énoncées dans l'Appendice </w:t>
      </w:r>
      <w:r w:rsidRPr="00B01593">
        <w:rPr>
          <w:b/>
          <w:bCs/>
          <w:lang w:val="fr-CH"/>
        </w:rPr>
        <w:t>30</w:t>
      </w:r>
      <w:r>
        <w:rPr>
          <w:lang w:val="fr-CH"/>
        </w:rPr>
        <w:t>;</w:t>
      </w:r>
    </w:p>
    <w:p w:rsidR="001B2E1B" w:rsidRDefault="001B2E1B" w:rsidP="00A17011">
      <w:pPr>
        <w:jc w:val="both"/>
      </w:pPr>
      <w:r w:rsidRPr="000E0653">
        <w:rPr>
          <w:i/>
          <w:iCs/>
        </w:rPr>
        <w:t>b)</w:t>
      </w:r>
      <w:r>
        <w:tab/>
        <w:t>que des réseaux du service fixe par satellite (SFS) sont exploités dans les bandes de fréquences 12,5</w:t>
      </w:r>
      <w:r>
        <w:rPr>
          <w:lang w:val="fr-CH"/>
        </w:rPr>
        <w:t>-12,75 GHz en Région 1, 11,7-12,2 GHz en Région 2 et 12,2-12,75 GHz en Région 3;</w:t>
      </w:r>
    </w:p>
    <w:p w:rsidR="001B2E1B" w:rsidRDefault="001B2E1B" w:rsidP="00A17011">
      <w:pPr>
        <w:jc w:val="both"/>
        <w:rPr>
          <w:lang w:val="fr-CH"/>
        </w:rPr>
      </w:pPr>
      <w:r w:rsidRPr="000E0653">
        <w:rPr>
          <w:i/>
          <w:iCs/>
          <w:lang w:val="fr-CH"/>
        </w:rPr>
        <w:t>c)</w:t>
      </w:r>
      <w:r w:rsidRPr="00730563">
        <w:rPr>
          <w:lang w:val="fr-CH"/>
        </w:rPr>
        <w:tab/>
      </w:r>
      <w:r>
        <w:rPr>
          <w:lang w:val="fr-CH"/>
        </w:rPr>
        <w:t xml:space="preserve">que l'Annexe 7 de l'Appendice </w:t>
      </w:r>
      <w:r>
        <w:rPr>
          <w:b/>
          <w:bCs/>
          <w:lang w:val="fr-CH"/>
        </w:rPr>
        <w:t>30 (Rév.</w:t>
      </w:r>
      <w:r w:rsidRPr="00AF2A77">
        <w:rPr>
          <w:b/>
          <w:bCs/>
          <w:lang w:val="fr-CH"/>
        </w:rPr>
        <w:t>CMR</w:t>
      </w:r>
      <w:r w:rsidRPr="00AF2A77">
        <w:rPr>
          <w:b/>
          <w:bCs/>
          <w:lang w:val="fr-CH"/>
        </w:rPr>
        <w:noBreakHyphen/>
        <w:t>1</w:t>
      </w:r>
      <w:r>
        <w:rPr>
          <w:b/>
          <w:bCs/>
          <w:lang w:val="fr-CH"/>
        </w:rPr>
        <w:t>5</w:t>
      </w:r>
      <w:r w:rsidRPr="00AF2A77">
        <w:rPr>
          <w:b/>
          <w:bCs/>
          <w:lang w:val="fr-CH"/>
        </w:rPr>
        <w:t>)</w:t>
      </w:r>
      <w:r>
        <w:rPr>
          <w:lang w:val="fr-CH"/>
        </w:rPr>
        <w:t xml:space="preserve"> définit des restrictions, y compris des restrictions applicables aux positions sur l'orbite,</w:t>
      </w:r>
    </w:p>
    <w:p w:rsidR="001B2E1B" w:rsidRPr="00730563" w:rsidRDefault="001B2E1B" w:rsidP="00A17011">
      <w:pPr>
        <w:pStyle w:val="Call"/>
        <w:jc w:val="both"/>
        <w:rPr>
          <w:lang w:val="fr-CH"/>
        </w:rPr>
      </w:pPr>
      <w:r w:rsidRPr="00730563">
        <w:rPr>
          <w:lang w:val="fr-CH"/>
        </w:rPr>
        <w:t>notant</w:t>
      </w:r>
    </w:p>
    <w:p w:rsidR="001B2E1B" w:rsidRDefault="001B2E1B" w:rsidP="00A17011">
      <w:pPr>
        <w:jc w:val="both"/>
        <w:rPr>
          <w:lang w:val="fr-CH"/>
        </w:rPr>
      </w:pPr>
      <w:r w:rsidRPr="000E0653">
        <w:rPr>
          <w:i/>
          <w:iCs/>
          <w:lang w:val="fr-CH"/>
        </w:rPr>
        <w:t>a)</w:t>
      </w:r>
      <w:r w:rsidRPr="00730563">
        <w:rPr>
          <w:lang w:val="fr-CH"/>
        </w:rPr>
        <w:tab/>
      </w:r>
      <w:r>
        <w:rPr>
          <w:lang w:val="fr-CH"/>
        </w:rPr>
        <w:t>que le Secteur des radiocommunications de l'UIT (UIT</w:t>
      </w:r>
      <w:r>
        <w:rPr>
          <w:lang w:val="fr-CH"/>
        </w:rPr>
        <w:noBreakHyphen/>
        <w:t>R) a mené un grand nombre d'études en vue des conférences de planification du SRS et élaboré un certain nombre de Rapports et de Recommandations;</w:t>
      </w:r>
    </w:p>
    <w:p w:rsidR="001B2E1B" w:rsidRDefault="001B2E1B" w:rsidP="00A17011">
      <w:pPr>
        <w:jc w:val="both"/>
        <w:rPr>
          <w:lang w:val="fr-CH"/>
        </w:rPr>
      </w:pPr>
      <w:r w:rsidRPr="000E0653">
        <w:rPr>
          <w:i/>
          <w:iCs/>
          <w:lang w:val="fr-CH"/>
        </w:rPr>
        <w:t>b)</w:t>
      </w:r>
      <w:r w:rsidRPr="00730563">
        <w:rPr>
          <w:lang w:val="fr-CH"/>
        </w:rPr>
        <w:tab/>
      </w:r>
      <w:r>
        <w:rPr>
          <w:lang w:val="fr-CH"/>
        </w:rPr>
        <w:t>que les réseaux du SRS et du SFS de différentes Régions peuvent coexister, fonctionner simultanément et utiliser en partage les ressources de l'orbite dans leurs Régions respectives;</w:t>
      </w:r>
    </w:p>
    <w:p w:rsidR="001B2E1B" w:rsidRDefault="001B2E1B" w:rsidP="00A17011">
      <w:pPr>
        <w:jc w:val="both"/>
        <w:rPr>
          <w:lang w:val="fr-CH"/>
        </w:rPr>
      </w:pPr>
      <w:r>
        <w:rPr>
          <w:i/>
          <w:iCs/>
          <w:lang w:val="fr-CH"/>
        </w:rPr>
        <w:t>c</w:t>
      </w:r>
      <w:r w:rsidRPr="000E0653">
        <w:rPr>
          <w:i/>
          <w:iCs/>
          <w:lang w:val="fr-CH"/>
        </w:rPr>
        <w:t>)</w:t>
      </w:r>
      <w:r w:rsidRPr="00730563">
        <w:rPr>
          <w:lang w:val="fr-CH"/>
        </w:rPr>
        <w:tab/>
      </w:r>
      <w:r>
        <w:t xml:space="preserve">qu'il est nécessaire d'accorder une attention particulière aux réseaux opérationnels mis en </w:t>
      </w:r>
      <w:proofErr w:type="spellStart"/>
      <w:r>
        <w:t>oeuvre</w:t>
      </w:r>
      <w:proofErr w:type="spellEnd"/>
      <w:r>
        <w:t xml:space="preserve"> selon les dispositions actuelles de l'Annexe 7 de l'Appendice </w:t>
      </w:r>
      <w:r w:rsidRPr="00B06132">
        <w:rPr>
          <w:b/>
          <w:bCs/>
        </w:rPr>
        <w:t>30</w:t>
      </w:r>
      <w:r>
        <w:t>;</w:t>
      </w:r>
    </w:p>
    <w:p w:rsidR="001B2E1B" w:rsidRDefault="001B2E1B" w:rsidP="00A17011">
      <w:pPr>
        <w:jc w:val="both"/>
        <w:rPr>
          <w:lang w:val="fr-CH"/>
        </w:rPr>
      </w:pPr>
      <w:r>
        <w:rPr>
          <w:i/>
          <w:iCs/>
          <w:lang w:val="fr-CH"/>
        </w:rPr>
        <w:t>d</w:t>
      </w:r>
      <w:r w:rsidRPr="000E0653">
        <w:rPr>
          <w:i/>
          <w:iCs/>
          <w:lang w:val="fr-CH"/>
        </w:rPr>
        <w:t>)</w:t>
      </w:r>
      <w:r w:rsidRPr="00730563">
        <w:rPr>
          <w:lang w:val="fr-CH"/>
        </w:rPr>
        <w:tab/>
      </w:r>
      <w:r>
        <w:t xml:space="preserve">que le SRS est soumis à des restrictions applicables aux positions sur l'orbite, alors que le SFS, dans les mêmes bandes de fréquences, ne l'est pas, </w:t>
      </w:r>
    </w:p>
    <w:p w:rsidR="001B2E1B" w:rsidRPr="00730563" w:rsidRDefault="001B2E1B" w:rsidP="00A17011">
      <w:pPr>
        <w:pStyle w:val="Call"/>
        <w:jc w:val="both"/>
        <w:rPr>
          <w:lang w:val="fr-CH"/>
        </w:rPr>
      </w:pPr>
      <w:r w:rsidRPr="00730563">
        <w:rPr>
          <w:lang w:val="fr-CH"/>
        </w:rPr>
        <w:t>reconnaissant</w:t>
      </w:r>
    </w:p>
    <w:p w:rsidR="001B2E1B" w:rsidRPr="00730563" w:rsidRDefault="001B2E1B" w:rsidP="00A17011">
      <w:pPr>
        <w:jc w:val="both"/>
        <w:rPr>
          <w:lang w:val="fr-CH"/>
        </w:rPr>
      </w:pPr>
      <w:r>
        <w:rPr>
          <w:i/>
          <w:iCs/>
          <w:lang w:val="fr-CH"/>
        </w:rPr>
        <w:t>a</w:t>
      </w:r>
      <w:r w:rsidRPr="0032652F">
        <w:rPr>
          <w:i/>
          <w:iCs/>
          <w:lang w:val="fr-CH"/>
        </w:rPr>
        <w:t>)</w:t>
      </w:r>
      <w:r w:rsidRPr="00730563">
        <w:rPr>
          <w:lang w:val="fr-CH"/>
        </w:rPr>
        <w:tab/>
        <w:t xml:space="preserve">que la </w:t>
      </w:r>
      <w:r>
        <w:rPr>
          <w:lang w:val="fr-CH"/>
        </w:rPr>
        <w:t>CMR</w:t>
      </w:r>
      <w:r w:rsidRPr="00730563">
        <w:rPr>
          <w:lang w:val="fr-CH"/>
        </w:rPr>
        <w:t>-2000 a élaboré de nouveaux Plans pour les</w:t>
      </w:r>
      <w:r>
        <w:rPr>
          <w:lang w:val="fr-CH"/>
        </w:rPr>
        <w:t xml:space="preserve"> </w:t>
      </w:r>
      <w:r w:rsidRPr="00730563">
        <w:rPr>
          <w:lang w:val="fr-CH"/>
        </w:rPr>
        <w:t>Régions</w:t>
      </w:r>
      <w:r>
        <w:rPr>
          <w:lang w:val="fr-CH"/>
        </w:rPr>
        <w:t xml:space="preserve"> </w:t>
      </w:r>
      <w:r w:rsidRPr="00730563">
        <w:rPr>
          <w:lang w:val="fr-CH"/>
        </w:rPr>
        <w:t>1 et</w:t>
      </w:r>
      <w:r>
        <w:rPr>
          <w:lang w:val="fr-CH"/>
        </w:rPr>
        <w:t xml:space="preserve"> </w:t>
      </w:r>
      <w:r w:rsidRPr="00730563">
        <w:rPr>
          <w:lang w:val="fr-CH"/>
        </w:rPr>
        <w:t>3</w:t>
      </w:r>
      <w:r>
        <w:rPr>
          <w:lang w:val="fr-CH"/>
        </w:rPr>
        <w:t>,</w:t>
      </w:r>
      <w:r w:rsidRPr="00730563">
        <w:rPr>
          <w:lang w:val="fr-CH"/>
        </w:rPr>
        <w:t xml:space="preserve"> dans l</w:t>
      </w:r>
      <w:r>
        <w:rPr>
          <w:lang w:val="fr-CH"/>
        </w:rPr>
        <w:t>'</w:t>
      </w:r>
      <w:r w:rsidRPr="00730563">
        <w:rPr>
          <w:lang w:val="fr-CH"/>
        </w:rPr>
        <w:t>hypothèse d</w:t>
      </w:r>
      <w:r>
        <w:rPr>
          <w:lang w:val="fr-CH"/>
        </w:rPr>
        <w:t>'assignations numériques pour le SRS et les</w:t>
      </w:r>
      <w:r w:rsidRPr="00730563">
        <w:rPr>
          <w:lang w:val="fr-CH"/>
        </w:rPr>
        <w:t xml:space="preserve"> liaisons de connexion</w:t>
      </w:r>
      <w:r>
        <w:rPr>
          <w:lang w:val="fr-CH"/>
        </w:rPr>
        <w:t>;</w:t>
      </w:r>
    </w:p>
    <w:p w:rsidR="001B2E1B" w:rsidRDefault="001B2E1B" w:rsidP="00A17011">
      <w:pPr>
        <w:jc w:val="both"/>
        <w:rPr>
          <w:lang w:val="fr-CH"/>
        </w:rPr>
      </w:pPr>
      <w:r>
        <w:rPr>
          <w:i/>
          <w:iCs/>
          <w:lang w:val="fr-CH"/>
        </w:rPr>
        <w:t>b</w:t>
      </w:r>
      <w:r w:rsidRPr="0032652F">
        <w:rPr>
          <w:i/>
          <w:iCs/>
          <w:lang w:val="fr-CH"/>
        </w:rPr>
        <w:t>)</w:t>
      </w:r>
      <w:r w:rsidRPr="00730563">
        <w:rPr>
          <w:lang w:val="fr-CH"/>
        </w:rPr>
        <w:tab/>
        <w:t xml:space="preserve">que les </w:t>
      </w:r>
      <w:r>
        <w:rPr>
          <w:lang w:val="fr-CH"/>
        </w:rPr>
        <w:t xml:space="preserve">réseaux existants du SFS exploités dans les bandes fréquences mentionnées au point </w:t>
      </w:r>
      <w:r w:rsidRPr="00CE2A40">
        <w:rPr>
          <w:i/>
          <w:iCs/>
          <w:lang w:val="fr-CH"/>
        </w:rPr>
        <w:t>b)</w:t>
      </w:r>
      <w:r>
        <w:rPr>
          <w:lang w:val="fr-CH"/>
        </w:rPr>
        <w:t xml:space="preserve"> du </w:t>
      </w:r>
      <w:r w:rsidRPr="00CE2A40">
        <w:rPr>
          <w:i/>
          <w:iCs/>
          <w:lang w:val="fr-CH"/>
        </w:rPr>
        <w:t>considérant</w:t>
      </w:r>
      <w:r>
        <w:rPr>
          <w:lang w:val="fr-CH"/>
        </w:rPr>
        <w:t xml:space="preserve"> et les réseaux du SRS</w:t>
      </w:r>
      <w:r w:rsidRPr="00730563">
        <w:rPr>
          <w:lang w:val="fr-CH"/>
        </w:rPr>
        <w:t xml:space="preserve"> mis en œuvre conformément aux dispositions actuelles de l</w:t>
      </w:r>
      <w:r>
        <w:rPr>
          <w:lang w:val="fr-CH"/>
        </w:rPr>
        <w:t>'</w:t>
      </w:r>
      <w:r w:rsidRPr="00730563">
        <w:rPr>
          <w:lang w:val="fr-CH"/>
        </w:rPr>
        <w:t xml:space="preserve">Annexe 7 </w:t>
      </w:r>
      <w:r>
        <w:rPr>
          <w:lang w:val="fr-CH"/>
        </w:rPr>
        <w:t xml:space="preserve">de l'Appendice </w:t>
      </w:r>
      <w:r w:rsidRPr="006B3D85">
        <w:rPr>
          <w:b/>
          <w:bCs/>
          <w:lang w:val="fr-CH"/>
        </w:rPr>
        <w:t>30</w:t>
      </w:r>
      <w:r w:rsidRPr="00913DDB">
        <w:rPr>
          <w:lang w:val="fr-CH"/>
        </w:rPr>
        <w:t>,</w:t>
      </w:r>
      <w:r>
        <w:rPr>
          <w:lang w:val="fr-CH"/>
        </w:rPr>
        <w:t xml:space="preserve"> </w:t>
      </w:r>
      <w:r w:rsidRPr="00730563">
        <w:rPr>
          <w:lang w:val="fr-CH"/>
        </w:rPr>
        <w:t>doivent continuer de bénéficier d</w:t>
      </w:r>
      <w:r>
        <w:rPr>
          <w:lang w:val="fr-CH"/>
        </w:rPr>
        <w:t>'</w:t>
      </w:r>
      <w:r w:rsidRPr="00730563">
        <w:rPr>
          <w:lang w:val="fr-CH"/>
        </w:rPr>
        <w:t>une protection</w:t>
      </w:r>
      <w:r>
        <w:rPr>
          <w:lang w:val="fr-CH"/>
        </w:rPr>
        <w:t>;</w:t>
      </w:r>
    </w:p>
    <w:p w:rsidR="001B2E1B" w:rsidRDefault="001B2E1B" w:rsidP="00A17011">
      <w:pPr>
        <w:jc w:val="both"/>
        <w:rPr>
          <w:lang w:val="fr-CH"/>
        </w:rPr>
      </w:pPr>
      <w:r>
        <w:rPr>
          <w:i/>
          <w:iCs/>
          <w:lang w:val="fr-CH"/>
        </w:rPr>
        <w:t>c</w:t>
      </w:r>
      <w:r w:rsidRPr="00F44FA6">
        <w:rPr>
          <w:i/>
          <w:iCs/>
          <w:lang w:val="fr-CH"/>
        </w:rPr>
        <w:t>)</w:t>
      </w:r>
      <w:r>
        <w:rPr>
          <w:lang w:val="fr-CH"/>
        </w:rPr>
        <w:tab/>
        <w:t xml:space="preserve">que les bandes de fréquences 11,7-12,2 GHz en Région 3, 11,7-12,5 GHz en Région 1 et 12,2-12,7 GHz en Région 2 sont largement utilisées par des réseaux du SRS assujettis aux dispositions actuelles de l'Annexe 7 de l'Appendice </w:t>
      </w:r>
      <w:r>
        <w:rPr>
          <w:b/>
          <w:bCs/>
          <w:lang w:val="fr-CH"/>
        </w:rPr>
        <w:t>30 (Rév.</w:t>
      </w:r>
      <w:r w:rsidRPr="00F44FA6">
        <w:rPr>
          <w:b/>
          <w:bCs/>
          <w:lang w:val="fr-CH"/>
        </w:rPr>
        <w:t>CMR</w:t>
      </w:r>
      <w:r w:rsidRPr="00F44FA6">
        <w:rPr>
          <w:b/>
          <w:bCs/>
          <w:lang w:val="fr-CH"/>
        </w:rPr>
        <w:noBreakHyphen/>
        <w:t>1</w:t>
      </w:r>
      <w:r>
        <w:rPr>
          <w:b/>
          <w:bCs/>
          <w:lang w:val="fr-CH"/>
        </w:rPr>
        <w:t>5</w:t>
      </w:r>
      <w:r w:rsidRPr="00F44FA6">
        <w:rPr>
          <w:b/>
          <w:bCs/>
          <w:lang w:val="fr-CH"/>
        </w:rPr>
        <w:t>)</w:t>
      </w:r>
      <w:r>
        <w:rPr>
          <w:lang w:val="fr-CH"/>
        </w:rPr>
        <w:t>;</w:t>
      </w:r>
    </w:p>
    <w:p w:rsidR="001B2E1B" w:rsidRPr="00730563" w:rsidRDefault="001B2E1B" w:rsidP="00A17011">
      <w:pPr>
        <w:jc w:val="both"/>
        <w:rPr>
          <w:lang w:val="fr-CH"/>
        </w:rPr>
      </w:pPr>
      <w:r>
        <w:rPr>
          <w:i/>
          <w:iCs/>
          <w:lang w:val="fr-CH"/>
        </w:rPr>
        <w:t>d</w:t>
      </w:r>
      <w:r w:rsidRPr="00F44FA6">
        <w:rPr>
          <w:i/>
          <w:iCs/>
          <w:lang w:val="fr-CH"/>
        </w:rPr>
        <w:t>)</w:t>
      </w:r>
      <w:r>
        <w:rPr>
          <w:lang w:val="fr-CH"/>
        </w:rPr>
        <w:tab/>
        <w:t>que les bandes de fréquences 12,5-12,75 GHz en Région 1, 11,7-12,2 GHz en Région 2 et 12,2-12,75 GHz en Région 3 sont largement utilisées par des réseaux du SFS,</w:t>
      </w:r>
    </w:p>
    <w:p w:rsidR="001B2E1B" w:rsidRPr="00730563" w:rsidRDefault="001B2E1B" w:rsidP="00A17011">
      <w:pPr>
        <w:pStyle w:val="Call"/>
        <w:jc w:val="both"/>
        <w:rPr>
          <w:lang w:val="fr-CH"/>
        </w:rPr>
      </w:pPr>
      <w:r w:rsidRPr="00730563">
        <w:rPr>
          <w:lang w:val="fr-CH"/>
        </w:rPr>
        <w:t>décide d</w:t>
      </w:r>
      <w:r>
        <w:rPr>
          <w:lang w:val="fr-CH"/>
        </w:rPr>
        <w:t>'</w:t>
      </w:r>
      <w:r w:rsidRPr="00730563">
        <w:rPr>
          <w:lang w:val="fr-CH"/>
        </w:rPr>
        <w:t xml:space="preserve">inviter la </w:t>
      </w:r>
      <w:r>
        <w:rPr>
          <w:lang w:val="fr-CH"/>
        </w:rPr>
        <w:t>Conférence mondiale des radiocommunications de 2019</w:t>
      </w:r>
    </w:p>
    <w:p w:rsidR="001B2E1B" w:rsidRDefault="001B2E1B" w:rsidP="00A17011">
      <w:pPr>
        <w:jc w:val="both"/>
        <w:rPr>
          <w:lang w:val="fr-CH"/>
        </w:rPr>
      </w:pPr>
      <w:r w:rsidRPr="00730563">
        <w:rPr>
          <w:lang w:val="fr-CH"/>
        </w:rPr>
        <w:t xml:space="preserve">à examiner les résultats des études </w:t>
      </w:r>
      <w:r>
        <w:rPr>
          <w:lang w:val="fr-CH"/>
        </w:rPr>
        <w:t>de l'UIT</w:t>
      </w:r>
      <w:r>
        <w:rPr>
          <w:lang w:val="fr-CH"/>
        </w:rPr>
        <w:noBreakHyphen/>
        <w:t xml:space="preserve">R </w:t>
      </w:r>
      <w:r w:rsidRPr="00730563">
        <w:rPr>
          <w:lang w:val="fr-CH"/>
        </w:rPr>
        <w:t xml:space="preserve">et à prendre les mesures </w:t>
      </w:r>
      <w:r>
        <w:rPr>
          <w:lang w:val="fr-CH"/>
        </w:rPr>
        <w:t>nécessaires, selon qu'il convient;</w:t>
      </w:r>
    </w:p>
    <w:p w:rsidR="001B2E1B" w:rsidRPr="00730563" w:rsidRDefault="001B2E1B" w:rsidP="00A17011">
      <w:pPr>
        <w:pStyle w:val="Call"/>
        <w:jc w:val="both"/>
        <w:rPr>
          <w:lang w:val="fr-CH"/>
        </w:rPr>
      </w:pPr>
      <w:r>
        <w:rPr>
          <w:lang w:val="fr-CH"/>
        </w:rPr>
        <w:lastRenderedPageBreak/>
        <w:t>invite</w:t>
      </w:r>
      <w:r w:rsidRPr="00730563">
        <w:rPr>
          <w:lang w:val="fr-CH"/>
        </w:rPr>
        <w:t xml:space="preserve"> </w:t>
      </w:r>
      <w:r>
        <w:rPr>
          <w:lang w:val="fr-CH"/>
        </w:rPr>
        <w:t>l'UIT-R</w:t>
      </w:r>
    </w:p>
    <w:p w:rsidR="001B2E1B" w:rsidRDefault="001B2E1B" w:rsidP="00A17011">
      <w:pPr>
        <w:jc w:val="both"/>
        <w:rPr>
          <w:lang w:val="fr-CH"/>
        </w:rPr>
      </w:pPr>
      <w:r>
        <w:rPr>
          <w:lang w:val="fr-CH"/>
        </w:rPr>
        <w:t>à mener</w:t>
      </w:r>
      <w:r w:rsidRPr="00333B70">
        <w:rPr>
          <w:lang w:val="fr-CH"/>
        </w:rPr>
        <w:t xml:space="preserve"> des études </w:t>
      </w:r>
      <w:r>
        <w:rPr>
          <w:lang w:val="fr-CH"/>
        </w:rPr>
        <w:t>sur les restrictions indiquées dans l'Annexe 7 de l'Appendice </w:t>
      </w:r>
      <w:r w:rsidRPr="00F44FA6">
        <w:rPr>
          <w:b/>
          <w:bCs/>
          <w:lang w:val="fr-CH"/>
        </w:rPr>
        <w:t>30</w:t>
      </w:r>
      <w:r>
        <w:rPr>
          <w:lang w:val="fr-CH"/>
        </w:rPr>
        <w:t xml:space="preserve"> </w:t>
      </w:r>
      <w:r>
        <w:rPr>
          <w:b/>
          <w:bCs/>
          <w:lang w:val="fr-CH"/>
        </w:rPr>
        <w:t>(Rév.</w:t>
      </w:r>
      <w:r w:rsidRPr="00F44FA6">
        <w:rPr>
          <w:b/>
          <w:bCs/>
          <w:lang w:val="fr-CH"/>
        </w:rPr>
        <w:t>CMR</w:t>
      </w:r>
      <w:r w:rsidRPr="00F44FA6">
        <w:rPr>
          <w:b/>
          <w:bCs/>
          <w:lang w:val="fr-CH"/>
        </w:rPr>
        <w:noBreakHyphen/>
        <w:t>1</w:t>
      </w:r>
      <w:r>
        <w:rPr>
          <w:b/>
          <w:bCs/>
          <w:lang w:val="fr-CH"/>
        </w:rPr>
        <w:t>5</w:t>
      </w:r>
      <w:r w:rsidRPr="00F44FA6">
        <w:rPr>
          <w:b/>
          <w:bCs/>
          <w:lang w:val="fr-CH"/>
        </w:rPr>
        <w:t>)</w:t>
      </w:r>
      <w:r>
        <w:rPr>
          <w:lang w:val="fr-CH"/>
        </w:rPr>
        <w:t xml:space="preserve">, à examiner ces restrictions et, si nécessaire, à définir des révisions éventuelles des restrictions en question, tout en assurant la protection des assignations figurant dans le Plan et dans la Liste et le développement futur des réseaux du SRS mentionnés au point </w:t>
      </w:r>
      <w:r>
        <w:rPr>
          <w:i/>
          <w:iCs/>
          <w:lang w:val="fr-CH"/>
        </w:rPr>
        <w:t>c</w:t>
      </w:r>
      <w:r w:rsidRPr="00F44FA6">
        <w:rPr>
          <w:i/>
          <w:iCs/>
          <w:lang w:val="fr-CH"/>
        </w:rPr>
        <w:t>)</w:t>
      </w:r>
      <w:r>
        <w:rPr>
          <w:lang w:val="fr-CH"/>
        </w:rPr>
        <w:t xml:space="preserve"> du </w:t>
      </w:r>
      <w:r w:rsidRPr="00F44FA6">
        <w:rPr>
          <w:i/>
          <w:iCs/>
          <w:lang w:val="fr-CH"/>
        </w:rPr>
        <w:t>reconnaissant</w:t>
      </w:r>
      <w:r>
        <w:rPr>
          <w:lang w:val="fr-CH"/>
        </w:rPr>
        <w:t xml:space="preserve"> ainsi que des réseaux, existants ou en projet, du SFS mentionnés au point </w:t>
      </w:r>
      <w:r>
        <w:rPr>
          <w:i/>
          <w:iCs/>
          <w:lang w:val="fr-CH"/>
        </w:rPr>
        <w:t>d</w:t>
      </w:r>
      <w:r w:rsidRPr="00F44FA6">
        <w:rPr>
          <w:i/>
          <w:iCs/>
          <w:lang w:val="fr-CH"/>
        </w:rPr>
        <w:t>)</w:t>
      </w:r>
      <w:r>
        <w:rPr>
          <w:lang w:val="fr-CH"/>
        </w:rPr>
        <w:t xml:space="preserve"> du </w:t>
      </w:r>
      <w:r w:rsidRPr="00F44FA6">
        <w:rPr>
          <w:i/>
          <w:iCs/>
          <w:lang w:val="fr-CH"/>
        </w:rPr>
        <w:t>reconnaissant</w:t>
      </w:r>
      <w:r>
        <w:rPr>
          <w:lang w:val="fr-CH"/>
        </w:rPr>
        <w:t>, et sans leur imposer de contraintes additionnelles.</w:t>
      </w:r>
    </w:p>
    <w:p w:rsidR="00A5201E" w:rsidRPr="001331D5" w:rsidRDefault="00A5201E" w:rsidP="00A17011">
      <w:pPr>
        <w:jc w:val="both"/>
        <w:rPr>
          <w:rFonts w:asciiTheme="majorBidi" w:hAnsiTheme="majorBidi" w:cstheme="majorBidi"/>
          <w:szCs w:val="24"/>
        </w:rPr>
      </w:pPr>
    </w:p>
    <w:p w:rsidR="00601178" w:rsidRPr="001331D5" w:rsidRDefault="00601178" w:rsidP="00A17011">
      <w:pPr>
        <w:overflowPunct/>
        <w:autoSpaceDE/>
        <w:autoSpaceDN/>
        <w:adjustRightInd/>
        <w:spacing w:before="0"/>
        <w:textAlignment w:val="auto"/>
        <w:rPr>
          <w:rFonts w:asciiTheme="majorBidi" w:hAnsiTheme="majorBidi" w:cstheme="majorBidi"/>
          <w:szCs w:val="24"/>
        </w:rPr>
      </w:pPr>
      <w:r w:rsidRPr="001331D5">
        <w:rPr>
          <w:rFonts w:asciiTheme="majorBidi" w:hAnsiTheme="majorBidi" w:cstheme="majorBidi"/>
          <w:szCs w:val="24"/>
        </w:rPr>
        <w:br w:type="page"/>
      </w:r>
    </w:p>
    <w:p w:rsidR="00FB15F8" w:rsidRPr="00FB15F8" w:rsidRDefault="00FB15F8" w:rsidP="00A17011">
      <w:pPr>
        <w:pStyle w:val="ResNo"/>
      </w:pPr>
      <w:bookmarkStart w:id="224" w:name="RES_656"/>
      <w:bookmarkStart w:id="225" w:name="_Toc444507612"/>
      <w:bookmarkStart w:id="226" w:name="_Toc460331726"/>
      <w:bookmarkStart w:id="227" w:name="_Toc463616183"/>
      <w:bookmarkStart w:id="228" w:name="_Toc444507614"/>
      <w:r w:rsidRPr="00FB15F8">
        <w:lastRenderedPageBreak/>
        <w:t>R</w:t>
      </w:r>
      <w:r w:rsidR="001D5201" w:rsidRPr="001D5201">
        <w:t>É</w:t>
      </w:r>
      <w:r w:rsidRPr="00FB15F8">
        <w:t xml:space="preserve">SOLUTION </w:t>
      </w:r>
      <w:r w:rsidRPr="00FB15F8">
        <w:rPr>
          <w:rStyle w:val="href"/>
        </w:rPr>
        <w:t>656</w:t>
      </w:r>
      <w:r w:rsidRPr="00FB15F8">
        <w:t xml:space="preserve"> </w:t>
      </w:r>
      <w:bookmarkEnd w:id="224"/>
      <w:r w:rsidRPr="00FB15F8">
        <w:t>(</w:t>
      </w:r>
      <w:r w:rsidR="005A2541" w:rsidRPr="00A20F5A">
        <w:t>C</w:t>
      </w:r>
      <w:r w:rsidR="005A2541">
        <w:t>MR</w:t>
      </w:r>
      <w:r w:rsidRPr="00FB15F8">
        <w:noBreakHyphen/>
        <w:t>15)</w:t>
      </w:r>
      <w:bookmarkEnd w:id="225"/>
      <w:bookmarkEnd w:id="226"/>
      <w:bookmarkEnd w:id="227"/>
    </w:p>
    <w:p w:rsidR="00FC64A0" w:rsidRPr="003973B3" w:rsidRDefault="00FC64A0" w:rsidP="005131A3">
      <w:pPr>
        <w:pStyle w:val="Restitle"/>
        <w:rPr>
          <w:lang w:val="fr-CH"/>
        </w:rPr>
      </w:pPr>
      <w:bookmarkStart w:id="229" w:name="_Toc450208767"/>
      <w:bookmarkStart w:id="230" w:name="_Toc463616184"/>
      <w:r>
        <w:rPr>
          <w:lang w:val="fr-CH"/>
        </w:rPr>
        <w:t xml:space="preserve">Attribution éventuelle au service d'exploration de la Terre par satellite (active) pour les sondeurs radar </w:t>
      </w:r>
      <w:proofErr w:type="spellStart"/>
      <w:r>
        <w:rPr>
          <w:lang w:val="fr-CH"/>
        </w:rPr>
        <w:t>spatioportés</w:t>
      </w:r>
      <w:proofErr w:type="spellEnd"/>
      <w:r>
        <w:rPr>
          <w:lang w:val="fr-CH"/>
        </w:rPr>
        <w:t xml:space="preserve"> dans la gamme </w:t>
      </w:r>
      <w:r w:rsidR="005131A3">
        <w:rPr>
          <w:lang w:val="fr-CH"/>
        </w:rPr>
        <w:br/>
      </w:r>
      <w:r>
        <w:rPr>
          <w:lang w:val="fr-CH"/>
        </w:rPr>
        <w:t>de fréquences au voisinage de 45 MHz</w:t>
      </w:r>
      <w:bookmarkEnd w:id="229"/>
      <w:bookmarkEnd w:id="230"/>
    </w:p>
    <w:p w:rsidR="00FC64A0" w:rsidRPr="003973B3" w:rsidRDefault="00FC64A0" w:rsidP="00A17011">
      <w:pPr>
        <w:pStyle w:val="Normalaftertitle"/>
        <w:rPr>
          <w:lang w:val="fr-CH"/>
        </w:rPr>
      </w:pPr>
      <w:r w:rsidRPr="003973B3">
        <w:rPr>
          <w:lang w:val="fr-CH"/>
        </w:rPr>
        <w:t>La Conférence mondiale des radiocommunications (Genève, 2015),</w:t>
      </w:r>
    </w:p>
    <w:p w:rsidR="00FC64A0" w:rsidRPr="003973B3" w:rsidRDefault="00FC64A0" w:rsidP="00A17011">
      <w:pPr>
        <w:pStyle w:val="Call"/>
        <w:rPr>
          <w:lang w:val="fr-CH"/>
        </w:rPr>
      </w:pPr>
      <w:r w:rsidRPr="003973B3">
        <w:rPr>
          <w:lang w:val="fr-CH"/>
        </w:rPr>
        <w:t>considérant</w:t>
      </w:r>
    </w:p>
    <w:p w:rsidR="00FC64A0" w:rsidRPr="003973B3" w:rsidRDefault="00FC64A0" w:rsidP="00A17011">
      <w:pPr>
        <w:jc w:val="both"/>
        <w:rPr>
          <w:lang w:val="fr-CH"/>
        </w:rPr>
      </w:pPr>
      <w:r w:rsidRPr="003973B3">
        <w:rPr>
          <w:i/>
          <w:lang w:val="fr-CH"/>
        </w:rPr>
        <w:t>a)</w:t>
      </w:r>
      <w:r w:rsidRPr="003973B3">
        <w:rPr>
          <w:i/>
          <w:lang w:val="fr-CH"/>
        </w:rPr>
        <w:tab/>
      </w:r>
      <w:r w:rsidRPr="003973B3">
        <w:rPr>
          <w:lang w:val="fr-CH"/>
        </w:rPr>
        <w:t>que la</w:t>
      </w:r>
      <w:r>
        <w:rPr>
          <w:lang w:val="fr-CH"/>
        </w:rPr>
        <w:t xml:space="preserve"> gamme de fréquences </w:t>
      </w:r>
      <w:r w:rsidRPr="003973B3">
        <w:rPr>
          <w:lang w:val="fr-CH"/>
        </w:rPr>
        <w:t>40-50 MHz est attribuée au</w:t>
      </w:r>
      <w:r>
        <w:rPr>
          <w:lang w:val="fr-CH"/>
        </w:rPr>
        <w:t>x</w:t>
      </w:r>
      <w:r w:rsidRPr="003973B3">
        <w:rPr>
          <w:lang w:val="fr-CH"/>
        </w:rPr>
        <w:t xml:space="preserve"> service fixe, mobile et de radiodiffusion à titre primaire;</w:t>
      </w:r>
    </w:p>
    <w:p w:rsidR="00FC64A0" w:rsidRPr="003973B3" w:rsidRDefault="00FC64A0" w:rsidP="00A17011">
      <w:pPr>
        <w:jc w:val="both"/>
        <w:rPr>
          <w:lang w:val="fr-CH"/>
        </w:rPr>
      </w:pPr>
      <w:r w:rsidRPr="003973B3">
        <w:rPr>
          <w:i/>
          <w:iCs/>
          <w:lang w:val="fr-CH"/>
        </w:rPr>
        <w:t>b)</w:t>
      </w:r>
      <w:r w:rsidRPr="003973B3">
        <w:rPr>
          <w:lang w:val="fr-CH"/>
        </w:rPr>
        <w:tab/>
        <w:t xml:space="preserve">que le service de recherche spatiale utilise </w:t>
      </w:r>
      <w:r>
        <w:rPr>
          <w:lang w:val="fr-CH"/>
        </w:rPr>
        <w:t xml:space="preserve">la gamme de fréquences comprise entre 40,98 et </w:t>
      </w:r>
      <w:r w:rsidRPr="003973B3">
        <w:rPr>
          <w:lang w:val="fr-CH"/>
        </w:rPr>
        <w:t>41,015</w:t>
      </w:r>
      <w:r>
        <w:rPr>
          <w:lang w:val="fr-CH"/>
        </w:rPr>
        <w:t> </w:t>
      </w:r>
      <w:r w:rsidRPr="003973B3">
        <w:rPr>
          <w:lang w:val="fr-CH"/>
        </w:rPr>
        <w:t>MHz dans le cadre d'une attribution à titre secondaire;</w:t>
      </w:r>
    </w:p>
    <w:p w:rsidR="00FC64A0" w:rsidRPr="003973B3" w:rsidRDefault="00FC64A0" w:rsidP="00A17011">
      <w:pPr>
        <w:jc w:val="both"/>
        <w:rPr>
          <w:lang w:val="fr-CH"/>
        </w:rPr>
      </w:pPr>
      <w:r w:rsidRPr="003973B3">
        <w:rPr>
          <w:i/>
          <w:iCs/>
          <w:lang w:val="fr-CH"/>
        </w:rPr>
        <w:t>c)</w:t>
      </w:r>
      <w:r w:rsidRPr="003973B3">
        <w:rPr>
          <w:lang w:val="fr-CH"/>
        </w:rPr>
        <w:tab/>
      </w:r>
      <w:r>
        <w:rPr>
          <w:lang w:val="fr-CH"/>
        </w:rPr>
        <w:t xml:space="preserve">que des </w:t>
      </w:r>
      <w:r w:rsidRPr="003973B3">
        <w:rPr>
          <w:lang w:val="fr-CH"/>
        </w:rPr>
        <w:t xml:space="preserve">renvois relatifs à des pays </w:t>
      </w:r>
      <w:r>
        <w:rPr>
          <w:lang w:val="fr-CH"/>
        </w:rPr>
        <w:t xml:space="preserve">du </w:t>
      </w:r>
      <w:r w:rsidRPr="003973B3">
        <w:rPr>
          <w:lang w:val="fr-CH"/>
        </w:rPr>
        <w:t>Tableau d</w:t>
      </w:r>
      <w:r>
        <w:rPr>
          <w:lang w:val="fr-CH"/>
        </w:rPr>
        <w:t>'</w:t>
      </w:r>
      <w:r w:rsidRPr="003973B3">
        <w:rPr>
          <w:lang w:val="fr-CH"/>
        </w:rPr>
        <w:t>attribution des bandes de fréquences</w:t>
      </w:r>
      <w:r>
        <w:rPr>
          <w:lang w:val="fr-CH"/>
        </w:rPr>
        <w:t xml:space="preserve"> pour la gamme de fréquences 40-50 MHz</w:t>
      </w:r>
      <w:r w:rsidRPr="003973B3">
        <w:rPr>
          <w:lang w:val="fr-CH"/>
        </w:rPr>
        <w:t xml:space="preserve"> prévoient des attributions à titre primaire au</w:t>
      </w:r>
      <w:r>
        <w:rPr>
          <w:lang w:val="fr-CH"/>
        </w:rPr>
        <w:t>x</w:t>
      </w:r>
      <w:r w:rsidRPr="003973B3">
        <w:rPr>
          <w:lang w:val="fr-CH"/>
        </w:rPr>
        <w:t xml:space="preserve"> service</w:t>
      </w:r>
      <w:r>
        <w:rPr>
          <w:lang w:val="fr-CH"/>
        </w:rPr>
        <w:t>s</w:t>
      </w:r>
      <w:r w:rsidRPr="003973B3">
        <w:rPr>
          <w:lang w:val="fr-CH"/>
        </w:rPr>
        <w:t xml:space="preserve"> de </w:t>
      </w:r>
      <w:r>
        <w:rPr>
          <w:lang w:val="fr-CH"/>
        </w:rPr>
        <w:t>radio</w:t>
      </w:r>
      <w:r w:rsidRPr="003973B3">
        <w:rPr>
          <w:lang w:val="fr-CH"/>
        </w:rPr>
        <w:t xml:space="preserve">navigation aéronautique et de radiolocalisation dans certaines </w:t>
      </w:r>
      <w:r>
        <w:rPr>
          <w:lang w:val="fr-CH"/>
        </w:rPr>
        <w:t xml:space="preserve">régions </w:t>
      </w:r>
      <w:r w:rsidRPr="003973B3">
        <w:rPr>
          <w:lang w:val="fr-CH"/>
        </w:rPr>
        <w:t>du monde;</w:t>
      </w:r>
    </w:p>
    <w:p w:rsidR="00FC64A0" w:rsidRPr="003973B3" w:rsidRDefault="00FC64A0" w:rsidP="00A17011">
      <w:pPr>
        <w:jc w:val="both"/>
        <w:rPr>
          <w:lang w:val="fr-CH"/>
        </w:rPr>
      </w:pPr>
      <w:r w:rsidRPr="003973B3">
        <w:rPr>
          <w:i/>
          <w:iCs/>
          <w:lang w:val="fr-CH"/>
        </w:rPr>
        <w:t>d)</w:t>
      </w:r>
      <w:r w:rsidRPr="003973B3">
        <w:rPr>
          <w:lang w:val="fr-CH"/>
        </w:rPr>
        <w:tab/>
      </w:r>
      <w:r>
        <w:rPr>
          <w:lang w:val="fr-CH"/>
        </w:rPr>
        <w:t xml:space="preserve">que les radars </w:t>
      </w:r>
      <w:proofErr w:type="spellStart"/>
      <w:r>
        <w:rPr>
          <w:lang w:val="fr-CH"/>
        </w:rPr>
        <w:t>spatioportés</w:t>
      </w:r>
      <w:proofErr w:type="spellEnd"/>
      <w:r>
        <w:rPr>
          <w:lang w:val="fr-CH"/>
        </w:rPr>
        <w:t xml:space="preserve"> sont destinés à être exploités uniquement dans des régions inhabitées ou peu peuplées, en particulier les déserts et les champs de glace polaires, et uniquement la nuit, de 3 heures à 6 heures (heure locale)</w:t>
      </w:r>
      <w:r w:rsidRPr="003973B3">
        <w:rPr>
          <w:lang w:val="fr-CH"/>
        </w:rPr>
        <w:t>;</w:t>
      </w:r>
    </w:p>
    <w:p w:rsidR="00FC64A0" w:rsidRPr="003973B3" w:rsidRDefault="00FC64A0" w:rsidP="00A17011">
      <w:pPr>
        <w:jc w:val="both"/>
        <w:rPr>
          <w:lang w:val="fr-CH" w:eastAsia="ar-SA"/>
        </w:rPr>
      </w:pPr>
      <w:r w:rsidRPr="003973B3">
        <w:rPr>
          <w:i/>
          <w:iCs/>
          <w:lang w:val="fr-CH"/>
        </w:rPr>
        <w:t>e)</w:t>
      </w:r>
      <w:r w:rsidRPr="003973B3">
        <w:rPr>
          <w:lang w:val="fr-CH"/>
        </w:rPr>
        <w:tab/>
        <w:t>que la</w:t>
      </w:r>
      <w:r>
        <w:rPr>
          <w:lang w:val="fr-CH" w:eastAsia="ar-SA"/>
        </w:rPr>
        <w:t xml:space="preserve"> Recommandation UIT</w:t>
      </w:r>
      <w:r w:rsidRPr="003973B3">
        <w:rPr>
          <w:lang w:val="fr-CH" w:eastAsia="ar-SA"/>
        </w:rPr>
        <w:t xml:space="preserve">-R RS.2042-0 donne les caractéristiques techniques et opérationnelles types des systèmes de sondage radar </w:t>
      </w:r>
      <w:proofErr w:type="spellStart"/>
      <w:r w:rsidRPr="003973B3">
        <w:rPr>
          <w:lang w:val="fr-CH" w:eastAsia="ar-SA"/>
        </w:rPr>
        <w:t>spatioportés</w:t>
      </w:r>
      <w:proofErr w:type="spellEnd"/>
      <w:r w:rsidRPr="003973B3">
        <w:rPr>
          <w:lang w:val="fr-CH" w:eastAsia="ar-SA"/>
        </w:rPr>
        <w:t xml:space="preserve"> </w:t>
      </w:r>
      <w:r>
        <w:rPr>
          <w:lang w:val="fr-CH" w:eastAsia="ar-SA"/>
        </w:rPr>
        <w:t>fonctionnant dans</w:t>
      </w:r>
      <w:r w:rsidRPr="003973B3">
        <w:rPr>
          <w:lang w:val="fr-CH" w:eastAsia="ar-SA"/>
        </w:rPr>
        <w:t xml:space="preserve"> la </w:t>
      </w:r>
      <w:r>
        <w:rPr>
          <w:lang w:val="fr-CH" w:eastAsia="ar-SA"/>
        </w:rPr>
        <w:t>gamme de fréquences</w:t>
      </w:r>
      <w:r w:rsidRPr="003973B3">
        <w:rPr>
          <w:lang w:val="fr-CH" w:eastAsia="ar-SA"/>
        </w:rPr>
        <w:t xml:space="preserve"> 40-50</w:t>
      </w:r>
      <w:r>
        <w:rPr>
          <w:lang w:val="fr-CH" w:eastAsia="ar-SA"/>
        </w:rPr>
        <w:t> </w:t>
      </w:r>
      <w:r w:rsidRPr="003973B3">
        <w:rPr>
          <w:lang w:val="fr-CH" w:eastAsia="ar-SA"/>
        </w:rPr>
        <w:t xml:space="preserve">MHz </w:t>
      </w:r>
      <w:r>
        <w:rPr>
          <w:lang w:val="fr-CH" w:eastAsia="ar-SA"/>
        </w:rPr>
        <w:t>qu'il convient d'</w:t>
      </w:r>
      <w:r w:rsidRPr="003973B3">
        <w:rPr>
          <w:lang w:val="fr-CH" w:eastAsia="ar-SA"/>
        </w:rPr>
        <w:t>utiliser pour les études</w:t>
      </w:r>
      <w:r>
        <w:rPr>
          <w:lang w:val="fr-CH" w:eastAsia="ar-SA"/>
        </w:rPr>
        <w:t xml:space="preserve"> relatives au brouillage et à la </w:t>
      </w:r>
      <w:r w:rsidRPr="003973B3">
        <w:rPr>
          <w:lang w:val="fr-CH" w:eastAsia="ar-SA"/>
        </w:rPr>
        <w:t>compatibilité,</w:t>
      </w:r>
    </w:p>
    <w:p w:rsidR="00FC64A0" w:rsidRPr="003973B3" w:rsidRDefault="00FC64A0" w:rsidP="00A17011">
      <w:pPr>
        <w:pStyle w:val="Call"/>
        <w:jc w:val="both"/>
        <w:rPr>
          <w:lang w:val="fr-CH"/>
        </w:rPr>
      </w:pPr>
      <w:r w:rsidRPr="003973B3">
        <w:rPr>
          <w:lang w:val="fr-CH"/>
        </w:rPr>
        <w:t>reconnaissant</w:t>
      </w:r>
    </w:p>
    <w:p w:rsidR="00FC64A0" w:rsidRPr="003973B3" w:rsidRDefault="00FC64A0" w:rsidP="00A17011">
      <w:pPr>
        <w:jc w:val="both"/>
        <w:rPr>
          <w:lang w:val="fr-CH"/>
        </w:rPr>
      </w:pPr>
      <w:r w:rsidRPr="003973B3">
        <w:rPr>
          <w:i/>
          <w:iCs/>
          <w:lang w:val="fr-CH"/>
        </w:rPr>
        <w:t>a)</w:t>
      </w:r>
      <w:r w:rsidRPr="003973B3">
        <w:rPr>
          <w:i/>
          <w:iCs/>
          <w:lang w:val="fr-CH"/>
        </w:rPr>
        <w:tab/>
      </w:r>
      <w:r w:rsidRPr="003973B3">
        <w:rPr>
          <w:lang w:val="fr-CH"/>
        </w:rPr>
        <w:t xml:space="preserve">que les </w:t>
      </w:r>
      <w:r>
        <w:rPr>
          <w:lang w:val="fr-CH"/>
        </w:rPr>
        <w:t xml:space="preserve">détecteurs radioélectriques actifs </w:t>
      </w:r>
      <w:proofErr w:type="spellStart"/>
      <w:r>
        <w:rPr>
          <w:lang w:val="fr-CH"/>
        </w:rPr>
        <w:t>spatioportés</w:t>
      </w:r>
      <w:proofErr w:type="spellEnd"/>
      <w:r w:rsidRPr="003973B3">
        <w:rPr>
          <w:lang w:val="fr-CH"/>
        </w:rPr>
        <w:t xml:space="preserve"> </w:t>
      </w:r>
      <w:r>
        <w:rPr>
          <w:lang w:val="fr-CH"/>
        </w:rPr>
        <w:t xml:space="preserve">peuvent </w:t>
      </w:r>
      <w:r w:rsidRPr="003973B3">
        <w:rPr>
          <w:lang w:val="fr-CH"/>
        </w:rPr>
        <w:t xml:space="preserve">fournir </w:t>
      </w:r>
      <w:r>
        <w:rPr>
          <w:lang w:val="fr-CH"/>
        </w:rPr>
        <w:t xml:space="preserve">des </w:t>
      </w:r>
      <w:r w:rsidRPr="003973B3">
        <w:rPr>
          <w:lang w:val="fr-CH"/>
        </w:rPr>
        <w:t xml:space="preserve">renseignements </w:t>
      </w:r>
      <w:r>
        <w:rPr>
          <w:lang w:val="fr-CH"/>
        </w:rPr>
        <w:t xml:space="preserve">spécifiques </w:t>
      </w:r>
      <w:r w:rsidRPr="003973B3">
        <w:rPr>
          <w:lang w:val="fr-CH"/>
        </w:rPr>
        <w:t>sur les propriétés physiques de la Terre et d'autres planètes;</w:t>
      </w:r>
    </w:p>
    <w:p w:rsidR="00FC64A0" w:rsidRPr="003973B3" w:rsidRDefault="00FC64A0" w:rsidP="00A17011">
      <w:pPr>
        <w:jc w:val="both"/>
        <w:rPr>
          <w:lang w:val="fr-CH"/>
        </w:rPr>
      </w:pPr>
      <w:r w:rsidRPr="003973B3">
        <w:rPr>
          <w:i/>
          <w:iCs/>
          <w:lang w:val="fr-CH"/>
        </w:rPr>
        <w:t>b)</w:t>
      </w:r>
      <w:r w:rsidRPr="003973B3">
        <w:rPr>
          <w:lang w:val="fr-CH"/>
        </w:rPr>
        <w:tab/>
        <w:t>que la télédétection acti</w:t>
      </w:r>
      <w:r>
        <w:rPr>
          <w:lang w:val="fr-CH"/>
        </w:rPr>
        <w:t>ve</w:t>
      </w:r>
      <w:r w:rsidRPr="003973B3">
        <w:rPr>
          <w:lang w:val="fr-CH"/>
        </w:rPr>
        <w:t xml:space="preserve"> </w:t>
      </w:r>
      <w:proofErr w:type="spellStart"/>
      <w:r>
        <w:rPr>
          <w:lang w:val="fr-CH"/>
        </w:rPr>
        <w:t>spatioportée</w:t>
      </w:r>
      <w:proofErr w:type="spellEnd"/>
      <w:r w:rsidRPr="003973B3">
        <w:rPr>
          <w:lang w:val="fr-CH"/>
        </w:rPr>
        <w:t xml:space="preserve"> nécessite des gammes de fréquences spécifiques, selon les phénomènes physiques à observer;</w:t>
      </w:r>
    </w:p>
    <w:p w:rsidR="00FC64A0" w:rsidRPr="003973B3" w:rsidRDefault="00FC64A0" w:rsidP="00A17011">
      <w:pPr>
        <w:jc w:val="both"/>
        <w:rPr>
          <w:lang w:val="fr-CH"/>
        </w:rPr>
      </w:pPr>
      <w:r w:rsidRPr="003973B3">
        <w:rPr>
          <w:i/>
          <w:iCs/>
          <w:lang w:val="fr-CH"/>
        </w:rPr>
        <w:t>c)</w:t>
      </w:r>
      <w:r w:rsidRPr="003973B3">
        <w:rPr>
          <w:lang w:val="fr-CH"/>
        </w:rPr>
        <w:tab/>
      </w:r>
      <w:r>
        <w:rPr>
          <w:lang w:val="fr-CH"/>
        </w:rPr>
        <w:t xml:space="preserve">que </w:t>
      </w:r>
      <w:r w:rsidRPr="003973B3">
        <w:rPr>
          <w:lang w:val="fr-CH"/>
        </w:rPr>
        <w:t>l</w:t>
      </w:r>
      <w:r>
        <w:rPr>
          <w:lang w:val="fr-CH"/>
        </w:rPr>
        <w:t>'</w:t>
      </w:r>
      <w:r w:rsidRPr="003973B3">
        <w:rPr>
          <w:lang w:val="fr-CH"/>
        </w:rPr>
        <w:t xml:space="preserve">utilisation de détecteurs actifs </w:t>
      </w:r>
      <w:proofErr w:type="spellStart"/>
      <w:r w:rsidRPr="003973B3">
        <w:rPr>
          <w:lang w:val="fr-CH" w:eastAsia="ar-SA"/>
        </w:rPr>
        <w:t>spatioportés</w:t>
      </w:r>
      <w:proofErr w:type="spellEnd"/>
      <w:r w:rsidRPr="003973B3">
        <w:rPr>
          <w:lang w:val="fr-CH" w:eastAsia="ar-SA"/>
        </w:rPr>
        <w:t xml:space="preserve"> </w:t>
      </w:r>
      <w:r>
        <w:rPr>
          <w:lang w:val="fr-CH"/>
        </w:rPr>
        <w:t>au voisinage</w:t>
      </w:r>
      <w:r w:rsidRPr="003973B3">
        <w:rPr>
          <w:lang w:val="fr-CH"/>
        </w:rPr>
        <w:t xml:space="preserve"> de </w:t>
      </w:r>
      <w:r>
        <w:rPr>
          <w:lang w:val="fr-CH"/>
        </w:rPr>
        <w:t xml:space="preserve">la gamme de fréquences 40-50 MHz pour les </w:t>
      </w:r>
      <w:r w:rsidRPr="003973B3">
        <w:rPr>
          <w:lang w:val="fr-CH"/>
        </w:rPr>
        <w:t xml:space="preserve">mesures </w:t>
      </w:r>
      <w:r>
        <w:rPr>
          <w:lang w:val="fr-CH"/>
        </w:rPr>
        <w:t xml:space="preserve">de la </w:t>
      </w:r>
      <w:proofErr w:type="spellStart"/>
      <w:r>
        <w:rPr>
          <w:lang w:val="fr-CH"/>
        </w:rPr>
        <w:t>sub</w:t>
      </w:r>
      <w:r w:rsidRPr="003973B3">
        <w:rPr>
          <w:lang w:val="fr-CH"/>
        </w:rPr>
        <w:t>surface</w:t>
      </w:r>
      <w:proofErr w:type="spellEnd"/>
      <w:r w:rsidRPr="003973B3">
        <w:rPr>
          <w:lang w:val="fr-CH"/>
        </w:rPr>
        <w:t xml:space="preserve"> </w:t>
      </w:r>
      <w:r>
        <w:rPr>
          <w:lang w:val="fr-CH"/>
        </w:rPr>
        <w:t xml:space="preserve">terrestre </w:t>
      </w:r>
      <w:r w:rsidRPr="003973B3">
        <w:rPr>
          <w:lang w:val="fr-CH"/>
        </w:rPr>
        <w:t xml:space="preserve">pour établir des cartes radar des couches diffusantes de la </w:t>
      </w:r>
      <w:proofErr w:type="spellStart"/>
      <w:r w:rsidRPr="003973B3">
        <w:rPr>
          <w:lang w:val="fr-CH"/>
        </w:rPr>
        <w:t>subsurface</w:t>
      </w:r>
      <w:proofErr w:type="spellEnd"/>
      <w:r>
        <w:rPr>
          <w:lang w:val="fr-CH"/>
        </w:rPr>
        <w:t xml:space="preserve">, en vue </w:t>
      </w:r>
      <w:r w:rsidRPr="003973B3">
        <w:rPr>
          <w:lang w:val="fr-CH"/>
        </w:rPr>
        <w:t>de localiser de l'eau/de la glace/des gisements</w:t>
      </w:r>
      <w:r>
        <w:rPr>
          <w:lang w:val="fr-CH"/>
        </w:rPr>
        <w:t xml:space="preserve"> suscite de l'intérêt</w:t>
      </w:r>
      <w:r w:rsidRPr="003973B3">
        <w:rPr>
          <w:lang w:val="fr-CH"/>
        </w:rPr>
        <w:t>;</w:t>
      </w:r>
    </w:p>
    <w:p w:rsidR="00FC64A0" w:rsidRPr="003973B3" w:rsidRDefault="00FC64A0" w:rsidP="00A17011">
      <w:pPr>
        <w:jc w:val="both"/>
        <w:rPr>
          <w:lang w:val="fr-CH"/>
        </w:rPr>
      </w:pPr>
      <w:r w:rsidRPr="003973B3">
        <w:rPr>
          <w:i/>
          <w:lang w:val="fr-CH"/>
        </w:rPr>
        <w:t>d)</w:t>
      </w:r>
      <w:r w:rsidRPr="003973B3">
        <w:rPr>
          <w:lang w:val="fr-CH"/>
        </w:rPr>
        <w:tab/>
      </w:r>
      <w:r w:rsidRPr="003B3AB0">
        <w:rPr>
          <w:lang w:val="fr-CH"/>
        </w:rPr>
        <w:t xml:space="preserve">que, </w:t>
      </w:r>
      <w:r>
        <w:rPr>
          <w:lang w:val="fr-CH"/>
        </w:rPr>
        <w:t xml:space="preserve">partout </w:t>
      </w:r>
      <w:r w:rsidRPr="003B3AB0">
        <w:rPr>
          <w:lang w:val="fr-CH"/>
        </w:rPr>
        <w:t>dans le monde, les mesures</w:t>
      </w:r>
      <w:r>
        <w:rPr>
          <w:lang w:val="fr-CH"/>
        </w:rPr>
        <w:t xml:space="preserve"> régulières </w:t>
      </w:r>
      <w:r w:rsidRPr="003B3AB0">
        <w:rPr>
          <w:lang w:val="fr-CH"/>
        </w:rPr>
        <w:t>des nappes d'eau souterraines</w:t>
      </w:r>
      <w:r>
        <w:rPr>
          <w:lang w:val="fr-CH"/>
        </w:rPr>
        <w:t xml:space="preserve"> </w:t>
      </w:r>
      <w:r w:rsidRPr="003B3AB0">
        <w:rPr>
          <w:lang w:val="fr-CH"/>
        </w:rPr>
        <w:t xml:space="preserve">nécessitent l'utilisation de détecteurs actifs </w:t>
      </w:r>
      <w:proofErr w:type="spellStart"/>
      <w:r w:rsidRPr="003B3AB0">
        <w:rPr>
          <w:lang w:val="fr-CH"/>
        </w:rPr>
        <w:t>spatioportés</w:t>
      </w:r>
      <w:proofErr w:type="spellEnd"/>
      <w:r w:rsidRPr="003973B3">
        <w:rPr>
          <w:lang w:val="fr-CH"/>
        </w:rPr>
        <w:t>;</w:t>
      </w:r>
    </w:p>
    <w:p w:rsidR="00FC64A0" w:rsidRPr="003973B3" w:rsidRDefault="00FC64A0" w:rsidP="00A17011">
      <w:pPr>
        <w:jc w:val="both"/>
        <w:rPr>
          <w:lang w:val="fr-CH"/>
        </w:rPr>
      </w:pPr>
      <w:r w:rsidRPr="003973B3">
        <w:rPr>
          <w:i/>
          <w:lang w:val="fr-CH"/>
        </w:rPr>
        <w:t>e)</w:t>
      </w:r>
      <w:r w:rsidRPr="003973B3">
        <w:rPr>
          <w:i/>
          <w:lang w:val="fr-CH"/>
        </w:rPr>
        <w:tab/>
      </w:r>
      <w:r w:rsidRPr="003973B3">
        <w:rPr>
          <w:lang w:val="fr-CH"/>
        </w:rPr>
        <w:t xml:space="preserve">qu'il est préférable d'utiliser la gamme de fréquences 40-50 MHz pour satisfaire toutes les exigences des sondeurs radar </w:t>
      </w:r>
      <w:proofErr w:type="spellStart"/>
      <w:r w:rsidRPr="003973B3">
        <w:rPr>
          <w:lang w:val="fr-CH"/>
        </w:rPr>
        <w:t>spatioportés</w:t>
      </w:r>
      <w:proofErr w:type="spellEnd"/>
      <w:r w:rsidRPr="003973B3">
        <w:rPr>
          <w:lang w:val="fr-CH"/>
        </w:rPr>
        <w:t>,</w:t>
      </w:r>
    </w:p>
    <w:p w:rsidR="00FC64A0" w:rsidRPr="003973B3" w:rsidRDefault="00FC64A0" w:rsidP="00A17011">
      <w:pPr>
        <w:pStyle w:val="Call"/>
        <w:jc w:val="both"/>
        <w:rPr>
          <w:lang w:val="fr-CH"/>
        </w:rPr>
      </w:pPr>
      <w:r w:rsidRPr="003973B3">
        <w:rPr>
          <w:lang w:val="fr-CH"/>
        </w:rPr>
        <w:t xml:space="preserve">décide d'inviter la </w:t>
      </w:r>
      <w:r>
        <w:rPr>
          <w:lang w:val="fr-CH"/>
        </w:rPr>
        <w:t>Conférence mondiale des radiocommunications de 2023</w:t>
      </w:r>
    </w:p>
    <w:p w:rsidR="00FC64A0" w:rsidRPr="003973B3" w:rsidRDefault="00FC64A0" w:rsidP="00A17011">
      <w:pPr>
        <w:jc w:val="both"/>
        <w:rPr>
          <w:lang w:val="fr-CH"/>
        </w:rPr>
      </w:pPr>
      <w:r>
        <w:rPr>
          <w:lang w:val="fr-CH"/>
        </w:rPr>
        <w:t>à examiner les résultats des études sur les besoins de fréquences, en vue de faire une nouvelle attribution</w:t>
      </w:r>
      <w:r w:rsidRPr="006D7E85">
        <w:rPr>
          <w:lang w:val="fr-CH"/>
        </w:rPr>
        <w:t xml:space="preserve"> </w:t>
      </w:r>
      <w:r>
        <w:rPr>
          <w:lang w:val="fr-CH"/>
        </w:rPr>
        <w:t xml:space="preserve">éventuelle au service d'exploration de la Terre par satellite (active) pour les sondeurs radar </w:t>
      </w:r>
      <w:proofErr w:type="spellStart"/>
      <w:r>
        <w:rPr>
          <w:lang w:val="fr-CH"/>
        </w:rPr>
        <w:t>spatioportés</w:t>
      </w:r>
      <w:proofErr w:type="spellEnd"/>
      <w:r>
        <w:rPr>
          <w:lang w:val="fr-CH"/>
        </w:rPr>
        <w:t xml:space="preserve"> dans la gamme de fréquences au voisinage de 45 MHz, compte tenu de la protection des services existants et à prendre les mesures appropriées</w:t>
      </w:r>
      <w:r w:rsidRPr="003973B3">
        <w:rPr>
          <w:lang w:val="fr-CH"/>
        </w:rPr>
        <w:t>;</w:t>
      </w:r>
    </w:p>
    <w:p w:rsidR="00FC64A0" w:rsidRPr="003973B3" w:rsidRDefault="00FC64A0" w:rsidP="00A17011">
      <w:pPr>
        <w:pStyle w:val="Call"/>
        <w:jc w:val="both"/>
        <w:rPr>
          <w:lang w:val="fr-CH"/>
        </w:rPr>
      </w:pPr>
      <w:r>
        <w:rPr>
          <w:lang w:val="fr-CH"/>
        </w:rPr>
        <w:lastRenderedPageBreak/>
        <w:t>invite</w:t>
      </w:r>
      <w:r w:rsidRPr="003973B3">
        <w:rPr>
          <w:lang w:val="fr-CH"/>
        </w:rPr>
        <w:t xml:space="preserve"> </w:t>
      </w:r>
      <w:r>
        <w:rPr>
          <w:lang w:val="fr-CH"/>
        </w:rPr>
        <w:t>l'UIT-R</w:t>
      </w:r>
    </w:p>
    <w:p w:rsidR="00FC64A0" w:rsidRPr="003973B3" w:rsidRDefault="00FC64A0" w:rsidP="00A17011">
      <w:pPr>
        <w:jc w:val="both"/>
        <w:rPr>
          <w:lang w:val="fr-CH"/>
        </w:rPr>
      </w:pPr>
      <w:r w:rsidRPr="003973B3">
        <w:rPr>
          <w:lang w:val="fr-CH"/>
        </w:rPr>
        <w:t>1</w:t>
      </w:r>
      <w:r w:rsidRPr="003973B3">
        <w:rPr>
          <w:lang w:val="fr-CH"/>
        </w:rPr>
        <w:tab/>
      </w:r>
      <w:r>
        <w:rPr>
          <w:lang w:val="fr-CH"/>
        </w:rPr>
        <w:t>à mener des études sur les besoins de fréquences et des études de partage entre le service d'exploration de la Terre par satellite (active) et les services de radiolocalisation, fixe, mobile, de radiodiffusion et de recherche spatiale dans la gamme de fréquences 40-50 MHz</w:t>
      </w:r>
      <w:r w:rsidRPr="003973B3">
        <w:rPr>
          <w:lang w:val="fr-CH"/>
        </w:rPr>
        <w:t>;</w:t>
      </w:r>
    </w:p>
    <w:p w:rsidR="00FC64A0" w:rsidRPr="003973B3" w:rsidRDefault="00FC64A0" w:rsidP="00A17011">
      <w:pPr>
        <w:jc w:val="both"/>
        <w:rPr>
          <w:lang w:val="fr-CH"/>
        </w:rPr>
      </w:pPr>
      <w:r w:rsidRPr="003973B3">
        <w:rPr>
          <w:lang w:val="fr-CH"/>
        </w:rPr>
        <w:t>2</w:t>
      </w:r>
      <w:r w:rsidRPr="003973B3">
        <w:rPr>
          <w:lang w:val="fr-CH"/>
        </w:rPr>
        <w:tab/>
        <w:t xml:space="preserve">à </w:t>
      </w:r>
      <w:r>
        <w:rPr>
          <w:lang w:val="fr-CH"/>
        </w:rPr>
        <w:t>mener à bien les études</w:t>
      </w:r>
      <w:r w:rsidRPr="003973B3">
        <w:rPr>
          <w:lang w:val="fr-CH"/>
        </w:rPr>
        <w:t>, compte tenu de l'utilisation actuelle de la bande attribuée, en vue de présenter, en temps voulu, les bases techniques pour les travaux de la CMR-23,</w:t>
      </w:r>
    </w:p>
    <w:p w:rsidR="00FC64A0" w:rsidRPr="003973B3" w:rsidRDefault="00FC64A0" w:rsidP="00A17011">
      <w:pPr>
        <w:pStyle w:val="Call"/>
        <w:jc w:val="both"/>
        <w:rPr>
          <w:lang w:val="fr-CH"/>
        </w:rPr>
      </w:pPr>
      <w:r w:rsidRPr="003973B3">
        <w:rPr>
          <w:lang w:val="fr-CH"/>
        </w:rPr>
        <w:t>invite les administrations</w:t>
      </w:r>
    </w:p>
    <w:p w:rsidR="00FC64A0" w:rsidRPr="003973B3" w:rsidRDefault="00FC64A0" w:rsidP="00A17011">
      <w:pPr>
        <w:jc w:val="both"/>
        <w:rPr>
          <w:lang w:val="fr-CH"/>
        </w:rPr>
      </w:pPr>
      <w:r w:rsidRPr="003973B3">
        <w:rPr>
          <w:lang w:val="fr-CH"/>
        </w:rPr>
        <w:t xml:space="preserve">à participer activement aux études en soumettant des contributions </w:t>
      </w:r>
      <w:r>
        <w:rPr>
          <w:lang w:val="fr-CH"/>
        </w:rPr>
        <w:t>au Secteur des radiocommunications de l'UIT</w:t>
      </w:r>
      <w:r w:rsidRPr="003973B3">
        <w:rPr>
          <w:lang w:val="fr-CH"/>
        </w:rPr>
        <w:t>,</w:t>
      </w:r>
    </w:p>
    <w:p w:rsidR="00FC64A0" w:rsidRPr="003973B3" w:rsidRDefault="00FC64A0" w:rsidP="00A17011">
      <w:pPr>
        <w:pStyle w:val="Call"/>
        <w:jc w:val="both"/>
        <w:rPr>
          <w:lang w:val="fr-CH"/>
        </w:rPr>
      </w:pPr>
      <w:r w:rsidRPr="003973B3">
        <w:rPr>
          <w:lang w:val="fr-CH"/>
        </w:rPr>
        <w:t>charge le Secrétaire général</w:t>
      </w:r>
    </w:p>
    <w:p w:rsidR="00FC64A0" w:rsidRDefault="00FC64A0" w:rsidP="00A17011">
      <w:pPr>
        <w:jc w:val="both"/>
        <w:rPr>
          <w:lang w:val="fr-CH"/>
        </w:rPr>
      </w:pPr>
      <w:r w:rsidRPr="003973B3">
        <w:rPr>
          <w:lang w:val="fr-CH"/>
        </w:rPr>
        <w:t>de porter la présente Résolution à l</w:t>
      </w:r>
      <w:r>
        <w:rPr>
          <w:lang w:val="fr-CH"/>
        </w:rPr>
        <w:t>'</w:t>
      </w:r>
      <w:r w:rsidRPr="003973B3">
        <w:rPr>
          <w:lang w:val="fr-CH"/>
        </w:rPr>
        <w:t>attention des organisations internationales et régionales concernées.</w:t>
      </w:r>
    </w:p>
    <w:p w:rsidR="00601178" w:rsidRPr="001331D5" w:rsidRDefault="00601178" w:rsidP="00A17011">
      <w:pPr>
        <w:overflowPunct/>
        <w:autoSpaceDE/>
        <w:autoSpaceDN/>
        <w:adjustRightInd/>
        <w:spacing w:before="0"/>
        <w:jc w:val="both"/>
        <w:textAlignment w:val="auto"/>
        <w:rPr>
          <w:rFonts w:asciiTheme="majorBidi" w:hAnsiTheme="majorBidi" w:cstheme="majorBidi"/>
          <w:szCs w:val="24"/>
        </w:rPr>
      </w:pPr>
    </w:p>
    <w:p w:rsidR="00601178" w:rsidRPr="001331D5" w:rsidRDefault="00601178" w:rsidP="00A17011">
      <w:pPr>
        <w:overflowPunct/>
        <w:autoSpaceDE/>
        <w:autoSpaceDN/>
        <w:adjustRightInd/>
        <w:spacing w:before="0"/>
        <w:jc w:val="both"/>
        <w:textAlignment w:val="auto"/>
        <w:rPr>
          <w:rFonts w:asciiTheme="majorBidi" w:hAnsiTheme="majorBidi" w:cstheme="majorBidi"/>
          <w:szCs w:val="24"/>
        </w:rPr>
      </w:pPr>
    </w:p>
    <w:p w:rsidR="00601178" w:rsidRPr="001331D5" w:rsidRDefault="00601178" w:rsidP="00A17011">
      <w:pPr>
        <w:overflowPunct/>
        <w:autoSpaceDE/>
        <w:autoSpaceDN/>
        <w:adjustRightInd/>
        <w:spacing w:before="0"/>
        <w:textAlignment w:val="auto"/>
        <w:rPr>
          <w:rFonts w:asciiTheme="majorBidi" w:hAnsiTheme="majorBidi" w:cstheme="majorBidi"/>
          <w:szCs w:val="24"/>
        </w:rPr>
      </w:pPr>
      <w:r w:rsidRPr="001331D5">
        <w:rPr>
          <w:rFonts w:asciiTheme="majorBidi" w:hAnsiTheme="majorBidi" w:cstheme="majorBidi"/>
          <w:szCs w:val="24"/>
        </w:rPr>
        <w:br w:type="page"/>
      </w:r>
    </w:p>
    <w:p w:rsidR="00FB15F8" w:rsidRPr="00FB15F8" w:rsidRDefault="00C173DE" w:rsidP="00A17011">
      <w:pPr>
        <w:pStyle w:val="ResNo"/>
      </w:pPr>
      <w:bookmarkStart w:id="231" w:name="RES_657"/>
      <w:bookmarkStart w:id="232" w:name="_Toc460331728"/>
      <w:bookmarkStart w:id="233" w:name="_Toc463616185"/>
      <w:bookmarkEnd w:id="228"/>
      <w:r>
        <w:lastRenderedPageBreak/>
        <w:t>R</w:t>
      </w:r>
      <w:r w:rsidR="001D5201" w:rsidRPr="001D5201">
        <w:t>É</w:t>
      </w:r>
      <w:r w:rsidR="00FB15F8" w:rsidRPr="00FB15F8">
        <w:t xml:space="preserve">SOLUTION </w:t>
      </w:r>
      <w:r w:rsidR="00FB15F8" w:rsidRPr="00FB15F8">
        <w:rPr>
          <w:rStyle w:val="href"/>
        </w:rPr>
        <w:t>657</w:t>
      </w:r>
      <w:r w:rsidR="00FB15F8" w:rsidRPr="00FB15F8">
        <w:t xml:space="preserve"> </w:t>
      </w:r>
      <w:bookmarkEnd w:id="231"/>
      <w:r w:rsidR="00FB15F8" w:rsidRPr="00FB15F8">
        <w:t>(</w:t>
      </w:r>
      <w:r w:rsidR="005A2541" w:rsidRPr="00A20F5A">
        <w:t>C</w:t>
      </w:r>
      <w:r w:rsidR="005A2541">
        <w:t>MR</w:t>
      </w:r>
      <w:r w:rsidR="00FB15F8" w:rsidRPr="00FB15F8">
        <w:t>-15)</w:t>
      </w:r>
      <w:bookmarkEnd w:id="232"/>
      <w:bookmarkEnd w:id="233"/>
    </w:p>
    <w:p w:rsidR="00FC64A0" w:rsidRPr="000B53CA" w:rsidRDefault="00FC64A0" w:rsidP="00A17011">
      <w:pPr>
        <w:pStyle w:val="Restitle"/>
        <w:rPr>
          <w:lang w:val="fr-CH"/>
        </w:rPr>
      </w:pPr>
      <w:bookmarkStart w:id="234" w:name="_Toc450208769"/>
      <w:bookmarkStart w:id="235" w:name="_Toc463616186"/>
      <w:r>
        <w:rPr>
          <w:lang w:val="fr-CH"/>
        </w:rPr>
        <w:t>Besoins de fréquences</w:t>
      </w:r>
      <w:r w:rsidRPr="000B53CA">
        <w:rPr>
          <w:lang w:val="fr-CH"/>
        </w:rPr>
        <w:t xml:space="preserve"> et protection des capteurs de météorologie </w:t>
      </w:r>
      <w:r>
        <w:rPr>
          <w:lang w:val="fr-CH"/>
        </w:rPr>
        <w:t>spatiale</w:t>
      </w:r>
      <w:bookmarkEnd w:id="234"/>
      <w:bookmarkEnd w:id="235"/>
    </w:p>
    <w:p w:rsidR="00FC64A0" w:rsidRPr="00C4247A" w:rsidRDefault="00FC64A0" w:rsidP="00A17011">
      <w:pPr>
        <w:pStyle w:val="Normalaftertitle"/>
        <w:rPr>
          <w:lang w:val="fr-CH"/>
        </w:rPr>
      </w:pPr>
      <w:r w:rsidRPr="00C4247A">
        <w:rPr>
          <w:lang w:val="fr-CH"/>
        </w:rPr>
        <w:t>La Conférence mondiale des radiocommunications (Genève, 20</w:t>
      </w:r>
      <w:r>
        <w:rPr>
          <w:lang w:val="fr-CH"/>
        </w:rPr>
        <w:t>15</w:t>
      </w:r>
      <w:r w:rsidRPr="00C4247A">
        <w:rPr>
          <w:lang w:val="fr-CH"/>
        </w:rPr>
        <w:t>),</w:t>
      </w:r>
    </w:p>
    <w:p w:rsidR="00FC64A0" w:rsidRPr="00F32B79" w:rsidRDefault="00FC64A0" w:rsidP="00A17011">
      <w:pPr>
        <w:pStyle w:val="Call"/>
      </w:pPr>
      <w:r w:rsidRPr="00F32B79">
        <w:t>considérant</w:t>
      </w:r>
    </w:p>
    <w:p w:rsidR="00FC64A0" w:rsidRPr="00926198" w:rsidRDefault="00FC64A0" w:rsidP="00A17011">
      <w:pPr>
        <w:jc w:val="both"/>
        <w:rPr>
          <w:rFonts w:asciiTheme="majorBidi" w:hAnsiTheme="majorBidi" w:cstheme="majorBidi"/>
          <w:szCs w:val="24"/>
          <w:lang w:val="fr-CH"/>
        </w:rPr>
      </w:pPr>
      <w:r w:rsidRPr="00926198">
        <w:rPr>
          <w:rFonts w:asciiTheme="majorBidi" w:hAnsiTheme="majorBidi" w:cstheme="majorBidi"/>
          <w:i/>
          <w:szCs w:val="24"/>
          <w:lang w:val="fr-CH"/>
        </w:rPr>
        <w:t>a)</w:t>
      </w:r>
      <w:r w:rsidRPr="00926198">
        <w:rPr>
          <w:rFonts w:asciiTheme="majorBidi" w:hAnsiTheme="majorBidi" w:cstheme="majorBidi"/>
          <w:szCs w:val="24"/>
          <w:lang w:val="fr-CH"/>
        </w:rPr>
        <w:tab/>
        <w:t xml:space="preserve">que les observations de météorologie </w:t>
      </w:r>
      <w:r>
        <w:rPr>
          <w:rFonts w:asciiTheme="majorBidi" w:hAnsiTheme="majorBidi" w:cstheme="majorBidi"/>
          <w:szCs w:val="24"/>
          <w:lang w:val="fr-CH"/>
        </w:rPr>
        <w:t>spatiale</w:t>
      </w:r>
      <w:r w:rsidRPr="00926198">
        <w:rPr>
          <w:rFonts w:asciiTheme="majorBidi" w:hAnsiTheme="majorBidi" w:cstheme="majorBidi"/>
          <w:szCs w:val="24"/>
          <w:lang w:val="fr-CH"/>
        </w:rPr>
        <w:t xml:space="preserve"> jouent un rôle de plus en plus important pour détecter des phénomènes d'activité solaire susceptibles d'avoir des incidences sur des services essentiels </w:t>
      </w:r>
      <w:r>
        <w:rPr>
          <w:rFonts w:asciiTheme="majorBidi" w:hAnsiTheme="majorBidi" w:cstheme="majorBidi"/>
          <w:szCs w:val="24"/>
          <w:lang w:val="fr-CH"/>
        </w:rPr>
        <w:t>pour</w:t>
      </w:r>
      <w:r w:rsidRPr="00926198">
        <w:rPr>
          <w:rFonts w:asciiTheme="majorBidi" w:hAnsiTheme="majorBidi" w:cstheme="majorBidi"/>
          <w:szCs w:val="24"/>
          <w:lang w:val="fr-CH"/>
        </w:rPr>
        <w:t xml:space="preserve"> l'économie, la sûreté et la sécurité des administrations;</w:t>
      </w:r>
    </w:p>
    <w:p w:rsidR="00FC64A0" w:rsidRPr="00926198" w:rsidRDefault="00FC64A0" w:rsidP="00A17011">
      <w:pPr>
        <w:jc w:val="both"/>
        <w:rPr>
          <w:rFonts w:asciiTheme="majorBidi" w:hAnsiTheme="majorBidi" w:cstheme="majorBidi"/>
          <w:szCs w:val="24"/>
          <w:lang w:val="fr-CH"/>
        </w:rPr>
      </w:pPr>
      <w:r w:rsidRPr="00926198">
        <w:rPr>
          <w:rFonts w:asciiTheme="majorBidi" w:hAnsiTheme="majorBidi" w:cstheme="majorBidi"/>
          <w:i/>
          <w:szCs w:val="24"/>
          <w:lang w:val="fr-CH"/>
        </w:rPr>
        <w:t>b)</w:t>
      </w:r>
      <w:r w:rsidRPr="00926198">
        <w:rPr>
          <w:rFonts w:asciiTheme="majorBidi" w:hAnsiTheme="majorBidi" w:cstheme="majorBidi"/>
          <w:szCs w:val="24"/>
          <w:lang w:val="fr-CH"/>
        </w:rPr>
        <w:tab/>
        <w:t xml:space="preserve">que ces observations </w:t>
      </w:r>
      <w:r>
        <w:rPr>
          <w:rFonts w:asciiTheme="majorBidi" w:hAnsiTheme="majorBidi" w:cstheme="majorBidi"/>
          <w:szCs w:val="24"/>
          <w:lang w:val="fr-CH"/>
        </w:rPr>
        <w:t xml:space="preserve">sont également effectuées </w:t>
      </w:r>
      <w:r w:rsidRPr="00926198">
        <w:rPr>
          <w:rFonts w:asciiTheme="majorBidi" w:hAnsiTheme="majorBidi" w:cstheme="majorBidi"/>
          <w:szCs w:val="24"/>
          <w:lang w:val="fr-CH"/>
        </w:rPr>
        <w:t>à partir de plates-formes au sol, aéroportées ou spatiales;</w:t>
      </w:r>
    </w:p>
    <w:p w:rsidR="00FC64A0" w:rsidRPr="00926198" w:rsidRDefault="00FC64A0" w:rsidP="00A17011">
      <w:pPr>
        <w:jc w:val="both"/>
        <w:rPr>
          <w:rFonts w:asciiTheme="majorBidi" w:hAnsiTheme="majorBidi" w:cstheme="majorBidi"/>
          <w:szCs w:val="24"/>
          <w:lang w:val="fr-CH"/>
        </w:rPr>
      </w:pPr>
      <w:r w:rsidRPr="00926198">
        <w:rPr>
          <w:rFonts w:asciiTheme="majorBidi" w:hAnsiTheme="majorBidi" w:cstheme="majorBidi"/>
          <w:i/>
          <w:szCs w:val="24"/>
          <w:lang w:val="fr-CH"/>
        </w:rPr>
        <w:t>c)</w:t>
      </w:r>
      <w:r w:rsidRPr="00926198">
        <w:rPr>
          <w:rFonts w:asciiTheme="majorBidi" w:hAnsiTheme="majorBidi" w:cstheme="majorBidi"/>
          <w:szCs w:val="24"/>
          <w:lang w:val="fr-CH"/>
        </w:rPr>
        <w:tab/>
        <w:t xml:space="preserve">que certains capteurs fonctionnent en recevant des émissions naturelles de faible niveau </w:t>
      </w:r>
      <w:r>
        <w:rPr>
          <w:rFonts w:asciiTheme="majorBidi" w:hAnsiTheme="majorBidi" w:cstheme="majorBidi"/>
          <w:szCs w:val="24"/>
          <w:lang w:val="fr-CH"/>
        </w:rPr>
        <w:t xml:space="preserve">en </w:t>
      </w:r>
      <w:r w:rsidRPr="00926198">
        <w:rPr>
          <w:rFonts w:asciiTheme="majorBidi" w:hAnsiTheme="majorBidi" w:cstheme="majorBidi"/>
          <w:szCs w:val="24"/>
          <w:lang w:val="fr-CH"/>
        </w:rPr>
        <w:t>provenan</w:t>
      </w:r>
      <w:r>
        <w:rPr>
          <w:rFonts w:asciiTheme="majorBidi" w:hAnsiTheme="majorBidi" w:cstheme="majorBidi"/>
          <w:szCs w:val="24"/>
          <w:lang w:val="fr-CH"/>
        </w:rPr>
        <w:t>ce</w:t>
      </w:r>
      <w:r w:rsidRPr="00926198">
        <w:rPr>
          <w:rFonts w:asciiTheme="majorBidi" w:hAnsiTheme="majorBidi" w:cstheme="majorBidi"/>
          <w:szCs w:val="24"/>
          <w:lang w:val="fr-CH"/>
        </w:rPr>
        <w:t xml:space="preserve"> du soleil ou de l'atmosphère terrestre et </w:t>
      </w:r>
      <w:r>
        <w:rPr>
          <w:rFonts w:asciiTheme="majorBidi" w:hAnsiTheme="majorBidi" w:cstheme="majorBidi"/>
          <w:szCs w:val="24"/>
          <w:lang w:val="fr-CH"/>
        </w:rPr>
        <w:t xml:space="preserve">risquent </w:t>
      </w:r>
      <w:r w:rsidRPr="00926198">
        <w:rPr>
          <w:rFonts w:asciiTheme="majorBidi" w:hAnsiTheme="majorBidi" w:cstheme="majorBidi"/>
          <w:szCs w:val="24"/>
          <w:lang w:val="fr-CH"/>
        </w:rPr>
        <w:t xml:space="preserve">par conséquent de subir des brouillages </w:t>
      </w:r>
      <w:r>
        <w:rPr>
          <w:rFonts w:asciiTheme="majorBidi" w:hAnsiTheme="majorBidi" w:cstheme="majorBidi"/>
          <w:szCs w:val="24"/>
          <w:lang w:val="fr-CH"/>
        </w:rPr>
        <w:t xml:space="preserve">préjudiciables </w:t>
      </w:r>
      <w:r w:rsidRPr="00926198">
        <w:rPr>
          <w:rFonts w:asciiTheme="majorBidi" w:hAnsiTheme="majorBidi" w:cstheme="majorBidi"/>
          <w:szCs w:val="24"/>
          <w:lang w:val="fr-CH"/>
        </w:rPr>
        <w:t xml:space="preserve">à des niveaux qui pourraient être </w:t>
      </w:r>
      <w:r>
        <w:rPr>
          <w:rFonts w:asciiTheme="majorBidi" w:hAnsiTheme="majorBidi" w:cstheme="majorBidi"/>
          <w:szCs w:val="24"/>
          <w:lang w:val="fr-CH"/>
        </w:rPr>
        <w:t>tolérés par</w:t>
      </w:r>
      <w:r w:rsidRPr="00926198">
        <w:rPr>
          <w:rFonts w:asciiTheme="majorBidi" w:hAnsiTheme="majorBidi" w:cstheme="majorBidi"/>
          <w:szCs w:val="24"/>
          <w:lang w:val="fr-CH"/>
        </w:rPr>
        <w:t xml:space="preserve"> d'a</w:t>
      </w:r>
      <w:r>
        <w:rPr>
          <w:rFonts w:asciiTheme="majorBidi" w:hAnsiTheme="majorBidi" w:cstheme="majorBidi"/>
          <w:szCs w:val="24"/>
          <w:lang w:val="fr-CH"/>
        </w:rPr>
        <w:t>utres systèmes de radiocommunication;</w:t>
      </w:r>
    </w:p>
    <w:p w:rsidR="00FC64A0" w:rsidRPr="00746542" w:rsidRDefault="00FC64A0" w:rsidP="00A17011">
      <w:pPr>
        <w:jc w:val="both"/>
        <w:rPr>
          <w:lang w:val="fr-CH"/>
        </w:rPr>
      </w:pPr>
      <w:r w:rsidRPr="00746542">
        <w:rPr>
          <w:i/>
          <w:iCs/>
          <w:lang w:val="fr-CH"/>
        </w:rPr>
        <w:t>d)</w:t>
      </w:r>
      <w:r w:rsidRPr="00746542">
        <w:rPr>
          <w:lang w:val="fr-CH"/>
        </w:rPr>
        <w:tab/>
        <w:t>qu</w:t>
      </w:r>
      <w:r>
        <w:rPr>
          <w:lang w:val="fr-CH"/>
        </w:rPr>
        <w:t xml:space="preserve">e l'on a mis au point des </w:t>
      </w:r>
      <w:r w:rsidRPr="00746542">
        <w:rPr>
          <w:lang w:val="fr-CH"/>
        </w:rPr>
        <w:t>technologie</w:t>
      </w:r>
      <w:r>
        <w:rPr>
          <w:lang w:val="fr-CH"/>
        </w:rPr>
        <w:t>s</w:t>
      </w:r>
      <w:r w:rsidRPr="00746542">
        <w:rPr>
          <w:lang w:val="fr-CH"/>
        </w:rPr>
        <w:t xml:space="preserve"> de capteurs de météorologie </w:t>
      </w:r>
      <w:r>
        <w:rPr>
          <w:lang w:val="fr-CH"/>
        </w:rPr>
        <w:t>spatiale</w:t>
      </w:r>
      <w:r w:rsidRPr="00746542">
        <w:rPr>
          <w:lang w:val="fr-CH"/>
        </w:rPr>
        <w:t xml:space="preserve"> et </w:t>
      </w:r>
      <w:r>
        <w:rPr>
          <w:lang w:val="fr-CH"/>
        </w:rPr>
        <w:t xml:space="preserve">déployé </w:t>
      </w:r>
      <w:r w:rsidRPr="00746542">
        <w:rPr>
          <w:lang w:val="fr-CH"/>
        </w:rPr>
        <w:t>des systèm</w:t>
      </w:r>
      <w:r>
        <w:rPr>
          <w:lang w:val="fr-CH"/>
        </w:rPr>
        <w:t>es opérationnels, sans qu'il ait été suffisamment tenu compte de la réglementation nationale et internationale concernant le spectre, ou de la nécessité éventuelle d'assurer une protection contre les brouillages,</w:t>
      </w:r>
    </w:p>
    <w:p w:rsidR="00FC64A0" w:rsidRPr="00932C66" w:rsidRDefault="00FC64A0" w:rsidP="00A17011">
      <w:pPr>
        <w:pStyle w:val="Call"/>
        <w:jc w:val="both"/>
      </w:pPr>
      <w:r w:rsidRPr="00932C66">
        <w:t>reconnaissant</w:t>
      </w:r>
    </w:p>
    <w:p w:rsidR="00FC64A0" w:rsidRPr="00B443C7" w:rsidRDefault="00FC64A0" w:rsidP="00A17011">
      <w:pPr>
        <w:jc w:val="both"/>
        <w:rPr>
          <w:lang w:val="fr-CH"/>
        </w:rPr>
      </w:pPr>
      <w:r w:rsidRPr="00FF0FCB">
        <w:rPr>
          <w:i/>
          <w:iCs/>
          <w:lang w:val="fr-CH"/>
        </w:rPr>
        <w:t>a)</w:t>
      </w:r>
      <w:r>
        <w:rPr>
          <w:lang w:val="fr-CH"/>
        </w:rPr>
        <w:tab/>
        <w:t xml:space="preserve">qu'aucune </w:t>
      </w:r>
      <w:r w:rsidRPr="00B443C7">
        <w:rPr>
          <w:lang w:val="fr-CH"/>
        </w:rPr>
        <w:t xml:space="preserve">bande </w:t>
      </w:r>
      <w:r>
        <w:rPr>
          <w:lang w:val="fr-CH"/>
        </w:rPr>
        <w:t>de fréquences n'est mentionnée d'une quelconque manière dans</w:t>
      </w:r>
      <w:r w:rsidRPr="00B443C7">
        <w:rPr>
          <w:lang w:val="fr-CH"/>
        </w:rPr>
        <w:t xml:space="preserve"> le Règlement des radiocommunications </w:t>
      </w:r>
      <w:r>
        <w:rPr>
          <w:lang w:val="fr-CH"/>
        </w:rPr>
        <w:t>pour les applications des capteurs de météorologie spatiale;</w:t>
      </w:r>
    </w:p>
    <w:p w:rsidR="00FC64A0" w:rsidRPr="00E84545" w:rsidRDefault="00FC64A0" w:rsidP="00A17011">
      <w:pPr>
        <w:jc w:val="both"/>
        <w:rPr>
          <w:lang w:val="fr-CH"/>
        </w:rPr>
      </w:pPr>
      <w:r w:rsidRPr="00FF0FCB">
        <w:rPr>
          <w:i/>
          <w:iCs/>
          <w:lang w:val="fr-CH"/>
        </w:rPr>
        <w:t>b)</w:t>
      </w:r>
      <w:r>
        <w:rPr>
          <w:lang w:val="fr-CH"/>
        </w:rPr>
        <w:tab/>
        <w:t>que la Question UIT-R 256/7</w:t>
      </w:r>
      <w:r w:rsidRPr="00E84545">
        <w:rPr>
          <w:lang w:val="fr-CH"/>
        </w:rPr>
        <w:t xml:space="preserve"> </w:t>
      </w:r>
      <w:r>
        <w:rPr>
          <w:lang w:val="fr-CH"/>
        </w:rPr>
        <w:t>actuellement à l'étude au sein du Secteur des radiocommunications de l'UIT (UIT</w:t>
      </w:r>
      <w:r>
        <w:rPr>
          <w:lang w:val="fr-CH"/>
        </w:rPr>
        <w:noBreakHyphen/>
        <w:t xml:space="preserve">R) porte sur </w:t>
      </w:r>
      <w:r w:rsidRPr="00E84545">
        <w:rPr>
          <w:lang w:val="fr-CH"/>
        </w:rPr>
        <w:t>les caracté</w:t>
      </w:r>
      <w:r>
        <w:rPr>
          <w:lang w:val="fr-CH"/>
        </w:rPr>
        <w:t>ris</w:t>
      </w:r>
      <w:r w:rsidRPr="00E84545">
        <w:rPr>
          <w:lang w:val="fr-CH"/>
        </w:rPr>
        <w:t xml:space="preserve">tiques techniques et opérationnelles et les besoins de fréquences des capteurs de météorologie </w:t>
      </w:r>
      <w:r>
        <w:rPr>
          <w:lang w:val="fr-CH"/>
        </w:rPr>
        <w:t>spatiale</w:t>
      </w:r>
      <w:r w:rsidRPr="00E84545">
        <w:rPr>
          <w:lang w:val="fr-CH"/>
        </w:rPr>
        <w:t xml:space="preserve">, ainsi que </w:t>
      </w:r>
      <w:r>
        <w:rPr>
          <w:lang w:val="fr-CH"/>
        </w:rPr>
        <w:t>les désignations de service de radiocommunication appropriées pour ces capteurs;</w:t>
      </w:r>
    </w:p>
    <w:p w:rsidR="00FC64A0" w:rsidRPr="001A6A10" w:rsidRDefault="00FC64A0" w:rsidP="00A17011">
      <w:pPr>
        <w:jc w:val="both"/>
        <w:rPr>
          <w:lang w:val="fr-CH"/>
        </w:rPr>
      </w:pPr>
      <w:r w:rsidRPr="00FF0FCB">
        <w:rPr>
          <w:i/>
          <w:iCs/>
          <w:lang w:val="fr-CH"/>
        </w:rPr>
        <w:t>c)</w:t>
      </w:r>
      <w:r>
        <w:rPr>
          <w:lang w:val="fr-CH"/>
        </w:rPr>
        <w:tab/>
      </w:r>
      <w:r w:rsidRPr="001A6A10">
        <w:rPr>
          <w:lang w:val="fr-CH"/>
        </w:rPr>
        <w:t xml:space="preserve">que toute mesure réglementaire </w:t>
      </w:r>
      <w:r>
        <w:rPr>
          <w:lang w:val="fr-CH"/>
        </w:rPr>
        <w:t xml:space="preserve">associée </w:t>
      </w:r>
      <w:r w:rsidRPr="001A6A10">
        <w:rPr>
          <w:lang w:val="fr-CH"/>
        </w:rPr>
        <w:t xml:space="preserve">aux applications des capteurs de météorologie </w:t>
      </w:r>
      <w:r>
        <w:rPr>
          <w:lang w:val="fr-CH"/>
        </w:rPr>
        <w:t>spatiale</w:t>
      </w:r>
      <w:r w:rsidRPr="001A6A10">
        <w:rPr>
          <w:lang w:val="fr-CH"/>
        </w:rPr>
        <w:t xml:space="preserve"> devrait tenir compte des services existants déjà exploités dans les bandes de fréquences </w:t>
      </w:r>
      <w:r>
        <w:rPr>
          <w:lang w:val="fr-CH"/>
        </w:rPr>
        <w:t>concernées,</w:t>
      </w:r>
    </w:p>
    <w:p w:rsidR="00FC64A0" w:rsidRPr="001A6A10" w:rsidRDefault="00FC64A0" w:rsidP="00A17011">
      <w:pPr>
        <w:pStyle w:val="Call"/>
        <w:jc w:val="both"/>
      </w:pPr>
      <w:r w:rsidRPr="001A6A10">
        <w:t xml:space="preserve">décide d'inviter la </w:t>
      </w:r>
      <w:r>
        <w:rPr>
          <w:lang w:val="fr-CH"/>
        </w:rPr>
        <w:t>Conférence mondiale des radiocommunications de 2023</w:t>
      </w:r>
    </w:p>
    <w:p w:rsidR="00FC64A0" w:rsidRPr="00432F78" w:rsidRDefault="00FC64A0" w:rsidP="00A17011">
      <w:pPr>
        <w:keepNext/>
        <w:keepLines/>
        <w:jc w:val="both"/>
        <w:rPr>
          <w:lang w:val="fr-CH"/>
        </w:rPr>
      </w:pPr>
      <w:r>
        <w:t xml:space="preserve">à examiner, </w:t>
      </w:r>
      <w:r w:rsidRPr="00432F78">
        <w:rPr>
          <w:lang w:val="fr-CH"/>
        </w:rPr>
        <w:t xml:space="preserve">compte tenu des résultats des études de l'UIT-R et sans imposer de contraintes </w:t>
      </w:r>
      <w:r>
        <w:rPr>
          <w:lang w:val="fr-CH"/>
        </w:rPr>
        <w:t>additionnelles</w:t>
      </w:r>
      <w:r w:rsidRPr="00432F78">
        <w:rPr>
          <w:lang w:val="fr-CH"/>
        </w:rPr>
        <w:t xml:space="preserve"> aux services existants, </w:t>
      </w:r>
      <w:r>
        <w:rPr>
          <w:lang w:val="fr-CH"/>
        </w:rPr>
        <w:t>les dispositions réglementaires nécessaires pour assurer la protection des capteurs de météorologie spatiale fonctionnant dans le service de radiocommunication dûment désigné qui sera déterminé dans le cadre des études de l'UIT-R,</w:t>
      </w:r>
    </w:p>
    <w:p w:rsidR="00FC64A0" w:rsidRPr="008C5DD2" w:rsidRDefault="00FC64A0" w:rsidP="00A17011">
      <w:pPr>
        <w:pStyle w:val="Call"/>
        <w:jc w:val="both"/>
      </w:pPr>
      <w:r w:rsidRPr="008C5DD2">
        <w:t xml:space="preserve">invite </w:t>
      </w:r>
      <w:r>
        <w:t>l'UIT-R</w:t>
      </w:r>
    </w:p>
    <w:p w:rsidR="00FC64A0" w:rsidRDefault="00FC64A0" w:rsidP="00A17011">
      <w:pPr>
        <w:jc w:val="both"/>
        <w:rPr>
          <w:lang w:val="fr-CH"/>
        </w:rPr>
      </w:pPr>
      <w:r>
        <w:rPr>
          <w:lang w:val="fr-CH"/>
        </w:rPr>
        <w:t>1</w:t>
      </w:r>
      <w:r>
        <w:rPr>
          <w:lang w:val="fr-CH"/>
        </w:rPr>
        <w:tab/>
      </w:r>
      <w:r w:rsidRPr="00AB7CE1">
        <w:rPr>
          <w:lang w:val="fr-CH"/>
        </w:rPr>
        <w:t xml:space="preserve">à </w:t>
      </w:r>
      <w:r>
        <w:rPr>
          <w:lang w:val="fr-CH"/>
        </w:rPr>
        <w:t>décrire</w:t>
      </w:r>
      <w:r w:rsidRPr="00AB7CE1">
        <w:rPr>
          <w:lang w:val="fr-CH"/>
        </w:rPr>
        <w:t xml:space="preserve">, </w:t>
      </w:r>
      <w:r>
        <w:rPr>
          <w:lang w:val="fr-CH"/>
        </w:rPr>
        <w:t>à temps pour</w:t>
      </w:r>
      <w:r w:rsidRPr="00AB7CE1">
        <w:rPr>
          <w:lang w:val="fr-CH"/>
        </w:rPr>
        <w:t xml:space="preserve"> la CMR-19, les caractéristiques techniques et opérationnelles des capteurs de météorologie </w:t>
      </w:r>
      <w:r>
        <w:rPr>
          <w:lang w:val="fr-CH"/>
        </w:rPr>
        <w:t>spatiale</w:t>
      </w:r>
      <w:r w:rsidRPr="00AB7CE1">
        <w:rPr>
          <w:lang w:val="fr-CH"/>
        </w:rPr>
        <w:t>;</w:t>
      </w:r>
    </w:p>
    <w:p w:rsidR="00FC64A0" w:rsidRDefault="00FC64A0" w:rsidP="00A17011">
      <w:pPr>
        <w:jc w:val="both"/>
        <w:rPr>
          <w:lang w:val="fr-CH"/>
        </w:rPr>
      </w:pPr>
      <w:r>
        <w:rPr>
          <w:lang w:val="fr-CH"/>
        </w:rPr>
        <w:t>2</w:t>
      </w:r>
      <w:r>
        <w:rPr>
          <w:lang w:val="fr-CH"/>
        </w:rPr>
        <w:tab/>
        <w:t>à déterminer, à temps pour la CMR-19, les désignations de service de radiocommunication appropriées pour les capteurs de météorologie spatiale;</w:t>
      </w:r>
    </w:p>
    <w:p w:rsidR="00FC64A0" w:rsidRPr="00AB7CE1" w:rsidRDefault="00FC64A0" w:rsidP="00A17011">
      <w:pPr>
        <w:jc w:val="both"/>
        <w:rPr>
          <w:lang w:val="fr-CH"/>
        </w:rPr>
      </w:pPr>
      <w:r>
        <w:rPr>
          <w:lang w:val="fr-CH"/>
        </w:rPr>
        <w:t>3</w:t>
      </w:r>
      <w:r>
        <w:rPr>
          <w:lang w:val="fr-CH"/>
        </w:rPr>
        <w:tab/>
        <w:t xml:space="preserve">à mener, à temps pour la CMR-23, les études de partage qui pourraient être nécessaires concernant les systèmes existants fonctionnant dans les bandes de fréquences utilisées par les capteurs de météorologie spatiale, afin de déterminer la protection </w:t>
      </w:r>
      <w:r>
        <w:rPr>
          <w:lang w:val="fr-CH"/>
        </w:rPr>
        <w:lastRenderedPageBreak/>
        <w:t>réglementaire qui peut être assurée, sans imposer de contraintes additionnelles aux services existants,</w:t>
      </w:r>
    </w:p>
    <w:p w:rsidR="00FC64A0" w:rsidRPr="003A05E6" w:rsidRDefault="00FC64A0" w:rsidP="00A17011">
      <w:pPr>
        <w:pStyle w:val="Call"/>
        <w:jc w:val="both"/>
        <w:rPr>
          <w:lang w:val="fr-CH"/>
        </w:rPr>
      </w:pPr>
      <w:r w:rsidRPr="003A05E6">
        <w:rPr>
          <w:lang w:val="fr-CH"/>
        </w:rPr>
        <w:t>invite les administrations</w:t>
      </w:r>
    </w:p>
    <w:p w:rsidR="00FC64A0" w:rsidRPr="003A05E6" w:rsidRDefault="00FC64A0" w:rsidP="00A17011">
      <w:pPr>
        <w:jc w:val="both"/>
        <w:rPr>
          <w:lang w:val="fr-CH"/>
        </w:rPr>
      </w:pPr>
      <w:r w:rsidRPr="003A05E6">
        <w:rPr>
          <w:lang w:val="fr-CH"/>
        </w:rPr>
        <w:t>à participer activement aux études et à fournir les caractéristiques techniques et opérationnelles des systèmes concernés</w:t>
      </w:r>
      <w:r>
        <w:rPr>
          <w:lang w:val="fr-CH"/>
        </w:rPr>
        <w:t>,</w:t>
      </w:r>
      <w:r w:rsidRPr="003A05E6">
        <w:rPr>
          <w:lang w:val="fr-CH"/>
        </w:rPr>
        <w:t xml:space="preserve"> en soumet</w:t>
      </w:r>
      <w:r>
        <w:rPr>
          <w:lang w:val="fr-CH"/>
        </w:rPr>
        <w:t>tant des contributions à</w:t>
      </w:r>
      <w:r>
        <w:t xml:space="preserve"> l'UIT-R</w:t>
      </w:r>
      <w:r>
        <w:rPr>
          <w:lang w:val="fr-CH"/>
        </w:rPr>
        <w:t>,</w:t>
      </w:r>
    </w:p>
    <w:p w:rsidR="00FC64A0" w:rsidRPr="00932C66" w:rsidRDefault="00FC64A0" w:rsidP="00A17011">
      <w:pPr>
        <w:pStyle w:val="Call"/>
        <w:jc w:val="both"/>
      </w:pPr>
      <w:r w:rsidRPr="00932C66">
        <w:t>charge le Secrétaire général</w:t>
      </w:r>
    </w:p>
    <w:p w:rsidR="00FC64A0" w:rsidRDefault="00FC64A0" w:rsidP="00A17011">
      <w:pPr>
        <w:jc w:val="both"/>
      </w:pPr>
      <w:r w:rsidRPr="00932C66">
        <w:t xml:space="preserve">de porter la présente Résolution à l'attention </w:t>
      </w:r>
      <w:r>
        <w:t>de l'Organisation météorologique mondiale (OMM)</w:t>
      </w:r>
      <w:r w:rsidRPr="00932C66">
        <w:t xml:space="preserve"> et des autres organisations internationales et régionales concernées.</w:t>
      </w:r>
    </w:p>
    <w:p w:rsidR="00601178" w:rsidRPr="001331D5" w:rsidRDefault="00601178" w:rsidP="00A17011">
      <w:pPr>
        <w:jc w:val="both"/>
        <w:rPr>
          <w:rFonts w:asciiTheme="majorBidi" w:hAnsiTheme="majorBidi" w:cstheme="majorBidi"/>
          <w:szCs w:val="24"/>
        </w:rPr>
      </w:pPr>
    </w:p>
    <w:p w:rsidR="00F07383" w:rsidRPr="001331D5" w:rsidRDefault="00F07383" w:rsidP="00A17011">
      <w:pPr>
        <w:overflowPunct/>
        <w:autoSpaceDE/>
        <w:autoSpaceDN/>
        <w:adjustRightInd/>
        <w:spacing w:before="0"/>
        <w:textAlignment w:val="auto"/>
        <w:rPr>
          <w:rFonts w:asciiTheme="majorBidi" w:hAnsiTheme="majorBidi" w:cstheme="majorBidi"/>
          <w:szCs w:val="24"/>
        </w:rPr>
      </w:pPr>
      <w:r w:rsidRPr="001331D5">
        <w:rPr>
          <w:rFonts w:asciiTheme="majorBidi" w:hAnsiTheme="majorBidi" w:cstheme="majorBidi"/>
          <w:szCs w:val="24"/>
        </w:rPr>
        <w:br w:type="page"/>
      </w:r>
    </w:p>
    <w:p w:rsidR="00FB15F8" w:rsidRPr="00FB15F8" w:rsidRDefault="00641B09" w:rsidP="00A17011">
      <w:pPr>
        <w:pStyle w:val="ResNo"/>
      </w:pPr>
      <w:bookmarkStart w:id="236" w:name="RES_658"/>
      <w:bookmarkStart w:id="237" w:name="_Toc444507616"/>
      <w:bookmarkStart w:id="238" w:name="_Toc460331730"/>
      <w:bookmarkStart w:id="239" w:name="_Toc463616187"/>
      <w:bookmarkEnd w:id="202"/>
      <w:bookmarkEnd w:id="203"/>
      <w:bookmarkEnd w:id="204"/>
      <w:bookmarkEnd w:id="205"/>
      <w:bookmarkEnd w:id="206"/>
      <w:bookmarkEnd w:id="207"/>
      <w:bookmarkEnd w:id="208"/>
      <w:bookmarkEnd w:id="209"/>
      <w:r>
        <w:lastRenderedPageBreak/>
        <w:t>R</w:t>
      </w:r>
      <w:r w:rsidR="001D5201" w:rsidRPr="001D5201">
        <w:t>É</w:t>
      </w:r>
      <w:r w:rsidR="00FB15F8" w:rsidRPr="00FB15F8">
        <w:t xml:space="preserve">SOLUTION </w:t>
      </w:r>
      <w:r w:rsidR="00FB15F8" w:rsidRPr="00FB15F8">
        <w:rPr>
          <w:rStyle w:val="href"/>
        </w:rPr>
        <w:t>658</w:t>
      </w:r>
      <w:r w:rsidR="00FB15F8" w:rsidRPr="00FB15F8">
        <w:t> </w:t>
      </w:r>
      <w:bookmarkEnd w:id="236"/>
      <w:r w:rsidR="00FB15F8" w:rsidRPr="00FB15F8">
        <w:t>(</w:t>
      </w:r>
      <w:r w:rsidR="005A2541" w:rsidRPr="00A20F5A">
        <w:t>C</w:t>
      </w:r>
      <w:r w:rsidR="005A2541">
        <w:t>MR</w:t>
      </w:r>
      <w:r w:rsidR="00FB15F8" w:rsidRPr="00FB15F8">
        <w:t>-15)</w:t>
      </w:r>
      <w:bookmarkEnd w:id="237"/>
      <w:bookmarkEnd w:id="238"/>
      <w:bookmarkEnd w:id="239"/>
    </w:p>
    <w:p w:rsidR="00FC64A0" w:rsidRPr="00730563" w:rsidRDefault="00FC64A0" w:rsidP="00A17011">
      <w:pPr>
        <w:pStyle w:val="Restitle"/>
        <w:rPr>
          <w:lang w:val="fr-CH"/>
        </w:rPr>
      </w:pPr>
      <w:bookmarkStart w:id="240" w:name="_Toc450208771"/>
      <w:bookmarkStart w:id="241" w:name="_Toc463616188"/>
      <w:r w:rsidRPr="00730563">
        <w:rPr>
          <w:lang w:val="fr-CH"/>
        </w:rPr>
        <w:t xml:space="preserve">Attribution de la bande </w:t>
      </w:r>
      <w:r>
        <w:rPr>
          <w:lang w:val="fr-CH"/>
        </w:rPr>
        <w:t>de fréquences</w:t>
      </w:r>
      <w:r w:rsidRPr="00730563">
        <w:rPr>
          <w:lang w:val="fr-CH"/>
        </w:rPr>
        <w:t xml:space="preserve"> 50-54 MHz au service </w:t>
      </w:r>
      <w:r>
        <w:rPr>
          <w:lang w:val="fr-CH"/>
        </w:rPr>
        <w:br/>
      </w:r>
      <w:r w:rsidRPr="00730563">
        <w:rPr>
          <w:lang w:val="fr-CH"/>
        </w:rPr>
        <w:t>d</w:t>
      </w:r>
      <w:r>
        <w:rPr>
          <w:lang w:val="fr-CH"/>
        </w:rPr>
        <w:t>'</w:t>
      </w:r>
      <w:r w:rsidRPr="00730563">
        <w:rPr>
          <w:lang w:val="fr-CH"/>
        </w:rPr>
        <w:t>amateur</w:t>
      </w:r>
      <w:r>
        <w:rPr>
          <w:lang w:val="fr-CH"/>
        </w:rPr>
        <w:t xml:space="preserve"> </w:t>
      </w:r>
      <w:r w:rsidRPr="00730563">
        <w:rPr>
          <w:lang w:val="fr-CH"/>
        </w:rPr>
        <w:t>dans la Région</w:t>
      </w:r>
      <w:r>
        <w:rPr>
          <w:lang w:val="fr-CH"/>
        </w:rPr>
        <w:t xml:space="preserve"> </w:t>
      </w:r>
      <w:r w:rsidRPr="00730563">
        <w:rPr>
          <w:lang w:val="fr-CH"/>
        </w:rPr>
        <w:t>1</w:t>
      </w:r>
      <w:bookmarkEnd w:id="240"/>
      <w:bookmarkEnd w:id="241"/>
    </w:p>
    <w:p w:rsidR="00FC64A0" w:rsidRPr="00730563" w:rsidRDefault="00FC64A0" w:rsidP="00A17011">
      <w:pPr>
        <w:pStyle w:val="Normalaftertitle"/>
        <w:rPr>
          <w:lang w:val="fr-CH"/>
        </w:rPr>
      </w:pPr>
      <w:r w:rsidRPr="00730563">
        <w:rPr>
          <w:lang w:val="fr-CH"/>
        </w:rPr>
        <w:t>La Conférence mondiale des radiocommunications (Genève</w:t>
      </w:r>
      <w:r>
        <w:rPr>
          <w:lang w:val="fr-CH"/>
        </w:rPr>
        <w:t>,</w:t>
      </w:r>
      <w:r w:rsidRPr="00730563">
        <w:rPr>
          <w:lang w:val="fr-CH"/>
        </w:rPr>
        <w:t xml:space="preserve"> 2015),</w:t>
      </w:r>
    </w:p>
    <w:p w:rsidR="00FC64A0" w:rsidRPr="00730563" w:rsidRDefault="00FC64A0" w:rsidP="00A17011">
      <w:pPr>
        <w:pStyle w:val="Call"/>
        <w:rPr>
          <w:lang w:val="fr-CH"/>
        </w:rPr>
      </w:pPr>
      <w:r w:rsidRPr="00730563">
        <w:rPr>
          <w:lang w:val="fr-CH"/>
        </w:rPr>
        <w:t>considérant</w:t>
      </w:r>
    </w:p>
    <w:p w:rsidR="00FC64A0" w:rsidRPr="00730563" w:rsidRDefault="00FC64A0" w:rsidP="00A17011">
      <w:pPr>
        <w:jc w:val="both"/>
        <w:rPr>
          <w:lang w:val="fr-CH"/>
        </w:rPr>
      </w:pPr>
      <w:r w:rsidRPr="00B979D7">
        <w:rPr>
          <w:i/>
          <w:iCs/>
          <w:lang w:val="fr-CH"/>
        </w:rPr>
        <w:t>a)</w:t>
      </w:r>
      <w:r w:rsidRPr="00730563">
        <w:rPr>
          <w:lang w:val="fr-CH"/>
        </w:rPr>
        <w:tab/>
      </w:r>
      <w:r>
        <w:rPr>
          <w:color w:val="000000"/>
        </w:rPr>
        <w:t>qu'il est souhaitable d'utiliser des</w:t>
      </w:r>
      <w:r w:rsidR="00641B09">
        <w:rPr>
          <w:color w:val="000000"/>
        </w:rPr>
        <w:t xml:space="preserve"> </w:t>
      </w:r>
      <w:r>
        <w:rPr>
          <w:color w:val="000000"/>
        </w:rPr>
        <w:t>bandes de fréquences harmonisées, en partie ou en totalité, à l'échelle mondiale pour les services de radiocommunication, afin de parvenir à l'</w:t>
      </w:r>
      <w:r w:rsidRPr="002F0F9D">
        <w:t>interopérabilité</w:t>
      </w:r>
      <w:r>
        <w:rPr>
          <w:color w:val="000000"/>
        </w:rPr>
        <w:t xml:space="preserve"> internationale;</w:t>
      </w:r>
    </w:p>
    <w:p w:rsidR="00FC64A0" w:rsidRPr="00730563" w:rsidRDefault="00FC64A0" w:rsidP="00A17011">
      <w:pPr>
        <w:jc w:val="both"/>
        <w:rPr>
          <w:lang w:val="fr-CH"/>
        </w:rPr>
      </w:pPr>
      <w:r w:rsidRPr="00B979D7">
        <w:rPr>
          <w:i/>
          <w:iCs/>
          <w:lang w:val="fr-CH"/>
        </w:rPr>
        <w:t>b)</w:t>
      </w:r>
      <w:r w:rsidRPr="00730563">
        <w:rPr>
          <w:lang w:val="fr-CH"/>
        </w:rPr>
        <w:tab/>
        <w:t>qu</w:t>
      </w:r>
      <w:r>
        <w:rPr>
          <w:lang w:val="fr-CH"/>
        </w:rPr>
        <w:t>'</w:t>
      </w:r>
      <w:r w:rsidRPr="00730563">
        <w:rPr>
          <w:lang w:val="fr-CH"/>
        </w:rPr>
        <w:t xml:space="preserve">il est nécessaire de définir les conditions de partage, </w:t>
      </w:r>
      <w:r>
        <w:rPr>
          <w:color w:val="000000"/>
        </w:rPr>
        <w:t>lorsqu'on examine des bandes</w:t>
      </w:r>
      <w:r>
        <w:rPr>
          <w:lang w:val="fr-CH"/>
        </w:rPr>
        <w:t xml:space="preserve"> </w:t>
      </w:r>
      <w:r w:rsidRPr="00730563">
        <w:rPr>
          <w:lang w:val="fr-CH"/>
        </w:rPr>
        <w:t xml:space="preserve">de fréquences </w:t>
      </w:r>
      <w:r>
        <w:rPr>
          <w:color w:val="000000"/>
        </w:rPr>
        <w:t>en vue de faire des attributions additionnelles possibles à un service</w:t>
      </w:r>
      <w:r>
        <w:rPr>
          <w:lang w:val="fr-CH"/>
        </w:rPr>
        <w:t>,</w:t>
      </w:r>
    </w:p>
    <w:p w:rsidR="00FC64A0" w:rsidRPr="00730563" w:rsidRDefault="00FC64A0" w:rsidP="00A17011">
      <w:pPr>
        <w:pStyle w:val="Call"/>
        <w:jc w:val="both"/>
        <w:rPr>
          <w:lang w:val="fr-CH"/>
        </w:rPr>
      </w:pPr>
      <w:r w:rsidRPr="00730563">
        <w:rPr>
          <w:lang w:val="fr-CH"/>
        </w:rPr>
        <w:t>notant</w:t>
      </w:r>
    </w:p>
    <w:p w:rsidR="00FC64A0" w:rsidRPr="00730563" w:rsidRDefault="00FC64A0" w:rsidP="00A17011">
      <w:pPr>
        <w:jc w:val="both"/>
        <w:rPr>
          <w:lang w:val="fr-CH"/>
        </w:rPr>
      </w:pPr>
      <w:r w:rsidRPr="00B979D7">
        <w:rPr>
          <w:i/>
          <w:iCs/>
          <w:lang w:val="fr-CH"/>
        </w:rPr>
        <w:t>a)</w:t>
      </w:r>
      <w:r w:rsidRPr="00730563">
        <w:rPr>
          <w:lang w:val="fr-CH"/>
        </w:rPr>
        <w:tab/>
        <w:t>que la bande de fréquences 50-54 MHz est</w:t>
      </w:r>
      <w:r>
        <w:rPr>
          <w:lang w:val="fr-CH"/>
        </w:rPr>
        <w:t xml:space="preserve"> </w:t>
      </w:r>
      <w:r w:rsidRPr="00730563">
        <w:rPr>
          <w:lang w:val="fr-CH"/>
        </w:rPr>
        <w:t>a</w:t>
      </w:r>
      <w:r>
        <w:rPr>
          <w:lang w:val="fr-CH"/>
        </w:rPr>
        <w:t xml:space="preserve">ttribuée au service d'amateur </w:t>
      </w:r>
      <w:r w:rsidRPr="00730563">
        <w:rPr>
          <w:lang w:val="fr-CH"/>
        </w:rPr>
        <w:t>à t</w:t>
      </w:r>
      <w:r>
        <w:rPr>
          <w:lang w:val="fr-CH"/>
        </w:rPr>
        <w:t>itre primaire dans les Régions 2 et 3</w:t>
      </w:r>
      <w:r w:rsidRPr="00730563">
        <w:rPr>
          <w:lang w:val="fr-CH"/>
        </w:rPr>
        <w:t>;</w:t>
      </w:r>
    </w:p>
    <w:p w:rsidR="00FC64A0" w:rsidRPr="00730563" w:rsidRDefault="00FC64A0" w:rsidP="00A17011">
      <w:pPr>
        <w:jc w:val="both"/>
        <w:rPr>
          <w:lang w:val="fr-CH"/>
        </w:rPr>
      </w:pPr>
      <w:r w:rsidRPr="00B979D7">
        <w:rPr>
          <w:i/>
          <w:iCs/>
          <w:lang w:val="fr-CH"/>
        </w:rPr>
        <w:t>b)</w:t>
      </w:r>
      <w:r w:rsidRPr="00730563">
        <w:rPr>
          <w:lang w:val="fr-CH"/>
        </w:rPr>
        <w:tab/>
        <w:t xml:space="preserve"> que le numéro </w:t>
      </w:r>
      <w:r w:rsidRPr="00730563">
        <w:rPr>
          <w:rStyle w:val="Artdef"/>
          <w:lang w:val="fr-CH"/>
        </w:rPr>
        <w:t xml:space="preserve">5.169 </w:t>
      </w:r>
      <w:r w:rsidRPr="00730563">
        <w:rPr>
          <w:lang w:val="fr-CH"/>
        </w:rPr>
        <w:t>du Règlement des radiocommunications prévoit une attribution de remplacement au service d</w:t>
      </w:r>
      <w:r>
        <w:rPr>
          <w:lang w:val="fr-CH"/>
        </w:rPr>
        <w:t>'</w:t>
      </w:r>
      <w:r w:rsidRPr="00730563">
        <w:rPr>
          <w:lang w:val="fr-CH"/>
        </w:rPr>
        <w:t xml:space="preserve">amateur à titre primaire dans plusieurs pays de la Région </w:t>
      </w:r>
      <w:r>
        <w:rPr>
          <w:lang w:val="fr-CH"/>
        </w:rPr>
        <w:t>1;</w:t>
      </w:r>
    </w:p>
    <w:p w:rsidR="00FC64A0" w:rsidRPr="00730563" w:rsidRDefault="00FC64A0" w:rsidP="00A17011">
      <w:pPr>
        <w:jc w:val="both"/>
        <w:rPr>
          <w:lang w:val="fr-CH"/>
        </w:rPr>
      </w:pPr>
      <w:r w:rsidRPr="00B979D7">
        <w:rPr>
          <w:i/>
          <w:iCs/>
          <w:lang w:val="fr-CH"/>
        </w:rPr>
        <w:t>c)</w:t>
      </w:r>
      <w:r w:rsidRPr="00730563">
        <w:rPr>
          <w:lang w:val="fr-CH"/>
        </w:rPr>
        <w:tab/>
        <w:t xml:space="preserve">que le numéro </w:t>
      </w:r>
      <w:r w:rsidRPr="00730563">
        <w:rPr>
          <w:b/>
          <w:bCs/>
          <w:lang w:val="fr-CH"/>
        </w:rPr>
        <w:t>5.162A</w:t>
      </w:r>
      <w:r w:rsidRPr="00730563">
        <w:rPr>
          <w:lang w:val="fr-CH"/>
        </w:rPr>
        <w:t xml:space="preserve"> du Règlement des radiocommunications prévoit une attribution additionnelle au service de radiolocalisation à titre secondaire</w:t>
      </w:r>
      <w:r>
        <w:rPr>
          <w:lang w:val="fr-CH"/>
        </w:rPr>
        <w:t xml:space="preserve"> dans plusieurs pays</w:t>
      </w:r>
      <w:r w:rsidRPr="00730563">
        <w:rPr>
          <w:lang w:val="fr-CH"/>
        </w:rPr>
        <w:t>, l</w:t>
      </w:r>
      <w:r>
        <w:rPr>
          <w:lang w:val="fr-CH"/>
        </w:rPr>
        <w:t>'</w:t>
      </w:r>
      <w:r w:rsidRPr="00730563">
        <w:rPr>
          <w:lang w:val="fr-CH"/>
        </w:rPr>
        <w:t>utilisatio</w:t>
      </w:r>
      <w:r>
        <w:rPr>
          <w:lang w:val="fr-CH"/>
        </w:rPr>
        <w:t xml:space="preserve">n de cette bande de fréquences étant limitée </w:t>
      </w:r>
      <w:r w:rsidRPr="00730563">
        <w:rPr>
          <w:lang w:val="fr-CH"/>
        </w:rPr>
        <w:t>à l</w:t>
      </w:r>
      <w:r>
        <w:rPr>
          <w:lang w:val="fr-CH"/>
        </w:rPr>
        <w:t>'</w:t>
      </w:r>
      <w:r w:rsidRPr="00730563">
        <w:rPr>
          <w:lang w:val="fr-CH"/>
        </w:rPr>
        <w:t xml:space="preserve">exploitation des radars profileurs de vent conformément à la </w:t>
      </w:r>
      <w:r>
        <w:rPr>
          <w:lang w:val="fr-CH"/>
        </w:rPr>
        <w:t>Résolution </w:t>
      </w:r>
      <w:r w:rsidRPr="00730563">
        <w:rPr>
          <w:rStyle w:val="Artdef"/>
          <w:lang w:val="fr-CH"/>
        </w:rPr>
        <w:t>217 (</w:t>
      </w:r>
      <w:r>
        <w:rPr>
          <w:rStyle w:val="Artdef"/>
          <w:lang w:val="fr-CH"/>
        </w:rPr>
        <w:t>CMR-</w:t>
      </w:r>
      <w:r w:rsidRPr="00730563">
        <w:rPr>
          <w:rStyle w:val="Artdef"/>
          <w:lang w:val="fr-CH"/>
        </w:rPr>
        <w:t>97)</w:t>
      </w:r>
      <w:r>
        <w:rPr>
          <w:lang w:val="fr-CH"/>
        </w:rPr>
        <w:t>;</w:t>
      </w:r>
    </w:p>
    <w:p w:rsidR="00FC64A0" w:rsidRDefault="00FC64A0" w:rsidP="00A17011">
      <w:pPr>
        <w:jc w:val="both"/>
        <w:rPr>
          <w:lang w:val="fr-CH"/>
        </w:rPr>
      </w:pPr>
      <w:r w:rsidRPr="00B979D7">
        <w:rPr>
          <w:i/>
          <w:iCs/>
          <w:lang w:val="fr-CH"/>
        </w:rPr>
        <w:t>d)</w:t>
      </w:r>
      <w:r w:rsidRPr="00730563">
        <w:rPr>
          <w:lang w:val="fr-CH"/>
        </w:rPr>
        <w:tab/>
        <w:t>que la bande de fréquences 47</w:t>
      </w:r>
      <w:r>
        <w:rPr>
          <w:lang w:val="fr-CH"/>
        </w:rPr>
        <w:noBreakHyphen/>
      </w:r>
      <w:r w:rsidRPr="00730563">
        <w:rPr>
          <w:lang w:val="fr-CH"/>
        </w:rPr>
        <w:t>68 MHz</w:t>
      </w:r>
      <w:r>
        <w:rPr>
          <w:lang w:val="fr-CH"/>
        </w:rPr>
        <w:t xml:space="preserve"> est attribuée au service de radiodiffusion à titre primaire dans la Région 1, et que cette bande</w:t>
      </w:r>
      <w:r w:rsidRPr="00D14245">
        <w:rPr>
          <w:lang w:val="fr-CH"/>
        </w:rPr>
        <w:t xml:space="preserve"> </w:t>
      </w:r>
      <w:r>
        <w:rPr>
          <w:lang w:val="fr-CH"/>
        </w:rPr>
        <w:t>de fréquences</w:t>
      </w:r>
      <w:r w:rsidRPr="00730563">
        <w:rPr>
          <w:lang w:val="fr-CH"/>
        </w:rPr>
        <w:t>, ou une partie</w:t>
      </w:r>
      <w:r>
        <w:rPr>
          <w:lang w:val="fr-CH"/>
        </w:rPr>
        <w:t xml:space="preserve"> </w:t>
      </w:r>
      <w:r w:rsidRPr="00730563">
        <w:rPr>
          <w:lang w:val="fr-CH"/>
        </w:rPr>
        <w:t>de cette bande</w:t>
      </w:r>
      <w:r w:rsidRPr="00D14245">
        <w:rPr>
          <w:lang w:val="fr-CH"/>
        </w:rPr>
        <w:t xml:space="preserve"> </w:t>
      </w:r>
      <w:r>
        <w:rPr>
          <w:lang w:val="fr-CH"/>
        </w:rPr>
        <w:t>de fréquences</w:t>
      </w:r>
      <w:r w:rsidRPr="00730563">
        <w:rPr>
          <w:lang w:val="fr-CH"/>
        </w:rPr>
        <w:t>, est attribuée au service mobile à titre primaire da</w:t>
      </w:r>
      <w:r>
        <w:rPr>
          <w:lang w:val="fr-CH"/>
        </w:rPr>
        <w:t>ns plusieurs pays de la Région 1;</w:t>
      </w:r>
    </w:p>
    <w:p w:rsidR="00FC64A0" w:rsidRPr="00730563" w:rsidRDefault="00FC64A0" w:rsidP="00A17011">
      <w:pPr>
        <w:jc w:val="both"/>
        <w:rPr>
          <w:lang w:val="fr-CH"/>
        </w:rPr>
      </w:pPr>
      <w:r w:rsidRPr="00467323">
        <w:rPr>
          <w:i/>
          <w:iCs/>
          <w:lang w:val="fr-CH"/>
        </w:rPr>
        <w:t>e)</w:t>
      </w:r>
      <w:r>
        <w:rPr>
          <w:i/>
          <w:iCs/>
          <w:lang w:val="fr-CH"/>
        </w:rPr>
        <w:tab/>
      </w:r>
      <w:r>
        <w:rPr>
          <w:lang w:val="fr-CH"/>
        </w:rPr>
        <w:t xml:space="preserve"> que le numéro </w:t>
      </w:r>
      <w:r w:rsidRPr="00467323">
        <w:rPr>
          <w:b/>
          <w:bCs/>
          <w:lang w:val="fr-CH"/>
        </w:rPr>
        <w:t>5.167</w:t>
      </w:r>
      <w:r>
        <w:rPr>
          <w:lang w:val="fr-CH"/>
        </w:rPr>
        <w:t xml:space="preserve"> du Règlement des radiocommunications et d'autres renvois pertinents dans cette bande de fréquences prévoient des attributions de remplacement et des attributions additionnelles aux services fixe, mobile et de radiodiffusion à titre primaire,</w:t>
      </w:r>
    </w:p>
    <w:p w:rsidR="00FC64A0" w:rsidRPr="00730563" w:rsidRDefault="00FC64A0" w:rsidP="00A17011">
      <w:pPr>
        <w:pStyle w:val="Call"/>
        <w:jc w:val="both"/>
        <w:rPr>
          <w:lang w:val="fr-CH"/>
        </w:rPr>
      </w:pPr>
      <w:r w:rsidRPr="00730563">
        <w:rPr>
          <w:lang w:val="fr-CH"/>
        </w:rPr>
        <w:t>décide d</w:t>
      </w:r>
      <w:r>
        <w:rPr>
          <w:lang w:val="fr-CH"/>
        </w:rPr>
        <w:t>'</w:t>
      </w:r>
      <w:r w:rsidRPr="00730563">
        <w:rPr>
          <w:lang w:val="fr-CH"/>
        </w:rPr>
        <w:t xml:space="preserve">inviter la </w:t>
      </w:r>
      <w:r>
        <w:rPr>
          <w:lang w:val="fr-CH"/>
        </w:rPr>
        <w:t>Conférence mondiale des radiocommunications de 2019</w:t>
      </w:r>
    </w:p>
    <w:p w:rsidR="00FC64A0" w:rsidRDefault="00FC64A0" w:rsidP="00A17011">
      <w:pPr>
        <w:jc w:val="both"/>
        <w:rPr>
          <w:lang w:val="fr-CH"/>
        </w:rPr>
      </w:pPr>
      <w:r>
        <w:rPr>
          <w:color w:val="000000"/>
        </w:rPr>
        <w:t xml:space="preserve">à examiner les résultats des études ci-dessous et à prendre les mesures appropriées, </w:t>
      </w:r>
      <w:r w:rsidRPr="00166096">
        <w:rPr>
          <w:color w:val="000000"/>
          <w:lang w:val="fr-CH"/>
        </w:rPr>
        <w:t>y compris</w:t>
      </w:r>
      <w:r>
        <w:rPr>
          <w:color w:val="000000"/>
          <w:lang w:val="fr-CH"/>
        </w:rPr>
        <w:t xml:space="preserve"> une </w:t>
      </w:r>
      <w:r w:rsidRPr="00166096">
        <w:rPr>
          <w:color w:val="000000"/>
          <w:lang w:val="fr-CH"/>
        </w:rPr>
        <w:t>attribution de fréquences</w:t>
      </w:r>
      <w:r>
        <w:rPr>
          <w:lang w:val="fr-CH"/>
        </w:rPr>
        <w:t>;</w:t>
      </w:r>
    </w:p>
    <w:p w:rsidR="00FC64A0" w:rsidRPr="00730563" w:rsidRDefault="00FC64A0" w:rsidP="00A17011">
      <w:pPr>
        <w:pStyle w:val="Call"/>
        <w:jc w:val="both"/>
        <w:rPr>
          <w:i w:val="0"/>
          <w:iCs/>
          <w:lang w:val="fr-CH"/>
        </w:rPr>
      </w:pPr>
      <w:r>
        <w:rPr>
          <w:lang w:val="fr-CH"/>
        </w:rPr>
        <w:t>invite</w:t>
      </w:r>
      <w:r w:rsidRPr="00730563">
        <w:rPr>
          <w:lang w:val="fr-CH"/>
        </w:rPr>
        <w:t xml:space="preserve"> </w:t>
      </w:r>
      <w:r>
        <w:rPr>
          <w:lang w:val="fr-CH"/>
        </w:rPr>
        <w:t>l'</w:t>
      </w:r>
      <w:r w:rsidRPr="00730563">
        <w:rPr>
          <w:lang w:val="fr-CH"/>
        </w:rPr>
        <w:t>UIT</w:t>
      </w:r>
      <w:r>
        <w:rPr>
          <w:lang w:val="fr-CH"/>
        </w:rPr>
        <w:t>-R</w:t>
      </w:r>
    </w:p>
    <w:p w:rsidR="00FC64A0" w:rsidRPr="00730563" w:rsidRDefault="00FC64A0" w:rsidP="00A17011">
      <w:pPr>
        <w:jc w:val="both"/>
        <w:rPr>
          <w:lang w:val="fr-CH"/>
        </w:rPr>
      </w:pPr>
      <w:r w:rsidRPr="00730563">
        <w:rPr>
          <w:lang w:val="fr-CH"/>
        </w:rPr>
        <w:t>1</w:t>
      </w:r>
      <w:r w:rsidRPr="00730563">
        <w:rPr>
          <w:lang w:val="fr-CH"/>
        </w:rPr>
        <w:tab/>
        <w:t>à étudier les besoins de fréquences en Région 1 du service d</w:t>
      </w:r>
      <w:r>
        <w:rPr>
          <w:lang w:val="fr-CH"/>
        </w:rPr>
        <w:t>'</w:t>
      </w:r>
      <w:r w:rsidRPr="00730563">
        <w:rPr>
          <w:lang w:val="fr-CH"/>
        </w:rPr>
        <w:t>amateur dans la bande de fréquences 50-54 MHz;</w:t>
      </w:r>
    </w:p>
    <w:p w:rsidR="00FC64A0" w:rsidRPr="00730563" w:rsidRDefault="00FC64A0" w:rsidP="00A17011">
      <w:pPr>
        <w:jc w:val="both"/>
        <w:rPr>
          <w:lang w:val="fr-CH"/>
        </w:rPr>
      </w:pPr>
      <w:r w:rsidRPr="00730563">
        <w:rPr>
          <w:lang w:val="fr-CH"/>
        </w:rPr>
        <w:t>2</w:t>
      </w:r>
      <w:r w:rsidRPr="00730563">
        <w:rPr>
          <w:lang w:val="fr-CH"/>
        </w:rPr>
        <w:tab/>
        <w:t xml:space="preserve">compte tenu des résultats des études </w:t>
      </w:r>
      <w:r>
        <w:rPr>
          <w:lang w:val="fr-CH"/>
        </w:rPr>
        <w:t>mentionnées ci-dessus,</w:t>
      </w:r>
      <w:r w:rsidRPr="00730563">
        <w:rPr>
          <w:lang w:val="fr-CH"/>
        </w:rPr>
        <w:t xml:space="preserve"> à étudier le partage entre le service d</w:t>
      </w:r>
      <w:r>
        <w:rPr>
          <w:lang w:val="fr-CH"/>
        </w:rPr>
        <w:t>'</w:t>
      </w:r>
      <w:r w:rsidRPr="00730563">
        <w:rPr>
          <w:lang w:val="fr-CH"/>
        </w:rPr>
        <w:t>amateur et les services mobile</w:t>
      </w:r>
      <w:r>
        <w:rPr>
          <w:lang w:val="fr-CH"/>
        </w:rPr>
        <w:t>,</w:t>
      </w:r>
      <w:r w:rsidRPr="00552286">
        <w:rPr>
          <w:lang w:val="fr-CH"/>
        </w:rPr>
        <w:t xml:space="preserve"> </w:t>
      </w:r>
      <w:r w:rsidRPr="00730563">
        <w:rPr>
          <w:lang w:val="fr-CH"/>
        </w:rPr>
        <w:t>fixe, de radiolocalisation et de radiodiffusion</w:t>
      </w:r>
      <w:r>
        <w:rPr>
          <w:lang w:val="fr-CH"/>
        </w:rPr>
        <w:t>, afin de garantir la protection de ces services.</w:t>
      </w:r>
    </w:p>
    <w:p w:rsidR="00FC64A0" w:rsidRDefault="007C1B97" w:rsidP="00A17011">
      <w:pPr>
        <w:pStyle w:val="ResNo"/>
        <w:rPr>
          <w:lang w:val="fr-CH"/>
        </w:rPr>
      </w:pPr>
      <w:r w:rsidRPr="001331D5">
        <w:rPr>
          <w:rFonts w:asciiTheme="majorBidi" w:hAnsiTheme="majorBidi" w:cstheme="majorBidi"/>
          <w:sz w:val="24"/>
          <w:szCs w:val="24"/>
        </w:rPr>
        <w:br w:type="page"/>
      </w:r>
      <w:bookmarkStart w:id="242" w:name="_Toc319341083"/>
      <w:bookmarkStart w:id="243" w:name="_Toc319401913"/>
      <w:bookmarkStart w:id="244" w:name="_Toc320520022"/>
      <w:bookmarkStart w:id="245" w:name="_Toc320862123"/>
      <w:bookmarkStart w:id="246" w:name="_Toc320862283"/>
      <w:bookmarkStart w:id="247" w:name="_Toc324918380"/>
      <w:bookmarkStart w:id="248" w:name="_Toc327364576"/>
      <w:bookmarkStart w:id="249" w:name="_Toc337471356"/>
    </w:p>
    <w:p w:rsidR="00FB15F8" w:rsidRPr="00FB15F8" w:rsidRDefault="00A20F5A" w:rsidP="00A17011">
      <w:pPr>
        <w:pStyle w:val="ResNo"/>
      </w:pPr>
      <w:bookmarkStart w:id="250" w:name="RES_659"/>
      <w:bookmarkStart w:id="251" w:name="_Toc444507618"/>
      <w:bookmarkStart w:id="252" w:name="_Toc460331732"/>
      <w:bookmarkStart w:id="253" w:name="_Toc463616189"/>
      <w:r>
        <w:lastRenderedPageBreak/>
        <w:t>R</w:t>
      </w:r>
      <w:r w:rsidR="001D5201" w:rsidRPr="001D5201">
        <w:t>É</w:t>
      </w:r>
      <w:r w:rsidR="00FB15F8" w:rsidRPr="00FB15F8">
        <w:t xml:space="preserve">SOLUTION </w:t>
      </w:r>
      <w:r w:rsidR="00FB15F8" w:rsidRPr="00FB15F8">
        <w:rPr>
          <w:rStyle w:val="href"/>
        </w:rPr>
        <w:t>659</w:t>
      </w:r>
      <w:r w:rsidR="00FB15F8" w:rsidRPr="00FB15F8">
        <w:t xml:space="preserve"> </w:t>
      </w:r>
      <w:bookmarkEnd w:id="250"/>
      <w:r w:rsidR="00C173DE">
        <w:t>(</w:t>
      </w:r>
      <w:r w:rsidR="005A2541" w:rsidRPr="00A20F5A">
        <w:t>C</w:t>
      </w:r>
      <w:r w:rsidR="005A2541">
        <w:t>MR</w:t>
      </w:r>
      <w:r w:rsidR="00FB15F8" w:rsidRPr="00FB15F8">
        <w:noBreakHyphen/>
        <w:t>15)</w:t>
      </w:r>
      <w:bookmarkEnd w:id="251"/>
      <w:bookmarkEnd w:id="252"/>
      <w:bookmarkEnd w:id="253"/>
    </w:p>
    <w:p w:rsidR="00FC64A0" w:rsidRPr="00730563" w:rsidRDefault="00FC64A0" w:rsidP="00A17011">
      <w:pPr>
        <w:pStyle w:val="Restitle"/>
        <w:rPr>
          <w:lang w:val="fr-CH"/>
        </w:rPr>
      </w:pPr>
      <w:bookmarkStart w:id="254" w:name="_Toc450208773"/>
      <w:bookmarkStart w:id="255" w:name="_Toc463616190"/>
      <w:proofErr w:type="spellStart"/>
      <w:r>
        <w:rPr>
          <w:lang w:val="fr-CH"/>
        </w:rPr>
        <w:t>E</w:t>
      </w:r>
      <w:r w:rsidRPr="00730563">
        <w:rPr>
          <w:lang w:val="fr-CH"/>
        </w:rPr>
        <w:t>tudes</w:t>
      </w:r>
      <w:proofErr w:type="spellEnd"/>
      <w:r w:rsidRPr="00730563">
        <w:rPr>
          <w:lang w:val="fr-CH"/>
        </w:rPr>
        <w:t xml:space="preserve"> </w:t>
      </w:r>
      <w:r>
        <w:rPr>
          <w:lang w:val="fr-CH"/>
        </w:rPr>
        <w:t xml:space="preserve">visant à répondre aux besoins du service d'exploitation spatiale pour les satellites non géostationnaires associés à des </w:t>
      </w:r>
      <w:r w:rsidR="005131A3">
        <w:rPr>
          <w:lang w:val="fr-CH"/>
        </w:rPr>
        <w:br/>
      </w:r>
      <w:r>
        <w:rPr>
          <w:lang w:val="fr-CH"/>
        </w:rPr>
        <w:t>missions de courte durée</w:t>
      </w:r>
      <w:bookmarkEnd w:id="254"/>
      <w:bookmarkEnd w:id="255"/>
    </w:p>
    <w:p w:rsidR="00FC64A0" w:rsidRPr="00730563" w:rsidRDefault="00FC64A0" w:rsidP="00A17011">
      <w:pPr>
        <w:pStyle w:val="Normalaftertitle"/>
        <w:rPr>
          <w:lang w:val="fr-CH"/>
        </w:rPr>
      </w:pPr>
      <w:r w:rsidRPr="00730563">
        <w:rPr>
          <w:lang w:val="fr-CH"/>
        </w:rPr>
        <w:t>La Conférence mondiale des radiocommunications (Genève</w:t>
      </w:r>
      <w:r>
        <w:rPr>
          <w:lang w:val="fr-CH"/>
        </w:rPr>
        <w:t>,</w:t>
      </w:r>
      <w:r w:rsidRPr="00730563">
        <w:rPr>
          <w:lang w:val="fr-CH"/>
        </w:rPr>
        <w:t xml:space="preserve"> 2015),</w:t>
      </w:r>
    </w:p>
    <w:p w:rsidR="00FC64A0" w:rsidRPr="00B979D7" w:rsidRDefault="00FC64A0" w:rsidP="00A17011">
      <w:pPr>
        <w:pStyle w:val="Call"/>
        <w:rPr>
          <w:lang w:val="fr-CH"/>
        </w:rPr>
      </w:pPr>
      <w:r w:rsidRPr="00B979D7">
        <w:rPr>
          <w:lang w:val="fr-CH"/>
        </w:rPr>
        <w:t>considérant</w:t>
      </w:r>
    </w:p>
    <w:p w:rsidR="00FC64A0" w:rsidRPr="000D75A3" w:rsidRDefault="00FC64A0" w:rsidP="00A17011">
      <w:pPr>
        <w:jc w:val="both"/>
      </w:pPr>
      <w:r w:rsidRPr="004E10E0">
        <w:rPr>
          <w:i/>
          <w:iCs/>
          <w:lang w:val="fr-CH"/>
        </w:rPr>
        <w:t>a)</w:t>
      </w:r>
      <w:r>
        <w:rPr>
          <w:lang w:val="fr-CH"/>
        </w:rPr>
        <w:tab/>
        <w:t>que l'expression «mission de courte durée» utilisée dans la présente Résolution désigne une mission ayant une durée de validité limitée n'excédant généralement pas trois ans</w:t>
      </w:r>
      <w:r w:rsidRPr="005D2784">
        <w:t>;</w:t>
      </w:r>
    </w:p>
    <w:p w:rsidR="00FC64A0" w:rsidRPr="00730563" w:rsidRDefault="00FC64A0" w:rsidP="00A17011">
      <w:pPr>
        <w:jc w:val="both"/>
        <w:rPr>
          <w:lang w:val="fr-CH"/>
        </w:rPr>
      </w:pPr>
      <w:r w:rsidRPr="004E10E0">
        <w:rPr>
          <w:i/>
          <w:iCs/>
          <w:lang w:val="fr-CH"/>
        </w:rPr>
        <w:t>b)</w:t>
      </w:r>
      <w:r w:rsidRPr="00730563">
        <w:rPr>
          <w:lang w:val="fr-CH"/>
        </w:rPr>
        <w:tab/>
      </w:r>
      <w:r>
        <w:rPr>
          <w:lang w:val="fr-CH"/>
        </w:rPr>
        <w:t>que le Rapport UIT-R SA.2312</w:t>
      </w:r>
      <w:r w:rsidRPr="004E6061">
        <w:rPr>
          <w:lang w:val="fr-CH"/>
        </w:rPr>
        <w:t xml:space="preserve"> </w:t>
      </w:r>
      <w:r>
        <w:rPr>
          <w:lang w:val="fr-CH"/>
        </w:rPr>
        <w:t>donne</w:t>
      </w:r>
      <w:r w:rsidRPr="003F33D9">
        <w:rPr>
          <w:lang w:val="fr-CH"/>
        </w:rPr>
        <w:t xml:space="preserve"> </w:t>
      </w:r>
      <w:r>
        <w:rPr>
          <w:lang w:val="fr-CH"/>
        </w:rPr>
        <w:t>des exemples de satellites de ce type et décrit leurs caractéristiques techniques;</w:t>
      </w:r>
    </w:p>
    <w:p w:rsidR="00FC64A0" w:rsidRPr="00730563" w:rsidRDefault="00FC64A0" w:rsidP="00A17011">
      <w:pPr>
        <w:jc w:val="both"/>
        <w:rPr>
          <w:lang w:val="fr-CH"/>
        </w:rPr>
      </w:pPr>
      <w:r w:rsidRPr="004E10E0">
        <w:rPr>
          <w:i/>
          <w:iCs/>
          <w:lang w:val="fr-CH"/>
        </w:rPr>
        <w:t>c)</w:t>
      </w:r>
      <w:r w:rsidRPr="00730563">
        <w:rPr>
          <w:lang w:val="fr-CH"/>
        </w:rPr>
        <w:tab/>
      </w:r>
      <w:r>
        <w:rPr>
          <w:lang w:val="fr-CH"/>
        </w:rPr>
        <w:t xml:space="preserve">que le Rapport UIT-R SA.2348 donne un aperçu général de </w:t>
      </w:r>
      <w:r w:rsidRPr="00B26F89">
        <w:rPr>
          <w:lang w:val="fr-CH"/>
        </w:rPr>
        <w:t xml:space="preserve">la pratique et </w:t>
      </w:r>
      <w:r>
        <w:rPr>
          <w:lang w:val="fr-CH"/>
        </w:rPr>
        <w:t>d</w:t>
      </w:r>
      <w:r w:rsidRPr="00B26F89">
        <w:rPr>
          <w:lang w:val="fr-CH"/>
        </w:rPr>
        <w:t>es procédures suivies</w:t>
      </w:r>
      <w:r w:rsidRPr="003F33D9">
        <w:rPr>
          <w:lang w:val="fr-CH"/>
        </w:rPr>
        <w:t xml:space="preserve"> </w:t>
      </w:r>
      <w:r w:rsidRPr="00B26F89">
        <w:rPr>
          <w:lang w:val="fr-CH"/>
        </w:rPr>
        <w:t>actuellement pour</w:t>
      </w:r>
      <w:r>
        <w:rPr>
          <w:lang w:val="fr-CH"/>
        </w:rPr>
        <w:t xml:space="preserve"> la notification</w:t>
      </w:r>
      <w:r w:rsidRPr="00B26F89">
        <w:rPr>
          <w:lang w:val="fr-CH"/>
        </w:rPr>
        <w:t xml:space="preserve"> </w:t>
      </w:r>
      <w:r>
        <w:rPr>
          <w:lang w:val="fr-CH"/>
        </w:rPr>
        <w:t>d</w:t>
      </w:r>
      <w:r w:rsidRPr="00B26F89">
        <w:rPr>
          <w:lang w:val="fr-CH"/>
        </w:rPr>
        <w:t xml:space="preserve">es réseaux spatiaux qui </w:t>
      </w:r>
      <w:r>
        <w:rPr>
          <w:lang w:val="fr-CH"/>
        </w:rPr>
        <w:t>s'appliquent actuellement à ces satellites;</w:t>
      </w:r>
    </w:p>
    <w:p w:rsidR="00FC64A0" w:rsidRDefault="00FC64A0" w:rsidP="00A17011">
      <w:pPr>
        <w:jc w:val="both"/>
        <w:rPr>
          <w:lang w:val="fr-CH"/>
        </w:rPr>
      </w:pPr>
      <w:r w:rsidRPr="004E10E0">
        <w:rPr>
          <w:i/>
          <w:iCs/>
          <w:lang w:val="fr-CH"/>
        </w:rPr>
        <w:t>d)</w:t>
      </w:r>
      <w:r w:rsidRPr="00730563">
        <w:rPr>
          <w:lang w:val="fr-CH"/>
        </w:rPr>
        <w:tab/>
      </w:r>
      <w:r w:rsidRPr="00B26F89">
        <w:rPr>
          <w:lang w:val="fr-CH"/>
        </w:rPr>
        <w:t>que</w:t>
      </w:r>
      <w:r>
        <w:rPr>
          <w:lang w:val="fr-CH"/>
        </w:rPr>
        <w:t xml:space="preserve">, étant donné que </w:t>
      </w:r>
      <w:r w:rsidRPr="00B26F89">
        <w:rPr>
          <w:lang w:val="fr-CH"/>
        </w:rPr>
        <w:t>ces satellites</w:t>
      </w:r>
      <w:r>
        <w:rPr>
          <w:lang w:val="fr-CH"/>
        </w:rPr>
        <w:t xml:space="preserve"> sont de plus en plus nombreux, on aura peut-être davantage besoin </w:t>
      </w:r>
      <w:r w:rsidRPr="00B26F89">
        <w:rPr>
          <w:lang w:val="fr-CH"/>
        </w:rPr>
        <w:t xml:space="preserve">de </w:t>
      </w:r>
      <w:r>
        <w:rPr>
          <w:lang w:val="fr-CH"/>
        </w:rPr>
        <w:t>disposer d'</w:t>
      </w:r>
      <w:r w:rsidRPr="00B26F89">
        <w:rPr>
          <w:lang w:val="fr-CH"/>
        </w:rPr>
        <w:t>attributions appropriées pour le service d'exploitation spatiale</w:t>
      </w:r>
      <w:r>
        <w:rPr>
          <w:lang w:val="fr-CH"/>
        </w:rPr>
        <w:t>;</w:t>
      </w:r>
    </w:p>
    <w:p w:rsidR="00FC64A0" w:rsidRDefault="00FC64A0" w:rsidP="00A17011">
      <w:pPr>
        <w:jc w:val="both"/>
      </w:pPr>
      <w:r>
        <w:rPr>
          <w:i/>
          <w:iCs/>
          <w:lang w:val="fr-CH"/>
        </w:rPr>
        <w:t>e)</w:t>
      </w:r>
      <w:r>
        <w:rPr>
          <w:i/>
          <w:iCs/>
          <w:lang w:val="fr-CH"/>
        </w:rPr>
        <w:tab/>
      </w:r>
      <w:r w:rsidRPr="00B26F89">
        <w:rPr>
          <w:lang w:val="fr-CH"/>
        </w:rPr>
        <w:t xml:space="preserve">qu'il est important de veiller </w:t>
      </w:r>
      <w:r w:rsidRPr="00B26F89">
        <w:t>à ce que l'utilisation des fréquences radioélectriques par des satellites quels qu'ils soient ne cause pas de brouillages préjudiciables aux autres systèmes et services</w:t>
      </w:r>
      <w:r>
        <w:t>;</w:t>
      </w:r>
    </w:p>
    <w:p w:rsidR="00FC64A0" w:rsidRDefault="00FC64A0" w:rsidP="00A17011">
      <w:pPr>
        <w:jc w:val="both"/>
        <w:rPr>
          <w:iCs/>
        </w:rPr>
      </w:pPr>
      <w:r>
        <w:rPr>
          <w:i/>
          <w:iCs/>
        </w:rPr>
        <w:t>f)</w:t>
      </w:r>
      <w:r>
        <w:rPr>
          <w:i/>
          <w:iCs/>
        </w:rPr>
        <w:tab/>
      </w:r>
      <w:r>
        <w:rPr>
          <w:iCs/>
        </w:rPr>
        <w:t>que les bandes de fréquences au-dessous de 1 GHz sont utilisées pour une large gamme d'applications de Terre et spatiales, que certaines de ces bandes</w:t>
      </w:r>
      <w:r w:rsidRPr="003A5234">
        <w:rPr>
          <w:iCs/>
        </w:rPr>
        <w:t xml:space="preserve"> </w:t>
      </w:r>
      <w:r>
        <w:rPr>
          <w:iCs/>
        </w:rPr>
        <w:t>de fréquences sont très utilisées et que de nouvelles attributions au service d'exploitation spatiale dans ces bandes</w:t>
      </w:r>
      <w:r w:rsidRPr="003A5234">
        <w:rPr>
          <w:iCs/>
        </w:rPr>
        <w:t xml:space="preserve"> </w:t>
      </w:r>
      <w:r>
        <w:rPr>
          <w:iCs/>
        </w:rPr>
        <w:t>de fréquences ne devraient pas imposer de contraintes inutiles aux services existants;</w:t>
      </w:r>
    </w:p>
    <w:p w:rsidR="00FC64A0" w:rsidRDefault="00FC64A0" w:rsidP="00A17011">
      <w:pPr>
        <w:jc w:val="both"/>
        <w:rPr>
          <w:iCs/>
          <w:lang w:val="fr-CH"/>
        </w:rPr>
      </w:pPr>
      <w:r>
        <w:rPr>
          <w:i/>
          <w:iCs/>
          <w:lang w:val="fr-CH"/>
        </w:rPr>
        <w:t>g)</w:t>
      </w:r>
      <w:r>
        <w:rPr>
          <w:i/>
          <w:iCs/>
          <w:lang w:val="fr-CH"/>
        </w:rPr>
        <w:tab/>
      </w:r>
      <w:r w:rsidRPr="007138F9">
        <w:rPr>
          <w:iCs/>
          <w:lang w:val="fr-CH"/>
        </w:rPr>
        <w:t>que</w:t>
      </w:r>
      <w:r>
        <w:rPr>
          <w:iCs/>
          <w:lang w:val="fr-CH"/>
        </w:rPr>
        <w:t xml:space="preserve"> certains satellites ne relevant pas du service d'amateur ont utilisé des fréquences pour la télémesure, la poursuite et la télécommande dans les bandes</w:t>
      </w:r>
      <w:r w:rsidRPr="003A5234">
        <w:rPr>
          <w:iCs/>
        </w:rPr>
        <w:t xml:space="preserve"> </w:t>
      </w:r>
      <w:r>
        <w:rPr>
          <w:iCs/>
        </w:rPr>
        <w:t>de fréquences</w:t>
      </w:r>
      <w:r>
        <w:rPr>
          <w:iCs/>
          <w:lang w:val="fr-CH"/>
        </w:rPr>
        <w:t xml:space="preserve"> 144-146 MHz et 435</w:t>
      </w:r>
      <w:r>
        <w:rPr>
          <w:iCs/>
          <w:lang w:val="fr-CH"/>
        </w:rPr>
        <w:noBreakHyphen/>
        <w:t xml:space="preserve">438 MHz attribuées au service d'amateur par satellite, et que cette utilisation n'est pas conforme aux numéros </w:t>
      </w:r>
      <w:r w:rsidRPr="007138F9">
        <w:rPr>
          <w:b/>
          <w:bCs/>
          <w:iCs/>
          <w:lang w:val="fr-CH"/>
        </w:rPr>
        <w:t>1.56</w:t>
      </w:r>
      <w:r>
        <w:rPr>
          <w:iCs/>
          <w:lang w:val="fr-CH"/>
        </w:rPr>
        <w:t xml:space="preserve"> et </w:t>
      </w:r>
      <w:r w:rsidRPr="007138F9">
        <w:rPr>
          <w:b/>
          <w:bCs/>
          <w:iCs/>
          <w:lang w:val="fr-CH"/>
        </w:rPr>
        <w:t>1.57</w:t>
      </w:r>
      <w:r>
        <w:rPr>
          <w:iCs/>
          <w:lang w:val="fr-CH"/>
        </w:rPr>
        <w:t>;</w:t>
      </w:r>
    </w:p>
    <w:p w:rsidR="00FC64A0" w:rsidRDefault="00FC64A0" w:rsidP="00A17011">
      <w:pPr>
        <w:jc w:val="both"/>
        <w:rPr>
          <w:lang w:val="fr-CH"/>
        </w:rPr>
      </w:pPr>
      <w:r>
        <w:rPr>
          <w:i/>
          <w:lang w:val="fr-CH"/>
        </w:rPr>
        <w:t>h)</w:t>
      </w:r>
      <w:r>
        <w:rPr>
          <w:i/>
          <w:lang w:val="fr-CH"/>
        </w:rPr>
        <w:tab/>
      </w:r>
      <w:r>
        <w:rPr>
          <w:lang w:val="fr-CH"/>
        </w:rPr>
        <w:t xml:space="preserve">que, conformément au numéro </w:t>
      </w:r>
      <w:r w:rsidRPr="00076ACC">
        <w:rPr>
          <w:b/>
          <w:bCs/>
          <w:lang w:val="fr-CH"/>
        </w:rPr>
        <w:t>1.23</w:t>
      </w:r>
      <w:r>
        <w:rPr>
          <w:lang w:val="fr-CH"/>
        </w:rPr>
        <w:t>, les fonctions de télémesure, de poursuite et de télécommande pour les satellites seront normalement assurées dans le cadre du service dans lequel la station spatiale est exploitée;</w:t>
      </w:r>
    </w:p>
    <w:p w:rsidR="00FC64A0" w:rsidRDefault="00FC64A0" w:rsidP="00A17011">
      <w:pPr>
        <w:jc w:val="both"/>
        <w:rPr>
          <w:iCs/>
          <w:lang w:val="fr-CH"/>
        </w:rPr>
      </w:pPr>
      <w:r>
        <w:rPr>
          <w:i/>
          <w:lang w:val="fr-CH"/>
        </w:rPr>
        <w:t>i)</w:t>
      </w:r>
      <w:r>
        <w:rPr>
          <w:iCs/>
          <w:lang w:val="fr-CH"/>
        </w:rPr>
        <w:tab/>
        <w:t>que ces satellites sont soumis à des contraintes en ce sens que la puissance à bord est limitée et que le gain d'antenne est faible, comme indiqué dans le Rapport UIT-R</w:t>
      </w:r>
      <w:r w:rsidRPr="007138F9">
        <w:rPr>
          <w:iCs/>
          <w:lang w:val="fr-CH"/>
        </w:rPr>
        <w:t xml:space="preserve"> </w:t>
      </w:r>
      <w:r>
        <w:rPr>
          <w:iCs/>
          <w:lang w:val="fr-CH"/>
        </w:rPr>
        <w:t>SA.2312;</w:t>
      </w:r>
    </w:p>
    <w:p w:rsidR="00FC64A0" w:rsidRPr="007138F9" w:rsidRDefault="00FC64A0" w:rsidP="00A17011">
      <w:pPr>
        <w:jc w:val="both"/>
        <w:rPr>
          <w:iCs/>
          <w:lang w:val="fr-CH"/>
        </w:rPr>
      </w:pPr>
      <w:r>
        <w:rPr>
          <w:i/>
          <w:lang w:val="fr-CH"/>
        </w:rPr>
        <w:t>j)</w:t>
      </w:r>
      <w:r>
        <w:rPr>
          <w:i/>
          <w:lang w:val="fr-CH"/>
        </w:rPr>
        <w:tab/>
      </w:r>
      <w:r>
        <w:rPr>
          <w:lang w:val="fr-CH"/>
        </w:rPr>
        <w:t xml:space="preserve">que la largeur de bande actuellement utilisée par ces satellites pour la télémesure, la poursuite et la télécommande dans les bandes au-dessous de 1 GHz, comme indiqué dans le Rapport UIT-R </w:t>
      </w:r>
      <w:r>
        <w:rPr>
          <w:iCs/>
          <w:lang w:val="fr-CH"/>
        </w:rPr>
        <w:t>SA.2312, est généralement égale ou inférieure à 0,1 MHz,</w:t>
      </w:r>
    </w:p>
    <w:p w:rsidR="00FC64A0" w:rsidRPr="00730563" w:rsidRDefault="00FC64A0" w:rsidP="00A17011">
      <w:pPr>
        <w:pStyle w:val="Call"/>
        <w:jc w:val="both"/>
        <w:rPr>
          <w:lang w:val="fr-CH"/>
        </w:rPr>
      </w:pPr>
      <w:r w:rsidRPr="00730563">
        <w:rPr>
          <w:lang w:val="fr-CH"/>
        </w:rPr>
        <w:t>considérant en outre</w:t>
      </w:r>
    </w:p>
    <w:p w:rsidR="00FC64A0" w:rsidRPr="00730563" w:rsidRDefault="00FC64A0" w:rsidP="00A17011">
      <w:pPr>
        <w:jc w:val="both"/>
        <w:rPr>
          <w:lang w:val="fr-CH"/>
        </w:rPr>
      </w:pPr>
      <w:r w:rsidRPr="004E10E0">
        <w:rPr>
          <w:i/>
          <w:iCs/>
          <w:lang w:val="fr-CH"/>
        </w:rPr>
        <w:t>a)</w:t>
      </w:r>
      <w:r w:rsidRPr="00730563">
        <w:rPr>
          <w:lang w:val="fr-CH"/>
        </w:rPr>
        <w:tab/>
      </w:r>
      <w:r w:rsidRPr="00C86932">
        <w:rPr>
          <w:color w:val="000000"/>
        </w:rPr>
        <w:t xml:space="preserve">que les satellites de ce type </w:t>
      </w:r>
      <w:r>
        <w:rPr>
          <w:color w:val="000000"/>
        </w:rPr>
        <w:t>peuvent offrir</w:t>
      </w:r>
      <w:r w:rsidRPr="00C86932">
        <w:rPr>
          <w:color w:val="000000"/>
        </w:rPr>
        <w:t xml:space="preserve"> aux nouveaux venus dans le secteur spatial un moyen financièrement abordable d'accéder aux ressources orbitales (spectre et orbites);</w:t>
      </w:r>
    </w:p>
    <w:p w:rsidR="00FC64A0" w:rsidRPr="00730563" w:rsidRDefault="00FC64A0" w:rsidP="00A17011">
      <w:pPr>
        <w:jc w:val="both"/>
        <w:rPr>
          <w:lang w:val="fr-CH"/>
        </w:rPr>
      </w:pPr>
      <w:r w:rsidRPr="004E10E0">
        <w:rPr>
          <w:i/>
          <w:iCs/>
          <w:lang w:val="fr-CH"/>
        </w:rPr>
        <w:t>b)</w:t>
      </w:r>
      <w:r w:rsidRPr="00730563">
        <w:rPr>
          <w:lang w:val="fr-CH"/>
        </w:rPr>
        <w:tab/>
        <w:t>que</w:t>
      </w:r>
      <w:r w:rsidRPr="00CC674C">
        <w:t xml:space="preserve"> la masse et les dimensions de ces satellites ont été des facteurs déterminants de leur succès dans de n</w:t>
      </w:r>
      <w:r>
        <w:t>ouveaux</w:t>
      </w:r>
      <w:r w:rsidRPr="00CC674C">
        <w:t xml:space="preserve"> pays menant des activités spatiales;</w:t>
      </w:r>
    </w:p>
    <w:p w:rsidR="00FC64A0" w:rsidRPr="00730563" w:rsidRDefault="00FC64A0" w:rsidP="00A17011">
      <w:pPr>
        <w:tabs>
          <w:tab w:val="left" w:pos="4820"/>
        </w:tabs>
        <w:jc w:val="both"/>
        <w:rPr>
          <w:lang w:val="fr-CH"/>
        </w:rPr>
      </w:pPr>
      <w:r w:rsidRPr="004E10E0">
        <w:rPr>
          <w:i/>
          <w:iCs/>
          <w:lang w:val="fr-CH"/>
        </w:rPr>
        <w:lastRenderedPageBreak/>
        <w:t>c)</w:t>
      </w:r>
      <w:r w:rsidRPr="00730563">
        <w:rPr>
          <w:lang w:val="fr-CH"/>
        </w:rPr>
        <w:tab/>
      </w:r>
      <w:r>
        <w:rPr>
          <w:lang w:val="fr-CH"/>
        </w:rPr>
        <w:t>que la fiabilité du contrôle et de la poursuite des satellites est importante pour la gestion des débris spatiaux,</w:t>
      </w:r>
    </w:p>
    <w:p w:rsidR="00FC64A0" w:rsidRDefault="00FC64A0" w:rsidP="00A17011">
      <w:pPr>
        <w:pStyle w:val="Call"/>
        <w:jc w:val="both"/>
      </w:pPr>
      <w:r>
        <w:t>reconnaissant</w:t>
      </w:r>
    </w:p>
    <w:p w:rsidR="00FC64A0" w:rsidRPr="00C94704" w:rsidRDefault="00FC64A0" w:rsidP="005131A3">
      <w:pPr>
        <w:jc w:val="both"/>
      </w:pPr>
      <w:r w:rsidRPr="004E10E0">
        <w:rPr>
          <w:i/>
          <w:iCs/>
        </w:rPr>
        <w:t>a)</w:t>
      </w:r>
      <w:r w:rsidRPr="00C94704">
        <w:tab/>
      </w:r>
      <w:r>
        <w:t>que les attributions existantes du service d'exploitation spatiale au-dessous de 1</w:t>
      </w:r>
      <w:r w:rsidR="005131A3">
        <w:t> </w:t>
      </w:r>
      <w:r>
        <w:t xml:space="preserve">GHz pour lesquelles le numéro </w:t>
      </w:r>
      <w:r w:rsidRPr="00076ACC">
        <w:rPr>
          <w:b/>
          <w:bCs/>
        </w:rPr>
        <w:t>9.21</w:t>
      </w:r>
      <w:r>
        <w:t xml:space="preserve"> s'applique ne conviennent pas pour les satellites décrits aux points </w:t>
      </w:r>
      <w:r>
        <w:rPr>
          <w:i/>
          <w:iCs/>
        </w:rPr>
        <w:t xml:space="preserve">a) </w:t>
      </w:r>
      <w:r>
        <w:t xml:space="preserve">et </w:t>
      </w:r>
      <w:r>
        <w:rPr>
          <w:i/>
          <w:iCs/>
        </w:rPr>
        <w:t>b)</w:t>
      </w:r>
      <w:r>
        <w:t xml:space="preserve"> du </w:t>
      </w:r>
      <w:r w:rsidRPr="00184AF3">
        <w:rPr>
          <w:i/>
          <w:iCs/>
        </w:rPr>
        <w:t>considérant</w:t>
      </w:r>
      <w:r>
        <w:rPr>
          <w:rFonts w:cstheme="minorBidi"/>
          <w:szCs w:val="24"/>
        </w:rPr>
        <w:t>;</w:t>
      </w:r>
    </w:p>
    <w:p w:rsidR="00FC64A0" w:rsidRDefault="00FC64A0" w:rsidP="00A17011">
      <w:pPr>
        <w:jc w:val="both"/>
      </w:pPr>
      <w:r w:rsidRPr="004E10E0">
        <w:rPr>
          <w:i/>
          <w:iCs/>
        </w:rPr>
        <w:t>b)</w:t>
      </w:r>
      <w:r w:rsidRPr="00C94704">
        <w:tab/>
      </w:r>
      <w:r>
        <w:t xml:space="preserve">qu'il existe d'autres bandes de fréquences déjà attribuées au service d'exploitation spatiale au-dessous de 1 GHz pour lesquelles le numéro </w:t>
      </w:r>
      <w:r w:rsidRPr="00184AF3">
        <w:rPr>
          <w:b/>
          <w:bCs/>
        </w:rPr>
        <w:t>9.21</w:t>
      </w:r>
      <w:r>
        <w:t xml:space="preserve"> ne s'applique pas;</w:t>
      </w:r>
    </w:p>
    <w:p w:rsidR="00FC64A0" w:rsidRPr="00184AF3" w:rsidRDefault="00FC64A0" w:rsidP="00A17011">
      <w:pPr>
        <w:jc w:val="both"/>
      </w:pPr>
      <w:r>
        <w:rPr>
          <w:i/>
          <w:iCs/>
        </w:rPr>
        <w:t>c)</w:t>
      </w:r>
      <w:r>
        <w:tab/>
        <w:t xml:space="preserve">les dispositions figurant aux numéros </w:t>
      </w:r>
      <w:r w:rsidRPr="00184AF3">
        <w:rPr>
          <w:b/>
          <w:bCs/>
        </w:rPr>
        <w:t>5.266</w:t>
      </w:r>
      <w:r>
        <w:t xml:space="preserve"> et </w:t>
      </w:r>
      <w:r w:rsidRPr="00184AF3">
        <w:rPr>
          <w:b/>
          <w:bCs/>
        </w:rPr>
        <w:t>5.267</w:t>
      </w:r>
      <w:r>
        <w:t xml:space="preserve"> et dans la Résolution </w:t>
      </w:r>
      <w:r w:rsidRPr="00522F81">
        <w:rPr>
          <w:b/>
          <w:bCs/>
        </w:rPr>
        <w:t>205 (Rév.CMR-15)</w:t>
      </w:r>
      <w:r>
        <w:t>,</w:t>
      </w:r>
    </w:p>
    <w:p w:rsidR="00FC64A0" w:rsidRPr="00730563" w:rsidRDefault="00FC64A0" w:rsidP="00A17011">
      <w:pPr>
        <w:pStyle w:val="Call"/>
        <w:jc w:val="both"/>
        <w:rPr>
          <w:lang w:val="fr-CH"/>
        </w:rPr>
      </w:pPr>
      <w:r>
        <w:rPr>
          <w:lang w:val="fr-CH"/>
        </w:rPr>
        <w:t>décide d'</w:t>
      </w:r>
      <w:r w:rsidRPr="00730563">
        <w:rPr>
          <w:lang w:val="fr-CH"/>
        </w:rPr>
        <w:t>invite</w:t>
      </w:r>
      <w:r>
        <w:rPr>
          <w:lang w:val="fr-CH"/>
        </w:rPr>
        <w:t>r la Conférence mondiale des radiocommunication de 2019</w:t>
      </w:r>
    </w:p>
    <w:p w:rsidR="00FC64A0" w:rsidRDefault="00FC64A0" w:rsidP="00A17011">
      <w:pPr>
        <w:jc w:val="both"/>
        <w:rPr>
          <w:lang w:val="fr-CH"/>
        </w:rPr>
      </w:pPr>
      <w:r>
        <w:rPr>
          <w:lang w:val="fr-CH"/>
        </w:rPr>
        <w:t xml:space="preserve">à examiner les résultats des études de l'UIT-R et à prendre les mesures nécessaires, le cas échéant, sous réserve que les résultats des études visées au </w:t>
      </w:r>
      <w:r>
        <w:rPr>
          <w:i/>
          <w:iCs/>
          <w:lang w:val="fr-CH"/>
        </w:rPr>
        <w:t>invite l'UIT-R</w:t>
      </w:r>
      <w:r>
        <w:rPr>
          <w:lang w:val="fr-CH"/>
        </w:rPr>
        <w:t xml:space="preserve"> ci-dessous soient complets et approuvés par les Commissions d'études de l'UIT-R,</w:t>
      </w:r>
    </w:p>
    <w:p w:rsidR="00FC64A0" w:rsidRPr="00730563" w:rsidRDefault="00FC64A0" w:rsidP="00A17011">
      <w:pPr>
        <w:pStyle w:val="Call"/>
        <w:jc w:val="both"/>
        <w:rPr>
          <w:lang w:val="fr-CH"/>
        </w:rPr>
      </w:pPr>
      <w:r w:rsidRPr="00730563">
        <w:rPr>
          <w:lang w:val="fr-CH"/>
        </w:rPr>
        <w:t>invite</w:t>
      </w:r>
      <w:r>
        <w:rPr>
          <w:lang w:val="fr-CH"/>
        </w:rPr>
        <w:t xml:space="preserve"> </w:t>
      </w:r>
      <w:r w:rsidRPr="00730563">
        <w:rPr>
          <w:lang w:val="fr-CH"/>
        </w:rPr>
        <w:t>l</w:t>
      </w:r>
      <w:r>
        <w:rPr>
          <w:lang w:val="fr-CH"/>
        </w:rPr>
        <w:t>'</w:t>
      </w:r>
      <w:r w:rsidRPr="00730563">
        <w:rPr>
          <w:lang w:val="fr-CH"/>
        </w:rPr>
        <w:t>UIT</w:t>
      </w:r>
      <w:r>
        <w:rPr>
          <w:lang w:val="fr-CH"/>
        </w:rPr>
        <w:t>-</w:t>
      </w:r>
      <w:r w:rsidRPr="00730563">
        <w:rPr>
          <w:lang w:val="fr-CH"/>
        </w:rPr>
        <w:t>R</w:t>
      </w:r>
    </w:p>
    <w:p w:rsidR="00FC64A0" w:rsidRPr="00730563" w:rsidRDefault="00FC64A0" w:rsidP="00A17011">
      <w:pPr>
        <w:jc w:val="both"/>
        <w:rPr>
          <w:lang w:val="fr-CH"/>
        </w:rPr>
      </w:pPr>
      <w:r w:rsidRPr="00730563">
        <w:rPr>
          <w:lang w:val="fr-CH"/>
        </w:rPr>
        <w:t>1</w:t>
      </w:r>
      <w:r w:rsidRPr="00730563">
        <w:rPr>
          <w:lang w:val="fr-CH"/>
        </w:rPr>
        <w:tab/>
        <w:t>à étudier les besoins de</w:t>
      </w:r>
      <w:r>
        <w:rPr>
          <w:lang w:val="fr-CH"/>
        </w:rPr>
        <w:t xml:space="preserve"> spectre pour la télémesure, la poursuite et la télécommande dans le service d'exploitation spatiale pour faire face au nombre croissant de satellites non géostationnaires associés à des missions de courte durée, compte tenu du numéro </w:t>
      </w:r>
      <w:r w:rsidRPr="00AC7425">
        <w:rPr>
          <w:b/>
          <w:bCs/>
          <w:lang w:val="fr-CH"/>
        </w:rPr>
        <w:t>1.23</w:t>
      </w:r>
      <w:r>
        <w:rPr>
          <w:lang w:val="fr-CH"/>
        </w:rPr>
        <w:t>;</w:t>
      </w:r>
    </w:p>
    <w:p w:rsidR="00FC64A0" w:rsidRPr="00730563" w:rsidRDefault="00FC64A0" w:rsidP="00A17011">
      <w:pPr>
        <w:jc w:val="both"/>
        <w:rPr>
          <w:lang w:val="fr-CH"/>
        </w:rPr>
      </w:pPr>
      <w:r w:rsidRPr="00730563">
        <w:rPr>
          <w:lang w:val="fr-CH"/>
        </w:rPr>
        <w:t>2</w:t>
      </w:r>
      <w:r w:rsidRPr="00730563">
        <w:rPr>
          <w:lang w:val="fr-CH"/>
        </w:rPr>
        <w:tab/>
      </w:r>
      <w:r>
        <w:rPr>
          <w:lang w:val="fr-CH"/>
        </w:rPr>
        <w:t xml:space="preserve">à </w:t>
      </w:r>
      <w:r>
        <w:t xml:space="preserve">évaluer si les attributions existantes du service d'exploitation spatiale dans les gammes de fréquences au-dessous de 1 GHz conviennent, compte tenu du point </w:t>
      </w:r>
      <w:r>
        <w:rPr>
          <w:i/>
          <w:iCs/>
        </w:rPr>
        <w:t xml:space="preserve">a) </w:t>
      </w:r>
      <w:r>
        <w:t xml:space="preserve">du </w:t>
      </w:r>
      <w:r w:rsidRPr="00586A53">
        <w:rPr>
          <w:i/>
          <w:iCs/>
        </w:rPr>
        <w:t>considérant</w:t>
      </w:r>
      <w:r>
        <w:t xml:space="preserve"> et de l'utilisation actuelle</w:t>
      </w:r>
      <w:r>
        <w:rPr>
          <w:lang w:val="fr-CH"/>
        </w:rPr>
        <w:t>;</w:t>
      </w:r>
    </w:p>
    <w:p w:rsidR="00FC64A0" w:rsidRDefault="00FC64A0" w:rsidP="00A17011">
      <w:pPr>
        <w:jc w:val="both"/>
        <w:rPr>
          <w:lang w:val="fr-CH"/>
        </w:rPr>
      </w:pPr>
      <w:r w:rsidRPr="00730563">
        <w:rPr>
          <w:lang w:val="fr-CH"/>
        </w:rPr>
        <w:t>3</w:t>
      </w:r>
      <w:r w:rsidRPr="00730563">
        <w:rPr>
          <w:lang w:val="fr-CH"/>
        </w:rPr>
        <w:tab/>
      </w:r>
      <w:r>
        <w:rPr>
          <w:lang w:val="fr-CH"/>
        </w:rPr>
        <w:t xml:space="preserve">si les études portant sur les attributions actuelles du service d'exploitation spatiale indiquent que les besoins ne peuvent être satisfaits au titre des points 1 et 2 du </w:t>
      </w:r>
      <w:r>
        <w:rPr>
          <w:i/>
          <w:iCs/>
          <w:lang w:val="fr-CH"/>
        </w:rPr>
        <w:t>invite l'UIT</w:t>
      </w:r>
      <w:r>
        <w:rPr>
          <w:i/>
          <w:iCs/>
          <w:lang w:val="fr-CH"/>
        </w:rPr>
        <w:noBreakHyphen/>
        <w:t>R</w:t>
      </w:r>
      <w:r>
        <w:rPr>
          <w:lang w:val="fr-CH"/>
        </w:rPr>
        <w:t xml:space="preserve">, </w:t>
      </w:r>
      <w:r w:rsidRPr="00730563">
        <w:rPr>
          <w:lang w:val="fr-CH"/>
        </w:rPr>
        <w:t>à procéder à des études</w:t>
      </w:r>
      <w:r>
        <w:rPr>
          <w:lang w:val="fr-CH"/>
        </w:rPr>
        <w:t xml:space="preserve"> de partage et</w:t>
      </w:r>
      <w:r w:rsidRPr="00730563">
        <w:rPr>
          <w:lang w:val="fr-CH"/>
        </w:rPr>
        <w:t xml:space="preserve"> de compatibilité</w:t>
      </w:r>
      <w:r>
        <w:rPr>
          <w:lang w:val="fr-CH"/>
        </w:rPr>
        <w:t xml:space="preserve"> et à étudier les techniques d'atténuation des brouillages, en vue de protéger les services existants, tant dans la bande</w:t>
      </w:r>
      <w:r w:rsidRPr="00706CC2">
        <w:t xml:space="preserve"> </w:t>
      </w:r>
      <w:r>
        <w:t>de fréquences</w:t>
      </w:r>
      <w:r>
        <w:rPr>
          <w:lang w:val="fr-CH"/>
        </w:rPr>
        <w:t xml:space="preserve"> que dans les bandes</w:t>
      </w:r>
      <w:r w:rsidRPr="00706CC2">
        <w:t xml:space="preserve"> </w:t>
      </w:r>
      <w:r>
        <w:t>de fréquences</w:t>
      </w:r>
      <w:r>
        <w:rPr>
          <w:lang w:val="fr-CH"/>
        </w:rPr>
        <w:t xml:space="preserve"> adjacentes, afin d'envisager de nouvelles attributions éventuelles ou un relèvement du statut des attributions existantes du service d'exploitation spatiale dans les gammes de fréquences 150,05-174 MHz et 400,15-420 MHz,</w:t>
      </w:r>
    </w:p>
    <w:p w:rsidR="00FC64A0" w:rsidRPr="00730563" w:rsidRDefault="00FC64A0" w:rsidP="00A17011">
      <w:pPr>
        <w:pStyle w:val="Call"/>
        <w:jc w:val="both"/>
        <w:rPr>
          <w:lang w:val="fr-CH"/>
        </w:rPr>
      </w:pPr>
      <w:r w:rsidRPr="00730563">
        <w:rPr>
          <w:lang w:val="fr-CH"/>
        </w:rPr>
        <w:t>invite</w:t>
      </w:r>
      <w:r>
        <w:rPr>
          <w:lang w:val="fr-CH"/>
        </w:rPr>
        <w:t xml:space="preserve"> les </w:t>
      </w:r>
      <w:proofErr w:type="spellStart"/>
      <w:r>
        <w:rPr>
          <w:lang w:val="fr-CH"/>
        </w:rPr>
        <w:t>Etats</w:t>
      </w:r>
      <w:proofErr w:type="spellEnd"/>
      <w:r>
        <w:rPr>
          <w:lang w:val="fr-CH"/>
        </w:rPr>
        <w:t xml:space="preserve"> Membres, les Membres du Secteur de </w:t>
      </w:r>
      <w:r w:rsidRPr="00730563">
        <w:rPr>
          <w:lang w:val="fr-CH"/>
        </w:rPr>
        <w:t>l</w:t>
      </w:r>
      <w:r>
        <w:rPr>
          <w:lang w:val="fr-CH"/>
        </w:rPr>
        <w:t>'</w:t>
      </w:r>
      <w:r w:rsidRPr="00730563">
        <w:rPr>
          <w:lang w:val="fr-CH"/>
        </w:rPr>
        <w:t>UIT</w:t>
      </w:r>
      <w:r>
        <w:rPr>
          <w:lang w:val="fr-CH"/>
        </w:rPr>
        <w:t>-</w:t>
      </w:r>
      <w:r w:rsidRPr="00730563">
        <w:rPr>
          <w:lang w:val="fr-CH"/>
        </w:rPr>
        <w:t>R</w:t>
      </w:r>
      <w:r>
        <w:rPr>
          <w:lang w:val="fr-CH"/>
        </w:rPr>
        <w:t>, les établissements universitaires et les Associés</w:t>
      </w:r>
    </w:p>
    <w:p w:rsidR="00FC64A0" w:rsidRDefault="00FC64A0" w:rsidP="00A17011">
      <w:pPr>
        <w:jc w:val="both"/>
        <w:rPr>
          <w:lang w:val="fr-CH"/>
        </w:rPr>
      </w:pPr>
      <w:r>
        <w:rPr>
          <w:lang w:val="fr-CH"/>
        </w:rPr>
        <w:t>à participer aux études en soumettant des contributions à l'UIT-R.</w:t>
      </w:r>
    </w:p>
    <w:p w:rsidR="00B31B7B" w:rsidRPr="001331D5" w:rsidRDefault="00B31B7B" w:rsidP="00A17011">
      <w:pPr>
        <w:overflowPunct/>
        <w:autoSpaceDE/>
        <w:autoSpaceDN/>
        <w:adjustRightInd/>
        <w:spacing w:before="0"/>
        <w:textAlignment w:val="auto"/>
        <w:rPr>
          <w:rFonts w:asciiTheme="majorBidi" w:hAnsiTheme="majorBidi" w:cstheme="majorBidi"/>
          <w:szCs w:val="24"/>
        </w:rPr>
      </w:pPr>
      <w:r w:rsidRPr="001331D5">
        <w:rPr>
          <w:rFonts w:asciiTheme="majorBidi" w:hAnsiTheme="majorBidi" w:cstheme="majorBidi"/>
          <w:szCs w:val="24"/>
        </w:rPr>
        <w:br w:type="page"/>
      </w:r>
    </w:p>
    <w:p w:rsidR="00FB15F8" w:rsidRDefault="00B75162" w:rsidP="00A17011">
      <w:pPr>
        <w:pStyle w:val="ResNo"/>
        <w:rPr>
          <w:rFonts w:eastAsia="???"/>
        </w:rPr>
      </w:pPr>
      <w:bookmarkStart w:id="256" w:name="RES_761"/>
      <w:bookmarkStart w:id="257" w:name="_Toc319341018"/>
      <w:bookmarkStart w:id="258" w:name="_Toc319401785"/>
      <w:bookmarkStart w:id="259" w:name="_Toc320519976"/>
      <w:bookmarkStart w:id="260" w:name="_Toc320862077"/>
      <w:bookmarkStart w:id="261" w:name="_Toc320862237"/>
      <w:bookmarkStart w:id="262" w:name="_Toc324918324"/>
      <w:bookmarkStart w:id="263" w:name="_Toc327364411"/>
      <w:bookmarkStart w:id="264" w:name="_Toc444507638"/>
      <w:bookmarkStart w:id="265" w:name="_Toc460331734"/>
      <w:bookmarkStart w:id="266" w:name="_Toc463616191"/>
      <w:bookmarkEnd w:id="242"/>
      <w:bookmarkEnd w:id="243"/>
      <w:bookmarkEnd w:id="244"/>
      <w:bookmarkEnd w:id="245"/>
      <w:bookmarkEnd w:id="246"/>
      <w:bookmarkEnd w:id="247"/>
      <w:bookmarkEnd w:id="248"/>
      <w:bookmarkEnd w:id="249"/>
      <w:r>
        <w:rPr>
          <w:rFonts w:eastAsia="???"/>
        </w:rPr>
        <w:lastRenderedPageBreak/>
        <w:t>R</w:t>
      </w:r>
      <w:r w:rsidR="001D5201" w:rsidRPr="001D5201">
        <w:t>É</w:t>
      </w:r>
      <w:r w:rsidR="00FB15F8" w:rsidRPr="00FB15F8">
        <w:rPr>
          <w:rFonts w:eastAsia="???"/>
        </w:rPr>
        <w:t xml:space="preserve">SOLUTION </w:t>
      </w:r>
      <w:r w:rsidR="00FB15F8" w:rsidRPr="00FB15F8">
        <w:rPr>
          <w:rStyle w:val="href"/>
        </w:rPr>
        <w:t>761</w:t>
      </w:r>
      <w:r w:rsidR="00FB15F8" w:rsidRPr="00FB15F8">
        <w:rPr>
          <w:rFonts w:eastAsia="???"/>
        </w:rPr>
        <w:t xml:space="preserve"> </w:t>
      </w:r>
      <w:bookmarkEnd w:id="256"/>
      <w:r w:rsidR="00FB15F8" w:rsidRPr="00FB15F8">
        <w:rPr>
          <w:rFonts w:eastAsia="???"/>
        </w:rPr>
        <w:t>(</w:t>
      </w:r>
      <w:r w:rsidR="005A2541" w:rsidRPr="00A20F5A">
        <w:t>C</w:t>
      </w:r>
      <w:r w:rsidR="005A2541">
        <w:t>MR</w:t>
      </w:r>
      <w:r w:rsidR="00FB15F8" w:rsidRPr="00FB15F8">
        <w:rPr>
          <w:rFonts w:eastAsia="???"/>
        </w:rPr>
        <w:noBreakHyphen/>
        <w:t>15)</w:t>
      </w:r>
      <w:bookmarkEnd w:id="257"/>
      <w:bookmarkEnd w:id="258"/>
      <w:bookmarkEnd w:id="259"/>
      <w:bookmarkEnd w:id="260"/>
      <w:bookmarkEnd w:id="261"/>
      <w:bookmarkEnd w:id="262"/>
      <w:bookmarkEnd w:id="263"/>
      <w:bookmarkEnd w:id="264"/>
      <w:bookmarkEnd w:id="265"/>
      <w:bookmarkEnd w:id="266"/>
    </w:p>
    <w:p w:rsidR="00FC64A0" w:rsidRPr="007D0DE8" w:rsidRDefault="00FC64A0" w:rsidP="00A17011">
      <w:pPr>
        <w:pStyle w:val="Restitle"/>
      </w:pPr>
      <w:bookmarkStart w:id="267" w:name="_Toc463616192"/>
      <w:r w:rsidRPr="007D0DE8">
        <w:t xml:space="preserve">Compatibilité </w:t>
      </w:r>
      <w:r>
        <w:t xml:space="preserve">entre les Télécommunications mobiles internationales </w:t>
      </w:r>
      <w:r w:rsidRPr="007D0DE8">
        <w:t xml:space="preserve">et </w:t>
      </w:r>
      <w:r>
        <w:br/>
        <w:t xml:space="preserve">le service de radiodiffusion par satellite </w:t>
      </w:r>
      <w:r w:rsidRPr="007D0DE8">
        <w:t xml:space="preserve">(sonore) dans la bande </w:t>
      </w:r>
      <w:r>
        <w:br/>
      </w:r>
      <w:r w:rsidRPr="007D0DE8">
        <w:t>de fréquences 1</w:t>
      </w:r>
      <w:r>
        <w:t> </w:t>
      </w:r>
      <w:r w:rsidRPr="007D0DE8">
        <w:t>452-1</w:t>
      </w:r>
      <w:r>
        <w:t> </w:t>
      </w:r>
      <w:r w:rsidRPr="007D0DE8">
        <w:t>492 MHz dans les Régions 1 et 3</w:t>
      </w:r>
      <w:bookmarkEnd w:id="267"/>
    </w:p>
    <w:p w:rsidR="00FC64A0" w:rsidRPr="007D0DE8" w:rsidRDefault="00FC64A0" w:rsidP="00A17011">
      <w:pPr>
        <w:pStyle w:val="Normalaftertitle"/>
        <w:jc w:val="both"/>
      </w:pPr>
      <w:r w:rsidRPr="007D0DE8">
        <w:t>La Conférence mondiale des radiocommunications (Genève, 2015)</w:t>
      </w:r>
      <w:r>
        <w:t>,</w:t>
      </w:r>
    </w:p>
    <w:p w:rsidR="00FC64A0" w:rsidRPr="007D0DE8" w:rsidRDefault="00FC64A0" w:rsidP="00A17011">
      <w:pPr>
        <w:pStyle w:val="Call"/>
        <w:jc w:val="both"/>
        <w:rPr>
          <w:szCs w:val="24"/>
          <w:lang w:val="fr-CH"/>
        </w:rPr>
      </w:pPr>
      <w:r w:rsidRPr="007D0DE8">
        <w:rPr>
          <w:szCs w:val="24"/>
          <w:lang w:val="fr-CH"/>
        </w:rPr>
        <w:t>notant</w:t>
      </w:r>
    </w:p>
    <w:p w:rsidR="00FC64A0" w:rsidRPr="007D0DE8" w:rsidRDefault="00FC64A0" w:rsidP="005131A3">
      <w:pPr>
        <w:jc w:val="both"/>
        <w:rPr>
          <w:rFonts w:asciiTheme="majorBidi" w:hAnsiTheme="majorBidi" w:cstheme="majorBidi"/>
          <w:szCs w:val="24"/>
        </w:rPr>
      </w:pPr>
      <w:r w:rsidRPr="007D0DE8">
        <w:rPr>
          <w:rFonts w:asciiTheme="majorBidi" w:hAnsiTheme="majorBidi" w:cstheme="majorBidi"/>
          <w:i/>
          <w:iCs/>
          <w:szCs w:val="24"/>
        </w:rPr>
        <w:t>a)</w:t>
      </w:r>
      <w:r w:rsidRPr="007D0DE8">
        <w:rPr>
          <w:rFonts w:asciiTheme="majorBidi" w:hAnsiTheme="majorBidi" w:cstheme="majorBidi"/>
          <w:szCs w:val="24"/>
        </w:rPr>
        <w:tab/>
        <w:t>la Recommandation UIT-R M.1459, «Critères de protection applicables aux systèmes de télémesure du service mobile aéronautique et techniques de réduction des brouillages propres à faciliter le partage avec les services de radiodiffusion par satellite géostationnaire et mobile par satellite géostationnaire dans les bandes de fréquences 1 452-1</w:t>
      </w:r>
      <w:r w:rsidR="005131A3">
        <w:rPr>
          <w:rFonts w:asciiTheme="majorBidi" w:hAnsiTheme="majorBidi" w:cstheme="majorBidi"/>
          <w:szCs w:val="24"/>
        </w:rPr>
        <w:t> </w:t>
      </w:r>
      <w:r w:rsidRPr="007D0DE8">
        <w:rPr>
          <w:rFonts w:asciiTheme="majorBidi" w:hAnsiTheme="majorBidi" w:cstheme="majorBidi"/>
          <w:szCs w:val="24"/>
        </w:rPr>
        <w:t>525 MHz et 2 310-2 360 MHz»;</w:t>
      </w:r>
    </w:p>
    <w:p w:rsidR="00FC64A0" w:rsidRPr="007D0DE8" w:rsidRDefault="00FC64A0" w:rsidP="00A17011">
      <w:pPr>
        <w:jc w:val="both"/>
        <w:rPr>
          <w:rFonts w:asciiTheme="majorBidi" w:hAnsiTheme="majorBidi" w:cstheme="majorBidi"/>
          <w:szCs w:val="24"/>
        </w:rPr>
      </w:pPr>
      <w:r w:rsidRPr="007D0DE8">
        <w:rPr>
          <w:rFonts w:asciiTheme="majorBidi" w:hAnsiTheme="majorBidi" w:cstheme="majorBidi"/>
          <w:i/>
          <w:iCs/>
          <w:szCs w:val="24"/>
        </w:rPr>
        <w:t>b)</w:t>
      </w:r>
      <w:r w:rsidRPr="007D0DE8">
        <w:rPr>
          <w:rFonts w:asciiTheme="majorBidi" w:hAnsiTheme="majorBidi" w:cstheme="majorBidi"/>
          <w:i/>
          <w:iCs/>
          <w:szCs w:val="24"/>
        </w:rPr>
        <w:tab/>
      </w:r>
      <w:r w:rsidRPr="007D0DE8">
        <w:rPr>
          <w:rFonts w:asciiTheme="majorBidi" w:hAnsiTheme="majorBidi" w:cstheme="majorBidi"/>
          <w:szCs w:val="24"/>
        </w:rPr>
        <w:t>les études d</w:t>
      </w:r>
      <w:r>
        <w:rPr>
          <w:rFonts w:asciiTheme="majorBidi" w:hAnsiTheme="majorBidi" w:cstheme="majorBidi"/>
          <w:szCs w:val="24"/>
        </w:rPr>
        <w:t>u Secteur des radiocommunications de</w:t>
      </w:r>
      <w:r w:rsidRPr="007D0DE8">
        <w:rPr>
          <w:rFonts w:asciiTheme="majorBidi" w:hAnsiTheme="majorBidi" w:cstheme="majorBidi"/>
          <w:szCs w:val="24"/>
        </w:rPr>
        <w:t xml:space="preserve"> l</w:t>
      </w:r>
      <w:r>
        <w:rPr>
          <w:rFonts w:asciiTheme="majorBidi" w:hAnsiTheme="majorBidi" w:cstheme="majorBidi"/>
          <w:szCs w:val="24"/>
        </w:rPr>
        <w:t>'</w:t>
      </w:r>
      <w:r w:rsidRPr="007D0DE8">
        <w:rPr>
          <w:rFonts w:asciiTheme="majorBidi" w:hAnsiTheme="majorBidi" w:cstheme="majorBidi"/>
          <w:szCs w:val="24"/>
        </w:rPr>
        <w:t>UIT</w:t>
      </w:r>
      <w:r>
        <w:rPr>
          <w:rFonts w:asciiTheme="majorBidi" w:hAnsiTheme="majorBidi" w:cstheme="majorBidi"/>
          <w:szCs w:val="24"/>
        </w:rPr>
        <w:t xml:space="preserve"> (UIT</w:t>
      </w:r>
      <w:r w:rsidRPr="007D0DE8">
        <w:rPr>
          <w:rFonts w:asciiTheme="majorBidi" w:hAnsiTheme="majorBidi" w:cstheme="majorBidi"/>
          <w:szCs w:val="24"/>
        </w:rPr>
        <w:t>-R</w:t>
      </w:r>
      <w:r>
        <w:rPr>
          <w:rFonts w:asciiTheme="majorBidi" w:hAnsiTheme="majorBidi" w:cstheme="majorBidi"/>
          <w:szCs w:val="24"/>
        </w:rPr>
        <w:t>) qui fournissent des informations utiles sur le niveau de puissance surfacique permettant de protéger les stations terriennes du service de radiodiffusion par satellite (SRS), qui pourraient être utilisées aux fins de la coordination,</w:t>
      </w:r>
    </w:p>
    <w:p w:rsidR="00FC64A0" w:rsidRPr="007D0DE8" w:rsidRDefault="00FC64A0" w:rsidP="00A17011">
      <w:pPr>
        <w:pStyle w:val="Call"/>
        <w:jc w:val="both"/>
        <w:rPr>
          <w:szCs w:val="24"/>
          <w:lang w:val="fr-CH"/>
        </w:rPr>
      </w:pPr>
      <w:r w:rsidRPr="007D0DE8">
        <w:rPr>
          <w:szCs w:val="24"/>
          <w:lang w:val="fr-CH"/>
        </w:rPr>
        <w:t>reconnaissant</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i/>
          <w:iCs/>
          <w:szCs w:val="24"/>
        </w:rPr>
        <w:t>a)</w:t>
      </w:r>
      <w:r w:rsidRPr="007D0DE8">
        <w:rPr>
          <w:rFonts w:asciiTheme="majorBidi" w:hAnsiTheme="majorBidi" w:cstheme="majorBidi"/>
          <w:szCs w:val="24"/>
        </w:rPr>
        <w:tab/>
        <w:t xml:space="preserve">que la bande de fréquences 1 452-1 492 MHz est attribuée à titre primaire au </w:t>
      </w:r>
      <w:r>
        <w:rPr>
          <w:rFonts w:asciiTheme="majorBidi" w:hAnsiTheme="majorBidi" w:cstheme="majorBidi"/>
          <w:szCs w:val="24"/>
        </w:rPr>
        <w:t>SRS</w:t>
      </w:r>
      <w:r w:rsidRPr="007D0DE8">
        <w:rPr>
          <w:rFonts w:asciiTheme="majorBidi" w:hAnsiTheme="majorBidi" w:cstheme="majorBidi"/>
          <w:szCs w:val="24"/>
        </w:rPr>
        <w:t xml:space="preserve"> (sonore) et au service mobile (SM);</w:t>
      </w:r>
    </w:p>
    <w:p w:rsidR="00FC64A0" w:rsidRPr="007D0DE8" w:rsidRDefault="00FC64A0" w:rsidP="00A17011">
      <w:pPr>
        <w:jc w:val="both"/>
        <w:rPr>
          <w:rFonts w:asciiTheme="majorBidi" w:hAnsiTheme="majorBidi" w:cstheme="majorBidi"/>
          <w:szCs w:val="24"/>
        </w:rPr>
      </w:pPr>
      <w:r w:rsidRPr="007D0DE8">
        <w:rPr>
          <w:rFonts w:asciiTheme="majorBidi" w:hAnsiTheme="majorBidi" w:cstheme="majorBidi"/>
          <w:i/>
          <w:iCs/>
          <w:szCs w:val="24"/>
        </w:rPr>
        <w:t>b)</w:t>
      </w:r>
      <w:r w:rsidRPr="007D0DE8">
        <w:rPr>
          <w:rFonts w:asciiTheme="majorBidi" w:hAnsiTheme="majorBidi" w:cstheme="majorBidi"/>
          <w:szCs w:val="24"/>
        </w:rPr>
        <w:tab/>
        <w:t xml:space="preserve">que les conditions de partage entre le SRS (sonore) et le SM sont actuellement régies par le numéro </w:t>
      </w:r>
      <w:r w:rsidRPr="007D0DE8">
        <w:rPr>
          <w:rFonts w:asciiTheme="majorBidi" w:hAnsiTheme="majorBidi" w:cstheme="majorBidi"/>
          <w:b/>
          <w:bCs/>
          <w:szCs w:val="24"/>
        </w:rPr>
        <w:t>9.11</w:t>
      </w:r>
      <w:r w:rsidRPr="007D0DE8">
        <w:rPr>
          <w:rFonts w:asciiTheme="majorBidi" w:hAnsiTheme="majorBidi" w:cstheme="majorBidi"/>
          <w:szCs w:val="24"/>
        </w:rPr>
        <w:t>;</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i/>
          <w:iCs/>
          <w:szCs w:val="24"/>
        </w:rPr>
        <w:t>c)</w:t>
      </w:r>
      <w:r w:rsidRPr="007D0DE8">
        <w:rPr>
          <w:rFonts w:asciiTheme="majorBidi" w:hAnsiTheme="majorBidi" w:cstheme="majorBidi"/>
          <w:szCs w:val="24"/>
        </w:rPr>
        <w:tab/>
        <w:t>que l</w:t>
      </w:r>
      <w:r>
        <w:rPr>
          <w:rFonts w:asciiTheme="majorBidi" w:hAnsiTheme="majorBidi" w:cstheme="majorBidi"/>
          <w:szCs w:val="24"/>
        </w:rPr>
        <w:t>'</w:t>
      </w:r>
      <w:r w:rsidRPr="007D0DE8">
        <w:rPr>
          <w:rFonts w:asciiTheme="majorBidi" w:hAnsiTheme="majorBidi" w:cstheme="majorBidi"/>
          <w:szCs w:val="24"/>
        </w:rPr>
        <w:t xml:space="preserve">application du numéro </w:t>
      </w:r>
      <w:r w:rsidRPr="007D0DE8">
        <w:rPr>
          <w:rFonts w:asciiTheme="majorBidi" w:hAnsiTheme="majorBidi" w:cstheme="majorBidi"/>
          <w:b/>
          <w:bCs/>
          <w:szCs w:val="24"/>
        </w:rPr>
        <w:t>9.11</w:t>
      </w:r>
      <w:r w:rsidRPr="007D0DE8">
        <w:rPr>
          <w:rFonts w:asciiTheme="majorBidi" w:hAnsiTheme="majorBidi" w:cstheme="majorBidi"/>
          <w:szCs w:val="24"/>
        </w:rPr>
        <w:t xml:space="preserve"> ne garantit pas la stabilité à long terme de l</w:t>
      </w:r>
      <w:r>
        <w:rPr>
          <w:rFonts w:asciiTheme="majorBidi" w:hAnsiTheme="majorBidi" w:cstheme="majorBidi"/>
          <w:szCs w:val="24"/>
        </w:rPr>
        <w:t>'</w:t>
      </w:r>
      <w:r w:rsidRPr="007D0DE8">
        <w:rPr>
          <w:rFonts w:asciiTheme="majorBidi" w:hAnsiTheme="majorBidi" w:cstheme="majorBidi"/>
          <w:szCs w:val="24"/>
        </w:rPr>
        <w:t>exploitation des</w:t>
      </w:r>
      <w:r>
        <w:rPr>
          <w:rFonts w:asciiTheme="majorBidi" w:hAnsiTheme="majorBidi" w:cstheme="majorBidi"/>
          <w:szCs w:val="24"/>
        </w:rPr>
        <w:t xml:space="preserve"> Télécommunications mobiles internationales</w:t>
      </w:r>
      <w:r w:rsidRPr="007D0DE8">
        <w:rPr>
          <w:rFonts w:asciiTheme="majorBidi" w:hAnsiTheme="majorBidi" w:cstheme="majorBidi"/>
          <w:szCs w:val="24"/>
        </w:rPr>
        <w:t xml:space="preserve"> </w:t>
      </w:r>
      <w:r>
        <w:rPr>
          <w:rFonts w:asciiTheme="majorBidi" w:hAnsiTheme="majorBidi" w:cstheme="majorBidi"/>
          <w:szCs w:val="24"/>
        </w:rPr>
        <w:t>(</w:t>
      </w:r>
      <w:r w:rsidRPr="007D0DE8">
        <w:rPr>
          <w:rFonts w:asciiTheme="majorBidi" w:hAnsiTheme="majorBidi" w:cstheme="majorBidi"/>
          <w:szCs w:val="24"/>
        </w:rPr>
        <w:t>IMT</w:t>
      </w:r>
      <w:r>
        <w:rPr>
          <w:rFonts w:asciiTheme="majorBidi" w:hAnsiTheme="majorBidi" w:cstheme="majorBidi"/>
          <w:szCs w:val="24"/>
        </w:rPr>
        <w:t>)</w:t>
      </w:r>
      <w:r w:rsidRPr="007D0DE8">
        <w:rPr>
          <w:rFonts w:asciiTheme="majorBidi" w:hAnsiTheme="majorBidi" w:cstheme="majorBidi"/>
          <w:szCs w:val="24"/>
        </w:rPr>
        <w:t>, étant donné que seuls les systèmes IMT qui seraient mis en service dans les trois années à venir seraient protégés si leur coordination était approuvée, et uniquement pour ces trois années;</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i/>
          <w:iCs/>
          <w:szCs w:val="24"/>
        </w:rPr>
        <w:t>d)</w:t>
      </w:r>
      <w:r w:rsidRPr="007D0DE8">
        <w:rPr>
          <w:rFonts w:asciiTheme="majorBidi" w:hAnsiTheme="majorBidi" w:cstheme="majorBidi"/>
          <w:i/>
          <w:iCs/>
          <w:szCs w:val="24"/>
        </w:rPr>
        <w:tab/>
      </w:r>
      <w:r w:rsidRPr="007D0DE8">
        <w:rPr>
          <w:rFonts w:asciiTheme="majorBidi" w:hAnsiTheme="majorBidi" w:cstheme="majorBidi"/>
          <w:szCs w:val="24"/>
        </w:rPr>
        <w:t>que des demandes de coordination pour le SRS (sonore) dans la bande de fréquences 1 467-1 492 MHz ont été soumises au Bureau des radiocommunications de l</w:t>
      </w:r>
      <w:r>
        <w:rPr>
          <w:rFonts w:asciiTheme="majorBidi" w:hAnsiTheme="majorBidi" w:cstheme="majorBidi"/>
          <w:szCs w:val="24"/>
        </w:rPr>
        <w:t>'</w:t>
      </w:r>
      <w:r w:rsidRPr="007D0DE8">
        <w:rPr>
          <w:rFonts w:asciiTheme="majorBidi" w:hAnsiTheme="majorBidi" w:cstheme="majorBidi"/>
          <w:szCs w:val="24"/>
        </w:rPr>
        <w:t>UIT, et qu</w:t>
      </w:r>
      <w:r>
        <w:rPr>
          <w:rFonts w:asciiTheme="majorBidi" w:hAnsiTheme="majorBidi" w:cstheme="majorBidi"/>
          <w:szCs w:val="24"/>
        </w:rPr>
        <w:t>'en outre, il </w:t>
      </w:r>
      <w:r w:rsidRPr="007D0DE8">
        <w:rPr>
          <w:rFonts w:asciiTheme="majorBidi" w:hAnsiTheme="majorBidi" w:cstheme="majorBidi"/>
          <w:szCs w:val="24"/>
        </w:rPr>
        <w:t>est prévu que certains systèmes à satellites du SRS (sonore</w:t>
      </w:r>
      <w:r>
        <w:rPr>
          <w:rFonts w:asciiTheme="majorBidi" w:hAnsiTheme="majorBidi" w:cstheme="majorBidi"/>
          <w:szCs w:val="24"/>
        </w:rPr>
        <w:t>) soient lancés avant la CMR-19,</w:t>
      </w:r>
    </w:p>
    <w:p w:rsidR="00FC64A0" w:rsidRPr="007D0DE8" w:rsidRDefault="00FC64A0" w:rsidP="00A17011">
      <w:pPr>
        <w:pStyle w:val="Call"/>
        <w:jc w:val="both"/>
        <w:rPr>
          <w:szCs w:val="24"/>
          <w:lang w:val="fr-CH"/>
        </w:rPr>
      </w:pPr>
      <w:r>
        <w:rPr>
          <w:szCs w:val="24"/>
          <w:lang w:val="fr-CH"/>
        </w:rPr>
        <w:t xml:space="preserve">tenant </w:t>
      </w:r>
      <w:r w:rsidRPr="007D0DE8">
        <w:rPr>
          <w:szCs w:val="24"/>
          <w:lang w:val="fr-CH"/>
        </w:rPr>
        <w:t>compte du fait</w:t>
      </w:r>
    </w:p>
    <w:p w:rsidR="00FC64A0" w:rsidRPr="007D0DE8" w:rsidRDefault="00FC64A0" w:rsidP="00A17011">
      <w:pPr>
        <w:jc w:val="both"/>
        <w:rPr>
          <w:rFonts w:asciiTheme="majorBidi" w:hAnsiTheme="majorBidi" w:cstheme="majorBidi"/>
          <w:szCs w:val="24"/>
        </w:rPr>
      </w:pPr>
      <w:r w:rsidRPr="007D0DE8">
        <w:rPr>
          <w:rFonts w:asciiTheme="majorBidi" w:hAnsiTheme="majorBidi" w:cstheme="majorBidi"/>
          <w:i/>
          <w:iCs/>
          <w:szCs w:val="24"/>
        </w:rPr>
        <w:t>a)</w:t>
      </w:r>
      <w:r w:rsidRPr="007D0DE8">
        <w:rPr>
          <w:rFonts w:asciiTheme="majorBidi" w:hAnsiTheme="majorBidi" w:cstheme="majorBidi"/>
          <w:szCs w:val="24"/>
        </w:rPr>
        <w:tab/>
        <w:t>qu</w:t>
      </w:r>
      <w:r>
        <w:rPr>
          <w:rFonts w:asciiTheme="majorBidi" w:hAnsiTheme="majorBidi" w:cstheme="majorBidi"/>
          <w:szCs w:val="24"/>
        </w:rPr>
        <w:t>'</w:t>
      </w:r>
      <w:r w:rsidRPr="007D0DE8">
        <w:rPr>
          <w:rFonts w:asciiTheme="majorBidi" w:hAnsiTheme="majorBidi" w:cstheme="majorBidi"/>
          <w:szCs w:val="24"/>
        </w:rPr>
        <w:t>il n</w:t>
      </w:r>
      <w:r>
        <w:rPr>
          <w:rFonts w:asciiTheme="majorBidi" w:hAnsiTheme="majorBidi" w:cstheme="majorBidi"/>
          <w:szCs w:val="24"/>
        </w:rPr>
        <w:t>'</w:t>
      </w:r>
      <w:r w:rsidRPr="007D0DE8">
        <w:rPr>
          <w:rFonts w:asciiTheme="majorBidi" w:hAnsiTheme="majorBidi" w:cstheme="majorBidi"/>
          <w:szCs w:val="24"/>
        </w:rPr>
        <w:t>existe actuellement dans l</w:t>
      </w:r>
      <w:r>
        <w:rPr>
          <w:rFonts w:asciiTheme="majorBidi" w:hAnsiTheme="majorBidi" w:cstheme="majorBidi"/>
          <w:szCs w:val="24"/>
        </w:rPr>
        <w:t>'</w:t>
      </w:r>
      <w:r w:rsidRPr="007D0DE8">
        <w:rPr>
          <w:rFonts w:asciiTheme="majorBidi" w:hAnsiTheme="majorBidi" w:cstheme="majorBidi"/>
          <w:szCs w:val="24"/>
        </w:rPr>
        <w:t xml:space="preserve">Article </w:t>
      </w:r>
      <w:r w:rsidRPr="007D0DE8">
        <w:rPr>
          <w:rFonts w:asciiTheme="majorBidi" w:hAnsiTheme="majorBidi" w:cstheme="majorBidi"/>
          <w:b/>
          <w:bCs/>
          <w:szCs w:val="24"/>
        </w:rPr>
        <w:t>21</w:t>
      </w:r>
      <w:r>
        <w:rPr>
          <w:rFonts w:asciiTheme="majorBidi" w:hAnsiTheme="majorBidi" w:cstheme="majorBidi"/>
          <w:szCs w:val="24"/>
        </w:rPr>
        <w:t>,</w:t>
      </w:r>
      <w:r w:rsidRPr="007D0DE8">
        <w:rPr>
          <w:rFonts w:asciiTheme="majorBidi" w:hAnsiTheme="majorBidi" w:cstheme="majorBidi"/>
          <w:szCs w:val="24"/>
        </w:rPr>
        <w:t xml:space="preserve"> aucune limite de puissance surfacique pour la bande de fréquences 1 452-1 492 MHz pour protéger le SM (protection de la zone de service);</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i/>
          <w:iCs/>
          <w:szCs w:val="24"/>
        </w:rPr>
        <w:t>b)</w:t>
      </w:r>
      <w:r w:rsidRPr="007D0DE8">
        <w:rPr>
          <w:rFonts w:asciiTheme="majorBidi" w:hAnsiTheme="majorBidi" w:cstheme="majorBidi"/>
          <w:szCs w:val="24"/>
        </w:rPr>
        <w:tab/>
        <w:t xml:space="preserve">que la </w:t>
      </w:r>
      <w:r>
        <w:rPr>
          <w:rFonts w:asciiTheme="majorBidi" w:hAnsiTheme="majorBidi" w:cstheme="majorBidi"/>
          <w:szCs w:val="24"/>
        </w:rPr>
        <w:t>présente Conférence</w:t>
      </w:r>
      <w:r w:rsidRPr="007D0DE8">
        <w:rPr>
          <w:rFonts w:asciiTheme="majorBidi" w:hAnsiTheme="majorBidi" w:cstheme="majorBidi"/>
          <w:szCs w:val="24"/>
        </w:rPr>
        <w:t xml:space="preserve"> n</w:t>
      </w:r>
      <w:r>
        <w:rPr>
          <w:rFonts w:asciiTheme="majorBidi" w:hAnsiTheme="majorBidi" w:cstheme="majorBidi"/>
          <w:szCs w:val="24"/>
        </w:rPr>
        <w:t>'</w:t>
      </w:r>
      <w:r w:rsidRPr="007D0DE8">
        <w:rPr>
          <w:rFonts w:asciiTheme="majorBidi" w:hAnsiTheme="majorBidi" w:cstheme="majorBidi"/>
          <w:szCs w:val="24"/>
        </w:rPr>
        <w:t>est parvenue à aucun accord concernant les résultats des études techniques et réglementaires menées à ce jour sur le part</w:t>
      </w:r>
      <w:r>
        <w:rPr>
          <w:rFonts w:asciiTheme="majorBidi" w:hAnsiTheme="majorBidi" w:cstheme="majorBidi"/>
          <w:szCs w:val="24"/>
        </w:rPr>
        <w:t>age de la bande de fréquences 1 </w:t>
      </w:r>
      <w:r w:rsidRPr="007D0DE8">
        <w:rPr>
          <w:rFonts w:asciiTheme="majorBidi" w:hAnsiTheme="majorBidi" w:cstheme="majorBidi"/>
          <w:szCs w:val="24"/>
        </w:rPr>
        <w:t>452</w:t>
      </w:r>
      <w:r>
        <w:rPr>
          <w:rFonts w:asciiTheme="majorBidi" w:hAnsiTheme="majorBidi" w:cstheme="majorBidi"/>
          <w:szCs w:val="24"/>
        </w:rPr>
        <w:noBreakHyphen/>
      </w:r>
      <w:r w:rsidRPr="007D0DE8">
        <w:rPr>
          <w:rFonts w:asciiTheme="majorBidi" w:hAnsiTheme="majorBidi" w:cstheme="majorBidi"/>
          <w:szCs w:val="24"/>
        </w:rPr>
        <w:t>1 492 MHz entre les IMT et le SRS;</w:t>
      </w:r>
    </w:p>
    <w:p w:rsidR="00FC64A0" w:rsidRPr="007D0DE8" w:rsidRDefault="00FC64A0" w:rsidP="00A17011">
      <w:pPr>
        <w:jc w:val="both"/>
        <w:rPr>
          <w:rFonts w:asciiTheme="majorBidi" w:hAnsiTheme="majorBidi" w:cstheme="majorBidi"/>
          <w:szCs w:val="24"/>
        </w:rPr>
      </w:pPr>
      <w:r w:rsidRPr="007D0DE8">
        <w:rPr>
          <w:rFonts w:asciiTheme="majorBidi" w:hAnsiTheme="majorBidi" w:cstheme="majorBidi"/>
          <w:i/>
          <w:iCs/>
          <w:szCs w:val="24"/>
        </w:rPr>
        <w:t>c)</w:t>
      </w:r>
      <w:r w:rsidRPr="007D0DE8">
        <w:rPr>
          <w:rFonts w:asciiTheme="majorBidi" w:hAnsiTheme="majorBidi" w:cstheme="majorBidi"/>
          <w:szCs w:val="24"/>
        </w:rPr>
        <w:tab/>
        <w:t>qu</w:t>
      </w:r>
      <w:r>
        <w:rPr>
          <w:rFonts w:asciiTheme="majorBidi" w:hAnsiTheme="majorBidi" w:cstheme="majorBidi"/>
          <w:szCs w:val="24"/>
        </w:rPr>
        <w:t>'</w:t>
      </w:r>
      <w:r w:rsidRPr="007D0DE8">
        <w:rPr>
          <w:rFonts w:asciiTheme="majorBidi" w:hAnsiTheme="majorBidi" w:cstheme="majorBidi"/>
          <w:szCs w:val="24"/>
        </w:rPr>
        <w:t>il n</w:t>
      </w:r>
      <w:r>
        <w:rPr>
          <w:rFonts w:asciiTheme="majorBidi" w:hAnsiTheme="majorBidi" w:cstheme="majorBidi"/>
          <w:szCs w:val="24"/>
        </w:rPr>
        <w:t>'</w:t>
      </w:r>
      <w:r w:rsidRPr="007D0DE8">
        <w:rPr>
          <w:rFonts w:asciiTheme="majorBidi" w:hAnsiTheme="majorBidi" w:cstheme="majorBidi"/>
          <w:szCs w:val="24"/>
        </w:rPr>
        <w:t xml:space="preserve">existe aucune limite de puissance surfacique à la frontière pour les systèmes IMT et que les systèmes IMT qui seront déployés dans cette bande de fréquences devront appliquer la procédure de coordination au titre du numéro </w:t>
      </w:r>
      <w:r w:rsidRPr="007D0DE8">
        <w:rPr>
          <w:rFonts w:asciiTheme="majorBidi" w:hAnsiTheme="majorBidi" w:cstheme="majorBidi"/>
          <w:b/>
          <w:bCs/>
          <w:szCs w:val="24"/>
        </w:rPr>
        <w:t>9.19</w:t>
      </w:r>
      <w:r w:rsidRPr="007D0DE8">
        <w:rPr>
          <w:rFonts w:asciiTheme="majorBidi" w:hAnsiTheme="majorBidi" w:cstheme="majorBidi"/>
          <w:szCs w:val="24"/>
        </w:rPr>
        <w:t xml:space="preserve"> pour protéger les systèmes du SRS (sonore)</w:t>
      </w:r>
      <w:r>
        <w:rPr>
          <w:rFonts w:asciiTheme="majorBidi" w:hAnsiTheme="majorBidi" w:cstheme="majorBidi"/>
          <w:szCs w:val="24"/>
        </w:rPr>
        <w:t xml:space="preserve"> déployés dans les pays voisins,</w:t>
      </w:r>
    </w:p>
    <w:p w:rsidR="00FC64A0" w:rsidRPr="007D0DE8" w:rsidRDefault="00FC64A0" w:rsidP="00A17011">
      <w:pPr>
        <w:pStyle w:val="Call"/>
        <w:jc w:val="both"/>
        <w:rPr>
          <w:szCs w:val="24"/>
          <w:lang w:val="fr-CH"/>
        </w:rPr>
      </w:pPr>
      <w:r w:rsidRPr="007D0DE8">
        <w:rPr>
          <w:szCs w:val="24"/>
          <w:lang w:val="fr-CH"/>
        </w:rPr>
        <w:lastRenderedPageBreak/>
        <w:t>reconnaissant en outre</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i/>
          <w:iCs/>
          <w:szCs w:val="24"/>
        </w:rPr>
        <w:t>a)</w:t>
      </w:r>
      <w:r w:rsidRPr="007D0DE8">
        <w:rPr>
          <w:rFonts w:asciiTheme="majorBidi" w:hAnsiTheme="majorBidi" w:cstheme="majorBidi"/>
          <w:szCs w:val="24"/>
        </w:rPr>
        <w:tab/>
        <w:t xml:space="preserve">que la </w:t>
      </w:r>
      <w:r>
        <w:rPr>
          <w:rFonts w:asciiTheme="majorBidi" w:hAnsiTheme="majorBidi" w:cstheme="majorBidi"/>
          <w:szCs w:val="24"/>
        </w:rPr>
        <w:t>présente Conférence</w:t>
      </w:r>
      <w:r w:rsidRPr="007D0DE8">
        <w:rPr>
          <w:rFonts w:asciiTheme="majorBidi" w:hAnsiTheme="majorBidi" w:cstheme="majorBidi"/>
          <w:szCs w:val="24"/>
        </w:rPr>
        <w:t xml:space="preserve"> a identifié la bande de fréquences 1 452-1 492 MHz pour les IMT à l</w:t>
      </w:r>
      <w:r>
        <w:rPr>
          <w:rFonts w:asciiTheme="majorBidi" w:hAnsiTheme="majorBidi" w:cstheme="majorBidi"/>
          <w:szCs w:val="24"/>
        </w:rPr>
        <w:t>'</w:t>
      </w:r>
      <w:r w:rsidRPr="007D0DE8">
        <w:rPr>
          <w:rFonts w:asciiTheme="majorBidi" w:hAnsiTheme="majorBidi" w:cstheme="majorBidi"/>
          <w:szCs w:val="24"/>
        </w:rPr>
        <w:t>échelle mondiale;</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i/>
          <w:iCs/>
          <w:szCs w:val="24"/>
        </w:rPr>
        <w:t>b)</w:t>
      </w:r>
      <w:r w:rsidRPr="007D0DE8">
        <w:rPr>
          <w:rFonts w:asciiTheme="majorBidi" w:hAnsiTheme="majorBidi" w:cstheme="majorBidi"/>
          <w:szCs w:val="24"/>
        </w:rPr>
        <w:tab/>
        <w:t>qu</w:t>
      </w:r>
      <w:r>
        <w:rPr>
          <w:rFonts w:asciiTheme="majorBidi" w:hAnsiTheme="majorBidi" w:cstheme="majorBidi"/>
          <w:szCs w:val="24"/>
        </w:rPr>
        <w:t>'</w:t>
      </w:r>
      <w:r w:rsidRPr="007D0DE8">
        <w:rPr>
          <w:rFonts w:asciiTheme="majorBidi" w:hAnsiTheme="majorBidi" w:cstheme="majorBidi"/>
          <w:szCs w:val="24"/>
        </w:rPr>
        <w:t>il est nécessaire de terminer les études de compatibilité afin de définir des critères de partage appropriés entre le SRS (sonore) et le SM dans la band</w:t>
      </w:r>
      <w:r>
        <w:rPr>
          <w:rFonts w:asciiTheme="majorBidi" w:hAnsiTheme="majorBidi" w:cstheme="majorBidi"/>
          <w:szCs w:val="24"/>
        </w:rPr>
        <w:t>e de fréquences 1 452</w:t>
      </w:r>
      <w:r>
        <w:rPr>
          <w:rFonts w:asciiTheme="majorBidi" w:hAnsiTheme="majorBidi" w:cstheme="majorBidi"/>
          <w:szCs w:val="24"/>
        </w:rPr>
        <w:noBreakHyphen/>
        <w:t>1 492 MHz,</w:t>
      </w:r>
    </w:p>
    <w:p w:rsidR="00FC64A0" w:rsidRPr="007D0DE8" w:rsidRDefault="00FC64A0" w:rsidP="00A17011">
      <w:pPr>
        <w:pStyle w:val="Call"/>
        <w:jc w:val="both"/>
        <w:rPr>
          <w:szCs w:val="24"/>
          <w:lang w:val="fr-CH"/>
        </w:rPr>
      </w:pPr>
      <w:r w:rsidRPr="007D0DE8">
        <w:rPr>
          <w:szCs w:val="24"/>
          <w:lang w:val="fr-CH"/>
        </w:rPr>
        <w:t>décide d</w:t>
      </w:r>
      <w:r>
        <w:rPr>
          <w:szCs w:val="24"/>
          <w:lang w:val="fr-CH"/>
        </w:rPr>
        <w:t>'</w:t>
      </w:r>
      <w:r w:rsidRPr="007D0DE8">
        <w:rPr>
          <w:szCs w:val="24"/>
          <w:lang w:val="fr-CH"/>
        </w:rPr>
        <w:t>inviter l</w:t>
      </w:r>
      <w:r>
        <w:rPr>
          <w:szCs w:val="24"/>
          <w:lang w:val="fr-CH"/>
        </w:rPr>
        <w:t>'</w:t>
      </w:r>
      <w:r w:rsidRPr="007D0DE8">
        <w:rPr>
          <w:szCs w:val="24"/>
          <w:lang w:val="fr-CH"/>
        </w:rPr>
        <w:t>UIT-R</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szCs w:val="24"/>
        </w:rPr>
        <w:t>1</w:t>
      </w:r>
      <w:r w:rsidRPr="007D0DE8">
        <w:rPr>
          <w:rFonts w:asciiTheme="majorBidi" w:hAnsiTheme="majorBidi" w:cstheme="majorBidi"/>
          <w:szCs w:val="24"/>
        </w:rPr>
        <w:tab/>
        <w:t>à procéder, à temps pour la CMR-19, aux études réglementaires et techniques appropriées en vue d</w:t>
      </w:r>
      <w:r>
        <w:rPr>
          <w:rFonts w:asciiTheme="majorBidi" w:hAnsiTheme="majorBidi" w:cstheme="majorBidi"/>
          <w:szCs w:val="24"/>
        </w:rPr>
        <w:t>'</w:t>
      </w:r>
      <w:r w:rsidRPr="007D0DE8">
        <w:rPr>
          <w:rFonts w:asciiTheme="majorBidi" w:hAnsiTheme="majorBidi" w:cstheme="majorBidi"/>
          <w:szCs w:val="24"/>
        </w:rPr>
        <w:t>assurer la compatibilité entre les IMT et le SRS (sonore) dans la bande de fréquences 1 452</w:t>
      </w:r>
      <w:r>
        <w:rPr>
          <w:rFonts w:asciiTheme="majorBidi" w:hAnsiTheme="majorBidi" w:cstheme="majorBidi"/>
          <w:szCs w:val="24"/>
        </w:rPr>
        <w:noBreakHyphen/>
      </w:r>
      <w:r w:rsidRPr="007D0DE8">
        <w:rPr>
          <w:rFonts w:asciiTheme="majorBidi" w:hAnsiTheme="majorBidi" w:cstheme="majorBidi"/>
          <w:szCs w:val="24"/>
        </w:rPr>
        <w:t>1 492 MHz</w:t>
      </w:r>
      <w:r>
        <w:rPr>
          <w:rFonts w:asciiTheme="majorBidi" w:hAnsiTheme="majorBidi" w:cstheme="majorBidi"/>
          <w:szCs w:val="24"/>
        </w:rPr>
        <w:t xml:space="preserve"> dans les Régions 1 et 3</w:t>
      </w:r>
      <w:r w:rsidRPr="007D0DE8">
        <w:rPr>
          <w:rFonts w:asciiTheme="majorBidi" w:hAnsiTheme="majorBidi" w:cstheme="majorBidi"/>
          <w:szCs w:val="24"/>
        </w:rPr>
        <w:t>, compte tenu des besoins opérationnels des IMT et du SRS (sonore);</w:t>
      </w:r>
    </w:p>
    <w:p w:rsidR="00FC64A0" w:rsidRPr="007D0DE8" w:rsidRDefault="00FC64A0" w:rsidP="005131A3">
      <w:pPr>
        <w:jc w:val="both"/>
        <w:rPr>
          <w:rFonts w:asciiTheme="majorBidi" w:hAnsiTheme="majorBidi" w:cstheme="majorBidi"/>
          <w:szCs w:val="24"/>
        </w:rPr>
      </w:pPr>
      <w:r w:rsidRPr="007D0DE8">
        <w:rPr>
          <w:rFonts w:asciiTheme="majorBidi" w:hAnsiTheme="majorBidi" w:cstheme="majorBidi"/>
          <w:szCs w:val="24"/>
        </w:rPr>
        <w:t>2</w:t>
      </w:r>
      <w:r w:rsidRPr="007D0DE8">
        <w:rPr>
          <w:rFonts w:asciiTheme="majorBidi" w:hAnsiTheme="majorBidi" w:cstheme="majorBidi"/>
          <w:szCs w:val="24"/>
        </w:rPr>
        <w:tab/>
        <w:t xml:space="preserve">à élaborer, entre autres, les mesures réglementaires qui pourraient être prises, sur la base des études menées au titre du point 1 du </w:t>
      </w:r>
      <w:r w:rsidRPr="007D0DE8">
        <w:rPr>
          <w:rFonts w:asciiTheme="majorBidi" w:hAnsiTheme="majorBidi" w:cstheme="majorBidi"/>
          <w:i/>
          <w:iCs/>
          <w:szCs w:val="24"/>
        </w:rPr>
        <w:t>décide</w:t>
      </w:r>
      <w:r>
        <w:rPr>
          <w:rFonts w:asciiTheme="majorBidi" w:hAnsiTheme="majorBidi" w:cstheme="majorBidi"/>
          <w:i/>
          <w:iCs/>
          <w:szCs w:val="24"/>
        </w:rPr>
        <w:t xml:space="preserve"> d'inviter l'UIT-R</w:t>
      </w:r>
      <w:r w:rsidRPr="007D0DE8">
        <w:rPr>
          <w:rFonts w:asciiTheme="majorBidi" w:hAnsiTheme="majorBidi" w:cstheme="majorBidi"/>
          <w:szCs w:val="24"/>
        </w:rPr>
        <w:t xml:space="preserve"> ci-dessus, pour favoriser la stabilité à long terme des IMT et du SRS (sonore) dans la band</w:t>
      </w:r>
      <w:r>
        <w:rPr>
          <w:rFonts w:asciiTheme="majorBidi" w:hAnsiTheme="majorBidi" w:cstheme="majorBidi"/>
          <w:szCs w:val="24"/>
        </w:rPr>
        <w:t>e de fréquences 1</w:t>
      </w:r>
      <w:r w:rsidR="005131A3">
        <w:rPr>
          <w:rFonts w:asciiTheme="majorBidi" w:hAnsiTheme="majorBidi" w:cstheme="majorBidi"/>
          <w:szCs w:val="24"/>
        </w:rPr>
        <w:t> </w:t>
      </w:r>
      <w:r>
        <w:rPr>
          <w:rFonts w:asciiTheme="majorBidi" w:hAnsiTheme="majorBidi" w:cstheme="majorBidi"/>
          <w:szCs w:val="24"/>
        </w:rPr>
        <w:t>452-1 492 MHz,</w:t>
      </w:r>
    </w:p>
    <w:p w:rsidR="00FC64A0" w:rsidRPr="007D0DE8" w:rsidRDefault="00FC64A0" w:rsidP="00A17011">
      <w:pPr>
        <w:pStyle w:val="Call"/>
        <w:jc w:val="both"/>
        <w:rPr>
          <w:szCs w:val="24"/>
          <w:lang w:val="fr-CH"/>
        </w:rPr>
      </w:pPr>
      <w:r w:rsidRPr="007D0DE8">
        <w:rPr>
          <w:szCs w:val="24"/>
          <w:lang w:val="fr-CH"/>
        </w:rPr>
        <w:t xml:space="preserve">invite la </w:t>
      </w:r>
      <w:r>
        <w:rPr>
          <w:szCs w:val="24"/>
          <w:lang w:val="fr-CH"/>
        </w:rPr>
        <w:t>Conférence mondiale des radiocommunications de 2019</w:t>
      </w:r>
    </w:p>
    <w:p w:rsidR="00FC64A0" w:rsidRPr="007D0DE8" w:rsidRDefault="00FC64A0" w:rsidP="00A17011">
      <w:pPr>
        <w:jc w:val="both"/>
        <w:rPr>
          <w:rFonts w:asciiTheme="majorBidi" w:hAnsiTheme="majorBidi" w:cstheme="majorBidi"/>
          <w:szCs w:val="24"/>
          <w:highlight w:val="cyan"/>
        </w:rPr>
      </w:pPr>
      <w:r w:rsidRPr="007D0DE8">
        <w:rPr>
          <w:rFonts w:asciiTheme="majorBidi" w:hAnsiTheme="majorBidi" w:cstheme="majorBidi"/>
          <w:szCs w:val="24"/>
        </w:rPr>
        <w:t>à examiner les résultats mentionnés ci-dessus et à prendre les mesures nécessaires, selon qu</w:t>
      </w:r>
      <w:r>
        <w:rPr>
          <w:rFonts w:asciiTheme="majorBidi" w:hAnsiTheme="majorBidi" w:cstheme="majorBidi"/>
          <w:szCs w:val="24"/>
        </w:rPr>
        <w:t>'il conviendra,</w:t>
      </w:r>
    </w:p>
    <w:p w:rsidR="00FC64A0" w:rsidRPr="007D0DE8" w:rsidRDefault="00FC64A0" w:rsidP="00A17011">
      <w:pPr>
        <w:pStyle w:val="Call"/>
        <w:jc w:val="both"/>
        <w:rPr>
          <w:szCs w:val="24"/>
          <w:lang w:val="fr-CH"/>
        </w:rPr>
      </w:pPr>
      <w:r w:rsidRPr="007D0DE8">
        <w:rPr>
          <w:szCs w:val="24"/>
          <w:lang w:val="fr-CH"/>
        </w:rPr>
        <w:t xml:space="preserve">invite les </w:t>
      </w:r>
      <w:proofErr w:type="spellStart"/>
      <w:r w:rsidRPr="007D0DE8">
        <w:rPr>
          <w:szCs w:val="24"/>
          <w:lang w:val="fr-CH"/>
        </w:rPr>
        <w:t>Eta</w:t>
      </w:r>
      <w:r>
        <w:rPr>
          <w:szCs w:val="24"/>
          <w:lang w:val="fr-CH"/>
        </w:rPr>
        <w:t>ts</w:t>
      </w:r>
      <w:proofErr w:type="spellEnd"/>
      <w:r>
        <w:rPr>
          <w:szCs w:val="24"/>
          <w:lang w:val="fr-CH"/>
        </w:rPr>
        <w:t xml:space="preserve"> Membres</w:t>
      </w:r>
    </w:p>
    <w:p w:rsidR="00FC64A0" w:rsidRDefault="00FC64A0" w:rsidP="00A17011">
      <w:pPr>
        <w:jc w:val="both"/>
        <w:rPr>
          <w:rFonts w:asciiTheme="majorBidi" w:hAnsiTheme="majorBidi" w:cstheme="majorBidi"/>
          <w:szCs w:val="24"/>
        </w:rPr>
      </w:pPr>
      <w:r>
        <w:rPr>
          <w:rFonts w:asciiTheme="majorBidi" w:hAnsiTheme="majorBidi" w:cstheme="majorBidi"/>
          <w:szCs w:val="24"/>
        </w:rPr>
        <w:t>1</w:t>
      </w:r>
      <w:r>
        <w:rPr>
          <w:rFonts w:asciiTheme="majorBidi" w:hAnsiTheme="majorBidi" w:cstheme="majorBidi"/>
          <w:szCs w:val="24"/>
        </w:rPr>
        <w:tab/>
      </w:r>
      <w:r w:rsidRPr="007D0DE8">
        <w:rPr>
          <w:rFonts w:asciiTheme="majorBidi" w:hAnsiTheme="majorBidi" w:cstheme="majorBidi"/>
          <w:szCs w:val="24"/>
        </w:rPr>
        <w:t xml:space="preserve">à participer activement aux </w:t>
      </w:r>
      <w:r>
        <w:rPr>
          <w:rFonts w:asciiTheme="majorBidi" w:hAnsiTheme="majorBidi" w:cstheme="majorBidi"/>
          <w:szCs w:val="24"/>
        </w:rPr>
        <w:t>activités</w:t>
      </w:r>
      <w:r w:rsidRPr="007D0DE8">
        <w:rPr>
          <w:rFonts w:asciiTheme="majorBidi" w:hAnsiTheme="majorBidi" w:cstheme="majorBidi"/>
          <w:szCs w:val="24"/>
        </w:rPr>
        <w:t xml:space="preserve"> de l</w:t>
      </w:r>
      <w:r>
        <w:rPr>
          <w:rFonts w:asciiTheme="majorBidi" w:hAnsiTheme="majorBidi" w:cstheme="majorBidi"/>
          <w:szCs w:val="24"/>
        </w:rPr>
        <w:t>'UIT-R relatives aux études mentionnées ci</w:t>
      </w:r>
      <w:r>
        <w:rPr>
          <w:rFonts w:asciiTheme="majorBidi" w:hAnsiTheme="majorBidi" w:cstheme="majorBidi"/>
          <w:szCs w:val="24"/>
        </w:rPr>
        <w:noBreakHyphen/>
      </w:r>
      <w:r w:rsidRPr="007D0DE8">
        <w:rPr>
          <w:rFonts w:asciiTheme="majorBidi" w:hAnsiTheme="majorBidi" w:cstheme="majorBidi"/>
          <w:szCs w:val="24"/>
        </w:rPr>
        <w:t>dessus;</w:t>
      </w:r>
    </w:p>
    <w:p w:rsidR="00FC64A0" w:rsidRDefault="00FC64A0" w:rsidP="005131A3">
      <w:pPr>
        <w:jc w:val="both"/>
        <w:rPr>
          <w:rFonts w:asciiTheme="majorBidi" w:hAnsiTheme="majorBidi" w:cstheme="majorBidi"/>
          <w:szCs w:val="24"/>
        </w:rPr>
      </w:pPr>
      <w:r>
        <w:rPr>
          <w:rFonts w:asciiTheme="majorBidi" w:hAnsiTheme="majorBidi" w:cstheme="majorBidi"/>
          <w:szCs w:val="24"/>
        </w:rPr>
        <w:t>2</w:t>
      </w:r>
      <w:r>
        <w:rPr>
          <w:rFonts w:asciiTheme="majorBidi" w:hAnsiTheme="majorBidi" w:cstheme="majorBidi"/>
          <w:szCs w:val="24"/>
        </w:rPr>
        <w:tab/>
        <w:t>en Région 1, à utiliser les orientations obtenues dans le cadre des études de l'UIT</w:t>
      </w:r>
      <w:r w:rsidR="005131A3">
        <w:rPr>
          <w:rFonts w:asciiTheme="majorBidi" w:hAnsiTheme="majorBidi" w:cstheme="majorBidi"/>
          <w:szCs w:val="24"/>
        </w:rPr>
        <w:noBreakHyphen/>
      </w:r>
      <w:r>
        <w:rPr>
          <w:rFonts w:asciiTheme="majorBidi" w:hAnsiTheme="majorBidi" w:cstheme="majorBidi"/>
          <w:szCs w:val="24"/>
        </w:rPr>
        <w:t xml:space="preserve">R afin de déterminer la nécessité d'une coordination bilatérale entre les systèmes IMT et les stations terriennes du SRS, en tenant compte du point </w:t>
      </w:r>
      <w:r>
        <w:rPr>
          <w:rFonts w:asciiTheme="majorBidi" w:hAnsiTheme="majorBidi" w:cstheme="majorBidi"/>
          <w:i/>
          <w:iCs/>
          <w:szCs w:val="24"/>
        </w:rPr>
        <w:t>b)</w:t>
      </w:r>
      <w:r>
        <w:rPr>
          <w:rFonts w:asciiTheme="majorBidi" w:hAnsiTheme="majorBidi" w:cstheme="majorBidi"/>
          <w:iCs/>
          <w:szCs w:val="24"/>
        </w:rPr>
        <w:t xml:space="preserve"> du </w:t>
      </w:r>
      <w:r>
        <w:rPr>
          <w:rFonts w:asciiTheme="majorBidi" w:hAnsiTheme="majorBidi" w:cstheme="majorBidi"/>
          <w:i/>
          <w:szCs w:val="24"/>
        </w:rPr>
        <w:t>notant,</w:t>
      </w:r>
      <w:r>
        <w:rPr>
          <w:rFonts w:asciiTheme="majorBidi" w:hAnsiTheme="majorBidi" w:cstheme="majorBidi"/>
          <w:szCs w:val="24"/>
        </w:rPr>
        <w:t xml:space="preserve"> jusqu'à ce que la CMR-19 définisse les conditions réglementaires et techniques de cette coordination bilatérale;</w:t>
      </w:r>
    </w:p>
    <w:p w:rsidR="00FC64A0" w:rsidRPr="00D2578D" w:rsidRDefault="00FC64A0" w:rsidP="005131A3">
      <w:pPr>
        <w:jc w:val="both"/>
        <w:rPr>
          <w:rFonts w:asciiTheme="majorBidi" w:hAnsiTheme="majorBidi" w:cstheme="majorBidi"/>
          <w:szCs w:val="24"/>
        </w:rPr>
      </w:pPr>
      <w:r>
        <w:rPr>
          <w:rFonts w:asciiTheme="majorBidi" w:hAnsiTheme="majorBidi" w:cstheme="majorBidi"/>
          <w:szCs w:val="24"/>
        </w:rPr>
        <w:t>3</w:t>
      </w:r>
      <w:r>
        <w:rPr>
          <w:rFonts w:asciiTheme="majorBidi" w:hAnsiTheme="majorBidi" w:cstheme="majorBidi"/>
          <w:szCs w:val="24"/>
        </w:rPr>
        <w:tab/>
        <w:t>en Région 3, à utiliser les orientations obtenues dans le cadre des études de l'UIT</w:t>
      </w:r>
      <w:r w:rsidR="005131A3">
        <w:rPr>
          <w:rFonts w:asciiTheme="majorBidi" w:hAnsiTheme="majorBidi" w:cstheme="majorBidi"/>
          <w:szCs w:val="24"/>
        </w:rPr>
        <w:noBreakHyphen/>
      </w:r>
      <w:r>
        <w:rPr>
          <w:rFonts w:asciiTheme="majorBidi" w:hAnsiTheme="majorBidi" w:cstheme="majorBidi"/>
          <w:szCs w:val="24"/>
        </w:rPr>
        <w:t xml:space="preserve">R afin de déterminer la nécessité d'une coordination bilatérale pour protéger les stations terriennes du SRS, en tenant compte du point </w:t>
      </w:r>
      <w:r>
        <w:rPr>
          <w:rFonts w:asciiTheme="majorBidi" w:hAnsiTheme="majorBidi" w:cstheme="majorBidi"/>
          <w:i/>
          <w:iCs/>
          <w:szCs w:val="24"/>
        </w:rPr>
        <w:t>b)</w:t>
      </w:r>
      <w:r>
        <w:rPr>
          <w:rFonts w:asciiTheme="majorBidi" w:hAnsiTheme="majorBidi" w:cstheme="majorBidi"/>
          <w:szCs w:val="24"/>
        </w:rPr>
        <w:t xml:space="preserve"> du </w:t>
      </w:r>
      <w:r>
        <w:rPr>
          <w:rFonts w:asciiTheme="majorBidi" w:hAnsiTheme="majorBidi" w:cstheme="majorBidi"/>
          <w:i/>
          <w:iCs/>
          <w:szCs w:val="24"/>
        </w:rPr>
        <w:t>notant</w:t>
      </w:r>
      <w:r>
        <w:rPr>
          <w:rFonts w:asciiTheme="majorBidi" w:hAnsiTheme="majorBidi" w:cstheme="majorBidi"/>
          <w:szCs w:val="24"/>
        </w:rPr>
        <w:t>, jusqu'à ce que la CMR-19 définisse les conditions réglementaires et techniques de cette coordination bilatérale,</w:t>
      </w:r>
    </w:p>
    <w:p w:rsidR="00FC64A0" w:rsidRPr="007D0DE8" w:rsidRDefault="00FC64A0" w:rsidP="00A17011">
      <w:pPr>
        <w:pStyle w:val="Call"/>
        <w:jc w:val="both"/>
        <w:rPr>
          <w:szCs w:val="24"/>
          <w:lang w:val="fr-CH"/>
        </w:rPr>
      </w:pPr>
      <w:r w:rsidRPr="007D0DE8">
        <w:rPr>
          <w:szCs w:val="24"/>
          <w:lang w:val="fr-CH"/>
        </w:rPr>
        <w:t>charge le Directeur du Bureau des radiocommunications</w:t>
      </w:r>
    </w:p>
    <w:p w:rsidR="00FC64A0" w:rsidRDefault="00FC64A0" w:rsidP="00A17011">
      <w:pPr>
        <w:jc w:val="both"/>
      </w:pPr>
      <w:r w:rsidRPr="007D0DE8">
        <w:rPr>
          <w:rFonts w:asciiTheme="majorBidi" w:hAnsiTheme="majorBidi" w:cstheme="majorBidi"/>
          <w:szCs w:val="24"/>
        </w:rPr>
        <w:t>de faire rapport à la CMR-19, au titre du point 9.1 de l</w:t>
      </w:r>
      <w:r>
        <w:rPr>
          <w:rFonts w:asciiTheme="majorBidi" w:hAnsiTheme="majorBidi" w:cstheme="majorBidi"/>
          <w:szCs w:val="24"/>
        </w:rPr>
        <w:t>'</w:t>
      </w:r>
      <w:r w:rsidRPr="007D0DE8">
        <w:rPr>
          <w:rFonts w:asciiTheme="majorBidi" w:hAnsiTheme="majorBidi" w:cstheme="majorBidi"/>
          <w:szCs w:val="24"/>
        </w:rPr>
        <w:t xml:space="preserve">ordre du jour, sur les résultats des études visées au point 1 du </w:t>
      </w:r>
      <w:r w:rsidRPr="007D0DE8">
        <w:rPr>
          <w:rFonts w:asciiTheme="majorBidi" w:hAnsiTheme="majorBidi" w:cstheme="majorBidi"/>
          <w:i/>
          <w:iCs/>
          <w:szCs w:val="24"/>
        </w:rPr>
        <w:t>décide</w:t>
      </w:r>
      <w:r>
        <w:rPr>
          <w:rFonts w:asciiTheme="majorBidi" w:hAnsiTheme="majorBidi" w:cstheme="majorBidi"/>
          <w:i/>
          <w:iCs/>
          <w:szCs w:val="24"/>
        </w:rPr>
        <w:t xml:space="preserve"> d'inviter l'UIT-R</w:t>
      </w:r>
      <w:r w:rsidRPr="007D0DE8">
        <w:rPr>
          <w:rFonts w:asciiTheme="majorBidi" w:hAnsiTheme="majorBidi" w:cstheme="majorBidi"/>
          <w:szCs w:val="24"/>
        </w:rPr>
        <w:t>.</w:t>
      </w:r>
      <w:r w:rsidRPr="009E20D9">
        <w:t xml:space="preserve"> </w:t>
      </w:r>
    </w:p>
    <w:p w:rsidR="003B0731" w:rsidRPr="001331D5" w:rsidRDefault="003B0731" w:rsidP="00A17011">
      <w:pPr>
        <w:rPr>
          <w:rFonts w:asciiTheme="majorBidi" w:hAnsiTheme="majorBidi" w:cstheme="majorBidi"/>
          <w:szCs w:val="24"/>
        </w:rPr>
      </w:pPr>
    </w:p>
    <w:p w:rsidR="00FB15F8" w:rsidRDefault="007C1B97" w:rsidP="00A17011">
      <w:pPr>
        <w:pStyle w:val="ResNo"/>
        <w:rPr>
          <w:lang w:val="fr-CH"/>
        </w:rPr>
      </w:pPr>
      <w:r w:rsidRPr="001331D5">
        <w:rPr>
          <w:rFonts w:asciiTheme="majorBidi" w:hAnsiTheme="majorBidi" w:cstheme="majorBidi"/>
          <w:sz w:val="24"/>
          <w:szCs w:val="24"/>
        </w:rPr>
        <w:br w:type="page"/>
      </w:r>
      <w:bookmarkStart w:id="268" w:name="_Toc319341093"/>
      <w:bookmarkStart w:id="269" w:name="_Toc319401933"/>
      <w:bookmarkStart w:id="270" w:name="_Toc320520031"/>
      <w:bookmarkStart w:id="271" w:name="_Toc320862132"/>
      <w:bookmarkStart w:id="272" w:name="_Toc320862292"/>
      <w:bookmarkStart w:id="273" w:name="_Toc324918389"/>
      <w:bookmarkStart w:id="274" w:name="_Toc327364606"/>
      <w:bookmarkStart w:id="275" w:name="_Toc337471362"/>
    </w:p>
    <w:p w:rsidR="00C173DE" w:rsidRPr="00C173DE" w:rsidRDefault="00C173DE" w:rsidP="00A17011">
      <w:pPr>
        <w:pStyle w:val="ResNo"/>
      </w:pPr>
      <w:bookmarkStart w:id="276" w:name="RES_763"/>
      <w:bookmarkStart w:id="277" w:name="_Toc444507642"/>
      <w:bookmarkStart w:id="278" w:name="_Toc460331736"/>
      <w:bookmarkStart w:id="279" w:name="_Toc463616193"/>
      <w:r w:rsidRPr="00C173DE">
        <w:lastRenderedPageBreak/>
        <w:t>R</w:t>
      </w:r>
      <w:r w:rsidR="001D5201" w:rsidRPr="001D5201">
        <w:t>É</w:t>
      </w:r>
      <w:r w:rsidRPr="00C173DE">
        <w:t xml:space="preserve">SOLUTION </w:t>
      </w:r>
      <w:r w:rsidRPr="00C173DE">
        <w:rPr>
          <w:rStyle w:val="href"/>
        </w:rPr>
        <w:t>763</w:t>
      </w:r>
      <w:r w:rsidRPr="00C173DE">
        <w:t xml:space="preserve"> </w:t>
      </w:r>
      <w:bookmarkEnd w:id="276"/>
      <w:r w:rsidRPr="00C173DE">
        <w:t>(</w:t>
      </w:r>
      <w:r w:rsidR="005A2541" w:rsidRPr="00A20F5A">
        <w:t>C</w:t>
      </w:r>
      <w:r w:rsidR="005A2541">
        <w:t>MR</w:t>
      </w:r>
      <w:r w:rsidRPr="00C173DE">
        <w:noBreakHyphen/>
        <w:t>15)</w:t>
      </w:r>
      <w:bookmarkEnd w:id="277"/>
      <w:bookmarkEnd w:id="278"/>
      <w:bookmarkEnd w:id="279"/>
    </w:p>
    <w:p w:rsidR="001331D5" w:rsidRPr="00325EC4" w:rsidRDefault="001331D5" w:rsidP="00A17011">
      <w:pPr>
        <w:pStyle w:val="Restitle"/>
        <w:rPr>
          <w:rFonts w:asciiTheme="majorBidi" w:hAnsiTheme="majorBidi" w:cstheme="majorBidi"/>
          <w:bCs/>
          <w:szCs w:val="28"/>
          <w:lang w:val="fr-CH"/>
        </w:rPr>
      </w:pPr>
      <w:bookmarkStart w:id="280" w:name="_Toc463616194"/>
      <w:r w:rsidRPr="00325EC4">
        <w:rPr>
          <w:rFonts w:asciiTheme="majorBidi" w:hAnsiTheme="majorBidi" w:cstheme="majorBidi"/>
          <w:bCs/>
          <w:szCs w:val="28"/>
          <w:lang w:val="fr-CH"/>
        </w:rPr>
        <w:t>Stations placées à bord de véhicules suborbitaux</w:t>
      </w:r>
      <w:bookmarkEnd w:id="280"/>
      <w:r w:rsidR="00B75162">
        <w:rPr>
          <w:rFonts w:asciiTheme="majorBidi" w:hAnsiTheme="majorBidi" w:cstheme="majorBidi"/>
          <w:bCs/>
          <w:szCs w:val="28"/>
          <w:lang w:val="fr-CH"/>
        </w:rPr>
        <w:t xml:space="preserve"> </w:t>
      </w:r>
    </w:p>
    <w:p w:rsidR="001331D5" w:rsidRPr="00325EC4" w:rsidRDefault="001331D5" w:rsidP="00A17011">
      <w:pPr>
        <w:pStyle w:val="Normalaftertitle"/>
        <w:rPr>
          <w:lang w:val="fr-CH"/>
        </w:rPr>
      </w:pPr>
      <w:r w:rsidRPr="00325EC4">
        <w:rPr>
          <w:lang w:val="fr-CH"/>
        </w:rPr>
        <w:t>La Conférence mondiale des radiocommunications (Genève, 2015),</w:t>
      </w:r>
    </w:p>
    <w:p w:rsidR="001331D5" w:rsidRPr="00325EC4" w:rsidRDefault="001331D5" w:rsidP="00A17011">
      <w:pPr>
        <w:pStyle w:val="Call"/>
        <w:jc w:val="both"/>
        <w:rPr>
          <w:lang w:val="fr-CH"/>
        </w:rPr>
      </w:pPr>
      <w:r w:rsidRPr="00325EC4">
        <w:rPr>
          <w:lang w:val="fr-CH"/>
        </w:rPr>
        <w:t>considérant</w:t>
      </w:r>
    </w:p>
    <w:p w:rsidR="001331D5" w:rsidRPr="00325EC4" w:rsidRDefault="001331D5" w:rsidP="00A17011">
      <w:pPr>
        <w:jc w:val="both"/>
        <w:rPr>
          <w:color w:val="000000"/>
          <w:lang w:val="fr-CH"/>
        </w:rPr>
      </w:pPr>
      <w:r w:rsidRPr="00325EC4">
        <w:rPr>
          <w:rFonts w:asciiTheme="majorBidi" w:hAnsiTheme="majorBidi" w:cstheme="majorBidi"/>
          <w:i/>
          <w:lang w:val="fr-CH"/>
        </w:rPr>
        <w:t>a)</w:t>
      </w:r>
      <w:r w:rsidRPr="00325EC4">
        <w:rPr>
          <w:rFonts w:asciiTheme="majorBidi" w:hAnsiTheme="majorBidi" w:cstheme="majorBidi"/>
          <w:lang w:val="fr-CH"/>
        </w:rPr>
        <w:tab/>
      </w:r>
      <w:r w:rsidRPr="00325EC4">
        <w:rPr>
          <w:color w:val="000000"/>
          <w:lang w:val="fr-CH"/>
        </w:rPr>
        <w:t>que le spectre des fréquences radioélectriques est une ressource limitée;</w:t>
      </w:r>
    </w:p>
    <w:p w:rsidR="001331D5" w:rsidRPr="00325EC4" w:rsidRDefault="001331D5" w:rsidP="00A17011">
      <w:pPr>
        <w:jc w:val="both"/>
        <w:rPr>
          <w:rFonts w:asciiTheme="majorBidi" w:hAnsiTheme="majorBidi" w:cstheme="majorBidi"/>
          <w:lang w:val="fr-CH"/>
        </w:rPr>
      </w:pPr>
      <w:r w:rsidRPr="00325EC4">
        <w:rPr>
          <w:rFonts w:asciiTheme="majorBidi" w:hAnsiTheme="majorBidi" w:cstheme="majorBidi"/>
          <w:i/>
          <w:iCs/>
          <w:lang w:val="fr-CH"/>
        </w:rPr>
        <w:t>b)</w:t>
      </w:r>
      <w:r w:rsidRPr="00325EC4">
        <w:rPr>
          <w:rFonts w:asciiTheme="majorBidi" w:hAnsiTheme="majorBidi" w:cstheme="majorBidi"/>
          <w:lang w:val="fr-CH"/>
        </w:rPr>
        <w:tab/>
      </w:r>
      <w:r w:rsidRPr="00325EC4">
        <w:rPr>
          <w:color w:val="000000"/>
          <w:lang w:val="fr-CH"/>
        </w:rPr>
        <w:t>que l'on considère habituellement que la limite entre l'atmosphère terrestre et l'espace se trouve à 100 km au-dessus de la surface de la Terre;</w:t>
      </w:r>
      <w:r w:rsidRPr="00325EC4">
        <w:rPr>
          <w:rFonts w:asciiTheme="majorBidi" w:hAnsiTheme="majorBidi" w:cstheme="majorBidi"/>
          <w:lang w:val="fr-CH"/>
        </w:rPr>
        <w:t xml:space="preserve"> </w:t>
      </w:r>
    </w:p>
    <w:p w:rsidR="001331D5" w:rsidRPr="00325EC4" w:rsidRDefault="001331D5" w:rsidP="00A17011">
      <w:pPr>
        <w:jc w:val="both"/>
        <w:rPr>
          <w:color w:val="000000"/>
          <w:lang w:val="fr-CH"/>
        </w:rPr>
      </w:pPr>
      <w:r w:rsidRPr="00325EC4">
        <w:rPr>
          <w:rFonts w:asciiTheme="majorBidi" w:hAnsiTheme="majorBidi" w:cstheme="majorBidi"/>
          <w:i/>
          <w:lang w:val="fr-CH"/>
        </w:rPr>
        <w:t>c)</w:t>
      </w:r>
      <w:r w:rsidRPr="00325EC4">
        <w:rPr>
          <w:rFonts w:asciiTheme="majorBidi" w:hAnsiTheme="majorBidi" w:cstheme="majorBidi"/>
          <w:lang w:val="fr-CH"/>
        </w:rPr>
        <w:tab/>
      </w:r>
      <w:r w:rsidRPr="00325EC4">
        <w:rPr>
          <w:color w:val="000000"/>
          <w:lang w:val="fr-CH"/>
        </w:rPr>
        <w:t>que l'on met actuellement au point des véhicules, notamment des aéronefs, qui peuvent voler à une altitude de plus de 100 km en empruntant des trajectoires suborbitales;</w:t>
      </w:r>
    </w:p>
    <w:p w:rsidR="001331D5" w:rsidRPr="00325EC4" w:rsidRDefault="001331D5" w:rsidP="00A17011">
      <w:pPr>
        <w:jc w:val="both"/>
        <w:rPr>
          <w:color w:val="000000"/>
          <w:lang w:val="fr-CH"/>
        </w:rPr>
      </w:pPr>
      <w:r w:rsidRPr="00325EC4">
        <w:rPr>
          <w:i/>
          <w:iCs/>
          <w:color w:val="000000"/>
          <w:lang w:val="fr-CH"/>
        </w:rPr>
        <w:t>d)</w:t>
      </w:r>
      <w:r w:rsidRPr="00325EC4">
        <w:rPr>
          <w:color w:val="000000"/>
          <w:lang w:val="fr-CH"/>
        </w:rPr>
        <w:tab/>
        <w:t xml:space="preserve">que d'autres véhicules peuvent également évoluer à </w:t>
      </w:r>
      <w:r>
        <w:rPr>
          <w:color w:val="000000"/>
          <w:lang w:val="fr-CH"/>
        </w:rPr>
        <w:t>une altitude</w:t>
      </w:r>
      <w:r w:rsidRPr="00325EC4">
        <w:rPr>
          <w:color w:val="000000"/>
          <w:lang w:val="fr-CH"/>
        </w:rPr>
        <w:t xml:space="preserve"> de plus de 100 km et emprunter des trajectoires non orbitales;</w:t>
      </w:r>
    </w:p>
    <w:p w:rsidR="001331D5" w:rsidRPr="00325EC4" w:rsidRDefault="001331D5" w:rsidP="00A17011">
      <w:pPr>
        <w:jc w:val="both"/>
        <w:rPr>
          <w:lang w:val="fr-CH"/>
        </w:rPr>
      </w:pPr>
      <w:r w:rsidRPr="00325EC4">
        <w:rPr>
          <w:i/>
          <w:iCs/>
          <w:color w:val="000000"/>
          <w:lang w:val="fr-CH"/>
        </w:rPr>
        <w:t>e)</w:t>
      </w:r>
      <w:r w:rsidRPr="00325EC4">
        <w:rPr>
          <w:color w:val="000000"/>
          <w:lang w:val="fr-CH"/>
        </w:rPr>
        <w:tab/>
        <w:t xml:space="preserve">que certains de ces véhicules atteignent l'espace, et qu'après largage de l'engin spatial, s'éloignent et regagnent la Terre </w:t>
      </w:r>
      <w:r w:rsidRPr="00325EC4">
        <w:rPr>
          <w:lang w:val="fr-CH"/>
        </w:rPr>
        <w:t>comme un vol spatial suborbital;</w:t>
      </w:r>
    </w:p>
    <w:p w:rsidR="001331D5" w:rsidRPr="00325EC4" w:rsidRDefault="001331D5" w:rsidP="00A17011">
      <w:pPr>
        <w:jc w:val="both"/>
        <w:rPr>
          <w:color w:val="000000"/>
          <w:lang w:val="fr-CH"/>
        </w:rPr>
      </w:pPr>
      <w:r w:rsidRPr="00325EC4">
        <w:rPr>
          <w:i/>
          <w:iCs/>
          <w:lang w:val="fr-CH"/>
        </w:rPr>
        <w:t>f)</w:t>
      </w:r>
      <w:r w:rsidRPr="00325EC4">
        <w:rPr>
          <w:lang w:val="fr-CH"/>
        </w:rPr>
        <w:tab/>
      </w:r>
      <w:r>
        <w:rPr>
          <w:lang w:val="fr-CH"/>
        </w:rPr>
        <w:t xml:space="preserve">qu'il se peut </w:t>
      </w:r>
      <w:r w:rsidRPr="00325EC4">
        <w:rPr>
          <w:lang w:val="fr-CH"/>
        </w:rPr>
        <w:t>que les stations placées à bord de véhicules suborbitaux utilise</w:t>
      </w:r>
      <w:r>
        <w:rPr>
          <w:lang w:val="fr-CH"/>
        </w:rPr>
        <w:t>nt</w:t>
      </w:r>
      <w:r w:rsidRPr="00325EC4">
        <w:rPr>
          <w:lang w:val="fr-CH"/>
        </w:rPr>
        <w:t xml:space="preserve"> des fréquences attribuées aux services spatiaux et </w:t>
      </w:r>
      <w:r>
        <w:rPr>
          <w:lang w:val="fr-CH"/>
        </w:rPr>
        <w:t xml:space="preserve">aux services </w:t>
      </w:r>
      <w:r w:rsidRPr="00325EC4">
        <w:rPr>
          <w:lang w:val="fr-CH"/>
        </w:rPr>
        <w:t xml:space="preserve">de Terre à des fins de </w:t>
      </w:r>
      <w:r w:rsidRPr="00325EC4">
        <w:rPr>
          <w:color w:val="000000"/>
          <w:lang w:val="fr-CH"/>
        </w:rPr>
        <w:t>télémesure, poursuite et commande (</w:t>
      </w:r>
      <w:r w:rsidRPr="00325EC4">
        <w:rPr>
          <w:lang w:val="fr-CH"/>
        </w:rPr>
        <w:t>TTC) et</w:t>
      </w:r>
      <w:r>
        <w:rPr>
          <w:lang w:val="fr-CH"/>
        </w:rPr>
        <w:t xml:space="preserve"> pour</w:t>
      </w:r>
      <w:r w:rsidRPr="00325EC4">
        <w:rPr>
          <w:lang w:val="fr-CH"/>
        </w:rPr>
        <w:t xml:space="preserve"> de</w:t>
      </w:r>
      <w:r>
        <w:rPr>
          <w:lang w:val="fr-CH"/>
        </w:rPr>
        <w:t>s</w:t>
      </w:r>
      <w:r w:rsidRPr="00325EC4">
        <w:rPr>
          <w:lang w:val="fr-CH"/>
        </w:rPr>
        <w:t xml:space="preserve"> communications vocales,</w:t>
      </w:r>
    </w:p>
    <w:p w:rsidR="001331D5" w:rsidRPr="00325EC4" w:rsidRDefault="001331D5" w:rsidP="00A17011">
      <w:pPr>
        <w:pStyle w:val="Call"/>
        <w:jc w:val="both"/>
        <w:rPr>
          <w:lang w:val="fr-CH"/>
        </w:rPr>
      </w:pPr>
      <w:r w:rsidRPr="00325EC4">
        <w:rPr>
          <w:lang w:val="fr-CH"/>
        </w:rPr>
        <w:t>reconnaissant</w:t>
      </w:r>
    </w:p>
    <w:p w:rsidR="001331D5" w:rsidRPr="00325EC4" w:rsidRDefault="001331D5" w:rsidP="00A17011">
      <w:pPr>
        <w:jc w:val="both"/>
        <w:rPr>
          <w:color w:val="000000"/>
          <w:lang w:val="fr-CH"/>
        </w:rPr>
      </w:pPr>
      <w:r w:rsidRPr="00325EC4">
        <w:rPr>
          <w:rFonts w:asciiTheme="majorBidi" w:hAnsiTheme="majorBidi" w:cstheme="majorBidi"/>
          <w:lang w:val="fr-CH"/>
        </w:rPr>
        <w:t>que les dispositions et</w:t>
      </w:r>
      <w:r>
        <w:rPr>
          <w:rFonts w:asciiTheme="majorBidi" w:hAnsiTheme="majorBidi" w:cstheme="majorBidi"/>
          <w:lang w:val="fr-CH"/>
        </w:rPr>
        <w:t xml:space="preserve"> les</w:t>
      </w:r>
      <w:r w:rsidRPr="00325EC4">
        <w:rPr>
          <w:rFonts w:asciiTheme="majorBidi" w:hAnsiTheme="majorBidi" w:cstheme="majorBidi"/>
          <w:lang w:val="fr-CH"/>
        </w:rPr>
        <w:t xml:space="preserve"> procédures réglementaires actuelles applicables aux services spatiaux et </w:t>
      </w:r>
      <w:r>
        <w:rPr>
          <w:rFonts w:asciiTheme="majorBidi" w:hAnsiTheme="majorBidi" w:cstheme="majorBidi"/>
          <w:lang w:val="fr-CH"/>
        </w:rPr>
        <w:t xml:space="preserve">aux services </w:t>
      </w:r>
      <w:r w:rsidRPr="00325EC4">
        <w:rPr>
          <w:rFonts w:asciiTheme="majorBidi" w:hAnsiTheme="majorBidi" w:cstheme="majorBidi"/>
          <w:lang w:val="fr-CH"/>
        </w:rPr>
        <w:t xml:space="preserve">de Terre peuvent ne pas convenir </w:t>
      </w:r>
      <w:r>
        <w:rPr>
          <w:rFonts w:asciiTheme="majorBidi" w:hAnsiTheme="majorBidi" w:cstheme="majorBidi"/>
          <w:lang w:val="fr-CH"/>
        </w:rPr>
        <w:t>pour</w:t>
      </w:r>
      <w:r w:rsidRPr="00325EC4">
        <w:rPr>
          <w:rFonts w:asciiTheme="majorBidi" w:hAnsiTheme="majorBidi" w:cstheme="majorBidi"/>
          <w:lang w:val="fr-CH"/>
        </w:rPr>
        <w:t xml:space="preserve"> la reconnaissance internationale de l'utilisation d'assignations</w:t>
      </w:r>
      <w:r>
        <w:rPr>
          <w:rFonts w:asciiTheme="majorBidi" w:hAnsiTheme="majorBidi" w:cstheme="majorBidi"/>
          <w:lang w:val="fr-CH"/>
        </w:rPr>
        <w:t xml:space="preserve"> de fréquences pertinentes par l</w:t>
      </w:r>
      <w:r w:rsidRPr="00325EC4">
        <w:rPr>
          <w:rFonts w:asciiTheme="majorBidi" w:hAnsiTheme="majorBidi" w:cstheme="majorBidi"/>
          <w:lang w:val="fr-CH"/>
        </w:rPr>
        <w:t>es stations placées à bord de véhicules suborbitaux</w:t>
      </w:r>
      <w:r w:rsidRPr="00325EC4">
        <w:rPr>
          <w:color w:val="000000"/>
          <w:lang w:val="fr-CH"/>
        </w:rPr>
        <w:t>,</w:t>
      </w:r>
    </w:p>
    <w:p w:rsidR="001331D5" w:rsidRPr="00325EC4" w:rsidRDefault="001331D5" w:rsidP="00A17011">
      <w:pPr>
        <w:pStyle w:val="Call"/>
        <w:jc w:val="both"/>
        <w:rPr>
          <w:lang w:val="fr-CH"/>
        </w:rPr>
      </w:pPr>
      <w:r w:rsidRPr="00325EC4">
        <w:rPr>
          <w:lang w:val="fr-CH"/>
        </w:rPr>
        <w:t>reconnaissant en outre</w:t>
      </w:r>
    </w:p>
    <w:p w:rsidR="001331D5" w:rsidRPr="00325EC4" w:rsidRDefault="001331D5" w:rsidP="00A17011">
      <w:pPr>
        <w:jc w:val="both"/>
        <w:rPr>
          <w:color w:val="000000"/>
          <w:lang w:val="fr-CH"/>
        </w:rPr>
      </w:pPr>
      <w:r w:rsidRPr="00325EC4">
        <w:rPr>
          <w:rFonts w:asciiTheme="majorBidi" w:hAnsiTheme="majorBidi" w:cstheme="majorBidi"/>
          <w:lang w:val="fr-CH"/>
        </w:rPr>
        <w:t xml:space="preserve">que les besoins de fréquences pour la </w:t>
      </w:r>
      <w:r w:rsidRPr="00325EC4">
        <w:rPr>
          <w:color w:val="000000"/>
          <w:lang w:val="fr-CH"/>
        </w:rPr>
        <w:t>télémesure, la poursuite et la commande (</w:t>
      </w:r>
      <w:r w:rsidRPr="00325EC4">
        <w:rPr>
          <w:lang w:val="fr-CH"/>
        </w:rPr>
        <w:t>TTC) et les communications vocales sur des stations placées à bord de véhicules suborbitaux n'ont pas été étudiés</w:t>
      </w:r>
      <w:r w:rsidRPr="00325EC4">
        <w:rPr>
          <w:color w:val="000000"/>
          <w:lang w:val="fr-CH"/>
        </w:rPr>
        <w:t>,</w:t>
      </w:r>
    </w:p>
    <w:p w:rsidR="001331D5" w:rsidRPr="00325EC4" w:rsidRDefault="001331D5" w:rsidP="00A17011">
      <w:pPr>
        <w:pStyle w:val="Call"/>
        <w:jc w:val="both"/>
        <w:rPr>
          <w:lang w:val="fr-CH"/>
        </w:rPr>
      </w:pPr>
      <w:r w:rsidRPr="00325EC4">
        <w:rPr>
          <w:lang w:val="fr-CH"/>
        </w:rPr>
        <w:t>notant</w:t>
      </w:r>
    </w:p>
    <w:p w:rsidR="001331D5" w:rsidRPr="00325EC4" w:rsidRDefault="001331D5" w:rsidP="00A17011">
      <w:pPr>
        <w:jc w:val="both"/>
        <w:rPr>
          <w:color w:val="000000"/>
          <w:lang w:val="fr-CH"/>
        </w:rPr>
      </w:pPr>
      <w:r w:rsidRPr="00325EC4">
        <w:rPr>
          <w:i/>
          <w:iCs/>
          <w:lang w:val="fr-CH"/>
        </w:rPr>
        <w:t>a)</w:t>
      </w:r>
      <w:r w:rsidRPr="00325EC4">
        <w:rPr>
          <w:lang w:val="fr-CH"/>
        </w:rPr>
        <w:tab/>
      </w:r>
      <w:r>
        <w:rPr>
          <w:lang w:val="fr-CH"/>
        </w:rPr>
        <w:t>la Question UIT-</w:t>
      </w:r>
      <w:r w:rsidRPr="00325EC4">
        <w:rPr>
          <w:lang w:val="fr-CH"/>
        </w:rPr>
        <w:t>R 259/5, intitulée «</w:t>
      </w:r>
      <w:r w:rsidRPr="00325EC4">
        <w:rPr>
          <w:color w:val="000000"/>
          <w:lang w:val="fr-CH"/>
        </w:rPr>
        <w:t>Aspects opérationnels et réglementaires applicables aux avions évoluant dans la haute atmosphère»;</w:t>
      </w:r>
    </w:p>
    <w:p w:rsidR="001331D5" w:rsidRPr="00325EC4" w:rsidRDefault="001331D5" w:rsidP="00A17011">
      <w:pPr>
        <w:jc w:val="both"/>
        <w:rPr>
          <w:lang w:val="fr-CH"/>
        </w:rPr>
      </w:pPr>
      <w:r w:rsidRPr="00325EC4">
        <w:rPr>
          <w:i/>
          <w:iCs/>
          <w:color w:val="000000"/>
          <w:lang w:val="fr-CH"/>
        </w:rPr>
        <w:t>b)</w:t>
      </w:r>
      <w:r w:rsidRPr="00325EC4">
        <w:rPr>
          <w:color w:val="000000"/>
          <w:lang w:val="fr-CH"/>
        </w:rPr>
        <w:tab/>
        <w:t xml:space="preserve">que les dispositions du numéro </w:t>
      </w:r>
      <w:r w:rsidRPr="00325EC4">
        <w:rPr>
          <w:b/>
          <w:bCs/>
          <w:color w:val="000000"/>
          <w:lang w:val="fr-CH"/>
        </w:rPr>
        <w:t xml:space="preserve">4.10 </w:t>
      </w:r>
      <w:r w:rsidRPr="00325EC4">
        <w:rPr>
          <w:color w:val="000000"/>
          <w:lang w:val="fr-CH"/>
        </w:rPr>
        <w:t>peuvent s'appliquer relativement à certains aspects de ces opérations,</w:t>
      </w:r>
    </w:p>
    <w:p w:rsidR="001331D5" w:rsidRPr="00325EC4" w:rsidRDefault="001331D5" w:rsidP="00A17011">
      <w:pPr>
        <w:pStyle w:val="Call"/>
        <w:jc w:val="both"/>
        <w:rPr>
          <w:lang w:val="fr-CH"/>
        </w:rPr>
      </w:pPr>
      <w:r w:rsidRPr="00325EC4">
        <w:rPr>
          <w:lang w:val="fr-CH"/>
        </w:rPr>
        <w:t>décide d'inviter</w:t>
      </w:r>
      <w:r>
        <w:rPr>
          <w:lang w:val="fr-CH"/>
        </w:rPr>
        <w:t xml:space="preserve"> le Secteur des radiocommunications</w:t>
      </w:r>
      <w:r w:rsidRPr="00325EC4">
        <w:rPr>
          <w:lang w:val="fr-CH"/>
        </w:rPr>
        <w:t xml:space="preserve"> l'UIT</w:t>
      </w:r>
    </w:p>
    <w:p w:rsidR="001331D5" w:rsidRPr="00325EC4" w:rsidRDefault="001331D5" w:rsidP="00A17011">
      <w:pPr>
        <w:jc w:val="both"/>
        <w:rPr>
          <w:lang w:val="fr-CH"/>
        </w:rPr>
      </w:pPr>
      <w:r w:rsidRPr="00325EC4">
        <w:rPr>
          <w:lang w:val="fr-CH"/>
        </w:rPr>
        <w:t>1</w:t>
      </w:r>
      <w:r w:rsidRPr="00325EC4">
        <w:rPr>
          <w:lang w:val="fr-CH"/>
        </w:rPr>
        <w:tab/>
        <w:t xml:space="preserve">à procéder à des études pour mettre en évidence les mesures techniques et opérationnelles qui pourraient être nécessaires, en </w:t>
      </w:r>
      <w:r>
        <w:rPr>
          <w:lang w:val="fr-CH"/>
        </w:rPr>
        <w:t>ce qui concerne</w:t>
      </w:r>
      <w:r w:rsidRPr="00325EC4">
        <w:rPr>
          <w:lang w:val="fr-CH"/>
        </w:rPr>
        <w:t xml:space="preserve"> avec les stations placées à bord de véhicules suborbitaux, pour contribuer à éviter les brouillages préjudiciables entre services de radiocommunication;</w:t>
      </w:r>
    </w:p>
    <w:p w:rsidR="001331D5" w:rsidRPr="00325EC4" w:rsidRDefault="001331D5" w:rsidP="00A17011">
      <w:pPr>
        <w:jc w:val="both"/>
        <w:rPr>
          <w:rFonts w:asciiTheme="majorBidi" w:hAnsiTheme="majorBidi" w:cstheme="majorBidi"/>
          <w:lang w:val="fr-CH"/>
        </w:rPr>
      </w:pPr>
      <w:r w:rsidRPr="00325EC4">
        <w:rPr>
          <w:rFonts w:asciiTheme="majorBidi" w:hAnsiTheme="majorBidi" w:cstheme="majorBidi"/>
          <w:lang w:val="fr-CH"/>
        </w:rPr>
        <w:t>2</w:t>
      </w:r>
      <w:r w:rsidRPr="00325EC4">
        <w:rPr>
          <w:rFonts w:asciiTheme="majorBidi" w:hAnsiTheme="majorBidi" w:cstheme="majorBidi"/>
          <w:lang w:val="fr-CH"/>
        </w:rPr>
        <w:tab/>
        <w:t xml:space="preserve">à </w:t>
      </w:r>
      <w:r w:rsidRPr="00325EC4">
        <w:rPr>
          <w:color w:val="000000"/>
          <w:lang w:val="fr-CH"/>
        </w:rPr>
        <w:t>procéder à des études pour déterminer les besoins de fréquences, et, sur la base des résultats de ces études, à envisager</w:t>
      </w:r>
      <w:r>
        <w:rPr>
          <w:color w:val="000000"/>
          <w:lang w:val="fr-CH"/>
        </w:rPr>
        <w:t xml:space="preserve"> l'inscription d'un point</w:t>
      </w:r>
      <w:r w:rsidRPr="00325EC4">
        <w:rPr>
          <w:color w:val="000000"/>
          <w:lang w:val="fr-CH"/>
        </w:rPr>
        <w:t xml:space="preserve"> un éventuel </w:t>
      </w:r>
      <w:r>
        <w:rPr>
          <w:color w:val="000000"/>
          <w:lang w:val="fr-CH"/>
        </w:rPr>
        <w:t xml:space="preserve">à </w:t>
      </w:r>
      <w:r w:rsidRPr="00325EC4">
        <w:rPr>
          <w:color w:val="000000"/>
          <w:lang w:val="fr-CH"/>
        </w:rPr>
        <w:t xml:space="preserve">l'ordre du jour </w:t>
      </w:r>
      <w:r>
        <w:rPr>
          <w:color w:val="000000"/>
          <w:lang w:val="fr-CH"/>
        </w:rPr>
        <w:t>futur de</w:t>
      </w:r>
      <w:r w:rsidRPr="00325EC4">
        <w:rPr>
          <w:color w:val="000000"/>
          <w:lang w:val="fr-CH"/>
        </w:rPr>
        <w:t xml:space="preserve"> la CMR-23</w:t>
      </w:r>
      <w:r w:rsidRPr="00325EC4">
        <w:rPr>
          <w:rFonts w:asciiTheme="majorBidi" w:hAnsiTheme="majorBidi" w:cstheme="majorBidi"/>
          <w:lang w:val="fr-CH"/>
        </w:rPr>
        <w:t>;</w:t>
      </w:r>
    </w:p>
    <w:p w:rsidR="001331D5" w:rsidRPr="00325EC4" w:rsidRDefault="001331D5" w:rsidP="00A17011">
      <w:pPr>
        <w:jc w:val="both"/>
        <w:rPr>
          <w:rFonts w:asciiTheme="majorBidi" w:hAnsiTheme="majorBidi" w:cstheme="majorBidi"/>
          <w:lang w:val="fr-CH"/>
        </w:rPr>
      </w:pPr>
      <w:r w:rsidRPr="00325EC4">
        <w:rPr>
          <w:rFonts w:asciiTheme="majorBidi" w:hAnsiTheme="majorBidi" w:cstheme="majorBidi"/>
          <w:lang w:val="fr-CH"/>
        </w:rPr>
        <w:lastRenderedPageBreak/>
        <w:t>3</w:t>
      </w:r>
      <w:r w:rsidRPr="00325EC4">
        <w:rPr>
          <w:rFonts w:asciiTheme="majorBidi" w:hAnsiTheme="majorBidi" w:cstheme="majorBidi"/>
          <w:lang w:val="fr-CH"/>
        </w:rPr>
        <w:tab/>
      </w:r>
      <w:r w:rsidRPr="00325EC4">
        <w:rPr>
          <w:color w:val="000000"/>
          <w:lang w:val="fr-CH"/>
        </w:rPr>
        <w:t>à terminer les études au co</w:t>
      </w:r>
      <w:r>
        <w:rPr>
          <w:color w:val="000000"/>
          <w:lang w:val="fr-CH"/>
        </w:rPr>
        <w:t>urs du prochain cycle d'étude du Secteur des radiocommunications de</w:t>
      </w:r>
      <w:r w:rsidRPr="00325EC4">
        <w:rPr>
          <w:color w:val="000000"/>
          <w:lang w:val="fr-CH"/>
        </w:rPr>
        <w:t xml:space="preserve"> l'UIT</w:t>
      </w:r>
      <w:r>
        <w:rPr>
          <w:color w:val="000000"/>
          <w:lang w:val="fr-CH"/>
        </w:rPr>
        <w:t xml:space="preserve"> (</w:t>
      </w:r>
      <w:r w:rsidRPr="00325EC4">
        <w:rPr>
          <w:color w:val="000000"/>
          <w:lang w:val="fr-CH"/>
        </w:rPr>
        <w:t>UIT-R</w:t>
      </w:r>
      <w:r>
        <w:rPr>
          <w:rFonts w:asciiTheme="majorBidi" w:hAnsiTheme="majorBidi" w:cstheme="majorBidi"/>
          <w:lang w:val="fr-CH"/>
        </w:rPr>
        <w:t>)</w:t>
      </w:r>
      <w:r w:rsidRPr="00325EC4">
        <w:rPr>
          <w:rFonts w:asciiTheme="majorBidi" w:hAnsiTheme="majorBidi" w:cstheme="majorBidi"/>
          <w:lang w:val="fr-CH"/>
        </w:rPr>
        <w:t>,</w:t>
      </w:r>
    </w:p>
    <w:p w:rsidR="001331D5" w:rsidRPr="00325EC4" w:rsidRDefault="001331D5" w:rsidP="00A17011">
      <w:pPr>
        <w:pStyle w:val="Call"/>
        <w:jc w:val="both"/>
        <w:rPr>
          <w:lang w:val="fr-CH"/>
        </w:rPr>
      </w:pPr>
      <w:r w:rsidRPr="00325EC4">
        <w:rPr>
          <w:lang w:val="fr-CH"/>
        </w:rPr>
        <w:t xml:space="preserve">charge le Directeur du Bureau des radiocommunications </w:t>
      </w:r>
    </w:p>
    <w:p w:rsidR="001331D5" w:rsidRPr="00325EC4" w:rsidRDefault="001331D5" w:rsidP="00A17011">
      <w:pPr>
        <w:jc w:val="both"/>
        <w:rPr>
          <w:rFonts w:asciiTheme="majorBidi" w:hAnsiTheme="majorBidi" w:cstheme="majorBidi"/>
          <w:lang w:val="fr-CH"/>
        </w:rPr>
      </w:pPr>
      <w:r w:rsidRPr="00325EC4">
        <w:rPr>
          <w:rFonts w:asciiTheme="majorBidi" w:hAnsiTheme="majorBidi" w:cstheme="majorBidi"/>
          <w:lang w:val="fr-CH"/>
        </w:rPr>
        <w:t>1</w:t>
      </w:r>
      <w:r w:rsidRPr="00325EC4">
        <w:rPr>
          <w:rFonts w:asciiTheme="majorBidi" w:hAnsiTheme="majorBidi" w:cstheme="majorBidi"/>
          <w:lang w:val="fr-CH"/>
        </w:rPr>
        <w:tab/>
      </w:r>
      <w:r w:rsidRPr="00325EC4">
        <w:rPr>
          <w:color w:val="000000"/>
          <w:lang w:val="fr-CH"/>
        </w:rPr>
        <w:t>de porter la présente Résolution à l'attention des commissions d'études de l'UIT-R;</w:t>
      </w:r>
    </w:p>
    <w:p w:rsidR="001331D5" w:rsidRPr="00325EC4" w:rsidRDefault="001331D5" w:rsidP="00A17011">
      <w:pPr>
        <w:jc w:val="both"/>
        <w:rPr>
          <w:rFonts w:asciiTheme="majorBidi" w:hAnsiTheme="majorBidi" w:cstheme="majorBidi"/>
          <w:iCs/>
          <w:lang w:val="fr-CH"/>
        </w:rPr>
      </w:pPr>
      <w:r w:rsidRPr="00325EC4">
        <w:rPr>
          <w:rFonts w:asciiTheme="majorBidi" w:hAnsiTheme="majorBidi" w:cstheme="majorBidi"/>
          <w:iCs/>
          <w:lang w:val="fr-CH"/>
        </w:rPr>
        <w:t>2</w:t>
      </w:r>
      <w:r w:rsidRPr="00325EC4">
        <w:rPr>
          <w:rFonts w:asciiTheme="majorBidi" w:hAnsiTheme="majorBidi" w:cstheme="majorBidi"/>
          <w:iCs/>
          <w:lang w:val="fr-CH"/>
        </w:rPr>
        <w:tab/>
      </w:r>
      <w:r>
        <w:rPr>
          <w:rFonts w:asciiTheme="majorBidi" w:hAnsiTheme="majorBidi" w:cstheme="majorBidi"/>
          <w:iCs/>
          <w:lang w:val="fr-CH"/>
        </w:rPr>
        <w:t>de faire figurer</w:t>
      </w:r>
      <w:r w:rsidRPr="00325EC4">
        <w:rPr>
          <w:rFonts w:asciiTheme="majorBidi" w:hAnsiTheme="majorBidi" w:cstheme="majorBidi"/>
          <w:iCs/>
          <w:lang w:val="fr-CH"/>
        </w:rPr>
        <w:t xml:space="preserve"> dans son rapport, pour examen par la CMR-19, les résultats des études de l'UIT-</w:t>
      </w:r>
      <w:r>
        <w:rPr>
          <w:rFonts w:asciiTheme="majorBidi" w:hAnsiTheme="majorBidi" w:cstheme="majorBidi"/>
          <w:iCs/>
          <w:lang w:val="fr-CH"/>
        </w:rPr>
        <w:t>visées</w:t>
      </w:r>
      <w:r w:rsidRPr="00325EC4">
        <w:rPr>
          <w:rFonts w:asciiTheme="majorBidi" w:hAnsiTheme="majorBidi" w:cstheme="majorBidi"/>
          <w:iCs/>
          <w:lang w:val="fr-CH"/>
        </w:rPr>
        <w:t xml:space="preserve"> dans le </w:t>
      </w:r>
      <w:r w:rsidRPr="00325EC4">
        <w:rPr>
          <w:rFonts w:asciiTheme="majorBidi" w:hAnsiTheme="majorBidi" w:cstheme="majorBidi"/>
          <w:i/>
          <w:lang w:val="fr-CH"/>
        </w:rPr>
        <w:t>décide d'inviter l'UIT-R</w:t>
      </w:r>
      <w:r w:rsidRPr="00325EC4">
        <w:rPr>
          <w:rFonts w:asciiTheme="majorBidi" w:hAnsiTheme="majorBidi" w:cstheme="majorBidi"/>
          <w:iCs/>
          <w:lang w:val="fr-CH"/>
        </w:rPr>
        <w:t xml:space="preserve"> ci-dessus</w:t>
      </w:r>
      <w:r w:rsidRPr="00325EC4">
        <w:rPr>
          <w:color w:val="000000"/>
          <w:lang w:val="fr-CH"/>
        </w:rPr>
        <w:t>,</w:t>
      </w:r>
    </w:p>
    <w:p w:rsidR="001331D5" w:rsidRPr="00325EC4" w:rsidRDefault="001331D5" w:rsidP="00A17011">
      <w:pPr>
        <w:pStyle w:val="Call"/>
        <w:jc w:val="both"/>
        <w:rPr>
          <w:lang w:val="fr-CH"/>
        </w:rPr>
      </w:pPr>
      <w:r w:rsidRPr="00325EC4">
        <w:rPr>
          <w:lang w:val="fr-CH"/>
        </w:rPr>
        <w:t>invite les administrations</w:t>
      </w:r>
    </w:p>
    <w:p w:rsidR="001331D5" w:rsidRPr="00325EC4" w:rsidRDefault="001331D5" w:rsidP="00A17011">
      <w:pPr>
        <w:jc w:val="both"/>
        <w:rPr>
          <w:rFonts w:asciiTheme="majorBidi" w:hAnsiTheme="majorBidi" w:cstheme="majorBidi"/>
          <w:lang w:val="fr-CH"/>
        </w:rPr>
      </w:pPr>
      <w:r w:rsidRPr="00325EC4">
        <w:rPr>
          <w:color w:val="000000"/>
          <w:lang w:val="fr-CH"/>
        </w:rPr>
        <w:t>à participer activement aux études en présentant des contributions à l'UIT-R</w:t>
      </w:r>
      <w:r w:rsidRPr="00325EC4">
        <w:rPr>
          <w:rFonts w:asciiTheme="majorBidi" w:hAnsiTheme="majorBidi" w:cstheme="majorBidi"/>
          <w:lang w:val="fr-CH"/>
        </w:rPr>
        <w:t>,</w:t>
      </w:r>
    </w:p>
    <w:p w:rsidR="001331D5" w:rsidRPr="00325EC4" w:rsidRDefault="001331D5" w:rsidP="00A17011">
      <w:pPr>
        <w:pStyle w:val="Call"/>
        <w:jc w:val="both"/>
        <w:rPr>
          <w:rFonts w:asciiTheme="majorBidi" w:hAnsiTheme="majorBidi" w:cstheme="majorBidi"/>
          <w:lang w:val="fr-CH"/>
        </w:rPr>
      </w:pPr>
      <w:r w:rsidRPr="00325EC4">
        <w:rPr>
          <w:rFonts w:asciiTheme="majorBidi" w:hAnsiTheme="majorBidi" w:cstheme="majorBidi"/>
          <w:lang w:val="fr-CH"/>
        </w:rPr>
        <w:t>charge le Secrétaire général</w:t>
      </w:r>
    </w:p>
    <w:p w:rsidR="001331D5" w:rsidRDefault="001331D5" w:rsidP="00A17011">
      <w:pPr>
        <w:jc w:val="both"/>
        <w:rPr>
          <w:color w:val="000000"/>
          <w:lang w:val="fr-CH"/>
        </w:rPr>
      </w:pPr>
      <w:r w:rsidRPr="00325EC4">
        <w:rPr>
          <w:rFonts w:asciiTheme="majorBidi" w:hAnsiTheme="majorBidi" w:cstheme="majorBidi"/>
          <w:lang w:val="fr-CH"/>
        </w:rPr>
        <w:t xml:space="preserve">de porter la présente Résolution à l'attention du </w:t>
      </w:r>
      <w:r w:rsidRPr="00325EC4">
        <w:rPr>
          <w:color w:val="000000"/>
          <w:lang w:val="fr-CH"/>
        </w:rPr>
        <w:t>Comité des utilisations pacifiques de l'espace extra</w:t>
      </w:r>
      <w:r w:rsidRPr="00325EC4">
        <w:rPr>
          <w:color w:val="000000"/>
          <w:lang w:val="fr-CH"/>
        </w:rPr>
        <w:noBreakHyphen/>
        <w:t>atmosphérique des Nations Unies (COPUOS) et de l'Organisation de l'aviation civile internationale (OACI) ainsi que des autres organisations internationales et régionales concernées.</w:t>
      </w:r>
    </w:p>
    <w:p w:rsidR="003C6428" w:rsidRPr="001331D5" w:rsidRDefault="003C6428" w:rsidP="00A17011">
      <w:pPr>
        <w:rPr>
          <w:rFonts w:asciiTheme="majorBidi" w:hAnsiTheme="majorBidi" w:cstheme="majorBidi"/>
          <w:szCs w:val="24"/>
        </w:rPr>
      </w:pPr>
    </w:p>
    <w:p w:rsidR="003C6428" w:rsidRPr="001331D5" w:rsidRDefault="003C6428" w:rsidP="00A17011">
      <w:pPr>
        <w:overflowPunct/>
        <w:autoSpaceDE/>
        <w:autoSpaceDN/>
        <w:adjustRightInd/>
        <w:spacing w:before="0"/>
        <w:textAlignment w:val="auto"/>
        <w:rPr>
          <w:rFonts w:asciiTheme="majorBidi" w:hAnsiTheme="majorBidi" w:cstheme="majorBidi"/>
          <w:szCs w:val="24"/>
        </w:rPr>
      </w:pPr>
      <w:r w:rsidRPr="001331D5">
        <w:rPr>
          <w:rFonts w:asciiTheme="majorBidi" w:hAnsiTheme="majorBidi" w:cstheme="majorBidi"/>
          <w:szCs w:val="24"/>
        </w:rPr>
        <w:br w:type="page"/>
      </w:r>
    </w:p>
    <w:p w:rsidR="00A20F5A" w:rsidRPr="00A20F5A" w:rsidRDefault="00C173DE" w:rsidP="00A17011">
      <w:pPr>
        <w:pStyle w:val="ResNo"/>
        <w:rPr>
          <w:highlight w:val="cyan"/>
        </w:rPr>
      </w:pPr>
      <w:bookmarkStart w:id="281" w:name="RES_764"/>
      <w:bookmarkStart w:id="282" w:name="_Toc444507644"/>
      <w:bookmarkStart w:id="283" w:name="_Toc460331738"/>
      <w:bookmarkStart w:id="284" w:name="_Toc463616195"/>
      <w:bookmarkStart w:id="285" w:name="_Toc444507646"/>
      <w:r>
        <w:lastRenderedPageBreak/>
        <w:t>R</w:t>
      </w:r>
      <w:r w:rsidR="001D5201" w:rsidRPr="001D5201">
        <w:t>É</w:t>
      </w:r>
      <w:r w:rsidR="00A20F5A" w:rsidRPr="00A20F5A">
        <w:t xml:space="preserve">SOLUTION </w:t>
      </w:r>
      <w:r w:rsidR="00A20F5A" w:rsidRPr="00A20F5A">
        <w:rPr>
          <w:rStyle w:val="href"/>
        </w:rPr>
        <w:t>764</w:t>
      </w:r>
      <w:r w:rsidR="00A20F5A" w:rsidRPr="00A20F5A">
        <w:t xml:space="preserve"> </w:t>
      </w:r>
      <w:bookmarkEnd w:id="281"/>
      <w:r w:rsidR="00A20F5A" w:rsidRPr="00A20F5A">
        <w:t>(</w:t>
      </w:r>
      <w:r w:rsidR="005A2541" w:rsidRPr="00A20F5A">
        <w:t>C</w:t>
      </w:r>
      <w:r w:rsidR="005A2541">
        <w:t>MR</w:t>
      </w:r>
      <w:r w:rsidR="00A20F5A" w:rsidRPr="00A20F5A">
        <w:noBreakHyphen/>
        <w:t>15)</w:t>
      </w:r>
      <w:bookmarkEnd w:id="282"/>
      <w:bookmarkEnd w:id="283"/>
      <w:bookmarkEnd w:id="284"/>
    </w:p>
    <w:p w:rsidR="00FF35CE" w:rsidRPr="005A037D" w:rsidRDefault="00FF35CE" w:rsidP="00A17011">
      <w:pPr>
        <w:pStyle w:val="Restitle"/>
        <w:rPr>
          <w:lang w:val="fr-CH"/>
        </w:rPr>
      </w:pPr>
      <w:bookmarkStart w:id="286" w:name="_Toc463616196"/>
      <w:r w:rsidRPr="006E04DF">
        <w:rPr>
          <w:lang w:val="fr-CH"/>
        </w:rPr>
        <w:t xml:space="preserve">Examen des conséquences techniques et réglementaires </w:t>
      </w:r>
      <w:r>
        <w:rPr>
          <w:lang w:val="fr-CH"/>
        </w:rPr>
        <w:t xml:space="preserve">liées à une </w:t>
      </w:r>
      <w:r w:rsidRPr="006E04DF">
        <w:rPr>
          <w:lang w:val="fr-CH"/>
        </w:rPr>
        <w:t xml:space="preserve">référence </w:t>
      </w:r>
      <w:r>
        <w:rPr>
          <w:lang w:val="fr-CH"/>
        </w:rPr>
        <w:t>aux</w:t>
      </w:r>
      <w:r w:rsidRPr="006E04DF">
        <w:rPr>
          <w:lang w:val="fr-CH"/>
        </w:rPr>
        <w:t xml:space="preserve"> </w:t>
      </w:r>
      <w:r w:rsidRPr="005A037D">
        <w:rPr>
          <w:lang w:val="fr-CH"/>
        </w:rPr>
        <w:t>Recomm</w:t>
      </w:r>
      <w:r w:rsidRPr="006E04DF">
        <w:rPr>
          <w:lang w:val="fr-CH"/>
        </w:rPr>
        <w:t>a</w:t>
      </w:r>
      <w:r w:rsidRPr="005A037D">
        <w:rPr>
          <w:lang w:val="fr-CH"/>
        </w:rPr>
        <w:t xml:space="preserve">ndations </w:t>
      </w:r>
      <w:r w:rsidRPr="006E04DF">
        <w:rPr>
          <w:lang w:val="fr-CH"/>
        </w:rPr>
        <w:t>UIT</w:t>
      </w:r>
      <w:r w:rsidRPr="005A037D">
        <w:rPr>
          <w:lang w:val="fr-CH"/>
        </w:rPr>
        <w:t xml:space="preserve">-R M.1638-1 </w:t>
      </w:r>
      <w:r w:rsidRPr="006E04DF">
        <w:rPr>
          <w:lang w:val="fr-CH"/>
        </w:rPr>
        <w:t xml:space="preserve">et </w:t>
      </w:r>
      <w:r w:rsidRPr="005A037D">
        <w:rPr>
          <w:lang w:val="fr-CH"/>
        </w:rPr>
        <w:t xml:space="preserve">M.1849-1 </w:t>
      </w:r>
      <w:r>
        <w:rPr>
          <w:lang w:val="fr-CH"/>
        </w:rPr>
        <w:t>aux</w:t>
      </w:r>
      <w:r w:rsidRPr="006E04DF">
        <w:rPr>
          <w:lang w:val="fr-CH"/>
        </w:rPr>
        <w:t xml:space="preserve"> numéros </w:t>
      </w:r>
      <w:r w:rsidRPr="005A037D">
        <w:rPr>
          <w:lang w:val="fr-CH"/>
        </w:rPr>
        <w:t xml:space="preserve">5.447F </w:t>
      </w:r>
      <w:r w:rsidRPr="006E04DF">
        <w:rPr>
          <w:lang w:val="fr-CH"/>
        </w:rPr>
        <w:t xml:space="preserve">et </w:t>
      </w:r>
      <w:r w:rsidRPr="005A037D">
        <w:rPr>
          <w:lang w:val="fr-CH"/>
        </w:rPr>
        <w:t>5.</w:t>
      </w:r>
      <w:r w:rsidRPr="005A037D">
        <w:rPr>
          <w:lang w:val="fr-CH" w:eastAsia="ja-JP"/>
        </w:rPr>
        <w:t>45</w:t>
      </w:r>
      <w:r w:rsidRPr="005A037D">
        <w:rPr>
          <w:lang w:val="fr-CH"/>
        </w:rPr>
        <w:t xml:space="preserve">0A </w:t>
      </w:r>
      <w:r w:rsidRPr="006E04DF">
        <w:rPr>
          <w:lang w:val="fr-CH"/>
        </w:rPr>
        <w:t>du Règlement des radiocommunications</w:t>
      </w:r>
      <w:bookmarkEnd w:id="286"/>
      <w:r w:rsidRPr="006E04DF">
        <w:rPr>
          <w:lang w:val="fr-CH"/>
        </w:rPr>
        <w:t xml:space="preserve"> </w:t>
      </w:r>
    </w:p>
    <w:p w:rsidR="00FF35CE" w:rsidRPr="005A037D" w:rsidRDefault="00FF35CE" w:rsidP="00A17011">
      <w:pPr>
        <w:keepNext/>
        <w:spacing w:before="280"/>
        <w:rPr>
          <w:lang w:val="fr-CH"/>
        </w:rPr>
      </w:pPr>
      <w:r w:rsidRPr="006E04DF">
        <w:rPr>
          <w:lang w:val="fr-CH"/>
        </w:rPr>
        <w:t xml:space="preserve">La Conférence mondiale des radiocommunications </w:t>
      </w:r>
      <w:r w:rsidRPr="005A037D">
        <w:rPr>
          <w:lang w:val="fr-CH"/>
        </w:rPr>
        <w:t>(Gen</w:t>
      </w:r>
      <w:r w:rsidRPr="006E04DF">
        <w:rPr>
          <w:lang w:val="fr-CH"/>
        </w:rPr>
        <w:t>ève</w:t>
      </w:r>
      <w:r w:rsidRPr="005A037D">
        <w:rPr>
          <w:lang w:val="fr-CH"/>
        </w:rPr>
        <w:t>, 2015),</w:t>
      </w:r>
    </w:p>
    <w:p w:rsidR="00FF35CE" w:rsidRPr="005A037D" w:rsidRDefault="00FF35CE" w:rsidP="00A17011">
      <w:pPr>
        <w:pStyle w:val="Call"/>
        <w:rPr>
          <w:lang w:val="fr-CH"/>
        </w:rPr>
      </w:pPr>
      <w:r w:rsidRPr="005A037D">
        <w:rPr>
          <w:lang w:val="fr-CH"/>
        </w:rPr>
        <w:t>consid</w:t>
      </w:r>
      <w:r w:rsidRPr="006E04DF">
        <w:rPr>
          <w:lang w:val="fr-CH"/>
        </w:rPr>
        <w:t>érant</w:t>
      </w:r>
    </w:p>
    <w:p w:rsidR="00FF35CE" w:rsidRPr="005A037D" w:rsidRDefault="00FF35CE" w:rsidP="00A17011">
      <w:pPr>
        <w:jc w:val="both"/>
        <w:rPr>
          <w:lang w:val="fr-CH"/>
        </w:rPr>
      </w:pPr>
      <w:r w:rsidRPr="005A037D">
        <w:rPr>
          <w:i/>
          <w:lang w:val="fr-CH"/>
        </w:rPr>
        <w:t>a)</w:t>
      </w:r>
      <w:r w:rsidRPr="005A037D">
        <w:rPr>
          <w:lang w:val="fr-CH"/>
        </w:rPr>
        <w:tab/>
      </w:r>
      <w:r w:rsidRPr="006E04DF">
        <w:rPr>
          <w:lang w:val="fr-CH"/>
        </w:rPr>
        <w:t>que les bandes</w:t>
      </w:r>
      <w:r w:rsidRPr="00B436FC">
        <w:rPr>
          <w:lang w:val="fr-CH"/>
        </w:rPr>
        <w:t xml:space="preserve"> </w:t>
      </w:r>
      <w:r>
        <w:rPr>
          <w:lang w:val="fr-CH"/>
        </w:rPr>
        <w:t>de fréquences</w:t>
      </w:r>
      <w:r w:rsidRPr="005A037D">
        <w:rPr>
          <w:lang w:val="fr-CH"/>
        </w:rPr>
        <w:t xml:space="preserve"> 5 250-5 350 MHz </w:t>
      </w:r>
      <w:r w:rsidRPr="006E04DF">
        <w:rPr>
          <w:lang w:val="fr-CH"/>
        </w:rPr>
        <w:t xml:space="preserve">et </w:t>
      </w:r>
      <w:r w:rsidRPr="005A037D">
        <w:rPr>
          <w:lang w:val="fr-CH"/>
        </w:rPr>
        <w:t xml:space="preserve">5 470-5 725 MHz </w:t>
      </w:r>
      <w:r w:rsidRPr="006E04DF">
        <w:rPr>
          <w:lang w:val="fr-CH"/>
        </w:rPr>
        <w:t>sont attribuées à l</w:t>
      </w:r>
      <w:r>
        <w:rPr>
          <w:lang w:val="fr-CH"/>
        </w:rPr>
        <w:t>'</w:t>
      </w:r>
      <w:r w:rsidRPr="006E04DF">
        <w:rPr>
          <w:lang w:val="fr-CH"/>
        </w:rPr>
        <w:t xml:space="preserve">échelle mondiale à titre primaire au service de </w:t>
      </w:r>
      <w:r w:rsidRPr="005A037D">
        <w:rPr>
          <w:lang w:val="fr-CH"/>
        </w:rPr>
        <w:t>radioloca</w:t>
      </w:r>
      <w:r w:rsidRPr="006E04DF">
        <w:rPr>
          <w:lang w:val="fr-CH"/>
        </w:rPr>
        <w:t>lisa</w:t>
      </w:r>
      <w:r w:rsidRPr="005A037D">
        <w:rPr>
          <w:lang w:val="fr-CH"/>
        </w:rPr>
        <w:t>tion;</w:t>
      </w:r>
    </w:p>
    <w:p w:rsidR="00FF35CE" w:rsidRPr="005A037D" w:rsidRDefault="00FF35CE" w:rsidP="005131A3">
      <w:pPr>
        <w:jc w:val="both"/>
        <w:rPr>
          <w:lang w:val="fr-CH"/>
        </w:rPr>
      </w:pPr>
      <w:r w:rsidRPr="005A037D">
        <w:rPr>
          <w:i/>
          <w:iCs/>
          <w:lang w:val="fr-CH"/>
        </w:rPr>
        <w:t>b)</w:t>
      </w:r>
      <w:r w:rsidRPr="005A037D">
        <w:rPr>
          <w:i/>
          <w:iCs/>
          <w:lang w:val="fr-CH"/>
        </w:rPr>
        <w:tab/>
      </w:r>
      <w:r w:rsidRPr="006E04DF">
        <w:rPr>
          <w:lang w:val="fr-CH"/>
        </w:rPr>
        <w:t xml:space="preserve">que la CMR-03 a attribué les bandes </w:t>
      </w:r>
      <w:r>
        <w:rPr>
          <w:lang w:val="fr-CH"/>
        </w:rPr>
        <w:t xml:space="preserve">de fréquences </w:t>
      </w:r>
      <w:r w:rsidRPr="006E04DF">
        <w:rPr>
          <w:lang w:val="fr-CH"/>
        </w:rPr>
        <w:t>5 1</w:t>
      </w:r>
      <w:r>
        <w:rPr>
          <w:lang w:val="fr-CH"/>
        </w:rPr>
        <w:t>50-5 350 MHz et 5 470-5</w:t>
      </w:r>
      <w:r w:rsidR="005131A3">
        <w:rPr>
          <w:lang w:val="fr-CH"/>
        </w:rPr>
        <w:t> </w:t>
      </w:r>
      <w:r>
        <w:rPr>
          <w:lang w:val="fr-CH"/>
        </w:rPr>
        <w:t>725 MHz à titre primaire</w:t>
      </w:r>
      <w:r w:rsidRPr="006E04DF">
        <w:rPr>
          <w:lang w:val="fr-CH"/>
        </w:rPr>
        <w:t xml:space="preserve"> au service mobile pour la mise en </w:t>
      </w:r>
      <w:proofErr w:type="spellStart"/>
      <w:r w:rsidRPr="006E04DF">
        <w:rPr>
          <w:lang w:val="fr-CH"/>
        </w:rPr>
        <w:t>oeuvre</w:t>
      </w:r>
      <w:proofErr w:type="spellEnd"/>
      <w:r w:rsidRPr="006E04DF">
        <w:rPr>
          <w:lang w:val="fr-CH"/>
        </w:rPr>
        <w:t xml:space="preserve"> des systèmes d</w:t>
      </w:r>
      <w:r>
        <w:rPr>
          <w:lang w:val="fr-CH"/>
        </w:rPr>
        <w:t>'</w:t>
      </w:r>
      <w:r w:rsidRPr="006E04DF">
        <w:rPr>
          <w:lang w:val="fr-CH"/>
        </w:rPr>
        <w:t>accès hertzien (WAS), réseaux locaux hertziens (RLAN) compris</w:t>
      </w:r>
      <w:r w:rsidRPr="005A037D">
        <w:rPr>
          <w:lang w:val="fr-CH"/>
        </w:rPr>
        <w:t>;</w:t>
      </w:r>
    </w:p>
    <w:p w:rsidR="00FF35CE" w:rsidRPr="005A037D" w:rsidRDefault="00FF35CE" w:rsidP="00A17011">
      <w:pPr>
        <w:jc w:val="both"/>
        <w:rPr>
          <w:bCs/>
          <w:lang w:val="fr-CH" w:eastAsia="ja-JP"/>
        </w:rPr>
      </w:pPr>
      <w:r w:rsidRPr="005A037D">
        <w:rPr>
          <w:i/>
          <w:iCs/>
          <w:lang w:val="fr-CH"/>
        </w:rPr>
        <w:t>c)</w:t>
      </w:r>
      <w:r w:rsidRPr="005A037D">
        <w:rPr>
          <w:lang w:val="fr-CH"/>
        </w:rPr>
        <w:tab/>
      </w:r>
      <w:r w:rsidRPr="006E04DF">
        <w:rPr>
          <w:lang w:val="fr-CH"/>
        </w:rPr>
        <w:t xml:space="preserve">que la </w:t>
      </w:r>
      <w:r w:rsidRPr="005A037D">
        <w:rPr>
          <w:lang w:val="fr-CH" w:eastAsia="ja-JP"/>
        </w:rPr>
        <w:t>R</w:t>
      </w:r>
      <w:r w:rsidRPr="006E04DF">
        <w:rPr>
          <w:lang w:val="fr-CH" w:eastAsia="ja-JP"/>
        </w:rPr>
        <w:t>é</w:t>
      </w:r>
      <w:r w:rsidRPr="005A037D">
        <w:rPr>
          <w:lang w:val="fr-CH" w:eastAsia="ja-JP"/>
        </w:rPr>
        <w:t xml:space="preserve">solution </w:t>
      </w:r>
      <w:r w:rsidRPr="005A037D">
        <w:rPr>
          <w:b/>
          <w:bCs/>
          <w:lang w:val="fr-CH" w:eastAsia="ja-JP"/>
        </w:rPr>
        <w:t>229 (R</w:t>
      </w:r>
      <w:r w:rsidRPr="006E04DF">
        <w:rPr>
          <w:b/>
          <w:bCs/>
          <w:lang w:val="fr-CH" w:eastAsia="ja-JP"/>
        </w:rPr>
        <w:t>é</w:t>
      </w:r>
      <w:r w:rsidRPr="005A037D">
        <w:rPr>
          <w:b/>
          <w:bCs/>
          <w:lang w:val="fr-CH" w:eastAsia="ja-JP"/>
        </w:rPr>
        <w:t>v.</w:t>
      </w:r>
      <w:r w:rsidRPr="006E04DF">
        <w:rPr>
          <w:b/>
          <w:bCs/>
          <w:lang w:val="fr-CH" w:eastAsia="ja-JP"/>
        </w:rPr>
        <w:t>CMR</w:t>
      </w:r>
      <w:r w:rsidRPr="005A037D">
        <w:rPr>
          <w:b/>
          <w:bCs/>
          <w:lang w:val="fr-CH" w:eastAsia="ja-JP"/>
        </w:rPr>
        <w:noBreakHyphen/>
        <w:t xml:space="preserve">12) </w:t>
      </w:r>
      <w:r w:rsidRPr="006E04DF">
        <w:rPr>
          <w:bCs/>
          <w:lang w:val="fr-CH" w:eastAsia="ja-JP"/>
        </w:rPr>
        <w:t>définit les conditions d</w:t>
      </w:r>
      <w:r>
        <w:rPr>
          <w:bCs/>
          <w:lang w:val="fr-CH" w:eastAsia="ja-JP"/>
        </w:rPr>
        <w:t>'</w:t>
      </w:r>
      <w:r w:rsidRPr="006E04DF">
        <w:rPr>
          <w:bCs/>
          <w:lang w:val="fr-CH" w:eastAsia="ja-JP"/>
        </w:rPr>
        <w:t>utilisation des bandes</w:t>
      </w:r>
      <w:r w:rsidRPr="00B436FC">
        <w:rPr>
          <w:lang w:val="fr-CH"/>
        </w:rPr>
        <w:t xml:space="preserve"> </w:t>
      </w:r>
      <w:r>
        <w:rPr>
          <w:lang w:val="fr-CH"/>
        </w:rPr>
        <w:t>de fréquences</w:t>
      </w:r>
      <w:r w:rsidRPr="006E04DF">
        <w:rPr>
          <w:bCs/>
          <w:lang w:val="fr-CH" w:eastAsia="ja-JP"/>
        </w:rPr>
        <w:t xml:space="preserve"> 5 150-5 250 MHz, 5 250-5 350 MHz et 5 470-5 725 MHz par le service mobile pour la mise en </w:t>
      </w:r>
      <w:proofErr w:type="spellStart"/>
      <w:r w:rsidRPr="006E04DF">
        <w:rPr>
          <w:bCs/>
          <w:lang w:val="fr-CH" w:eastAsia="ja-JP"/>
        </w:rPr>
        <w:t>oeuvre</w:t>
      </w:r>
      <w:proofErr w:type="spellEnd"/>
      <w:r w:rsidRPr="006E04DF">
        <w:rPr>
          <w:bCs/>
          <w:lang w:val="fr-CH" w:eastAsia="ja-JP"/>
        </w:rPr>
        <w:t xml:space="preserve"> des systèmes </w:t>
      </w:r>
      <w:r>
        <w:rPr>
          <w:bCs/>
          <w:lang w:val="fr-CH" w:eastAsia="ja-JP"/>
        </w:rPr>
        <w:t>WAS</w:t>
      </w:r>
      <w:r w:rsidRPr="006E04DF">
        <w:rPr>
          <w:bCs/>
          <w:lang w:val="fr-CH" w:eastAsia="ja-JP"/>
        </w:rPr>
        <w:t xml:space="preserve">, réseaux </w:t>
      </w:r>
      <w:r>
        <w:rPr>
          <w:bCs/>
          <w:lang w:val="fr-CH" w:eastAsia="ja-JP"/>
        </w:rPr>
        <w:t>RLAN</w:t>
      </w:r>
      <w:r w:rsidRPr="006E04DF">
        <w:rPr>
          <w:bCs/>
          <w:lang w:val="fr-CH" w:eastAsia="ja-JP"/>
        </w:rPr>
        <w:t xml:space="preserve"> compris, tout en assurant la protection des services primaires existants</w:t>
      </w:r>
      <w:r w:rsidRPr="005A037D">
        <w:rPr>
          <w:bCs/>
          <w:lang w:val="fr-CH" w:eastAsia="ja-JP"/>
        </w:rPr>
        <w:t>;</w:t>
      </w:r>
    </w:p>
    <w:p w:rsidR="00FF35CE" w:rsidRPr="005A037D" w:rsidRDefault="00FF35CE" w:rsidP="00A17011">
      <w:pPr>
        <w:jc w:val="both"/>
        <w:rPr>
          <w:lang w:val="fr-CH"/>
        </w:rPr>
      </w:pPr>
      <w:r w:rsidRPr="005A037D">
        <w:rPr>
          <w:i/>
          <w:lang w:val="fr-CH"/>
        </w:rPr>
        <w:t>d)</w:t>
      </w:r>
      <w:r w:rsidRPr="005A037D">
        <w:rPr>
          <w:lang w:val="fr-CH"/>
        </w:rPr>
        <w:tab/>
      </w:r>
      <w:r w:rsidRPr="006E04DF">
        <w:rPr>
          <w:lang w:val="fr-CH"/>
        </w:rPr>
        <w:t>qu</w:t>
      </w:r>
      <w:r>
        <w:rPr>
          <w:lang w:val="fr-CH"/>
        </w:rPr>
        <w:t>'</w:t>
      </w:r>
      <w:r w:rsidRPr="006E04DF">
        <w:rPr>
          <w:lang w:val="fr-CH"/>
        </w:rPr>
        <w:t xml:space="preserve">aux termes du numéro </w:t>
      </w:r>
      <w:r w:rsidRPr="005A037D">
        <w:rPr>
          <w:b/>
          <w:lang w:val="fr-CH"/>
        </w:rPr>
        <w:t>5.447F</w:t>
      </w:r>
      <w:r w:rsidRPr="006E04DF">
        <w:rPr>
          <w:lang w:val="fr-CH"/>
        </w:rPr>
        <w:t xml:space="preserve">, dans la bande </w:t>
      </w:r>
      <w:r>
        <w:rPr>
          <w:lang w:val="fr-CH"/>
        </w:rPr>
        <w:t xml:space="preserve">de fréquences </w:t>
      </w:r>
      <w:r w:rsidRPr="006E04DF">
        <w:rPr>
          <w:lang w:val="fr-CH"/>
        </w:rPr>
        <w:t>5 250-5 350</w:t>
      </w:r>
      <w:r>
        <w:rPr>
          <w:lang w:val="fr-CH"/>
        </w:rPr>
        <w:t> </w:t>
      </w:r>
      <w:r w:rsidRPr="006E04DF">
        <w:rPr>
          <w:lang w:val="fr-CH"/>
        </w:rPr>
        <w:t>MHz, les stations du service mobile ne doivent pas demander à être protégées vis-à-vis du service de radiolocalisation, du service d</w:t>
      </w:r>
      <w:r>
        <w:rPr>
          <w:lang w:val="fr-CH"/>
        </w:rPr>
        <w:t>'</w:t>
      </w:r>
      <w:r w:rsidRPr="006E04DF">
        <w:rPr>
          <w:lang w:val="fr-CH"/>
        </w:rPr>
        <w:t>exploration de la Terre par satellite (active) et du service de recherche spatiale (active), lesquels ne doivent pas imposer au service mobile des critères de protection plus stricts, sur la base des caractéristiques des systèmes et des critères de brouillage, que ceux énoncés dans les Recommandations UIT-R</w:t>
      </w:r>
      <w:r>
        <w:rPr>
          <w:lang w:val="fr-CH"/>
        </w:rPr>
        <w:t xml:space="preserve"> M.1638-0 et UIT-R RS</w:t>
      </w:r>
      <w:r w:rsidRPr="006E04DF">
        <w:rPr>
          <w:lang w:val="fr-CH"/>
        </w:rPr>
        <w:t>.1632-0</w:t>
      </w:r>
      <w:r>
        <w:rPr>
          <w:lang w:val="fr-CH"/>
        </w:rPr>
        <w:t>;</w:t>
      </w:r>
    </w:p>
    <w:p w:rsidR="00FF35CE" w:rsidRPr="006E04DF" w:rsidRDefault="00FF35CE" w:rsidP="00A17011">
      <w:pPr>
        <w:jc w:val="both"/>
        <w:rPr>
          <w:lang w:val="fr-CH"/>
        </w:rPr>
      </w:pPr>
      <w:r w:rsidRPr="005A037D">
        <w:rPr>
          <w:i/>
          <w:lang w:val="fr-CH"/>
        </w:rPr>
        <w:t>e)</w:t>
      </w:r>
      <w:r w:rsidRPr="005A037D">
        <w:rPr>
          <w:i/>
          <w:lang w:val="fr-CH"/>
        </w:rPr>
        <w:tab/>
      </w:r>
      <w:r w:rsidRPr="006E04DF">
        <w:rPr>
          <w:lang w:val="fr-CH"/>
        </w:rPr>
        <w:t>qu</w:t>
      </w:r>
      <w:r>
        <w:rPr>
          <w:lang w:val="fr-CH"/>
        </w:rPr>
        <w:t>'</w:t>
      </w:r>
      <w:r w:rsidRPr="006E04DF">
        <w:rPr>
          <w:lang w:val="fr-CH"/>
        </w:rPr>
        <w:t xml:space="preserve">aux termes du numéro </w:t>
      </w:r>
      <w:r w:rsidRPr="005A037D">
        <w:rPr>
          <w:b/>
          <w:lang w:val="fr-CH"/>
        </w:rPr>
        <w:t>5.450A</w:t>
      </w:r>
      <w:r w:rsidRPr="006E04DF">
        <w:rPr>
          <w:lang w:val="fr-CH"/>
        </w:rPr>
        <w:t>, dans la bande</w:t>
      </w:r>
      <w:r w:rsidRPr="00C65B48">
        <w:rPr>
          <w:lang w:val="fr-CH"/>
        </w:rPr>
        <w:t xml:space="preserve"> </w:t>
      </w:r>
      <w:r>
        <w:rPr>
          <w:lang w:val="fr-CH"/>
        </w:rPr>
        <w:t>de fréquences</w:t>
      </w:r>
      <w:r w:rsidRPr="006E04DF">
        <w:rPr>
          <w:lang w:val="fr-CH"/>
        </w:rPr>
        <w:t xml:space="preserve"> 5 470-5 725</w:t>
      </w:r>
      <w:r>
        <w:rPr>
          <w:lang w:val="fr-CH"/>
        </w:rPr>
        <w:t> </w:t>
      </w:r>
      <w:r w:rsidRPr="006E04DF">
        <w:rPr>
          <w:lang w:val="fr-CH"/>
        </w:rPr>
        <w:t>MHz, les stations du service mobile ne doivent pas demander à être protégées vis-à-vis des services de radiorepérage, lesquels ne doivent pas imposer au service mobile des critères de protection plus stricts, sur la base des caractéristiques des systèmes et des critères de brouillage, que ceux énoncés dans la Recommandation UIT-R M.1638-0,</w:t>
      </w:r>
    </w:p>
    <w:p w:rsidR="00FF35CE" w:rsidRPr="005A037D" w:rsidRDefault="00FF35CE" w:rsidP="00A17011">
      <w:pPr>
        <w:pStyle w:val="Call"/>
        <w:jc w:val="both"/>
        <w:rPr>
          <w:lang w:val="fr-CH"/>
        </w:rPr>
      </w:pPr>
      <w:r w:rsidRPr="005A037D">
        <w:rPr>
          <w:lang w:val="fr-CH"/>
        </w:rPr>
        <w:t>not</w:t>
      </w:r>
      <w:r w:rsidRPr="006E04DF">
        <w:rPr>
          <w:lang w:val="fr-CH"/>
        </w:rPr>
        <w:t>ant</w:t>
      </w:r>
    </w:p>
    <w:p w:rsidR="00FF35CE" w:rsidRPr="005A037D" w:rsidRDefault="00FF35CE" w:rsidP="00A17011">
      <w:pPr>
        <w:jc w:val="both"/>
        <w:rPr>
          <w:lang w:val="fr-CH"/>
        </w:rPr>
      </w:pPr>
      <w:r w:rsidRPr="005A037D">
        <w:rPr>
          <w:i/>
          <w:iCs/>
          <w:lang w:val="fr-CH"/>
        </w:rPr>
        <w:t>a)</w:t>
      </w:r>
      <w:r w:rsidRPr="005A037D">
        <w:rPr>
          <w:lang w:val="fr-CH"/>
        </w:rPr>
        <w:tab/>
      </w:r>
      <w:r w:rsidRPr="006E04DF">
        <w:rPr>
          <w:lang w:val="fr-CH"/>
        </w:rPr>
        <w:t xml:space="preserve">que la </w:t>
      </w:r>
      <w:r w:rsidRPr="005A037D">
        <w:rPr>
          <w:lang w:val="fr-CH"/>
        </w:rPr>
        <w:t>Recomm</w:t>
      </w:r>
      <w:r w:rsidRPr="006E04DF">
        <w:rPr>
          <w:lang w:val="fr-CH"/>
        </w:rPr>
        <w:t>a</w:t>
      </w:r>
      <w:r w:rsidRPr="005A037D">
        <w:rPr>
          <w:lang w:val="fr-CH"/>
        </w:rPr>
        <w:t xml:space="preserve">ndation </w:t>
      </w:r>
      <w:r w:rsidRPr="006E04DF">
        <w:rPr>
          <w:lang w:val="fr-CH"/>
        </w:rPr>
        <w:t xml:space="preserve">UIT-R M.1638-0 </w:t>
      </w:r>
      <w:r>
        <w:rPr>
          <w:lang w:val="fr-CH"/>
        </w:rPr>
        <w:t>indique</w:t>
      </w:r>
      <w:r w:rsidRPr="006E04DF">
        <w:rPr>
          <w:lang w:val="fr-CH"/>
        </w:rPr>
        <w:t xml:space="preserve"> les caractéristiques</w:t>
      </w:r>
      <w:r>
        <w:rPr>
          <w:lang w:val="fr-CH"/>
        </w:rPr>
        <w:t xml:space="preserve"> des</w:t>
      </w:r>
      <w:r w:rsidRPr="006E04DF">
        <w:rPr>
          <w:lang w:val="fr-CH"/>
        </w:rPr>
        <w:t xml:space="preserve"> radars de radiolocalisation, de radionavigation aéronautique et de météorologie fonctionnant dans la gamm</w:t>
      </w:r>
      <w:r>
        <w:rPr>
          <w:lang w:val="fr-CH"/>
        </w:rPr>
        <w:t>e de fréquences 5 250-5 850 MHz</w:t>
      </w:r>
      <w:r w:rsidRPr="00C65B48">
        <w:rPr>
          <w:lang w:val="fr-CH"/>
        </w:rPr>
        <w:t xml:space="preserve"> </w:t>
      </w:r>
      <w:r w:rsidRPr="006E04DF">
        <w:rPr>
          <w:lang w:val="fr-CH"/>
        </w:rPr>
        <w:t>et les critères de protection applicables aux études de partage</w:t>
      </w:r>
      <w:r>
        <w:rPr>
          <w:lang w:val="fr-CH"/>
        </w:rPr>
        <w:t xml:space="preserve"> concernant ces radars</w:t>
      </w:r>
      <w:r w:rsidRPr="005A037D">
        <w:rPr>
          <w:lang w:val="fr-CH"/>
        </w:rPr>
        <w:t>;</w:t>
      </w:r>
    </w:p>
    <w:p w:rsidR="00FF35CE" w:rsidRPr="005A037D" w:rsidRDefault="00FF35CE" w:rsidP="005131A3">
      <w:pPr>
        <w:jc w:val="both"/>
        <w:rPr>
          <w:szCs w:val="24"/>
          <w:lang w:val="fr-CH"/>
        </w:rPr>
      </w:pPr>
      <w:r w:rsidRPr="005A037D">
        <w:rPr>
          <w:i/>
          <w:lang w:val="fr-CH"/>
        </w:rPr>
        <w:t>b)</w:t>
      </w:r>
      <w:r w:rsidRPr="005A037D">
        <w:rPr>
          <w:i/>
          <w:lang w:val="fr-CH"/>
        </w:rPr>
        <w:tab/>
      </w:r>
      <w:r w:rsidRPr="006E04DF">
        <w:rPr>
          <w:lang w:val="fr-CH"/>
        </w:rPr>
        <w:t xml:space="preserve">que la </w:t>
      </w:r>
      <w:r w:rsidRPr="005A037D">
        <w:rPr>
          <w:lang w:val="fr-CH"/>
        </w:rPr>
        <w:t>Recomm</w:t>
      </w:r>
      <w:r w:rsidRPr="006E04DF">
        <w:rPr>
          <w:lang w:val="fr-CH"/>
        </w:rPr>
        <w:t>a</w:t>
      </w:r>
      <w:r w:rsidRPr="005A037D">
        <w:rPr>
          <w:lang w:val="fr-CH"/>
        </w:rPr>
        <w:t xml:space="preserve">ndation </w:t>
      </w:r>
      <w:r w:rsidRPr="006E04DF">
        <w:rPr>
          <w:lang w:val="fr-CH"/>
        </w:rPr>
        <w:t xml:space="preserve">UIT-R M.1638-1 </w:t>
      </w:r>
      <w:r>
        <w:rPr>
          <w:lang w:val="fr-CH"/>
        </w:rPr>
        <w:t>indique</w:t>
      </w:r>
      <w:r w:rsidRPr="006E04DF">
        <w:rPr>
          <w:lang w:val="fr-CH"/>
        </w:rPr>
        <w:t xml:space="preserve"> les caractéristiques </w:t>
      </w:r>
      <w:r>
        <w:rPr>
          <w:lang w:val="fr-CH"/>
        </w:rPr>
        <w:t xml:space="preserve">des </w:t>
      </w:r>
      <w:r w:rsidRPr="006E04DF">
        <w:rPr>
          <w:lang w:val="fr-CH"/>
        </w:rPr>
        <w:t>radars de radiolocalisation (à l</w:t>
      </w:r>
      <w:r>
        <w:rPr>
          <w:lang w:val="fr-CH"/>
        </w:rPr>
        <w:t>'</w:t>
      </w:r>
      <w:r w:rsidRPr="006E04DF">
        <w:rPr>
          <w:lang w:val="fr-CH"/>
        </w:rPr>
        <w:t xml:space="preserve">exception des radars météorologiques au sol) et </w:t>
      </w:r>
      <w:r>
        <w:rPr>
          <w:lang w:val="fr-CH"/>
        </w:rPr>
        <w:t>des</w:t>
      </w:r>
      <w:r w:rsidRPr="006E04DF">
        <w:rPr>
          <w:lang w:val="fr-CH"/>
        </w:rPr>
        <w:t xml:space="preserve"> radars de radionavigation aéronautique fonctionnant dans les bandes de fréquences comprises entre 5</w:t>
      </w:r>
      <w:r w:rsidR="005131A3">
        <w:rPr>
          <w:lang w:val="fr-CH"/>
        </w:rPr>
        <w:t> </w:t>
      </w:r>
      <w:r w:rsidRPr="006E04DF">
        <w:rPr>
          <w:lang w:val="fr-CH"/>
        </w:rPr>
        <w:t>250 et 5 850 MHz</w:t>
      </w:r>
      <w:r w:rsidRPr="00C65B48">
        <w:rPr>
          <w:lang w:val="fr-CH"/>
        </w:rPr>
        <w:t xml:space="preserve"> </w:t>
      </w:r>
      <w:r w:rsidRPr="006E04DF">
        <w:rPr>
          <w:lang w:val="fr-CH"/>
        </w:rPr>
        <w:t>et les critères de protection applicables aux études de partage</w:t>
      </w:r>
      <w:r>
        <w:rPr>
          <w:lang w:val="fr-CH"/>
        </w:rPr>
        <w:t xml:space="preserve"> concernant ces radars</w:t>
      </w:r>
      <w:r w:rsidRPr="006E04DF">
        <w:rPr>
          <w:lang w:val="fr-CH"/>
        </w:rPr>
        <w:t xml:space="preserve">, et que la </w:t>
      </w:r>
      <w:r w:rsidRPr="005A037D">
        <w:rPr>
          <w:lang w:val="fr-CH"/>
        </w:rPr>
        <w:t>Recomm</w:t>
      </w:r>
      <w:r w:rsidRPr="006E04DF">
        <w:rPr>
          <w:lang w:val="fr-CH"/>
        </w:rPr>
        <w:t>a</w:t>
      </w:r>
      <w:r w:rsidRPr="005A037D">
        <w:rPr>
          <w:lang w:val="fr-CH"/>
        </w:rPr>
        <w:t xml:space="preserve">ndation </w:t>
      </w:r>
      <w:r>
        <w:rPr>
          <w:lang w:val="fr-CH"/>
        </w:rPr>
        <w:t>UIT</w:t>
      </w:r>
      <w:r>
        <w:rPr>
          <w:lang w:val="fr-CH"/>
        </w:rPr>
        <w:noBreakHyphen/>
        <w:t>R </w:t>
      </w:r>
      <w:r w:rsidRPr="006E04DF">
        <w:rPr>
          <w:lang w:val="fr-CH"/>
        </w:rPr>
        <w:t xml:space="preserve">M.1849-1 </w:t>
      </w:r>
      <w:r>
        <w:rPr>
          <w:lang w:val="fr-CH"/>
        </w:rPr>
        <w:t>définit</w:t>
      </w:r>
      <w:r w:rsidRPr="006E04DF">
        <w:rPr>
          <w:lang w:val="fr-CH"/>
        </w:rPr>
        <w:t xml:space="preserve"> les aspects techniques et opérationnels des radars météorologiques au sol</w:t>
      </w:r>
      <w:r>
        <w:rPr>
          <w:lang w:val="fr-CH"/>
        </w:rPr>
        <w:t>;</w:t>
      </w:r>
    </w:p>
    <w:p w:rsidR="00FF35CE" w:rsidRPr="005A037D" w:rsidRDefault="00FF35CE" w:rsidP="00A17011">
      <w:pPr>
        <w:jc w:val="both"/>
        <w:rPr>
          <w:lang w:val="fr-CH"/>
        </w:rPr>
      </w:pPr>
      <w:r w:rsidRPr="005A037D">
        <w:rPr>
          <w:i/>
          <w:lang w:val="fr-CH"/>
        </w:rPr>
        <w:t>c)</w:t>
      </w:r>
      <w:r w:rsidRPr="005A037D">
        <w:rPr>
          <w:i/>
          <w:lang w:val="fr-CH"/>
        </w:rPr>
        <w:tab/>
      </w:r>
      <w:r w:rsidRPr="006E04DF">
        <w:rPr>
          <w:lang w:val="fr-CH"/>
        </w:rPr>
        <w:t xml:space="preserve">que la </w:t>
      </w:r>
      <w:r w:rsidRPr="005A037D">
        <w:rPr>
          <w:lang w:val="fr-CH"/>
        </w:rPr>
        <w:t>Recomm</w:t>
      </w:r>
      <w:r w:rsidRPr="006E04DF">
        <w:rPr>
          <w:lang w:val="fr-CH"/>
        </w:rPr>
        <w:t>a</w:t>
      </w:r>
      <w:r w:rsidRPr="005A037D">
        <w:rPr>
          <w:lang w:val="fr-CH"/>
        </w:rPr>
        <w:t xml:space="preserve">ndation </w:t>
      </w:r>
      <w:r w:rsidRPr="006E04DF">
        <w:rPr>
          <w:lang w:val="fr-CH"/>
        </w:rPr>
        <w:t>UIT</w:t>
      </w:r>
      <w:r w:rsidRPr="005A037D">
        <w:rPr>
          <w:lang w:val="fr-CH"/>
        </w:rPr>
        <w:t xml:space="preserve">-R M.1638-1 </w:t>
      </w:r>
      <w:r>
        <w:rPr>
          <w:lang w:val="fr-CH"/>
        </w:rPr>
        <w:t>comprend</w:t>
      </w:r>
      <w:r w:rsidRPr="006E04DF">
        <w:rPr>
          <w:lang w:val="fr-CH"/>
        </w:rPr>
        <w:t xml:space="preserve"> de</w:t>
      </w:r>
      <w:r>
        <w:rPr>
          <w:lang w:val="fr-CH"/>
        </w:rPr>
        <w:t xml:space="preserve"> nouvelles</w:t>
      </w:r>
      <w:r w:rsidRPr="006E04DF">
        <w:rPr>
          <w:lang w:val="fr-CH"/>
        </w:rPr>
        <w:t xml:space="preserve"> caractéristiques </w:t>
      </w:r>
      <w:r>
        <w:rPr>
          <w:lang w:val="fr-CH"/>
        </w:rPr>
        <w:t xml:space="preserve">additionnelles </w:t>
      </w:r>
      <w:r w:rsidRPr="006E04DF">
        <w:rPr>
          <w:lang w:val="fr-CH"/>
        </w:rPr>
        <w:t>de</w:t>
      </w:r>
      <w:r>
        <w:rPr>
          <w:lang w:val="fr-CH"/>
        </w:rPr>
        <w:t>s</w:t>
      </w:r>
      <w:r w:rsidRPr="006E04DF">
        <w:rPr>
          <w:lang w:val="fr-CH"/>
        </w:rPr>
        <w:t xml:space="preserve"> </w:t>
      </w:r>
      <w:r w:rsidRPr="005A037D">
        <w:rPr>
          <w:lang w:val="fr-CH"/>
        </w:rPr>
        <w:t>radar</w:t>
      </w:r>
      <w:r w:rsidRPr="006E04DF">
        <w:rPr>
          <w:lang w:val="fr-CH"/>
        </w:rPr>
        <w:t>s</w:t>
      </w:r>
      <w:r w:rsidRPr="005A037D">
        <w:rPr>
          <w:lang w:val="fr-CH"/>
        </w:rPr>
        <w:t xml:space="preserve"> </w:t>
      </w:r>
      <w:r w:rsidRPr="006E04DF">
        <w:rPr>
          <w:lang w:val="fr-CH"/>
        </w:rPr>
        <w:t xml:space="preserve">qui ne figurent pas dans la </w:t>
      </w:r>
      <w:r w:rsidRPr="005A037D">
        <w:rPr>
          <w:lang w:val="fr-CH"/>
        </w:rPr>
        <w:t>Recomm</w:t>
      </w:r>
      <w:r w:rsidRPr="006E04DF">
        <w:rPr>
          <w:lang w:val="fr-CH"/>
        </w:rPr>
        <w:t>a</w:t>
      </w:r>
      <w:r w:rsidRPr="005A037D">
        <w:rPr>
          <w:lang w:val="fr-CH"/>
        </w:rPr>
        <w:t xml:space="preserve">ndation </w:t>
      </w:r>
      <w:r w:rsidRPr="006E04DF">
        <w:rPr>
          <w:lang w:val="fr-CH"/>
        </w:rPr>
        <w:t>UIT</w:t>
      </w:r>
      <w:r w:rsidRPr="005A037D">
        <w:rPr>
          <w:lang w:val="fr-CH"/>
        </w:rPr>
        <w:t>-R M.1638-0,</w:t>
      </w:r>
    </w:p>
    <w:p w:rsidR="00FF35CE" w:rsidRPr="005A037D" w:rsidRDefault="00FF35CE" w:rsidP="00A17011">
      <w:pPr>
        <w:pStyle w:val="Call"/>
        <w:rPr>
          <w:lang w:val="fr-CH"/>
        </w:rPr>
      </w:pPr>
      <w:r w:rsidRPr="005A037D">
        <w:rPr>
          <w:lang w:val="fr-CH"/>
        </w:rPr>
        <w:lastRenderedPageBreak/>
        <w:t>not</w:t>
      </w:r>
      <w:r w:rsidRPr="006E04DF">
        <w:rPr>
          <w:lang w:val="fr-CH"/>
        </w:rPr>
        <w:t>ant en outre</w:t>
      </w:r>
    </w:p>
    <w:p w:rsidR="00FF35CE" w:rsidRPr="005A037D" w:rsidRDefault="00FF35CE" w:rsidP="00A17011">
      <w:pPr>
        <w:jc w:val="both"/>
        <w:rPr>
          <w:lang w:val="fr-CH"/>
        </w:rPr>
      </w:pPr>
      <w:r w:rsidRPr="006E04DF">
        <w:rPr>
          <w:lang w:val="fr-CH"/>
        </w:rPr>
        <w:t>que</w:t>
      </w:r>
      <w:r w:rsidRPr="005A037D">
        <w:rPr>
          <w:lang w:val="fr-CH"/>
        </w:rPr>
        <w:t xml:space="preserve">, </w:t>
      </w:r>
      <w:r w:rsidRPr="006E04DF">
        <w:rPr>
          <w:lang w:val="fr-CH"/>
        </w:rPr>
        <w:t>conformément à l</w:t>
      </w:r>
      <w:r>
        <w:rPr>
          <w:lang w:val="fr-CH"/>
        </w:rPr>
        <w:t>'</w:t>
      </w:r>
      <w:r w:rsidRPr="005A037D">
        <w:rPr>
          <w:lang w:val="fr-CH"/>
        </w:rPr>
        <w:t>Annex</w:t>
      </w:r>
      <w:r w:rsidRPr="006E04DF">
        <w:rPr>
          <w:lang w:val="fr-CH"/>
        </w:rPr>
        <w:t>e</w:t>
      </w:r>
      <w:r w:rsidRPr="005A037D">
        <w:rPr>
          <w:lang w:val="fr-CH"/>
        </w:rPr>
        <w:t xml:space="preserve"> 1 </w:t>
      </w:r>
      <w:r w:rsidRPr="006E04DF">
        <w:rPr>
          <w:lang w:val="fr-CH"/>
        </w:rPr>
        <w:t xml:space="preserve">de la </w:t>
      </w:r>
      <w:hyperlink w:anchor="RES_27" w:history="1">
        <w:r w:rsidR="00C173DE">
          <w:rPr>
            <w:rStyle w:val="Hyperlink"/>
            <w:rFonts w:asciiTheme="majorBidi" w:hAnsiTheme="majorBidi" w:cstheme="majorBidi"/>
            <w:szCs w:val="24"/>
          </w:rPr>
          <w:t>Ré</w:t>
        </w:r>
        <w:r w:rsidR="00C173DE" w:rsidRPr="004C120E">
          <w:rPr>
            <w:rStyle w:val="Hyperlink"/>
            <w:rFonts w:asciiTheme="majorBidi" w:hAnsiTheme="majorBidi" w:cstheme="majorBidi"/>
            <w:szCs w:val="24"/>
          </w:rPr>
          <w:t>solution </w:t>
        </w:r>
        <w:r w:rsidR="00C173DE" w:rsidRPr="004C120E">
          <w:rPr>
            <w:rStyle w:val="Hyperlink"/>
            <w:rFonts w:asciiTheme="majorBidi" w:hAnsiTheme="majorBidi" w:cstheme="majorBidi"/>
            <w:b/>
            <w:szCs w:val="24"/>
          </w:rPr>
          <w:t>27</w:t>
        </w:r>
        <w:r w:rsidR="00C173DE" w:rsidRPr="004C120E">
          <w:rPr>
            <w:rStyle w:val="Hyperlink"/>
            <w:rFonts w:asciiTheme="majorBidi" w:hAnsiTheme="majorBidi" w:cstheme="majorBidi"/>
            <w:szCs w:val="24"/>
          </w:rPr>
          <w:t xml:space="preserve"> </w:t>
        </w:r>
        <w:r w:rsidR="00C173DE">
          <w:rPr>
            <w:rStyle w:val="Hyperlink"/>
            <w:rFonts w:asciiTheme="majorBidi" w:hAnsiTheme="majorBidi" w:cstheme="majorBidi"/>
            <w:b/>
            <w:szCs w:val="24"/>
          </w:rPr>
          <w:t>(Ré</w:t>
        </w:r>
        <w:r w:rsidR="00C173DE" w:rsidRPr="004C120E">
          <w:rPr>
            <w:rStyle w:val="Hyperlink"/>
            <w:rFonts w:asciiTheme="majorBidi" w:hAnsiTheme="majorBidi" w:cstheme="majorBidi"/>
            <w:b/>
            <w:szCs w:val="24"/>
          </w:rPr>
          <w:t>v.</w:t>
        </w:r>
        <w:r w:rsidR="00C173DE" w:rsidRPr="004C120E">
          <w:rPr>
            <w:rStyle w:val="Hyperlink"/>
            <w:rFonts w:asciiTheme="majorBidi" w:hAnsiTheme="majorBidi" w:cstheme="majorBidi"/>
            <w:b/>
            <w:bCs/>
            <w:szCs w:val="24"/>
            <w:lang w:eastAsia="ja-JP"/>
          </w:rPr>
          <w:t>C</w:t>
        </w:r>
        <w:r w:rsidR="00C173DE">
          <w:rPr>
            <w:rStyle w:val="Hyperlink"/>
            <w:rFonts w:asciiTheme="majorBidi" w:hAnsiTheme="majorBidi" w:cstheme="majorBidi"/>
            <w:b/>
            <w:bCs/>
            <w:szCs w:val="24"/>
            <w:lang w:eastAsia="ja-JP"/>
          </w:rPr>
          <w:t>MR</w:t>
        </w:r>
        <w:r w:rsidR="00C173DE" w:rsidRPr="004C120E">
          <w:rPr>
            <w:rStyle w:val="Hyperlink"/>
            <w:rFonts w:asciiTheme="majorBidi" w:hAnsiTheme="majorBidi" w:cstheme="majorBidi"/>
            <w:b/>
            <w:bCs/>
            <w:szCs w:val="24"/>
            <w:lang w:eastAsia="ja-JP"/>
          </w:rPr>
          <w:noBreakHyphen/>
          <w:t>12</w:t>
        </w:r>
        <w:r w:rsidR="00C173DE" w:rsidRPr="004C120E">
          <w:rPr>
            <w:rStyle w:val="Hyperlink"/>
            <w:rFonts w:asciiTheme="majorBidi" w:hAnsiTheme="majorBidi" w:cstheme="majorBidi"/>
            <w:b/>
            <w:szCs w:val="24"/>
          </w:rPr>
          <w:t>)</w:t>
        </w:r>
      </w:hyperlink>
      <w:r w:rsidRPr="005A037D">
        <w:rPr>
          <w:lang w:val="fr-CH"/>
        </w:rPr>
        <w:t xml:space="preserve">, </w:t>
      </w:r>
      <w:r w:rsidRPr="006E04DF">
        <w:rPr>
          <w:lang w:val="fr-CH"/>
        </w:rPr>
        <w:t xml:space="preserve">la </w:t>
      </w:r>
      <w:r w:rsidRPr="005A037D">
        <w:rPr>
          <w:lang w:val="fr-CH"/>
        </w:rPr>
        <w:t>r</w:t>
      </w:r>
      <w:r w:rsidRPr="006E04DF">
        <w:rPr>
          <w:lang w:val="fr-CH"/>
        </w:rPr>
        <w:t>é</w:t>
      </w:r>
      <w:r w:rsidRPr="005A037D">
        <w:rPr>
          <w:lang w:val="fr-CH"/>
        </w:rPr>
        <w:t>f</w:t>
      </w:r>
      <w:r w:rsidRPr="006E04DF">
        <w:rPr>
          <w:lang w:val="fr-CH"/>
        </w:rPr>
        <w:t>é</w:t>
      </w:r>
      <w:r w:rsidRPr="005A037D">
        <w:rPr>
          <w:lang w:val="fr-CH"/>
        </w:rPr>
        <w:t>rence</w:t>
      </w:r>
      <w:r>
        <w:rPr>
          <w:lang w:val="fr-CH"/>
        </w:rPr>
        <w:t xml:space="preserve"> à caractères obligatoire</w:t>
      </w:r>
      <w:r w:rsidRPr="005A037D">
        <w:rPr>
          <w:lang w:val="fr-CH"/>
        </w:rPr>
        <w:t xml:space="preserve"> </w:t>
      </w:r>
      <w:r w:rsidRPr="006E04DF">
        <w:rPr>
          <w:lang w:val="fr-CH"/>
        </w:rPr>
        <w:t>à un texte</w:t>
      </w:r>
      <w:r>
        <w:rPr>
          <w:lang w:val="fr-CH"/>
        </w:rPr>
        <w:t xml:space="preserve"> qui est</w:t>
      </w:r>
      <w:r w:rsidRPr="006E04DF">
        <w:rPr>
          <w:lang w:val="fr-CH"/>
        </w:rPr>
        <w:t xml:space="preserve"> incorporé par référence doit être </w:t>
      </w:r>
      <w:r w:rsidRPr="005A037D">
        <w:rPr>
          <w:lang w:val="fr-CH"/>
        </w:rPr>
        <w:t>explicit</w:t>
      </w:r>
      <w:r w:rsidRPr="006E04DF">
        <w:rPr>
          <w:lang w:val="fr-CH"/>
        </w:rPr>
        <w:t xml:space="preserve">e et préciser la partie </w:t>
      </w:r>
      <w:r w:rsidRPr="005A037D">
        <w:rPr>
          <w:lang w:val="fr-CH"/>
        </w:rPr>
        <w:t>sp</w:t>
      </w:r>
      <w:r w:rsidRPr="006E04DF">
        <w:rPr>
          <w:lang w:val="fr-CH"/>
        </w:rPr>
        <w:t>écifique</w:t>
      </w:r>
      <w:r w:rsidRPr="005A037D">
        <w:rPr>
          <w:lang w:val="fr-CH"/>
        </w:rPr>
        <w:t xml:space="preserve"> </w:t>
      </w:r>
      <w:r w:rsidRPr="006E04DF">
        <w:rPr>
          <w:lang w:val="fr-CH"/>
        </w:rPr>
        <w:t xml:space="preserve">du </w:t>
      </w:r>
      <w:r w:rsidRPr="005A037D">
        <w:rPr>
          <w:lang w:val="fr-CH"/>
        </w:rPr>
        <w:t>text</w:t>
      </w:r>
      <w:r w:rsidRPr="006E04DF">
        <w:rPr>
          <w:lang w:val="fr-CH"/>
        </w:rPr>
        <w:t>e</w:t>
      </w:r>
      <w:r w:rsidRPr="005A037D">
        <w:rPr>
          <w:lang w:val="fr-CH" w:eastAsia="ja-JP"/>
        </w:rPr>
        <w:t xml:space="preserve">, </w:t>
      </w:r>
      <w:r w:rsidRPr="006E04DF">
        <w:rPr>
          <w:lang w:val="fr-CH"/>
        </w:rPr>
        <w:t>s</w:t>
      </w:r>
      <w:r>
        <w:rPr>
          <w:lang w:val="fr-CH"/>
        </w:rPr>
        <w:t>'</w:t>
      </w:r>
      <w:r w:rsidRPr="006E04DF">
        <w:rPr>
          <w:lang w:val="fr-CH"/>
        </w:rPr>
        <w:t>il y a lieu</w:t>
      </w:r>
      <w:r w:rsidRPr="005A037D">
        <w:rPr>
          <w:lang w:val="fr-CH"/>
        </w:rPr>
        <w:t>,</w:t>
      </w:r>
    </w:p>
    <w:p w:rsidR="00FF35CE" w:rsidRPr="005A037D" w:rsidRDefault="00FF35CE" w:rsidP="00A17011">
      <w:pPr>
        <w:pStyle w:val="Call"/>
        <w:jc w:val="both"/>
        <w:rPr>
          <w:lang w:val="fr-CH"/>
        </w:rPr>
      </w:pPr>
      <w:r w:rsidRPr="006E04DF">
        <w:rPr>
          <w:lang w:val="fr-CH"/>
        </w:rPr>
        <w:t>décide d</w:t>
      </w:r>
      <w:r>
        <w:rPr>
          <w:lang w:val="fr-CH"/>
        </w:rPr>
        <w:t>'</w:t>
      </w:r>
      <w:r w:rsidRPr="005A037D">
        <w:rPr>
          <w:lang w:val="fr-CH"/>
        </w:rPr>
        <w:t>invite</w:t>
      </w:r>
      <w:r>
        <w:rPr>
          <w:lang w:val="fr-CH"/>
        </w:rPr>
        <w:t>r</w:t>
      </w:r>
      <w:r w:rsidRPr="005A037D">
        <w:rPr>
          <w:lang w:val="fr-CH"/>
        </w:rPr>
        <w:t xml:space="preserve"> </w:t>
      </w:r>
      <w:r w:rsidRPr="006E04DF">
        <w:rPr>
          <w:lang w:val="fr-CH"/>
        </w:rPr>
        <w:t>l</w:t>
      </w:r>
      <w:r>
        <w:rPr>
          <w:lang w:val="fr-CH"/>
        </w:rPr>
        <w:t>e Secteur des radiocommunications de l'UIT</w:t>
      </w:r>
    </w:p>
    <w:p w:rsidR="00FF35CE" w:rsidRPr="005A037D" w:rsidRDefault="00FF35CE" w:rsidP="00A17011">
      <w:pPr>
        <w:jc w:val="both"/>
        <w:rPr>
          <w:lang w:val="fr-CH"/>
        </w:rPr>
      </w:pPr>
      <w:r w:rsidRPr="005A037D">
        <w:rPr>
          <w:lang w:val="fr-CH"/>
        </w:rPr>
        <w:t>1</w:t>
      </w:r>
      <w:r w:rsidRPr="005A037D">
        <w:rPr>
          <w:lang w:val="fr-CH"/>
        </w:rPr>
        <w:tab/>
      </w:r>
      <w:r>
        <w:rPr>
          <w:lang w:val="fr-CH"/>
        </w:rPr>
        <w:t xml:space="preserve">à </w:t>
      </w:r>
      <w:r w:rsidRPr="006E04DF">
        <w:rPr>
          <w:lang w:val="fr-CH"/>
        </w:rPr>
        <w:t>étudier les conséquences techniques et réglementaires</w:t>
      </w:r>
      <w:r>
        <w:rPr>
          <w:lang w:val="fr-CH"/>
        </w:rPr>
        <w:t>,</w:t>
      </w:r>
      <w:r w:rsidRPr="006E04DF">
        <w:rPr>
          <w:lang w:val="fr-CH"/>
        </w:rPr>
        <w:t xml:space="preserve"> pour les </w:t>
      </w:r>
      <w:r w:rsidRPr="005A037D">
        <w:rPr>
          <w:lang w:val="fr-CH" w:eastAsia="ja-JP"/>
        </w:rPr>
        <w:t xml:space="preserve">services </w:t>
      </w:r>
      <w:r w:rsidRPr="006E04DF">
        <w:rPr>
          <w:lang w:val="fr-CH" w:eastAsia="ja-JP"/>
        </w:rPr>
        <w:t xml:space="preserve">visés aux numéros </w:t>
      </w:r>
      <w:r w:rsidRPr="005A037D">
        <w:rPr>
          <w:b/>
          <w:lang w:val="fr-CH"/>
        </w:rPr>
        <w:t>5.447F</w:t>
      </w:r>
      <w:r w:rsidRPr="005A037D">
        <w:rPr>
          <w:lang w:val="fr-CH"/>
        </w:rPr>
        <w:t xml:space="preserve"> </w:t>
      </w:r>
      <w:r w:rsidRPr="006E04DF">
        <w:rPr>
          <w:lang w:val="fr-CH"/>
        </w:rPr>
        <w:t xml:space="preserve">et </w:t>
      </w:r>
      <w:r w:rsidRPr="005A037D">
        <w:rPr>
          <w:b/>
          <w:lang w:val="fr-CH"/>
        </w:rPr>
        <w:t>5.450A</w:t>
      </w:r>
      <w:r w:rsidRPr="003C3C2B">
        <w:rPr>
          <w:bCs/>
          <w:lang w:val="fr-CH"/>
        </w:rPr>
        <w:t>,</w:t>
      </w:r>
      <w:r w:rsidRPr="005A037D">
        <w:rPr>
          <w:lang w:val="fr-CH"/>
        </w:rPr>
        <w:t xml:space="preserve"> </w:t>
      </w:r>
      <w:r w:rsidRPr="006E04DF">
        <w:rPr>
          <w:lang w:val="fr-CH"/>
        </w:rPr>
        <w:t>qu</w:t>
      </w:r>
      <w:r>
        <w:rPr>
          <w:lang w:val="fr-CH"/>
        </w:rPr>
        <w:t>'</w:t>
      </w:r>
      <w:r w:rsidRPr="006E04DF">
        <w:rPr>
          <w:lang w:val="fr-CH"/>
        </w:rPr>
        <w:t xml:space="preserve">aurait le fait de remplacer la référence </w:t>
      </w:r>
      <w:r w:rsidRPr="006E04DF">
        <w:rPr>
          <w:lang w:val="fr-CH" w:eastAsia="ja-JP"/>
        </w:rPr>
        <w:t xml:space="preserve">à la </w:t>
      </w:r>
      <w:r w:rsidRPr="005A037D">
        <w:rPr>
          <w:lang w:val="fr-CH"/>
        </w:rPr>
        <w:t>Recomm</w:t>
      </w:r>
      <w:r w:rsidRPr="006E04DF">
        <w:rPr>
          <w:lang w:val="fr-CH"/>
        </w:rPr>
        <w:t>a</w:t>
      </w:r>
      <w:r w:rsidRPr="005A037D">
        <w:rPr>
          <w:lang w:val="fr-CH"/>
        </w:rPr>
        <w:t xml:space="preserve">ndation </w:t>
      </w:r>
      <w:r w:rsidRPr="006E04DF">
        <w:rPr>
          <w:lang w:val="fr-CH"/>
        </w:rPr>
        <w:t>UIT</w:t>
      </w:r>
      <w:r>
        <w:rPr>
          <w:lang w:val="fr-CH"/>
        </w:rPr>
        <w:noBreakHyphen/>
        <w:t>R </w:t>
      </w:r>
      <w:r w:rsidRPr="005A037D">
        <w:rPr>
          <w:lang w:val="fr-CH"/>
        </w:rPr>
        <w:t>M.1638-</w:t>
      </w:r>
      <w:r w:rsidRPr="006E04DF">
        <w:rPr>
          <w:lang w:val="fr-CH"/>
        </w:rPr>
        <w:t>0</w:t>
      </w:r>
      <w:r w:rsidRPr="005A037D">
        <w:rPr>
          <w:lang w:val="fr-CH"/>
        </w:rPr>
        <w:t xml:space="preserve"> </w:t>
      </w:r>
      <w:r w:rsidRPr="006E04DF">
        <w:rPr>
          <w:lang w:val="fr-CH"/>
        </w:rPr>
        <w:t xml:space="preserve">par une référence à la </w:t>
      </w:r>
      <w:r w:rsidRPr="005A037D">
        <w:rPr>
          <w:lang w:val="fr-CH"/>
        </w:rPr>
        <w:t>Recomm</w:t>
      </w:r>
      <w:r w:rsidRPr="006E04DF">
        <w:rPr>
          <w:lang w:val="fr-CH"/>
        </w:rPr>
        <w:t>a</w:t>
      </w:r>
      <w:r w:rsidRPr="005A037D">
        <w:rPr>
          <w:lang w:val="fr-CH"/>
        </w:rPr>
        <w:t xml:space="preserve">ndation </w:t>
      </w:r>
      <w:r w:rsidRPr="006E04DF">
        <w:rPr>
          <w:lang w:val="fr-CH"/>
        </w:rPr>
        <w:t>UIT</w:t>
      </w:r>
      <w:r w:rsidRPr="005A037D">
        <w:rPr>
          <w:lang w:val="fr-CH"/>
        </w:rPr>
        <w:noBreakHyphen/>
        <w:t>R M.1638-</w:t>
      </w:r>
      <w:r w:rsidRPr="006E04DF">
        <w:rPr>
          <w:lang w:val="fr-CH"/>
        </w:rPr>
        <w:t>1</w:t>
      </w:r>
      <w:r w:rsidRPr="005A037D">
        <w:rPr>
          <w:lang w:val="fr-CH"/>
        </w:rPr>
        <w:t xml:space="preserve"> </w:t>
      </w:r>
      <w:r w:rsidRPr="006E04DF">
        <w:rPr>
          <w:lang w:val="fr-CH"/>
        </w:rPr>
        <w:t>dans ces renvois</w:t>
      </w:r>
      <w:r>
        <w:rPr>
          <w:lang w:val="fr-CH"/>
        </w:rPr>
        <w:t>, tout en veillant à ce qu'aucune contrainte inutile ne soit imposée aux services dont il est fait mention dans ces renvois</w:t>
      </w:r>
      <w:r w:rsidRPr="005A037D">
        <w:rPr>
          <w:lang w:val="fr-CH"/>
        </w:rPr>
        <w:t>;</w:t>
      </w:r>
    </w:p>
    <w:p w:rsidR="00FF35CE" w:rsidRPr="005A037D" w:rsidRDefault="00FF35CE" w:rsidP="00A17011">
      <w:pPr>
        <w:jc w:val="both"/>
        <w:rPr>
          <w:lang w:val="fr-CH" w:eastAsia="ja-JP"/>
        </w:rPr>
      </w:pPr>
      <w:r w:rsidRPr="005A037D">
        <w:rPr>
          <w:lang w:val="fr-CH"/>
        </w:rPr>
        <w:t>2</w:t>
      </w:r>
      <w:r w:rsidRPr="005A037D">
        <w:rPr>
          <w:lang w:val="fr-CH"/>
        </w:rPr>
        <w:tab/>
      </w:r>
      <w:r>
        <w:rPr>
          <w:lang w:val="fr-CH"/>
        </w:rPr>
        <w:t xml:space="preserve">à </w:t>
      </w:r>
      <w:r w:rsidRPr="006E04DF">
        <w:rPr>
          <w:lang w:val="fr-CH"/>
        </w:rPr>
        <w:t>étudier les conséquences techniques et réglementaires</w:t>
      </w:r>
      <w:r>
        <w:rPr>
          <w:lang w:val="fr-CH"/>
        </w:rPr>
        <w:t>,</w:t>
      </w:r>
      <w:r w:rsidRPr="006E04DF">
        <w:rPr>
          <w:lang w:val="fr-CH"/>
        </w:rPr>
        <w:t xml:space="preserve"> pour les </w:t>
      </w:r>
      <w:r w:rsidRPr="005A037D">
        <w:rPr>
          <w:lang w:val="fr-CH" w:eastAsia="ja-JP"/>
        </w:rPr>
        <w:t xml:space="preserve">services </w:t>
      </w:r>
      <w:r w:rsidRPr="006E04DF">
        <w:rPr>
          <w:lang w:val="fr-CH" w:eastAsia="ja-JP"/>
        </w:rPr>
        <w:t xml:space="preserve">visés aux numéros </w:t>
      </w:r>
      <w:r w:rsidRPr="005A037D">
        <w:rPr>
          <w:b/>
          <w:lang w:val="fr-CH"/>
        </w:rPr>
        <w:t>5.447F</w:t>
      </w:r>
      <w:r w:rsidRPr="005A037D">
        <w:rPr>
          <w:lang w:val="fr-CH"/>
        </w:rPr>
        <w:t xml:space="preserve"> </w:t>
      </w:r>
      <w:r w:rsidRPr="006E04DF">
        <w:rPr>
          <w:lang w:val="fr-CH"/>
        </w:rPr>
        <w:t xml:space="preserve">et </w:t>
      </w:r>
      <w:r w:rsidRPr="005A037D">
        <w:rPr>
          <w:b/>
          <w:lang w:val="fr-CH"/>
        </w:rPr>
        <w:t>5.450A</w:t>
      </w:r>
      <w:r w:rsidRPr="003C3C2B">
        <w:rPr>
          <w:bCs/>
          <w:lang w:val="fr-CH"/>
        </w:rPr>
        <w:t>,</w:t>
      </w:r>
      <w:r w:rsidRPr="005A037D">
        <w:rPr>
          <w:lang w:val="fr-CH"/>
        </w:rPr>
        <w:t xml:space="preserve"> </w:t>
      </w:r>
      <w:r w:rsidRPr="006E04DF">
        <w:rPr>
          <w:lang w:val="fr-CH"/>
        </w:rPr>
        <w:t>qu</w:t>
      </w:r>
      <w:r>
        <w:rPr>
          <w:lang w:val="fr-CH"/>
        </w:rPr>
        <w:t>'</w:t>
      </w:r>
      <w:r w:rsidRPr="006E04DF">
        <w:rPr>
          <w:lang w:val="fr-CH"/>
        </w:rPr>
        <w:t>aurait le fait d</w:t>
      </w:r>
      <w:r>
        <w:rPr>
          <w:lang w:val="fr-CH"/>
        </w:rPr>
        <w:t>'</w:t>
      </w:r>
      <w:r w:rsidRPr="006E04DF">
        <w:rPr>
          <w:lang w:val="fr-CH"/>
        </w:rPr>
        <w:t xml:space="preserve">ajouter </w:t>
      </w:r>
      <w:r w:rsidRPr="006E04DF">
        <w:rPr>
          <w:lang w:val="fr-CH" w:eastAsia="ja-JP"/>
        </w:rPr>
        <w:t xml:space="preserve">une nouvelle </w:t>
      </w:r>
      <w:r w:rsidRPr="005A037D">
        <w:rPr>
          <w:lang w:val="fr-CH" w:eastAsia="ja-JP"/>
        </w:rPr>
        <w:t>r</w:t>
      </w:r>
      <w:r w:rsidRPr="006E04DF">
        <w:rPr>
          <w:lang w:val="fr-CH" w:eastAsia="ja-JP"/>
        </w:rPr>
        <w:t>é</w:t>
      </w:r>
      <w:r w:rsidRPr="005A037D">
        <w:rPr>
          <w:lang w:val="fr-CH" w:eastAsia="ja-JP"/>
        </w:rPr>
        <w:t>f</w:t>
      </w:r>
      <w:r w:rsidRPr="006E04DF">
        <w:rPr>
          <w:lang w:val="fr-CH" w:eastAsia="ja-JP"/>
        </w:rPr>
        <w:t>é</w:t>
      </w:r>
      <w:r w:rsidRPr="005A037D">
        <w:rPr>
          <w:lang w:val="fr-CH" w:eastAsia="ja-JP"/>
        </w:rPr>
        <w:t xml:space="preserve">rence </w:t>
      </w:r>
      <w:r w:rsidRPr="006E04DF">
        <w:rPr>
          <w:lang w:val="fr-CH" w:eastAsia="ja-JP"/>
        </w:rPr>
        <w:t xml:space="preserve">à la </w:t>
      </w:r>
      <w:r w:rsidRPr="005A037D">
        <w:rPr>
          <w:lang w:val="fr-CH"/>
        </w:rPr>
        <w:t>Recomm</w:t>
      </w:r>
      <w:r w:rsidRPr="006E04DF">
        <w:rPr>
          <w:lang w:val="fr-CH"/>
        </w:rPr>
        <w:t>a</w:t>
      </w:r>
      <w:r w:rsidRPr="005A037D">
        <w:rPr>
          <w:lang w:val="fr-CH"/>
        </w:rPr>
        <w:t xml:space="preserve">ndation </w:t>
      </w:r>
      <w:r w:rsidRPr="006E04DF">
        <w:rPr>
          <w:lang w:val="fr-CH"/>
        </w:rPr>
        <w:t>UIT</w:t>
      </w:r>
      <w:r w:rsidRPr="005A037D">
        <w:rPr>
          <w:lang w:val="fr-CH"/>
        </w:rPr>
        <w:t>-R M.1849</w:t>
      </w:r>
      <w:r w:rsidRPr="005A037D">
        <w:rPr>
          <w:lang w:val="fr-CH"/>
        </w:rPr>
        <w:noBreakHyphen/>
        <w:t xml:space="preserve">1 </w:t>
      </w:r>
      <w:r w:rsidRPr="006E04DF">
        <w:rPr>
          <w:lang w:val="fr-CH" w:eastAsia="ja-JP"/>
        </w:rPr>
        <w:t>dans ces renvois</w:t>
      </w:r>
      <w:r>
        <w:rPr>
          <w:lang w:val="fr-CH" w:eastAsia="ja-JP"/>
        </w:rPr>
        <w:t>,</w:t>
      </w:r>
      <w:r w:rsidRPr="00AA7BD4">
        <w:rPr>
          <w:lang w:val="fr-CH"/>
        </w:rPr>
        <w:t xml:space="preserve"> </w:t>
      </w:r>
      <w:r>
        <w:rPr>
          <w:lang w:val="fr-CH"/>
        </w:rPr>
        <w:t>tout en veillant à ce qu'aucune contrainte inutile ne soit imposée aux services dont il est fait mention dans ces renvois</w:t>
      </w:r>
      <w:r w:rsidRPr="007D59DC">
        <w:rPr>
          <w:bCs/>
          <w:lang w:val="fr-CH"/>
        </w:rPr>
        <w:t>,</w:t>
      </w:r>
    </w:p>
    <w:p w:rsidR="00FF35CE" w:rsidRPr="005A037D" w:rsidRDefault="00FF35CE" w:rsidP="00A17011">
      <w:pPr>
        <w:pStyle w:val="Call"/>
        <w:jc w:val="both"/>
        <w:rPr>
          <w:lang w:val="fr-CH"/>
        </w:rPr>
      </w:pPr>
      <w:r w:rsidRPr="006E04DF">
        <w:rPr>
          <w:lang w:val="fr-CH"/>
        </w:rPr>
        <w:t>charge le Directeur du</w:t>
      </w:r>
      <w:r>
        <w:rPr>
          <w:lang w:val="fr-CH"/>
        </w:rPr>
        <w:t xml:space="preserve"> Bureau des radiocommunications</w:t>
      </w:r>
    </w:p>
    <w:p w:rsidR="00FF35CE" w:rsidRDefault="00FF35CE" w:rsidP="00A17011">
      <w:pPr>
        <w:jc w:val="both"/>
        <w:rPr>
          <w:lang w:val="fr-CH"/>
        </w:rPr>
      </w:pPr>
      <w:r w:rsidRPr="006E04DF">
        <w:rPr>
          <w:rFonts w:eastAsiaTheme="minorHAnsi"/>
          <w:lang w:val="fr-CH"/>
        </w:rPr>
        <w:t xml:space="preserve">de faire figurer les résultats de ces études </w:t>
      </w:r>
      <w:r w:rsidRPr="006E04DF">
        <w:rPr>
          <w:lang w:val="fr-CH"/>
        </w:rPr>
        <w:t xml:space="preserve">dans son Rapport à la </w:t>
      </w:r>
      <w:r w:rsidRPr="006E04DF">
        <w:rPr>
          <w:lang w:val="fr-CH" w:eastAsia="ja-JP"/>
        </w:rPr>
        <w:t>CMR</w:t>
      </w:r>
      <w:r w:rsidRPr="005A037D">
        <w:rPr>
          <w:lang w:val="fr-CH"/>
        </w:rPr>
        <w:noBreakHyphen/>
        <w:t>1</w:t>
      </w:r>
      <w:r w:rsidRPr="005A037D">
        <w:rPr>
          <w:lang w:val="fr-CH" w:eastAsia="ja-JP"/>
        </w:rPr>
        <w:t>9</w:t>
      </w:r>
      <w:r>
        <w:rPr>
          <w:lang w:val="fr-CH" w:eastAsia="ja-JP"/>
        </w:rPr>
        <w:t>,</w:t>
      </w:r>
      <w:r w:rsidRPr="005A037D">
        <w:rPr>
          <w:lang w:val="fr-CH"/>
        </w:rPr>
        <w:t xml:space="preserve"> </w:t>
      </w:r>
      <w:r>
        <w:rPr>
          <w:lang w:val="fr-CH"/>
        </w:rPr>
        <w:t>en vue d'envisager d'</w:t>
      </w:r>
      <w:r w:rsidRPr="006E04DF">
        <w:rPr>
          <w:lang w:val="fr-CH"/>
        </w:rPr>
        <w:t xml:space="preserve">éventuelles mesures réglementaires en application du </w:t>
      </w:r>
      <w:r w:rsidRPr="002E3984">
        <w:rPr>
          <w:i/>
          <w:iCs/>
          <w:lang w:val="fr-CH"/>
        </w:rPr>
        <w:t>décide d'inviter le Secteur des radiocommunications de l'UIT</w:t>
      </w:r>
      <w:r w:rsidRPr="005A037D">
        <w:rPr>
          <w:i/>
          <w:iCs/>
          <w:lang w:val="fr-CH"/>
        </w:rPr>
        <w:t xml:space="preserve"> </w:t>
      </w:r>
      <w:r w:rsidRPr="006E04DF">
        <w:rPr>
          <w:lang w:val="fr-CH"/>
        </w:rPr>
        <w:t>ci</w:t>
      </w:r>
      <w:r>
        <w:rPr>
          <w:lang w:val="fr-CH"/>
        </w:rPr>
        <w:noBreakHyphen/>
      </w:r>
      <w:r w:rsidRPr="006E04DF">
        <w:rPr>
          <w:lang w:val="fr-CH"/>
        </w:rPr>
        <w:t>dessus</w:t>
      </w:r>
      <w:r w:rsidRPr="005A037D">
        <w:rPr>
          <w:lang w:val="fr-CH"/>
        </w:rPr>
        <w:t>.</w:t>
      </w:r>
    </w:p>
    <w:p w:rsidR="00194593" w:rsidRPr="00FF35CE" w:rsidRDefault="00194593" w:rsidP="00A17011">
      <w:pPr>
        <w:overflowPunct/>
        <w:autoSpaceDE/>
        <w:autoSpaceDN/>
        <w:adjustRightInd/>
        <w:spacing w:before="0"/>
        <w:textAlignment w:val="auto"/>
        <w:rPr>
          <w:rFonts w:asciiTheme="majorBidi" w:hAnsiTheme="majorBidi" w:cstheme="majorBidi"/>
          <w:szCs w:val="24"/>
        </w:rPr>
      </w:pPr>
      <w:r w:rsidRPr="00FF35CE">
        <w:rPr>
          <w:rFonts w:asciiTheme="majorBidi" w:hAnsiTheme="majorBidi" w:cstheme="majorBidi"/>
          <w:szCs w:val="24"/>
        </w:rPr>
        <w:br w:type="page"/>
      </w:r>
    </w:p>
    <w:p w:rsidR="009E7B76" w:rsidRPr="009E7B76" w:rsidRDefault="009E7B76" w:rsidP="00A17011">
      <w:pPr>
        <w:pStyle w:val="ResNo"/>
        <w:keepNext w:val="0"/>
        <w:keepLines w:val="0"/>
        <w:rPr>
          <w:lang w:val="fr-CH"/>
        </w:rPr>
      </w:pPr>
      <w:bookmarkStart w:id="287" w:name="RES_765"/>
      <w:bookmarkStart w:id="288" w:name="_Toc460331740"/>
      <w:bookmarkStart w:id="289" w:name="_Toc463616197"/>
      <w:bookmarkEnd w:id="285"/>
      <w:r w:rsidRPr="009E7B76">
        <w:rPr>
          <w:lang w:val="fr-CH"/>
        </w:rPr>
        <w:lastRenderedPageBreak/>
        <w:t>R</w:t>
      </w:r>
      <w:r w:rsidR="001D5201" w:rsidRPr="001D5201">
        <w:t>É</w:t>
      </w:r>
      <w:r w:rsidRPr="009E7B76">
        <w:rPr>
          <w:lang w:val="fr-CH"/>
        </w:rPr>
        <w:t xml:space="preserve">SOLUTION 765 </w:t>
      </w:r>
      <w:bookmarkEnd w:id="287"/>
      <w:r w:rsidRPr="009E7B76">
        <w:rPr>
          <w:lang w:val="fr-CH"/>
        </w:rPr>
        <w:t>(</w:t>
      </w:r>
      <w:r w:rsidR="005A2541" w:rsidRPr="00A20F5A">
        <w:t>C</w:t>
      </w:r>
      <w:r w:rsidR="005A2541">
        <w:t>MR</w:t>
      </w:r>
      <w:r w:rsidRPr="009E7B76">
        <w:rPr>
          <w:lang w:val="fr-CH"/>
        </w:rPr>
        <w:t>-15)</w:t>
      </w:r>
      <w:bookmarkEnd w:id="288"/>
      <w:bookmarkEnd w:id="289"/>
    </w:p>
    <w:p w:rsidR="00B45034" w:rsidRPr="00730563" w:rsidRDefault="00B45034" w:rsidP="00A17011">
      <w:pPr>
        <w:pStyle w:val="Restitle"/>
        <w:rPr>
          <w:lang w:val="fr-CH"/>
        </w:rPr>
      </w:pPr>
      <w:bookmarkStart w:id="290" w:name="_Toc450208819"/>
      <w:bookmarkStart w:id="291" w:name="_Toc463616198"/>
      <w:proofErr w:type="spellStart"/>
      <w:r>
        <w:rPr>
          <w:lang w:val="fr-CH"/>
        </w:rPr>
        <w:t>Etablissement</w:t>
      </w:r>
      <w:proofErr w:type="spellEnd"/>
      <w:r w:rsidRPr="00730563">
        <w:rPr>
          <w:lang w:val="fr-CH"/>
        </w:rPr>
        <w:t xml:space="preserve"> de limites de puissance</w:t>
      </w:r>
      <w:r>
        <w:rPr>
          <w:lang w:val="fr-CH"/>
        </w:rPr>
        <w:t xml:space="preserve"> dans la bande pour les stations terriennes fonctionnant</w:t>
      </w:r>
      <w:r w:rsidRPr="00730563">
        <w:rPr>
          <w:lang w:val="fr-CH"/>
        </w:rPr>
        <w:t xml:space="preserve"> dans le service mobile par satellite, le service de météorologie par satellite </w:t>
      </w:r>
      <w:r>
        <w:rPr>
          <w:lang w:val="fr-CH"/>
        </w:rPr>
        <w:t xml:space="preserve">et </w:t>
      </w:r>
      <w:r w:rsidRPr="00730563">
        <w:rPr>
          <w:lang w:val="fr-CH"/>
        </w:rPr>
        <w:t>le service d</w:t>
      </w:r>
      <w:r>
        <w:rPr>
          <w:lang w:val="fr-CH"/>
        </w:rPr>
        <w:t>'</w:t>
      </w:r>
      <w:r w:rsidRPr="00730563">
        <w:rPr>
          <w:lang w:val="fr-CH"/>
        </w:rPr>
        <w:t>exploration de la Terre par satellite dans les bandes de fréquences</w:t>
      </w:r>
      <w:r>
        <w:rPr>
          <w:lang w:val="fr-CH"/>
        </w:rPr>
        <w:t xml:space="preserve"> </w:t>
      </w:r>
      <w:r w:rsidRPr="00730563">
        <w:rPr>
          <w:lang w:val="fr-CH"/>
        </w:rPr>
        <w:t>401</w:t>
      </w:r>
      <w:r>
        <w:rPr>
          <w:lang w:val="fr-CH"/>
        </w:rPr>
        <w:noBreakHyphen/>
      </w:r>
      <w:r w:rsidRPr="00730563">
        <w:rPr>
          <w:lang w:val="fr-CH"/>
        </w:rPr>
        <w:t>403 MHz et 399</w:t>
      </w:r>
      <w:r>
        <w:rPr>
          <w:lang w:val="fr-CH"/>
        </w:rPr>
        <w:t>,</w:t>
      </w:r>
      <w:r w:rsidRPr="00730563">
        <w:rPr>
          <w:lang w:val="fr-CH"/>
        </w:rPr>
        <w:t>9-400</w:t>
      </w:r>
      <w:r>
        <w:rPr>
          <w:lang w:val="fr-CH"/>
        </w:rPr>
        <w:t>,</w:t>
      </w:r>
      <w:r w:rsidRPr="00730563">
        <w:rPr>
          <w:lang w:val="fr-CH"/>
        </w:rPr>
        <w:t>05 MHz</w:t>
      </w:r>
      <w:bookmarkEnd w:id="290"/>
      <w:bookmarkEnd w:id="291"/>
      <w:r>
        <w:rPr>
          <w:lang w:val="fr-CH"/>
        </w:rPr>
        <w:t xml:space="preserve"> </w:t>
      </w:r>
    </w:p>
    <w:p w:rsidR="00B45034" w:rsidRPr="00730563" w:rsidRDefault="00B45034" w:rsidP="00A17011">
      <w:pPr>
        <w:pStyle w:val="Normalaftertitle"/>
        <w:rPr>
          <w:lang w:val="fr-CH"/>
        </w:rPr>
      </w:pPr>
      <w:r w:rsidRPr="00730563">
        <w:rPr>
          <w:lang w:val="fr-CH"/>
        </w:rPr>
        <w:t>La Conférence mondiale des radiocommunications (Genève</w:t>
      </w:r>
      <w:r>
        <w:rPr>
          <w:lang w:val="fr-CH"/>
        </w:rPr>
        <w:t>,</w:t>
      </w:r>
      <w:r w:rsidRPr="00730563">
        <w:rPr>
          <w:lang w:val="fr-CH"/>
        </w:rPr>
        <w:t xml:space="preserve"> 2015),</w:t>
      </w:r>
    </w:p>
    <w:p w:rsidR="00B45034" w:rsidRPr="00730563" w:rsidRDefault="00B45034" w:rsidP="00A17011">
      <w:pPr>
        <w:pStyle w:val="Call"/>
        <w:rPr>
          <w:lang w:val="fr-CH"/>
        </w:rPr>
      </w:pPr>
      <w:r w:rsidRPr="00730563">
        <w:rPr>
          <w:lang w:val="fr-CH"/>
        </w:rPr>
        <w:t xml:space="preserve">considérant </w:t>
      </w:r>
    </w:p>
    <w:p w:rsidR="00B45034" w:rsidRPr="00730563" w:rsidRDefault="00B45034" w:rsidP="00A17011">
      <w:pPr>
        <w:jc w:val="both"/>
        <w:rPr>
          <w:lang w:val="fr-CH"/>
        </w:rPr>
      </w:pPr>
      <w:r w:rsidRPr="00C07A4D">
        <w:rPr>
          <w:i/>
          <w:iCs/>
          <w:lang w:val="fr-CH"/>
        </w:rPr>
        <w:t>a)</w:t>
      </w:r>
      <w:r w:rsidRPr="00730563">
        <w:rPr>
          <w:lang w:val="fr-CH"/>
        </w:rPr>
        <w:tab/>
        <w:t>que les systèmes du service d</w:t>
      </w:r>
      <w:r>
        <w:rPr>
          <w:lang w:val="fr-CH"/>
        </w:rPr>
        <w:t>'</w:t>
      </w:r>
      <w:r w:rsidRPr="00730563">
        <w:rPr>
          <w:lang w:val="fr-CH"/>
        </w:rPr>
        <w:t>exploration de la Terre par satellite (SETS</w:t>
      </w:r>
      <w:r>
        <w:rPr>
          <w:lang w:val="fr-CH"/>
        </w:rPr>
        <w:t>) (Terre vers espace) et du service </w:t>
      </w:r>
      <w:r w:rsidRPr="00730563">
        <w:rPr>
          <w:lang w:val="fr-CH"/>
        </w:rPr>
        <w:t>de météor</w:t>
      </w:r>
      <w:r>
        <w:rPr>
          <w:lang w:val="fr-CH"/>
        </w:rPr>
        <w:t>ologie par satellite (</w:t>
      </w:r>
      <w:proofErr w:type="spellStart"/>
      <w:r>
        <w:rPr>
          <w:lang w:val="fr-CH"/>
        </w:rPr>
        <w:t>MetSat</w:t>
      </w:r>
      <w:proofErr w:type="spellEnd"/>
      <w:r>
        <w:rPr>
          <w:lang w:val="fr-CH"/>
        </w:rPr>
        <w:t>) (</w:t>
      </w:r>
      <w:r w:rsidRPr="00730563">
        <w:rPr>
          <w:lang w:val="fr-CH"/>
        </w:rPr>
        <w:t>Terre vers espace</w:t>
      </w:r>
      <w:r>
        <w:rPr>
          <w:lang w:val="fr-CH"/>
        </w:rPr>
        <w:t xml:space="preserve">) </w:t>
      </w:r>
      <w:r w:rsidRPr="00730563">
        <w:rPr>
          <w:lang w:val="fr-CH"/>
        </w:rPr>
        <w:t>déployés dans la bande de fréquences</w:t>
      </w:r>
      <w:r>
        <w:rPr>
          <w:lang w:val="fr-CH"/>
        </w:rPr>
        <w:t xml:space="preserve"> </w:t>
      </w:r>
      <w:r w:rsidRPr="00730563">
        <w:rPr>
          <w:lang w:val="fr-CH"/>
        </w:rPr>
        <w:t>401-403 MHz</w:t>
      </w:r>
      <w:r>
        <w:rPr>
          <w:lang w:val="fr-CH"/>
        </w:rPr>
        <w:t>,</w:t>
      </w:r>
      <w:r w:rsidRPr="00730563">
        <w:rPr>
          <w:lang w:val="fr-CH"/>
        </w:rPr>
        <w:t xml:space="preserve"> et du service mobile par satellite (SMS</w:t>
      </w:r>
      <w:r>
        <w:rPr>
          <w:lang w:val="fr-CH"/>
        </w:rPr>
        <w:t xml:space="preserve">) </w:t>
      </w:r>
      <w:r w:rsidRPr="00730563">
        <w:rPr>
          <w:lang w:val="fr-CH"/>
        </w:rPr>
        <w:t>(Terre vers espace</w:t>
      </w:r>
      <w:r>
        <w:rPr>
          <w:lang w:val="fr-CH"/>
        </w:rPr>
        <w:t xml:space="preserve">) </w:t>
      </w:r>
      <w:r w:rsidRPr="00730563">
        <w:rPr>
          <w:lang w:val="fr-CH"/>
        </w:rPr>
        <w:t>dans la bande de fréquences 399</w:t>
      </w:r>
      <w:r>
        <w:rPr>
          <w:lang w:val="fr-CH"/>
        </w:rPr>
        <w:t>,</w:t>
      </w:r>
      <w:r w:rsidRPr="00730563">
        <w:rPr>
          <w:lang w:val="fr-CH"/>
        </w:rPr>
        <w:t>9-400</w:t>
      </w:r>
      <w:r>
        <w:rPr>
          <w:lang w:val="fr-CH"/>
        </w:rPr>
        <w:t>,</w:t>
      </w:r>
      <w:r w:rsidRPr="00730563">
        <w:rPr>
          <w:lang w:val="fr-CH"/>
        </w:rPr>
        <w:t xml:space="preserve">05 MHz, sont actuellement utilisés </w:t>
      </w:r>
      <w:r>
        <w:rPr>
          <w:lang w:val="fr-CH"/>
        </w:rPr>
        <w:t>pour la</w:t>
      </w:r>
      <w:r w:rsidRPr="00730563">
        <w:rPr>
          <w:lang w:val="fr-CH"/>
        </w:rPr>
        <w:t xml:space="preserve"> collecte de données</w:t>
      </w:r>
      <w:r>
        <w:rPr>
          <w:lang w:val="fr-CH"/>
        </w:rPr>
        <w:t>;</w:t>
      </w:r>
    </w:p>
    <w:p w:rsidR="00B45034" w:rsidRPr="00730563" w:rsidRDefault="00B45034" w:rsidP="00A17011">
      <w:pPr>
        <w:jc w:val="both"/>
        <w:rPr>
          <w:lang w:val="fr-CH"/>
        </w:rPr>
      </w:pPr>
      <w:r w:rsidRPr="00C07A4D">
        <w:rPr>
          <w:i/>
          <w:iCs/>
          <w:lang w:val="fr-CH"/>
        </w:rPr>
        <w:t>b)</w:t>
      </w:r>
      <w:r w:rsidRPr="00730563">
        <w:rPr>
          <w:lang w:val="fr-CH"/>
        </w:rPr>
        <w:tab/>
        <w:t xml:space="preserve">que ces systèmes </w:t>
      </w:r>
      <w:r>
        <w:rPr>
          <w:lang w:val="fr-CH"/>
        </w:rPr>
        <w:t>fonctionnent généralement en utilisant</w:t>
      </w:r>
      <w:r w:rsidRPr="00730563">
        <w:rPr>
          <w:lang w:val="fr-CH"/>
        </w:rPr>
        <w:t xml:space="preserve"> des niveaux de puissance faibles à modérés</w:t>
      </w:r>
      <w:r>
        <w:rPr>
          <w:lang w:val="fr-CH"/>
        </w:rPr>
        <w:t>;</w:t>
      </w:r>
    </w:p>
    <w:p w:rsidR="00B45034" w:rsidRPr="00730563" w:rsidRDefault="00B45034" w:rsidP="00A17011">
      <w:pPr>
        <w:jc w:val="both"/>
        <w:rPr>
          <w:lang w:val="fr-CH"/>
        </w:rPr>
      </w:pPr>
      <w:r w:rsidRPr="00C07A4D">
        <w:rPr>
          <w:i/>
          <w:iCs/>
          <w:lang w:val="fr-CH"/>
        </w:rPr>
        <w:t>c)</w:t>
      </w:r>
      <w:r w:rsidRPr="00730563">
        <w:rPr>
          <w:lang w:val="fr-CH"/>
        </w:rPr>
        <w:tab/>
        <w:t xml:space="preserve">que </w:t>
      </w:r>
      <w:r>
        <w:rPr>
          <w:lang w:val="fr-CH"/>
        </w:rPr>
        <w:t>la Recommandation UIT-R SA.2045 donne des renseignements sur l</w:t>
      </w:r>
      <w:r w:rsidRPr="007F519E">
        <w:rPr>
          <w:lang w:val="fr-CH"/>
        </w:rPr>
        <w:t>es critères de qualité de fonctionnement et de brouillage applicables aux systèmes de collecte de données (DCS)</w:t>
      </w:r>
      <w:r>
        <w:rPr>
          <w:lang w:val="fr-CH"/>
        </w:rPr>
        <w:t xml:space="preserve"> sur l'orbite des satellites géostationnaires</w:t>
      </w:r>
      <w:r w:rsidRPr="007F519E">
        <w:rPr>
          <w:lang w:val="fr-CH"/>
        </w:rPr>
        <w:t xml:space="preserve"> </w:t>
      </w:r>
      <w:r>
        <w:rPr>
          <w:lang w:val="fr-CH"/>
        </w:rPr>
        <w:t>(OSG) et sur l'orbite des satellites non géostationnaires (</w:t>
      </w:r>
      <w:r w:rsidRPr="007F519E">
        <w:rPr>
          <w:lang w:val="fr-CH"/>
        </w:rPr>
        <w:t>non OSG</w:t>
      </w:r>
      <w:r>
        <w:rPr>
          <w:lang w:val="fr-CH"/>
        </w:rPr>
        <w:t>)</w:t>
      </w:r>
      <w:r w:rsidRPr="007F519E">
        <w:rPr>
          <w:lang w:val="fr-CH"/>
        </w:rPr>
        <w:t xml:space="preserve"> </w:t>
      </w:r>
      <w:r>
        <w:rPr>
          <w:lang w:val="fr-CH"/>
        </w:rPr>
        <w:t xml:space="preserve">concernés </w:t>
      </w:r>
      <w:r w:rsidRPr="007F519E">
        <w:rPr>
          <w:lang w:val="fr-CH"/>
        </w:rPr>
        <w:t xml:space="preserve">dans la bande </w:t>
      </w:r>
      <w:r>
        <w:rPr>
          <w:lang w:val="fr-CH"/>
        </w:rPr>
        <w:t>de fréquences</w:t>
      </w:r>
      <w:r w:rsidRPr="007F519E">
        <w:rPr>
          <w:lang w:val="fr-CH"/>
        </w:rPr>
        <w:t xml:space="preserve"> 401-403 MHz</w:t>
      </w:r>
      <w:r>
        <w:rPr>
          <w:lang w:val="fr-CH"/>
        </w:rPr>
        <w:t>;</w:t>
      </w:r>
    </w:p>
    <w:p w:rsidR="00B45034" w:rsidRDefault="00B45034" w:rsidP="00A17011">
      <w:pPr>
        <w:jc w:val="both"/>
        <w:rPr>
          <w:lang w:val="fr-CH"/>
        </w:rPr>
      </w:pPr>
      <w:r w:rsidRPr="00C07A4D">
        <w:rPr>
          <w:i/>
          <w:iCs/>
          <w:lang w:val="fr-CH"/>
        </w:rPr>
        <w:t>d)</w:t>
      </w:r>
      <w:r w:rsidRPr="00730563">
        <w:rPr>
          <w:lang w:val="fr-CH"/>
        </w:rPr>
        <w:tab/>
      </w:r>
      <w:r>
        <w:rPr>
          <w:lang w:val="fr-CH"/>
        </w:rPr>
        <w:t xml:space="preserve">que la Recommandation UIT-R SA.2044 </w:t>
      </w:r>
      <w:r w:rsidRPr="002938E1">
        <w:rPr>
          <w:lang w:val="fr-CH"/>
        </w:rPr>
        <w:t>donne des renseignements sur l</w:t>
      </w:r>
      <w:r>
        <w:rPr>
          <w:lang w:val="fr-CH"/>
        </w:rPr>
        <w:t>'</w:t>
      </w:r>
      <w:r w:rsidRPr="002938E1">
        <w:rPr>
          <w:lang w:val="fr-CH"/>
        </w:rPr>
        <w:t xml:space="preserve">utilisation actuelle et future des systèmes DCS non OSG dans la bande </w:t>
      </w:r>
      <w:r>
        <w:rPr>
          <w:lang w:val="fr-CH"/>
        </w:rPr>
        <w:t>de fréquences</w:t>
      </w:r>
      <w:r w:rsidRPr="002938E1">
        <w:rPr>
          <w:lang w:val="fr-CH"/>
        </w:rPr>
        <w:t xml:space="preserve"> 401-403 MHz et </w:t>
      </w:r>
      <w:r>
        <w:rPr>
          <w:lang w:val="fr-CH"/>
        </w:rPr>
        <w:t xml:space="preserve">sur </w:t>
      </w:r>
      <w:r w:rsidRPr="002938E1">
        <w:rPr>
          <w:lang w:val="fr-CH"/>
        </w:rPr>
        <w:t xml:space="preserve">la subdivision de cette bande </w:t>
      </w:r>
      <w:r>
        <w:rPr>
          <w:lang w:val="fr-CH"/>
        </w:rPr>
        <w:t>de fréquences</w:t>
      </w:r>
      <w:r w:rsidRPr="002938E1">
        <w:rPr>
          <w:lang w:val="fr-CH"/>
        </w:rPr>
        <w:t xml:space="preserve"> pour permettre à tous ces systèmes </w:t>
      </w:r>
      <w:r>
        <w:rPr>
          <w:lang w:val="fr-CH"/>
        </w:rPr>
        <w:t xml:space="preserve">DCS d'accéder de façon équitable </w:t>
      </w:r>
      <w:r w:rsidRPr="002938E1">
        <w:rPr>
          <w:lang w:val="fr-CH"/>
        </w:rPr>
        <w:t>au spectre</w:t>
      </w:r>
      <w:r>
        <w:rPr>
          <w:lang w:val="fr-CH"/>
        </w:rPr>
        <w:t>;</w:t>
      </w:r>
    </w:p>
    <w:p w:rsidR="00B45034" w:rsidRDefault="00B45034" w:rsidP="00A17011">
      <w:pPr>
        <w:jc w:val="both"/>
        <w:rPr>
          <w:lang w:val="fr-CH"/>
        </w:rPr>
      </w:pPr>
      <w:r>
        <w:rPr>
          <w:i/>
          <w:iCs/>
          <w:lang w:val="fr-CH"/>
        </w:rPr>
        <w:t>e</w:t>
      </w:r>
      <w:r w:rsidRPr="00C07A4D">
        <w:rPr>
          <w:i/>
          <w:iCs/>
          <w:lang w:val="fr-CH"/>
        </w:rPr>
        <w:t>)</w:t>
      </w:r>
      <w:r w:rsidRPr="00730563">
        <w:rPr>
          <w:lang w:val="fr-CH"/>
        </w:rPr>
        <w:tab/>
      </w:r>
      <w:r>
        <w:rPr>
          <w:lang w:val="fr-CH"/>
        </w:rPr>
        <w:t xml:space="preserve">que la Recommandation UIT-R M.2046 </w:t>
      </w:r>
      <w:r w:rsidRPr="00A71FE3">
        <w:rPr>
          <w:lang w:val="fr-CH"/>
        </w:rPr>
        <w:t xml:space="preserve">décrit un système du </w:t>
      </w:r>
      <w:r>
        <w:rPr>
          <w:lang w:val="fr-CH"/>
        </w:rPr>
        <w:t>SMS</w:t>
      </w:r>
      <w:r w:rsidRPr="00A71FE3">
        <w:rPr>
          <w:lang w:val="fr-CH"/>
        </w:rPr>
        <w:t xml:space="preserve"> qui utilise la bande</w:t>
      </w:r>
      <w:r w:rsidRPr="00D14245">
        <w:rPr>
          <w:lang w:val="fr-CH"/>
        </w:rPr>
        <w:t xml:space="preserve"> </w:t>
      </w:r>
      <w:r>
        <w:rPr>
          <w:lang w:val="fr-CH"/>
        </w:rPr>
        <w:t>de fréquences </w:t>
      </w:r>
      <w:r w:rsidRPr="00A71FE3">
        <w:rPr>
          <w:lang w:val="fr-CH"/>
        </w:rPr>
        <w:t xml:space="preserve">399,9-400,05 MHz (Terre vers espace), et </w:t>
      </w:r>
      <w:r>
        <w:rPr>
          <w:lang w:val="fr-CH"/>
        </w:rPr>
        <w:t>indique</w:t>
      </w:r>
      <w:r w:rsidRPr="00A71FE3">
        <w:rPr>
          <w:lang w:val="fr-CH"/>
        </w:rPr>
        <w:t xml:space="preserve"> les critères de protection de ce système contre le bruit large bande et le brouillage à bande étroite</w:t>
      </w:r>
      <w:r>
        <w:rPr>
          <w:lang w:val="fr-CH"/>
        </w:rPr>
        <w:t>;</w:t>
      </w:r>
    </w:p>
    <w:p w:rsidR="00B45034" w:rsidRPr="00730563" w:rsidRDefault="00B45034" w:rsidP="00A17011">
      <w:pPr>
        <w:jc w:val="both"/>
        <w:rPr>
          <w:lang w:val="fr-CH"/>
        </w:rPr>
      </w:pPr>
      <w:r>
        <w:rPr>
          <w:i/>
          <w:iCs/>
          <w:lang w:val="fr-CH"/>
        </w:rPr>
        <w:t>f</w:t>
      </w:r>
      <w:r w:rsidRPr="00C07A4D">
        <w:rPr>
          <w:i/>
          <w:iCs/>
          <w:lang w:val="fr-CH"/>
        </w:rPr>
        <w:t>)</w:t>
      </w:r>
      <w:r w:rsidRPr="00730563">
        <w:rPr>
          <w:lang w:val="fr-CH"/>
        </w:rPr>
        <w:tab/>
        <w:t>que ces systèmes</w:t>
      </w:r>
      <w:r>
        <w:rPr>
          <w:lang w:val="fr-CH"/>
        </w:rPr>
        <w:t xml:space="preserve"> du SETS, du service </w:t>
      </w:r>
      <w:proofErr w:type="spellStart"/>
      <w:r>
        <w:rPr>
          <w:lang w:val="fr-CH"/>
        </w:rPr>
        <w:t>MetSat</w:t>
      </w:r>
      <w:proofErr w:type="spellEnd"/>
      <w:r>
        <w:rPr>
          <w:lang w:val="fr-CH"/>
        </w:rPr>
        <w:t xml:space="preserve"> et du SMS</w:t>
      </w:r>
      <w:r w:rsidRPr="00730563">
        <w:rPr>
          <w:lang w:val="fr-CH"/>
        </w:rPr>
        <w:t xml:space="preserve"> sont essentiels pour </w:t>
      </w:r>
      <w:r>
        <w:rPr>
          <w:lang w:val="fr-CH"/>
        </w:rPr>
        <w:t>la surveillance et la prévision des</w:t>
      </w:r>
      <w:r w:rsidRPr="00730563">
        <w:rPr>
          <w:lang w:val="fr-CH"/>
        </w:rPr>
        <w:t xml:space="preserve"> changements climatiques, la surveillance des océans, </w:t>
      </w:r>
      <w:r>
        <w:rPr>
          <w:lang w:val="fr-CH"/>
        </w:rPr>
        <w:t>des conditions</w:t>
      </w:r>
      <w:r w:rsidRPr="00730563">
        <w:rPr>
          <w:lang w:val="fr-CH"/>
        </w:rPr>
        <w:t xml:space="preserve"> météorologiques et </w:t>
      </w:r>
      <w:r>
        <w:rPr>
          <w:lang w:val="fr-CH"/>
        </w:rPr>
        <w:t>des</w:t>
      </w:r>
      <w:r w:rsidRPr="00730563">
        <w:rPr>
          <w:lang w:val="fr-CH"/>
        </w:rPr>
        <w:t xml:space="preserve"> ressources en eau,</w:t>
      </w:r>
      <w:r>
        <w:rPr>
          <w:lang w:val="fr-CH"/>
        </w:rPr>
        <w:t xml:space="preserve"> les prévisions météorologiques et la fourniture d'une assistance pour</w:t>
      </w:r>
      <w:r w:rsidRPr="00730563">
        <w:rPr>
          <w:lang w:val="fr-CH"/>
        </w:rPr>
        <w:t xml:space="preserve"> la protection de la biodiversité et l</w:t>
      </w:r>
      <w:r>
        <w:rPr>
          <w:lang w:val="fr-CH"/>
        </w:rPr>
        <w:t>'</w:t>
      </w:r>
      <w:r w:rsidRPr="00730563">
        <w:rPr>
          <w:lang w:val="fr-CH"/>
        </w:rPr>
        <w:t>amélioration de la sécurité maritime</w:t>
      </w:r>
      <w:r>
        <w:rPr>
          <w:lang w:val="fr-CH"/>
        </w:rPr>
        <w:t>;</w:t>
      </w:r>
    </w:p>
    <w:p w:rsidR="00B45034" w:rsidRPr="00730563" w:rsidRDefault="00B45034" w:rsidP="00A17011">
      <w:pPr>
        <w:jc w:val="both"/>
        <w:rPr>
          <w:lang w:val="fr-CH"/>
        </w:rPr>
      </w:pPr>
      <w:r>
        <w:rPr>
          <w:i/>
          <w:iCs/>
          <w:lang w:val="fr-CH"/>
        </w:rPr>
        <w:t>g</w:t>
      </w:r>
      <w:r w:rsidRPr="00C07A4D">
        <w:rPr>
          <w:i/>
          <w:iCs/>
          <w:lang w:val="fr-CH"/>
        </w:rPr>
        <w:t>)</w:t>
      </w:r>
      <w:r w:rsidRPr="00730563">
        <w:rPr>
          <w:lang w:val="fr-CH"/>
        </w:rPr>
        <w:tab/>
      </w:r>
      <w:r>
        <w:rPr>
          <w:lang w:val="fr-CH"/>
        </w:rPr>
        <w:t>qu'il est prévu qu'un nombre croissant de</w:t>
      </w:r>
      <w:r w:rsidRPr="00730563">
        <w:rPr>
          <w:lang w:val="fr-CH"/>
        </w:rPr>
        <w:t xml:space="preserve"> </w:t>
      </w:r>
      <w:r>
        <w:rPr>
          <w:color w:val="000000"/>
        </w:rPr>
        <w:t xml:space="preserve">satellites utilisent ces bandes de fréquences essentiellement pour la télécommande (voir le numéro </w:t>
      </w:r>
      <w:r>
        <w:rPr>
          <w:b/>
          <w:bCs/>
          <w:color w:val="000000"/>
        </w:rPr>
        <w:t>1.135</w:t>
      </w:r>
      <w:r>
        <w:rPr>
          <w:color w:val="000000"/>
        </w:rPr>
        <w:t>) (Terre vers espace), dans le cadre d'attributions du SETS, du service</w:t>
      </w:r>
      <w:r w:rsidRPr="00730563">
        <w:rPr>
          <w:lang w:val="fr-CH"/>
        </w:rPr>
        <w:t xml:space="preserve"> </w:t>
      </w:r>
      <w:proofErr w:type="spellStart"/>
      <w:r w:rsidRPr="00730563">
        <w:rPr>
          <w:lang w:val="fr-CH"/>
        </w:rPr>
        <w:t>MetSat</w:t>
      </w:r>
      <w:proofErr w:type="spellEnd"/>
      <w:r w:rsidRPr="00730563">
        <w:rPr>
          <w:lang w:val="fr-CH"/>
        </w:rPr>
        <w:t xml:space="preserve"> ou du SMS</w:t>
      </w:r>
      <w:r>
        <w:rPr>
          <w:color w:val="000000"/>
        </w:rPr>
        <w:t>,</w:t>
      </w:r>
    </w:p>
    <w:p w:rsidR="00B45034" w:rsidRPr="00730563" w:rsidRDefault="00B45034" w:rsidP="00A17011">
      <w:pPr>
        <w:pStyle w:val="Call"/>
        <w:jc w:val="both"/>
        <w:rPr>
          <w:lang w:val="fr-CH"/>
        </w:rPr>
      </w:pPr>
      <w:r w:rsidRPr="00730563">
        <w:rPr>
          <w:lang w:val="fr-CH"/>
        </w:rPr>
        <w:t>considérant</w:t>
      </w:r>
      <w:r>
        <w:rPr>
          <w:lang w:val="fr-CH"/>
        </w:rPr>
        <w:t xml:space="preserve"> </w:t>
      </w:r>
      <w:r w:rsidRPr="00730563">
        <w:rPr>
          <w:lang w:val="fr-CH"/>
        </w:rPr>
        <w:t>en outre</w:t>
      </w:r>
    </w:p>
    <w:p w:rsidR="00B45034" w:rsidRPr="00730563" w:rsidRDefault="00B45034" w:rsidP="00A17011">
      <w:pPr>
        <w:jc w:val="both"/>
        <w:rPr>
          <w:lang w:val="fr-CH"/>
        </w:rPr>
      </w:pPr>
      <w:r w:rsidRPr="00C07A4D">
        <w:rPr>
          <w:i/>
          <w:iCs/>
          <w:lang w:val="fr-CH"/>
        </w:rPr>
        <w:t>a)</w:t>
      </w:r>
      <w:r w:rsidRPr="00730563">
        <w:rPr>
          <w:lang w:val="fr-CH"/>
        </w:rPr>
        <w:tab/>
        <w:t>que les niveaux</w:t>
      </w:r>
      <w:r>
        <w:rPr>
          <w:lang w:val="fr-CH"/>
        </w:rPr>
        <w:t xml:space="preserve"> </w:t>
      </w:r>
      <w:r>
        <w:rPr>
          <w:color w:val="000000"/>
        </w:rPr>
        <w:t xml:space="preserve">de puissance de sortie des stations terriennes visées au point </w:t>
      </w:r>
      <w:r>
        <w:rPr>
          <w:i/>
          <w:iCs/>
          <w:lang w:val="fr-CH"/>
        </w:rPr>
        <w:t>g</w:t>
      </w:r>
      <w:r w:rsidRPr="00C07A4D">
        <w:rPr>
          <w:i/>
          <w:iCs/>
          <w:lang w:val="fr-CH"/>
        </w:rPr>
        <w:t>)</w:t>
      </w:r>
      <w:r>
        <w:rPr>
          <w:lang w:val="fr-CH"/>
        </w:rPr>
        <w:t xml:space="preserve"> </w:t>
      </w:r>
      <w:r>
        <w:rPr>
          <w:color w:val="000000"/>
        </w:rPr>
        <w:t xml:space="preserve">du </w:t>
      </w:r>
      <w:r w:rsidRPr="00C07A4D">
        <w:rPr>
          <w:i/>
          <w:iCs/>
          <w:color w:val="000000"/>
        </w:rPr>
        <w:t>considérant</w:t>
      </w:r>
      <w:r>
        <w:rPr>
          <w:color w:val="000000"/>
        </w:rPr>
        <w:t>,</w:t>
      </w:r>
      <w:r>
        <w:rPr>
          <w:lang w:val="fr-CH"/>
        </w:rPr>
        <w:t xml:space="preserve"> </w:t>
      </w:r>
      <w:r>
        <w:rPr>
          <w:color w:val="000000"/>
        </w:rPr>
        <w:t xml:space="preserve">à la borne de l'antenne de ces liaisons de télécommande (Terre vers espace), peuvent être nettement supérieurs aux niveaux de puissance faibles à modérés généralement utilisés </w:t>
      </w:r>
      <w:r>
        <w:rPr>
          <w:lang w:val="fr-CH"/>
        </w:rPr>
        <w:t xml:space="preserve">pour l'exploitation des liaisons de service des systèmes du </w:t>
      </w:r>
      <w:r w:rsidRPr="00730563">
        <w:rPr>
          <w:lang w:val="fr-CH"/>
        </w:rPr>
        <w:t>SETS</w:t>
      </w:r>
      <w:r>
        <w:rPr>
          <w:lang w:val="fr-CH"/>
        </w:rPr>
        <w:t xml:space="preserve">, du service </w:t>
      </w:r>
      <w:proofErr w:type="spellStart"/>
      <w:r w:rsidRPr="00730563">
        <w:rPr>
          <w:lang w:val="fr-CH"/>
        </w:rPr>
        <w:t>MetSat</w:t>
      </w:r>
      <w:proofErr w:type="spellEnd"/>
      <w:r w:rsidRPr="00730563">
        <w:rPr>
          <w:lang w:val="fr-CH"/>
        </w:rPr>
        <w:t xml:space="preserve"> ou</w:t>
      </w:r>
      <w:r>
        <w:rPr>
          <w:lang w:val="fr-CH"/>
        </w:rPr>
        <w:t xml:space="preserve"> du </w:t>
      </w:r>
      <w:r w:rsidRPr="00730563">
        <w:rPr>
          <w:lang w:val="fr-CH"/>
        </w:rPr>
        <w:t>SMS</w:t>
      </w:r>
      <w:r>
        <w:rPr>
          <w:lang w:val="fr-CH"/>
        </w:rPr>
        <w:t>,</w:t>
      </w:r>
      <w:r w:rsidRPr="00730563">
        <w:rPr>
          <w:lang w:val="fr-CH"/>
        </w:rPr>
        <w:t xml:space="preserve"> dans les bandes de fréquences</w:t>
      </w:r>
      <w:r>
        <w:rPr>
          <w:lang w:val="fr-CH"/>
        </w:rPr>
        <w:t xml:space="preserve"> </w:t>
      </w:r>
      <w:r w:rsidRPr="00730563">
        <w:rPr>
          <w:lang w:val="fr-CH"/>
        </w:rPr>
        <w:t>401-403 MHz</w:t>
      </w:r>
      <w:r>
        <w:rPr>
          <w:lang w:val="fr-CH"/>
        </w:rPr>
        <w:t xml:space="preserve"> </w:t>
      </w:r>
      <w:r w:rsidRPr="00730563">
        <w:rPr>
          <w:lang w:val="fr-CH"/>
        </w:rPr>
        <w:t>et</w:t>
      </w:r>
      <w:r>
        <w:rPr>
          <w:lang w:val="fr-CH"/>
        </w:rPr>
        <w:t xml:space="preserve"> </w:t>
      </w:r>
      <w:r w:rsidRPr="00730563">
        <w:rPr>
          <w:lang w:val="fr-CH"/>
        </w:rPr>
        <w:t>399</w:t>
      </w:r>
      <w:r>
        <w:rPr>
          <w:lang w:val="fr-CH"/>
        </w:rPr>
        <w:t>,</w:t>
      </w:r>
      <w:r w:rsidRPr="00730563">
        <w:rPr>
          <w:lang w:val="fr-CH"/>
        </w:rPr>
        <w:t>9-400</w:t>
      </w:r>
      <w:r>
        <w:rPr>
          <w:lang w:val="fr-CH"/>
        </w:rPr>
        <w:t>,</w:t>
      </w:r>
      <w:r w:rsidRPr="00730563">
        <w:rPr>
          <w:lang w:val="fr-CH"/>
        </w:rPr>
        <w:t>05</w:t>
      </w:r>
      <w:r>
        <w:rPr>
          <w:lang w:val="fr-CH"/>
        </w:rPr>
        <w:t> </w:t>
      </w:r>
      <w:r w:rsidRPr="00730563">
        <w:rPr>
          <w:lang w:val="fr-CH"/>
        </w:rPr>
        <w:t>MHz</w:t>
      </w:r>
      <w:r w:rsidRPr="006E73F4">
        <w:rPr>
          <w:lang w:val="fr-CH"/>
        </w:rPr>
        <w:t xml:space="preserve"> </w:t>
      </w:r>
      <w:r>
        <w:rPr>
          <w:lang w:val="fr-CH"/>
        </w:rPr>
        <w:t>visées</w:t>
      </w:r>
      <w:r w:rsidRPr="00730563">
        <w:rPr>
          <w:lang w:val="fr-CH"/>
        </w:rPr>
        <w:t xml:space="preserve"> au point </w:t>
      </w:r>
      <w:r w:rsidRPr="00C07A4D">
        <w:rPr>
          <w:i/>
          <w:iCs/>
          <w:lang w:val="fr-CH"/>
        </w:rPr>
        <w:t>a)</w:t>
      </w:r>
      <w:r>
        <w:rPr>
          <w:lang w:val="fr-CH"/>
        </w:rPr>
        <w:t xml:space="preserve"> </w:t>
      </w:r>
      <w:r w:rsidRPr="00730563">
        <w:rPr>
          <w:lang w:val="fr-CH"/>
        </w:rPr>
        <w:t xml:space="preserve">du </w:t>
      </w:r>
      <w:r w:rsidRPr="00C07A4D">
        <w:rPr>
          <w:i/>
          <w:iCs/>
          <w:lang w:val="fr-CH"/>
        </w:rPr>
        <w:t>considérant</w:t>
      </w:r>
      <w:r w:rsidRPr="00730563">
        <w:rPr>
          <w:lang w:val="fr-CH"/>
        </w:rPr>
        <w:t>;</w:t>
      </w:r>
    </w:p>
    <w:p w:rsidR="00B45034" w:rsidRPr="00730563" w:rsidRDefault="00B45034" w:rsidP="00A17011">
      <w:pPr>
        <w:jc w:val="both"/>
        <w:rPr>
          <w:lang w:val="fr-CH"/>
        </w:rPr>
      </w:pPr>
      <w:r w:rsidRPr="00C07A4D">
        <w:rPr>
          <w:i/>
          <w:iCs/>
          <w:lang w:val="fr-CH"/>
        </w:rPr>
        <w:t>b)</w:t>
      </w:r>
      <w:r w:rsidRPr="00730563">
        <w:rPr>
          <w:lang w:val="fr-CH"/>
        </w:rPr>
        <w:tab/>
        <w:t>que, conformément aux Recommandations</w:t>
      </w:r>
      <w:r>
        <w:rPr>
          <w:lang w:val="fr-CH"/>
        </w:rPr>
        <w:t xml:space="preserve"> du Secteur des radiocommunications</w:t>
      </w:r>
      <w:r w:rsidRPr="00730563">
        <w:rPr>
          <w:lang w:val="fr-CH"/>
        </w:rPr>
        <w:t xml:space="preserve"> de l</w:t>
      </w:r>
      <w:r>
        <w:rPr>
          <w:lang w:val="fr-CH"/>
        </w:rPr>
        <w:t>'</w:t>
      </w:r>
      <w:r w:rsidRPr="00730563">
        <w:rPr>
          <w:lang w:val="fr-CH"/>
        </w:rPr>
        <w:t>UIT</w:t>
      </w:r>
      <w:r>
        <w:rPr>
          <w:lang w:val="fr-CH"/>
        </w:rPr>
        <w:t xml:space="preserve"> (UIT-R) visées aux points </w:t>
      </w:r>
      <w:r>
        <w:rPr>
          <w:i/>
          <w:iCs/>
          <w:lang w:val="fr-CH"/>
        </w:rPr>
        <w:t>c)</w:t>
      </w:r>
      <w:r>
        <w:rPr>
          <w:lang w:val="fr-CH"/>
        </w:rPr>
        <w:t xml:space="preserve">, </w:t>
      </w:r>
      <w:r>
        <w:rPr>
          <w:i/>
          <w:iCs/>
          <w:lang w:val="fr-CH"/>
        </w:rPr>
        <w:t>d)</w:t>
      </w:r>
      <w:r>
        <w:rPr>
          <w:lang w:val="fr-CH"/>
        </w:rPr>
        <w:t xml:space="preserve"> et </w:t>
      </w:r>
      <w:r>
        <w:rPr>
          <w:i/>
          <w:iCs/>
          <w:lang w:val="fr-CH"/>
        </w:rPr>
        <w:t>e)</w:t>
      </w:r>
      <w:r>
        <w:rPr>
          <w:lang w:val="fr-CH"/>
        </w:rPr>
        <w:t xml:space="preserve"> du </w:t>
      </w:r>
      <w:r>
        <w:rPr>
          <w:i/>
          <w:iCs/>
          <w:lang w:val="fr-CH"/>
        </w:rPr>
        <w:t>considérant</w:t>
      </w:r>
      <w:r w:rsidRPr="00730563">
        <w:rPr>
          <w:lang w:val="fr-CH"/>
        </w:rPr>
        <w:t xml:space="preserve">, </w:t>
      </w:r>
      <w:r>
        <w:rPr>
          <w:lang w:val="fr-CH"/>
        </w:rPr>
        <w:t>les</w:t>
      </w:r>
      <w:r w:rsidRPr="00730563">
        <w:rPr>
          <w:lang w:val="fr-CH"/>
        </w:rPr>
        <w:t xml:space="preserve"> bandes de fréquences 401-</w:t>
      </w:r>
      <w:r w:rsidRPr="00730563">
        <w:rPr>
          <w:lang w:val="fr-CH"/>
        </w:rPr>
        <w:lastRenderedPageBreak/>
        <w:t xml:space="preserve">403 MHz </w:t>
      </w:r>
      <w:r>
        <w:rPr>
          <w:lang w:val="fr-CH"/>
        </w:rPr>
        <w:t>et</w:t>
      </w:r>
      <w:r w:rsidRPr="00730563">
        <w:rPr>
          <w:lang w:val="fr-CH"/>
        </w:rPr>
        <w:t xml:space="preserve"> 399</w:t>
      </w:r>
      <w:r>
        <w:rPr>
          <w:lang w:val="fr-CH"/>
        </w:rPr>
        <w:t>,</w:t>
      </w:r>
      <w:r w:rsidRPr="00730563">
        <w:rPr>
          <w:lang w:val="fr-CH"/>
        </w:rPr>
        <w:t>9</w:t>
      </w:r>
      <w:r>
        <w:rPr>
          <w:lang w:val="fr-CH"/>
        </w:rPr>
        <w:noBreakHyphen/>
      </w:r>
      <w:r w:rsidRPr="00730563">
        <w:rPr>
          <w:lang w:val="fr-CH"/>
        </w:rPr>
        <w:t>400</w:t>
      </w:r>
      <w:r>
        <w:rPr>
          <w:lang w:val="fr-CH"/>
        </w:rPr>
        <w:t>,</w:t>
      </w:r>
      <w:r w:rsidRPr="00730563">
        <w:rPr>
          <w:lang w:val="fr-CH"/>
        </w:rPr>
        <w:t>05 MHz</w:t>
      </w:r>
      <w:r>
        <w:rPr>
          <w:lang w:val="fr-CH"/>
        </w:rPr>
        <w:t xml:space="preserve"> sont, à l'heure actuelle,</w:t>
      </w:r>
      <w:r w:rsidRPr="001F6864">
        <w:rPr>
          <w:lang w:val="fr-CH"/>
        </w:rPr>
        <w:t xml:space="preserve"> </w:t>
      </w:r>
      <w:r>
        <w:rPr>
          <w:lang w:val="fr-CH"/>
        </w:rPr>
        <w:t>principalement affectées aux</w:t>
      </w:r>
      <w:r w:rsidRPr="001F6864">
        <w:rPr>
          <w:lang w:val="fr-CH"/>
        </w:rPr>
        <w:t xml:space="preserve"> plates-formes de collecte de données</w:t>
      </w:r>
      <w:r>
        <w:rPr>
          <w:lang w:val="fr-CH"/>
        </w:rPr>
        <w:t>;</w:t>
      </w:r>
    </w:p>
    <w:p w:rsidR="00B45034" w:rsidRPr="00730563" w:rsidRDefault="00B45034" w:rsidP="00A17011">
      <w:pPr>
        <w:jc w:val="both"/>
        <w:rPr>
          <w:lang w:val="fr-CH"/>
        </w:rPr>
      </w:pPr>
      <w:r w:rsidRPr="00C07A4D">
        <w:rPr>
          <w:i/>
          <w:iCs/>
          <w:lang w:val="fr-CH"/>
        </w:rPr>
        <w:t>c)</w:t>
      </w:r>
      <w:r w:rsidRPr="00730563">
        <w:rPr>
          <w:lang w:val="fr-CH"/>
        </w:rPr>
        <w:tab/>
      </w:r>
      <w:r>
        <w:rPr>
          <w:lang w:val="fr-CH"/>
        </w:rPr>
        <w:t>que</w:t>
      </w:r>
      <w:r w:rsidRPr="00730563">
        <w:rPr>
          <w:lang w:val="fr-CH"/>
        </w:rPr>
        <w:t xml:space="preserve"> l</w:t>
      </w:r>
      <w:r>
        <w:rPr>
          <w:lang w:val="fr-CH"/>
        </w:rPr>
        <w:t>'</w:t>
      </w:r>
      <w:r w:rsidRPr="00730563">
        <w:rPr>
          <w:lang w:val="fr-CH"/>
        </w:rPr>
        <w:t>exploitation de</w:t>
      </w:r>
      <w:r>
        <w:rPr>
          <w:lang w:val="fr-CH"/>
        </w:rPr>
        <w:t>s</w:t>
      </w:r>
      <w:r w:rsidRPr="00730563">
        <w:rPr>
          <w:lang w:val="fr-CH"/>
        </w:rPr>
        <w:t xml:space="preserve"> liaisons de télécommande</w:t>
      </w:r>
      <w:r>
        <w:rPr>
          <w:lang w:val="fr-CH"/>
        </w:rPr>
        <w:t xml:space="preserve"> visées au point </w:t>
      </w:r>
      <w:r>
        <w:rPr>
          <w:i/>
          <w:iCs/>
          <w:lang w:val="fr-CH"/>
        </w:rPr>
        <w:t>g)</w:t>
      </w:r>
      <w:r>
        <w:rPr>
          <w:lang w:val="fr-CH"/>
        </w:rPr>
        <w:t xml:space="preserve"> du </w:t>
      </w:r>
      <w:r>
        <w:rPr>
          <w:i/>
          <w:iCs/>
          <w:lang w:val="fr-CH"/>
        </w:rPr>
        <w:t>considérant</w:t>
      </w:r>
      <w:r w:rsidRPr="00730563">
        <w:rPr>
          <w:lang w:val="fr-CH"/>
        </w:rPr>
        <w:t xml:space="preserve"> causerait des brouillages préjudiciables aux récepteurs de satellite p</w:t>
      </w:r>
      <w:r>
        <w:rPr>
          <w:lang w:val="fr-CH"/>
        </w:rPr>
        <w:t>lacé</w:t>
      </w:r>
      <w:r w:rsidRPr="00730563">
        <w:rPr>
          <w:lang w:val="fr-CH"/>
        </w:rPr>
        <w:t>s</w:t>
      </w:r>
      <w:r>
        <w:rPr>
          <w:lang w:val="fr-CH"/>
        </w:rPr>
        <w:t xml:space="preserve"> </w:t>
      </w:r>
      <w:r w:rsidRPr="00730563">
        <w:rPr>
          <w:lang w:val="fr-CH"/>
        </w:rPr>
        <w:t xml:space="preserve">à bord des satellites </w:t>
      </w:r>
      <w:r>
        <w:rPr>
          <w:lang w:val="fr-CH"/>
        </w:rPr>
        <w:t>dont il est question</w:t>
      </w:r>
      <w:r w:rsidRPr="00730563">
        <w:rPr>
          <w:lang w:val="fr-CH"/>
        </w:rPr>
        <w:t xml:space="preserve"> au point </w:t>
      </w:r>
      <w:r w:rsidRPr="00C07A4D">
        <w:rPr>
          <w:i/>
          <w:iCs/>
          <w:lang w:val="fr-CH"/>
        </w:rPr>
        <w:t>a)</w:t>
      </w:r>
      <w:r>
        <w:rPr>
          <w:lang w:val="fr-CH"/>
        </w:rPr>
        <w:t xml:space="preserve"> </w:t>
      </w:r>
      <w:r w:rsidRPr="00730563">
        <w:rPr>
          <w:lang w:val="fr-CH"/>
        </w:rPr>
        <w:t xml:space="preserve">du </w:t>
      </w:r>
      <w:r w:rsidRPr="00C07A4D">
        <w:rPr>
          <w:i/>
          <w:iCs/>
          <w:lang w:val="fr-CH"/>
        </w:rPr>
        <w:t>considérant</w:t>
      </w:r>
      <w:r w:rsidRPr="00730563">
        <w:rPr>
          <w:lang w:val="fr-CH"/>
        </w:rPr>
        <w:t>,</w:t>
      </w:r>
    </w:p>
    <w:p w:rsidR="00B45034" w:rsidRDefault="00B45034" w:rsidP="00A17011">
      <w:pPr>
        <w:pStyle w:val="Call"/>
        <w:jc w:val="both"/>
      </w:pPr>
      <w:r>
        <w:t xml:space="preserve">reconnaissant </w:t>
      </w:r>
    </w:p>
    <w:p w:rsidR="00B45034" w:rsidRPr="00730563" w:rsidRDefault="00B45034" w:rsidP="00A17011">
      <w:pPr>
        <w:jc w:val="both"/>
        <w:rPr>
          <w:lang w:val="fr-CH"/>
        </w:rPr>
      </w:pPr>
      <w:r w:rsidRPr="0081024B">
        <w:rPr>
          <w:i/>
          <w:iCs/>
          <w:lang w:val="fr-CH"/>
        </w:rPr>
        <w:t>a)</w:t>
      </w:r>
      <w:r w:rsidRPr="00730563">
        <w:rPr>
          <w:lang w:val="fr-CH"/>
        </w:rPr>
        <w:tab/>
        <w:t>qu</w:t>
      </w:r>
      <w:r>
        <w:rPr>
          <w:lang w:val="fr-CH"/>
        </w:rPr>
        <w:t>'</w:t>
      </w:r>
      <w:r w:rsidRPr="00730563">
        <w:rPr>
          <w:lang w:val="fr-CH"/>
        </w:rPr>
        <w:t xml:space="preserve">il est nécessaire </w:t>
      </w:r>
      <w:r>
        <w:rPr>
          <w:lang w:val="fr-CH"/>
        </w:rPr>
        <w:t xml:space="preserve">de </w:t>
      </w:r>
      <w:r>
        <w:rPr>
          <w:color w:val="000000"/>
        </w:rPr>
        <w:t>disposer d'une réglementation stable et bien établie, afin de pouvoir assurer la continuité à long terme de l'exploitation des systèmes DCS;</w:t>
      </w:r>
    </w:p>
    <w:p w:rsidR="00B45034" w:rsidRPr="00730563" w:rsidRDefault="00B45034" w:rsidP="00A17011">
      <w:pPr>
        <w:jc w:val="both"/>
        <w:rPr>
          <w:lang w:val="fr-CH"/>
        </w:rPr>
      </w:pPr>
      <w:r w:rsidRPr="0081024B">
        <w:rPr>
          <w:i/>
          <w:iCs/>
          <w:lang w:val="fr-CH"/>
        </w:rPr>
        <w:t>b)</w:t>
      </w:r>
      <w:r w:rsidRPr="00730563">
        <w:rPr>
          <w:lang w:val="fr-CH"/>
        </w:rPr>
        <w:tab/>
        <w:t xml:space="preserve">que ces </w:t>
      </w:r>
      <w:r>
        <w:rPr>
          <w:lang w:val="fr-CH"/>
        </w:rPr>
        <w:t>systèmes DCS</w:t>
      </w:r>
      <w:r w:rsidRPr="00730563">
        <w:rPr>
          <w:lang w:val="fr-CH"/>
        </w:rPr>
        <w:t xml:space="preserve"> représentent des efforts et des investissements à long terme</w:t>
      </w:r>
      <w:r>
        <w:rPr>
          <w:lang w:val="fr-CH"/>
        </w:rPr>
        <w:t>;</w:t>
      </w:r>
    </w:p>
    <w:p w:rsidR="00B45034" w:rsidRPr="00730563" w:rsidRDefault="00B45034" w:rsidP="00A17011">
      <w:pPr>
        <w:jc w:val="both"/>
        <w:rPr>
          <w:lang w:val="fr-CH"/>
        </w:rPr>
      </w:pPr>
      <w:r w:rsidRPr="0081024B">
        <w:rPr>
          <w:i/>
          <w:iCs/>
          <w:lang w:val="fr-CH"/>
        </w:rPr>
        <w:t>c)</w:t>
      </w:r>
      <w:r w:rsidRPr="00730563">
        <w:rPr>
          <w:lang w:val="fr-CH"/>
        </w:rPr>
        <w:tab/>
        <w:t>qu</w:t>
      </w:r>
      <w:r>
        <w:rPr>
          <w:lang w:val="fr-CH"/>
        </w:rPr>
        <w:t>'</w:t>
      </w:r>
      <w:r w:rsidRPr="00730563">
        <w:rPr>
          <w:lang w:val="fr-CH"/>
        </w:rPr>
        <w:t>il est nécessaire de garantir l</w:t>
      </w:r>
      <w:r>
        <w:rPr>
          <w:lang w:val="fr-CH"/>
        </w:rPr>
        <w:t>'</w:t>
      </w:r>
      <w:r w:rsidRPr="00730563">
        <w:rPr>
          <w:lang w:val="fr-CH"/>
        </w:rPr>
        <w:t>exploitation des systèmes, actuels et futurs, qui utilisent généralement des niveaux de puissance de sortie faible à modérés pour les systèmes du</w:t>
      </w:r>
      <w:r>
        <w:rPr>
          <w:lang w:val="fr-CH"/>
        </w:rPr>
        <w:t xml:space="preserve"> </w:t>
      </w:r>
      <w:r w:rsidRPr="00730563">
        <w:rPr>
          <w:lang w:val="fr-CH"/>
        </w:rPr>
        <w:t>SETS</w:t>
      </w:r>
      <w:r>
        <w:rPr>
          <w:lang w:val="fr-CH"/>
        </w:rPr>
        <w:t>,</w:t>
      </w:r>
      <w:r w:rsidRPr="00730563">
        <w:rPr>
          <w:lang w:val="fr-CH"/>
        </w:rPr>
        <w:t xml:space="preserve"> du service </w:t>
      </w:r>
      <w:proofErr w:type="spellStart"/>
      <w:r>
        <w:rPr>
          <w:lang w:val="fr-CH"/>
        </w:rPr>
        <w:t>MetSat</w:t>
      </w:r>
      <w:proofErr w:type="spellEnd"/>
      <w:r>
        <w:rPr>
          <w:lang w:val="fr-CH"/>
        </w:rPr>
        <w:t xml:space="preserve"> </w:t>
      </w:r>
      <w:r w:rsidRPr="00730563">
        <w:rPr>
          <w:lang w:val="fr-CH"/>
        </w:rPr>
        <w:t>et du</w:t>
      </w:r>
      <w:r>
        <w:rPr>
          <w:lang w:val="fr-CH"/>
        </w:rPr>
        <w:t xml:space="preserve"> </w:t>
      </w:r>
      <w:r w:rsidRPr="00730563">
        <w:rPr>
          <w:lang w:val="fr-CH"/>
        </w:rPr>
        <w:t>SMS</w:t>
      </w:r>
      <w:r>
        <w:rPr>
          <w:lang w:val="fr-CH"/>
        </w:rPr>
        <w:t xml:space="preserve"> </w:t>
      </w:r>
      <w:r w:rsidRPr="00730563">
        <w:rPr>
          <w:lang w:val="fr-CH"/>
        </w:rPr>
        <w:t xml:space="preserve">visés au point </w:t>
      </w:r>
      <w:r w:rsidRPr="00C07A4D">
        <w:rPr>
          <w:i/>
          <w:iCs/>
          <w:lang w:val="fr-CH"/>
        </w:rPr>
        <w:t>a)</w:t>
      </w:r>
      <w:r>
        <w:rPr>
          <w:lang w:val="fr-CH"/>
        </w:rPr>
        <w:t xml:space="preserve"> </w:t>
      </w:r>
      <w:r w:rsidRPr="00730563">
        <w:rPr>
          <w:lang w:val="fr-CH"/>
        </w:rPr>
        <w:t xml:space="preserve">du </w:t>
      </w:r>
      <w:r w:rsidRPr="00C07A4D">
        <w:rPr>
          <w:i/>
          <w:iCs/>
          <w:lang w:val="fr-CH"/>
        </w:rPr>
        <w:t>considérant</w:t>
      </w:r>
      <w:r>
        <w:rPr>
          <w:lang w:val="fr-CH"/>
        </w:rPr>
        <w:t>;</w:t>
      </w:r>
    </w:p>
    <w:p w:rsidR="00B45034" w:rsidRPr="00730563" w:rsidRDefault="00B45034" w:rsidP="00A17011">
      <w:pPr>
        <w:jc w:val="both"/>
        <w:rPr>
          <w:lang w:val="fr-CH"/>
        </w:rPr>
      </w:pPr>
      <w:r w:rsidRPr="0081024B">
        <w:rPr>
          <w:i/>
          <w:iCs/>
          <w:lang w:val="fr-CH"/>
        </w:rPr>
        <w:t>d)</w:t>
      </w:r>
      <w:r w:rsidRPr="00730563">
        <w:rPr>
          <w:lang w:val="fr-CH"/>
        </w:rPr>
        <w:tab/>
        <w:t xml:space="preserve">que </w:t>
      </w:r>
      <w:r>
        <w:rPr>
          <w:lang w:val="fr-CH"/>
        </w:rPr>
        <w:t>l'établissement</w:t>
      </w:r>
      <w:r w:rsidRPr="00730563">
        <w:rPr>
          <w:lang w:val="fr-CH"/>
        </w:rPr>
        <w:t xml:space="preserve"> de limites de puissance</w:t>
      </w:r>
      <w:r>
        <w:rPr>
          <w:lang w:val="fr-CH"/>
        </w:rPr>
        <w:t xml:space="preserve"> dans la bande pour les</w:t>
      </w:r>
      <w:r w:rsidRPr="00730563">
        <w:rPr>
          <w:lang w:val="fr-CH"/>
        </w:rPr>
        <w:t xml:space="preserve"> stations terriennes dans le Règlement des radiocommunications,</w:t>
      </w:r>
      <w:r>
        <w:rPr>
          <w:lang w:val="fr-CH"/>
        </w:rPr>
        <w:t xml:space="preserve"> </w:t>
      </w:r>
      <w:r w:rsidRPr="00730563">
        <w:rPr>
          <w:lang w:val="fr-CH"/>
        </w:rPr>
        <w:t>applicables au</w:t>
      </w:r>
      <w:r>
        <w:rPr>
          <w:lang w:val="fr-CH"/>
        </w:rPr>
        <w:t xml:space="preserve"> </w:t>
      </w:r>
      <w:r w:rsidRPr="00730563">
        <w:rPr>
          <w:lang w:val="fr-CH"/>
        </w:rPr>
        <w:t>SETS</w:t>
      </w:r>
      <w:r>
        <w:rPr>
          <w:lang w:val="fr-CH"/>
        </w:rPr>
        <w:t>,</w:t>
      </w:r>
      <w:r w:rsidRPr="00730563">
        <w:rPr>
          <w:lang w:val="fr-CH"/>
        </w:rPr>
        <w:t xml:space="preserve"> </w:t>
      </w:r>
      <w:r>
        <w:rPr>
          <w:lang w:val="fr-CH"/>
        </w:rPr>
        <w:t>au</w:t>
      </w:r>
      <w:r w:rsidRPr="00730563">
        <w:rPr>
          <w:lang w:val="fr-CH"/>
        </w:rPr>
        <w:t xml:space="preserve"> service </w:t>
      </w:r>
      <w:proofErr w:type="spellStart"/>
      <w:r>
        <w:rPr>
          <w:lang w:val="fr-CH"/>
        </w:rPr>
        <w:t>MetSat</w:t>
      </w:r>
      <w:proofErr w:type="spellEnd"/>
      <w:r w:rsidRPr="00730563">
        <w:rPr>
          <w:lang w:val="fr-CH"/>
        </w:rPr>
        <w:t xml:space="preserve"> et </w:t>
      </w:r>
      <w:r>
        <w:rPr>
          <w:lang w:val="fr-CH"/>
        </w:rPr>
        <w:t xml:space="preserve">au </w:t>
      </w:r>
      <w:r w:rsidRPr="00730563">
        <w:rPr>
          <w:lang w:val="fr-CH"/>
        </w:rPr>
        <w:t>SMS,</w:t>
      </w:r>
      <w:r>
        <w:rPr>
          <w:lang w:val="fr-CH"/>
        </w:rPr>
        <w:t xml:space="preserve"> </w:t>
      </w:r>
      <w:r>
        <w:rPr>
          <w:color w:val="000000"/>
        </w:rPr>
        <w:t>permettra aux systèmes DCS d'utiliser ces bandes de fréquences en toute confiance,</w:t>
      </w:r>
    </w:p>
    <w:p w:rsidR="00B45034" w:rsidRDefault="00B45034" w:rsidP="00A17011">
      <w:pPr>
        <w:pStyle w:val="Call"/>
      </w:pPr>
      <w:r>
        <w:t xml:space="preserve">décide </w:t>
      </w:r>
      <w:r w:rsidRPr="00BC6EC0">
        <w:t xml:space="preserve">d'inviter </w:t>
      </w:r>
      <w:r>
        <w:t>la Conférence mondiale des radiocommunications 2019</w:t>
      </w:r>
    </w:p>
    <w:p w:rsidR="00B45034" w:rsidRDefault="00B45034" w:rsidP="00A17011">
      <w:pPr>
        <w:jc w:val="both"/>
        <w:rPr>
          <w:lang w:val="fr-CH"/>
        </w:rPr>
      </w:pPr>
      <w:r w:rsidRPr="00730563">
        <w:rPr>
          <w:lang w:val="fr-CH"/>
        </w:rPr>
        <w:t>à tenir compte des résultats des études de l</w:t>
      </w:r>
      <w:r>
        <w:rPr>
          <w:lang w:val="fr-CH"/>
        </w:rPr>
        <w:t>'</w:t>
      </w:r>
      <w:r w:rsidRPr="00730563">
        <w:rPr>
          <w:lang w:val="fr-CH"/>
        </w:rPr>
        <w:t xml:space="preserve">UIT-R </w:t>
      </w:r>
      <w:r>
        <w:rPr>
          <w:lang w:val="fr-CH"/>
        </w:rPr>
        <w:t xml:space="preserve">et à </w:t>
      </w:r>
      <w:r w:rsidRPr="00730563">
        <w:rPr>
          <w:lang w:val="fr-CH"/>
        </w:rPr>
        <w:t>envisager</w:t>
      </w:r>
      <w:r>
        <w:rPr>
          <w:lang w:val="fr-CH"/>
        </w:rPr>
        <w:t xml:space="preserve"> la possibilité d'établir d</w:t>
      </w:r>
      <w:r w:rsidRPr="00730563">
        <w:rPr>
          <w:lang w:val="fr-CH"/>
        </w:rPr>
        <w:t>es limites de puissance</w:t>
      </w:r>
      <w:r>
        <w:rPr>
          <w:lang w:val="fr-CH"/>
        </w:rPr>
        <w:t xml:space="preserve"> dans la bande</w:t>
      </w:r>
      <w:r w:rsidRPr="00D14245">
        <w:rPr>
          <w:lang w:val="fr-CH"/>
        </w:rPr>
        <w:t xml:space="preserve"> </w:t>
      </w:r>
      <w:r>
        <w:rPr>
          <w:lang w:val="fr-CH"/>
        </w:rPr>
        <w:t xml:space="preserve">pour les stations terriennes du </w:t>
      </w:r>
      <w:r w:rsidRPr="00730563">
        <w:rPr>
          <w:lang w:val="fr-CH"/>
        </w:rPr>
        <w:t>SETS</w:t>
      </w:r>
      <w:r>
        <w:rPr>
          <w:lang w:val="fr-CH"/>
        </w:rPr>
        <w:t xml:space="preserve"> </w:t>
      </w:r>
      <w:r w:rsidRPr="00730563">
        <w:rPr>
          <w:lang w:val="fr-CH"/>
        </w:rPr>
        <w:t xml:space="preserve">et </w:t>
      </w:r>
      <w:r>
        <w:rPr>
          <w:lang w:val="fr-CH"/>
        </w:rPr>
        <w:t xml:space="preserve">du service </w:t>
      </w:r>
      <w:proofErr w:type="spellStart"/>
      <w:r>
        <w:rPr>
          <w:lang w:val="fr-CH"/>
        </w:rPr>
        <w:t>MetSat</w:t>
      </w:r>
      <w:proofErr w:type="spellEnd"/>
      <w:r>
        <w:rPr>
          <w:lang w:val="fr-CH"/>
        </w:rPr>
        <w:t xml:space="preserve"> dans la bande de fréquences 401-403 MHz</w:t>
      </w:r>
      <w:r w:rsidRPr="00730563">
        <w:rPr>
          <w:lang w:val="fr-CH"/>
        </w:rPr>
        <w:t xml:space="preserve"> et</w:t>
      </w:r>
      <w:r>
        <w:rPr>
          <w:lang w:val="fr-CH"/>
        </w:rPr>
        <w:t xml:space="preserve"> du SMS</w:t>
      </w:r>
      <w:r w:rsidRPr="00730563">
        <w:rPr>
          <w:lang w:val="fr-CH"/>
        </w:rPr>
        <w:t xml:space="preserve"> dans la bande de fréquences 399</w:t>
      </w:r>
      <w:r>
        <w:rPr>
          <w:lang w:val="fr-CH"/>
        </w:rPr>
        <w:t>,</w:t>
      </w:r>
      <w:r w:rsidRPr="00730563">
        <w:rPr>
          <w:lang w:val="fr-CH"/>
        </w:rPr>
        <w:t>9-400</w:t>
      </w:r>
      <w:r>
        <w:rPr>
          <w:lang w:val="fr-CH"/>
        </w:rPr>
        <w:t>,</w:t>
      </w:r>
      <w:r w:rsidRPr="00730563">
        <w:rPr>
          <w:lang w:val="fr-CH"/>
        </w:rPr>
        <w:t>05 MHz</w:t>
      </w:r>
      <w:r>
        <w:rPr>
          <w:lang w:val="fr-CH"/>
        </w:rPr>
        <w:t>,</w:t>
      </w:r>
    </w:p>
    <w:p w:rsidR="00B45034" w:rsidRPr="00730563" w:rsidRDefault="00B45034" w:rsidP="00A17011">
      <w:pPr>
        <w:pStyle w:val="Call"/>
        <w:jc w:val="both"/>
        <w:rPr>
          <w:lang w:val="fr-CH"/>
        </w:rPr>
      </w:pPr>
      <w:r w:rsidRPr="00730563">
        <w:rPr>
          <w:lang w:val="fr-CH"/>
        </w:rPr>
        <w:t>invite</w:t>
      </w:r>
      <w:r>
        <w:rPr>
          <w:lang w:val="fr-CH"/>
        </w:rPr>
        <w:t xml:space="preserve"> l'</w:t>
      </w:r>
      <w:r w:rsidRPr="00730563">
        <w:rPr>
          <w:lang w:val="fr-CH"/>
        </w:rPr>
        <w:t>UIT</w:t>
      </w:r>
      <w:r>
        <w:rPr>
          <w:lang w:val="fr-CH"/>
        </w:rPr>
        <w:t>-R</w:t>
      </w:r>
    </w:p>
    <w:p w:rsidR="00B45034" w:rsidRPr="00730563" w:rsidRDefault="00B45034" w:rsidP="00A17011">
      <w:pPr>
        <w:jc w:val="both"/>
        <w:rPr>
          <w:lang w:val="fr-CH"/>
        </w:rPr>
      </w:pPr>
      <w:r>
        <w:rPr>
          <w:lang w:val="fr-CH"/>
        </w:rPr>
        <w:t>à effectuer et à ach</w:t>
      </w:r>
      <w:r w:rsidRPr="00730563">
        <w:rPr>
          <w:lang w:val="fr-CH"/>
        </w:rPr>
        <w:t>ever</w:t>
      </w:r>
      <w:r>
        <w:rPr>
          <w:lang w:val="fr-CH"/>
        </w:rPr>
        <w:t>,</w:t>
      </w:r>
      <w:r w:rsidRPr="00730563">
        <w:rPr>
          <w:lang w:val="fr-CH"/>
        </w:rPr>
        <w:t xml:space="preserve"> à temps pour la </w:t>
      </w:r>
      <w:r>
        <w:rPr>
          <w:lang w:val="fr-CH"/>
        </w:rPr>
        <w:t>CMR-</w:t>
      </w:r>
      <w:r w:rsidRPr="00730563">
        <w:rPr>
          <w:lang w:val="fr-CH"/>
        </w:rPr>
        <w:t>19,</w:t>
      </w:r>
      <w:r>
        <w:rPr>
          <w:lang w:val="fr-CH"/>
        </w:rPr>
        <w:t xml:space="preserve"> </w:t>
      </w:r>
      <w:r w:rsidRPr="00730563">
        <w:rPr>
          <w:lang w:val="fr-CH"/>
        </w:rPr>
        <w:t xml:space="preserve">les études </w:t>
      </w:r>
      <w:r>
        <w:rPr>
          <w:lang w:val="fr-CH"/>
        </w:rPr>
        <w:t xml:space="preserve">techniques, opérationnelles et réglementaires </w:t>
      </w:r>
      <w:r w:rsidRPr="00730563">
        <w:rPr>
          <w:lang w:val="fr-CH"/>
        </w:rPr>
        <w:t xml:space="preserve">nécessaires sur la possibilité </w:t>
      </w:r>
      <w:r>
        <w:rPr>
          <w:lang w:val="fr-CH"/>
        </w:rPr>
        <w:t>d'établir des limites de puissance dans la bande pour les stations terriennes</w:t>
      </w:r>
      <w:r w:rsidRPr="00730563">
        <w:rPr>
          <w:lang w:val="fr-CH"/>
        </w:rPr>
        <w:t xml:space="preserve"> </w:t>
      </w:r>
      <w:r>
        <w:rPr>
          <w:lang w:val="fr-CH"/>
        </w:rPr>
        <w:t>du SETS et du</w:t>
      </w:r>
      <w:r w:rsidRPr="00730563">
        <w:rPr>
          <w:lang w:val="fr-CH"/>
        </w:rPr>
        <w:t xml:space="preserve"> service</w:t>
      </w:r>
      <w:r>
        <w:rPr>
          <w:lang w:val="fr-CH"/>
        </w:rPr>
        <w:t xml:space="preserve"> </w:t>
      </w:r>
      <w:proofErr w:type="spellStart"/>
      <w:r>
        <w:rPr>
          <w:lang w:val="fr-CH"/>
        </w:rPr>
        <w:t>MetSat</w:t>
      </w:r>
      <w:proofErr w:type="spellEnd"/>
      <w:r>
        <w:rPr>
          <w:lang w:val="fr-CH"/>
        </w:rPr>
        <w:t xml:space="preserve"> dans la bande de fréquences 401-403 MHz</w:t>
      </w:r>
      <w:r w:rsidRPr="00730563">
        <w:rPr>
          <w:lang w:val="fr-CH"/>
        </w:rPr>
        <w:t xml:space="preserve"> et </w:t>
      </w:r>
      <w:r>
        <w:rPr>
          <w:lang w:val="fr-CH"/>
        </w:rPr>
        <w:t xml:space="preserve">du SMS </w:t>
      </w:r>
      <w:r w:rsidRPr="00730563">
        <w:rPr>
          <w:lang w:val="fr-CH"/>
        </w:rPr>
        <w:t>dans la bande de fréquences 399</w:t>
      </w:r>
      <w:r>
        <w:rPr>
          <w:lang w:val="fr-CH"/>
        </w:rPr>
        <w:t>,</w:t>
      </w:r>
      <w:r w:rsidRPr="00730563">
        <w:rPr>
          <w:lang w:val="fr-CH"/>
        </w:rPr>
        <w:t>9-400</w:t>
      </w:r>
      <w:r>
        <w:rPr>
          <w:lang w:val="fr-CH"/>
        </w:rPr>
        <w:t>,05 </w:t>
      </w:r>
      <w:r w:rsidRPr="00730563">
        <w:rPr>
          <w:lang w:val="fr-CH"/>
        </w:rPr>
        <w:t>MHz</w:t>
      </w:r>
      <w:r>
        <w:rPr>
          <w:lang w:val="fr-CH"/>
        </w:rPr>
        <w:t>,</w:t>
      </w:r>
    </w:p>
    <w:p w:rsidR="00B45034" w:rsidRPr="003A05E6" w:rsidRDefault="00B45034" w:rsidP="00A17011">
      <w:pPr>
        <w:pStyle w:val="Call"/>
        <w:jc w:val="both"/>
        <w:rPr>
          <w:lang w:val="fr-CH"/>
        </w:rPr>
      </w:pPr>
      <w:r w:rsidRPr="003A05E6">
        <w:rPr>
          <w:lang w:val="fr-CH"/>
        </w:rPr>
        <w:t>invite les administrations</w:t>
      </w:r>
    </w:p>
    <w:p w:rsidR="00B45034" w:rsidRPr="003A05E6" w:rsidRDefault="00B45034" w:rsidP="00A17011">
      <w:pPr>
        <w:jc w:val="both"/>
        <w:rPr>
          <w:lang w:val="fr-CH"/>
        </w:rPr>
      </w:pPr>
      <w:r w:rsidRPr="003A05E6">
        <w:rPr>
          <w:lang w:val="fr-CH"/>
        </w:rPr>
        <w:t>à participer activement aux études et à fournir les caractéristiques techniques et opérationnelles des systèmes concernés en soumet</w:t>
      </w:r>
      <w:r>
        <w:rPr>
          <w:lang w:val="fr-CH"/>
        </w:rPr>
        <w:t>tant des contributions à l'UIT-R,</w:t>
      </w:r>
    </w:p>
    <w:p w:rsidR="00B45034" w:rsidRPr="00932C66" w:rsidRDefault="00B45034" w:rsidP="00A17011">
      <w:pPr>
        <w:pStyle w:val="Call"/>
        <w:jc w:val="both"/>
      </w:pPr>
      <w:r w:rsidRPr="00932C66">
        <w:t>charge le Secrétaire général</w:t>
      </w:r>
    </w:p>
    <w:p w:rsidR="00EF0551" w:rsidRPr="00B45034" w:rsidRDefault="00B45034" w:rsidP="00A17011">
      <w:pPr>
        <w:jc w:val="both"/>
        <w:rPr>
          <w:rFonts w:asciiTheme="majorBidi" w:hAnsiTheme="majorBidi" w:cstheme="majorBidi"/>
          <w:szCs w:val="24"/>
        </w:rPr>
      </w:pPr>
      <w:r w:rsidRPr="00932C66">
        <w:t>de porter la présente Résolution à l</w:t>
      </w:r>
      <w:r>
        <w:t>'</w:t>
      </w:r>
      <w:r w:rsidRPr="00932C66">
        <w:t xml:space="preserve">attention </w:t>
      </w:r>
      <w:r>
        <w:t xml:space="preserve">de l'Organisation météorologique mondiale (OMM) </w:t>
      </w:r>
      <w:r w:rsidRPr="00932C66">
        <w:t>et des autres organisations internationales et régionales concernées.</w:t>
      </w:r>
    </w:p>
    <w:p w:rsidR="0036485F" w:rsidRPr="00B45034" w:rsidRDefault="0036485F" w:rsidP="00A17011">
      <w:pPr>
        <w:overflowPunct/>
        <w:autoSpaceDE/>
        <w:autoSpaceDN/>
        <w:adjustRightInd/>
        <w:spacing w:before="0"/>
        <w:textAlignment w:val="auto"/>
        <w:rPr>
          <w:rFonts w:asciiTheme="majorBidi" w:hAnsiTheme="majorBidi" w:cstheme="majorBidi"/>
          <w:szCs w:val="24"/>
        </w:rPr>
      </w:pPr>
      <w:r w:rsidRPr="00B45034">
        <w:rPr>
          <w:rFonts w:asciiTheme="majorBidi" w:hAnsiTheme="majorBidi" w:cstheme="majorBidi"/>
          <w:szCs w:val="24"/>
        </w:rPr>
        <w:br w:type="page"/>
      </w:r>
    </w:p>
    <w:p w:rsidR="00A20F5A" w:rsidRPr="00A20F5A" w:rsidRDefault="009277D4" w:rsidP="00A17011">
      <w:pPr>
        <w:pStyle w:val="ResNo"/>
      </w:pPr>
      <w:bookmarkStart w:id="292" w:name="RES_766"/>
      <w:bookmarkStart w:id="293" w:name="_Toc444507648"/>
      <w:bookmarkStart w:id="294" w:name="_Toc460331742"/>
      <w:bookmarkStart w:id="295" w:name="_Toc463616199"/>
      <w:r>
        <w:lastRenderedPageBreak/>
        <w:t>R</w:t>
      </w:r>
      <w:r w:rsidR="001D5201" w:rsidRPr="001D5201">
        <w:t>É</w:t>
      </w:r>
      <w:r w:rsidR="00A20F5A" w:rsidRPr="00A20F5A">
        <w:t xml:space="preserve">SOLUTION </w:t>
      </w:r>
      <w:r w:rsidR="00A20F5A" w:rsidRPr="00A20F5A">
        <w:rPr>
          <w:rStyle w:val="href"/>
        </w:rPr>
        <w:t>766</w:t>
      </w:r>
      <w:r w:rsidR="00A20F5A" w:rsidRPr="00A20F5A">
        <w:t xml:space="preserve"> </w:t>
      </w:r>
      <w:bookmarkEnd w:id="292"/>
      <w:r>
        <w:t>(</w:t>
      </w:r>
      <w:r w:rsidR="005A2541" w:rsidRPr="00A20F5A">
        <w:t>C</w:t>
      </w:r>
      <w:r w:rsidR="005A2541">
        <w:t>MR</w:t>
      </w:r>
      <w:r w:rsidR="00A20F5A" w:rsidRPr="00A20F5A">
        <w:t>-15)</w:t>
      </w:r>
      <w:bookmarkEnd w:id="293"/>
      <w:bookmarkEnd w:id="294"/>
      <w:bookmarkEnd w:id="295"/>
    </w:p>
    <w:p w:rsidR="00B45034" w:rsidRPr="000954FB" w:rsidRDefault="00B45034" w:rsidP="00A17011">
      <w:pPr>
        <w:pStyle w:val="Restitle"/>
        <w:rPr>
          <w:lang w:val="fr-CH"/>
        </w:rPr>
      </w:pPr>
      <w:bookmarkStart w:id="296" w:name="_Toc450208821"/>
      <w:bookmarkStart w:id="297" w:name="_Toc463616200"/>
      <w:r>
        <w:rPr>
          <w:lang w:val="fr-CH"/>
        </w:rPr>
        <w:t>Examen du</w:t>
      </w:r>
      <w:r w:rsidRPr="000954FB">
        <w:rPr>
          <w:lang w:val="fr-CH"/>
        </w:rPr>
        <w:t xml:space="preserve"> relèvement éventuel </w:t>
      </w:r>
      <w:r>
        <w:rPr>
          <w:lang w:val="fr-CH"/>
        </w:rPr>
        <w:t xml:space="preserve">au </w:t>
      </w:r>
      <w:r w:rsidRPr="000954FB">
        <w:rPr>
          <w:lang w:val="fr-CH"/>
        </w:rPr>
        <w:t xml:space="preserve">statut </w:t>
      </w:r>
      <w:r>
        <w:rPr>
          <w:lang w:val="fr-CH"/>
        </w:rPr>
        <w:t xml:space="preserve">primaire </w:t>
      </w:r>
      <w:r w:rsidRPr="000954FB">
        <w:rPr>
          <w:lang w:val="fr-CH"/>
        </w:rPr>
        <w:t xml:space="preserve">de l'attribution à titre secondaire au service de météorologie par satellite (espace vers Terre) et </w:t>
      </w:r>
      <w:r>
        <w:rPr>
          <w:lang w:val="fr-CH"/>
        </w:rPr>
        <w:t xml:space="preserve">d'une attribution à titre primaire au </w:t>
      </w:r>
      <w:r w:rsidRPr="000954FB">
        <w:rPr>
          <w:lang w:val="fr-CH"/>
        </w:rPr>
        <w:t>service d'exploration de la Terre par satellite (espace vers Terre) dans la bande de fréquences 460-470 MHz</w:t>
      </w:r>
      <w:bookmarkEnd w:id="296"/>
      <w:bookmarkEnd w:id="297"/>
    </w:p>
    <w:p w:rsidR="00B45034" w:rsidRPr="000954FB" w:rsidRDefault="00B45034" w:rsidP="00A17011">
      <w:pPr>
        <w:pStyle w:val="Normalaftertitle"/>
        <w:rPr>
          <w:lang w:val="fr-CH"/>
        </w:rPr>
      </w:pPr>
      <w:r w:rsidRPr="000954FB">
        <w:rPr>
          <w:lang w:val="fr-CH"/>
        </w:rPr>
        <w:t>La Conférence mondiale des radiocommunications (Genève, 2015),</w:t>
      </w:r>
    </w:p>
    <w:p w:rsidR="00B45034" w:rsidRPr="000954FB" w:rsidRDefault="00B45034" w:rsidP="00A17011">
      <w:pPr>
        <w:pStyle w:val="Call"/>
      </w:pPr>
      <w:r w:rsidRPr="000954FB">
        <w:t>considérant</w:t>
      </w:r>
    </w:p>
    <w:p w:rsidR="00B45034" w:rsidRPr="000954FB" w:rsidRDefault="00B45034" w:rsidP="00A17011">
      <w:pPr>
        <w:jc w:val="both"/>
        <w:rPr>
          <w:lang w:val="fr-CH"/>
        </w:rPr>
      </w:pPr>
      <w:r w:rsidRPr="000954FB">
        <w:rPr>
          <w:i/>
          <w:iCs/>
          <w:lang w:val="fr-CH"/>
        </w:rPr>
        <w:t>a)</w:t>
      </w:r>
      <w:r w:rsidRPr="000954FB">
        <w:rPr>
          <w:lang w:val="fr-CH"/>
        </w:rPr>
        <w:tab/>
        <w:t>que des systèmes de collecte de données (DCS) fonctionnent sur des orbites</w:t>
      </w:r>
      <w:r>
        <w:rPr>
          <w:lang w:val="fr-CH"/>
        </w:rPr>
        <w:t xml:space="preserve"> </w:t>
      </w:r>
      <w:r w:rsidRPr="000954FB">
        <w:rPr>
          <w:lang w:val="fr-CH"/>
        </w:rPr>
        <w:t>de satellites géostationnaires et non géostationnaires dans des systèmes du service de météorologie par satellite (</w:t>
      </w:r>
      <w:proofErr w:type="spellStart"/>
      <w:r w:rsidRPr="000954FB">
        <w:rPr>
          <w:lang w:val="fr-CH"/>
        </w:rPr>
        <w:t>MetSat</w:t>
      </w:r>
      <w:proofErr w:type="spellEnd"/>
      <w:r w:rsidRPr="000954FB">
        <w:rPr>
          <w:lang w:val="fr-CH"/>
        </w:rPr>
        <w:t>) et du service d'exploration de la Terre par satellite (SETS) (Terre vers espace) dans la bande de fréquences 401-403 MHz;</w:t>
      </w:r>
    </w:p>
    <w:p w:rsidR="00B45034" w:rsidRPr="000954FB" w:rsidRDefault="00B45034" w:rsidP="00A17011">
      <w:pPr>
        <w:jc w:val="both"/>
        <w:rPr>
          <w:lang w:val="fr-CH"/>
        </w:rPr>
      </w:pPr>
      <w:r w:rsidRPr="000954FB">
        <w:rPr>
          <w:i/>
          <w:iCs/>
          <w:lang w:val="fr-CH"/>
        </w:rPr>
        <w:t>b)</w:t>
      </w:r>
      <w:r w:rsidRPr="000954FB">
        <w:rPr>
          <w:lang w:val="fr-CH"/>
        </w:rPr>
        <w:tab/>
        <w:t>que les systèmes DCS sont essentiels pour la surveillance et la prévision des</w:t>
      </w:r>
      <w:r>
        <w:rPr>
          <w:lang w:val="fr-CH"/>
        </w:rPr>
        <w:t xml:space="preserve"> </w:t>
      </w:r>
      <w:r w:rsidRPr="000954FB">
        <w:rPr>
          <w:lang w:val="fr-CH"/>
        </w:rPr>
        <w:t>changements climatiques, la surveillance des océans et des</w:t>
      </w:r>
      <w:r>
        <w:rPr>
          <w:lang w:val="fr-CH"/>
        </w:rPr>
        <w:t xml:space="preserve"> </w:t>
      </w:r>
      <w:r w:rsidRPr="000954FB">
        <w:rPr>
          <w:lang w:val="fr-CH"/>
        </w:rPr>
        <w:t>ressources en eau, les prévisions météorologiques et l</w:t>
      </w:r>
      <w:r>
        <w:rPr>
          <w:lang w:val="fr-CH"/>
        </w:rPr>
        <w:t>'</w:t>
      </w:r>
      <w:r w:rsidRPr="000954FB">
        <w:rPr>
          <w:lang w:val="fr-CH"/>
        </w:rPr>
        <w:t>assistance pour la protection de la biodiversité ainsi que l'amélioration de la sécurité maritime;</w:t>
      </w:r>
    </w:p>
    <w:p w:rsidR="00B45034" w:rsidRPr="000954FB" w:rsidRDefault="00B45034" w:rsidP="00A17011">
      <w:pPr>
        <w:jc w:val="both"/>
        <w:rPr>
          <w:lang w:val="fr-CH"/>
        </w:rPr>
      </w:pPr>
      <w:r w:rsidRPr="000954FB">
        <w:rPr>
          <w:i/>
          <w:iCs/>
          <w:lang w:val="fr-CH"/>
        </w:rPr>
        <w:t>c)</w:t>
      </w:r>
      <w:r w:rsidRPr="000954FB">
        <w:rPr>
          <w:lang w:val="fr-CH"/>
        </w:rPr>
        <w:tab/>
        <w:t xml:space="preserve">que la plupart de ces systèmes DCS utilisent des liaisons descendantes de satellite (espace vers Terre) dans la bande de fréquences 460-470 MHz, ce qui permet d'améliorer sensiblement l'exploitation des systèmes </w:t>
      </w:r>
      <w:r>
        <w:rPr>
          <w:lang w:val="fr-CH"/>
        </w:rPr>
        <w:t>DCS</w:t>
      </w:r>
      <w:r w:rsidRPr="000954FB">
        <w:rPr>
          <w:lang w:val="fr-CH"/>
        </w:rPr>
        <w:t>, par exemple la transmission d'informations pour optimiser l'utilisation des plates-formes de collecte de données de Terre;</w:t>
      </w:r>
    </w:p>
    <w:p w:rsidR="00B45034" w:rsidRPr="000954FB" w:rsidRDefault="00B45034" w:rsidP="00A17011">
      <w:pPr>
        <w:jc w:val="both"/>
        <w:rPr>
          <w:lang w:val="fr-CH"/>
        </w:rPr>
      </w:pPr>
      <w:r w:rsidRPr="000954FB">
        <w:rPr>
          <w:i/>
          <w:iCs/>
          <w:lang w:val="fr-CH"/>
        </w:rPr>
        <w:t>d)</w:t>
      </w:r>
      <w:r w:rsidRPr="000954FB">
        <w:rPr>
          <w:lang w:val="fr-CH"/>
        </w:rPr>
        <w:tab/>
        <w:t>qu</w:t>
      </w:r>
      <w:r>
        <w:rPr>
          <w:lang w:val="fr-CH"/>
        </w:rPr>
        <w:t>e</w:t>
      </w:r>
      <w:r w:rsidRPr="000954FB">
        <w:rPr>
          <w:lang w:val="fr-CH"/>
        </w:rPr>
        <w:t xml:space="preserve"> la bande de fréquences </w:t>
      </w:r>
      <w:r>
        <w:rPr>
          <w:lang w:val="fr-CH"/>
        </w:rPr>
        <w:t xml:space="preserve">460-470 MHz </w:t>
      </w:r>
      <w:r w:rsidRPr="000954FB">
        <w:rPr>
          <w:lang w:val="fr-CH"/>
        </w:rPr>
        <w:t xml:space="preserve">est actuellement attribuée au service </w:t>
      </w:r>
      <w:proofErr w:type="spellStart"/>
      <w:r>
        <w:rPr>
          <w:lang w:val="fr-CH"/>
        </w:rPr>
        <w:t>MetSat</w:t>
      </w:r>
      <w:proofErr w:type="spellEnd"/>
      <w:r w:rsidRPr="000954FB">
        <w:rPr>
          <w:lang w:val="fr-CH"/>
        </w:rPr>
        <w:t xml:space="preserve"> (espace vers Terre) à titre secondaire;</w:t>
      </w:r>
    </w:p>
    <w:p w:rsidR="00B45034" w:rsidRPr="000954FB" w:rsidRDefault="00B45034" w:rsidP="00A17011">
      <w:pPr>
        <w:jc w:val="both"/>
        <w:rPr>
          <w:lang w:val="fr-CH"/>
        </w:rPr>
      </w:pPr>
      <w:r w:rsidRPr="000954FB">
        <w:rPr>
          <w:i/>
          <w:lang w:val="fr-CH"/>
        </w:rPr>
        <w:t>e)</w:t>
      </w:r>
      <w:r w:rsidRPr="000954FB">
        <w:rPr>
          <w:lang w:val="fr-CH"/>
        </w:rPr>
        <w:tab/>
        <w:t xml:space="preserve"> que le numéro </w:t>
      </w:r>
      <w:r w:rsidRPr="000954FB">
        <w:rPr>
          <w:b/>
          <w:lang w:val="fr-CH"/>
        </w:rPr>
        <w:t>5.290</w:t>
      </w:r>
      <w:r w:rsidRPr="000954FB">
        <w:rPr>
          <w:lang w:val="fr-CH"/>
        </w:rPr>
        <w:t xml:space="preserve"> identifie</w:t>
      </w:r>
      <w:r>
        <w:rPr>
          <w:lang w:val="fr-CH"/>
        </w:rPr>
        <w:t xml:space="preserve"> </w:t>
      </w:r>
      <w:r w:rsidRPr="000954FB">
        <w:rPr>
          <w:lang w:val="fr-CH"/>
        </w:rPr>
        <w:t>certaines administrations qui disposent déjà d</w:t>
      </w:r>
      <w:r>
        <w:rPr>
          <w:lang w:val="fr-CH"/>
        </w:rPr>
        <w:t>'</w:t>
      </w:r>
      <w:r w:rsidRPr="000954FB">
        <w:rPr>
          <w:lang w:val="fr-CH"/>
        </w:rPr>
        <w:t xml:space="preserve">une attribution à titre primaire au service </w:t>
      </w:r>
      <w:proofErr w:type="spellStart"/>
      <w:r>
        <w:rPr>
          <w:lang w:val="fr-CH"/>
        </w:rPr>
        <w:t>MetSat</w:t>
      </w:r>
      <w:proofErr w:type="spellEnd"/>
      <w:r w:rsidRPr="000954FB">
        <w:rPr>
          <w:lang w:val="fr-CH"/>
        </w:rPr>
        <w:t>, sous réserve de l</w:t>
      </w:r>
      <w:r>
        <w:rPr>
          <w:lang w:val="fr-CH"/>
        </w:rPr>
        <w:t>'</w:t>
      </w:r>
      <w:r w:rsidRPr="000954FB">
        <w:rPr>
          <w:lang w:val="fr-CH"/>
        </w:rPr>
        <w:t xml:space="preserve">accord obtenu conformément au numéro </w:t>
      </w:r>
      <w:r w:rsidRPr="000954FB">
        <w:rPr>
          <w:b/>
          <w:lang w:val="fr-CH"/>
        </w:rPr>
        <w:t>9.21</w:t>
      </w:r>
      <w:r w:rsidRPr="000954FB">
        <w:rPr>
          <w:lang w:val="fr-CH"/>
        </w:rPr>
        <w:t>;</w:t>
      </w:r>
    </w:p>
    <w:p w:rsidR="00B45034" w:rsidRPr="000954FB" w:rsidRDefault="00B45034" w:rsidP="00A17011">
      <w:pPr>
        <w:jc w:val="both"/>
        <w:rPr>
          <w:lang w:val="fr-CH"/>
        </w:rPr>
      </w:pPr>
      <w:r w:rsidRPr="000954FB">
        <w:rPr>
          <w:i/>
          <w:lang w:val="fr-CH"/>
        </w:rPr>
        <w:t>f)</w:t>
      </w:r>
      <w:r w:rsidRPr="000954FB">
        <w:rPr>
          <w:i/>
          <w:lang w:val="fr-CH"/>
        </w:rPr>
        <w:tab/>
      </w:r>
      <w:r w:rsidRPr="000954FB">
        <w:rPr>
          <w:iCs/>
          <w:lang w:val="fr-CH"/>
        </w:rPr>
        <w:t>qu</w:t>
      </w:r>
      <w:r>
        <w:rPr>
          <w:iCs/>
          <w:lang w:val="fr-CH"/>
        </w:rPr>
        <w:t>e</w:t>
      </w:r>
      <w:r w:rsidRPr="000954FB">
        <w:rPr>
          <w:lang w:val="fr-CH"/>
        </w:rPr>
        <w:t xml:space="preserve"> la bande de fréquences 460-470 MHz est </w:t>
      </w:r>
      <w:r w:rsidRPr="000954FB">
        <w:rPr>
          <w:iCs/>
          <w:lang w:val="fr-CH"/>
        </w:rPr>
        <w:t>actuellement</w:t>
      </w:r>
      <w:r w:rsidRPr="000954FB">
        <w:rPr>
          <w:lang w:val="fr-CH"/>
        </w:rPr>
        <w:t xml:space="preserve"> attribuée aux services fixe et mobile à titre primaire</w:t>
      </w:r>
      <w:r>
        <w:rPr>
          <w:lang w:val="fr-CH"/>
        </w:rPr>
        <w:t xml:space="preserve"> </w:t>
      </w:r>
      <w:r w:rsidRPr="000954FB">
        <w:rPr>
          <w:lang w:val="fr-CH"/>
        </w:rPr>
        <w:t>et</w:t>
      </w:r>
      <w:r>
        <w:rPr>
          <w:lang w:val="fr-CH"/>
        </w:rPr>
        <w:t xml:space="preserve"> qu'elle</w:t>
      </w:r>
      <w:r w:rsidRPr="000954FB">
        <w:rPr>
          <w:lang w:val="fr-CH"/>
        </w:rPr>
        <w:t xml:space="preserve"> est </w:t>
      </w:r>
      <w:r>
        <w:rPr>
          <w:lang w:val="fr-CH"/>
        </w:rPr>
        <w:t xml:space="preserve">largement </w:t>
      </w:r>
      <w:r w:rsidRPr="000954FB">
        <w:rPr>
          <w:lang w:val="fr-CH"/>
        </w:rPr>
        <w:t>utilisée par c</w:t>
      </w:r>
      <w:r>
        <w:rPr>
          <w:lang w:val="fr-CH"/>
        </w:rPr>
        <w:t>es services</w:t>
      </w:r>
      <w:r w:rsidRPr="000954FB">
        <w:rPr>
          <w:lang w:val="fr-CH"/>
        </w:rPr>
        <w:t>;</w:t>
      </w:r>
    </w:p>
    <w:p w:rsidR="00B45034" w:rsidRPr="000954FB" w:rsidRDefault="00B45034" w:rsidP="00A17011">
      <w:pPr>
        <w:jc w:val="both"/>
        <w:rPr>
          <w:lang w:val="fr-CH"/>
        </w:rPr>
      </w:pPr>
      <w:r w:rsidRPr="00851D24">
        <w:rPr>
          <w:i/>
          <w:iCs/>
          <w:lang w:val="fr-CH"/>
        </w:rPr>
        <w:t>g)</w:t>
      </w:r>
      <w:r w:rsidRPr="000954FB">
        <w:rPr>
          <w:lang w:val="fr-CH"/>
        </w:rPr>
        <w:tab/>
        <w:t>qu</w:t>
      </w:r>
      <w:r>
        <w:rPr>
          <w:lang w:val="fr-CH"/>
        </w:rPr>
        <w:t>'</w:t>
      </w:r>
      <w:r w:rsidRPr="000954FB">
        <w:rPr>
          <w:lang w:val="fr-CH"/>
        </w:rPr>
        <w:t>il est nécessaire de protéger les services fixe et mobile dans la bande</w:t>
      </w:r>
      <w:r>
        <w:rPr>
          <w:lang w:val="fr-CH"/>
        </w:rPr>
        <w:t xml:space="preserve"> de fréquences 460-470 </w:t>
      </w:r>
      <w:r w:rsidRPr="000954FB">
        <w:rPr>
          <w:lang w:val="fr-CH"/>
        </w:rPr>
        <w:t>MHz et de ne pas l</w:t>
      </w:r>
      <w:r>
        <w:rPr>
          <w:lang w:val="fr-CH"/>
        </w:rPr>
        <w:t>imiter leur développement futur</w:t>
      </w:r>
      <w:r w:rsidRPr="000954FB">
        <w:rPr>
          <w:lang w:val="fr-CH"/>
        </w:rPr>
        <w:t>;</w:t>
      </w:r>
    </w:p>
    <w:p w:rsidR="00B45034" w:rsidRPr="000954FB" w:rsidRDefault="00B45034" w:rsidP="00A17011">
      <w:pPr>
        <w:jc w:val="both"/>
      </w:pPr>
      <w:r w:rsidRPr="000954FB">
        <w:rPr>
          <w:i/>
          <w:iCs/>
          <w:lang w:val="fr-CH"/>
        </w:rPr>
        <w:t>h)</w:t>
      </w:r>
      <w:r w:rsidRPr="000954FB">
        <w:rPr>
          <w:lang w:val="fr-CH"/>
        </w:rPr>
        <w:tab/>
        <w:t xml:space="preserve">que, conformément au numéro </w:t>
      </w:r>
      <w:r w:rsidRPr="000954FB">
        <w:rPr>
          <w:rStyle w:val="Artdef"/>
        </w:rPr>
        <w:t>5.289</w:t>
      </w:r>
      <w:r w:rsidRPr="000954FB">
        <w:rPr>
          <w:rStyle w:val="Artdef"/>
          <w:b w:val="0"/>
          <w:bCs/>
        </w:rPr>
        <w:t>,</w:t>
      </w:r>
      <w:r w:rsidRPr="000954FB">
        <w:rPr>
          <w:rStyle w:val="Artdef"/>
        </w:rPr>
        <w:t xml:space="preserve"> </w:t>
      </w:r>
      <w:r w:rsidRPr="000954FB">
        <w:rPr>
          <w:rStyle w:val="Artdef"/>
          <w:b w:val="0"/>
          <w:bCs/>
        </w:rPr>
        <w:t>les bandes</w:t>
      </w:r>
      <w:r w:rsidRPr="000954FB">
        <w:t xml:space="preserve"> </w:t>
      </w:r>
      <w:r>
        <w:t xml:space="preserve">de fréquences </w:t>
      </w:r>
      <w:r w:rsidRPr="000954FB">
        <w:t>460-470 MHz et 1</w:t>
      </w:r>
      <w:r w:rsidRPr="00E95371">
        <w:rPr>
          <w:szCs w:val="24"/>
        </w:rPr>
        <w:t> </w:t>
      </w:r>
      <w:r w:rsidRPr="000954FB">
        <w:t>690</w:t>
      </w:r>
      <w:r>
        <w:noBreakHyphen/>
      </w:r>
      <w:r w:rsidRPr="000954FB">
        <w:t>1</w:t>
      </w:r>
      <w:r w:rsidRPr="00E95371">
        <w:rPr>
          <w:szCs w:val="24"/>
        </w:rPr>
        <w:t> </w:t>
      </w:r>
      <w:r w:rsidRPr="000954FB">
        <w:t xml:space="preserve">710 MHz peuvent, de plus, être utilisées pour les applications du </w:t>
      </w:r>
      <w:r>
        <w:t>SETS</w:t>
      </w:r>
      <w:r w:rsidRPr="000954FB">
        <w:t xml:space="preserve"> autres que celles du service </w:t>
      </w:r>
      <w:proofErr w:type="spellStart"/>
      <w:r>
        <w:t>MetSat</w:t>
      </w:r>
      <w:proofErr w:type="spellEnd"/>
      <w:r w:rsidRPr="000954FB">
        <w:t>, pour les transmissions espace vers Terre, à condition de ne pas causer de brouillage préjudiciable aux stations fonctionn</w:t>
      </w:r>
      <w:r>
        <w:t>a</w:t>
      </w:r>
      <w:r w:rsidRPr="000954FB">
        <w:t>nt conformément au Tableau d'attribution des bandes de fréquences;</w:t>
      </w:r>
    </w:p>
    <w:p w:rsidR="00B45034" w:rsidRPr="000954FB" w:rsidRDefault="00B45034" w:rsidP="00A17011">
      <w:pPr>
        <w:jc w:val="both"/>
        <w:rPr>
          <w:lang w:val="fr-CH"/>
        </w:rPr>
      </w:pPr>
      <w:r w:rsidRPr="00851D24">
        <w:rPr>
          <w:i/>
          <w:iCs/>
          <w:lang w:val="fr-CH"/>
        </w:rPr>
        <w:t>i)</w:t>
      </w:r>
      <w:r w:rsidRPr="000954FB">
        <w:rPr>
          <w:lang w:val="fr-CH"/>
        </w:rPr>
        <w:t xml:space="preserve"> </w:t>
      </w:r>
      <w:r w:rsidRPr="000954FB">
        <w:rPr>
          <w:lang w:val="fr-CH"/>
        </w:rPr>
        <w:tab/>
        <w:t xml:space="preserve">que, conformément au numéro </w:t>
      </w:r>
      <w:r w:rsidRPr="00A661CC">
        <w:rPr>
          <w:b/>
          <w:bCs/>
          <w:lang w:val="fr-CH"/>
        </w:rPr>
        <w:t>5.286AA</w:t>
      </w:r>
      <w:r w:rsidRPr="000954FB">
        <w:rPr>
          <w:lang w:val="fr-CH"/>
        </w:rPr>
        <w:t xml:space="preserve">, la bande </w:t>
      </w:r>
      <w:r>
        <w:rPr>
          <w:lang w:val="fr-CH"/>
        </w:rPr>
        <w:t xml:space="preserve">de fréquences </w:t>
      </w:r>
      <w:r w:rsidRPr="000954FB">
        <w:rPr>
          <w:lang w:val="fr-CH"/>
        </w:rPr>
        <w:t>4</w:t>
      </w:r>
      <w:r>
        <w:rPr>
          <w:lang w:val="fr-CH"/>
        </w:rPr>
        <w:t>5</w:t>
      </w:r>
      <w:r w:rsidRPr="000954FB">
        <w:rPr>
          <w:lang w:val="fr-CH"/>
        </w:rPr>
        <w:t xml:space="preserve">0-470 MHz est identifiée pour être utilisée par les administrations qui souhaitent mettre en </w:t>
      </w:r>
      <w:proofErr w:type="spellStart"/>
      <w:r w:rsidRPr="000954FB">
        <w:rPr>
          <w:lang w:val="fr-CH"/>
        </w:rPr>
        <w:t>oeuvre</w:t>
      </w:r>
      <w:proofErr w:type="spellEnd"/>
      <w:r w:rsidRPr="000954FB">
        <w:rPr>
          <w:lang w:val="fr-CH"/>
        </w:rPr>
        <w:t xml:space="preserve"> les Télécommunications mobiles internationales (IMT),</w:t>
      </w:r>
    </w:p>
    <w:p w:rsidR="00B45034" w:rsidRPr="000954FB" w:rsidRDefault="00B45034" w:rsidP="00A17011">
      <w:pPr>
        <w:pStyle w:val="Call"/>
        <w:rPr>
          <w:lang w:val="fr-CH"/>
        </w:rPr>
      </w:pPr>
      <w:r w:rsidRPr="000954FB">
        <w:rPr>
          <w:lang w:val="fr-CH"/>
        </w:rPr>
        <w:t>considérant en outre</w:t>
      </w:r>
    </w:p>
    <w:p w:rsidR="00B45034" w:rsidRPr="000954FB" w:rsidRDefault="00B45034" w:rsidP="00A17011">
      <w:pPr>
        <w:jc w:val="both"/>
        <w:rPr>
          <w:lang w:val="fr-CH"/>
        </w:rPr>
      </w:pPr>
      <w:r w:rsidRPr="000954FB">
        <w:rPr>
          <w:i/>
          <w:iCs/>
          <w:lang w:val="fr-CH"/>
        </w:rPr>
        <w:t>a)</w:t>
      </w:r>
      <w:r w:rsidRPr="000954FB">
        <w:rPr>
          <w:lang w:val="fr-CH"/>
        </w:rPr>
        <w:tab/>
        <w:t xml:space="preserve">qu'au moins une administration a adopté des dispositions réglementaires au niveau national prévoyant une limite de puissance surfacique de –152 </w:t>
      </w:r>
      <w:proofErr w:type="spellStart"/>
      <w:r w:rsidRPr="000954FB">
        <w:rPr>
          <w:lang w:val="fr-CH"/>
        </w:rPr>
        <w:t>dBW</w:t>
      </w:r>
      <w:proofErr w:type="spellEnd"/>
      <w:r w:rsidRPr="000954FB">
        <w:rPr>
          <w:lang w:val="fr-CH"/>
        </w:rPr>
        <w:t>/m</w:t>
      </w:r>
      <w:r w:rsidRPr="000954FB">
        <w:rPr>
          <w:vertAlign w:val="superscript"/>
          <w:lang w:val="fr-CH"/>
        </w:rPr>
        <w:t>2</w:t>
      </w:r>
      <w:r w:rsidRPr="000954FB">
        <w:rPr>
          <w:lang w:val="fr-CH"/>
        </w:rPr>
        <w:t>/4 kHz pour protéger les systèmes des services de Terre;</w:t>
      </w:r>
    </w:p>
    <w:p w:rsidR="00B45034" w:rsidRPr="000954FB" w:rsidRDefault="00B45034" w:rsidP="00A17011">
      <w:pPr>
        <w:jc w:val="both"/>
        <w:rPr>
          <w:lang w:val="fr-CH"/>
        </w:rPr>
      </w:pPr>
      <w:r w:rsidRPr="000954FB">
        <w:rPr>
          <w:i/>
          <w:iCs/>
          <w:lang w:val="fr-CH"/>
        </w:rPr>
        <w:lastRenderedPageBreak/>
        <w:t>b)</w:t>
      </w:r>
      <w:r w:rsidRPr="000954FB">
        <w:rPr>
          <w:lang w:val="fr-CH"/>
        </w:rPr>
        <w:tab/>
        <w:t xml:space="preserve">que, pour respecter cette limite, des agences spatiales ont mis au point, et mettent actuellement en œuvre, une solution </w:t>
      </w:r>
      <w:r w:rsidRPr="000954FB">
        <w:rPr>
          <w:color w:val="000000"/>
        </w:rPr>
        <w:t>d'étalement de spectre</w:t>
      </w:r>
      <w:r w:rsidRPr="000954FB">
        <w:rPr>
          <w:lang w:val="fr-CH"/>
        </w:rPr>
        <w:t xml:space="preserve">, qui permet d'exploiter au moins une liaison descendante du système </w:t>
      </w:r>
      <w:r>
        <w:rPr>
          <w:lang w:val="fr-CH"/>
        </w:rPr>
        <w:t>DCS</w:t>
      </w:r>
      <w:r w:rsidRPr="000954FB">
        <w:rPr>
          <w:lang w:val="fr-CH"/>
        </w:rPr>
        <w:t xml:space="preserve"> par satellite dans la bande de fréquences 460-470 MHz, conformément à la limite de p</w:t>
      </w:r>
      <w:r>
        <w:rPr>
          <w:lang w:val="fr-CH"/>
        </w:rPr>
        <w:t>uissance surfacique indiquée au</w:t>
      </w:r>
      <w:r w:rsidRPr="000954FB">
        <w:rPr>
          <w:lang w:val="fr-CH"/>
        </w:rPr>
        <w:t xml:space="preserve"> point</w:t>
      </w:r>
      <w:r>
        <w:rPr>
          <w:lang w:val="fr-CH"/>
        </w:rPr>
        <w:t xml:space="preserve"> </w:t>
      </w:r>
      <w:r w:rsidRPr="00851D24">
        <w:rPr>
          <w:i/>
          <w:iCs/>
          <w:lang w:val="fr-CH"/>
        </w:rPr>
        <w:t>a)</w:t>
      </w:r>
      <w:r w:rsidRPr="000954FB">
        <w:rPr>
          <w:lang w:val="fr-CH"/>
        </w:rPr>
        <w:t xml:space="preserve"> du </w:t>
      </w:r>
      <w:r w:rsidRPr="00851D24">
        <w:rPr>
          <w:i/>
          <w:iCs/>
          <w:lang w:val="fr-CH"/>
        </w:rPr>
        <w:t>considérant en outre</w:t>
      </w:r>
      <w:r w:rsidRPr="000954FB">
        <w:rPr>
          <w:lang w:val="fr-CH"/>
        </w:rPr>
        <w:t>,</w:t>
      </w:r>
    </w:p>
    <w:p w:rsidR="00B45034" w:rsidRPr="000954FB" w:rsidRDefault="00B45034" w:rsidP="00A17011">
      <w:pPr>
        <w:pStyle w:val="Call"/>
        <w:rPr>
          <w:lang w:val="fr-CH"/>
        </w:rPr>
      </w:pPr>
      <w:r w:rsidRPr="000954FB">
        <w:rPr>
          <w:lang w:val="fr-CH"/>
        </w:rPr>
        <w:t>reconnaissant</w:t>
      </w:r>
    </w:p>
    <w:p w:rsidR="00B45034" w:rsidRPr="000954FB" w:rsidRDefault="00B45034" w:rsidP="00A17011">
      <w:pPr>
        <w:jc w:val="both"/>
        <w:rPr>
          <w:lang w:val="fr-CH"/>
        </w:rPr>
      </w:pPr>
      <w:r w:rsidRPr="000954FB">
        <w:rPr>
          <w:i/>
          <w:iCs/>
          <w:lang w:val="fr-CH"/>
        </w:rPr>
        <w:t>a)</w:t>
      </w:r>
      <w:r w:rsidRPr="000954FB">
        <w:rPr>
          <w:lang w:val="fr-CH"/>
        </w:rPr>
        <w:tab/>
        <w:t xml:space="preserve">qu'il est nécessaire que les opérateurs du service </w:t>
      </w:r>
      <w:proofErr w:type="spellStart"/>
      <w:r w:rsidRPr="000954FB">
        <w:rPr>
          <w:lang w:val="fr-CH"/>
        </w:rPr>
        <w:t>MetSat</w:t>
      </w:r>
      <w:proofErr w:type="spellEnd"/>
      <w:r w:rsidRPr="000954FB">
        <w:rPr>
          <w:lang w:val="fr-CH"/>
        </w:rPr>
        <w:t>/SETS disposent d'une réglementation stable et bien établie pour pouvoir assurer la continuité à long terme de ce service d'intérêt général</w:t>
      </w:r>
      <w:r>
        <w:rPr>
          <w:lang w:val="fr-CH"/>
        </w:rPr>
        <w:t>,</w:t>
      </w:r>
      <w:r w:rsidRPr="000954FB">
        <w:rPr>
          <w:lang w:val="fr-CH"/>
        </w:rPr>
        <w:t xml:space="preserve"> et que le fonctionnement dans le cadre d'une attribution à titre secondaire va à l'encontre de cet objectif;</w:t>
      </w:r>
    </w:p>
    <w:p w:rsidR="00B45034" w:rsidRPr="000954FB" w:rsidRDefault="00B45034" w:rsidP="00A17011">
      <w:pPr>
        <w:jc w:val="both"/>
        <w:rPr>
          <w:lang w:val="fr-CH"/>
        </w:rPr>
      </w:pPr>
      <w:r w:rsidRPr="000954FB">
        <w:rPr>
          <w:i/>
          <w:iCs/>
          <w:lang w:val="fr-CH"/>
        </w:rPr>
        <w:t>b)</w:t>
      </w:r>
      <w:r w:rsidRPr="000954FB">
        <w:rPr>
          <w:lang w:val="fr-CH"/>
        </w:rPr>
        <w:tab/>
        <w:t xml:space="preserve">que ces programmes spatiaux représentent des efforts et des investissements à long terme qui </w:t>
      </w:r>
      <w:r>
        <w:rPr>
          <w:lang w:val="fr-CH"/>
        </w:rPr>
        <w:t>s'échelonnent</w:t>
      </w:r>
      <w:r w:rsidRPr="000954FB">
        <w:rPr>
          <w:lang w:val="fr-CH"/>
        </w:rPr>
        <w:t xml:space="preserve"> sur plusieurs décennies, entre le moment où le programme est officiellement approuvé et le développement, la phase de lancement et la date à laquelle les satellites correspondants sont en service;</w:t>
      </w:r>
    </w:p>
    <w:p w:rsidR="00B45034" w:rsidRPr="000954FB" w:rsidRDefault="00B45034" w:rsidP="00A17011">
      <w:pPr>
        <w:jc w:val="both"/>
        <w:rPr>
          <w:lang w:val="fr-CH"/>
        </w:rPr>
      </w:pPr>
      <w:r w:rsidRPr="000954FB">
        <w:rPr>
          <w:i/>
          <w:iCs/>
          <w:lang w:val="fr-CH"/>
        </w:rPr>
        <w:t>c)</w:t>
      </w:r>
      <w:r w:rsidRPr="000954FB">
        <w:rPr>
          <w:lang w:val="fr-CH"/>
        </w:rPr>
        <w:tab/>
        <w:t xml:space="preserve">que </w:t>
      </w:r>
      <w:r>
        <w:rPr>
          <w:lang w:val="fr-CH"/>
        </w:rPr>
        <w:t>des</w:t>
      </w:r>
      <w:r w:rsidRPr="000954FB">
        <w:rPr>
          <w:lang w:val="fr-CH"/>
        </w:rPr>
        <w:t xml:space="preserve"> agences spatiales et des instituts météorologiques investissent en faveur de la continuité de ces programmes, pour lesquels seront utilisés par la suite des satellites et des charges utiles;</w:t>
      </w:r>
    </w:p>
    <w:p w:rsidR="00B45034" w:rsidRPr="000954FB" w:rsidRDefault="00B45034" w:rsidP="00A17011">
      <w:pPr>
        <w:jc w:val="both"/>
        <w:rPr>
          <w:lang w:val="fr-CH"/>
        </w:rPr>
      </w:pPr>
      <w:r w:rsidRPr="000954FB">
        <w:rPr>
          <w:i/>
          <w:iCs/>
          <w:lang w:val="fr-CH"/>
        </w:rPr>
        <w:t>d)</w:t>
      </w:r>
      <w:r>
        <w:rPr>
          <w:lang w:val="fr-CH"/>
        </w:rPr>
        <w:tab/>
      </w:r>
      <w:r w:rsidRPr="000954FB">
        <w:rPr>
          <w:lang w:val="fr-CH"/>
        </w:rPr>
        <w:t>qu'un relèvement au statut primaire de l'attribution de la bande de fréquences 460</w:t>
      </w:r>
      <w:r>
        <w:rPr>
          <w:lang w:val="fr-CH"/>
        </w:rPr>
        <w:noBreakHyphen/>
      </w:r>
      <w:r w:rsidRPr="000954FB">
        <w:rPr>
          <w:lang w:val="fr-CH"/>
        </w:rPr>
        <w:t xml:space="preserve">470 MHz au service </w:t>
      </w:r>
      <w:proofErr w:type="spellStart"/>
      <w:r>
        <w:rPr>
          <w:lang w:val="fr-CH"/>
        </w:rPr>
        <w:t>MetSat</w:t>
      </w:r>
      <w:proofErr w:type="spellEnd"/>
      <w:r w:rsidRPr="000954FB">
        <w:rPr>
          <w:lang w:val="fr-CH"/>
        </w:rPr>
        <w:t xml:space="preserve"> (espace vers Terre) et au </w:t>
      </w:r>
      <w:r>
        <w:rPr>
          <w:lang w:val="fr-CH"/>
        </w:rPr>
        <w:t>SETS</w:t>
      </w:r>
      <w:r w:rsidRPr="000954FB">
        <w:rPr>
          <w:lang w:val="fr-CH"/>
        </w:rPr>
        <w:t xml:space="preserve"> (espace vers Terre), parallèlement à l'adoption de mesures appropriées visant à protéger comme il se doit les services bénéficiant actuellement d'attributions à titre primaire dans cette bande</w:t>
      </w:r>
      <w:r w:rsidRPr="00D14245">
        <w:rPr>
          <w:lang w:val="fr-CH"/>
        </w:rPr>
        <w:t xml:space="preserve"> </w:t>
      </w:r>
      <w:r>
        <w:rPr>
          <w:lang w:val="fr-CH"/>
        </w:rPr>
        <w:t>de fréquences</w:t>
      </w:r>
      <w:r w:rsidRPr="000954FB">
        <w:rPr>
          <w:lang w:val="fr-CH"/>
        </w:rPr>
        <w:t>, donnera aux administrations et aux agences spatiales ayant des programmes de collecte de données par satellite ainsi qu'au secteur public assurant le financement du développement et de l'exploitation de ces systèmes la confiance dont ils ont besoin;</w:t>
      </w:r>
    </w:p>
    <w:p w:rsidR="00B45034" w:rsidRPr="000954FB" w:rsidRDefault="00B45034" w:rsidP="00A17011">
      <w:pPr>
        <w:jc w:val="both"/>
        <w:rPr>
          <w:lang w:val="fr-CH"/>
        </w:rPr>
      </w:pPr>
      <w:r w:rsidRPr="00851D24">
        <w:rPr>
          <w:i/>
          <w:iCs/>
          <w:lang w:val="fr-CH"/>
        </w:rPr>
        <w:t>e)</w:t>
      </w:r>
      <w:r>
        <w:rPr>
          <w:lang w:val="fr-CH"/>
        </w:rPr>
        <w:tab/>
      </w:r>
      <w:r w:rsidRPr="000954FB">
        <w:rPr>
          <w:lang w:val="fr-CH"/>
        </w:rPr>
        <w:t>qu</w:t>
      </w:r>
      <w:r>
        <w:rPr>
          <w:lang w:val="fr-CH"/>
        </w:rPr>
        <w:t>'</w:t>
      </w:r>
      <w:r w:rsidRPr="000954FB">
        <w:rPr>
          <w:lang w:val="fr-CH"/>
        </w:rPr>
        <w:t xml:space="preserve">il est nécessaire que le service </w:t>
      </w:r>
      <w:proofErr w:type="spellStart"/>
      <w:r>
        <w:rPr>
          <w:lang w:val="fr-CH"/>
        </w:rPr>
        <w:t>MetSat</w:t>
      </w:r>
      <w:proofErr w:type="spellEnd"/>
      <w:r w:rsidRPr="000954FB">
        <w:rPr>
          <w:lang w:val="fr-CH"/>
        </w:rPr>
        <w:t xml:space="preserve"> conserve la priorité par rapport </w:t>
      </w:r>
      <w:r>
        <w:rPr>
          <w:lang w:val="fr-CH"/>
        </w:rPr>
        <w:t>au SETS</w:t>
      </w:r>
      <w:r w:rsidRPr="000954FB">
        <w:rPr>
          <w:lang w:val="fr-CH"/>
        </w:rPr>
        <w:t xml:space="preserve"> dans la bande de fréquences 460 470 MHz;</w:t>
      </w:r>
    </w:p>
    <w:p w:rsidR="00B45034" w:rsidRPr="000954FB" w:rsidRDefault="00B45034" w:rsidP="00A17011">
      <w:pPr>
        <w:jc w:val="both"/>
        <w:rPr>
          <w:lang w:val="fr-CH"/>
        </w:rPr>
      </w:pPr>
      <w:r w:rsidRPr="000954FB">
        <w:rPr>
          <w:i/>
          <w:iCs/>
          <w:lang w:val="fr-CH"/>
        </w:rPr>
        <w:t>f)</w:t>
      </w:r>
      <w:r w:rsidRPr="000954FB">
        <w:rPr>
          <w:lang w:val="fr-CH"/>
        </w:rPr>
        <w:tab/>
        <w:t xml:space="preserve">que les stations terriennes du service </w:t>
      </w:r>
      <w:proofErr w:type="spellStart"/>
      <w:r w:rsidRPr="000954FB">
        <w:rPr>
          <w:lang w:val="fr-CH"/>
        </w:rPr>
        <w:t>MetSat</w:t>
      </w:r>
      <w:proofErr w:type="spellEnd"/>
      <w:r w:rsidRPr="000954FB">
        <w:rPr>
          <w:lang w:val="fr-CH"/>
        </w:rPr>
        <w:t xml:space="preserve"> et du SETS ne demanderont pas à bénéficier d'une protection vis-à-vis des stations des services fixe et mobile;</w:t>
      </w:r>
    </w:p>
    <w:p w:rsidR="00B45034" w:rsidRPr="000954FB" w:rsidRDefault="00B45034" w:rsidP="00A17011">
      <w:pPr>
        <w:jc w:val="both"/>
        <w:rPr>
          <w:lang w:val="fr-CH"/>
        </w:rPr>
      </w:pPr>
      <w:r w:rsidRPr="00851D24">
        <w:rPr>
          <w:i/>
          <w:iCs/>
          <w:lang w:val="fr-CH"/>
        </w:rPr>
        <w:t>g)</w:t>
      </w:r>
      <w:r>
        <w:rPr>
          <w:lang w:val="fr-CH"/>
        </w:rPr>
        <w:tab/>
        <w:t>q</w:t>
      </w:r>
      <w:r w:rsidRPr="000954FB">
        <w:rPr>
          <w:lang w:val="fr-CH"/>
        </w:rPr>
        <w:t>ue les accord</w:t>
      </w:r>
      <w:r>
        <w:rPr>
          <w:lang w:val="fr-CH"/>
        </w:rPr>
        <w:t xml:space="preserve">s obtenus au titre du numéro </w:t>
      </w:r>
      <w:r w:rsidRPr="00A661CC">
        <w:rPr>
          <w:b/>
          <w:bCs/>
          <w:lang w:val="fr-CH"/>
        </w:rPr>
        <w:t>5.290</w:t>
      </w:r>
      <w:r w:rsidRPr="000954FB">
        <w:rPr>
          <w:lang w:val="fr-CH"/>
        </w:rPr>
        <w:t xml:space="preserve"> restent en vigueur,</w:t>
      </w:r>
    </w:p>
    <w:p w:rsidR="00B45034" w:rsidRPr="000954FB" w:rsidRDefault="00B45034" w:rsidP="00A17011">
      <w:pPr>
        <w:pStyle w:val="Call"/>
        <w:jc w:val="both"/>
        <w:rPr>
          <w:lang w:val="fr-CH"/>
        </w:rPr>
      </w:pPr>
      <w:r w:rsidRPr="000954FB">
        <w:rPr>
          <w:lang w:val="fr-CH"/>
        </w:rPr>
        <w:t>décide d</w:t>
      </w:r>
      <w:r>
        <w:rPr>
          <w:lang w:val="fr-CH"/>
        </w:rPr>
        <w:t>'</w:t>
      </w:r>
      <w:r w:rsidRPr="000954FB">
        <w:rPr>
          <w:lang w:val="fr-CH"/>
        </w:rPr>
        <w:t xml:space="preserve">inviter la </w:t>
      </w:r>
      <w:r>
        <w:rPr>
          <w:lang w:val="fr-CH"/>
        </w:rPr>
        <w:t>Conférence mondiale des radiocommunications de 2019</w:t>
      </w:r>
    </w:p>
    <w:p w:rsidR="00B45034" w:rsidRPr="000954FB" w:rsidRDefault="00B45034" w:rsidP="00A17011">
      <w:pPr>
        <w:jc w:val="both"/>
        <w:rPr>
          <w:lang w:val="fr-CH"/>
        </w:rPr>
      </w:pPr>
      <w:r w:rsidRPr="000954FB">
        <w:rPr>
          <w:lang w:val="fr-CH"/>
        </w:rPr>
        <w:t>à envisager, sur la base des résultats des études</w:t>
      </w:r>
      <w:r>
        <w:rPr>
          <w:lang w:val="fr-CH"/>
        </w:rPr>
        <w:t xml:space="preserve"> du Secteur des radiocommunications</w:t>
      </w:r>
      <w:r w:rsidRPr="000954FB">
        <w:rPr>
          <w:lang w:val="fr-CH"/>
        </w:rPr>
        <w:t xml:space="preserve"> de l</w:t>
      </w:r>
      <w:r>
        <w:rPr>
          <w:lang w:val="fr-CH"/>
        </w:rPr>
        <w:t>'</w:t>
      </w:r>
      <w:r w:rsidRPr="000954FB">
        <w:rPr>
          <w:lang w:val="fr-CH"/>
        </w:rPr>
        <w:t>UIT</w:t>
      </w:r>
      <w:r>
        <w:rPr>
          <w:lang w:val="fr-CH"/>
        </w:rPr>
        <w:t xml:space="preserve"> (UIT</w:t>
      </w:r>
      <w:r>
        <w:rPr>
          <w:lang w:val="fr-CH"/>
        </w:rPr>
        <w:noBreakHyphen/>
        <w:t>R)</w:t>
      </w:r>
      <w:r w:rsidRPr="000954FB">
        <w:rPr>
          <w:lang w:val="fr-CH"/>
        </w:rPr>
        <w:t xml:space="preserve">, de relever </w:t>
      </w:r>
      <w:r>
        <w:rPr>
          <w:lang w:val="fr-CH"/>
        </w:rPr>
        <w:t xml:space="preserve">éventuellement </w:t>
      </w:r>
      <w:r w:rsidRPr="000954FB">
        <w:rPr>
          <w:lang w:val="fr-CH"/>
        </w:rPr>
        <w:t>le statut de l'attribution à titre secondaire au</w:t>
      </w:r>
      <w:r>
        <w:rPr>
          <w:lang w:val="fr-CH"/>
        </w:rPr>
        <w:t xml:space="preserve"> service</w:t>
      </w:r>
      <w:r w:rsidRPr="000954FB">
        <w:rPr>
          <w:lang w:val="fr-CH"/>
        </w:rPr>
        <w:t xml:space="preserve"> </w:t>
      </w:r>
      <w:proofErr w:type="spellStart"/>
      <w:r>
        <w:rPr>
          <w:lang w:val="fr-CH"/>
        </w:rPr>
        <w:t>MetSat</w:t>
      </w:r>
      <w:proofErr w:type="spellEnd"/>
      <w:r w:rsidRPr="000954FB">
        <w:rPr>
          <w:lang w:val="fr-CH"/>
        </w:rPr>
        <w:t xml:space="preserve"> (espace vers Terre) pour lui conférer le statut primaire</w:t>
      </w:r>
      <w:r>
        <w:rPr>
          <w:lang w:val="fr-CH"/>
        </w:rPr>
        <w:t>,</w:t>
      </w:r>
      <w:r w:rsidRPr="000954FB">
        <w:rPr>
          <w:lang w:val="fr-CH"/>
        </w:rPr>
        <w:t xml:space="preserve"> et d</w:t>
      </w:r>
      <w:r>
        <w:rPr>
          <w:lang w:val="fr-CH"/>
        </w:rPr>
        <w:t>'</w:t>
      </w:r>
      <w:r w:rsidRPr="000954FB">
        <w:rPr>
          <w:lang w:val="fr-CH"/>
        </w:rPr>
        <w:t xml:space="preserve">ajouter une attribution à titre primaire au </w:t>
      </w:r>
      <w:r>
        <w:rPr>
          <w:lang w:val="fr-CH"/>
        </w:rPr>
        <w:t>SETS</w:t>
      </w:r>
      <w:r w:rsidRPr="000954FB">
        <w:rPr>
          <w:lang w:val="fr-CH"/>
        </w:rPr>
        <w:t xml:space="preserve"> (espace vers Terre) dans la bande de fréquences </w:t>
      </w:r>
      <w:r>
        <w:rPr>
          <w:lang w:val="fr-CH"/>
        </w:rPr>
        <w:t>460-</w:t>
      </w:r>
      <w:r w:rsidRPr="000954FB">
        <w:rPr>
          <w:lang w:val="fr-CH"/>
        </w:rPr>
        <w:t xml:space="preserve">470 MHz, </w:t>
      </w:r>
      <w:r>
        <w:rPr>
          <w:lang w:val="fr-CH"/>
        </w:rPr>
        <w:t xml:space="preserve">tout </w:t>
      </w:r>
      <w:r w:rsidRPr="000954FB">
        <w:rPr>
          <w:lang w:val="fr-CH"/>
        </w:rPr>
        <w:t xml:space="preserve">en assurant la protection des services primaires existants </w:t>
      </w:r>
      <w:r>
        <w:rPr>
          <w:lang w:val="fr-CH"/>
        </w:rPr>
        <w:t xml:space="preserve">auxquels la bande de fréquences est déjà attribuée ainsi que dans les bandes de fréquences adjacentes, </w:t>
      </w:r>
      <w:r w:rsidRPr="000954FB">
        <w:rPr>
          <w:lang w:val="fr-CH"/>
        </w:rPr>
        <w:t>et sans imposer de contraintes additionnelles à ces services</w:t>
      </w:r>
      <w:r>
        <w:rPr>
          <w:lang w:val="fr-CH"/>
        </w:rPr>
        <w:t>,</w:t>
      </w:r>
    </w:p>
    <w:p w:rsidR="00B45034" w:rsidRPr="000954FB" w:rsidRDefault="00B45034" w:rsidP="00A17011">
      <w:pPr>
        <w:pStyle w:val="Call"/>
        <w:jc w:val="both"/>
        <w:rPr>
          <w:lang w:val="fr-CH"/>
        </w:rPr>
      </w:pPr>
      <w:r>
        <w:rPr>
          <w:lang w:val="fr-CH"/>
        </w:rPr>
        <w:t>invite</w:t>
      </w:r>
      <w:r w:rsidRPr="000954FB">
        <w:rPr>
          <w:lang w:val="fr-CH"/>
        </w:rPr>
        <w:t xml:space="preserve"> </w:t>
      </w:r>
      <w:r>
        <w:rPr>
          <w:lang w:val="fr-CH"/>
        </w:rPr>
        <w:t>l</w:t>
      </w:r>
      <w:r w:rsidRPr="000954FB">
        <w:rPr>
          <w:lang w:val="fr-CH"/>
        </w:rPr>
        <w:t>'UIT</w:t>
      </w:r>
      <w:r>
        <w:rPr>
          <w:lang w:val="fr-CH"/>
        </w:rPr>
        <w:t>-R</w:t>
      </w:r>
    </w:p>
    <w:p w:rsidR="00B45034" w:rsidRPr="000954FB" w:rsidRDefault="00B45034" w:rsidP="00A17011">
      <w:pPr>
        <w:jc w:val="both"/>
        <w:rPr>
          <w:lang w:val="fr-CH"/>
        </w:rPr>
      </w:pPr>
      <w:r w:rsidRPr="000954FB">
        <w:rPr>
          <w:lang w:val="fr-CH"/>
        </w:rPr>
        <w:t>1</w:t>
      </w:r>
      <w:r w:rsidRPr="000954FB">
        <w:rPr>
          <w:lang w:val="fr-CH"/>
        </w:rPr>
        <w:tab/>
        <w:t>à effectuer et à achever, à temps pour la CMR-19, des études de partage et de compatibilité, afin de déterminer s</w:t>
      </w:r>
      <w:r>
        <w:rPr>
          <w:lang w:val="fr-CH"/>
        </w:rPr>
        <w:t>'</w:t>
      </w:r>
      <w:r w:rsidRPr="000954FB">
        <w:rPr>
          <w:lang w:val="fr-CH"/>
        </w:rPr>
        <w:t xml:space="preserve">il est possible de relever au statut primaire </w:t>
      </w:r>
      <w:r>
        <w:rPr>
          <w:lang w:val="fr-CH"/>
        </w:rPr>
        <w:t>le</w:t>
      </w:r>
      <w:r w:rsidRPr="000954FB">
        <w:rPr>
          <w:lang w:val="fr-CH"/>
        </w:rPr>
        <w:t xml:space="preserve"> service </w:t>
      </w:r>
      <w:proofErr w:type="spellStart"/>
      <w:r>
        <w:rPr>
          <w:lang w:val="fr-CH"/>
        </w:rPr>
        <w:t>MetSat</w:t>
      </w:r>
      <w:proofErr w:type="spellEnd"/>
      <w:r w:rsidRPr="000954FB">
        <w:rPr>
          <w:lang w:val="fr-CH"/>
        </w:rPr>
        <w:t xml:space="preserve"> (espace vers Terre) et d</w:t>
      </w:r>
      <w:r>
        <w:rPr>
          <w:lang w:val="fr-CH"/>
        </w:rPr>
        <w:t>'</w:t>
      </w:r>
      <w:r w:rsidRPr="000954FB">
        <w:rPr>
          <w:lang w:val="fr-CH"/>
        </w:rPr>
        <w:t xml:space="preserve">ajouter une attribution à titre primaire au </w:t>
      </w:r>
      <w:r>
        <w:rPr>
          <w:lang w:val="fr-CH"/>
        </w:rPr>
        <w:t>SETS</w:t>
      </w:r>
      <w:r w:rsidRPr="000954FB">
        <w:rPr>
          <w:lang w:val="fr-CH"/>
        </w:rPr>
        <w:t xml:space="preserve"> (espace vers Terre) dans la bande de fréquences </w:t>
      </w:r>
      <w:r>
        <w:rPr>
          <w:lang w:val="fr-CH"/>
        </w:rPr>
        <w:t>460-470 </w:t>
      </w:r>
      <w:r w:rsidRPr="000954FB">
        <w:rPr>
          <w:lang w:val="fr-CH"/>
        </w:rPr>
        <w:t xml:space="preserve">MHz, tout en assurant la protection des services fixe et mobile primaires auxquels la bande </w:t>
      </w:r>
      <w:r>
        <w:rPr>
          <w:lang w:val="fr-CH"/>
        </w:rPr>
        <w:t xml:space="preserve">de fréquences </w:t>
      </w:r>
      <w:r w:rsidRPr="000954FB">
        <w:rPr>
          <w:lang w:val="fr-CH"/>
        </w:rPr>
        <w:t>est déjà attribuée</w:t>
      </w:r>
      <w:r>
        <w:rPr>
          <w:lang w:val="fr-CH"/>
        </w:rPr>
        <w:t>,</w:t>
      </w:r>
      <w:r w:rsidRPr="000954FB">
        <w:rPr>
          <w:lang w:val="fr-CH"/>
        </w:rPr>
        <w:t xml:space="preserve"> et en maintenant </w:t>
      </w:r>
      <w:r>
        <w:rPr>
          <w:lang w:val="fr-CH"/>
        </w:rPr>
        <w:t xml:space="preserve">les conditions </w:t>
      </w:r>
      <w:r w:rsidRPr="000954FB">
        <w:rPr>
          <w:lang w:val="fr-CH"/>
        </w:rPr>
        <w:t>indiquée</w:t>
      </w:r>
      <w:r>
        <w:rPr>
          <w:lang w:val="fr-CH"/>
        </w:rPr>
        <w:t>s</w:t>
      </w:r>
      <w:r w:rsidRPr="000954FB">
        <w:rPr>
          <w:lang w:val="fr-CH"/>
        </w:rPr>
        <w:t xml:space="preserve"> au numéro </w:t>
      </w:r>
      <w:r w:rsidRPr="000954FB">
        <w:rPr>
          <w:rStyle w:val="Artdef"/>
          <w:lang w:val="fr-CH"/>
        </w:rPr>
        <w:t>5.289</w:t>
      </w:r>
      <w:r w:rsidRPr="000954FB">
        <w:rPr>
          <w:lang w:val="fr-CH"/>
        </w:rPr>
        <w:t>;</w:t>
      </w:r>
    </w:p>
    <w:p w:rsidR="00B45034" w:rsidRPr="000954FB" w:rsidRDefault="00B45034" w:rsidP="00A17011">
      <w:pPr>
        <w:jc w:val="both"/>
      </w:pPr>
      <w:r w:rsidRPr="000954FB">
        <w:rPr>
          <w:lang w:val="fr-CH"/>
        </w:rPr>
        <w:lastRenderedPageBreak/>
        <w:t>2</w:t>
      </w:r>
      <w:r w:rsidRPr="000954FB">
        <w:rPr>
          <w:lang w:val="fr-CH"/>
        </w:rPr>
        <w:tab/>
        <w:t xml:space="preserve">à achever les études, compte tenu de l'utilisation actuelle de la bande de fréquences </w:t>
      </w:r>
      <w:r>
        <w:rPr>
          <w:lang w:val="fr-CH"/>
        </w:rPr>
        <w:t>460</w:t>
      </w:r>
      <w:r>
        <w:rPr>
          <w:lang w:val="fr-CH"/>
        </w:rPr>
        <w:noBreakHyphen/>
        <w:t xml:space="preserve">470 MHz </w:t>
      </w:r>
      <w:r w:rsidRPr="000954FB">
        <w:rPr>
          <w:lang w:val="fr-CH"/>
        </w:rPr>
        <w:t>par les services</w:t>
      </w:r>
      <w:r>
        <w:rPr>
          <w:lang w:val="fr-CH"/>
        </w:rPr>
        <w:t xml:space="preserve"> existants</w:t>
      </w:r>
      <w:r w:rsidRPr="000954FB">
        <w:rPr>
          <w:lang w:val="fr-CH"/>
        </w:rPr>
        <w:t xml:space="preserve">, afin de déterminer la limite de puissance surfacique appropriée à imposer au service </w:t>
      </w:r>
      <w:proofErr w:type="spellStart"/>
      <w:r>
        <w:rPr>
          <w:lang w:val="fr-CH"/>
        </w:rPr>
        <w:t>MetSat</w:t>
      </w:r>
      <w:proofErr w:type="spellEnd"/>
      <w:r w:rsidRPr="000954FB">
        <w:rPr>
          <w:lang w:val="fr-CH"/>
        </w:rPr>
        <w:t xml:space="preserve"> (espace vers Terre) et au </w:t>
      </w:r>
      <w:r>
        <w:rPr>
          <w:lang w:val="fr-CH"/>
        </w:rPr>
        <w:t>SETS</w:t>
      </w:r>
      <w:r w:rsidRPr="000954FB">
        <w:rPr>
          <w:lang w:val="fr-CH"/>
        </w:rPr>
        <w:t xml:space="preserve"> (espace vers Terre) pour protéger les services primaires existants </w:t>
      </w:r>
      <w:r>
        <w:rPr>
          <w:lang w:val="fr-CH"/>
        </w:rPr>
        <w:t>auxquels cette bande de fréquences est déjà attribuée, à condition que, s</w:t>
      </w:r>
      <w:r w:rsidRPr="000954FB">
        <w:rPr>
          <w:lang w:val="fr-CH"/>
        </w:rPr>
        <w:t xml:space="preserve">'il est conclu dans les études qu'une limite de puissance surfacique moins restrictive que celle indiquée au point </w:t>
      </w:r>
      <w:r w:rsidRPr="000954FB">
        <w:rPr>
          <w:i/>
          <w:iCs/>
          <w:lang w:val="fr-CH"/>
        </w:rPr>
        <w:t xml:space="preserve">a) </w:t>
      </w:r>
      <w:r w:rsidRPr="000954FB">
        <w:rPr>
          <w:lang w:val="fr-CH"/>
        </w:rPr>
        <w:t xml:space="preserve">du </w:t>
      </w:r>
      <w:r w:rsidRPr="000954FB">
        <w:rPr>
          <w:i/>
          <w:iCs/>
          <w:lang w:val="fr-CH"/>
        </w:rPr>
        <w:t>considérant en outre</w:t>
      </w:r>
      <w:r w:rsidRPr="000954FB">
        <w:rPr>
          <w:lang w:val="fr-CH"/>
        </w:rPr>
        <w:t xml:space="preserve"> permet de protéger les services existants, la limite de puissance surfacique indiquée au point</w:t>
      </w:r>
      <w:r>
        <w:rPr>
          <w:lang w:val="fr-CH"/>
        </w:rPr>
        <w:t> </w:t>
      </w:r>
      <w:r w:rsidRPr="000954FB">
        <w:rPr>
          <w:i/>
          <w:iCs/>
          <w:lang w:val="fr-CH"/>
        </w:rPr>
        <w:t xml:space="preserve">a) </w:t>
      </w:r>
      <w:r w:rsidRPr="000954FB">
        <w:t xml:space="preserve">du </w:t>
      </w:r>
      <w:r w:rsidRPr="000954FB">
        <w:rPr>
          <w:i/>
          <w:iCs/>
        </w:rPr>
        <w:t>considérant en outre</w:t>
      </w:r>
      <w:r w:rsidRPr="000954FB">
        <w:t xml:space="preserve"> s</w:t>
      </w:r>
      <w:r>
        <w:t>'applique</w:t>
      </w:r>
      <w:r w:rsidRPr="000954FB">
        <w:t>,</w:t>
      </w:r>
    </w:p>
    <w:p w:rsidR="00B45034" w:rsidRPr="000954FB" w:rsidRDefault="00B45034" w:rsidP="00A17011">
      <w:pPr>
        <w:pStyle w:val="Call"/>
        <w:jc w:val="both"/>
        <w:rPr>
          <w:lang w:val="fr-CH"/>
        </w:rPr>
      </w:pPr>
      <w:r w:rsidRPr="000954FB">
        <w:rPr>
          <w:lang w:val="fr-CH"/>
        </w:rPr>
        <w:t>invite les administrations</w:t>
      </w:r>
    </w:p>
    <w:p w:rsidR="00B45034" w:rsidRPr="000954FB" w:rsidRDefault="00B45034" w:rsidP="00A17011">
      <w:pPr>
        <w:jc w:val="both"/>
        <w:rPr>
          <w:lang w:val="fr-CH"/>
        </w:rPr>
      </w:pPr>
      <w:r w:rsidRPr="000954FB">
        <w:rPr>
          <w:lang w:val="fr-CH"/>
        </w:rPr>
        <w:t>à participer activement aux études et à fournir les caractéristiques techniques et opérationnelles des systèmes concernés en soumettant des contributions à l'UIT-R,</w:t>
      </w:r>
    </w:p>
    <w:p w:rsidR="00B45034" w:rsidRPr="000954FB" w:rsidRDefault="00B45034" w:rsidP="00A17011">
      <w:pPr>
        <w:pStyle w:val="Call"/>
        <w:jc w:val="both"/>
        <w:rPr>
          <w:lang w:val="fr-CH"/>
        </w:rPr>
      </w:pPr>
      <w:r w:rsidRPr="000954FB">
        <w:rPr>
          <w:lang w:val="fr-CH"/>
        </w:rPr>
        <w:t>charge le Secrétaire général</w:t>
      </w:r>
    </w:p>
    <w:p w:rsidR="00B45034" w:rsidRDefault="00B45034" w:rsidP="00A17011">
      <w:pPr>
        <w:jc w:val="both"/>
        <w:rPr>
          <w:lang w:val="fr-CH"/>
        </w:rPr>
      </w:pPr>
      <w:r w:rsidRPr="000954FB">
        <w:rPr>
          <w:lang w:val="fr-CH"/>
        </w:rPr>
        <w:t xml:space="preserve">de porter la présente Résolution à l'attention </w:t>
      </w:r>
      <w:r>
        <w:rPr>
          <w:lang w:val="fr-CH"/>
        </w:rPr>
        <w:t xml:space="preserve">de l'Organisation météorologique mondiale (OMM) </w:t>
      </w:r>
      <w:r w:rsidRPr="000954FB">
        <w:rPr>
          <w:lang w:val="fr-CH"/>
        </w:rPr>
        <w:t>et des autres organisations internationales ou régionales concernées.</w:t>
      </w:r>
    </w:p>
    <w:p w:rsidR="00EF0551" w:rsidRPr="00B45034" w:rsidRDefault="00EF0551" w:rsidP="00A17011">
      <w:pPr>
        <w:rPr>
          <w:rFonts w:asciiTheme="majorBidi" w:hAnsiTheme="majorBidi" w:cstheme="majorBidi"/>
          <w:szCs w:val="24"/>
          <w:lang w:val="fr-CH"/>
        </w:rPr>
      </w:pPr>
    </w:p>
    <w:p w:rsidR="003A1E99" w:rsidRPr="00B45034" w:rsidRDefault="003A1E99" w:rsidP="00A17011">
      <w:pPr>
        <w:overflowPunct/>
        <w:autoSpaceDE/>
        <w:autoSpaceDN/>
        <w:adjustRightInd/>
        <w:spacing w:before="0"/>
        <w:textAlignment w:val="auto"/>
        <w:rPr>
          <w:rFonts w:asciiTheme="majorBidi" w:hAnsiTheme="majorBidi" w:cstheme="majorBidi"/>
          <w:szCs w:val="24"/>
        </w:rPr>
      </w:pPr>
      <w:r w:rsidRPr="00B45034">
        <w:rPr>
          <w:rFonts w:asciiTheme="majorBidi" w:hAnsiTheme="majorBidi" w:cstheme="majorBidi"/>
          <w:szCs w:val="24"/>
        </w:rPr>
        <w:br w:type="page"/>
      </w:r>
    </w:p>
    <w:p w:rsidR="00A20F5A" w:rsidRPr="00A20F5A" w:rsidRDefault="009277D4" w:rsidP="00A17011">
      <w:pPr>
        <w:pStyle w:val="ResNo"/>
        <w:rPr>
          <w:rStyle w:val="Artdef"/>
          <w:b w:val="0"/>
        </w:rPr>
      </w:pPr>
      <w:bookmarkStart w:id="298" w:name="RES_767"/>
      <w:bookmarkStart w:id="299" w:name="_Toc444507650"/>
      <w:bookmarkStart w:id="300" w:name="_Toc460331744"/>
      <w:bookmarkStart w:id="301" w:name="_Toc463616201"/>
      <w:r>
        <w:rPr>
          <w:rStyle w:val="Artdef"/>
          <w:b w:val="0"/>
        </w:rPr>
        <w:lastRenderedPageBreak/>
        <w:t>R</w:t>
      </w:r>
      <w:r w:rsidR="001D5201" w:rsidRPr="001D5201">
        <w:t>É</w:t>
      </w:r>
      <w:r w:rsidR="00A20F5A" w:rsidRPr="00A20F5A">
        <w:rPr>
          <w:rStyle w:val="Artdef"/>
          <w:b w:val="0"/>
        </w:rPr>
        <w:t xml:space="preserve">SOLUTION </w:t>
      </w:r>
      <w:r w:rsidR="00A20F5A" w:rsidRPr="00A20F5A">
        <w:rPr>
          <w:rStyle w:val="href"/>
        </w:rPr>
        <w:t>767</w:t>
      </w:r>
      <w:r w:rsidR="00A20F5A" w:rsidRPr="00A20F5A">
        <w:rPr>
          <w:rStyle w:val="Artdef"/>
          <w:b w:val="0"/>
        </w:rPr>
        <w:t xml:space="preserve"> </w:t>
      </w:r>
      <w:bookmarkEnd w:id="298"/>
      <w:r w:rsidR="00A20F5A" w:rsidRPr="00A20F5A">
        <w:rPr>
          <w:rStyle w:val="Artdef"/>
          <w:b w:val="0"/>
        </w:rPr>
        <w:t>(</w:t>
      </w:r>
      <w:r w:rsidR="005A2541" w:rsidRPr="00A20F5A">
        <w:t>C</w:t>
      </w:r>
      <w:r w:rsidR="005A2541">
        <w:t>MR</w:t>
      </w:r>
      <w:r w:rsidR="00A20F5A" w:rsidRPr="00A20F5A">
        <w:rPr>
          <w:rStyle w:val="Artdef"/>
          <w:b w:val="0"/>
        </w:rPr>
        <w:t>-15)</w:t>
      </w:r>
      <w:bookmarkEnd w:id="299"/>
      <w:bookmarkEnd w:id="300"/>
      <w:bookmarkEnd w:id="301"/>
    </w:p>
    <w:p w:rsidR="00B45034" w:rsidRPr="00730563" w:rsidRDefault="00B45034" w:rsidP="00A17011">
      <w:pPr>
        <w:pStyle w:val="Restitle"/>
        <w:rPr>
          <w:lang w:val="fr-CH"/>
        </w:rPr>
      </w:pPr>
      <w:bookmarkStart w:id="302" w:name="_Toc450208823"/>
      <w:bookmarkStart w:id="303" w:name="_Toc463616202"/>
      <w:proofErr w:type="spellStart"/>
      <w:r>
        <w:rPr>
          <w:lang w:val="fr-CH"/>
        </w:rPr>
        <w:t>E</w:t>
      </w:r>
      <w:r w:rsidRPr="00730563">
        <w:rPr>
          <w:lang w:val="fr-CH"/>
        </w:rPr>
        <w:t>tudes</w:t>
      </w:r>
      <w:proofErr w:type="spellEnd"/>
      <w:r w:rsidRPr="00730563">
        <w:rPr>
          <w:lang w:val="fr-CH"/>
        </w:rPr>
        <w:t xml:space="preserve"> en vue de l</w:t>
      </w:r>
      <w:r>
        <w:rPr>
          <w:lang w:val="fr-CH"/>
        </w:rPr>
        <w:t>'</w:t>
      </w:r>
      <w:r w:rsidRPr="00730563">
        <w:rPr>
          <w:lang w:val="fr-CH"/>
        </w:rPr>
        <w:t xml:space="preserve">identification </w:t>
      </w:r>
      <w:r>
        <w:rPr>
          <w:lang w:val="fr-CH"/>
        </w:rPr>
        <w:t xml:space="preserve">de bandes de fréquences destinées à être utilisées par les administrations </w:t>
      </w:r>
      <w:r w:rsidRPr="00730563">
        <w:rPr>
          <w:lang w:val="fr-CH"/>
        </w:rPr>
        <w:t>pour le</w:t>
      </w:r>
      <w:r>
        <w:rPr>
          <w:lang w:val="fr-CH"/>
        </w:rPr>
        <w:t>s</w:t>
      </w:r>
      <w:r w:rsidRPr="00730563">
        <w:rPr>
          <w:lang w:val="fr-CH"/>
        </w:rPr>
        <w:t xml:space="preserve"> </w:t>
      </w:r>
      <w:r>
        <w:rPr>
          <w:lang w:val="fr-CH"/>
        </w:rPr>
        <w:t xml:space="preserve">applications des </w:t>
      </w:r>
      <w:r w:rsidRPr="00730563">
        <w:rPr>
          <w:lang w:val="fr-CH"/>
        </w:rPr>
        <w:t>service</w:t>
      </w:r>
      <w:r>
        <w:rPr>
          <w:lang w:val="fr-CH"/>
        </w:rPr>
        <w:t>s</w:t>
      </w:r>
      <w:r w:rsidRPr="00730563">
        <w:rPr>
          <w:lang w:val="fr-CH"/>
        </w:rPr>
        <w:t xml:space="preserve"> mobile terrestre et fixe </w:t>
      </w:r>
      <w:r>
        <w:rPr>
          <w:lang w:val="fr-CH"/>
        </w:rPr>
        <w:t>fo</w:t>
      </w:r>
      <w:r w:rsidRPr="00730563">
        <w:rPr>
          <w:lang w:val="fr-CH"/>
        </w:rPr>
        <w:t>nctionn</w:t>
      </w:r>
      <w:r>
        <w:rPr>
          <w:lang w:val="fr-CH"/>
        </w:rPr>
        <w:t>ant dans la gamme de fréquences</w:t>
      </w:r>
      <w:r w:rsidRPr="00730563">
        <w:rPr>
          <w:lang w:val="fr-CH"/>
        </w:rPr>
        <w:t xml:space="preserve"> 275-450 GHz</w:t>
      </w:r>
      <w:bookmarkEnd w:id="302"/>
      <w:bookmarkEnd w:id="303"/>
    </w:p>
    <w:p w:rsidR="00B45034" w:rsidRPr="00730563" w:rsidRDefault="00B45034" w:rsidP="00A17011">
      <w:pPr>
        <w:pStyle w:val="Normalaftertitle"/>
        <w:rPr>
          <w:lang w:val="fr-CH"/>
        </w:rPr>
      </w:pPr>
      <w:r w:rsidRPr="00730563">
        <w:rPr>
          <w:lang w:val="fr-CH"/>
        </w:rPr>
        <w:t>La Conférence mondiale des radiocommunications (</w:t>
      </w:r>
      <w:r>
        <w:rPr>
          <w:lang w:val="fr-CH"/>
        </w:rPr>
        <w:t>Genève</w:t>
      </w:r>
      <w:r w:rsidRPr="00730563">
        <w:rPr>
          <w:lang w:val="fr-CH"/>
        </w:rPr>
        <w:t>, 2015),</w:t>
      </w:r>
    </w:p>
    <w:p w:rsidR="00B45034" w:rsidRPr="00730563" w:rsidRDefault="00B45034" w:rsidP="00A17011">
      <w:pPr>
        <w:pStyle w:val="Call"/>
        <w:rPr>
          <w:lang w:val="fr-CH"/>
        </w:rPr>
      </w:pPr>
      <w:r w:rsidRPr="00730563">
        <w:rPr>
          <w:lang w:val="fr-CH"/>
        </w:rPr>
        <w:t xml:space="preserve">considérant </w:t>
      </w:r>
    </w:p>
    <w:p w:rsidR="00B45034" w:rsidRPr="00730563" w:rsidRDefault="00B45034" w:rsidP="00A17011">
      <w:pPr>
        <w:jc w:val="both"/>
        <w:rPr>
          <w:rFonts w:eastAsia="MS Mincho"/>
          <w:lang w:val="fr-CH"/>
        </w:rPr>
      </w:pPr>
      <w:r w:rsidRPr="00B979D7">
        <w:rPr>
          <w:rFonts w:eastAsia="MS Mincho"/>
          <w:i/>
          <w:iCs/>
          <w:lang w:val="fr-CH"/>
        </w:rPr>
        <w:t>a)</w:t>
      </w:r>
      <w:r w:rsidRPr="00730563">
        <w:rPr>
          <w:rFonts w:eastAsia="MS Mincho"/>
          <w:lang w:val="fr-CH"/>
        </w:rPr>
        <w:tab/>
      </w:r>
      <w:r>
        <w:rPr>
          <w:color w:val="000000"/>
        </w:rPr>
        <w:t>que dans la gamme de fréquences 275-1 000 GHz, plusieurs bandes sont identifiées en vue de leur utilisation par les administrations pour les services passifs, par exemple le service de radioastronomie, le service d'exploration de la Terre par satellite (passive) et le service de recherche spatiale (passive);</w:t>
      </w:r>
    </w:p>
    <w:p w:rsidR="00B45034" w:rsidRPr="001467B2" w:rsidRDefault="00B45034" w:rsidP="00A17011">
      <w:pPr>
        <w:jc w:val="both"/>
        <w:rPr>
          <w:lang w:val="fr-CH"/>
        </w:rPr>
      </w:pPr>
      <w:r w:rsidRPr="00B979D7">
        <w:rPr>
          <w:rFonts w:eastAsia="MS Mincho"/>
          <w:i/>
          <w:iCs/>
          <w:lang w:val="fr-CH"/>
        </w:rPr>
        <w:t>b)</w:t>
      </w:r>
      <w:r w:rsidRPr="001467B2">
        <w:rPr>
          <w:rFonts w:eastAsia="MS Mincho"/>
          <w:lang w:val="fr-CH"/>
        </w:rPr>
        <w:tab/>
      </w:r>
      <w:r>
        <w:rPr>
          <w:rFonts w:eastAsia="MS Mincho"/>
          <w:lang w:val="fr-CH"/>
        </w:rPr>
        <w:t>que</w:t>
      </w:r>
      <w:r>
        <w:rPr>
          <w:color w:val="000000"/>
        </w:rPr>
        <w:t xml:space="preserve">, conformément au </w:t>
      </w:r>
      <w:r w:rsidRPr="00324909">
        <w:rPr>
          <w:color w:val="000000"/>
        </w:rPr>
        <w:t>numéro</w:t>
      </w:r>
      <w:r w:rsidRPr="00CD3FE3">
        <w:rPr>
          <w:b/>
          <w:bCs/>
          <w:color w:val="000000"/>
        </w:rPr>
        <w:t xml:space="preserve"> </w:t>
      </w:r>
      <w:r w:rsidRPr="00324909">
        <w:rPr>
          <w:rStyle w:val="Artdef"/>
          <w:rFonts w:eastAsia="MS Mincho"/>
          <w:lang w:val="fr-CH"/>
        </w:rPr>
        <w:t>5.565</w:t>
      </w:r>
      <w:r w:rsidRPr="003C3C2B">
        <w:rPr>
          <w:rStyle w:val="Artdef"/>
          <w:rFonts w:eastAsia="MS Mincho"/>
          <w:b w:val="0"/>
          <w:bCs/>
          <w:lang w:val="fr-CH"/>
        </w:rPr>
        <w:t xml:space="preserve">, </w:t>
      </w:r>
      <w:r w:rsidRPr="009F4FCF">
        <w:t>l'utilisation</w:t>
      </w:r>
      <w:r w:rsidRPr="00E20284">
        <w:t xml:space="preserve"> de la gamme </w:t>
      </w:r>
      <w:r>
        <w:t xml:space="preserve">de </w:t>
      </w:r>
      <w:r w:rsidRPr="00E20284">
        <w:t xml:space="preserve">fréquences </w:t>
      </w:r>
      <w:r>
        <w:t xml:space="preserve">au-dessus de </w:t>
      </w:r>
      <w:r w:rsidRPr="00E20284">
        <w:t>275</w:t>
      </w:r>
      <w:r>
        <w:t xml:space="preserve"> GHz </w:t>
      </w:r>
      <w:r w:rsidRPr="00E20284">
        <w:t>par les services passifs n'exclut pas l'utilisation de cette gamme de fréquences par les services actifs</w:t>
      </w:r>
      <w:r>
        <w:t>;</w:t>
      </w:r>
    </w:p>
    <w:p w:rsidR="00B45034" w:rsidRPr="001467B2" w:rsidRDefault="00B45034" w:rsidP="00A17011">
      <w:pPr>
        <w:jc w:val="both"/>
        <w:rPr>
          <w:lang w:val="fr-CH"/>
        </w:rPr>
      </w:pPr>
      <w:r w:rsidRPr="00B979D7">
        <w:rPr>
          <w:rFonts w:eastAsia="MS Mincho"/>
          <w:i/>
          <w:iCs/>
          <w:lang w:val="fr-CH"/>
        </w:rPr>
        <w:t>c)</w:t>
      </w:r>
      <w:r>
        <w:rPr>
          <w:rFonts w:eastAsia="MS Mincho"/>
          <w:lang w:val="fr-CH"/>
        </w:rPr>
        <w:tab/>
        <w:t xml:space="preserve">que </w:t>
      </w:r>
      <w:r>
        <w:t>l</w:t>
      </w:r>
      <w:r w:rsidRPr="00DC63CA">
        <w:t>es administrations</w:t>
      </w:r>
      <w:r w:rsidRPr="00E20284">
        <w:t xml:space="preserve"> souhaitant </w:t>
      </w:r>
      <w:r>
        <w:t xml:space="preserve">mettre à disposition </w:t>
      </w:r>
      <w:r w:rsidRPr="00E20284">
        <w:t>des fréquences dans la gamme</w:t>
      </w:r>
      <w:r>
        <w:t> </w:t>
      </w:r>
      <w:r w:rsidRPr="00E20284">
        <w:t>275</w:t>
      </w:r>
      <w:r>
        <w:t>-</w:t>
      </w:r>
      <w:r w:rsidRPr="00E20284">
        <w:t xml:space="preserve">1 000 GHz pour les </w:t>
      </w:r>
      <w:r w:rsidRPr="00BA5CEB">
        <w:t>applications</w:t>
      </w:r>
      <w:r w:rsidRPr="00E20284">
        <w:t xml:space="preserve"> des </w:t>
      </w:r>
      <w:r w:rsidRPr="00DC63CA">
        <w:rPr>
          <w:szCs w:val="24"/>
        </w:rPr>
        <w:t>service</w:t>
      </w:r>
      <w:r w:rsidRPr="00E20284">
        <w:t xml:space="preserve">s actifs </w:t>
      </w:r>
      <w:r w:rsidRPr="00DC63CA">
        <w:t xml:space="preserve">sont </w:t>
      </w:r>
      <w:r w:rsidRPr="00E20284">
        <w:t xml:space="preserve">instamment priées de </w:t>
      </w:r>
      <w:r w:rsidRPr="00DC63CA">
        <w:t xml:space="preserve">prendre toutes les mesures pratiquement réalisables pour protéger ces services passifs contre les brouillages préjudiciables jusqu'à la date d'établissement du Tableau d'attribution </w:t>
      </w:r>
      <w:r>
        <w:t>des bandes de fréquences pour les bandes de fréquences concernées;</w:t>
      </w:r>
    </w:p>
    <w:p w:rsidR="00B45034" w:rsidRDefault="00B45034" w:rsidP="00A17011">
      <w:pPr>
        <w:jc w:val="both"/>
        <w:rPr>
          <w:rFonts w:eastAsia="MS Mincho"/>
          <w:lang w:val="fr-CH"/>
        </w:rPr>
      </w:pPr>
      <w:r w:rsidRPr="00B979D7">
        <w:rPr>
          <w:rFonts w:eastAsia="MS Mincho"/>
          <w:i/>
          <w:iCs/>
          <w:lang w:val="fr-CH"/>
        </w:rPr>
        <w:t>d)</w:t>
      </w:r>
      <w:r w:rsidRPr="00730563">
        <w:rPr>
          <w:rFonts w:eastAsia="MS Mincho"/>
          <w:lang w:val="fr-CH"/>
        </w:rPr>
        <w:tab/>
        <w:t>que, grâce aux progrès techniques, il existe</w:t>
      </w:r>
      <w:r>
        <w:rPr>
          <w:rFonts w:eastAsia="MS Mincho"/>
          <w:lang w:val="fr-CH"/>
        </w:rPr>
        <w:t xml:space="preserve"> </w:t>
      </w:r>
      <w:r w:rsidRPr="00730563">
        <w:rPr>
          <w:rFonts w:eastAsia="MS Mincho"/>
          <w:lang w:val="fr-CH"/>
        </w:rPr>
        <w:t>des dispositifs actifs pouvant fonctionne</w:t>
      </w:r>
      <w:r>
        <w:rPr>
          <w:rFonts w:eastAsia="MS Mincho"/>
          <w:lang w:val="fr-CH"/>
        </w:rPr>
        <w:t>r aux fréquences supérieures à 275 GHz;</w:t>
      </w:r>
    </w:p>
    <w:p w:rsidR="00B45034" w:rsidRDefault="00B45034" w:rsidP="00A17011">
      <w:pPr>
        <w:jc w:val="both"/>
        <w:rPr>
          <w:rFonts w:eastAsia="MS Mincho"/>
          <w:lang w:val="fr-CH"/>
        </w:rPr>
      </w:pPr>
      <w:r>
        <w:rPr>
          <w:rFonts w:eastAsia="MS Mincho"/>
          <w:i/>
          <w:iCs/>
          <w:lang w:val="fr-CH"/>
        </w:rPr>
        <w:t>e)</w:t>
      </w:r>
      <w:r>
        <w:rPr>
          <w:rFonts w:eastAsia="MS Mincho"/>
          <w:i/>
          <w:iCs/>
          <w:lang w:val="fr-CH"/>
        </w:rPr>
        <w:tab/>
      </w:r>
      <w:r w:rsidRPr="009F4FCF">
        <w:rPr>
          <w:rFonts w:eastAsia="MS Mincho"/>
          <w:lang w:val="fr-CH"/>
        </w:rPr>
        <w:t xml:space="preserve">que </w:t>
      </w:r>
      <w:r>
        <w:rPr>
          <w:rFonts w:eastAsia="MS Mincho"/>
          <w:lang w:val="fr-CH"/>
        </w:rPr>
        <w:t xml:space="preserve">le Secteur des radiocommunications de </w:t>
      </w:r>
      <w:r w:rsidRPr="009F4FCF">
        <w:rPr>
          <w:rFonts w:eastAsia="MS Mincho"/>
          <w:lang w:val="fr-CH"/>
        </w:rPr>
        <w:t>l'UIT</w:t>
      </w:r>
      <w:r>
        <w:rPr>
          <w:rFonts w:eastAsia="MS Mincho"/>
          <w:lang w:val="fr-CH"/>
        </w:rPr>
        <w:t xml:space="preserve"> (UIT</w:t>
      </w:r>
      <w:r w:rsidRPr="009F4FCF">
        <w:rPr>
          <w:rFonts w:eastAsia="MS Mincho"/>
          <w:lang w:val="fr-CH"/>
        </w:rPr>
        <w:t>-R</w:t>
      </w:r>
      <w:r>
        <w:rPr>
          <w:rFonts w:eastAsia="MS Mincho"/>
          <w:lang w:val="fr-CH"/>
        </w:rPr>
        <w:t>)</w:t>
      </w:r>
      <w:r w:rsidRPr="009F4FCF">
        <w:rPr>
          <w:rFonts w:eastAsia="MS Mincho"/>
          <w:lang w:val="fr-CH"/>
        </w:rPr>
        <w:t xml:space="preserve"> a procédé à des études sur les caractéristiques techniques et opérationnelles de </w:t>
      </w:r>
      <w:r>
        <w:rPr>
          <w:rFonts w:eastAsia="MS Mincho"/>
          <w:lang w:val="fr-CH"/>
        </w:rPr>
        <w:t xml:space="preserve">certains </w:t>
      </w:r>
      <w:r w:rsidRPr="009F4FCF">
        <w:rPr>
          <w:rFonts w:eastAsia="MS Mincho"/>
          <w:lang w:val="fr-CH"/>
        </w:rPr>
        <w:t>services actifs fonctionnant dans la gamme 275-1 000 GHz</w:t>
      </w:r>
      <w:r>
        <w:rPr>
          <w:rFonts w:eastAsia="MS Mincho"/>
          <w:lang w:val="fr-CH"/>
        </w:rPr>
        <w:t>;</w:t>
      </w:r>
    </w:p>
    <w:p w:rsidR="00B45034" w:rsidRPr="00A827EC" w:rsidRDefault="00B45034" w:rsidP="00A17011">
      <w:pPr>
        <w:jc w:val="both"/>
        <w:rPr>
          <w:rFonts w:eastAsia="MS Mincho"/>
          <w:lang w:val="fr-CH"/>
        </w:rPr>
      </w:pPr>
      <w:r>
        <w:rPr>
          <w:rFonts w:eastAsia="MS Mincho"/>
          <w:i/>
          <w:iCs/>
          <w:lang w:val="fr-CH"/>
        </w:rPr>
        <w:t>f)</w:t>
      </w:r>
      <w:r>
        <w:rPr>
          <w:rFonts w:eastAsia="MS Mincho"/>
          <w:i/>
          <w:iCs/>
          <w:lang w:val="fr-CH"/>
        </w:rPr>
        <w:tab/>
      </w:r>
      <w:r w:rsidRPr="00A827EC">
        <w:rPr>
          <w:rFonts w:eastAsia="MS Mincho"/>
          <w:lang w:val="fr-CH"/>
        </w:rPr>
        <w:t>que les caractéristiques techniques et opérationnelles du service mobile terrestre et du s</w:t>
      </w:r>
      <w:r>
        <w:rPr>
          <w:rFonts w:eastAsia="MS Mincho"/>
          <w:lang w:val="fr-CH"/>
        </w:rPr>
        <w:t xml:space="preserve">ervice fixe fonctionnant dans les bandes </w:t>
      </w:r>
      <w:r>
        <w:rPr>
          <w:color w:val="000000"/>
        </w:rPr>
        <w:t xml:space="preserve">au-dessus de </w:t>
      </w:r>
      <w:r w:rsidRPr="00A827EC">
        <w:rPr>
          <w:rFonts w:eastAsia="MS Mincho"/>
          <w:lang w:val="fr-CH"/>
        </w:rPr>
        <w:t>275 GHz n'ont pas été définies et qu'un complément d'étude est nécessaire;</w:t>
      </w:r>
    </w:p>
    <w:p w:rsidR="00B45034" w:rsidRPr="00730563" w:rsidRDefault="00B45034" w:rsidP="00A17011">
      <w:pPr>
        <w:jc w:val="both"/>
        <w:rPr>
          <w:rFonts w:eastAsia="MS Mincho"/>
          <w:lang w:val="fr-CH"/>
        </w:rPr>
      </w:pPr>
      <w:r>
        <w:rPr>
          <w:rFonts w:eastAsia="MS Mincho"/>
          <w:i/>
          <w:iCs/>
          <w:lang w:val="fr-CH"/>
        </w:rPr>
        <w:t>g</w:t>
      </w:r>
      <w:r w:rsidRPr="00B979D7">
        <w:rPr>
          <w:rFonts w:eastAsia="MS Mincho"/>
          <w:i/>
          <w:iCs/>
          <w:lang w:val="fr-CH"/>
        </w:rPr>
        <w:t>)</w:t>
      </w:r>
      <w:r w:rsidRPr="00730563">
        <w:rPr>
          <w:rFonts w:eastAsia="MS Mincho"/>
          <w:lang w:val="fr-CH"/>
        </w:rPr>
        <w:tab/>
      </w:r>
      <w:r>
        <w:rPr>
          <w:rFonts w:eastAsia="MS Mincho"/>
          <w:lang w:val="fr-CH"/>
        </w:rPr>
        <w:t xml:space="preserve">que </w:t>
      </w:r>
      <w:r>
        <w:rPr>
          <w:color w:val="000000"/>
        </w:rPr>
        <w:t>les caractéristiques de propagation des fréquences au-dessus de 275 GHz font actuellement l'objet d'études au sein de la Commission d'études 3 de l'UIT-R</w:t>
      </w:r>
      <w:r w:rsidRPr="00730563">
        <w:rPr>
          <w:rFonts w:eastAsia="MS Mincho" w:hint="eastAsia"/>
          <w:lang w:val="fr-CH"/>
        </w:rPr>
        <w:t>;</w:t>
      </w:r>
    </w:p>
    <w:p w:rsidR="00B45034" w:rsidRPr="00730563" w:rsidRDefault="00B45034" w:rsidP="00A17011">
      <w:pPr>
        <w:jc w:val="both"/>
        <w:rPr>
          <w:rFonts w:eastAsia="MS Mincho"/>
          <w:lang w:val="fr-CH"/>
        </w:rPr>
      </w:pPr>
      <w:r>
        <w:rPr>
          <w:rFonts w:eastAsia="MS Mincho"/>
          <w:i/>
          <w:iCs/>
          <w:lang w:val="fr-CH"/>
        </w:rPr>
        <w:t>h</w:t>
      </w:r>
      <w:r w:rsidRPr="00B979D7">
        <w:rPr>
          <w:rFonts w:eastAsia="MS Mincho"/>
          <w:i/>
          <w:iCs/>
          <w:lang w:val="fr-CH"/>
        </w:rPr>
        <w:t>)</w:t>
      </w:r>
      <w:r w:rsidRPr="00730563">
        <w:rPr>
          <w:rFonts w:eastAsia="MS Mincho"/>
          <w:lang w:val="fr-CH"/>
        </w:rPr>
        <w:tab/>
      </w:r>
      <w:r>
        <w:rPr>
          <w:color w:val="000000"/>
        </w:rPr>
        <w:t>qu'il est nécessaire de disposer des modèles de propagation pour le service mobile terrestre et le service fixe fonctionnant dans la bande au-dessus de 275 GHz</w:t>
      </w:r>
      <w:r w:rsidRPr="00730563">
        <w:rPr>
          <w:rFonts w:eastAsia="MS Mincho" w:hint="eastAsia"/>
          <w:lang w:val="fr-CH"/>
        </w:rPr>
        <w:t>;</w:t>
      </w:r>
    </w:p>
    <w:p w:rsidR="00B45034" w:rsidRPr="00730563" w:rsidRDefault="00B45034" w:rsidP="00A17011">
      <w:pPr>
        <w:jc w:val="both"/>
        <w:rPr>
          <w:rFonts w:eastAsia="MS Mincho"/>
          <w:lang w:val="fr-CH"/>
        </w:rPr>
      </w:pPr>
      <w:r>
        <w:rPr>
          <w:rFonts w:eastAsia="MS Mincho"/>
          <w:i/>
          <w:iCs/>
          <w:lang w:val="fr-CH"/>
        </w:rPr>
        <w:t>i</w:t>
      </w:r>
      <w:r w:rsidRPr="00B979D7">
        <w:rPr>
          <w:rFonts w:eastAsia="MS Mincho"/>
          <w:i/>
          <w:iCs/>
          <w:lang w:val="fr-CH"/>
        </w:rPr>
        <w:t>)</w:t>
      </w:r>
      <w:r w:rsidRPr="00730563">
        <w:rPr>
          <w:rFonts w:eastAsia="MS Mincho"/>
          <w:lang w:val="fr-CH"/>
        </w:rPr>
        <w:tab/>
      </w:r>
      <w:r>
        <w:rPr>
          <w:color w:val="000000"/>
        </w:rPr>
        <w:t>qu'il est nécessaire de mener des études de partage et de compatibilité entre</w:t>
      </w:r>
      <w:r w:rsidRPr="00891583">
        <w:rPr>
          <w:color w:val="000000"/>
        </w:rPr>
        <w:t xml:space="preserve"> </w:t>
      </w:r>
      <w:r>
        <w:rPr>
          <w:color w:val="000000"/>
        </w:rPr>
        <w:t xml:space="preserve">le service mobile terrestre, le service fixe ainsi que les services passifs identifiés conformément au </w:t>
      </w:r>
      <w:r w:rsidRPr="00324909">
        <w:rPr>
          <w:color w:val="000000"/>
        </w:rPr>
        <w:t>numéro</w:t>
      </w:r>
      <w:r w:rsidRPr="00CD3FE3">
        <w:rPr>
          <w:b/>
          <w:bCs/>
          <w:color w:val="000000"/>
        </w:rPr>
        <w:t> 5.565</w:t>
      </w:r>
      <w:r>
        <w:rPr>
          <w:color w:val="000000"/>
        </w:rPr>
        <w:t xml:space="preserve"> fonctionnant dans la bande au-dessus de 275 GHz,</w:t>
      </w:r>
    </w:p>
    <w:p w:rsidR="00B45034" w:rsidRPr="00730563" w:rsidRDefault="00B45034" w:rsidP="00A17011">
      <w:pPr>
        <w:pStyle w:val="Call"/>
        <w:jc w:val="both"/>
        <w:rPr>
          <w:rFonts w:eastAsia="MS Mincho"/>
          <w:lang w:val="fr-CH"/>
        </w:rPr>
      </w:pPr>
      <w:r w:rsidRPr="00730563">
        <w:rPr>
          <w:rFonts w:eastAsia="MS Mincho"/>
          <w:lang w:val="fr-CH"/>
        </w:rPr>
        <w:t>notant</w:t>
      </w:r>
    </w:p>
    <w:p w:rsidR="00B45034" w:rsidRPr="00730563" w:rsidRDefault="00B45034" w:rsidP="00A17011">
      <w:pPr>
        <w:jc w:val="both"/>
        <w:rPr>
          <w:rFonts w:eastAsia="MS Mincho"/>
          <w:lang w:val="fr-CH"/>
        </w:rPr>
      </w:pPr>
      <w:r w:rsidRPr="00B979D7">
        <w:rPr>
          <w:rFonts w:eastAsia="MS Mincho"/>
          <w:i/>
          <w:iCs/>
          <w:lang w:val="fr-CH"/>
        </w:rPr>
        <w:t>a)</w:t>
      </w:r>
      <w:r w:rsidRPr="00730563">
        <w:rPr>
          <w:rFonts w:eastAsia="MS Mincho"/>
          <w:lang w:val="fr-CH"/>
        </w:rPr>
        <w:tab/>
      </w:r>
      <w:r>
        <w:rPr>
          <w:color w:val="000000"/>
        </w:rPr>
        <w:t>que la Question UIT-R 228-1/3 traite de l'étude des modèles de propagation qui décrivent le mieux la relation entre les paramètres atmosphériques et les caractéristiques des ondes électromagnétiques sur les liaisons de Terre fonctionnant aux fréquences supérieures à 275 GHz</w:t>
      </w:r>
      <w:r>
        <w:rPr>
          <w:rFonts w:eastAsia="MS Mincho" w:hint="eastAsia"/>
          <w:lang w:val="fr-CH"/>
        </w:rPr>
        <w:t>;</w:t>
      </w:r>
    </w:p>
    <w:p w:rsidR="00B45034" w:rsidRPr="00730563" w:rsidRDefault="00B45034" w:rsidP="00A17011">
      <w:pPr>
        <w:jc w:val="both"/>
        <w:rPr>
          <w:rFonts w:eastAsia="MS Mincho"/>
          <w:lang w:val="fr-CH"/>
        </w:rPr>
      </w:pPr>
      <w:r w:rsidRPr="00B979D7">
        <w:rPr>
          <w:rFonts w:eastAsia="MS Mincho"/>
          <w:i/>
          <w:iCs/>
          <w:lang w:val="fr-CH"/>
        </w:rPr>
        <w:t>b)</w:t>
      </w:r>
      <w:r w:rsidRPr="00730563">
        <w:rPr>
          <w:rFonts w:eastAsia="MS Mincho"/>
          <w:lang w:val="fr-CH"/>
        </w:rPr>
        <w:tab/>
      </w:r>
      <w:r>
        <w:rPr>
          <w:color w:val="000000"/>
        </w:rPr>
        <w:t>que la Question UIT-R 235-1/7 traite de l'étude des caractéristiques techniques et opérationnelles des systèmes fonctionnant aux fréquences supérieures à 275 GHz dans les services scientifiques;</w:t>
      </w:r>
    </w:p>
    <w:p w:rsidR="00B45034" w:rsidRDefault="00B45034" w:rsidP="00A17011">
      <w:pPr>
        <w:jc w:val="both"/>
        <w:rPr>
          <w:color w:val="000000"/>
        </w:rPr>
      </w:pPr>
      <w:r w:rsidRPr="00B979D7">
        <w:rPr>
          <w:rFonts w:eastAsia="MS Mincho"/>
          <w:i/>
          <w:iCs/>
          <w:lang w:val="fr-CH"/>
        </w:rPr>
        <w:lastRenderedPageBreak/>
        <w:t>c)</w:t>
      </w:r>
      <w:r w:rsidRPr="00730563">
        <w:rPr>
          <w:rFonts w:eastAsia="MS Mincho"/>
          <w:lang w:val="fr-CH"/>
        </w:rPr>
        <w:tab/>
      </w:r>
      <w:r>
        <w:rPr>
          <w:color w:val="000000"/>
        </w:rPr>
        <w:t>que la Question UIT-R 237/1 traite de l'étude des caractéristiques techniques et opérationnelles des services actifs dans la gamme de fréquences 275</w:t>
      </w:r>
      <w:r>
        <w:rPr>
          <w:color w:val="000000"/>
        </w:rPr>
        <w:noBreakHyphen/>
        <w:t>1 000 GHz;</w:t>
      </w:r>
    </w:p>
    <w:p w:rsidR="00B45034" w:rsidRDefault="00B45034" w:rsidP="00A17011">
      <w:pPr>
        <w:jc w:val="both"/>
        <w:rPr>
          <w:color w:val="000000"/>
        </w:rPr>
      </w:pPr>
      <w:r>
        <w:rPr>
          <w:i/>
          <w:iCs/>
          <w:color w:val="000000"/>
        </w:rPr>
        <w:t>d)</w:t>
      </w:r>
      <w:r w:rsidRPr="00A827EC">
        <w:rPr>
          <w:color w:val="000000"/>
        </w:rPr>
        <w:tab/>
        <w:t>que la Question UIT-R 256-0/5 traite des études portant sur les caractéristiques techniques et opérationnelles du service mobile terrestre dans la gamme de fréquences 275-1</w:t>
      </w:r>
      <w:r>
        <w:rPr>
          <w:color w:val="000000"/>
        </w:rPr>
        <w:t> </w:t>
      </w:r>
      <w:r w:rsidRPr="00A827EC">
        <w:rPr>
          <w:color w:val="000000"/>
        </w:rPr>
        <w:t>000</w:t>
      </w:r>
      <w:r>
        <w:rPr>
          <w:color w:val="000000"/>
        </w:rPr>
        <w:t> </w:t>
      </w:r>
      <w:r w:rsidRPr="00A827EC">
        <w:rPr>
          <w:color w:val="000000"/>
        </w:rPr>
        <w:t>GHz</w:t>
      </w:r>
      <w:r>
        <w:rPr>
          <w:color w:val="000000"/>
        </w:rPr>
        <w:t>;</w:t>
      </w:r>
    </w:p>
    <w:p w:rsidR="00B45034" w:rsidRPr="00A827EC" w:rsidRDefault="00B45034" w:rsidP="00A17011">
      <w:pPr>
        <w:jc w:val="both"/>
        <w:rPr>
          <w:rFonts w:eastAsia="MS Mincho"/>
          <w:lang w:val="fr-CH"/>
        </w:rPr>
      </w:pPr>
      <w:r>
        <w:rPr>
          <w:i/>
          <w:iCs/>
          <w:color w:val="000000"/>
        </w:rPr>
        <w:t>e)</w:t>
      </w:r>
      <w:r>
        <w:rPr>
          <w:i/>
          <w:iCs/>
          <w:color w:val="000000"/>
        </w:rPr>
        <w:tab/>
      </w:r>
      <w:r w:rsidRPr="00A827EC">
        <w:rPr>
          <w:color w:val="000000"/>
        </w:rPr>
        <w:t>que la Question UIT-R 257-0/5 traite des études portant sur les caractéristiques techniques et opérationnelles des stations du service fixe fonctionnant dans l</w:t>
      </w:r>
      <w:r>
        <w:rPr>
          <w:color w:val="000000"/>
        </w:rPr>
        <w:t>a gamme de fréquences 275</w:t>
      </w:r>
      <w:r>
        <w:rPr>
          <w:color w:val="000000"/>
        </w:rPr>
        <w:noBreakHyphen/>
        <w:t>1 000 </w:t>
      </w:r>
      <w:r w:rsidRPr="00A827EC">
        <w:rPr>
          <w:color w:val="000000"/>
        </w:rPr>
        <w:t>GHz;</w:t>
      </w:r>
    </w:p>
    <w:p w:rsidR="00B45034" w:rsidRPr="00730563" w:rsidRDefault="00B45034" w:rsidP="00A17011">
      <w:pPr>
        <w:jc w:val="both"/>
        <w:rPr>
          <w:rFonts w:eastAsia="MS Mincho"/>
          <w:lang w:val="fr-CH"/>
        </w:rPr>
      </w:pPr>
      <w:r>
        <w:rPr>
          <w:rFonts w:eastAsia="MS Mincho"/>
          <w:i/>
          <w:iCs/>
          <w:lang w:val="fr-CH"/>
        </w:rPr>
        <w:t>f</w:t>
      </w:r>
      <w:r w:rsidRPr="00B979D7">
        <w:rPr>
          <w:rFonts w:eastAsia="MS Mincho"/>
          <w:i/>
          <w:iCs/>
          <w:lang w:val="fr-CH"/>
        </w:rPr>
        <w:t>)</w:t>
      </w:r>
      <w:r w:rsidRPr="00730563">
        <w:rPr>
          <w:rFonts w:eastAsia="MS Mincho"/>
          <w:lang w:val="fr-CH"/>
        </w:rPr>
        <w:tab/>
        <w:t>que d</w:t>
      </w:r>
      <w:r>
        <w:rPr>
          <w:rFonts w:eastAsia="MS Mincho"/>
          <w:lang w:val="fr-CH"/>
        </w:rPr>
        <w:t>'</w:t>
      </w:r>
      <w:r w:rsidRPr="00730563">
        <w:rPr>
          <w:rFonts w:eastAsia="MS Mincho"/>
          <w:lang w:val="fr-CH"/>
        </w:rPr>
        <w:t>autres organisations internationales élaborent actuellement des normes relatives aux bandes de fréquences qui pourraient convenir pour les systèmes de co</w:t>
      </w:r>
      <w:r>
        <w:rPr>
          <w:rFonts w:eastAsia="MS Mincho"/>
          <w:lang w:val="fr-CH"/>
        </w:rPr>
        <w:t xml:space="preserve">mmunication de données à ultra-haut débit (100 </w:t>
      </w:r>
      <w:r w:rsidRPr="00730563">
        <w:rPr>
          <w:rFonts w:eastAsia="MS Mincho"/>
          <w:lang w:val="fr-CH"/>
        </w:rPr>
        <w:t>Gbit/s</w:t>
      </w:r>
      <w:r>
        <w:rPr>
          <w:rFonts w:eastAsia="MS Mincho"/>
          <w:lang w:val="fr-CH"/>
        </w:rPr>
        <w:t xml:space="preserve">) </w:t>
      </w:r>
      <w:r w:rsidRPr="00730563">
        <w:rPr>
          <w:rFonts w:eastAsia="MS Mincho"/>
          <w:lang w:val="fr-CH"/>
        </w:rPr>
        <w:t xml:space="preserve">des </w:t>
      </w:r>
      <w:r>
        <w:rPr>
          <w:color w:val="000000"/>
        </w:rPr>
        <w:t>réseaux personnels sans fil</w:t>
      </w:r>
      <w:r>
        <w:rPr>
          <w:rFonts w:eastAsia="MS Mincho"/>
          <w:lang w:val="fr-CH"/>
        </w:rPr>
        <w:t xml:space="preserve"> </w:t>
      </w:r>
      <w:r w:rsidRPr="00730563">
        <w:rPr>
          <w:rFonts w:eastAsia="MS Mincho" w:hint="eastAsia"/>
          <w:lang w:val="fr-CH"/>
        </w:rPr>
        <w:t>(</w:t>
      </w:r>
      <w:r w:rsidRPr="00730563">
        <w:rPr>
          <w:rFonts w:eastAsia="MS Mincho"/>
          <w:lang w:val="fr-CH"/>
        </w:rPr>
        <w:t>WP</w:t>
      </w:r>
      <w:r w:rsidRPr="00730563">
        <w:rPr>
          <w:rFonts w:eastAsia="MS Mincho" w:hint="eastAsia"/>
          <w:lang w:val="fr-CH"/>
        </w:rPr>
        <w:t>AN)</w:t>
      </w:r>
      <w:r w:rsidRPr="00730563">
        <w:rPr>
          <w:rFonts w:eastAsia="MS Mincho"/>
          <w:lang w:val="fr-CH"/>
        </w:rPr>
        <w:t>;</w:t>
      </w:r>
    </w:p>
    <w:p w:rsidR="00B45034" w:rsidRPr="00730563" w:rsidRDefault="00B45034" w:rsidP="00A17011">
      <w:pPr>
        <w:jc w:val="both"/>
        <w:rPr>
          <w:rFonts w:eastAsia="MS Mincho"/>
          <w:lang w:val="fr-CH"/>
        </w:rPr>
      </w:pPr>
      <w:r>
        <w:rPr>
          <w:rFonts w:eastAsia="MS Mincho"/>
          <w:i/>
          <w:iCs/>
          <w:lang w:val="fr-CH"/>
        </w:rPr>
        <w:t>g</w:t>
      </w:r>
      <w:r w:rsidRPr="00B979D7">
        <w:rPr>
          <w:rFonts w:eastAsia="MS Mincho"/>
          <w:i/>
          <w:iCs/>
          <w:lang w:val="fr-CH"/>
        </w:rPr>
        <w:t>)</w:t>
      </w:r>
      <w:r w:rsidRPr="00730563">
        <w:rPr>
          <w:rFonts w:eastAsia="MS Mincho"/>
          <w:lang w:val="fr-CH"/>
        </w:rPr>
        <w:tab/>
        <w:t>que plusieurs systèmes de co</w:t>
      </w:r>
      <w:r>
        <w:rPr>
          <w:rFonts w:eastAsia="MS Mincho"/>
          <w:lang w:val="fr-CH"/>
        </w:rPr>
        <w:t>mmunication de données à ultra-</w:t>
      </w:r>
      <w:r w:rsidRPr="00730563">
        <w:rPr>
          <w:rFonts w:eastAsia="MS Mincho"/>
          <w:lang w:val="fr-CH"/>
        </w:rPr>
        <w:t>haut débit sont identifiés par d</w:t>
      </w:r>
      <w:r>
        <w:rPr>
          <w:rFonts w:eastAsia="MS Mincho"/>
          <w:lang w:val="fr-CH"/>
        </w:rPr>
        <w:t>'</w:t>
      </w:r>
      <w:r w:rsidRPr="00730563">
        <w:rPr>
          <w:rFonts w:eastAsia="MS Mincho"/>
          <w:lang w:val="fr-CH"/>
        </w:rPr>
        <w:t>autres organismes</w:t>
      </w:r>
      <w:r>
        <w:rPr>
          <w:rFonts w:eastAsia="MS Mincho"/>
          <w:lang w:val="fr-CH"/>
        </w:rPr>
        <w:t xml:space="preserve"> internationaux</w:t>
      </w:r>
      <w:r w:rsidRPr="00730563">
        <w:rPr>
          <w:rFonts w:eastAsia="MS Mincho"/>
          <w:lang w:val="fr-CH"/>
        </w:rPr>
        <w:t xml:space="preserve"> de normalisation,</w:t>
      </w:r>
    </w:p>
    <w:p w:rsidR="00B45034" w:rsidRPr="00730563" w:rsidRDefault="00B45034" w:rsidP="00A17011">
      <w:pPr>
        <w:pStyle w:val="Call"/>
        <w:jc w:val="both"/>
        <w:rPr>
          <w:rFonts w:eastAsia="MS Mincho"/>
          <w:lang w:val="fr-CH"/>
        </w:rPr>
      </w:pPr>
      <w:r w:rsidRPr="00730563">
        <w:rPr>
          <w:rFonts w:eastAsia="MS Mincho"/>
          <w:lang w:val="fr-CH"/>
        </w:rPr>
        <w:t>reconnaissant</w:t>
      </w:r>
    </w:p>
    <w:p w:rsidR="00B45034" w:rsidRPr="00730563" w:rsidRDefault="00B45034" w:rsidP="00A17011">
      <w:pPr>
        <w:jc w:val="both"/>
        <w:rPr>
          <w:rFonts w:eastAsiaTheme="minorEastAsia"/>
          <w:lang w:val="fr-CH"/>
        </w:rPr>
      </w:pPr>
      <w:r w:rsidRPr="00730563">
        <w:rPr>
          <w:rFonts w:eastAsia="MS Mincho"/>
          <w:lang w:val="fr-CH"/>
        </w:rPr>
        <w:t>que d</w:t>
      </w:r>
      <w:r>
        <w:rPr>
          <w:rFonts w:eastAsia="MS Mincho"/>
          <w:lang w:val="fr-CH"/>
        </w:rPr>
        <w:t>'</w:t>
      </w:r>
      <w:r w:rsidRPr="00730563">
        <w:rPr>
          <w:rFonts w:eastAsia="MS Mincho"/>
          <w:lang w:val="fr-CH"/>
        </w:rPr>
        <w:t>autres services</w:t>
      </w:r>
      <w:r>
        <w:rPr>
          <w:rFonts w:eastAsia="MS Mincho"/>
          <w:lang w:val="fr-CH"/>
        </w:rPr>
        <w:t xml:space="preserve"> actifs</w:t>
      </w:r>
      <w:r w:rsidRPr="00730563">
        <w:rPr>
          <w:rFonts w:eastAsia="MS Mincho"/>
          <w:lang w:val="fr-CH"/>
        </w:rPr>
        <w:t>, notamment le service de radiodiffusion et le service d</w:t>
      </w:r>
      <w:r>
        <w:rPr>
          <w:rFonts w:eastAsia="MS Mincho"/>
          <w:lang w:val="fr-CH"/>
        </w:rPr>
        <w:t>'</w:t>
      </w:r>
      <w:r w:rsidRPr="00730563">
        <w:rPr>
          <w:rFonts w:eastAsia="MS Mincho"/>
          <w:lang w:val="fr-CH"/>
        </w:rPr>
        <w:t xml:space="preserve">amateur, mettent également au point des applications au-dessus de 275 </w:t>
      </w:r>
      <w:r>
        <w:rPr>
          <w:rFonts w:eastAsia="MS Mincho"/>
          <w:lang w:val="fr-CH"/>
        </w:rPr>
        <w:t>G</w:t>
      </w:r>
      <w:r w:rsidRPr="00730563">
        <w:rPr>
          <w:rFonts w:eastAsia="MS Mincho"/>
          <w:lang w:val="fr-CH"/>
        </w:rPr>
        <w:t>Hz et f</w:t>
      </w:r>
      <w:r>
        <w:rPr>
          <w:rFonts w:eastAsia="MS Mincho"/>
          <w:lang w:val="fr-CH"/>
        </w:rPr>
        <w:t xml:space="preserve">ont des démonstrations sur ces </w:t>
      </w:r>
      <w:r w:rsidRPr="00730563">
        <w:rPr>
          <w:rFonts w:eastAsia="MS Mincho"/>
          <w:lang w:val="fr-CH"/>
        </w:rPr>
        <w:t>applicat</w:t>
      </w:r>
      <w:r>
        <w:rPr>
          <w:rFonts w:eastAsia="MS Mincho"/>
          <w:lang w:val="fr-CH"/>
        </w:rPr>
        <w:t>ions au-dessus de 275 GHz</w:t>
      </w:r>
      <w:r w:rsidRPr="00730563">
        <w:rPr>
          <w:rFonts w:eastAsia="MS Mincho"/>
          <w:lang w:val="fr-CH"/>
        </w:rPr>
        <w:t>,</w:t>
      </w:r>
    </w:p>
    <w:p w:rsidR="00B45034" w:rsidRPr="00730563" w:rsidRDefault="00B45034" w:rsidP="00A17011">
      <w:pPr>
        <w:pStyle w:val="Call"/>
        <w:jc w:val="both"/>
        <w:rPr>
          <w:lang w:val="fr-CH"/>
        </w:rPr>
      </w:pPr>
      <w:r>
        <w:rPr>
          <w:lang w:val="fr-CH"/>
        </w:rPr>
        <w:t>décide d'inviter</w:t>
      </w:r>
      <w:r w:rsidRPr="00730563">
        <w:rPr>
          <w:lang w:val="fr-CH"/>
        </w:rPr>
        <w:t xml:space="preserve"> la </w:t>
      </w:r>
      <w:r>
        <w:rPr>
          <w:lang w:val="fr-CH"/>
        </w:rPr>
        <w:t>Conférence mondiale des radiocommunications de 2019</w:t>
      </w:r>
    </w:p>
    <w:p w:rsidR="00B45034" w:rsidRPr="00730563" w:rsidRDefault="00B45034" w:rsidP="00A17011">
      <w:pPr>
        <w:jc w:val="both"/>
        <w:rPr>
          <w:lang w:val="fr-CH"/>
        </w:rPr>
      </w:pPr>
      <w:r w:rsidRPr="00730563">
        <w:rPr>
          <w:lang w:val="fr-CH"/>
        </w:rPr>
        <w:t>compte tenu des résultats des études de l</w:t>
      </w:r>
      <w:r>
        <w:rPr>
          <w:lang w:val="fr-CH"/>
        </w:rPr>
        <w:t>'</w:t>
      </w:r>
      <w:r w:rsidRPr="00730563">
        <w:rPr>
          <w:lang w:val="fr-CH"/>
        </w:rPr>
        <w:t>UIT-R relatives au partage et à la compatibilité entre les services passifs et les services actifs</w:t>
      </w:r>
      <w:r>
        <w:rPr>
          <w:lang w:val="fr-CH"/>
        </w:rPr>
        <w:t>,</w:t>
      </w:r>
      <w:r w:rsidRPr="00730563">
        <w:rPr>
          <w:lang w:val="fr-CH"/>
        </w:rPr>
        <w:t xml:space="preserve"> ainsi que des besoin</w:t>
      </w:r>
      <w:r>
        <w:rPr>
          <w:lang w:val="fr-CH"/>
        </w:rPr>
        <w:t>s de fréquences de ces services</w:t>
      </w:r>
      <w:r w:rsidRPr="00730563">
        <w:rPr>
          <w:lang w:val="fr-CH"/>
        </w:rPr>
        <w:t>,</w:t>
      </w:r>
      <w:r>
        <w:rPr>
          <w:lang w:val="fr-CH"/>
        </w:rPr>
        <w:t xml:space="preserve"> </w:t>
      </w:r>
      <w:r w:rsidRPr="00730563">
        <w:rPr>
          <w:lang w:val="fr-CH"/>
        </w:rPr>
        <w:t>à envisager d</w:t>
      </w:r>
      <w:r>
        <w:rPr>
          <w:lang w:val="fr-CH"/>
        </w:rPr>
        <w:t>'</w:t>
      </w:r>
      <w:r w:rsidRPr="00730563">
        <w:rPr>
          <w:lang w:val="fr-CH"/>
        </w:rPr>
        <w:t>identifier</w:t>
      </w:r>
      <w:r>
        <w:rPr>
          <w:lang w:val="fr-CH"/>
        </w:rPr>
        <w:t xml:space="preserve"> des bandes de fréquences en vue de leur utilisation par les administrations </w:t>
      </w:r>
      <w:r w:rsidRPr="00730563">
        <w:rPr>
          <w:lang w:val="fr-CH"/>
        </w:rPr>
        <w:t>pour le</w:t>
      </w:r>
      <w:r>
        <w:rPr>
          <w:lang w:val="fr-CH"/>
        </w:rPr>
        <w:t>s applications des</w:t>
      </w:r>
      <w:r w:rsidRPr="00730563">
        <w:rPr>
          <w:lang w:val="fr-CH"/>
        </w:rPr>
        <w:t xml:space="preserve"> service</w:t>
      </w:r>
      <w:r>
        <w:rPr>
          <w:lang w:val="fr-CH"/>
        </w:rPr>
        <w:t>s</w:t>
      </w:r>
      <w:r w:rsidRPr="00730563">
        <w:rPr>
          <w:lang w:val="fr-CH"/>
        </w:rPr>
        <w:t xml:space="preserve"> mobile</w:t>
      </w:r>
      <w:r>
        <w:rPr>
          <w:lang w:val="fr-CH"/>
        </w:rPr>
        <w:t xml:space="preserve"> terrestre et fixe </w:t>
      </w:r>
      <w:r w:rsidRPr="00730563">
        <w:rPr>
          <w:lang w:val="fr-CH"/>
        </w:rPr>
        <w:t>fonctionna</w:t>
      </w:r>
      <w:r>
        <w:rPr>
          <w:lang w:val="fr-CH"/>
        </w:rPr>
        <w:t>nt dans la gamme de fréquences 275</w:t>
      </w:r>
      <w:r>
        <w:rPr>
          <w:lang w:val="fr-CH"/>
        </w:rPr>
        <w:noBreakHyphen/>
        <w:t>450 </w:t>
      </w:r>
      <w:r w:rsidRPr="00730563">
        <w:rPr>
          <w:lang w:val="fr-CH"/>
        </w:rPr>
        <w:t>GHz, tout en assurant la p</w:t>
      </w:r>
      <w:r>
        <w:rPr>
          <w:lang w:val="fr-CH"/>
        </w:rPr>
        <w:t>rotection des services passifs identifiés au</w:t>
      </w:r>
      <w:r w:rsidRPr="00730563">
        <w:rPr>
          <w:lang w:val="fr-CH"/>
        </w:rPr>
        <w:t xml:space="preserve"> numéro </w:t>
      </w:r>
      <w:r w:rsidRPr="00730563">
        <w:rPr>
          <w:b/>
          <w:bCs/>
          <w:lang w:val="fr-CH"/>
        </w:rPr>
        <w:t>5.565</w:t>
      </w:r>
      <w:r>
        <w:rPr>
          <w:lang w:val="fr-CH"/>
        </w:rPr>
        <w:t>,</w:t>
      </w:r>
      <w:r>
        <w:rPr>
          <w:b/>
          <w:bCs/>
          <w:lang w:val="fr-CH"/>
        </w:rPr>
        <w:t xml:space="preserve"> </w:t>
      </w:r>
      <w:r w:rsidRPr="00437AB1">
        <w:rPr>
          <w:lang w:val="fr-CH"/>
        </w:rPr>
        <w:t xml:space="preserve">et à prendre les mesures </w:t>
      </w:r>
      <w:r>
        <w:rPr>
          <w:lang w:val="fr-CH"/>
        </w:rPr>
        <w:t>appropriées</w:t>
      </w:r>
      <w:r w:rsidRPr="00730563">
        <w:rPr>
          <w:lang w:val="fr-CH"/>
        </w:rPr>
        <w:t xml:space="preserve">, </w:t>
      </w:r>
    </w:p>
    <w:p w:rsidR="00B45034" w:rsidRPr="00730563" w:rsidRDefault="00B45034" w:rsidP="00A17011">
      <w:pPr>
        <w:pStyle w:val="Call"/>
        <w:jc w:val="both"/>
        <w:rPr>
          <w:lang w:val="fr-CH"/>
        </w:rPr>
      </w:pPr>
      <w:r>
        <w:rPr>
          <w:lang w:val="fr-CH"/>
        </w:rPr>
        <w:t>invite</w:t>
      </w:r>
      <w:r w:rsidRPr="00730563">
        <w:rPr>
          <w:lang w:val="fr-CH"/>
        </w:rPr>
        <w:t xml:space="preserve"> l</w:t>
      </w:r>
      <w:r>
        <w:rPr>
          <w:lang w:val="fr-CH"/>
        </w:rPr>
        <w:t>'</w:t>
      </w:r>
      <w:r w:rsidRPr="00730563">
        <w:rPr>
          <w:lang w:val="fr-CH"/>
        </w:rPr>
        <w:t>UIT</w:t>
      </w:r>
      <w:r>
        <w:rPr>
          <w:lang w:val="fr-CH"/>
        </w:rPr>
        <w:t>-R</w:t>
      </w:r>
    </w:p>
    <w:p w:rsidR="00B45034" w:rsidRPr="00730563" w:rsidRDefault="00B45034" w:rsidP="00A17011">
      <w:pPr>
        <w:jc w:val="both"/>
        <w:rPr>
          <w:rFonts w:eastAsiaTheme="minorEastAsia"/>
          <w:lang w:val="fr-CH"/>
        </w:rPr>
      </w:pPr>
      <w:r w:rsidRPr="00730563">
        <w:rPr>
          <w:rFonts w:eastAsiaTheme="minorEastAsia"/>
          <w:lang w:val="fr-CH"/>
        </w:rPr>
        <w:t>1</w:t>
      </w:r>
      <w:r w:rsidRPr="00730563">
        <w:rPr>
          <w:rFonts w:eastAsiaTheme="minorEastAsia"/>
          <w:lang w:val="fr-CH"/>
        </w:rPr>
        <w:tab/>
      </w:r>
      <w:r>
        <w:rPr>
          <w:color w:val="000000"/>
        </w:rPr>
        <w:t xml:space="preserve">à définir les caractéristiques techniques et opérationnelles des systèmes du service mobile terrestre et du service fixe fonctionnant aux fréquences supérieures à </w:t>
      </w:r>
      <w:r w:rsidRPr="00730563">
        <w:rPr>
          <w:rFonts w:eastAsiaTheme="minorEastAsia" w:hint="eastAsia"/>
          <w:lang w:val="fr-CH"/>
        </w:rPr>
        <w:t>275 GHz;</w:t>
      </w:r>
    </w:p>
    <w:p w:rsidR="00B45034" w:rsidRDefault="00B45034" w:rsidP="00A17011">
      <w:pPr>
        <w:jc w:val="both"/>
        <w:rPr>
          <w:rFonts w:eastAsiaTheme="minorEastAsia"/>
          <w:lang w:val="fr-CH"/>
        </w:rPr>
      </w:pPr>
      <w:r w:rsidRPr="00730563">
        <w:rPr>
          <w:rFonts w:eastAsiaTheme="minorEastAsia"/>
          <w:lang w:val="fr-CH"/>
        </w:rPr>
        <w:t>2</w:t>
      </w:r>
      <w:r w:rsidRPr="00730563">
        <w:rPr>
          <w:rFonts w:eastAsiaTheme="minorEastAsia"/>
          <w:lang w:val="fr-CH"/>
        </w:rPr>
        <w:tab/>
      </w:r>
      <w:r>
        <w:rPr>
          <w:color w:val="000000"/>
        </w:rPr>
        <w:t>à étudier les besoins de fréquences des systèmes du service mobile terrestre et du service fixe, compte tenu des résultats des études mentionnées ci-dessus</w:t>
      </w:r>
      <w:r w:rsidRPr="00730563">
        <w:rPr>
          <w:rFonts w:eastAsiaTheme="minorEastAsia" w:hint="eastAsia"/>
          <w:lang w:val="fr-CH"/>
        </w:rPr>
        <w:t>;</w:t>
      </w:r>
    </w:p>
    <w:p w:rsidR="00B45034" w:rsidRPr="00730563" w:rsidRDefault="00B45034" w:rsidP="00A17011">
      <w:pPr>
        <w:jc w:val="both"/>
        <w:rPr>
          <w:rFonts w:eastAsiaTheme="minorEastAsia"/>
          <w:lang w:val="fr-CH"/>
        </w:rPr>
      </w:pPr>
      <w:r>
        <w:rPr>
          <w:rFonts w:eastAsiaTheme="minorEastAsia"/>
          <w:lang w:val="fr-CH"/>
        </w:rPr>
        <w:t>3</w:t>
      </w:r>
      <w:r>
        <w:rPr>
          <w:rFonts w:eastAsiaTheme="minorEastAsia"/>
          <w:lang w:val="fr-CH"/>
        </w:rPr>
        <w:tab/>
        <w:t>à mettre au point des modèles de propagation dans la gamme de fréquences 275</w:t>
      </w:r>
      <w:r>
        <w:rPr>
          <w:rFonts w:eastAsiaTheme="minorEastAsia"/>
          <w:lang w:val="fr-CH"/>
        </w:rPr>
        <w:noBreakHyphen/>
        <w:t>450 GHz, afin que des études de partage et de compatibilité entre le service mobile terrestre, le service fixe et les services passifs puissent être effectuées dans cette gamme de fréquences;</w:t>
      </w:r>
    </w:p>
    <w:p w:rsidR="00B45034" w:rsidRPr="00730563" w:rsidRDefault="00B45034" w:rsidP="00A17011">
      <w:pPr>
        <w:jc w:val="both"/>
        <w:rPr>
          <w:rFonts w:eastAsiaTheme="minorEastAsia"/>
          <w:lang w:val="fr-CH"/>
        </w:rPr>
      </w:pPr>
      <w:r>
        <w:rPr>
          <w:rFonts w:eastAsiaTheme="minorEastAsia"/>
          <w:lang w:val="fr-CH"/>
        </w:rPr>
        <w:t>4</w:t>
      </w:r>
      <w:r w:rsidRPr="00730563">
        <w:rPr>
          <w:rFonts w:eastAsiaTheme="minorEastAsia"/>
          <w:lang w:val="fr-CH"/>
        </w:rPr>
        <w:tab/>
      </w:r>
      <w:r>
        <w:rPr>
          <w:color w:val="000000"/>
        </w:rPr>
        <w:t>à procéder à des études de partage et de compatibilité entre le service mobile terrestre,</w:t>
      </w:r>
      <w:r w:rsidRPr="00476E98">
        <w:rPr>
          <w:color w:val="000000"/>
        </w:rPr>
        <w:t xml:space="preserve"> </w:t>
      </w:r>
      <w:r>
        <w:rPr>
          <w:color w:val="000000"/>
        </w:rPr>
        <w:t xml:space="preserve">le service fixe et les services passifs fonctionnant dans la gamme de fréquences </w:t>
      </w:r>
      <w:r w:rsidRPr="00730563">
        <w:rPr>
          <w:rFonts w:eastAsiaTheme="minorEastAsia" w:hint="eastAsia"/>
          <w:lang w:val="fr-CH"/>
        </w:rPr>
        <w:t>275</w:t>
      </w:r>
      <w:r w:rsidRPr="00730563">
        <w:rPr>
          <w:rFonts w:eastAsiaTheme="minorEastAsia"/>
          <w:lang w:val="fr-CH"/>
        </w:rPr>
        <w:t xml:space="preserve">-450 </w:t>
      </w:r>
      <w:r w:rsidRPr="00730563">
        <w:rPr>
          <w:rFonts w:eastAsiaTheme="minorEastAsia" w:hint="eastAsia"/>
          <w:lang w:val="fr-CH"/>
        </w:rPr>
        <w:t>GHz</w:t>
      </w:r>
      <w:r>
        <w:rPr>
          <w:rFonts w:eastAsiaTheme="minorEastAsia"/>
          <w:lang w:val="fr-CH"/>
        </w:rPr>
        <w:t xml:space="preserve">, </w:t>
      </w:r>
      <w:r w:rsidRPr="003C0DA3">
        <w:rPr>
          <w:rFonts w:eastAsiaTheme="minorEastAsia"/>
          <w:lang w:val="fr-CH"/>
        </w:rPr>
        <w:t>tout en assurant la protection des services passifs</w:t>
      </w:r>
      <w:r>
        <w:rPr>
          <w:rFonts w:eastAsiaTheme="minorEastAsia"/>
          <w:lang w:val="fr-CH"/>
        </w:rPr>
        <w:t xml:space="preserve"> visés a</w:t>
      </w:r>
      <w:r w:rsidRPr="003C0DA3">
        <w:rPr>
          <w:rFonts w:eastAsiaTheme="minorEastAsia"/>
          <w:lang w:val="fr-CH"/>
        </w:rPr>
        <w:t xml:space="preserve">u numéro </w:t>
      </w:r>
      <w:r w:rsidRPr="000948B3">
        <w:rPr>
          <w:rFonts w:eastAsiaTheme="minorEastAsia"/>
          <w:b/>
          <w:bCs/>
          <w:lang w:val="fr-CH"/>
        </w:rPr>
        <w:t>5.565</w:t>
      </w:r>
      <w:r w:rsidRPr="00730563">
        <w:rPr>
          <w:rFonts w:eastAsiaTheme="minorEastAsia" w:hint="eastAsia"/>
          <w:lang w:val="fr-CH"/>
        </w:rPr>
        <w:t>;</w:t>
      </w:r>
    </w:p>
    <w:p w:rsidR="00B45034" w:rsidRPr="00730563" w:rsidRDefault="00B45034" w:rsidP="00A17011">
      <w:pPr>
        <w:jc w:val="both"/>
        <w:rPr>
          <w:rFonts w:eastAsiaTheme="minorEastAsia"/>
          <w:lang w:val="fr-CH"/>
        </w:rPr>
      </w:pPr>
      <w:r>
        <w:rPr>
          <w:rFonts w:eastAsiaTheme="minorEastAsia"/>
          <w:lang w:val="fr-CH"/>
        </w:rPr>
        <w:t>5</w:t>
      </w:r>
      <w:r w:rsidRPr="00730563">
        <w:rPr>
          <w:rFonts w:eastAsiaTheme="minorEastAsia"/>
          <w:lang w:val="fr-CH"/>
        </w:rPr>
        <w:tab/>
      </w:r>
      <w:r>
        <w:rPr>
          <w:color w:val="000000"/>
        </w:rPr>
        <w:t xml:space="preserve">à identifier des bandes de fréquences possibles, en vue de leur utilisation par les systèmes du service mobile terrestre et du service fixe, compte tenu des résultats des études visées aux points 1, 2 et 4 du </w:t>
      </w:r>
      <w:r w:rsidRPr="00FD175A">
        <w:rPr>
          <w:i/>
          <w:iCs/>
          <w:color w:val="000000"/>
        </w:rPr>
        <w:t>invite</w:t>
      </w:r>
      <w:r>
        <w:rPr>
          <w:i/>
          <w:iCs/>
          <w:color w:val="000000"/>
        </w:rPr>
        <w:t xml:space="preserve"> </w:t>
      </w:r>
      <w:r w:rsidRPr="00FD175A">
        <w:rPr>
          <w:i/>
          <w:iCs/>
          <w:color w:val="000000"/>
        </w:rPr>
        <w:t>l'UIT</w:t>
      </w:r>
      <w:r>
        <w:rPr>
          <w:i/>
          <w:iCs/>
          <w:color w:val="000000"/>
        </w:rPr>
        <w:t>-R</w:t>
      </w:r>
      <w:r>
        <w:rPr>
          <w:color w:val="000000"/>
        </w:rPr>
        <w:t xml:space="preserve"> et de la protection des services passifs visés au numéro </w:t>
      </w:r>
      <w:r w:rsidRPr="0030395A">
        <w:rPr>
          <w:b/>
          <w:bCs/>
          <w:color w:val="000000"/>
        </w:rPr>
        <w:t>5.565</w:t>
      </w:r>
      <w:r w:rsidRPr="00730563">
        <w:rPr>
          <w:rFonts w:eastAsiaTheme="minorEastAsia"/>
          <w:lang w:val="fr-CH"/>
        </w:rPr>
        <w:t>,</w:t>
      </w:r>
    </w:p>
    <w:p w:rsidR="00B45034" w:rsidRDefault="00B45034" w:rsidP="00A17011">
      <w:pPr>
        <w:pStyle w:val="Call"/>
        <w:rPr>
          <w:rFonts w:eastAsiaTheme="minorEastAsia"/>
          <w:lang w:val="fr-CH"/>
        </w:rPr>
      </w:pPr>
      <w:r w:rsidRPr="008930C1">
        <w:rPr>
          <w:rFonts w:eastAsiaTheme="minorEastAsia"/>
          <w:lang w:val="fr-CH"/>
        </w:rPr>
        <w:lastRenderedPageBreak/>
        <w:t xml:space="preserve">encourage les </w:t>
      </w:r>
      <w:proofErr w:type="spellStart"/>
      <w:r w:rsidRPr="008930C1">
        <w:rPr>
          <w:rFonts w:eastAsiaTheme="minorEastAsia"/>
          <w:lang w:val="fr-CH"/>
        </w:rPr>
        <w:t>Etats</w:t>
      </w:r>
      <w:proofErr w:type="spellEnd"/>
      <w:r w:rsidRPr="008930C1">
        <w:rPr>
          <w:rFonts w:eastAsiaTheme="minorEastAsia"/>
          <w:lang w:val="fr-CH"/>
        </w:rPr>
        <w:t xml:space="preserve"> M</w:t>
      </w:r>
      <w:r>
        <w:rPr>
          <w:rFonts w:eastAsiaTheme="minorEastAsia"/>
          <w:lang w:val="fr-CH"/>
        </w:rPr>
        <w:t>embres, les Membres de Secteur,</w:t>
      </w:r>
      <w:r w:rsidRPr="008930C1">
        <w:rPr>
          <w:rFonts w:eastAsiaTheme="minorEastAsia"/>
          <w:lang w:val="fr-CH"/>
        </w:rPr>
        <w:t xml:space="preserve"> les Associés</w:t>
      </w:r>
      <w:r>
        <w:rPr>
          <w:rFonts w:eastAsiaTheme="minorEastAsia"/>
          <w:lang w:val="fr-CH"/>
        </w:rPr>
        <w:t xml:space="preserve"> et</w:t>
      </w:r>
      <w:r w:rsidRPr="008930C1">
        <w:rPr>
          <w:rFonts w:eastAsiaTheme="minorEastAsia"/>
          <w:lang w:val="fr-CH"/>
        </w:rPr>
        <w:t xml:space="preserve"> les établissements universitaires </w:t>
      </w:r>
    </w:p>
    <w:p w:rsidR="00B45034" w:rsidRDefault="00B45034" w:rsidP="00A17011">
      <w:pPr>
        <w:jc w:val="both"/>
        <w:rPr>
          <w:rFonts w:eastAsiaTheme="minorEastAsia"/>
          <w:lang w:val="fr-CH"/>
        </w:rPr>
      </w:pPr>
      <w:r w:rsidRPr="008930C1">
        <w:rPr>
          <w:rFonts w:eastAsiaTheme="minorEastAsia"/>
          <w:lang w:val="fr-CH"/>
        </w:rPr>
        <w:t>à soumettre des contributions</w:t>
      </w:r>
      <w:r>
        <w:rPr>
          <w:rFonts w:eastAsiaTheme="minorEastAsia"/>
          <w:lang w:val="fr-CH"/>
        </w:rPr>
        <w:t>,</w:t>
      </w:r>
      <w:r w:rsidRPr="008930C1">
        <w:rPr>
          <w:rFonts w:eastAsiaTheme="minorEastAsia"/>
          <w:lang w:val="fr-CH"/>
        </w:rPr>
        <w:t xml:space="preserve"> pendant la période d'études</w:t>
      </w:r>
      <w:r>
        <w:rPr>
          <w:rFonts w:eastAsiaTheme="minorEastAsia"/>
          <w:lang w:val="fr-CH"/>
        </w:rPr>
        <w:t>,</w:t>
      </w:r>
      <w:r w:rsidRPr="008930C1">
        <w:rPr>
          <w:rFonts w:eastAsiaTheme="minorEastAsia"/>
          <w:lang w:val="fr-CH"/>
        </w:rPr>
        <w:t xml:space="preserve"> sur </w:t>
      </w:r>
      <w:r>
        <w:rPr>
          <w:rFonts w:eastAsiaTheme="minorEastAsia"/>
          <w:lang w:val="fr-CH"/>
        </w:rPr>
        <w:t>l'</w:t>
      </w:r>
      <w:r w:rsidRPr="008930C1">
        <w:rPr>
          <w:rFonts w:eastAsiaTheme="minorEastAsia"/>
          <w:lang w:val="fr-CH"/>
        </w:rPr>
        <w:t>évaluation des incidences sur les services identifiés, sur la base des études effectuées au titre de la pré</w:t>
      </w:r>
      <w:r>
        <w:rPr>
          <w:rFonts w:eastAsiaTheme="minorEastAsia"/>
          <w:lang w:val="fr-CH"/>
        </w:rPr>
        <w:t>sente Résolution.</w:t>
      </w:r>
    </w:p>
    <w:p w:rsidR="00194593" w:rsidRPr="00B45034" w:rsidRDefault="00194593" w:rsidP="00A17011">
      <w:pPr>
        <w:overflowPunct/>
        <w:autoSpaceDE/>
        <w:autoSpaceDN/>
        <w:adjustRightInd/>
        <w:spacing w:before="0"/>
        <w:textAlignment w:val="auto"/>
        <w:rPr>
          <w:rFonts w:asciiTheme="majorBidi" w:hAnsiTheme="majorBidi" w:cstheme="majorBidi"/>
          <w:szCs w:val="24"/>
          <w:lang w:val="fr-CH"/>
        </w:rPr>
      </w:pPr>
    </w:p>
    <w:p w:rsidR="00194593" w:rsidRPr="00B45034" w:rsidRDefault="00194593" w:rsidP="00A17011">
      <w:pPr>
        <w:overflowPunct/>
        <w:autoSpaceDE/>
        <w:autoSpaceDN/>
        <w:adjustRightInd/>
        <w:spacing w:before="0"/>
        <w:textAlignment w:val="auto"/>
        <w:rPr>
          <w:rFonts w:asciiTheme="majorBidi" w:hAnsiTheme="majorBidi" w:cstheme="majorBidi"/>
          <w:szCs w:val="24"/>
        </w:rPr>
      </w:pPr>
    </w:p>
    <w:p w:rsidR="00194593" w:rsidRPr="00B45034" w:rsidRDefault="00194593" w:rsidP="00A17011">
      <w:pPr>
        <w:overflowPunct/>
        <w:autoSpaceDE/>
        <w:autoSpaceDN/>
        <w:adjustRightInd/>
        <w:spacing w:before="0"/>
        <w:textAlignment w:val="auto"/>
        <w:rPr>
          <w:rFonts w:asciiTheme="majorBidi" w:hAnsiTheme="majorBidi" w:cstheme="majorBidi"/>
          <w:szCs w:val="24"/>
        </w:rPr>
      </w:pPr>
      <w:r w:rsidRPr="00B45034">
        <w:rPr>
          <w:rFonts w:asciiTheme="majorBidi" w:hAnsiTheme="majorBidi" w:cstheme="majorBidi"/>
          <w:szCs w:val="24"/>
        </w:rPr>
        <w:br w:type="page"/>
      </w:r>
    </w:p>
    <w:p w:rsidR="00A20F5A" w:rsidRPr="00A20F5A" w:rsidRDefault="009277D4" w:rsidP="00A17011">
      <w:pPr>
        <w:pStyle w:val="ResNo"/>
      </w:pPr>
      <w:bookmarkStart w:id="304" w:name="RES_958"/>
      <w:bookmarkStart w:id="305" w:name="_Toc444507666"/>
      <w:bookmarkStart w:id="306" w:name="_Toc460331746"/>
      <w:bookmarkStart w:id="307" w:name="_Toc463616203"/>
      <w:bookmarkEnd w:id="268"/>
      <w:bookmarkEnd w:id="269"/>
      <w:bookmarkEnd w:id="270"/>
      <w:bookmarkEnd w:id="271"/>
      <w:bookmarkEnd w:id="272"/>
      <w:bookmarkEnd w:id="273"/>
      <w:bookmarkEnd w:id="274"/>
      <w:bookmarkEnd w:id="275"/>
      <w:r>
        <w:lastRenderedPageBreak/>
        <w:t>R</w:t>
      </w:r>
      <w:r w:rsidR="001D5201" w:rsidRPr="001D5201">
        <w:t>É</w:t>
      </w:r>
      <w:r w:rsidR="00A20F5A" w:rsidRPr="00A20F5A">
        <w:t xml:space="preserve">SOLUTION </w:t>
      </w:r>
      <w:r w:rsidR="00A20F5A" w:rsidRPr="00A20F5A">
        <w:rPr>
          <w:rStyle w:val="href"/>
        </w:rPr>
        <w:t>958</w:t>
      </w:r>
      <w:r w:rsidR="00A20F5A" w:rsidRPr="00A20F5A">
        <w:t xml:space="preserve"> </w:t>
      </w:r>
      <w:bookmarkEnd w:id="304"/>
      <w:r w:rsidR="00A20F5A" w:rsidRPr="00A20F5A">
        <w:t>(</w:t>
      </w:r>
      <w:r w:rsidR="005A2541" w:rsidRPr="00A20F5A">
        <w:t>C</w:t>
      </w:r>
      <w:r w:rsidR="005A2541">
        <w:t>MR</w:t>
      </w:r>
      <w:r w:rsidR="00A20F5A" w:rsidRPr="00A20F5A">
        <w:t>-15)</w:t>
      </w:r>
      <w:bookmarkEnd w:id="305"/>
      <w:bookmarkEnd w:id="306"/>
      <w:bookmarkEnd w:id="307"/>
    </w:p>
    <w:p w:rsidR="001622AD" w:rsidRPr="003B0744" w:rsidRDefault="001622AD" w:rsidP="00A17011">
      <w:pPr>
        <w:pStyle w:val="Restitle"/>
        <w:rPr>
          <w:lang w:val="fr-CH"/>
        </w:rPr>
      </w:pPr>
      <w:bookmarkStart w:id="308" w:name="_Toc450208845"/>
      <w:bookmarkStart w:id="309" w:name="_Toc463616204"/>
      <w:proofErr w:type="spellStart"/>
      <w:r w:rsidRPr="00A05568">
        <w:rPr>
          <w:lang w:val="fr-CH"/>
        </w:rPr>
        <w:t>Etudes</w:t>
      </w:r>
      <w:proofErr w:type="spellEnd"/>
      <w:r w:rsidRPr="00A05568">
        <w:rPr>
          <w:lang w:val="fr-CH"/>
        </w:rPr>
        <w:t xml:space="preserve"> </w:t>
      </w:r>
      <w:r>
        <w:rPr>
          <w:lang w:val="fr-CH"/>
        </w:rPr>
        <w:t>à entreprendre d'urgenc</w:t>
      </w:r>
      <w:r w:rsidRPr="00A05568">
        <w:rPr>
          <w:lang w:val="fr-CH"/>
        </w:rPr>
        <w:t xml:space="preserve">e en vue de la Conférence mondiale </w:t>
      </w:r>
      <w:r>
        <w:rPr>
          <w:lang w:val="fr-CH"/>
        </w:rPr>
        <w:br/>
      </w:r>
      <w:r w:rsidRPr="00A05568">
        <w:rPr>
          <w:lang w:val="fr-CH"/>
        </w:rPr>
        <w:t>des radiocommunications de</w:t>
      </w:r>
      <w:r w:rsidRPr="003B0744">
        <w:rPr>
          <w:lang w:val="fr-CH"/>
        </w:rPr>
        <w:t xml:space="preserve"> 2019</w:t>
      </w:r>
      <w:bookmarkEnd w:id="308"/>
      <w:bookmarkEnd w:id="309"/>
      <w:r w:rsidRPr="003B0744">
        <w:rPr>
          <w:lang w:val="fr-CH"/>
        </w:rPr>
        <w:t xml:space="preserve"> </w:t>
      </w:r>
    </w:p>
    <w:p w:rsidR="001622AD" w:rsidRPr="003B0744" w:rsidRDefault="001622AD" w:rsidP="00A17011">
      <w:pPr>
        <w:pStyle w:val="Normalaftertitle"/>
        <w:jc w:val="both"/>
        <w:rPr>
          <w:lang w:val="fr-CH"/>
        </w:rPr>
      </w:pPr>
      <w:r>
        <w:rPr>
          <w:lang w:val="fr-CH"/>
        </w:rPr>
        <w:t xml:space="preserve">La </w:t>
      </w:r>
      <w:r w:rsidRPr="00EE15B9">
        <w:rPr>
          <w:lang w:val="fr-CH"/>
        </w:rPr>
        <w:t>Conférence mondiale des radiocommunications</w:t>
      </w:r>
      <w:r>
        <w:rPr>
          <w:lang w:val="fr-CH"/>
        </w:rPr>
        <w:t xml:space="preserve"> (Genève, 2015)</w:t>
      </w:r>
      <w:r w:rsidRPr="003B0744">
        <w:rPr>
          <w:lang w:val="fr-CH"/>
        </w:rPr>
        <w:t>,</w:t>
      </w:r>
      <w:r>
        <w:rPr>
          <w:lang w:val="fr-CH"/>
        </w:rPr>
        <w:t xml:space="preserve"> </w:t>
      </w:r>
    </w:p>
    <w:p w:rsidR="001622AD" w:rsidRPr="00844711" w:rsidRDefault="001622AD" w:rsidP="00A17011">
      <w:pPr>
        <w:pStyle w:val="Call"/>
        <w:jc w:val="both"/>
        <w:rPr>
          <w:lang w:val="fr-CH"/>
        </w:rPr>
      </w:pPr>
      <w:r w:rsidRPr="00844711">
        <w:rPr>
          <w:lang w:val="fr-CH"/>
        </w:rPr>
        <w:t xml:space="preserve">considérant </w:t>
      </w:r>
    </w:p>
    <w:p w:rsidR="001622AD" w:rsidRPr="003B0744" w:rsidRDefault="001622AD" w:rsidP="00A17011">
      <w:pPr>
        <w:jc w:val="both"/>
        <w:rPr>
          <w:lang w:val="fr-CH"/>
        </w:rPr>
      </w:pPr>
      <w:r w:rsidRPr="003B0744">
        <w:rPr>
          <w:i/>
          <w:iCs/>
          <w:lang w:val="fr-CH"/>
        </w:rPr>
        <w:t>a)</w:t>
      </w:r>
      <w:r w:rsidRPr="003B0744">
        <w:rPr>
          <w:lang w:val="fr-CH"/>
        </w:rPr>
        <w:tab/>
      </w:r>
      <w:r>
        <w:rPr>
          <w:lang w:val="fr-CH"/>
        </w:rPr>
        <w:t>que l'</w:t>
      </w:r>
      <w:r w:rsidRPr="003B0744">
        <w:rPr>
          <w:lang w:val="fr-CH"/>
        </w:rPr>
        <w:t>ordre du jour de la p</w:t>
      </w:r>
      <w:r>
        <w:rPr>
          <w:lang w:val="fr-CH"/>
        </w:rPr>
        <w:t>résente Conférence comprenait l'examen de points à inscrire à l'</w:t>
      </w:r>
      <w:r w:rsidRPr="003B0744">
        <w:rPr>
          <w:lang w:val="fr-CH"/>
        </w:rPr>
        <w:t>ordre du jour de la Conférence mondiale des radiocommunications de 2019 (</w:t>
      </w:r>
      <w:r>
        <w:rPr>
          <w:lang w:val="fr-CH"/>
        </w:rPr>
        <w:t>CMR</w:t>
      </w:r>
      <w:r w:rsidR="00896636">
        <w:rPr>
          <w:lang w:val="fr-CH"/>
        </w:rPr>
        <w:noBreakHyphen/>
      </w:r>
      <w:r w:rsidRPr="003B0744">
        <w:rPr>
          <w:lang w:val="fr-CH"/>
        </w:rPr>
        <w:t>19);</w:t>
      </w:r>
    </w:p>
    <w:p w:rsidR="001622AD" w:rsidRPr="002A26C5" w:rsidRDefault="001622AD" w:rsidP="00A17011">
      <w:pPr>
        <w:jc w:val="both"/>
        <w:rPr>
          <w:spacing w:val="-3"/>
          <w:lang w:val="fr-CH"/>
        </w:rPr>
      </w:pPr>
      <w:r w:rsidRPr="002A26C5">
        <w:rPr>
          <w:i/>
          <w:iCs/>
          <w:spacing w:val="-3"/>
          <w:lang w:val="fr-CH"/>
        </w:rPr>
        <w:t>b)</w:t>
      </w:r>
      <w:r w:rsidRPr="002A26C5">
        <w:rPr>
          <w:spacing w:val="-3"/>
          <w:lang w:val="fr-CH"/>
        </w:rPr>
        <w:tab/>
        <w:t>que l'ordre du jour de la présente Conférence comprenait l'examen de points à inscrire à l'ordre du jour préliminaire de la Conférence mondiale des radiocommunications de 2023 (CMR</w:t>
      </w:r>
      <w:r w:rsidRPr="002A26C5">
        <w:rPr>
          <w:spacing w:val="-3"/>
          <w:lang w:val="fr-CH"/>
        </w:rPr>
        <w:noBreakHyphen/>
        <w:t>23);</w:t>
      </w:r>
    </w:p>
    <w:p w:rsidR="001622AD" w:rsidRPr="003B0744" w:rsidRDefault="001622AD" w:rsidP="00A17011">
      <w:pPr>
        <w:jc w:val="both"/>
        <w:rPr>
          <w:lang w:val="fr-CH"/>
        </w:rPr>
      </w:pPr>
      <w:r w:rsidRPr="003B0744">
        <w:rPr>
          <w:i/>
          <w:iCs/>
          <w:lang w:val="fr-CH"/>
        </w:rPr>
        <w:t>c)</w:t>
      </w:r>
      <w:r w:rsidRPr="003B0744">
        <w:rPr>
          <w:lang w:val="fr-CH"/>
        </w:rPr>
        <w:tab/>
        <w:t>que les points à inscr</w:t>
      </w:r>
      <w:r>
        <w:rPr>
          <w:lang w:val="fr-CH"/>
        </w:rPr>
        <w:t>ire à l'ordre du jour de la CMR-</w:t>
      </w:r>
      <w:r w:rsidRPr="003B0744">
        <w:rPr>
          <w:lang w:val="fr-CH"/>
        </w:rPr>
        <w:t xml:space="preserve">19 </w:t>
      </w:r>
      <w:r>
        <w:rPr>
          <w:lang w:val="fr-CH"/>
        </w:rPr>
        <w:t xml:space="preserve">ont été identifiés dans la Résolution </w:t>
      </w:r>
      <w:r>
        <w:rPr>
          <w:b/>
          <w:bCs/>
          <w:lang w:val="fr-CH"/>
        </w:rPr>
        <w:t>809</w:t>
      </w:r>
      <w:r w:rsidRPr="00844711">
        <w:rPr>
          <w:b/>
          <w:bCs/>
          <w:lang w:val="fr-CH"/>
        </w:rPr>
        <w:t xml:space="preserve"> (CMR-15)</w:t>
      </w:r>
      <w:r w:rsidRPr="003B0744">
        <w:rPr>
          <w:lang w:val="fr-CH"/>
        </w:rPr>
        <w:t>;</w:t>
      </w:r>
    </w:p>
    <w:p w:rsidR="001622AD" w:rsidRPr="003B0744" w:rsidRDefault="001622AD" w:rsidP="00A17011">
      <w:pPr>
        <w:jc w:val="both"/>
        <w:rPr>
          <w:lang w:val="fr-CH"/>
        </w:rPr>
      </w:pPr>
      <w:r w:rsidRPr="003B0744">
        <w:rPr>
          <w:i/>
          <w:iCs/>
          <w:lang w:val="fr-CH"/>
        </w:rPr>
        <w:t>d)</w:t>
      </w:r>
      <w:r w:rsidRPr="003B0744">
        <w:rPr>
          <w:lang w:val="fr-CH"/>
        </w:rPr>
        <w:tab/>
        <w:t>que les points à inscrire à l</w:t>
      </w:r>
      <w:r>
        <w:rPr>
          <w:lang w:val="fr-CH"/>
        </w:rPr>
        <w:t>'</w:t>
      </w:r>
      <w:r w:rsidRPr="003B0744">
        <w:rPr>
          <w:lang w:val="fr-CH"/>
        </w:rPr>
        <w:t xml:space="preserve">ordre du jour </w:t>
      </w:r>
      <w:r>
        <w:rPr>
          <w:lang w:val="fr-CH"/>
        </w:rPr>
        <w:t xml:space="preserve">préliminaire de la CMR-23 ont été identifiés dans la Résolution </w:t>
      </w:r>
      <w:r>
        <w:rPr>
          <w:b/>
          <w:bCs/>
          <w:lang w:val="fr-CH"/>
        </w:rPr>
        <w:t>810</w:t>
      </w:r>
      <w:r w:rsidRPr="00844711">
        <w:rPr>
          <w:b/>
          <w:bCs/>
          <w:lang w:val="fr-CH"/>
        </w:rPr>
        <w:t xml:space="preserve"> (CMR-15)</w:t>
      </w:r>
      <w:r w:rsidRPr="00844711">
        <w:rPr>
          <w:lang w:val="fr-CH"/>
        </w:rPr>
        <w:t>,</w:t>
      </w:r>
    </w:p>
    <w:p w:rsidR="001622AD" w:rsidRPr="00844711" w:rsidRDefault="001622AD" w:rsidP="00A17011">
      <w:pPr>
        <w:pStyle w:val="Call"/>
        <w:jc w:val="both"/>
        <w:rPr>
          <w:lang w:val="fr-CH"/>
        </w:rPr>
      </w:pPr>
      <w:r w:rsidRPr="00844711">
        <w:rPr>
          <w:lang w:val="fr-CH"/>
        </w:rPr>
        <w:t>décide</w:t>
      </w:r>
    </w:p>
    <w:p w:rsidR="001622AD" w:rsidRPr="003B0744" w:rsidRDefault="001622AD" w:rsidP="00A17011">
      <w:pPr>
        <w:jc w:val="both"/>
        <w:rPr>
          <w:lang w:val="fr-CH"/>
        </w:rPr>
      </w:pPr>
      <w:r>
        <w:rPr>
          <w:lang w:val="fr-CH"/>
        </w:rPr>
        <w:t xml:space="preserve">de </w:t>
      </w:r>
      <w:r w:rsidRPr="003B0744">
        <w:rPr>
          <w:lang w:val="fr-CH"/>
        </w:rPr>
        <w:t xml:space="preserve">mener à bien les études sur les sujets identifiés dans la </w:t>
      </w:r>
      <w:r>
        <w:rPr>
          <w:lang w:val="fr-CH"/>
        </w:rPr>
        <w:t>présente Résolution et son Annexe</w:t>
      </w:r>
      <w:r w:rsidRPr="003B0744">
        <w:rPr>
          <w:lang w:val="fr-CH"/>
        </w:rPr>
        <w:t>,</w:t>
      </w:r>
    </w:p>
    <w:p w:rsidR="001622AD" w:rsidRPr="00844711" w:rsidRDefault="001622AD" w:rsidP="00A17011">
      <w:pPr>
        <w:pStyle w:val="Call"/>
        <w:jc w:val="both"/>
        <w:rPr>
          <w:lang w:val="fr-CH"/>
        </w:rPr>
      </w:pPr>
      <w:r>
        <w:rPr>
          <w:lang w:val="fr-CH"/>
        </w:rPr>
        <w:t>invite l'UIT-R</w:t>
      </w:r>
    </w:p>
    <w:p w:rsidR="001622AD" w:rsidRPr="003B0744" w:rsidRDefault="001622AD" w:rsidP="00A17011">
      <w:pPr>
        <w:jc w:val="both"/>
        <w:rPr>
          <w:lang w:val="fr-CH"/>
        </w:rPr>
      </w:pPr>
      <w:r>
        <w:rPr>
          <w:lang w:val="fr-CH"/>
        </w:rPr>
        <w:t>à mener à bien, d'urgence, les études demandées dans la présente Résolution,</w:t>
      </w:r>
    </w:p>
    <w:p w:rsidR="001622AD" w:rsidRPr="008C5800" w:rsidRDefault="001622AD" w:rsidP="00A17011">
      <w:pPr>
        <w:pStyle w:val="Call"/>
        <w:jc w:val="both"/>
        <w:rPr>
          <w:lang w:val="fr-CH"/>
        </w:rPr>
      </w:pPr>
      <w:r w:rsidRPr="008C5800">
        <w:rPr>
          <w:lang w:val="fr-CH"/>
        </w:rPr>
        <w:t>charge le D</w:t>
      </w:r>
      <w:r>
        <w:rPr>
          <w:lang w:val="fr-CH"/>
        </w:rPr>
        <w:t>irecteur du B</w:t>
      </w:r>
      <w:r w:rsidRPr="008C5800">
        <w:rPr>
          <w:lang w:val="fr-CH"/>
        </w:rPr>
        <w:t xml:space="preserve">ureau des radiocommunications </w:t>
      </w:r>
    </w:p>
    <w:p w:rsidR="001622AD" w:rsidRDefault="001622AD" w:rsidP="00A17011">
      <w:pPr>
        <w:jc w:val="both"/>
        <w:rPr>
          <w:lang w:val="fr-CH"/>
        </w:rPr>
      </w:pPr>
      <w:r w:rsidRPr="008C5800">
        <w:rPr>
          <w:lang w:val="fr-CH"/>
        </w:rPr>
        <w:t xml:space="preserve">de </w:t>
      </w:r>
      <w:r>
        <w:rPr>
          <w:lang w:val="fr-CH"/>
        </w:rPr>
        <w:t>rendre compte de ces études au titre du point 9.1 de l'ordre du jour de la CMR-19, selon qu'il conviendra, sur la base des résultats des études.</w:t>
      </w:r>
    </w:p>
    <w:p w:rsidR="004E2215" w:rsidRPr="001622AD" w:rsidRDefault="004E2215" w:rsidP="00A17011">
      <w:pPr>
        <w:rPr>
          <w:rFonts w:asciiTheme="majorBidi" w:hAnsiTheme="majorBidi" w:cstheme="majorBidi"/>
          <w:szCs w:val="24"/>
          <w:lang w:val="fr-CH"/>
        </w:rPr>
      </w:pPr>
    </w:p>
    <w:p w:rsidR="001622AD" w:rsidRDefault="001622AD" w:rsidP="00A17011">
      <w:pPr>
        <w:pStyle w:val="AnnexNo0"/>
        <w:rPr>
          <w:lang w:val="fr-CH"/>
        </w:rPr>
      </w:pPr>
      <w:r w:rsidRPr="00844711">
        <w:rPr>
          <w:lang w:val="fr-CH"/>
        </w:rPr>
        <w:t>ANNEXe de la</w:t>
      </w:r>
      <w:r>
        <w:rPr>
          <w:lang w:val="fr-CH"/>
        </w:rPr>
        <w:t xml:space="preserve"> Ré</w:t>
      </w:r>
      <w:r w:rsidRPr="00844711">
        <w:rPr>
          <w:lang w:val="fr-CH"/>
        </w:rPr>
        <w:t xml:space="preserve">SOLUTION </w:t>
      </w:r>
      <w:r>
        <w:rPr>
          <w:lang w:val="fr-CH"/>
        </w:rPr>
        <w:t xml:space="preserve">958 </w:t>
      </w:r>
      <w:r w:rsidRPr="00844711">
        <w:rPr>
          <w:lang w:val="fr-CH"/>
        </w:rPr>
        <w:t>(</w:t>
      </w:r>
      <w:r w:rsidR="005A2541" w:rsidRPr="00A20F5A">
        <w:t>C</w:t>
      </w:r>
      <w:r w:rsidR="005A2541">
        <w:t>MR</w:t>
      </w:r>
      <w:r w:rsidRPr="00844711">
        <w:rPr>
          <w:lang w:val="fr-CH"/>
        </w:rPr>
        <w:t>-15)</w:t>
      </w:r>
    </w:p>
    <w:p w:rsidR="001622AD" w:rsidRPr="008C5800" w:rsidRDefault="001622AD" w:rsidP="00A17011">
      <w:pPr>
        <w:pStyle w:val="Annextitle0"/>
        <w:rPr>
          <w:lang w:val="fr-CH"/>
        </w:rPr>
      </w:pPr>
      <w:proofErr w:type="spellStart"/>
      <w:r>
        <w:rPr>
          <w:lang w:val="fr-CH"/>
        </w:rPr>
        <w:t>E</w:t>
      </w:r>
      <w:r w:rsidRPr="003B0744">
        <w:rPr>
          <w:lang w:val="fr-CH"/>
        </w:rPr>
        <w:t>tudes</w:t>
      </w:r>
      <w:proofErr w:type="spellEnd"/>
      <w:r w:rsidRPr="003B0744">
        <w:rPr>
          <w:lang w:val="fr-CH"/>
        </w:rPr>
        <w:t xml:space="preserve"> </w:t>
      </w:r>
      <w:r>
        <w:rPr>
          <w:lang w:val="fr-CH"/>
        </w:rPr>
        <w:t>à entreprendre d'urgenc</w:t>
      </w:r>
      <w:r w:rsidRPr="003B0744">
        <w:rPr>
          <w:lang w:val="fr-CH"/>
        </w:rPr>
        <w:t xml:space="preserve">e en vue de la Conférence mondiale </w:t>
      </w:r>
      <w:r>
        <w:rPr>
          <w:lang w:val="fr-CH"/>
        </w:rPr>
        <w:br/>
      </w:r>
      <w:r w:rsidRPr="003B0744">
        <w:rPr>
          <w:lang w:val="fr-CH"/>
        </w:rPr>
        <w:t>des radiocommunications de 2019</w:t>
      </w:r>
    </w:p>
    <w:p w:rsidR="001622AD" w:rsidRPr="00844711" w:rsidRDefault="001622AD" w:rsidP="00A17011">
      <w:pPr>
        <w:jc w:val="both"/>
        <w:rPr>
          <w:lang w:val="fr-CH"/>
        </w:rPr>
      </w:pPr>
      <w:r w:rsidRPr="00844711">
        <w:rPr>
          <w:lang w:val="fr-CH"/>
        </w:rPr>
        <w:t>1)</w:t>
      </w:r>
      <w:r w:rsidRPr="00844711">
        <w:rPr>
          <w:lang w:val="fr-CH"/>
        </w:rPr>
        <w:tab/>
      </w:r>
      <w:proofErr w:type="spellStart"/>
      <w:r>
        <w:rPr>
          <w:lang w:val="fr-CH"/>
        </w:rPr>
        <w:t>E</w:t>
      </w:r>
      <w:r w:rsidRPr="00844711">
        <w:rPr>
          <w:lang w:val="fr-CH"/>
        </w:rPr>
        <w:t>tudes</w:t>
      </w:r>
      <w:proofErr w:type="spellEnd"/>
      <w:r w:rsidRPr="00844711">
        <w:rPr>
          <w:lang w:val="fr-CH"/>
        </w:rPr>
        <w:t xml:space="preserve"> relatives à la transmission d</w:t>
      </w:r>
      <w:r>
        <w:rPr>
          <w:lang w:val="fr-CH"/>
        </w:rPr>
        <w:t>'</w:t>
      </w:r>
      <w:r w:rsidRPr="00844711">
        <w:rPr>
          <w:lang w:val="fr-CH"/>
        </w:rPr>
        <w:t xml:space="preserve">énergie sans fil </w:t>
      </w:r>
      <w:r>
        <w:rPr>
          <w:lang w:val="fr-CH"/>
        </w:rPr>
        <w:t xml:space="preserve">(WPT) </w:t>
      </w:r>
      <w:r w:rsidRPr="00844711">
        <w:rPr>
          <w:lang w:val="fr-CH"/>
        </w:rPr>
        <w:t>pour les véhicules électriques:</w:t>
      </w:r>
    </w:p>
    <w:p w:rsidR="001622AD" w:rsidRPr="00142743" w:rsidRDefault="001622AD" w:rsidP="00A17011">
      <w:pPr>
        <w:pStyle w:val="enumlev1"/>
        <w:jc w:val="both"/>
        <w:rPr>
          <w:rFonts w:eastAsia="MS Mincho"/>
        </w:rPr>
      </w:pPr>
      <w:r w:rsidRPr="00EE15B9">
        <w:rPr>
          <w:rFonts w:eastAsia="MS Mincho"/>
        </w:rPr>
        <w:t>a)</w:t>
      </w:r>
      <w:r w:rsidRPr="003456B9">
        <w:rPr>
          <w:rFonts w:eastAsia="MS Mincho"/>
        </w:rPr>
        <w:tab/>
      </w:r>
      <w:r w:rsidRPr="00142743">
        <w:rPr>
          <w:rFonts w:eastAsia="MS Mincho"/>
        </w:rPr>
        <w:t xml:space="preserve">évaluer les incidences de la transmission </w:t>
      </w:r>
      <w:r>
        <w:rPr>
          <w:rFonts w:eastAsia="MS Mincho"/>
        </w:rPr>
        <w:t>WPT</w:t>
      </w:r>
      <w:r w:rsidRPr="00142743">
        <w:rPr>
          <w:rFonts w:eastAsia="MS Mincho"/>
        </w:rPr>
        <w:t xml:space="preserve"> pour les véhicules électriques sur les services de radiocommunication;</w:t>
      </w:r>
    </w:p>
    <w:p w:rsidR="001622AD" w:rsidRPr="003456B9" w:rsidRDefault="001622AD" w:rsidP="00A17011">
      <w:pPr>
        <w:pStyle w:val="enumlev1"/>
        <w:jc w:val="both"/>
        <w:rPr>
          <w:rFonts w:eastAsia="MS Mincho"/>
        </w:rPr>
      </w:pPr>
      <w:r w:rsidRPr="00142743">
        <w:rPr>
          <w:rFonts w:eastAsia="MS Mincho"/>
        </w:rPr>
        <w:t>b)</w:t>
      </w:r>
      <w:r w:rsidRPr="00142743">
        <w:rPr>
          <w:rFonts w:eastAsia="MS Mincho"/>
        </w:rPr>
        <w:tab/>
        <w:t xml:space="preserve">examiner des gammes de fréquences harmonisées </w:t>
      </w:r>
      <w:r>
        <w:rPr>
          <w:rFonts w:eastAsia="MS Mincho"/>
        </w:rPr>
        <w:t xml:space="preserve">appropriées qui permettraient de </w:t>
      </w:r>
      <w:r w:rsidRPr="00142743">
        <w:rPr>
          <w:rFonts w:eastAsia="MS Mincho"/>
        </w:rPr>
        <w:t>réduire le plus possible les incidences</w:t>
      </w:r>
      <w:r>
        <w:rPr>
          <w:rFonts w:eastAsia="MS Mincho"/>
        </w:rPr>
        <w:t>,</w:t>
      </w:r>
      <w:r w:rsidRPr="00370AAA">
        <w:rPr>
          <w:rFonts w:eastAsia="MS Mincho"/>
        </w:rPr>
        <w:t xml:space="preserve"> </w:t>
      </w:r>
      <w:r w:rsidRPr="00142743">
        <w:rPr>
          <w:rFonts w:eastAsia="MS Mincho"/>
        </w:rPr>
        <w:t>sur les services</w:t>
      </w:r>
      <w:r w:rsidRPr="003456B9">
        <w:rPr>
          <w:rFonts w:eastAsia="MS Mincho"/>
        </w:rPr>
        <w:t xml:space="preserve"> de radiocommunication</w:t>
      </w:r>
      <w:r>
        <w:rPr>
          <w:rFonts w:eastAsia="MS Mincho"/>
        </w:rPr>
        <w:t>,</w:t>
      </w:r>
      <w:r w:rsidRPr="00142743">
        <w:rPr>
          <w:rFonts w:eastAsia="MS Mincho"/>
        </w:rPr>
        <w:t xml:space="preserve"> de la transmission </w:t>
      </w:r>
      <w:r>
        <w:rPr>
          <w:rFonts w:eastAsia="MS Mincho"/>
        </w:rPr>
        <w:t xml:space="preserve">WPT </w:t>
      </w:r>
      <w:r w:rsidRPr="00142743">
        <w:rPr>
          <w:rFonts w:eastAsia="MS Mincho"/>
        </w:rPr>
        <w:t>pour les véhicules électriques</w:t>
      </w:r>
      <w:r w:rsidRPr="003456B9">
        <w:rPr>
          <w:rFonts w:eastAsia="MS Mincho"/>
        </w:rPr>
        <w:t>,</w:t>
      </w:r>
    </w:p>
    <w:p w:rsidR="001622AD" w:rsidRPr="008C5800" w:rsidRDefault="001622AD" w:rsidP="00A17011">
      <w:pPr>
        <w:jc w:val="both"/>
        <w:rPr>
          <w:lang w:val="fr-CH"/>
        </w:rPr>
      </w:pPr>
      <w:r>
        <w:t xml:space="preserve">ces </w:t>
      </w:r>
      <w:r>
        <w:rPr>
          <w:lang w:val="fr-CH"/>
        </w:rPr>
        <w:t xml:space="preserve">études devraient tenir compte du fait </w:t>
      </w:r>
      <w:r w:rsidRPr="005B7B09">
        <w:rPr>
          <w:lang w:val="fr-CH"/>
        </w:rPr>
        <w:t xml:space="preserve">que la Commission électrotechnique internationale (CEI), l'Organisation internationale de normalisation (ISO) et la Society of Automotive </w:t>
      </w:r>
      <w:proofErr w:type="spellStart"/>
      <w:r w:rsidRPr="005B7B09">
        <w:rPr>
          <w:lang w:val="fr-CH"/>
        </w:rPr>
        <w:t>Engineers</w:t>
      </w:r>
      <w:proofErr w:type="spellEnd"/>
      <w:r w:rsidRPr="005B7B09">
        <w:rPr>
          <w:lang w:val="fr-CH"/>
        </w:rPr>
        <w:t xml:space="preserve"> (SAE) sont en train d'approuver des normes visant à harmoniser, à l'échelle mondiale et régionale, les techniques </w:t>
      </w:r>
      <w:r>
        <w:rPr>
          <w:rFonts w:eastAsia="MS Mincho"/>
        </w:rPr>
        <w:t xml:space="preserve">WPT </w:t>
      </w:r>
      <w:r w:rsidRPr="005B7B09">
        <w:rPr>
          <w:lang w:val="fr-CH"/>
        </w:rPr>
        <w:t>pour les véhicules électriques</w:t>
      </w:r>
      <w:r>
        <w:rPr>
          <w:lang w:val="fr-CH"/>
        </w:rPr>
        <w:t>;</w:t>
      </w:r>
    </w:p>
    <w:p w:rsidR="001622AD" w:rsidRDefault="001622AD" w:rsidP="00A17011">
      <w:pPr>
        <w:rPr>
          <w:lang w:val="fr-CH" w:eastAsia="zh-CN"/>
        </w:rPr>
      </w:pPr>
      <w:r w:rsidRPr="003506EC">
        <w:rPr>
          <w:lang w:val="fr-CH"/>
        </w:rPr>
        <w:lastRenderedPageBreak/>
        <w:t>2)</w:t>
      </w:r>
      <w:r w:rsidRPr="003506EC">
        <w:rPr>
          <w:lang w:val="fr-CH"/>
        </w:rPr>
        <w:tab/>
      </w:r>
      <w:proofErr w:type="spellStart"/>
      <w:r>
        <w:rPr>
          <w:lang w:val="fr-CH" w:eastAsia="zh-CN"/>
        </w:rPr>
        <w:t>Etudes</w:t>
      </w:r>
      <w:proofErr w:type="spellEnd"/>
      <w:r>
        <w:rPr>
          <w:lang w:val="fr-CH" w:eastAsia="zh-CN"/>
        </w:rPr>
        <w:t xml:space="preserve"> visant à déterminer:</w:t>
      </w:r>
    </w:p>
    <w:p w:rsidR="001622AD" w:rsidRDefault="001622AD" w:rsidP="00A17011">
      <w:pPr>
        <w:pStyle w:val="enumlev1"/>
        <w:jc w:val="both"/>
        <w:rPr>
          <w:lang w:val="fr-CH"/>
        </w:rPr>
      </w:pPr>
      <w:r>
        <w:rPr>
          <w:lang w:val="fr-CH" w:eastAsia="zh-CN"/>
        </w:rPr>
        <w:t>a)</w:t>
      </w:r>
      <w:r>
        <w:rPr>
          <w:lang w:val="fr-CH" w:eastAsia="zh-CN"/>
        </w:rPr>
        <w:tab/>
      </w:r>
      <w:r w:rsidRPr="00982B3E">
        <w:rPr>
          <w:lang w:val="fr-CH" w:eastAsia="zh-CN"/>
        </w:rPr>
        <w:t xml:space="preserve">s'il est nécessaire de prendre éventuellement des mesures </w:t>
      </w:r>
      <w:r>
        <w:rPr>
          <w:lang w:val="fr-CH" w:eastAsia="zh-CN"/>
        </w:rPr>
        <w:t>additionnelles pour</w:t>
      </w:r>
      <w:r w:rsidRPr="00982B3E">
        <w:rPr>
          <w:lang w:val="fr-CH" w:eastAsia="zh-CN"/>
        </w:rPr>
        <w:t xml:space="preserve"> limiter aux terminaux autorisés les émissions des terminaux</w:t>
      </w:r>
      <w:r>
        <w:rPr>
          <w:lang w:val="fr-CH" w:eastAsia="zh-CN"/>
        </w:rPr>
        <w:t xml:space="preserve"> </w:t>
      </w:r>
      <w:r w:rsidRPr="00982B3E">
        <w:rPr>
          <w:lang w:val="fr-CH" w:eastAsia="zh-CN"/>
        </w:rPr>
        <w:t>sur la liaison montante, conformément au numéro</w:t>
      </w:r>
      <w:r>
        <w:rPr>
          <w:lang w:val="fr-CH" w:eastAsia="zh-CN"/>
        </w:rPr>
        <w:t> </w:t>
      </w:r>
      <w:r w:rsidRPr="00F434CF">
        <w:rPr>
          <w:b/>
          <w:bCs/>
          <w:lang w:val="fr-CH" w:eastAsia="zh-CN"/>
        </w:rPr>
        <w:t>18.1</w:t>
      </w:r>
      <w:r>
        <w:rPr>
          <w:lang w:val="fr-CH" w:eastAsia="zh-CN"/>
        </w:rPr>
        <w:t>;</w:t>
      </w:r>
    </w:p>
    <w:p w:rsidR="001622AD" w:rsidRPr="002A26C5" w:rsidRDefault="001622AD" w:rsidP="00A17011">
      <w:pPr>
        <w:pStyle w:val="enumlev1"/>
        <w:jc w:val="both"/>
        <w:rPr>
          <w:lang w:val="fr-CH" w:eastAsia="zh-CN"/>
        </w:rPr>
      </w:pPr>
      <w:r>
        <w:rPr>
          <w:lang w:val="fr-CH" w:eastAsia="zh-CN"/>
        </w:rPr>
        <w:t>b)</w:t>
      </w:r>
      <w:r>
        <w:rPr>
          <w:lang w:val="fr-CH" w:eastAsia="zh-CN"/>
        </w:rPr>
        <w:tab/>
      </w:r>
      <w:r w:rsidRPr="00982B3E">
        <w:rPr>
          <w:lang w:val="fr-CH" w:eastAsia="zh-CN"/>
        </w:rPr>
        <w:t>les méthodes qui permettraient d'aider les administrations à gér</w:t>
      </w:r>
      <w:r>
        <w:rPr>
          <w:lang w:val="fr-CH" w:eastAsia="zh-CN"/>
        </w:rPr>
        <w:t xml:space="preserve">er l'exploitation non autorisée </w:t>
      </w:r>
      <w:r w:rsidRPr="00982B3E">
        <w:rPr>
          <w:lang w:val="fr-CH" w:eastAsia="zh-CN"/>
        </w:rPr>
        <w:t>des terminaux de stations terriennes déployés sur leur t</w:t>
      </w:r>
      <w:r>
        <w:rPr>
          <w:lang w:val="fr-CH" w:eastAsia="zh-CN"/>
        </w:rPr>
        <w:t>erritoire, afin de leur fournir </w:t>
      </w:r>
      <w:r w:rsidRPr="00982B3E">
        <w:rPr>
          <w:lang w:val="fr-CH" w:eastAsia="zh-CN"/>
        </w:rPr>
        <w:t xml:space="preserve">des orientations pour leur </w:t>
      </w:r>
      <w:r>
        <w:rPr>
          <w:lang w:val="fr-CH" w:eastAsia="zh-CN"/>
        </w:rPr>
        <w:t>programme national de gestion du</w:t>
      </w:r>
      <w:r w:rsidRPr="00982B3E">
        <w:rPr>
          <w:lang w:val="fr-CH" w:eastAsia="zh-CN"/>
        </w:rPr>
        <w:t xml:space="preserve"> spectre</w:t>
      </w:r>
      <w:r>
        <w:rPr>
          <w:lang w:val="fr-CH" w:eastAsia="zh-CN"/>
        </w:rPr>
        <w:t xml:space="preserve">, conformément à la Résolution </w:t>
      </w:r>
      <w:r w:rsidRPr="002A26C5">
        <w:rPr>
          <w:lang w:val="fr-CH" w:eastAsia="zh-CN"/>
        </w:rPr>
        <w:t>UIT</w:t>
      </w:r>
      <w:r w:rsidRPr="002A26C5">
        <w:rPr>
          <w:lang w:val="fr-CH" w:eastAsia="zh-CN"/>
        </w:rPr>
        <w:noBreakHyphen/>
        <w:t>R 64 (AR</w:t>
      </w:r>
      <w:r w:rsidRPr="002A26C5">
        <w:rPr>
          <w:lang w:val="fr-CH" w:eastAsia="zh-CN"/>
        </w:rPr>
        <w:noBreakHyphen/>
        <w:t>15);</w:t>
      </w:r>
    </w:p>
    <w:p w:rsidR="001622AD" w:rsidRDefault="001622AD" w:rsidP="00A17011">
      <w:pPr>
        <w:jc w:val="both"/>
        <w:rPr>
          <w:lang w:val="fr-CH" w:eastAsia="zh-CN"/>
        </w:rPr>
      </w:pPr>
      <w:r>
        <w:rPr>
          <w:lang w:val="fr-CH" w:eastAsia="zh-CN"/>
        </w:rPr>
        <w:t>3)</w:t>
      </w:r>
      <w:r>
        <w:rPr>
          <w:lang w:val="fr-CH" w:eastAsia="zh-CN"/>
        </w:rPr>
        <w:tab/>
      </w:r>
      <w:proofErr w:type="spellStart"/>
      <w:r>
        <w:rPr>
          <w:lang w:val="fr-CH" w:eastAsia="zh-CN"/>
        </w:rPr>
        <w:t>Etudes</w:t>
      </w:r>
      <w:proofErr w:type="spellEnd"/>
      <w:r>
        <w:rPr>
          <w:lang w:val="fr-CH" w:eastAsia="zh-CN"/>
        </w:rPr>
        <w:t xml:space="preserve">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rsidR="00510D2D" w:rsidRPr="001622AD" w:rsidRDefault="00510D2D" w:rsidP="00A17011">
      <w:pPr>
        <w:rPr>
          <w:rFonts w:asciiTheme="majorBidi" w:hAnsiTheme="majorBidi" w:cstheme="majorBidi"/>
          <w:szCs w:val="24"/>
        </w:rPr>
      </w:pPr>
    </w:p>
    <w:p w:rsidR="00510D2D" w:rsidRPr="001622AD" w:rsidRDefault="00510D2D" w:rsidP="00A17011">
      <w:pPr>
        <w:rPr>
          <w:rFonts w:asciiTheme="majorBidi" w:hAnsiTheme="majorBidi" w:cstheme="majorBidi"/>
          <w:szCs w:val="24"/>
        </w:rPr>
      </w:pPr>
    </w:p>
    <w:p w:rsidR="00BE075E" w:rsidRDefault="00BE075E" w:rsidP="00A17011">
      <w:pPr>
        <w:jc w:val="center"/>
        <w:rPr>
          <w:rFonts w:asciiTheme="majorBidi" w:hAnsiTheme="majorBidi" w:cstheme="majorBidi"/>
          <w:szCs w:val="24"/>
          <w:lang w:val="it-IT"/>
        </w:rPr>
      </w:pPr>
      <w:r w:rsidRPr="004C120E">
        <w:rPr>
          <w:rFonts w:asciiTheme="majorBidi" w:hAnsiTheme="majorBidi" w:cstheme="majorBidi"/>
          <w:szCs w:val="24"/>
          <w:lang w:val="it-IT"/>
        </w:rPr>
        <w:t>_____________</w:t>
      </w:r>
    </w:p>
    <w:sectPr w:rsidR="00BE075E" w:rsidSect="007E0C09">
      <w:footerReference w:type="even" r:id="rId23"/>
      <w:footerReference w:type="default" r:id="rId24"/>
      <w:footnotePr>
        <w:numFmt w:val="chicago"/>
      </w:footnotePr>
      <w:pgSz w:w="11907" w:h="16839" w:code="9"/>
      <w:pgMar w:top="1440" w:right="1440" w:bottom="1440" w:left="1440" w:header="284" w:footer="284" w:gutter="0"/>
      <w:pgNumType w:start="1"/>
      <w:cols w:space="720"/>
      <w:noEndnote/>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46" w:rsidRDefault="00DB3B46" w:rsidP="00A527F0">
      <w:r>
        <w:separator/>
      </w:r>
    </w:p>
  </w:endnote>
  <w:endnote w:type="continuationSeparator" w:id="0">
    <w:p w:rsidR="00DB3B46" w:rsidRDefault="00DB3B46"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46" w:rsidRDefault="00DB3B46" w:rsidP="00BD59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46" w:rsidRDefault="00DB3B46" w:rsidP="00AB2B4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859085"/>
      <w:docPartObj>
        <w:docPartGallery w:val="Page Numbers (Bottom of Page)"/>
        <w:docPartUnique/>
      </w:docPartObj>
    </w:sdtPr>
    <w:sdtEndPr>
      <w:rPr>
        <w:sz w:val="22"/>
        <w:szCs w:val="22"/>
      </w:rPr>
    </w:sdtEndPr>
    <w:sdtContent>
      <w:p w:rsidR="00DB3B46" w:rsidRPr="00F673A1" w:rsidRDefault="00DB3B46" w:rsidP="00817E14">
        <w:pPr>
          <w:pStyle w:val="Footer"/>
          <w:jc w:val="center"/>
          <w:rPr>
            <w:sz w:val="22"/>
            <w:szCs w:val="22"/>
          </w:rP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C03421" w:rsidRPr="00C03421">
          <w:rPr>
            <w:caps w:val="0"/>
            <w:sz w:val="22"/>
            <w:szCs w:val="22"/>
          </w:rPr>
          <w:t>iv</w:t>
        </w:r>
        <w:r w:rsidRPr="00F673A1">
          <w:rPr>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462694"/>
      <w:docPartObj>
        <w:docPartGallery w:val="Page Numbers (Bottom of Page)"/>
        <w:docPartUnique/>
      </w:docPartObj>
    </w:sdtPr>
    <w:sdtEndPr/>
    <w:sdtContent>
      <w:p w:rsidR="00DB3B46" w:rsidRDefault="00DB3B46" w:rsidP="001B478D">
        <w:pPr>
          <w:pStyle w:val="Footer"/>
          <w:jc w:val="cente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C03421" w:rsidRPr="00C03421">
          <w:rPr>
            <w:caps w:val="0"/>
            <w:sz w:val="22"/>
            <w:szCs w:val="22"/>
          </w:rPr>
          <w:t>iii</w:t>
        </w:r>
        <w:r w:rsidRPr="00F673A1">
          <w:rPr>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533001"/>
      <w:docPartObj>
        <w:docPartGallery w:val="Page Numbers (Bottom of Page)"/>
        <w:docPartUnique/>
      </w:docPartObj>
    </w:sdtPr>
    <w:sdtEndPr>
      <w:rPr>
        <w:sz w:val="22"/>
        <w:szCs w:val="22"/>
      </w:rPr>
    </w:sdtEndPr>
    <w:sdtContent>
      <w:p w:rsidR="00DB3B46" w:rsidRPr="00F673A1" w:rsidRDefault="00DB3B46" w:rsidP="00817E14">
        <w:pPr>
          <w:pStyle w:val="Footer"/>
          <w:jc w:val="center"/>
          <w:rPr>
            <w:sz w:val="22"/>
            <w:szCs w:val="22"/>
          </w:rP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C03421">
          <w:rPr>
            <w:sz w:val="22"/>
            <w:szCs w:val="22"/>
          </w:rPr>
          <w:t>4</w:t>
        </w:r>
        <w:r w:rsidRPr="00F673A1">
          <w:rPr>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81936"/>
      <w:docPartObj>
        <w:docPartGallery w:val="Page Numbers (Bottom of Page)"/>
        <w:docPartUnique/>
      </w:docPartObj>
    </w:sdtPr>
    <w:sdtEndPr>
      <w:rPr>
        <w:sz w:val="22"/>
        <w:szCs w:val="22"/>
      </w:rPr>
    </w:sdtEndPr>
    <w:sdtContent>
      <w:p w:rsidR="00DB3B46" w:rsidRPr="00F673A1" w:rsidRDefault="00DB3B46" w:rsidP="001B478D">
        <w:pPr>
          <w:pStyle w:val="Footer"/>
          <w:jc w:val="center"/>
          <w:rPr>
            <w:sz w:val="22"/>
            <w:szCs w:val="22"/>
          </w:rP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C03421">
          <w:rPr>
            <w:sz w:val="22"/>
            <w:szCs w:val="22"/>
          </w:rPr>
          <w:t>5</w:t>
        </w:r>
        <w:r w:rsidRPr="00F673A1">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46" w:rsidRPr="007B1AFB" w:rsidRDefault="00DB3B46" w:rsidP="007B1AFB">
      <w:pPr>
        <w:pStyle w:val="Footer"/>
      </w:pPr>
      <w:r>
        <w:t>____________________</w:t>
      </w:r>
    </w:p>
  </w:footnote>
  <w:footnote w:type="continuationSeparator" w:id="0">
    <w:p w:rsidR="00DB3B46" w:rsidRDefault="00DB3B46" w:rsidP="00A527F0">
      <w:r>
        <w:continuationSeparator/>
      </w:r>
    </w:p>
  </w:footnote>
  <w:footnote w:type="continuationNotice" w:id="1">
    <w:p w:rsidR="00DB3B46" w:rsidRDefault="00DB3B46">
      <w:pPr>
        <w:spacing w:before="0"/>
      </w:pPr>
    </w:p>
  </w:footnote>
  <w:footnote w:id="2">
    <w:p w:rsidR="00DB3B46" w:rsidRPr="00B456A5" w:rsidRDefault="00DB3B46" w:rsidP="00CB5204">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3">
    <w:p w:rsidR="00DB3B46" w:rsidRPr="00B456A5" w:rsidRDefault="00DB3B46" w:rsidP="00081529">
      <w:pPr>
        <w:pStyle w:val="FootnoteText"/>
        <w:rPr>
          <w:lang w:val="fr-CH"/>
        </w:rPr>
      </w:pPr>
      <w:r>
        <w:rPr>
          <w:rStyle w:val="FootnoteReference"/>
        </w:rPr>
        <w:t>*</w:t>
      </w:r>
      <w: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4">
    <w:p w:rsidR="00DB3B46" w:rsidRPr="00B1682C" w:rsidRDefault="00DB3B46" w:rsidP="004F7281">
      <w:pPr>
        <w:pStyle w:val="FootnoteText"/>
        <w:rPr>
          <w:lang w:val="fr-CH"/>
        </w:rPr>
      </w:pPr>
      <w:r w:rsidRPr="00B1682C">
        <w:rPr>
          <w:rStyle w:val="FootnoteReference"/>
          <w:lang w:val="fr-CH"/>
        </w:rPr>
        <w:t>*</w:t>
      </w:r>
      <w:r w:rsidRPr="00B1682C">
        <w:rPr>
          <w:lang w:val="fr-CH"/>
        </w:rPr>
        <w:tab/>
      </w:r>
      <w:r w:rsidRPr="000874C9">
        <w:rPr>
          <w:i/>
          <w:iCs/>
        </w:rPr>
        <w:t>Note du Secrétariat</w:t>
      </w:r>
      <w:r w:rsidRPr="005F28AC">
        <w:rPr>
          <w:i/>
          <w:iCs/>
        </w:rPr>
        <w:t>:</w:t>
      </w:r>
      <w:r>
        <w:t xml:space="preserve"> </w:t>
      </w:r>
      <w:r>
        <w:rPr>
          <w:color w:val="000000"/>
        </w:rPr>
        <w:t>Cette Résolution a été révisée par la CMR-15</w:t>
      </w:r>
      <w:r w:rsidRPr="00B1682C">
        <w:rPr>
          <w:lang w:val="fr-CH"/>
        </w:rPr>
        <w:t>.</w:t>
      </w:r>
    </w:p>
  </w:footnote>
  <w:footnote w:id="5">
    <w:p w:rsidR="00DB3B46" w:rsidRPr="00D6250D" w:rsidRDefault="00DB3B46" w:rsidP="0025450E">
      <w:pPr>
        <w:pStyle w:val="FootnoteText"/>
        <w:rPr>
          <w:lang w:val="fr-CH"/>
        </w:rPr>
      </w:pPr>
      <w:r>
        <w:rPr>
          <w:rStyle w:val="FootnoteReference"/>
        </w:rPr>
        <w:t>1</w:t>
      </w:r>
      <w:r>
        <w:t xml:space="preserve"> </w:t>
      </w:r>
      <w:r>
        <w:rPr>
          <w:lang w:val="fr-CH"/>
        </w:rPr>
        <w:tab/>
      </w:r>
      <w:r>
        <w:t>Ce Rapport figure dans le Document 29 de la CMR</w:t>
      </w:r>
      <w:r>
        <w:noBreakHyphen/>
        <w:t>2000.</w:t>
      </w:r>
    </w:p>
  </w:footnote>
  <w:footnote w:id="6">
    <w:p w:rsidR="00DB3B46" w:rsidRPr="000157ED" w:rsidRDefault="00DB3B46" w:rsidP="0025450E">
      <w:pPr>
        <w:pStyle w:val="FootnoteText"/>
        <w:rPr>
          <w:lang w:val="fr-CH"/>
        </w:rPr>
      </w:pPr>
      <w:r>
        <w:rPr>
          <w:rStyle w:val="FootnoteReference"/>
        </w:rPr>
        <w:t>2</w:t>
      </w:r>
      <w:r>
        <w:t xml:space="preserve"> </w:t>
      </w:r>
      <w:r>
        <w:rPr>
          <w:lang w:val="fr-CH"/>
        </w:rPr>
        <w:tab/>
      </w:r>
      <w:r>
        <w:t>Ce Rapport figure dans l'Addendum 5 au Document 4 de la CMR</w:t>
      </w:r>
      <w:r>
        <w:noBreakHyphen/>
        <w:t>03.</w:t>
      </w:r>
    </w:p>
  </w:footnote>
  <w:footnote w:id="7">
    <w:p w:rsidR="00DB3B46" w:rsidRPr="00F36506" w:rsidRDefault="00DB3B46" w:rsidP="0001024D">
      <w:pPr>
        <w:pStyle w:val="FootnoteText"/>
        <w:rPr>
          <w:lang w:val="fr-CH"/>
        </w:rPr>
      </w:pPr>
      <w:r>
        <w:rPr>
          <w:rStyle w:val="FootnoteReference"/>
        </w:rPr>
        <w:t>1</w:t>
      </w:r>
      <w:r w:rsidRPr="00F36506">
        <w:rPr>
          <w:lang w:val="fr-CH"/>
        </w:rPr>
        <w:tab/>
      </w:r>
      <w:r w:rsidRPr="005D34A2">
        <w:rPr>
          <w:lang w:val="fr-CH"/>
        </w:rPr>
        <w:t xml:space="preserve">Y compris les études relatives aux services dans les bandes </w:t>
      </w:r>
      <w:r>
        <w:t>de fréquences</w:t>
      </w:r>
      <w:r w:rsidRPr="005D34A2">
        <w:rPr>
          <w:lang w:val="fr-CH"/>
        </w:rPr>
        <w:t xml:space="preserve"> adjacentes, selon qu</w:t>
      </w:r>
      <w:r>
        <w:rPr>
          <w:lang w:val="fr-CH"/>
        </w:rPr>
        <w:t>'</w:t>
      </w:r>
      <w:r w:rsidRPr="005D34A2">
        <w:rPr>
          <w:lang w:val="fr-CH"/>
        </w:rPr>
        <w:t>il conviendra.</w:t>
      </w:r>
    </w:p>
  </w:footnote>
  <w:footnote w:id="8">
    <w:p w:rsidR="00DB3B46" w:rsidRPr="007D608D" w:rsidRDefault="00DB3B46" w:rsidP="0001024D">
      <w:pPr>
        <w:pStyle w:val="FootnoteText"/>
      </w:pPr>
      <w:r w:rsidRPr="007D608D">
        <w:rPr>
          <w:rStyle w:val="FootnoteReference"/>
        </w:rPr>
        <w:t>2</w:t>
      </w:r>
      <w:r w:rsidRPr="007D608D">
        <w:tab/>
      </w:r>
      <w:r>
        <w:t xml:space="preserve">Lorsque des études seront effectuées concernant </w:t>
      </w:r>
      <w:r>
        <w:rPr>
          <w:color w:val="000000"/>
        </w:rPr>
        <w:t xml:space="preserve">la bande </w:t>
      </w:r>
      <w:r>
        <w:t>de fréquences</w:t>
      </w:r>
      <w:r>
        <w:rPr>
          <w:color w:val="000000"/>
        </w:rPr>
        <w:t xml:space="preserve"> 24,5-27,5 GHz</w:t>
      </w:r>
      <w:r>
        <w:t>, il conviendra de tenir compte</w:t>
      </w:r>
      <w:r>
        <w:rPr>
          <w:color w:val="000000"/>
        </w:rPr>
        <w:t xml:space="preserv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25,5-27 GHz</w:t>
      </w:r>
      <w:r w:rsidRPr="007D608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567EC5"/>
    <w:multiLevelType w:val="hybridMultilevel"/>
    <w:tmpl w:val="340E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linkStyle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357"/>
  <w:evenAndOddHeaders/>
  <w:drawingGridHorizontalSpacing w:val="80"/>
  <w:displayHorizontalDrawingGridEvery w:val="2"/>
  <w:noPunctuationKerning/>
  <w:characterSpacingControl w:val="doNotCompress"/>
  <w:hdrShapeDefaults>
    <o:shapedefaults v:ext="edit" spidmax="7680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DAD1BB-2D2A-4F63-B932-E2370A637051}"/>
    <w:docVar w:name="dgnword-eventsink" w:val="286196720"/>
  </w:docVars>
  <w:rsids>
    <w:rsidRoot w:val="00106498"/>
    <w:rsid w:val="0001024D"/>
    <w:rsid w:val="00015F96"/>
    <w:rsid w:val="00017136"/>
    <w:rsid w:val="00030BEF"/>
    <w:rsid w:val="00031F08"/>
    <w:rsid w:val="00066029"/>
    <w:rsid w:val="00066B9E"/>
    <w:rsid w:val="0007728F"/>
    <w:rsid w:val="00080B57"/>
    <w:rsid w:val="00081529"/>
    <w:rsid w:val="0008452E"/>
    <w:rsid w:val="00084B60"/>
    <w:rsid w:val="0009619D"/>
    <w:rsid w:val="000976EA"/>
    <w:rsid w:val="000A1FCF"/>
    <w:rsid w:val="000A5071"/>
    <w:rsid w:val="000A6A05"/>
    <w:rsid w:val="000B19F0"/>
    <w:rsid w:val="000B69F3"/>
    <w:rsid w:val="000C0A7A"/>
    <w:rsid w:val="000D5F3F"/>
    <w:rsid w:val="000E27C5"/>
    <w:rsid w:val="000F127C"/>
    <w:rsid w:val="000F705D"/>
    <w:rsid w:val="00106498"/>
    <w:rsid w:val="00106CA9"/>
    <w:rsid w:val="0011005D"/>
    <w:rsid w:val="00112345"/>
    <w:rsid w:val="0011556C"/>
    <w:rsid w:val="00120FCE"/>
    <w:rsid w:val="001331D5"/>
    <w:rsid w:val="0013675A"/>
    <w:rsid w:val="00137862"/>
    <w:rsid w:val="00141999"/>
    <w:rsid w:val="00143E9D"/>
    <w:rsid w:val="001454E7"/>
    <w:rsid w:val="001463FE"/>
    <w:rsid w:val="001622AD"/>
    <w:rsid w:val="0016586F"/>
    <w:rsid w:val="00166A5C"/>
    <w:rsid w:val="0017669D"/>
    <w:rsid w:val="00181FB4"/>
    <w:rsid w:val="00185B86"/>
    <w:rsid w:val="00194593"/>
    <w:rsid w:val="00195E2F"/>
    <w:rsid w:val="001A573D"/>
    <w:rsid w:val="001B23CA"/>
    <w:rsid w:val="001B2E1B"/>
    <w:rsid w:val="001B30D5"/>
    <w:rsid w:val="001B478D"/>
    <w:rsid w:val="001B4AD5"/>
    <w:rsid w:val="001B772E"/>
    <w:rsid w:val="001C64BC"/>
    <w:rsid w:val="001C7A6D"/>
    <w:rsid w:val="001D49D7"/>
    <w:rsid w:val="001D5160"/>
    <w:rsid w:val="001D5201"/>
    <w:rsid w:val="001D6384"/>
    <w:rsid w:val="001E2DD5"/>
    <w:rsid w:val="001F46B8"/>
    <w:rsid w:val="001F476D"/>
    <w:rsid w:val="001F691A"/>
    <w:rsid w:val="00200892"/>
    <w:rsid w:val="00206C55"/>
    <w:rsid w:val="00207123"/>
    <w:rsid w:val="00207FE9"/>
    <w:rsid w:val="00220A9C"/>
    <w:rsid w:val="00224301"/>
    <w:rsid w:val="00232766"/>
    <w:rsid w:val="00233363"/>
    <w:rsid w:val="00233420"/>
    <w:rsid w:val="00233DAB"/>
    <w:rsid w:val="002355E9"/>
    <w:rsid w:val="002378BA"/>
    <w:rsid w:val="002401D7"/>
    <w:rsid w:val="002458A3"/>
    <w:rsid w:val="002509BB"/>
    <w:rsid w:val="0025450E"/>
    <w:rsid w:val="00254821"/>
    <w:rsid w:val="00255329"/>
    <w:rsid w:val="002606E6"/>
    <w:rsid w:val="0026429D"/>
    <w:rsid w:val="00272BB3"/>
    <w:rsid w:val="002808BC"/>
    <w:rsid w:val="00286719"/>
    <w:rsid w:val="00297623"/>
    <w:rsid w:val="002A08CD"/>
    <w:rsid w:val="002A42EF"/>
    <w:rsid w:val="002B2009"/>
    <w:rsid w:val="002B41EB"/>
    <w:rsid w:val="002B4CE4"/>
    <w:rsid w:val="002B5C83"/>
    <w:rsid w:val="002C0101"/>
    <w:rsid w:val="002C2914"/>
    <w:rsid w:val="002C58C9"/>
    <w:rsid w:val="002C7C0C"/>
    <w:rsid w:val="002D3281"/>
    <w:rsid w:val="002E069F"/>
    <w:rsid w:val="002E1C32"/>
    <w:rsid w:val="002F712B"/>
    <w:rsid w:val="003012C0"/>
    <w:rsid w:val="00301E6F"/>
    <w:rsid w:val="00307DBA"/>
    <w:rsid w:val="00311FD2"/>
    <w:rsid w:val="00314697"/>
    <w:rsid w:val="00314DA9"/>
    <w:rsid w:val="00323437"/>
    <w:rsid w:val="00323A5D"/>
    <w:rsid w:val="0032514F"/>
    <w:rsid w:val="00332BA9"/>
    <w:rsid w:val="00333D77"/>
    <w:rsid w:val="003347FA"/>
    <w:rsid w:val="00340306"/>
    <w:rsid w:val="0034459A"/>
    <w:rsid w:val="00346C8B"/>
    <w:rsid w:val="0036485F"/>
    <w:rsid w:val="00365A0B"/>
    <w:rsid w:val="00365A46"/>
    <w:rsid w:val="00370859"/>
    <w:rsid w:val="003716A5"/>
    <w:rsid w:val="003819BD"/>
    <w:rsid w:val="003822E3"/>
    <w:rsid w:val="00386A6F"/>
    <w:rsid w:val="00392581"/>
    <w:rsid w:val="00393119"/>
    <w:rsid w:val="003955F8"/>
    <w:rsid w:val="00396124"/>
    <w:rsid w:val="003A1E99"/>
    <w:rsid w:val="003B0731"/>
    <w:rsid w:val="003B643B"/>
    <w:rsid w:val="003B6F30"/>
    <w:rsid w:val="003C2E5B"/>
    <w:rsid w:val="003C5962"/>
    <w:rsid w:val="003C6428"/>
    <w:rsid w:val="003C76B1"/>
    <w:rsid w:val="003D3BC3"/>
    <w:rsid w:val="003E5F08"/>
    <w:rsid w:val="003E724F"/>
    <w:rsid w:val="003F0480"/>
    <w:rsid w:val="003F6AAF"/>
    <w:rsid w:val="004123F6"/>
    <w:rsid w:val="00416CED"/>
    <w:rsid w:val="00420B68"/>
    <w:rsid w:val="00433832"/>
    <w:rsid w:val="00433F55"/>
    <w:rsid w:val="00435B48"/>
    <w:rsid w:val="00435B6D"/>
    <w:rsid w:val="004379D4"/>
    <w:rsid w:val="004465EB"/>
    <w:rsid w:val="0045160C"/>
    <w:rsid w:val="00455189"/>
    <w:rsid w:val="00465806"/>
    <w:rsid w:val="00467B45"/>
    <w:rsid w:val="00474275"/>
    <w:rsid w:val="00487FEC"/>
    <w:rsid w:val="00491F03"/>
    <w:rsid w:val="00496177"/>
    <w:rsid w:val="004A3162"/>
    <w:rsid w:val="004A4816"/>
    <w:rsid w:val="004B01BC"/>
    <w:rsid w:val="004B075B"/>
    <w:rsid w:val="004B648D"/>
    <w:rsid w:val="004C120E"/>
    <w:rsid w:val="004C70AD"/>
    <w:rsid w:val="004D2BA7"/>
    <w:rsid w:val="004D63A0"/>
    <w:rsid w:val="004E2215"/>
    <w:rsid w:val="004E58FC"/>
    <w:rsid w:val="004E7117"/>
    <w:rsid w:val="004F14C9"/>
    <w:rsid w:val="004F57AD"/>
    <w:rsid w:val="004F7281"/>
    <w:rsid w:val="00500179"/>
    <w:rsid w:val="00500AC6"/>
    <w:rsid w:val="00502F0A"/>
    <w:rsid w:val="0050665D"/>
    <w:rsid w:val="00510C3E"/>
    <w:rsid w:val="00510D2D"/>
    <w:rsid w:val="005131A3"/>
    <w:rsid w:val="00514C0A"/>
    <w:rsid w:val="00514D5E"/>
    <w:rsid w:val="00515B70"/>
    <w:rsid w:val="00515DF7"/>
    <w:rsid w:val="00516D88"/>
    <w:rsid w:val="00526BFE"/>
    <w:rsid w:val="0052765F"/>
    <w:rsid w:val="005307AC"/>
    <w:rsid w:val="00533C55"/>
    <w:rsid w:val="00533C74"/>
    <w:rsid w:val="00535FD4"/>
    <w:rsid w:val="00536000"/>
    <w:rsid w:val="00550582"/>
    <w:rsid w:val="00551F38"/>
    <w:rsid w:val="00553AD2"/>
    <w:rsid w:val="00555A65"/>
    <w:rsid w:val="00562D49"/>
    <w:rsid w:val="00571880"/>
    <w:rsid w:val="00572F6A"/>
    <w:rsid w:val="0057413C"/>
    <w:rsid w:val="00576042"/>
    <w:rsid w:val="0057653D"/>
    <w:rsid w:val="0057716F"/>
    <w:rsid w:val="005834F5"/>
    <w:rsid w:val="005949BB"/>
    <w:rsid w:val="00595B9A"/>
    <w:rsid w:val="005A0A51"/>
    <w:rsid w:val="005A2541"/>
    <w:rsid w:val="005A77F6"/>
    <w:rsid w:val="005B11FD"/>
    <w:rsid w:val="005C0689"/>
    <w:rsid w:val="005C1881"/>
    <w:rsid w:val="005C342E"/>
    <w:rsid w:val="005C4553"/>
    <w:rsid w:val="005C5DFF"/>
    <w:rsid w:val="005D42D0"/>
    <w:rsid w:val="005D43BA"/>
    <w:rsid w:val="005D7B2E"/>
    <w:rsid w:val="005E1048"/>
    <w:rsid w:val="005F2FF5"/>
    <w:rsid w:val="006002B6"/>
    <w:rsid w:val="00601178"/>
    <w:rsid w:val="00604063"/>
    <w:rsid w:val="00605628"/>
    <w:rsid w:val="00610F90"/>
    <w:rsid w:val="00627295"/>
    <w:rsid w:val="00631395"/>
    <w:rsid w:val="006327A1"/>
    <w:rsid w:val="00633108"/>
    <w:rsid w:val="006401CA"/>
    <w:rsid w:val="00641B09"/>
    <w:rsid w:val="006432B6"/>
    <w:rsid w:val="00645423"/>
    <w:rsid w:val="00647FB0"/>
    <w:rsid w:val="00652ACC"/>
    <w:rsid w:val="006545AD"/>
    <w:rsid w:val="00670EF0"/>
    <w:rsid w:val="0067619A"/>
    <w:rsid w:val="006810C1"/>
    <w:rsid w:val="006837BB"/>
    <w:rsid w:val="00695B9C"/>
    <w:rsid w:val="006A087C"/>
    <w:rsid w:val="006A2F0C"/>
    <w:rsid w:val="006A2F4A"/>
    <w:rsid w:val="006A5595"/>
    <w:rsid w:val="006A7B23"/>
    <w:rsid w:val="006A7F31"/>
    <w:rsid w:val="006B2CA4"/>
    <w:rsid w:val="006B39ED"/>
    <w:rsid w:val="006C0590"/>
    <w:rsid w:val="006C06C9"/>
    <w:rsid w:val="006C2609"/>
    <w:rsid w:val="006C6A8D"/>
    <w:rsid w:val="006D6346"/>
    <w:rsid w:val="006F43CE"/>
    <w:rsid w:val="006F7BED"/>
    <w:rsid w:val="00724AAB"/>
    <w:rsid w:val="00727158"/>
    <w:rsid w:val="0072787F"/>
    <w:rsid w:val="0073479C"/>
    <w:rsid w:val="00746425"/>
    <w:rsid w:val="00747D65"/>
    <w:rsid w:val="00751952"/>
    <w:rsid w:val="00757B1A"/>
    <w:rsid w:val="0076795B"/>
    <w:rsid w:val="00775A12"/>
    <w:rsid w:val="00780189"/>
    <w:rsid w:val="007816F8"/>
    <w:rsid w:val="00784B1A"/>
    <w:rsid w:val="00787019"/>
    <w:rsid w:val="00787353"/>
    <w:rsid w:val="0079270C"/>
    <w:rsid w:val="007937A9"/>
    <w:rsid w:val="007950DA"/>
    <w:rsid w:val="00797441"/>
    <w:rsid w:val="007A18FA"/>
    <w:rsid w:val="007A1C43"/>
    <w:rsid w:val="007A32AC"/>
    <w:rsid w:val="007A5A1D"/>
    <w:rsid w:val="007B1AFB"/>
    <w:rsid w:val="007B6371"/>
    <w:rsid w:val="007B6EC8"/>
    <w:rsid w:val="007C11AB"/>
    <w:rsid w:val="007C1B97"/>
    <w:rsid w:val="007C7D0B"/>
    <w:rsid w:val="007D60DD"/>
    <w:rsid w:val="007E0C09"/>
    <w:rsid w:val="007E194F"/>
    <w:rsid w:val="007E33CE"/>
    <w:rsid w:val="007F46BF"/>
    <w:rsid w:val="00803279"/>
    <w:rsid w:val="00803987"/>
    <w:rsid w:val="008054B2"/>
    <w:rsid w:val="00817E14"/>
    <w:rsid w:val="0082344E"/>
    <w:rsid w:val="008278C6"/>
    <w:rsid w:val="00833EDC"/>
    <w:rsid w:val="0084190B"/>
    <w:rsid w:val="00841F21"/>
    <w:rsid w:val="00845EA4"/>
    <w:rsid w:val="00850D4C"/>
    <w:rsid w:val="008525F0"/>
    <w:rsid w:val="00866267"/>
    <w:rsid w:val="00871B4E"/>
    <w:rsid w:val="00873F68"/>
    <w:rsid w:val="00880999"/>
    <w:rsid w:val="008809AC"/>
    <w:rsid w:val="00886B2D"/>
    <w:rsid w:val="00890B2E"/>
    <w:rsid w:val="00891FF1"/>
    <w:rsid w:val="00892B7B"/>
    <w:rsid w:val="0089577A"/>
    <w:rsid w:val="00896636"/>
    <w:rsid w:val="00896FCC"/>
    <w:rsid w:val="008A517C"/>
    <w:rsid w:val="008A5C85"/>
    <w:rsid w:val="008C4009"/>
    <w:rsid w:val="008D0954"/>
    <w:rsid w:val="008E7D8F"/>
    <w:rsid w:val="008F3F34"/>
    <w:rsid w:val="00900953"/>
    <w:rsid w:val="00900DD5"/>
    <w:rsid w:val="0090219F"/>
    <w:rsid w:val="00910D00"/>
    <w:rsid w:val="00911D37"/>
    <w:rsid w:val="00917A25"/>
    <w:rsid w:val="0092019C"/>
    <w:rsid w:val="00920244"/>
    <w:rsid w:val="0092616E"/>
    <w:rsid w:val="009277D4"/>
    <w:rsid w:val="00930537"/>
    <w:rsid w:val="00937B5E"/>
    <w:rsid w:val="0094037E"/>
    <w:rsid w:val="009465AE"/>
    <w:rsid w:val="00950AF4"/>
    <w:rsid w:val="00953DB1"/>
    <w:rsid w:val="00961E84"/>
    <w:rsid w:val="00962593"/>
    <w:rsid w:val="0096580E"/>
    <w:rsid w:val="00971EA4"/>
    <w:rsid w:val="009778F5"/>
    <w:rsid w:val="00984192"/>
    <w:rsid w:val="00984CAA"/>
    <w:rsid w:val="009875CE"/>
    <w:rsid w:val="009945C6"/>
    <w:rsid w:val="009953CA"/>
    <w:rsid w:val="009958F8"/>
    <w:rsid w:val="009A729B"/>
    <w:rsid w:val="009B21F9"/>
    <w:rsid w:val="009B589A"/>
    <w:rsid w:val="009C2043"/>
    <w:rsid w:val="009C2D2E"/>
    <w:rsid w:val="009C3FBE"/>
    <w:rsid w:val="009D551A"/>
    <w:rsid w:val="009D581A"/>
    <w:rsid w:val="009E4E7C"/>
    <w:rsid w:val="009E7B76"/>
    <w:rsid w:val="009F1BC7"/>
    <w:rsid w:val="009F24BE"/>
    <w:rsid w:val="009F6474"/>
    <w:rsid w:val="009F67C2"/>
    <w:rsid w:val="009F6FB9"/>
    <w:rsid w:val="009F73D6"/>
    <w:rsid w:val="00A02A14"/>
    <w:rsid w:val="00A05BCD"/>
    <w:rsid w:val="00A05EE6"/>
    <w:rsid w:val="00A060F3"/>
    <w:rsid w:val="00A15A88"/>
    <w:rsid w:val="00A17011"/>
    <w:rsid w:val="00A20831"/>
    <w:rsid w:val="00A20F5A"/>
    <w:rsid w:val="00A23088"/>
    <w:rsid w:val="00A24A00"/>
    <w:rsid w:val="00A36111"/>
    <w:rsid w:val="00A36752"/>
    <w:rsid w:val="00A37145"/>
    <w:rsid w:val="00A402CA"/>
    <w:rsid w:val="00A41CF6"/>
    <w:rsid w:val="00A42CD2"/>
    <w:rsid w:val="00A5201E"/>
    <w:rsid w:val="00A527F0"/>
    <w:rsid w:val="00A57F8F"/>
    <w:rsid w:val="00A62F46"/>
    <w:rsid w:val="00A63973"/>
    <w:rsid w:val="00A64C50"/>
    <w:rsid w:val="00A70CB6"/>
    <w:rsid w:val="00A71789"/>
    <w:rsid w:val="00A73A52"/>
    <w:rsid w:val="00A74617"/>
    <w:rsid w:val="00A772F4"/>
    <w:rsid w:val="00A77EE1"/>
    <w:rsid w:val="00A80C6E"/>
    <w:rsid w:val="00A819C8"/>
    <w:rsid w:val="00AB1282"/>
    <w:rsid w:val="00AB1D31"/>
    <w:rsid w:val="00AB2B4C"/>
    <w:rsid w:val="00AB3F60"/>
    <w:rsid w:val="00AC11C3"/>
    <w:rsid w:val="00AC2F10"/>
    <w:rsid w:val="00AC73F0"/>
    <w:rsid w:val="00AD1197"/>
    <w:rsid w:val="00AD1E10"/>
    <w:rsid w:val="00AD75ED"/>
    <w:rsid w:val="00AE02CB"/>
    <w:rsid w:val="00AE4498"/>
    <w:rsid w:val="00AE59D0"/>
    <w:rsid w:val="00AF33C9"/>
    <w:rsid w:val="00AF5288"/>
    <w:rsid w:val="00B113B0"/>
    <w:rsid w:val="00B12663"/>
    <w:rsid w:val="00B136B3"/>
    <w:rsid w:val="00B14FDD"/>
    <w:rsid w:val="00B2028C"/>
    <w:rsid w:val="00B21211"/>
    <w:rsid w:val="00B2195B"/>
    <w:rsid w:val="00B21F49"/>
    <w:rsid w:val="00B23DF6"/>
    <w:rsid w:val="00B24DF7"/>
    <w:rsid w:val="00B31B7B"/>
    <w:rsid w:val="00B32EC0"/>
    <w:rsid w:val="00B334B9"/>
    <w:rsid w:val="00B35661"/>
    <w:rsid w:val="00B35B28"/>
    <w:rsid w:val="00B36CFA"/>
    <w:rsid w:val="00B410C6"/>
    <w:rsid w:val="00B41982"/>
    <w:rsid w:val="00B44413"/>
    <w:rsid w:val="00B45034"/>
    <w:rsid w:val="00B4652F"/>
    <w:rsid w:val="00B51A4D"/>
    <w:rsid w:val="00B522FD"/>
    <w:rsid w:val="00B54367"/>
    <w:rsid w:val="00B555A7"/>
    <w:rsid w:val="00B556B4"/>
    <w:rsid w:val="00B600B0"/>
    <w:rsid w:val="00B622C8"/>
    <w:rsid w:val="00B71B1C"/>
    <w:rsid w:val="00B73264"/>
    <w:rsid w:val="00B74954"/>
    <w:rsid w:val="00B74A3D"/>
    <w:rsid w:val="00B75162"/>
    <w:rsid w:val="00B77E60"/>
    <w:rsid w:val="00B83183"/>
    <w:rsid w:val="00B94885"/>
    <w:rsid w:val="00B96C1E"/>
    <w:rsid w:val="00BA0D91"/>
    <w:rsid w:val="00BA46DC"/>
    <w:rsid w:val="00BA7636"/>
    <w:rsid w:val="00BA7D59"/>
    <w:rsid w:val="00BB5664"/>
    <w:rsid w:val="00BC182A"/>
    <w:rsid w:val="00BC229A"/>
    <w:rsid w:val="00BC39BE"/>
    <w:rsid w:val="00BC4D50"/>
    <w:rsid w:val="00BD27A8"/>
    <w:rsid w:val="00BD59DE"/>
    <w:rsid w:val="00BE075E"/>
    <w:rsid w:val="00BE3191"/>
    <w:rsid w:val="00BE368E"/>
    <w:rsid w:val="00BE4808"/>
    <w:rsid w:val="00BE7441"/>
    <w:rsid w:val="00BF2827"/>
    <w:rsid w:val="00BF3212"/>
    <w:rsid w:val="00BF7121"/>
    <w:rsid w:val="00C03421"/>
    <w:rsid w:val="00C05D59"/>
    <w:rsid w:val="00C10534"/>
    <w:rsid w:val="00C11035"/>
    <w:rsid w:val="00C11F34"/>
    <w:rsid w:val="00C13EC1"/>
    <w:rsid w:val="00C173DE"/>
    <w:rsid w:val="00C26B6C"/>
    <w:rsid w:val="00C31D94"/>
    <w:rsid w:val="00C42FF8"/>
    <w:rsid w:val="00C43676"/>
    <w:rsid w:val="00C4519F"/>
    <w:rsid w:val="00C50C78"/>
    <w:rsid w:val="00C52210"/>
    <w:rsid w:val="00C53558"/>
    <w:rsid w:val="00C55008"/>
    <w:rsid w:val="00C6044E"/>
    <w:rsid w:val="00C65B3F"/>
    <w:rsid w:val="00C67CB3"/>
    <w:rsid w:val="00C73AD0"/>
    <w:rsid w:val="00C73F41"/>
    <w:rsid w:val="00C7414E"/>
    <w:rsid w:val="00C74F6E"/>
    <w:rsid w:val="00C82D6C"/>
    <w:rsid w:val="00C844AB"/>
    <w:rsid w:val="00C86CF4"/>
    <w:rsid w:val="00C96194"/>
    <w:rsid w:val="00CB1977"/>
    <w:rsid w:val="00CB4256"/>
    <w:rsid w:val="00CB5204"/>
    <w:rsid w:val="00CC31AC"/>
    <w:rsid w:val="00CC4002"/>
    <w:rsid w:val="00CC51DB"/>
    <w:rsid w:val="00CC57A2"/>
    <w:rsid w:val="00CC6507"/>
    <w:rsid w:val="00CD2F19"/>
    <w:rsid w:val="00CD3A60"/>
    <w:rsid w:val="00CE6618"/>
    <w:rsid w:val="00CF18BC"/>
    <w:rsid w:val="00D01CD1"/>
    <w:rsid w:val="00D03907"/>
    <w:rsid w:val="00D04457"/>
    <w:rsid w:val="00D046D6"/>
    <w:rsid w:val="00D07592"/>
    <w:rsid w:val="00D11617"/>
    <w:rsid w:val="00D200A2"/>
    <w:rsid w:val="00D224EF"/>
    <w:rsid w:val="00D24679"/>
    <w:rsid w:val="00D25BC0"/>
    <w:rsid w:val="00D31248"/>
    <w:rsid w:val="00D317D9"/>
    <w:rsid w:val="00D327C6"/>
    <w:rsid w:val="00D33331"/>
    <w:rsid w:val="00D65A9B"/>
    <w:rsid w:val="00D67FAE"/>
    <w:rsid w:val="00D71CE0"/>
    <w:rsid w:val="00D74410"/>
    <w:rsid w:val="00D76FD0"/>
    <w:rsid w:val="00D90659"/>
    <w:rsid w:val="00D93A01"/>
    <w:rsid w:val="00DA19B6"/>
    <w:rsid w:val="00DB3B46"/>
    <w:rsid w:val="00DB64A4"/>
    <w:rsid w:val="00DB6CE0"/>
    <w:rsid w:val="00DB788F"/>
    <w:rsid w:val="00DC115F"/>
    <w:rsid w:val="00DD3447"/>
    <w:rsid w:val="00DD7607"/>
    <w:rsid w:val="00DF13FD"/>
    <w:rsid w:val="00DF3F27"/>
    <w:rsid w:val="00DF6A98"/>
    <w:rsid w:val="00E00C24"/>
    <w:rsid w:val="00E023F8"/>
    <w:rsid w:val="00E11E3C"/>
    <w:rsid w:val="00E1542A"/>
    <w:rsid w:val="00E1683B"/>
    <w:rsid w:val="00E23D6E"/>
    <w:rsid w:val="00E25FB6"/>
    <w:rsid w:val="00E30082"/>
    <w:rsid w:val="00E3217F"/>
    <w:rsid w:val="00E34F36"/>
    <w:rsid w:val="00E3552C"/>
    <w:rsid w:val="00E37F7C"/>
    <w:rsid w:val="00E453E6"/>
    <w:rsid w:val="00E46C20"/>
    <w:rsid w:val="00E476B0"/>
    <w:rsid w:val="00E517B1"/>
    <w:rsid w:val="00E53BE1"/>
    <w:rsid w:val="00E543B7"/>
    <w:rsid w:val="00E543DC"/>
    <w:rsid w:val="00E623FB"/>
    <w:rsid w:val="00E6490D"/>
    <w:rsid w:val="00E71A14"/>
    <w:rsid w:val="00E71AE1"/>
    <w:rsid w:val="00E75163"/>
    <w:rsid w:val="00E80460"/>
    <w:rsid w:val="00E80BBE"/>
    <w:rsid w:val="00E83793"/>
    <w:rsid w:val="00E85AC2"/>
    <w:rsid w:val="00E91ACF"/>
    <w:rsid w:val="00E9256A"/>
    <w:rsid w:val="00E962B5"/>
    <w:rsid w:val="00E9658E"/>
    <w:rsid w:val="00EC22DC"/>
    <w:rsid w:val="00EC3F13"/>
    <w:rsid w:val="00EC4551"/>
    <w:rsid w:val="00EC4934"/>
    <w:rsid w:val="00EC5940"/>
    <w:rsid w:val="00ED6261"/>
    <w:rsid w:val="00ED7033"/>
    <w:rsid w:val="00EE006E"/>
    <w:rsid w:val="00EE411F"/>
    <w:rsid w:val="00EF0551"/>
    <w:rsid w:val="00EF2031"/>
    <w:rsid w:val="00EF2C95"/>
    <w:rsid w:val="00EF3034"/>
    <w:rsid w:val="00EF619B"/>
    <w:rsid w:val="00F028DA"/>
    <w:rsid w:val="00F04BFD"/>
    <w:rsid w:val="00F0581E"/>
    <w:rsid w:val="00F06A8B"/>
    <w:rsid w:val="00F06CA9"/>
    <w:rsid w:val="00F07383"/>
    <w:rsid w:val="00F1211C"/>
    <w:rsid w:val="00F130EA"/>
    <w:rsid w:val="00F234EB"/>
    <w:rsid w:val="00F27980"/>
    <w:rsid w:val="00F31875"/>
    <w:rsid w:val="00F3524A"/>
    <w:rsid w:val="00F3540D"/>
    <w:rsid w:val="00F35A16"/>
    <w:rsid w:val="00F369DD"/>
    <w:rsid w:val="00F37B3A"/>
    <w:rsid w:val="00F5245B"/>
    <w:rsid w:val="00F56016"/>
    <w:rsid w:val="00F673A1"/>
    <w:rsid w:val="00F8363E"/>
    <w:rsid w:val="00F8506B"/>
    <w:rsid w:val="00F90674"/>
    <w:rsid w:val="00F91073"/>
    <w:rsid w:val="00F934AA"/>
    <w:rsid w:val="00F94ACA"/>
    <w:rsid w:val="00F96BD5"/>
    <w:rsid w:val="00FA0DFD"/>
    <w:rsid w:val="00FA31AE"/>
    <w:rsid w:val="00FA65D2"/>
    <w:rsid w:val="00FB0E98"/>
    <w:rsid w:val="00FB15F8"/>
    <w:rsid w:val="00FB1B42"/>
    <w:rsid w:val="00FB46DD"/>
    <w:rsid w:val="00FB52FB"/>
    <w:rsid w:val="00FC0E44"/>
    <w:rsid w:val="00FC29CD"/>
    <w:rsid w:val="00FC64A0"/>
    <w:rsid w:val="00FD0D34"/>
    <w:rsid w:val="00FD59C0"/>
    <w:rsid w:val="00FE3704"/>
    <w:rsid w:val="00FE63F3"/>
    <w:rsid w:val="00FE6DC7"/>
    <w:rsid w:val="00FF35CE"/>
    <w:rsid w:val="00FF61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5680A7D9-938A-4E03-8368-EBFE33EE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F5"/>
    <w:pPr>
      <w:tabs>
        <w:tab w:val="left" w:pos="1134"/>
        <w:tab w:val="left" w:pos="1871"/>
        <w:tab w:val="left" w:pos="2268"/>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basedOn w:val="Normal"/>
    <w:next w:val="Normal"/>
    <w:link w:val="Heading1Char"/>
    <w:qFormat/>
    <w:rsid w:val="005834F5"/>
    <w:pPr>
      <w:keepNext/>
      <w:keepLines/>
      <w:spacing w:before="280"/>
      <w:ind w:left="1134" w:hanging="1134"/>
      <w:outlineLvl w:val="0"/>
    </w:pPr>
    <w:rPr>
      <w:b/>
      <w:sz w:val="28"/>
    </w:rPr>
  </w:style>
  <w:style w:type="paragraph" w:styleId="Heading2">
    <w:name w:val="heading 2"/>
    <w:basedOn w:val="Heading1"/>
    <w:next w:val="Normal"/>
    <w:link w:val="Heading2Char"/>
    <w:qFormat/>
    <w:rsid w:val="005834F5"/>
    <w:pPr>
      <w:spacing w:before="200"/>
      <w:outlineLvl w:val="1"/>
    </w:pPr>
    <w:rPr>
      <w:sz w:val="24"/>
    </w:rPr>
  </w:style>
  <w:style w:type="paragraph" w:styleId="Heading3">
    <w:name w:val="heading 3"/>
    <w:basedOn w:val="Heading1"/>
    <w:next w:val="Normal"/>
    <w:link w:val="Heading3Char"/>
    <w:qFormat/>
    <w:rsid w:val="005834F5"/>
    <w:pPr>
      <w:tabs>
        <w:tab w:val="clear" w:pos="1134"/>
      </w:tabs>
      <w:spacing w:before="200"/>
      <w:outlineLvl w:val="2"/>
    </w:pPr>
    <w:rPr>
      <w:sz w:val="24"/>
    </w:rPr>
  </w:style>
  <w:style w:type="paragraph" w:styleId="Heading4">
    <w:name w:val="heading 4"/>
    <w:basedOn w:val="Heading3"/>
    <w:next w:val="Normal"/>
    <w:link w:val="Heading4Char"/>
    <w:qFormat/>
    <w:rsid w:val="005834F5"/>
    <w:pPr>
      <w:outlineLvl w:val="3"/>
    </w:pPr>
  </w:style>
  <w:style w:type="paragraph" w:styleId="Heading5">
    <w:name w:val="heading 5"/>
    <w:basedOn w:val="Heading4"/>
    <w:next w:val="Normal"/>
    <w:link w:val="Heading5Char"/>
    <w:qFormat/>
    <w:rsid w:val="005834F5"/>
    <w:pPr>
      <w:outlineLvl w:val="4"/>
    </w:pPr>
  </w:style>
  <w:style w:type="paragraph" w:styleId="Heading6">
    <w:name w:val="heading 6"/>
    <w:basedOn w:val="Heading4"/>
    <w:next w:val="Normal"/>
    <w:link w:val="Heading6Char"/>
    <w:qFormat/>
    <w:rsid w:val="005834F5"/>
    <w:pPr>
      <w:outlineLvl w:val="5"/>
    </w:pPr>
  </w:style>
  <w:style w:type="paragraph" w:styleId="Heading7">
    <w:name w:val="heading 7"/>
    <w:basedOn w:val="Heading6"/>
    <w:next w:val="Normal"/>
    <w:link w:val="Heading7Char"/>
    <w:qFormat/>
    <w:rsid w:val="005834F5"/>
    <w:pPr>
      <w:outlineLvl w:val="6"/>
    </w:pPr>
  </w:style>
  <w:style w:type="paragraph" w:styleId="Heading8">
    <w:name w:val="heading 8"/>
    <w:basedOn w:val="Heading6"/>
    <w:next w:val="Normal"/>
    <w:link w:val="Heading8Char"/>
    <w:qFormat/>
    <w:rsid w:val="005834F5"/>
    <w:pPr>
      <w:outlineLvl w:val="7"/>
    </w:pPr>
  </w:style>
  <w:style w:type="paragraph" w:styleId="Heading9">
    <w:name w:val="heading 9"/>
    <w:basedOn w:val="Heading6"/>
    <w:next w:val="Normal"/>
    <w:link w:val="Heading9Char"/>
    <w:qFormat/>
    <w:rsid w:val="005834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rsid w:val="005834F5"/>
    <w:pPr>
      <w:tabs>
        <w:tab w:val="left" w:pos="284"/>
      </w:tabs>
      <w:spacing w:before="80"/>
    </w:pPr>
  </w:style>
  <w:style w:type="paragraph" w:styleId="Footer">
    <w:name w:val="footer"/>
    <w:basedOn w:val="Normal"/>
    <w:link w:val="FooterChar"/>
    <w:rsid w:val="005834F5"/>
    <w:pPr>
      <w:tabs>
        <w:tab w:val="clear" w:pos="1134"/>
        <w:tab w:val="clear" w:pos="1871"/>
        <w:tab w:val="clear" w:pos="2268"/>
        <w:tab w:val="left" w:pos="5954"/>
        <w:tab w:val="right" w:pos="9639"/>
      </w:tabs>
      <w:spacing w:before="0"/>
    </w:pPr>
    <w:rPr>
      <w:caps/>
      <w:noProof/>
      <w:sz w:val="16"/>
    </w:rPr>
  </w:style>
  <w:style w:type="paragraph" w:customStyle="1" w:styleId="Normalaftertitle">
    <w:name w:val="Normal after title"/>
    <w:basedOn w:val="Normal"/>
    <w:next w:val="Normal"/>
    <w:link w:val="NormalaftertitleChar"/>
    <w:rsid w:val="005834F5"/>
    <w:pPr>
      <w:spacing w:before="280"/>
    </w:pPr>
  </w:style>
  <w:style w:type="paragraph" w:customStyle="1" w:styleId="ResNo">
    <w:name w:val="Res_No"/>
    <w:basedOn w:val="RecNo"/>
    <w:next w:val="Normal"/>
    <w:link w:val="ResNoChar"/>
    <w:rsid w:val="005834F5"/>
  </w:style>
  <w:style w:type="paragraph" w:customStyle="1" w:styleId="Restitle">
    <w:name w:val="Res_title"/>
    <w:basedOn w:val="Rectitle"/>
    <w:next w:val="Normal"/>
    <w:link w:val="RestitleChar"/>
    <w:rsid w:val="005834F5"/>
  </w:style>
  <w:style w:type="character" w:customStyle="1" w:styleId="href">
    <w:name w:val="href"/>
    <w:basedOn w:val="DefaultParagraphFont"/>
    <w:rsid w:val="0096580E"/>
  </w:style>
  <w:style w:type="paragraph" w:customStyle="1" w:styleId="Call">
    <w:name w:val="Call"/>
    <w:basedOn w:val="Normal"/>
    <w:next w:val="Normal"/>
    <w:link w:val="CallChar"/>
    <w:rsid w:val="005834F5"/>
    <w:pPr>
      <w:keepNext/>
      <w:keepLines/>
      <w:spacing w:before="160"/>
      <w:ind w:left="1134"/>
    </w:pPr>
    <w:rPr>
      <w:i/>
    </w:rPr>
  </w:style>
  <w:style w:type="character" w:customStyle="1" w:styleId="NormalaftertitleChar">
    <w:name w:val="Normal after title Char"/>
    <w:basedOn w:val="DefaultParagraphFont"/>
    <w:link w:val="Normalaftertitle"/>
    <w:rsid w:val="00910D00"/>
    <w:rPr>
      <w:rFonts w:eastAsia="Times New Roman"/>
      <w:sz w:val="24"/>
      <w:lang w:val="fr-FR" w:eastAsia="en-US"/>
    </w:rPr>
  </w:style>
  <w:style w:type="character" w:customStyle="1" w:styleId="CallChar">
    <w:name w:val="Call Char"/>
    <w:basedOn w:val="DefaultParagraphFont"/>
    <w:link w:val="Call"/>
    <w:locked/>
    <w:rsid w:val="00576042"/>
    <w:rPr>
      <w:rFonts w:eastAsia="Times New Roman"/>
      <w:i/>
      <w:sz w:val="24"/>
      <w:lang w:val="fr-FR" w:eastAsia="en-US"/>
    </w:rPr>
  </w:style>
  <w:style w:type="character" w:customStyle="1" w:styleId="RestitleChar">
    <w:name w:val="Res_title Char"/>
    <w:basedOn w:val="DefaultParagraphFont"/>
    <w:link w:val="Restitle"/>
    <w:rsid w:val="00910D00"/>
    <w:rPr>
      <w:rFonts w:ascii="Times New Roman Bold" w:eastAsia="Times New Roman" w:hAnsi="Times New Roman Bold"/>
      <w:b/>
      <w:sz w:val="28"/>
      <w:lang w:val="fr-FR" w:eastAsia="en-US"/>
    </w:rPr>
  </w:style>
  <w:style w:type="character" w:customStyle="1" w:styleId="ResNoChar">
    <w:name w:val="Res_No Char"/>
    <w:basedOn w:val="DefaultParagraphFont"/>
    <w:link w:val="ResNo"/>
    <w:rsid w:val="00FE6DC7"/>
    <w:rPr>
      <w:rFonts w:eastAsia="Times New Roman"/>
      <w:caps/>
      <w:sz w:val="28"/>
      <w:lang w:val="fr-FR"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834F5"/>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19BD"/>
    <w:rPr>
      <w:rFonts w:eastAsia="Times New Roman"/>
      <w:sz w:val="24"/>
      <w:lang w:val="fr-FR" w:eastAsia="en-US"/>
    </w:rPr>
  </w:style>
  <w:style w:type="character" w:styleId="FootnoteReference">
    <w:name w:val="footnote reference"/>
    <w:aliases w:val="Appel note de bas de p,Footnote Reference/"/>
    <w:rsid w:val="005834F5"/>
    <w:rPr>
      <w:position w:val="6"/>
      <w:sz w:val="18"/>
    </w:rPr>
  </w:style>
  <w:style w:type="paragraph" w:customStyle="1" w:styleId="Enumlevel1">
    <w:name w:val="Enumlevel 1"/>
    <w:basedOn w:val="enumlev1"/>
    <w:link w:val="Enumlevel1Char"/>
    <w:qFormat/>
    <w:rsid w:val="00B23DF6"/>
  </w:style>
  <w:style w:type="paragraph" w:customStyle="1" w:styleId="AnnexNo">
    <w:name w:val="AnnexNo"/>
    <w:basedOn w:val="Normal"/>
    <w:link w:val="AnnexNoChar"/>
    <w:qFormat/>
    <w:rsid w:val="00910D00"/>
    <w:pPr>
      <w:keepNext/>
      <w:keepLines/>
      <w:spacing w:before="720"/>
      <w:jc w:val="center"/>
    </w:pPr>
    <w:rPr>
      <w:szCs w:val="10"/>
    </w:rPr>
  </w:style>
  <w:style w:type="character" w:customStyle="1" w:styleId="Enumlevel1Char">
    <w:name w:val="Enumlevel 1 Char"/>
    <w:basedOn w:val="DefaultParagraphFont"/>
    <w:link w:val="Enumlevel1"/>
    <w:rsid w:val="00B23DF6"/>
    <w:rPr>
      <w:rFonts w:eastAsia="Times New Roman"/>
      <w:sz w:val="16"/>
      <w:szCs w:val="16"/>
      <w:lang w:val="en-GB" w:eastAsia="ja-JP"/>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017136"/>
    <w:pPr>
      <w:tabs>
        <w:tab w:val="left" w:pos="907"/>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24"/>
      <w:lang w:val="fr-FR" w:eastAsia="en-US"/>
    </w:rPr>
  </w:style>
  <w:style w:type="character" w:customStyle="1" w:styleId="Heading1Char">
    <w:name w:val="Heading 1 Char"/>
    <w:basedOn w:val="DefaultParagraphFont"/>
    <w:link w:val="Heading1"/>
    <w:rsid w:val="00FE3704"/>
    <w:rPr>
      <w:rFonts w:eastAsia="Times New Roman"/>
      <w:b/>
      <w:sz w:val="28"/>
      <w:lang w:val="fr-FR" w:eastAsia="en-US"/>
    </w:rPr>
  </w:style>
  <w:style w:type="paragraph" w:styleId="TOC1">
    <w:name w:val="toc 1"/>
    <w:basedOn w:val="Normal"/>
    <w:rsid w:val="005834F5"/>
    <w:pPr>
      <w:keepLines/>
      <w:tabs>
        <w:tab w:val="clear" w:pos="1134"/>
        <w:tab w:val="clear" w:pos="1871"/>
        <w:tab w:val="clear" w:pos="2268"/>
        <w:tab w:val="left" w:pos="567"/>
        <w:tab w:val="left" w:leader="dot" w:pos="7938"/>
        <w:tab w:val="center" w:pos="9526"/>
      </w:tabs>
      <w:spacing w:before="240"/>
      <w:ind w:left="567" w:hanging="567"/>
    </w:pPr>
  </w:style>
  <w:style w:type="character" w:customStyle="1" w:styleId="Heading2Char">
    <w:name w:val="Heading 2 Char"/>
    <w:basedOn w:val="DefaultParagraphFont"/>
    <w:link w:val="Heading2"/>
    <w:rsid w:val="00FE3704"/>
    <w:rPr>
      <w:rFonts w:eastAsia="Times New Roman"/>
      <w:b/>
      <w:sz w:val="24"/>
      <w:lang w:val="fr-FR" w:eastAsia="en-US"/>
    </w:rPr>
  </w:style>
  <w:style w:type="character" w:customStyle="1" w:styleId="Heading3Char">
    <w:name w:val="Heading 3 Char"/>
    <w:basedOn w:val="DefaultParagraphFont"/>
    <w:link w:val="Heading3"/>
    <w:rsid w:val="00FE3704"/>
    <w:rPr>
      <w:rFonts w:eastAsia="Times New Roman"/>
      <w:b/>
      <w:sz w:val="24"/>
      <w:lang w:val="fr-FR"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5834F5"/>
    <w:pPr>
      <w:spacing w:before="0"/>
      <w:jc w:val="center"/>
    </w:pPr>
    <w:rPr>
      <w:sz w:val="18"/>
    </w:rPr>
  </w:style>
  <w:style w:type="character" w:customStyle="1" w:styleId="HeaderChar">
    <w:name w:val="Header Char"/>
    <w:basedOn w:val="DefaultParagraphFont"/>
    <w:link w:val="Header"/>
    <w:rsid w:val="005834F5"/>
    <w:rPr>
      <w:rFonts w:eastAsia="Times New Roman"/>
      <w:sz w:val="18"/>
      <w:lang w:val="fr-FR" w:eastAsia="en-US"/>
    </w:rPr>
  </w:style>
  <w:style w:type="character" w:customStyle="1" w:styleId="FooterChar">
    <w:name w:val="Footer Char"/>
    <w:basedOn w:val="DefaultParagraphFont"/>
    <w:link w:val="Footer"/>
    <w:rsid w:val="00FE3704"/>
    <w:rPr>
      <w:rFonts w:eastAsia="Times New Roman"/>
      <w:caps/>
      <w:noProof/>
      <w:sz w:val="16"/>
      <w:lang w:val="fr-FR" w:eastAsia="en-US"/>
    </w:rPr>
  </w:style>
  <w:style w:type="table" w:styleId="TableGrid">
    <w:name w:val="Table Grid"/>
    <w:basedOn w:val="TableNormal"/>
    <w:rsid w:val="005834F5"/>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next w:val="Normal"/>
    <w:rsid w:val="001B478D"/>
    <w:pPr>
      <w:keepNext/>
      <w:keepLines/>
      <w:tabs>
        <w:tab w:val="left" w:pos="794"/>
        <w:tab w:val="left" w:pos="1191"/>
        <w:tab w:val="left" w:pos="1588"/>
        <w:tab w:val="left" w:pos="1985"/>
      </w:tabs>
      <w:spacing w:before="160"/>
      <w:ind w:left="794"/>
    </w:pPr>
    <w:rPr>
      <w:i/>
    </w:rPr>
  </w:style>
  <w:style w:type="paragraph" w:styleId="BalloonText">
    <w:name w:val="Balloon Text"/>
    <w:basedOn w:val="Normal"/>
    <w:link w:val="BalloonTextChar"/>
    <w:rsid w:val="00930537"/>
    <w:pPr>
      <w:spacing w:before="0"/>
    </w:pPr>
    <w:rPr>
      <w:rFonts w:ascii="Tahoma" w:hAnsi="Tahoma" w:cs="Tahoma"/>
      <w:szCs w:val="16"/>
    </w:rPr>
  </w:style>
  <w:style w:type="character" w:customStyle="1" w:styleId="BalloonTextChar">
    <w:name w:val="Balloon Text Char"/>
    <w:basedOn w:val="DefaultParagraphFont"/>
    <w:link w:val="BalloonText"/>
    <w:rsid w:val="00930537"/>
    <w:rPr>
      <w:rFonts w:ascii="Tahoma" w:eastAsia="Times New Roman" w:hAnsi="Tahoma" w:cs="Tahoma"/>
      <w:sz w:val="16"/>
      <w:szCs w:val="16"/>
      <w:lang w:val="en-GB" w:eastAsia="en-US"/>
    </w:rPr>
  </w:style>
  <w:style w:type="paragraph" w:customStyle="1" w:styleId="StyleRestitleBlack">
    <w:name w:val="Style Res_title + Black"/>
    <w:basedOn w:val="Restitle"/>
    <w:rsid w:val="00FE6DC7"/>
    <w:pPr>
      <w:spacing w:before="200" w:after="100"/>
    </w:pPr>
    <w:rPr>
      <w:color w:val="000000"/>
    </w:rPr>
  </w:style>
  <w:style w:type="character" w:customStyle="1" w:styleId="Artdef">
    <w:name w:val="Art_def"/>
    <w:rsid w:val="005834F5"/>
    <w:rPr>
      <w:rFonts w:ascii="Times New Roman" w:hAnsi="Times New Roman"/>
      <w:b/>
    </w:rPr>
  </w:style>
  <w:style w:type="character" w:customStyle="1" w:styleId="Artref">
    <w:name w:val="Art_ref"/>
    <w:basedOn w:val="DefaultParagraphFont"/>
    <w:rsid w:val="005834F5"/>
  </w:style>
  <w:style w:type="paragraph" w:customStyle="1" w:styleId="enumlev1">
    <w:name w:val="enumlev1"/>
    <w:basedOn w:val="Normal"/>
    <w:link w:val="enumlev1Char"/>
    <w:rsid w:val="005834F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B23DF6"/>
    <w:rPr>
      <w:rFonts w:eastAsia="Times New Roman"/>
      <w:sz w:val="24"/>
      <w:lang w:val="fr-FR" w:eastAsia="en-US"/>
    </w:rPr>
  </w:style>
  <w:style w:type="paragraph" w:customStyle="1" w:styleId="AnnexNo0">
    <w:name w:val="Annex_No"/>
    <w:basedOn w:val="Normal"/>
    <w:next w:val="Annexref"/>
    <w:link w:val="AnnexNoCar"/>
    <w:rsid w:val="005834F5"/>
    <w:pPr>
      <w:keepNext/>
      <w:keepLines/>
      <w:spacing w:before="480" w:after="80"/>
      <w:jc w:val="center"/>
    </w:pPr>
    <w:rPr>
      <w:caps/>
      <w:sz w:val="28"/>
    </w:rPr>
  </w:style>
  <w:style w:type="paragraph" w:customStyle="1" w:styleId="Annextitle0">
    <w:name w:val="Annex_title"/>
    <w:basedOn w:val="Normal"/>
    <w:next w:val="Normalaftertitle"/>
    <w:link w:val="AnnextitleChar0"/>
    <w:rsid w:val="005834F5"/>
    <w:pPr>
      <w:keepNext/>
      <w:keepLines/>
      <w:spacing w:before="240" w:after="280"/>
      <w:jc w:val="center"/>
    </w:pPr>
    <w:rPr>
      <w:rFonts w:ascii="Times New Roman Bold" w:hAnsi="Times New Roman Bold"/>
      <w:b/>
      <w:sz w:val="28"/>
    </w:rPr>
  </w:style>
  <w:style w:type="paragraph" w:customStyle="1" w:styleId="Headingb0">
    <w:name w:val="Heading_b"/>
    <w:basedOn w:val="Normal"/>
    <w:next w:val="Normal"/>
    <w:link w:val="HeadingbChar0"/>
    <w:rsid w:val="005834F5"/>
    <w:pPr>
      <w:keepNext/>
      <w:spacing w:before="160"/>
    </w:pPr>
    <w:rPr>
      <w:b/>
    </w:rPr>
  </w:style>
  <w:style w:type="character" w:customStyle="1" w:styleId="AnnexNoCar">
    <w:name w:val="Annex_No Car"/>
    <w:basedOn w:val="DefaultParagraphFont"/>
    <w:link w:val="AnnexNo0"/>
    <w:rsid w:val="00BE7441"/>
    <w:rPr>
      <w:rFonts w:eastAsia="Times New Roman"/>
      <w:caps/>
      <w:sz w:val="28"/>
      <w:lang w:val="fr-FR" w:eastAsia="en-US"/>
    </w:rPr>
  </w:style>
  <w:style w:type="character" w:customStyle="1" w:styleId="HeadingbChar0">
    <w:name w:val="Heading_b Char"/>
    <w:basedOn w:val="DefaultParagraphFont"/>
    <w:link w:val="Headingb0"/>
    <w:locked/>
    <w:rsid w:val="00BE7441"/>
    <w:rPr>
      <w:rFonts w:eastAsia="Times New Roman"/>
      <w:b/>
      <w:sz w:val="24"/>
      <w:lang w:val="fr-FR" w:eastAsia="en-US"/>
    </w:rPr>
  </w:style>
  <w:style w:type="paragraph" w:customStyle="1" w:styleId="NormalendS2">
    <w:name w:val="Normal_end_S2"/>
    <w:basedOn w:val="Normal"/>
    <w:next w:val="Normal"/>
    <w:qFormat/>
    <w:rsid w:val="005D42D0"/>
    <w:rPr>
      <w:lang w:val="en-US"/>
    </w:rPr>
  </w:style>
  <w:style w:type="character" w:customStyle="1" w:styleId="Appref">
    <w:name w:val="App_ref"/>
    <w:basedOn w:val="DefaultParagraphFont"/>
    <w:rsid w:val="005834F5"/>
  </w:style>
  <w:style w:type="paragraph" w:customStyle="1" w:styleId="enumlev2">
    <w:name w:val="enumlev2"/>
    <w:basedOn w:val="enumlev1"/>
    <w:link w:val="enumlev2Char"/>
    <w:rsid w:val="005834F5"/>
    <w:pPr>
      <w:ind w:left="1871" w:hanging="737"/>
    </w:pPr>
  </w:style>
  <w:style w:type="paragraph" w:customStyle="1" w:styleId="enumlev3">
    <w:name w:val="enumlev3"/>
    <w:basedOn w:val="enumlev2"/>
    <w:rsid w:val="005834F5"/>
    <w:pPr>
      <w:ind w:left="2268" w:hanging="397"/>
    </w:pPr>
  </w:style>
  <w:style w:type="paragraph" w:styleId="EndnoteText">
    <w:name w:val="endnote text"/>
    <w:basedOn w:val="Normal"/>
    <w:link w:val="EndnoteTextChar"/>
    <w:rsid w:val="00526BFE"/>
    <w:pPr>
      <w:spacing w:before="0"/>
    </w:pPr>
    <w:rPr>
      <w:sz w:val="20"/>
    </w:rPr>
  </w:style>
  <w:style w:type="character" w:customStyle="1" w:styleId="EndnoteTextChar">
    <w:name w:val="Endnote Text Char"/>
    <w:basedOn w:val="DefaultParagraphFont"/>
    <w:link w:val="EndnoteText"/>
    <w:rsid w:val="00526BFE"/>
    <w:rPr>
      <w:rFonts w:eastAsia="Times New Roman"/>
      <w:lang w:val="en-GB" w:eastAsia="en-US"/>
    </w:rPr>
  </w:style>
  <w:style w:type="character" w:styleId="EndnoteReference">
    <w:name w:val="endnote reference"/>
    <w:rsid w:val="005834F5"/>
    <w:rPr>
      <w:vertAlign w:val="superscript"/>
    </w:rPr>
  </w:style>
  <w:style w:type="character" w:styleId="FollowedHyperlink">
    <w:name w:val="FollowedHyperlink"/>
    <w:basedOn w:val="DefaultParagraphFont"/>
    <w:rsid w:val="008809AC"/>
    <w:rPr>
      <w:color w:val="800080" w:themeColor="followedHyperlink"/>
      <w:u w:val="single"/>
    </w:rPr>
  </w:style>
  <w:style w:type="paragraph" w:customStyle="1" w:styleId="Reasons">
    <w:name w:val="Reasons"/>
    <w:basedOn w:val="Normal"/>
    <w:link w:val="ReasonsChar"/>
    <w:rsid w:val="005834F5"/>
    <w:pPr>
      <w:tabs>
        <w:tab w:val="clear" w:pos="1871"/>
        <w:tab w:val="clear" w:pos="2268"/>
        <w:tab w:val="left" w:pos="1588"/>
        <w:tab w:val="left" w:pos="1985"/>
      </w:tabs>
    </w:pPr>
  </w:style>
  <w:style w:type="character" w:customStyle="1" w:styleId="ReasonsChar">
    <w:name w:val="Reasons Char"/>
    <w:basedOn w:val="DefaultParagraphFont"/>
    <w:link w:val="Reasons"/>
    <w:rsid w:val="001F476D"/>
    <w:rPr>
      <w:rFonts w:eastAsia="Times New Roman"/>
      <w:sz w:val="24"/>
      <w:lang w:val="fr-FR" w:eastAsia="en-US"/>
    </w:rPr>
  </w:style>
  <w:style w:type="character" w:customStyle="1" w:styleId="BRNormal">
    <w:name w:val="BR_Normal"/>
    <w:basedOn w:val="DefaultParagraphFont"/>
    <w:uiPriority w:val="1"/>
    <w:qFormat/>
    <w:rsid w:val="001F476D"/>
  </w:style>
  <w:style w:type="character" w:styleId="Emphasis">
    <w:name w:val="Emphasis"/>
    <w:basedOn w:val="DefaultParagraphFont"/>
    <w:uiPriority w:val="20"/>
    <w:qFormat/>
    <w:rsid w:val="004B648D"/>
    <w:rPr>
      <w:i/>
      <w:iCs/>
    </w:rPr>
  </w:style>
  <w:style w:type="character" w:styleId="Strong">
    <w:name w:val="Strong"/>
    <w:aliases w:val="ECC HL bold"/>
    <w:basedOn w:val="DefaultParagraphFont"/>
    <w:uiPriority w:val="1"/>
    <w:qFormat/>
    <w:rsid w:val="00920244"/>
    <w:rPr>
      <w:b/>
      <w:bCs/>
    </w:rPr>
  </w:style>
  <w:style w:type="character" w:customStyle="1" w:styleId="TableitalicZchn">
    <w:name w:val="Table_italic Zchn"/>
    <w:basedOn w:val="DefaultParagraphFont"/>
    <w:rsid w:val="00E517B1"/>
    <w:rPr>
      <w:rFonts w:ascii="Times New Roman" w:hAnsi="Times New Roman"/>
      <w:b/>
      <w:i/>
      <w:sz w:val="24"/>
      <w:lang w:val="en-GB" w:eastAsia="en-US"/>
    </w:rPr>
  </w:style>
  <w:style w:type="paragraph" w:customStyle="1" w:styleId="Proposal">
    <w:name w:val="Proposal"/>
    <w:basedOn w:val="Normal"/>
    <w:next w:val="Normal"/>
    <w:rsid w:val="005834F5"/>
    <w:pPr>
      <w:keepNext/>
      <w:spacing w:before="240"/>
    </w:pPr>
    <w:rPr>
      <w:rFonts w:hAnsi="Times New Roman Bold"/>
    </w:rPr>
  </w:style>
  <w:style w:type="paragraph" w:styleId="TOCHeading">
    <w:name w:val="TOC Heading"/>
    <w:basedOn w:val="Heading1"/>
    <w:next w:val="Normal"/>
    <w:uiPriority w:val="39"/>
    <w:unhideWhenUsed/>
    <w:qFormat/>
    <w:rsid w:val="009F6FB9"/>
    <w:pPr>
      <w:overflowPunct/>
      <w:autoSpaceDE/>
      <w:autoSpaceDN/>
      <w:adjustRightInd/>
      <w:spacing w:before="240" w:line="259" w:lineRule="auto"/>
      <w:textAlignment w:val="auto"/>
      <w:outlineLvl w:val="9"/>
    </w:pPr>
    <w:rPr>
      <w:b w:val="0"/>
      <w:bCs/>
      <w:sz w:val="32"/>
      <w:szCs w:val="32"/>
      <w:lang w:val="en-US"/>
    </w:rPr>
  </w:style>
  <w:style w:type="paragraph" w:customStyle="1" w:styleId="Arttitle">
    <w:name w:val="Art_title"/>
    <w:basedOn w:val="Normal"/>
    <w:next w:val="Normalaftertitle"/>
    <w:rsid w:val="005834F5"/>
    <w:pPr>
      <w:keepNext/>
      <w:keepLines/>
      <w:spacing w:before="240"/>
      <w:jc w:val="center"/>
    </w:pPr>
    <w:rPr>
      <w:b/>
      <w:sz w:val="28"/>
    </w:rPr>
  </w:style>
  <w:style w:type="paragraph" w:styleId="TOC2">
    <w:name w:val="toc 2"/>
    <w:basedOn w:val="TOC1"/>
    <w:rsid w:val="005834F5"/>
    <w:pPr>
      <w:spacing w:before="120"/>
    </w:pPr>
  </w:style>
  <w:style w:type="paragraph" w:customStyle="1" w:styleId="Normalaftertitle0">
    <w:name w:val="Normal_after_title"/>
    <w:basedOn w:val="Normal"/>
    <w:next w:val="Normal"/>
    <w:rsid w:val="00E23D6E"/>
    <w:pPr>
      <w:tabs>
        <w:tab w:val="left" w:pos="794"/>
        <w:tab w:val="left" w:pos="1191"/>
        <w:tab w:val="left" w:pos="1588"/>
        <w:tab w:val="left" w:pos="1985"/>
      </w:tabs>
      <w:spacing w:before="360"/>
    </w:pPr>
  </w:style>
  <w:style w:type="character" w:customStyle="1" w:styleId="Heading4Char">
    <w:name w:val="Heading 4 Char"/>
    <w:basedOn w:val="DefaultParagraphFont"/>
    <w:link w:val="Heading4"/>
    <w:rsid w:val="00CB5204"/>
    <w:rPr>
      <w:rFonts w:eastAsia="Times New Roman"/>
      <w:b/>
      <w:sz w:val="24"/>
      <w:lang w:val="fr-FR" w:eastAsia="en-US"/>
    </w:rPr>
  </w:style>
  <w:style w:type="character" w:customStyle="1" w:styleId="Heading5Char">
    <w:name w:val="Heading 5 Char"/>
    <w:basedOn w:val="DefaultParagraphFont"/>
    <w:link w:val="Heading5"/>
    <w:rsid w:val="00CB5204"/>
    <w:rPr>
      <w:rFonts w:eastAsia="Times New Roman"/>
      <w:b/>
      <w:sz w:val="24"/>
      <w:lang w:val="fr-FR" w:eastAsia="en-US"/>
    </w:rPr>
  </w:style>
  <w:style w:type="character" w:customStyle="1" w:styleId="Heading6Char">
    <w:name w:val="Heading 6 Char"/>
    <w:basedOn w:val="DefaultParagraphFont"/>
    <w:link w:val="Heading6"/>
    <w:rsid w:val="00CB5204"/>
    <w:rPr>
      <w:rFonts w:eastAsia="Times New Roman"/>
      <w:b/>
      <w:sz w:val="24"/>
      <w:lang w:val="fr-FR" w:eastAsia="en-US"/>
    </w:rPr>
  </w:style>
  <w:style w:type="character" w:customStyle="1" w:styleId="Heading7Char">
    <w:name w:val="Heading 7 Char"/>
    <w:basedOn w:val="DefaultParagraphFont"/>
    <w:link w:val="Heading7"/>
    <w:rsid w:val="00CB5204"/>
    <w:rPr>
      <w:rFonts w:eastAsia="Times New Roman"/>
      <w:b/>
      <w:sz w:val="24"/>
      <w:lang w:val="fr-FR" w:eastAsia="en-US"/>
    </w:rPr>
  </w:style>
  <w:style w:type="character" w:customStyle="1" w:styleId="Heading8Char">
    <w:name w:val="Heading 8 Char"/>
    <w:basedOn w:val="DefaultParagraphFont"/>
    <w:link w:val="Heading8"/>
    <w:rsid w:val="00CB5204"/>
    <w:rPr>
      <w:rFonts w:eastAsia="Times New Roman"/>
      <w:b/>
      <w:sz w:val="24"/>
      <w:lang w:val="fr-FR" w:eastAsia="en-US"/>
    </w:rPr>
  </w:style>
  <w:style w:type="character" w:customStyle="1" w:styleId="Heading9Char">
    <w:name w:val="Heading 9 Char"/>
    <w:basedOn w:val="DefaultParagraphFont"/>
    <w:link w:val="Heading9"/>
    <w:rsid w:val="00CB5204"/>
    <w:rPr>
      <w:rFonts w:eastAsia="Times New Roman"/>
      <w:b/>
      <w:sz w:val="24"/>
      <w:lang w:val="fr-FR" w:eastAsia="en-US"/>
    </w:rPr>
  </w:style>
  <w:style w:type="paragraph" w:customStyle="1" w:styleId="Annexref">
    <w:name w:val="Annex_ref"/>
    <w:basedOn w:val="Normal"/>
    <w:next w:val="Annextitle0"/>
    <w:rsid w:val="005834F5"/>
    <w:pPr>
      <w:keepNext/>
      <w:keepLines/>
      <w:spacing w:after="280"/>
      <w:jc w:val="center"/>
    </w:pPr>
  </w:style>
  <w:style w:type="paragraph" w:customStyle="1" w:styleId="AppendixNo">
    <w:name w:val="Appendix_No"/>
    <w:basedOn w:val="AnnexNo0"/>
    <w:next w:val="Annexref"/>
    <w:rsid w:val="005834F5"/>
  </w:style>
  <w:style w:type="paragraph" w:customStyle="1" w:styleId="Appendixref">
    <w:name w:val="Appendix_ref"/>
    <w:basedOn w:val="Annexref"/>
    <w:next w:val="Annextitle0"/>
    <w:rsid w:val="005834F5"/>
  </w:style>
  <w:style w:type="paragraph" w:customStyle="1" w:styleId="Appendixtitle">
    <w:name w:val="Appendix_title"/>
    <w:basedOn w:val="Annextitle0"/>
    <w:next w:val="Normalaftertitle"/>
    <w:rsid w:val="005834F5"/>
  </w:style>
  <w:style w:type="paragraph" w:customStyle="1" w:styleId="Artheading">
    <w:name w:val="Art_heading"/>
    <w:basedOn w:val="Normal"/>
    <w:next w:val="Normalaftertitle"/>
    <w:rsid w:val="005834F5"/>
    <w:pPr>
      <w:spacing w:before="480"/>
      <w:jc w:val="center"/>
    </w:pPr>
    <w:rPr>
      <w:rFonts w:ascii="Times New Roman Bold" w:hAnsi="Times New Roman Bold"/>
      <w:b/>
      <w:sz w:val="28"/>
    </w:rPr>
  </w:style>
  <w:style w:type="paragraph" w:customStyle="1" w:styleId="ArtNo">
    <w:name w:val="Art_No"/>
    <w:basedOn w:val="Normal"/>
    <w:next w:val="Arttitle"/>
    <w:rsid w:val="005834F5"/>
    <w:pPr>
      <w:keepNext/>
      <w:keepLines/>
      <w:spacing w:before="480"/>
      <w:jc w:val="center"/>
    </w:pPr>
    <w:rPr>
      <w:caps/>
      <w:sz w:val="28"/>
    </w:rPr>
  </w:style>
  <w:style w:type="paragraph" w:customStyle="1" w:styleId="ChapNo">
    <w:name w:val="Chap_No"/>
    <w:basedOn w:val="ArtNo"/>
    <w:next w:val="Chaptitle"/>
    <w:rsid w:val="005834F5"/>
    <w:rPr>
      <w:rFonts w:ascii="Times New Roman Bold" w:hAnsi="Times New Roman Bold"/>
      <w:b/>
    </w:rPr>
  </w:style>
  <w:style w:type="paragraph" w:customStyle="1" w:styleId="Chaptitle">
    <w:name w:val="Chap_title"/>
    <w:basedOn w:val="Arttitle"/>
    <w:next w:val="Normalaftertitle"/>
    <w:rsid w:val="005834F5"/>
  </w:style>
  <w:style w:type="paragraph" w:customStyle="1" w:styleId="ddate">
    <w:name w:val="ddate"/>
    <w:basedOn w:val="Normal"/>
    <w:rsid w:val="005834F5"/>
    <w:pPr>
      <w:framePr w:hSpace="181" w:wrap="around" w:vAnchor="page" w:hAnchor="margin" w:y="852"/>
      <w:shd w:val="solid" w:color="FFFFFF" w:fill="FFFFFF"/>
      <w:spacing w:before="0"/>
    </w:pPr>
    <w:rPr>
      <w:b/>
      <w:bCs/>
    </w:rPr>
  </w:style>
  <w:style w:type="paragraph" w:customStyle="1" w:styleId="dnum">
    <w:name w:val="dnum"/>
    <w:basedOn w:val="Normal"/>
    <w:rsid w:val="005834F5"/>
    <w:pPr>
      <w:framePr w:hSpace="181" w:wrap="around" w:vAnchor="page" w:hAnchor="margin" w:y="852"/>
      <w:shd w:val="solid" w:color="FFFFFF" w:fill="FFFFFF"/>
    </w:pPr>
    <w:rPr>
      <w:b/>
      <w:bCs/>
    </w:rPr>
  </w:style>
  <w:style w:type="paragraph" w:customStyle="1" w:styleId="dorlang">
    <w:name w:val="dorlang"/>
    <w:basedOn w:val="Normal"/>
    <w:rsid w:val="005834F5"/>
    <w:pPr>
      <w:framePr w:hSpace="181" w:wrap="around" w:vAnchor="page" w:hAnchor="margin" w:y="852"/>
      <w:shd w:val="solid" w:color="FFFFFF" w:fill="FFFFFF"/>
      <w:spacing w:before="0"/>
    </w:pPr>
    <w:rPr>
      <w:b/>
      <w:bCs/>
    </w:rPr>
  </w:style>
  <w:style w:type="paragraph" w:customStyle="1" w:styleId="Equation">
    <w:name w:val="Equation"/>
    <w:basedOn w:val="Normal"/>
    <w:rsid w:val="005834F5"/>
    <w:pPr>
      <w:tabs>
        <w:tab w:val="clear" w:pos="1871"/>
        <w:tab w:val="clear" w:pos="2268"/>
        <w:tab w:val="center" w:pos="4820"/>
        <w:tab w:val="right" w:pos="9639"/>
      </w:tabs>
    </w:pPr>
  </w:style>
  <w:style w:type="paragraph" w:styleId="NormalIndent">
    <w:name w:val="Normal Indent"/>
    <w:basedOn w:val="Normal"/>
    <w:rsid w:val="005834F5"/>
    <w:pPr>
      <w:ind w:left="1134"/>
    </w:pPr>
  </w:style>
  <w:style w:type="paragraph" w:customStyle="1" w:styleId="Equationlegend">
    <w:name w:val="Equation_legend"/>
    <w:basedOn w:val="NormalIndent"/>
    <w:rsid w:val="005834F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834F5"/>
    <w:pPr>
      <w:keepNext/>
      <w:keepLines/>
      <w:spacing w:before="20" w:after="20"/>
    </w:pPr>
    <w:rPr>
      <w:sz w:val="18"/>
    </w:rPr>
  </w:style>
  <w:style w:type="paragraph" w:customStyle="1" w:styleId="FigureNo">
    <w:name w:val="Figure_No"/>
    <w:basedOn w:val="Normal"/>
    <w:next w:val="Figuretitle"/>
    <w:rsid w:val="005834F5"/>
    <w:pPr>
      <w:keepNext/>
      <w:keepLines/>
      <w:spacing w:before="480" w:after="120"/>
      <w:jc w:val="center"/>
    </w:pPr>
    <w:rPr>
      <w:caps/>
      <w:sz w:val="20"/>
    </w:rPr>
  </w:style>
  <w:style w:type="paragraph" w:customStyle="1" w:styleId="Figuretitle">
    <w:name w:val="Figure_title"/>
    <w:basedOn w:val="Normal"/>
    <w:next w:val="Normal"/>
    <w:rsid w:val="005834F5"/>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5834F5"/>
    <w:pPr>
      <w:keepNext w:val="0"/>
    </w:pPr>
  </w:style>
  <w:style w:type="paragraph" w:customStyle="1" w:styleId="FirstFooter">
    <w:name w:val="FirstFooter"/>
    <w:basedOn w:val="Footer"/>
    <w:rsid w:val="005834F5"/>
    <w:pPr>
      <w:tabs>
        <w:tab w:val="clear" w:pos="5954"/>
        <w:tab w:val="clear" w:pos="9639"/>
      </w:tabs>
      <w:overflowPunct/>
      <w:autoSpaceDE/>
      <w:autoSpaceDN/>
      <w:adjustRightInd/>
      <w:spacing w:before="40"/>
      <w:textAlignment w:val="auto"/>
    </w:pPr>
    <w:rPr>
      <w:caps w:val="0"/>
      <w:noProof w:val="0"/>
    </w:rPr>
  </w:style>
  <w:style w:type="paragraph" w:customStyle="1" w:styleId="Headingi">
    <w:name w:val="Heading_i"/>
    <w:basedOn w:val="Normal"/>
    <w:next w:val="Normal"/>
    <w:rsid w:val="005834F5"/>
    <w:pPr>
      <w:keepNext/>
      <w:spacing w:before="160"/>
    </w:pPr>
    <w:rPr>
      <w:rFonts w:ascii="Times" w:hAnsi="Times"/>
      <w:i/>
    </w:rPr>
  </w:style>
  <w:style w:type="paragraph" w:styleId="Index1">
    <w:name w:val="index 1"/>
    <w:basedOn w:val="Normal"/>
    <w:next w:val="Normal"/>
    <w:semiHidden/>
    <w:rsid w:val="005834F5"/>
  </w:style>
  <w:style w:type="paragraph" w:styleId="Index2">
    <w:name w:val="index 2"/>
    <w:basedOn w:val="Normal"/>
    <w:next w:val="Normal"/>
    <w:semiHidden/>
    <w:rsid w:val="005834F5"/>
    <w:pPr>
      <w:ind w:left="283"/>
    </w:pPr>
  </w:style>
  <w:style w:type="paragraph" w:styleId="Index3">
    <w:name w:val="index 3"/>
    <w:basedOn w:val="Normal"/>
    <w:next w:val="Normal"/>
    <w:semiHidden/>
    <w:rsid w:val="005834F5"/>
    <w:pPr>
      <w:ind w:left="566"/>
    </w:pPr>
  </w:style>
  <w:style w:type="paragraph" w:styleId="Index4">
    <w:name w:val="index 4"/>
    <w:basedOn w:val="Normal"/>
    <w:next w:val="Normal"/>
    <w:semiHidden/>
    <w:rsid w:val="005834F5"/>
    <w:pPr>
      <w:ind w:left="849"/>
    </w:pPr>
  </w:style>
  <w:style w:type="paragraph" w:styleId="Index5">
    <w:name w:val="index 5"/>
    <w:basedOn w:val="Normal"/>
    <w:next w:val="Normal"/>
    <w:semiHidden/>
    <w:rsid w:val="005834F5"/>
    <w:pPr>
      <w:ind w:left="1132"/>
    </w:pPr>
  </w:style>
  <w:style w:type="paragraph" w:styleId="Index6">
    <w:name w:val="index 6"/>
    <w:basedOn w:val="Normal"/>
    <w:next w:val="Normal"/>
    <w:semiHidden/>
    <w:rsid w:val="005834F5"/>
    <w:pPr>
      <w:ind w:left="1415"/>
    </w:pPr>
  </w:style>
  <w:style w:type="paragraph" w:styleId="Index7">
    <w:name w:val="index 7"/>
    <w:basedOn w:val="Normal"/>
    <w:next w:val="Normal"/>
    <w:semiHidden/>
    <w:rsid w:val="005834F5"/>
    <w:pPr>
      <w:ind w:left="1698"/>
    </w:pPr>
  </w:style>
  <w:style w:type="paragraph" w:styleId="IndexHeading">
    <w:name w:val="index heading"/>
    <w:basedOn w:val="Normal"/>
    <w:next w:val="Index1"/>
    <w:semiHidden/>
    <w:rsid w:val="005834F5"/>
  </w:style>
  <w:style w:type="character" w:styleId="LineNumber">
    <w:name w:val="line number"/>
    <w:basedOn w:val="DefaultParagraphFont"/>
    <w:rsid w:val="005834F5"/>
  </w:style>
  <w:style w:type="character" w:customStyle="1" w:styleId="Appdef">
    <w:name w:val="App_def"/>
    <w:rsid w:val="005834F5"/>
    <w:rPr>
      <w:rFonts w:ascii="Times New Roman" w:hAnsi="Times New Roman"/>
      <w:b/>
    </w:rPr>
  </w:style>
  <w:style w:type="paragraph" w:customStyle="1" w:styleId="Border">
    <w:name w:val="Border"/>
    <w:basedOn w:val="Normal"/>
    <w:rsid w:val="005834F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5834F5"/>
    <w:pPr>
      <w:keepNext/>
      <w:keepLines/>
      <w:jc w:val="center"/>
    </w:pPr>
  </w:style>
  <w:style w:type="paragraph" w:customStyle="1" w:styleId="Agendaitem">
    <w:name w:val="Agenda_item"/>
    <w:basedOn w:val="Normal"/>
    <w:next w:val="Normalaftertitle"/>
    <w:qFormat/>
    <w:rsid w:val="005834F5"/>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5834F5"/>
  </w:style>
  <w:style w:type="paragraph" w:customStyle="1" w:styleId="ApptoAnnex">
    <w:name w:val="App_to_Annex"/>
    <w:basedOn w:val="AppendixNo"/>
    <w:qFormat/>
    <w:rsid w:val="005834F5"/>
  </w:style>
  <w:style w:type="character" w:styleId="PageNumber">
    <w:name w:val="page number"/>
    <w:basedOn w:val="DefaultParagraphFont"/>
    <w:rsid w:val="005834F5"/>
  </w:style>
  <w:style w:type="paragraph" w:customStyle="1" w:styleId="Part1">
    <w:name w:val="Part_1"/>
    <w:basedOn w:val="Normal"/>
    <w:next w:val="Normal"/>
    <w:qFormat/>
    <w:rsid w:val="005834F5"/>
    <w:pPr>
      <w:tabs>
        <w:tab w:val="clear" w:pos="1134"/>
        <w:tab w:val="clear" w:pos="1871"/>
        <w:tab w:val="clear" w:pos="2268"/>
        <w:tab w:val="center" w:pos="4820"/>
      </w:tabs>
      <w:spacing w:before="360"/>
      <w:jc w:val="center"/>
    </w:pPr>
    <w:rPr>
      <w:b/>
    </w:rPr>
  </w:style>
  <w:style w:type="paragraph" w:customStyle="1" w:styleId="PartNo">
    <w:name w:val="Part_No"/>
    <w:basedOn w:val="AnnexNo0"/>
    <w:next w:val="Normal"/>
    <w:rsid w:val="005834F5"/>
  </w:style>
  <w:style w:type="paragraph" w:customStyle="1" w:styleId="Parttitle">
    <w:name w:val="Part_title"/>
    <w:basedOn w:val="Annextitle0"/>
    <w:next w:val="Normalaftertitle"/>
    <w:rsid w:val="005834F5"/>
  </w:style>
  <w:style w:type="paragraph" w:styleId="TOC3">
    <w:name w:val="toc 3"/>
    <w:basedOn w:val="TOC2"/>
    <w:rsid w:val="005834F5"/>
  </w:style>
  <w:style w:type="paragraph" w:styleId="TOC4">
    <w:name w:val="toc 4"/>
    <w:basedOn w:val="TOC3"/>
    <w:rsid w:val="005834F5"/>
  </w:style>
  <w:style w:type="paragraph" w:styleId="TOC5">
    <w:name w:val="toc 5"/>
    <w:basedOn w:val="TOC4"/>
    <w:rsid w:val="005834F5"/>
  </w:style>
  <w:style w:type="paragraph" w:styleId="TOC6">
    <w:name w:val="toc 6"/>
    <w:basedOn w:val="TOC4"/>
    <w:rsid w:val="005834F5"/>
  </w:style>
  <w:style w:type="paragraph" w:styleId="TOC7">
    <w:name w:val="toc 7"/>
    <w:basedOn w:val="TOC4"/>
    <w:rsid w:val="005834F5"/>
  </w:style>
  <w:style w:type="paragraph" w:styleId="TOC8">
    <w:name w:val="toc 8"/>
    <w:basedOn w:val="TOC4"/>
    <w:rsid w:val="005834F5"/>
  </w:style>
  <w:style w:type="paragraph" w:customStyle="1" w:styleId="Title1">
    <w:name w:val="Title 1"/>
    <w:basedOn w:val="Normal"/>
    <w:next w:val="Normal"/>
    <w:rsid w:val="005834F5"/>
    <w:pPr>
      <w:tabs>
        <w:tab w:val="left" w:pos="567"/>
        <w:tab w:val="left" w:pos="1701"/>
        <w:tab w:val="left" w:pos="2835"/>
      </w:tabs>
      <w:spacing w:before="240"/>
      <w:jc w:val="center"/>
    </w:pPr>
    <w:rPr>
      <w:caps/>
      <w:sz w:val="28"/>
    </w:rPr>
  </w:style>
  <w:style w:type="paragraph" w:customStyle="1" w:styleId="Title2">
    <w:name w:val="Title 2"/>
    <w:basedOn w:val="Normal"/>
    <w:next w:val="Normal"/>
    <w:rsid w:val="005834F5"/>
    <w:pPr>
      <w:overflowPunct/>
      <w:autoSpaceDE/>
      <w:autoSpaceDN/>
      <w:adjustRightInd/>
      <w:spacing w:before="480"/>
      <w:jc w:val="center"/>
      <w:textAlignment w:val="auto"/>
    </w:pPr>
    <w:rPr>
      <w:caps/>
      <w:sz w:val="28"/>
    </w:rPr>
  </w:style>
  <w:style w:type="paragraph" w:customStyle="1" w:styleId="Title3">
    <w:name w:val="Title 3"/>
    <w:basedOn w:val="Title2"/>
    <w:next w:val="Normal"/>
    <w:rsid w:val="005834F5"/>
    <w:pPr>
      <w:spacing w:before="240"/>
    </w:pPr>
    <w:rPr>
      <w:caps w:val="0"/>
    </w:rPr>
  </w:style>
  <w:style w:type="paragraph" w:customStyle="1" w:styleId="Title4">
    <w:name w:val="Title 4"/>
    <w:basedOn w:val="Title3"/>
    <w:next w:val="Heading1"/>
    <w:rsid w:val="005834F5"/>
    <w:rPr>
      <w:b/>
    </w:rPr>
  </w:style>
  <w:style w:type="paragraph" w:customStyle="1" w:styleId="toc0">
    <w:name w:val="toc 0"/>
    <w:basedOn w:val="Normal"/>
    <w:next w:val="TOC1"/>
    <w:rsid w:val="005834F5"/>
    <w:pPr>
      <w:tabs>
        <w:tab w:val="clear" w:pos="1134"/>
        <w:tab w:val="clear" w:pos="1871"/>
        <w:tab w:val="clear" w:pos="2268"/>
        <w:tab w:val="right" w:pos="9781"/>
      </w:tabs>
    </w:pPr>
    <w:rPr>
      <w:b/>
    </w:rPr>
  </w:style>
  <w:style w:type="paragraph" w:customStyle="1" w:styleId="RecNo">
    <w:name w:val="Rec_No"/>
    <w:basedOn w:val="Normal"/>
    <w:next w:val="Normal"/>
    <w:rsid w:val="005834F5"/>
    <w:pPr>
      <w:keepNext/>
      <w:keepLines/>
      <w:spacing w:before="480"/>
      <w:jc w:val="center"/>
    </w:pPr>
    <w:rPr>
      <w:caps/>
      <w:sz w:val="28"/>
    </w:rPr>
  </w:style>
  <w:style w:type="paragraph" w:customStyle="1" w:styleId="Rectitle">
    <w:name w:val="Rec_title"/>
    <w:basedOn w:val="RecNo"/>
    <w:next w:val="Normal"/>
    <w:rsid w:val="005834F5"/>
    <w:pPr>
      <w:spacing w:before="240"/>
    </w:pPr>
    <w:rPr>
      <w:rFonts w:ascii="Times New Roman Bold" w:hAnsi="Times New Roman Bold"/>
      <w:b/>
      <w:caps w:val="0"/>
    </w:rPr>
  </w:style>
  <w:style w:type="paragraph" w:customStyle="1" w:styleId="Recdate">
    <w:name w:val="Rec_date"/>
    <w:basedOn w:val="Normal"/>
    <w:next w:val="Normalaftertitle"/>
    <w:rsid w:val="005834F5"/>
    <w:pPr>
      <w:keepNext/>
      <w:keepLines/>
      <w:jc w:val="right"/>
    </w:pPr>
    <w:rPr>
      <w:sz w:val="22"/>
    </w:rPr>
  </w:style>
  <w:style w:type="paragraph" w:customStyle="1" w:styleId="Questiondate">
    <w:name w:val="Question_date"/>
    <w:basedOn w:val="Recdate"/>
    <w:next w:val="Normalaftertitle"/>
    <w:rsid w:val="005834F5"/>
  </w:style>
  <w:style w:type="paragraph" w:customStyle="1" w:styleId="QuestionNo">
    <w:name w:val="Question_No"/>
    <w:basedOn w:val="RecNo"/>
    <w:next w:val="Normal"/>
    <w:rsid w:val="005834F5"/>
  </w:style>
  <w:style w:type="paragraph" w:customStyle="1" w:styleId="Questiontitle">
    <w:name w:val="Question_title"/>
    <w:basedOn w:val="Rectitle"/>
    <w:next w:val="Normal"/>
    <w:rsid w:val="005834F5"/>
  </w:style>
  <w:style w:type="character" w:customStyle="1" w:styleId="Recdef">
    <w:name w:val="Rec_def"/>
    <w:rsid w:val="005834F5"/>
    <w:rPr>
      <w:b/>
    </w:rPr>
  </w:style>
  <w:style w:type="paragraph" w:customStyle="1" w:styleId="Reftext">
    <w:name w:val="Ref_text"/>
    <w:basedOn w:val="Normal"/>
    <w:rsid w:val="005834F5"/>
    <w:pPr>
      <w:ind w:left="1134" w:hanging="1134"/>
    </w:pPr>
  </w:style>
  <w:style w:type="paragraph" w:customStyle="1" w:styleId="Reftitle">
    <w:name w:val="Ref_title"/>
    <w:basedOn w:val="Normal"/>
    <w:next w:val="Reftext"/>
    <w:rsid w:val="005834F5"/>
    <w:pPr>
      <w:spacing w:before="480"/>
      <w:jc w:val="center"/>
    </w:pPr>
    <w:rPr>
      <w:caps/>
    </w:rPr>
  </w:style>
  <w:style w:type="paragraph" w:customStyle="1" w:styleId="Repdate">
    <w:name w:val="Rep_date"/>
    <w:basedOn w:val="Recdate"/>
    <w:next w:val="Normalaftertitle"/>
    <w:rsid w:val="005834F5"/>
  </w:style>
  <w:style w:type="paragraph" w:customStyle="1" w:styleId="RepNo">
    <w:name w:val="Rep_No"/>
    <w:basedOn w:val="RecNo"/>
    <w:next w:val="Normal"/>
    <w:rsid w:val="005834F5"/>
  </w:style>
  <w:style w:type="paragraph" w:customStyle="1" w:styleId="Repref">
    <w:name w:val="Rep_ref"/>
    <w:basedOn w:val="Normal"/>
    <w:next w:val="Repdate"/>
    <w:rsid w:val="005834F5"/>
    <w:pPr>
      <w:keepNext/>
      <w:keepLines/>
      <w:jc w:val="center"/>
    </w:pPr>
  </w:style>
  <w:style w:type="paragraph" w:customStyle="1" w:styleId="Reptitle">
    <w:name w:val="Rep_title"/>
    <w:basedOn w:val="Rectitle"/>
    <w:next w:val="Repref"/>
    <w:rsid w:val="005834F5"/>
  </w:style>
  <w:style w:type="paragraph" w:customStyle="1" w:styleId="Resdate">
    <w:name w:val="Res_date"/>
    <w:basedOn w:val="Recdate"/>
    <w:next w:val="Normalaftertitle"/>
    <w:rsid w:val="005834F5"/>
  </w:style>
  <w:style w:type="character" w:customStyle="1" w:styleId="Resdef">
    <w:name w:val="Res_def"/>
    <w:rsid w:val="005834F5"/>
    <w:rPr>
      <w:rFonts w:ascii="Times New Roman" w:hAnsi="Times New Roman"/>
      <w:b/>
    </w:rPr>
  </w:style>
  <w:style w:type="paragraph" w:customStyle="1" w:styleId="Section1">
    <w:name w:val="Section_1"/>
    <w:basedOn w:val="Normal"/>
    <w:rsid w:val="005834F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5834F5"/>
    <w:rPr>
      <w:b w:val="0"/>
      <w:i/>
    </w:rPr>
  </w:style>
  <w:style w:type="paragraph" w:customStyle="1" w:styleId="Section3">
    <w:name w:val="Section_3"/>
    <w:basedOn w:val="Section1"/>
    <w:rsid w:val="005834F5"/>
    <w:rPr>
      <w:b w:val="0"/>
    </w:rPr>
  </w:style>
  <w:style w:type="paragraph" w:customStyle="1" w:styleId="SectionNo">
    <w:name w:val="Section_No"/>
    <w:basedOn w:val="AnnexNo0"/>
    <w:next w:val="Normal"/>
    <w:rsid w:val="005834F5"/>
  </w:style>
  <w:style w:type="paragraph" w:customStyle="1" w:styleId="Sectiontitle">
    <w:name w:val="Section_title"/>
    <w:basedOn w:val="Annextitle0"/>
    <w:next w:val="Normalaftertitle"/>
    <w:rsid w:val="005834F5"/>
  </w:style>
  <w:style w:type="paragraph" w:customStyle="1" w:styleId="Source">
    <w:name w:val="Source"/>
    <w:basedOn w:val="Normal"/>
    <w:next w:val="Normal"/>
    <w:rsid w:val="005834F5"/>
    <w:pPr>
      <w:spacing w:before="840"/>
      <w:jc w:val="center"/>
    </w:pPr>
    <w:rPr>
      <w:b/>
      <w:sz w:val="28"/>
    </w:rPr>
  </w:style>
  <w:style w:type="paragraph" w:customStyle="1" w:styleId="SpecialFooter">
    <w:name w:val="Special Footer"/>
    <w:basedOn w:val="Footer"/>
    <w:rsid w:val="005834F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5834F5"/>
  </w:style>
  <w:style w:type="character" w:customStyle="1" w:styleId="Tablefreq">
    <w:name w:val="Table_freq"/>
    <w:rsid w:val="005834F5"/>
    <w:rPr>
      <w:b/>
      <w:color w:val="auto"/>
      <w:sz w:val="20"/>
    </w:rPr>
  </w:style>
  <w:style w:type="paragraph" w:customStyle="1" w:styleId="Tabletext">
    <w:name w:val="Table_text"/>
    <w:basedOn w:val="Normal"/>
    <w:rsid w:val="005834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5834F5"/>
    <w:pPr>
      <w:keepNext/>
      <w:spacing w:before="80" w:after="80"/>
      <w:jc w:val="center"/>
    </w:pPr>
    <w:rPr>
      <w:b/>
    </w:rPr>
  </w:style>
  <w:style w:type="paragraph" w:customStyle="1" w:styleId="Tablelegend">
    <w:name w:val="Table_legend"/>
    <w:basedOn w:val="Tabletext"/>
    <w:rsid w:val="005834F5"/>
    <w:pPr>
      <w:tabs>
        <w:tab w:val="clear" w:pos="284"/>
      </w:tabs>
      <w:spacing w:before="120"/>
    </w:pPr>
  </w:style>
  <w:style w:type="paragraph" w:customStyle="1" w:styleId="TableNo">
    <w:name w:val="Table_No"/>
    <w:basedOn w:val="Normal"/>
    <w:next w:val="Normal"/>
    <w:rsid w:val="005834F5"/>
    <w:pPr>
      <w:keepNext/>
      <w:spacing w:before="560" w:after="120"/>
      <w:jc w:val="center"/>
    </w:pPr>
    <w:rPr>
      <w:caps/>
      <w:sz w:val="20"/>
    </w:rPr>
  </w:style>
  <w:style w:type="paragraph" w:customStyle="1" w:styleId="TableTextS5">
    <w:name w:val="Table_TextS5"/>
    <w:basedOn w:val="Normal"/>
    <w:rsid w:val="005834F5"/>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5834F5"/>
    <w:pPr>
      <w:keepNext/>
      <w:keepLines/>
      <w:spacing w:before="0" w:after="120"/>
      <w:jc w:val="center"/>
    </w:pPr>
    <w:rPr>
      <w:rFonts w:ascii="Times New Roman Bold" w:hAnsi="Times New Roman Bold"/>
      <w:b/>
      <w:sz w:val="20"/>
    </w:rPr>
  </w:style>
  <w:style w:type="paragraph" w:customStyle="1" w:styleId="AppArttitle">
    <w:name w:val="App_Art_title"/>
    <w:basedOn w:val="Arttitle"/>
    <w:next w:val="Normalaftertitle"/>
    <w:qFormat/>
    <w:rsid w:val="005834F5"/>
    <w:rPr>
      <w:lang w:val="fr-CH"/>
    </w:rPr>
  </w:style>
  <w:style w:type="paragraph" w:customStyle="1" w:styleId="AppArtNo">
    <w:name w:val="App_Art_No"/>
    <w:basedOn w:val="ArtNo"/>
    <w:next w:val="AppArttitle"/>
    <w:qFormat/>
    <w:rsid w:val="005834F5"/>
  </w:style>
  <w:style w:type="character" w:customStyle="1" w:styleId="AnnextitleChar0">
    <w:name w:val="Annex_title Char"/>
    <w:basedOn w:val="DefaultParagraphFont"/>
    <w:link w:val="Annextitle0"/>
    <w:locked/>
    <w:rsid w:val="002378BA"/>
    <w:rPr>
      <w:rFonts w:ascii="Times New Roman Bold" w:eastAsia="Times New Roman" w:hAnsi="Times New Roman Bold"/>
      <w:b/>
      <w:sz w:val="28"/>
      <w:lang w:val="fr-FR" w:eastAsia="en-US"/>
    </w:rPr>
  </w:style>
  <w:style w:type="character" w:customStyle="1" w:styleId="ArtrefBold">
    <w:name w:val="Art_ref +  Bold"/>
    <w:basedOn w:val="Artref"/>
    <w:rsid w:val="004F7281"/>
    <w:rPr>
      <w:b/>
      <w:color w:val="auto"/>
    </w:rPr>
  </w:style>
  <w:style w:type="character" w:customStyle="1" w:styleId="ApprefBold">
    <w:name w:val="App_ref + Bold"/>
    <w:basedOn w:val="Appref"/>
    <w:qFormat/>
    <w:rsid w:val="0025450E"/>
    <w:rPr>
      <w:b/>
      <w:bCs/>
      <w:color w:val="000000"/>
    </w:rPr>
  </w:style>
  <w:style w:type="character" w:customStyle="1" w:styleId="enumlev2Char">
    <w:name w:val="enumlev2 Char"/>
    <w:basedOn w:val="DefaultParagraphFont"/>
    <w:link w:val="enumlev2"/>
    <w:rsid w:val="0025450E"/>
    <w:rPr>
      <w:rFonts w:eastAsia="Times New Roman"/>
      <w:sz w:val="24"/>
      <w:lang w:val="fr-FR" w:eastAsia="en-US"/>
    </w:rPr>
  </w:style>
  <w:style w:type="character" w:customStyle="1" w:styleId="ArtrefBold0">
    <w:name w:val="Art_ref + Bold"/>
    <w:basedOn w:val="Artref"/>
    <w:rsid w:val="00CF18BC"/>
    <w:rPr>
      <w:b/>
      <w:bCs/>
      <w:color w:val="auto"/>
    </w:rPr>
  </w:style>
  <w:style w:type="paragraph" w:customStyle="1" w:styleId="Res">
    <w:name w:val="Res_#"/>
    <w:basedOn w:val="Normal"/>
    <w:next w:val="Restitle"/>
    <w:rsid w:val="006B39ED"/>
    <w:pPr>
      <w:keepNext/>
      <w:keepLines/>
      <w:spacing w:before="720"/>
      <w:jc w:val="center"/>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c-19" TargetMode="External"/><Relationship Id="rId13" Type="http://schemas.openxmlformats.org/officeDocument/2006/relationships/hyperlink" Target="http://www.itu.int/md/R00-CA-CIR-0226/en" TargetMode="External"/><Relationship Id="rId18" Type="http://schemas.openxmlformats.org/officeDocument/2006/relationships/hyperlink" Target="https://www.itu.int/md/S16-CL-C-0121/f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md/S17-CL-C-0141/f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go/rcpm-wrc-19-stud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aru.int" TargetMode="External"/><Relationship Id="rId20" Type="http://schemas.openxmlformats.org/officeDocument/2006/relationships/hyperlink" Target="https://www.itu.int/md/S17-CL-C-0130/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yperlink" Target="https://www.itu.int/md/S16-CL-C-0130/f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itu.int/md/R00-CA-CIR-0226/e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3F43-28AC-489D-954F-DC3678EB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1</TotalTime>
  <Pages>104</Pages>
  <Words>35054</Words>
  <Characters>206079</Characters>
  <Application>Microsoft Office Word</Application>
  <DocSecurity>0</DocSecurity>
  <Lines>1717</Lines>
  <Paragraphs>481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gozal</dc:creator>
  <cp:keywords/>
  <dc:description/>
  <cp:lastModifiedBy>Gozel, Elsa</cp:lastModifiedBy>
  <cp:revision>3</cp:revision>
  <cp:lastPrinted>2016-09-29T12:30:00Z</cp:lastPrinted>
  <dcterms:created xsi:type="dcterms:W3CDTF">2017-11-14T15:05:00Z</dcterms:created>
  <dcterms:modified xsi:type="dcterms:W3CDTF">2017-11-14T15:11:00Z</dcterms:modified>
</cp:coreProperties>
</file>