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C632174" w14:textId="77777777" w:rsidTr="00876A8A">
        <w:trPr>
          <w:cantSplit/>
        </w:trPr>
        <w:tc>
          <w:tcPr>
            <w:tcW w:w="6487" w:type="dxa"/>
            <w:vAlign w:val="center"/>
          </w:tcPr>
          <w:p w14:paraId="7656576A"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9646AD3" w14:textId="428D0029" w:rsidR="009F6520" w:rsidRDefault="00C06670" w:rsidP="00C06670">
            <w:pPr>
              <w:shd w:val="solid" w:color="FFFFFF" w:fill="FFFFFF"/>
              <w:spacing w:before="0" w:line="240" w:lineRule="atLeast"/>
            </w:pPr>
            <w:bookmarkStart w:id="0" w:name="ditulogo"/>
            <w:bookmarkEnd w:id="0"/>
            <w:r>
              <w:rPr>
                <w:noProof/>
                <w:lang w:eastAsia="en-GB"/>
              </w:rPr>
              <w:drawing>
                <wp:inline distT="0" distB="0" distL="0" distR="0" wp14:anchorId="0AD03D0A" wp14:editId="1E60DB88">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8AB7980" w14:textId="77777777" w:rsidTr="00876A8A">
        <w:trPr>
          <w:cantSplit/>
        </w:trPr>
        <w:tc>
          <w:tcPr>
            <w:tcW w:w="6487" w:type="dxa"/>
            <w:tcBorders>
              <w:bottom w:val="single" w:sz="12" w:space="0" w:color="auto"/>
            </w:tcBorders>
          </w:tcPr>
          <w:p w14:paraId="1207423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B8356F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AA02EDF" w14:textId="77777777" w:rsidTr="00876A8A">
        <w:trPr>
          <w:cantSplit/>
        </w:trPr>
        <w:tc>
          <w:tcPr>
            <w:tcW w:w="6487" w:type="dxa"/>
            <w:tcBorders>
              <w:top w:val="single" w:sz="12" w:space="0" w:color="auto"/>
            </w:tcBorders>
          </w:tcPr>
          <w:p w14:paraId="2560F97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44E4B01" w14:textId="77777777" w:rsidR="000069D4" w:rsidRPr="00710D66" w:rsidRDefault="000069D4" w:rsidP="00A5173C">
            <w:pPr>
              <w:shd w:val="solid" w:color="FFFFFF" w:fill="FFFFFF"/>
              <w:spacing w:before="0" w:after="48" w:line="240" w:lineRule="atLeast"/>
              <w:rPr>
                <w:lang w:val="en-US"/>
              </w:rPr>
            </w:pPr>
          </w:p>
        </w:tc>
      </w:tr>
      <w:tr w:rsidR="000069D4" w14:paraId="121E6DB7" w14:textId="77777777" w:rsidTr="00876A8A">
        <w:trPr>
          <w:cantSplit/>
        </w:trPr>
        <w:tc>
          <w:tcPr>
            <w:tcW w:w="6487" w:type="dxa"/>
            <w:vMerge w:val="restart"/>
          </w:tcPr>
          <w:p w14:paraId="50256489" w14:textId="364BFE49" w:rsidR="00C06670" w:rsidRPr="00982084" w:rsidRDefault="00C06670" w:rsidP="00C06670">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458ECB6A" w14:textId="75D6340D" w:rsidR="000069D4" w:rsidRPr="00C06670" w:rsidRDefault="000069D4" w:rsidP="00A5173C">
            <w:pPr>
              <w:shd w:val="solid" w:color="FFFFFF" w:fill="FFFFFF"/>
              <w:spacing w:before="0" w:line="240" w:lineRule="atLeast"/>
              <w:rPr>
                <w:rFonts w:ascii="Verdana" w:hAnsi="Verdana"/>
                <w:sz w:val="20"/>
                <w:lang w:eastAsia="zh-CN"/>
              </w:rPr>
            </w:pPr>
          </w:p>
        </w:tc>
      </w:tr>
      <w:tr w:rsidR="000069D4" w14:paraId="7F3D276E" w14:textId="77777777" w:rsidTr="00876A8A">
        <w:trPr>
          <w:cantSplit/>
        </w:trPr>
        <w:tc>
          <w:tcPr>
            <w:tcW w:w="6487" w:type="dxa"/>
            <w:vMerge/>
          </w:tcPr>
          <w:p w14:paraId="3463AE8B"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F2BD2A6" w14:textId="013F1AF1" w:rsidR="000069D4" w:rsidRPr="00C06670" w:rsidRDefault="00777526" w:rsidP="00A5173C">
            <w:pPr>
              <w:shd w:val="solid" w:color="FFFFFF" w:fill="FFFFFF"/>
              <w:spacing w:before="0" w:line="240" w:lineRule="atLeast"/>
              <w:rPr>
                <w:rFonts w:ascii="Verdana" w:hAnsi="Verdana"/>
                <w:sz w:val="20"/>
                <w:lang w:eastAsia="zh-CN"/>
              </w:rPr>
            </w:pPr>
            <w:r>
              <w:rPr>
                <w:rFonts w:ascii="Verdana" w:hAnsi="Verdana"/>
                <w:b/>
                <w:sz w:val="20"/>
                <w:lang w:eastAsia="zh-CN"/>
              </w:rPr>
              <w:t>3 February</w:t>
            </w:r>
            <w:r w:rsidR="004B1FC2">
              <w:rPr>
                <w:rFonts w:ascii="Verdana" w:hAnsi="Verdana"/>
                <w:b/>
                <w:sz w:val="20"/>
                <w:lang w:eastAsia="zh-CN"/>
              </w:rPr>
              <w:t xml:space="preserve"> </w:t>
            </w:r>
            <w:r w:rsidR="00C06670">
              <w:rPr>
                <w:rFonts w:ascii="Verdana" w:hAnsi="Verdana"/>
                <w:b/>
                <w:sz w:val="20"/>
                <w:lang w:eastAsia="zh-CN"/>
              </w:rPr>
              <w:t>202</w:t>
            </w:r>
            <w:r>
              <w:rPr>
                <w:rFonts w:ascii="Verdana" w:hAnsi="Verdana"/>
                <w:b/>
                <w:sz w:val="20"/>
                <w:lang w:eastAsia="zh-CN"/>
              </w:rPr>
              <w:t>5</w:t>
            </w:r>
          </w:p>
        </w:tc>
      </w:tr>
      <w:tr w:rsidR="000069D4" w14:paraId="12117B7B" w14:textId="77777777" w:rsidTr="00876A8A">
        <w:trPr>
          <w:cantSplit/>
        </w:trPr>
        <w:tc>
          <w:tcPr>
            <w:tcW w:w="6487" w:type="dxa"/>
            <w:vMerge/>
          </w:tcPr>
          <w:p w14:paraId="681EB459"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CF9B13D" w14:textId="73C20A0F" w:rsidR="000069D4" w:rsidRPr="00C06670" w:rsidRDefault="00C0667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2C2CEDF" w14:textId="77777777" w:rsidTr="00D046A7">
        <w:trPr>
          <w:cantSplit/>
        </w:trPr>
        <w:tc>
          <w:tcPr>
            <w:tcW w:w="9889" w:type="dxa"/>
            <w:gridSpan w:val="2"/>
          </w:tcPr>
          <w:p w14:paraId="43BADD26" w14:textId="25BB2413" w:rsidR="000069D4" w:rsidRDefault="000069D4" w:rsidP="00C06670">
            <w:pPr>
              <w:pStyle w:val="Source"/>
              <w:rPr>
                <w:lang w:eastAsia="zh-CN"/>
              </w:rPr>
            </w:pPr>
            <w:bookmarkStart w:id="5" w:name="dsource" w:colFirst="0" w:colLast="0"/>
            <w:bookmarkEnd w:id="4"/>
          </w:p>
        </w:tc>
      </w:tr>
      <w:tr w:rsidR="000069D4" w14:paraId="7CB879EA" w14:textId="77777777" w:rsidTr="00D046A7">
        <w:trPr>
          <w:cantSplit/>
        </w:trPr>
        <w:tc>
          <w:tcPr>
            <w:tcW w:w="9889" w:type="dxa"/>
            <w:gridSpan w:val="2"/>
          </w:tcPr>
          <w:p w14:paraId="36873992" w14:textId="60F6C371" w:rsidR="000069D4" w:rsidRDefault="00471FDA" w:rsidP="00A5173C">
            <w:pPr>
              <w:pStyle w:val="Title1"/>
              <w:rPr>
                <w:lang w:eastAsia="zh-CN"/>
              </w:rPr>
            </w:pPr>
            <w:bookmarkStart w:id="6" w:name="drec" w:colFirst="0" w:colLast="0"/>
            <w:bookmarkEnd w:id="5"/>
            <w:r>
              <w:rPr>
                <w:lang w:eastAsia="zh-CN"/>
              </w:rPr>
              <w:t>W(A)</w:t>
            </w:r>
            <w:r w:rsidR="00A15F2A">
              <w:rPr>
                <w:lang w:eastAsia="zh-CN"/>
              </w:rPr>
              <w:t>RC Re</w:t>
            </w:r>
            <w:r w:rsidR="00C11EBE">
              <w:rPr>
                <w:lang w:eastAsia="zh-CN"/>
              </w:rPr>
              <w:t>COMMENDA</w:t>
            </w:r>
            <w:r w:rsidR="00A15F2A">
              <w:rPr>
                <w:lang w:eastAsia="zh-CN"/>
              </w:rPr>
              <w:t>tions</w:t>
            </w:r>
          </w:p>
        </w:tc>
      </w:tr>
      <w:tr w:rsidR="000069D4" w14:paraId="03F7EEE3" w14:textId="77777777" w:rsidTr="00D046A7">
        <w:trPr>
          <w:cantSplit/>
        </w:trPr>
        <w:tc>
          <w:tcPr>
            <w:tcW w:w="9889" w:type="dxa"/>
            <w:gridSpan w:val="2"/>
          </w:tcPr>
          <w:p w14:paraId="4C2A0B14" w14:textId="77777777" w:rsidR="000069D4" w:rsidRDefault="000069D4" w:rsidP="00A5173C">
            <w:pPr>
              <w:pStyle w:val="Title1"/>
              <w:rPr>
                <w:lang w:eastAsia="zh-CN"/>
              </w:rPr>
            </w:pPr>
            <w:bookmarkStart w:id="7" w:name="dtitle1" w:colFirst="0" w:colLast="0"/>
            <w:bookmarkEnd w:id="6"/>
          </w:p>
        </w:tc>
      </w:tr>
    </w:tbl>
    <w:p w14:paraId="497C3C44" w14:textId="4292DAC1" w:rsidR="003E0DC1" w:rsidRDefault="003E0DC1" w:rsidP="003E0DC1">
      <w:pPr>
        <w:pStyle w:val="Normalaftertitle"/>
        <w:rPr>
          <w:lang w:val="en-US" w:eastAsia="zh-CN"/>
        </w:rPr>
      </w:pPr>
      <w:bookmarkStart w:id="8" w:name="dbreak"/>
      <w:bookmarkEnd w:id="7"/>
      <w:bookmarkEnd w:id="8"/>
      <w:r>
        <w:rPr>
          <w:lang w:val="en-US" w:eastAsia="zh-CN"/>
        </w:rPr>
        <w:t>At its 27</w:t>
      </w:r>
      <w:r>
        <w:rPr>
          <w:vertAlign w:val="superscript"/>
          <w:lang w:val="en-US" w:eastAsia="zh-CN"/>
        </w:rPr>
        <w:t>th</w:t>
      </w:r>
      <w:r>
        <w:rPr>
          <w:lang w:val="en-US" w:eastAsia="zh-CN"/>
        </w:rPr>
        <w:t xml:space="preserve"> meeting from 25 to 27 May 2020, the Radiocommunication Advisory Group (RAG) (see the Summary of Conclusions in </w:t>
      </w:r>
      <w:hyperlink r:id="rId11" w:history="1">
        <w:r>
          <w:rPr>
            <w:rStyle w:val="Hyperlink"/>
            <w:lang w:val="en-US" w:eastAsia="zh-CN"/>
          </w:rPr>
          <w:t>BR Administrative Circular CA/252</w:t>
        </w:r>
      </w:hyperlink>
      <w:r>
        <w:rPr>
          <w:lang w:val="en-US" w:eastAsia="zh-CN"/>
        </w:rPr>
        <w:t xml:space="preserve"> of 1 June 2020) considered a proposal to categorize new and revised </w:t>
      </w:r>
      <w:r w:rsidR="00C559F9">
        <w:rPr>
          <w:lang w:val="en-US" w:eastAsia="zh-CN"/>
        </w:rPr>
        <w:t>Recommendations</w:t>
      </w:r>
      <w:r>
        <w:rPr>
          <w:lang w:val="en-US" w:eastAsia="zh-CN"/>
        </w:rPr>
        <w:t xml:space="preserve"> adopted by previous WRCs. The RAG invited the Bureau to produce such documentation and make it available on the RAG and Study Groups web pages.</w:t>
      </w:r>
    </w:p>
    <w:p w14:paraId="3E20E48E" w14:textId="77777777" w:rsidR="003E0DC1" w:rsidRDefault="003E0DC1" w:rsidP="003E0DC1">
      <w:pPr>
        <w:rPr>
          <w:lang w:val="en-US" w:eastAsia="zh-CN"/>
        </w:rPr>
      </w:pPr>
      <w:r>
        <w:rPr>
          <w:lang w:val="en-US" w:eastAsia="zh-CN"/>
        </w:rPr>
        <w:t xml:space="preserve">The following categories have been </w:t>
      </w:r>
      <w:r>
        <w:t>established</w:t>
      </w:r>
      <w:r>
        <w:rPr>
          <w:lang w:val="en-US" w:eastAsia="zh-CN"/>
        </w:rPr>
        <w:t>:</w:t>
      </w:r>
    </w:p>
    <w:p w14:paraId="075F6975" w14:textId="546A0A7B" w:rsidR="003E0DC1" w:rsidRPr="003E0DC1" w:rsidRDefault="003E0DC1" w:rsidP="003E0DC1">
      <w:pPr>
        <w:rPr>
          <w:b/>
          <w:bCs/>
        </w:rPr>
      </w:pPr>
      <w:r w:rsidRPr="003E0DC1">
        <w:rPr>
          <w:b/>
          <w:bCs/>
        </w:rPr>
        <w:t>Category 1</w:t>
      </w:r>
      <w:r>
        <w:rPr>
          <w:b/>
          <w:bCs/>
        </w:rPr>
        <w:t xml:space="preserve"> (calling for ITU-R studies)</w:t>
      </w:r>
    </w:p>
    <w:p w14:paraId="79B5FC94" w14:textId="683654C8" w:rsidR="003E0DC1" w:rsidRPr="003E0DC1" w:rsidRDefault="003E0DC1" w:rsidP="003E0DC1">
      <w:r w:rsidRPr="003E0DC1">
        <w:t>Recommendations that refer to ITU-R Sector for study as results of deliberation at WRC.</w:t>
      </w:r>
    </w:p>
    <w:p w14:paraId="05519D7C" w14:textId="01190A6D" w:rsidR="003E0DC1" w:rsidRPr="003E0DC1" w:rsidRDefault="003E0DC1" w:rsidP="003E0DC1">
      <w:pPr>
        <w:rPr>
          <w:b/>
          <w:bCs/>
        </w:rPr>
      </w:pPr>
      <w:r w:rsidRPr="003E0DC1">
        <w:rPr>
          <w:b/>
          <w:bCs/>
        </w:rPr>
        <w:t>Category 2</w:t>
      </w:r>
      <w:r>
        <w:rPr>
          <w:b/>
          <w:bCs/>
        </w:rPr>
        <w:t xml:space="preserve"> </w:t>
      </w:r>
      <w:r>
        <w:rPr>
          <w:b/>
        </w:rPr>
        <w:t>(addressed to BR)</w:t>
      </w:r>
    </w:p>
    <w:p w14:paraId="55A7B10D" w14:textId="77B56787" w:rsidR="003E0DC1" w:rsidRPr="003E0DC1" w:rsidRDefault="003E0DC1" w:rsidP="003E0DC1">
      <w:r w:rsidRPr="003E0DC1">
        <w:t>Recommendations which, among other destines, are also addressed to the Radiocommunication Bureau (BR) for implementation (or application of relevant RR provisions) and reporting the results of that implementation to the subsequent/next WRCs.</w:t>
      </w:r>
    </w:p>
    <w:p w14:paraId="4468FD2F" w14:textId="1D23E641" w:rsidR="003E0DC1" w:rsidRPr="003E0DC1" w:rsidRDefault="003E0DC1" w:rsidP="003E0DC1">
      <w:pPr>
        <w:rPr>
          <w:b/>
          <w:bCs/>
        </w:rPr>
      </w:pPr>
      <w:r w:rsidRPr="003E0DC1">
        <w:rPr>
          <w:b/>
          <w:bCs/>
        </w:rPr>
        <w:t>Category 3</w:t>
      </w:r>
      <w:bookmarkStart w:id="9" w:name="_Hlk41495493"/>
      <w:r>
        <w:rPr>
          <w:b/>
          <w:bCs/>
        </w:rPr>
        <w:t xml:space="preserve"> </w:t>
      </w:r>
      <w:r>
        <w:rPr>
          <w:b/>
        </w:rPr>
        <w:t>(</w:t>
      </w:r>
      <w:r w:rsidRPr="001A1DBC">
        <w:rPr>
          <w:b/>
        </w:rPr>
        <w:t xml:space="preserve">collaboration/cooperation </w:t>
      </w:r>
      <w:r>
        <w:rPr>
          <w:b/>
        </w:rPr>
        <w:t>with other ITU Sector(s) or other International Organizations)</w:t>
      </w:r>
    </w:p>
    <w:p w14:paraId="1D402028" w14:textId="2738AD9C" w:rsidR="003E0DC1" w:rsidRPr="003E0DC1" w:rsidRDefault="003E0DC1" w:rsidP="003E0DC1">
      <w:r w:rsidRPr="003E0DC1">
        <w:t>Recommendations which call for collaboration/cooperation of other ITU Sector(s) or other international organizations on certain activities referred to in those Recommendations.</w:t>
      </w:r>
      <w:bookmarkEnd w:id="9"/>
    </w:p>
    <w:p w14:paraId="2EEB04B8" w14:textId="77777777" w:rsidR="003E0DC1" w:rsidRPr="003E0DC1" w:rsidRDefault="003E0DC1" w:rsidP="003E0DC1">
      <w:pPr>
        <w:rPr>
          <w:b/>
          <w:bCs/>
        </w:rPr>
      </w:pPr>
      <w:r w:rsidRPr="003E0DC1">
        <w:rPr>
          <w:b/>
          <w:bCs/>
        </w:rPr>
        <w:t>Category 4 (inviting PP, WRC, Council or the RRB to take necessary actions, as appropriate)</w:t>
      </w:r>
    </w:p>
    <w:p w14:paraId="401E6F9B" w14:textId="76ED80F2" w:rsidR="003E0DC1" w:rsidRPr="003E0DC1" w:rsidRDefault="003E0DC1" w:rsidP="003E0DC1">
      <w:r w:rsidRPr="003E0DC1">
        <w:t>Recommendations which, among other actions, invite future Plenipotentiary Conference(s), WRC(s) or ITU Council, or the RRB to take necessary actions, as appropriate.</w:t>
      </w:r>
    </w:p>
    <w:p w14:paraId="3445BB27" w14:textId="2EC4786D" w:rsidR="003E0DC1" w:rsidRPr="003E0DC1" w:rsidRDefault="003E0DC1" w:rsidP="003E0DC1">
      <w:pPr>
        <w:rPr>
          <w:b/>
          <w:bCs/>
        </w:rPr>
      </w:pPr>
      <w:r w:rsidRPr="003E0DC1">
        <w:rPr>
          <w:b/>
          <w:bCs/>
        </w:rPr>
        <w:t>Category 5</w:t>
      </w:r>
      <w:r>
        <w:rPr>
          <w:b/>
          <w:bCs/>
        </w:rPr>
        <w:t xml:space="preserve"> </w:t>
      </w:r>
      <w:r>
        <w:rPr>
          <w:b/>
        </w:rPr>
        <w:t>(other Recommendations not identified within Categories 1 to 4)</w:t>
      </w:r>
    </w:p>
    <w:p w14:paraId="6AAC5550" w14:textId="0C4E55FE" w:rsidR="003E0DC1" w:rsidRPr="003E0DC1" w:rsidRDefault="003E0DC1" w:rsidP="003E0DC1">
      <w:r w:rsidRPr="003E0DC1">
        <w:t>Recommendations that do not fit in any of the above-mentioned 4 categories but could have some implementation aspects.</w:t>
      </w:r>
    </w:p>
    <w:p w14:paraId="01283A2F" w14:textId="61B15D91" w:rsidR="003E0DC1" w:rsidRPr="00A92024" w:rsidRDefault="003E0DC1" w:rsidP="003E0DC1">
      <w:pPr>
        <w:rPr>
          <w:lang w:val="en-US" w:eastAsia="zh-CN"/>
        </w:rPr>
      </w:pPr>
      <w:r w:rsidRPr="00426803">
        <w:rPr>
          <w:lang w:val="en-US" w:eastAsia="zh-CN"/>
        </w:rPr>
        <w:t xml:space="preserve">The table below lists all the </w:t>
      </w:r>
      <w:r>
        <w:rPr>
          <w:lang w:val="en-US" w:eastAsia="zh-CN"/>
        </w:rPr>
        <w:t>World (Administrative) Radio(communication) Conference (</w:t>
      </w:r>
      <w:r w:rsidRPr="00426803">
        <w:rPr>
          <w:lang w:val="en-US" w:eastAsia="zh-CN"/>
        </w:rPr>
        <w:t>W(A)RC</w:t>
      </w:r>
      <w:r>
        <w:rPr>
          <w:lang w:val="en-US" w:eastAsia="zh-CN"/>
        </w:rPr>
        <w:t>)</w:t>
      </w:r>
      <w:r w:rsidRPr="00426803">
        <w:rPr>
          <w:lang w:val="en-US" w:eastAsia="zh-CN"/>
        </w:rPr>
        <w:t xml:space="preserve"> </w:t>
      </w:r>
      <w:r>
        <w:rPr>
          <w:lang w:val="en-US" w:eastAsia="zh-CN"/>
        </w:rPr>
        <w:t>Recommendations</w:t>
      </w:r>
      <w:r w:rsidRPr="00426803">
        <w:rPr>
          <w:lang w:val="en-US" w:eastAsia="zh-CN"/>
        </w:rPr>
        <w:t xml:space="preserve"> in force. The </w:t>
      </w:r>
      <w:r>
        <w:rPr>
          <w:lang w:val="en-US" w:eastAsia="zh-CN"/>
        </w:rPr>
        <w:t xml:space="preserve">elements of each Recommendation relating </w:t>
      </w:r>
      <w:r w:rsidRPr="00426803">
        <w:rPr>
          <w:lang w:val="en-US" w:eastAsia="zh-CN"/>
        </w:rPr>
        <w:t xml:space="preserve">to the ITU Radiocommunication Sector </w:t>
      </w:r>
      <w:r>
        <w:rPr>
          <w:lang w:val="en-US" w:eastAsia="zh-CN"/>
        </w:rPr>
        <w:t xml:space="preserve">(ITU-R) </w:t>
      </w:r>
      <w:r w:rsidRPr="00426803">
        <w:rPr>
          <w:lang w:val="en-US" w:eastAsia="zh-CN"/>
        </w:rPr>
        <w:t xml:space="preserve">are contained in the </w:t>
      </w:r>
      <w:r>
        <w:rPr>
          <w:lang w:val="en-US" w:eastAsia="zh-CN"/>
        </w:rPr>
        <w:t>column titled “</w:t>
      </w:r>
      <w:r w:rsidRPr="00426803">
        <w:rPr>
          <w:i/>
          <w:iCs/>
          <w:lang w:val="en-US" w:eastAsia="zh-CN"/>
        </w:rPr>
        <w:t>re</w:t>
      </w:r>
      <w:r>
        <w:rPr>
          <w:i/>
          <w:iCs/>
          <w:lang w:val="en-US" w:eastAsia="zh-CN"/>
        </w:rPr>
        <w:t>commends</w:t>
      </w:r>
      <w:r>
        <w:rPr>
          <w:lang w:val="en-US" w:eastAsia="zh-CN"/>
        </w:rPr>
        <w:t>”</w:t>
      </w:r>
      <w:r w:rsidRPr="00426803">
        <w:rPr>
          <w:lang w:val="en-US" w:eastAsia="zh-CN"/>
        </w:rPr>
        <w:t>.</w:t>
      </w:r>
      <w:r>
        <w:rPr>
          <w:lang w:val="en-US" w:eastAsia="zh-CN"/>
        </w:rPr>
        <w:t xml:space="preserve"> Links to the relevant ITU-R Study Group (SG) documents describing the </w:t>
      </w:r>
      <w:r w:rsidRPr="0038130F">
        <w:rPr>
          <w:lang w:eastAsia="zh-CN"/>
        </w:rPr>
        <w:t xml:space="preserve">assignment of </w:t>
      </w:r>
      <w:r>
        <w:rPr>
          <w:lang w:eastAsia="zh-CN"/>
        </w:rPr>
        <w:t xml:space="preserve">the Recommendation </w:t>
      </w:r>
      <w:r w:rsidRPr="0038130F">
        <w:rPr>
          <w:lang w:eastAsia="zh-CN"/>
        </w:rPr>
        <w:t xml:space="preserve">to </w:t>
      </w:r>
      <w:r>
        <w:rPr>
          <w:lang w:eastAsia="zh-CN"/>
        </w:rPr>
        <w:t>sub-groups</w:t>
      </w:r>
      <w:r>
        <w:rPr>
          <w:lang w:val="en-US" w:eastAsia="zh-CN"/>
        </w:rPr>
        <w:t xml:space="preserve"> of the SG (i.e. Document 1 of each SG) is provided where applicable and when available</w:t>
      </w:r>
      <w:r w:rsidRPr="00A92024">
        <w:rPr>
          <w:lang w:val="en-US" w:eastAsia="zh-CN"/>
        </w:rPr>
        <w:t>.</w:t>
      </w:r>
    </w:p>
    <w:p w14:paraId="11BDA987" w14:textId="341D5C49" w:rsidR="003156C0" w:rsidRPr="004B1FC2" w:rsidRDefault="003156C0" w:rsidP="003156C0">
      <w:pPr>
        <w:rPr>
          <w:lang w:eastAsia="zh-CN"/>
        </w:rPr>
      </w:pPr>
    </w:p>
    <w:tbl>
      <w:tblPr>
        <w:tblStyle w:val="TableGrid"/>
        <w:tblW w:w="0" w:type="auto"/>
        <w:tblLook w:val="04A0" w:firstRow="1" w:lastRow="0" w:firstColumn="1" w:lastColumn="0" w:noHBand="0" w:noVBand="1"/>
      </w:tblPr>
      <w:tblGrid>
        <w:gridCol w:w="671"/>
        <w:gridCol w:w="8958"/>
      </w:tblGrid>
      <w:tr w:rsidR="003156C0" w14:paraId="587F6CEC" w14:textId="77777777" w:rsidTr="008A729E">
        <w:tc>
          <w:tcPr>
            <w:tcW w:w="9629" w:type="dxa"/>
            <w:gridSpan w:val="2"/>
            <w:shd w:val="clear" w:color="auto" w:fill="auto"/>
          </w:tcPr>
          <w:p w14:paraId="36EDB682" w14:textId="77777777" w:rsidR="003156C0" w:rsidRDefault="003156C0" w:rsidP="00B867A8">
            <w:pPr>
              <w:pStyle w:val="Tablehead"/>
              <w:rPr>
                <w:lang w:val="fr-FR" w:eastAsia="zh-CN"/>
              </w:rPr>
            </w:pPr>
            <w:r>
              <w:rPr>
                <w:lang w:val="fr-FR" w:eastAsia="zh-CN"/>
              </w:rPr>
              <w:t>Table legend</w:t>
            </w:r>
          </w:p>
        </w:tc>
      </w:tr>
      <w:tr w:rsidR="003156C0" w14:paraId="3721124E" w14:textId="77777777" w:rsidTr="008A729E">
        <w:tc>
          <w:tcPr>
            <w:tcW w:w="671" w:type="dxa"/>
            <w:shd w:val="clear" w:color="auto" w:fill="DAEEF3" w:themeFill="accent5" w:themeFillTint="33"/>
          </w:tcPr>
          <w:p w14:paraId="2B826F74" w14:textId="77777777" w:rsidR="003156C0" w:rsidRDefault="003156C0" w:rsidP="00B867A8">
            <w:pPr>
              <w:pStyle w:val="Tabletext"/>
              <w:jc w:val="center"/>
              <w:rPr>
                <w:lang w:val="fr-FR" w:eastAsia="zh-CN"/>
              </w:rPr>
            </w:pPr>
          </w:p>
        </w:tc>
        <w:tc>
          <w:tcPr>
            <w:tcW w:w="8958" w:type="dxa"/>
          </w:tcPr>
          <w:p w14:paraId="45FA8730" w14:textId="2FA319D6" w:rsidR="003156C0" w:rsidRPr="004B1FC2" w:rsidRDefault="003156C0" w:rsidP="00B867A8">
            <w:pPr>
              <w:pStyle w:val="Tabletext"/>
              <w:rPr>
                <w:lang w:eastAsia="zh-CN"/>
              </w:rPr>
            </w:pPr>
            <w:r w:rsidRPr="004B1FC2">
              <w:rPr>
                <w:lang w:eastAsia="zh-CN"/>
              </w:rPr>
              <w:t>Cells in this colour indicate that the W</w:t>
            </w:r>
            <w:r w:rsidR="00471FDA" w:rsidRPr="004B1FC2">
              <w:rPr>
                <w:lang w:eastAsia="zh-CN"/>
              </w:rPr>
              <w:t>(A)</w:t>
            </w:r>
            <w:r w:rsidRPr="004B1FC2">
              <w:rPr>
                <w:lang w:eastAsia="zh-CN"/>
              </w:rPr>
              <w:t xml:space="preserve">RC </w:t>
            </w:r>
            <w:r w:rsidR="008A729E" w:rsidRPr="004B1FC2">
              <w:rPr>
                <w:lang w:eastAsia="zh-CN"/>
              </w:rPr>
              <w:t>Recomme</w:t>
            </w:r>
            <w:r w:rsidR="003D2B43" w:rsidRPr="004B1FC2">
              <w:rPr>
                <w:lang w:eastAsia="zh-CN"/>
              </w:rPr>
              <w:t>n</w:t>
            </w:r>
            <w:r w:rsidR="008A729E" w:rsidRPr="004B1FC2">
              <w:rPr>
                <w:lang w:eastAsia="zh-CN"/>
              </w:rPr>
              <w:t>dation</w:t>
            </w:r>
            <w:r w:rsidRPr="004B1FC2">
              <w:rPr>
                <w:lang w:eastAsia="zh-CN"/>
              </w:rPr>
              <w:t xml:space="preserve"> contains instructions for the ITU Radiocommunication Sector, but it is </w:t>
            </w:r>
            <w:r w:rsidRPr="004B1FC2">
              <w:rPr>
                <w:u w:val="single"/>
                <w:lang w:eastAsia="zh-CN"/>
              </w:rPr>
              <w:t>not</w:t>
            </w:r>
            <w:r w:rsidRPr="004B1FC2">
              <w:rPr>
                <w:lang w:eastAsia="zh-CN"/>
              </w:rPr>
              <w:t xml:space="preserve"> included in Document 1 of any </w:t>
            </w:r>
            <w:r w:rsidR="00AE1FC6" w:rsidRPr="004B1FC2">
              <w:rPr>
                <w:lang w:eastAsia="zh-CN"/>
              </w:rPr>
              <w:t xml:space="preserve">ITU-R </w:t>
            </w:r>
            <w:r w:rsidRPr="004B1FC2">
              <w:rPr>
                <w:lang w:eastAsia="zh-CN"/>
              </w:rPr>
              <w:t>Study Group.</w:t>
            </w:r>
          </w:p>
        </w:tc>
      </w:tr>
      <w:tr w:rsidR="003156C0" w14:paraId="3EE165A2" w14:textId="77777777" w:rsidTr="008A729E">
        <w:tc>
          <w:tcPr>
            <w:tcW w:w="671" w:type="dxa"/>
            <w:shd w:val="clear" w:color="auto" w:fill="EEECE1" w:themeFill="background2"/>
          </w:tcPr>
          <w:p w14:paraId="51191BCA" w14:textId="77777777" w:rsidR="003156C0" w:rsidRPr="004B1FC2" w:rsidRDefault="003156C0" w:rsidP="00B867A8">
            <w:pPr>
              <w:pStyle w:val="Tabletext"/>
              <w:jc w:val="center"/>
              <w:rPr>
                <w:lang w:eastAsia="zh-CN"/>
              </w:rPr>
            </w:pPr>
          </w:p>
        </w:tc>
        <w:tc>
          <w:tcPr>
            <w:tcW w:w="8958" w:type="dxa"/>
          </w:tcPr>
          <w:p w14:paraId="4B4C0826" w14:textId="728A487B" w:rsidR="003156C0" w:rsidRPr="004B1FC2" w:rsidRDefault="003156C0" w:rsidP="00B867A8">
            <w:pPr>
              <w:pStyle w:val="Tabletext"/>
              <w:rPr>
                <w:lang w:eastAsia="zh-CN"/>
              </w:rPr>
            </w:pPr>
            <w:r w:rsidRPr="004B1FC2">
              <w:rPr>
                <w:lang w:eastAsia="zh-CN"/>
              </w:rPr>
              <w:t>Cells in this colour indicate that the W</w:t>
            </w:r>
            <w:r w:rsidR="00471FDA" w:rsidRPr="004B1FC2">
              <w:rPr>
                <w:lang w:eastAsia="zh-CN"/>
              </w:rPr>
              <w:t>(A)</w:t>
            </w:r>
            <w:r w:rsidRPr="004B1FC2">
              <w:rPr>
                <w:lang w:eastAsia="zh-CN"/>
              </w:rPr>
              <w:t xml:space="preserve">RC </w:t>
            </w:r>
            <w:r w:rsidR="008A729E" w:rsidRPr="004B1FC2">
              <w:rPr>
                <w:lang w:eastAsia="zh-CN"/>
              </w:rPr>
              <w:t>Recommendation</w:t>
            </w:r>
            <w:r w:rsidRPr="004B1FC2">
              <w:rPr>
                <w:lang w:eastAsia="zh-CN"/>
              </w:rPr>
              <w:t xml:space="preserve"> contains instructions for the ITU Radiocommunication Sector and it is included in Document 1 of one or more</w:t>
            </w:r>
            <w:r w:rsidR="00471FDA" w:rsidRPr="004B1FC2">
              <w:rPr>
                <w:lang w:eastAsia="zh-CN"/>
              </w:rPr>
              <w:t xml:space="preserve"> </w:t>
            </w:r>
            <w:r w:rsidR="00AE1FC6" w:rsidRPr="004B1FC2">
              <w:rPr>
                <w:lang w:eastAsia="zh-CN"/>
              </w:rPr>
              <w:t>ITU-R</w:t>
            </w:r>
            <w:r w:rsidRPr="004B1FC2">
              <w:rPr>
                <w:lang w:eastAsia="zh-CN"/>
              </w:rPr>
              <w:t xml:space="preserve"> Study Group(s).</w:t>
            </w:r>
          </w:p>
        </w:tc>
      </w:tr>
    </w:tbl>
    <w:p w14:paraId="30E041C0" w14:textId="77777777" w:rsidR="00063C19" w:rsidRPr="003E0DC1" w:rsidRDefault="00063C19" w:rsidP="003E0DC1"/>
    <w:p w14:paraId="24BBE7D6" w14:textId="11A2E2B7" w:rsidR="000D37C8" w:rsidRPr="004B1FC2" w:rsidRDefault="000D37C8" w:rsidP="0020744F">
      <w:pPr>
        <w:pStyle w:val="enumlev1"/>
        <w:rPr>
          <w:lang w:eastAsia="zh-CN"/>
        </w:rPr>
        <w:sectPr w:rsidR="000D37C8" w:rsidRPr="004B1FC2" w:rsidSect="00D02712">
          <w:headerReference w:type="default" r:id="rId12"/>
          <w:pgSz w:w="11907" w:h="16834"/>
          <w:pgMar w:top="1418" w:right="1134" w:bottom="1418" w:left="1134" w:header="720" w:footer="720" w:gutter="0"/>
          <w:paperSrc w:first="15" w:other="15"/>
          <w:cols w:space="720"/>
          <w:titlePg/>
        </w:sectPr>
      </w:pPr>
      <w:r w:rsidRPr="004B1FC2">
        <w:rPr>
          <w:lang w:eastAsia="zh-CN"/>
        </w:rPr>
        <w:br w:type="page"/>
      </w:r>
    </w:p>
    <w:tbl>
      <w:tblPr>
        <w:tblStyle w:val="TableGrid"/>
        <w:tblW w:w="15446" w:type="dxa"/>
        <w:tblLook w:val="04A0" w:firstRow="1" w:lastRow="0" w:firstColumn="1" w:lastColumn="0" w:noHBand="0" w:noVBand="1"/>
      </w:tblPr>
      <w:tblGrid>
        <w:gridCol w:w="1801"/>
        <w:gridCol w:w="2730"/>
        <w:gridCol w:w="8538"/>
        <w:gridCol w:w="961"/>
        <w:gridCol w:w="1416"/>
      </w:tblGrid>
      <w:tr w:rsidR="00561B43" w14:paraId="7FBF5A3C" w14:textId="60E6AFBE" w:rsidTr="00E33D2E">
        <w:trPr>
          <w:tblHeader/>
        </w:trPr>
        <w:tc>
          <w:tcPr>
            <w:tcW w:w="1801" w:type="dxa"/>
          </w:tcPr>
          <w:p w14:paraId="5771D95B" w14:textId="23D51C91" w:rsidR="00561B43" w:rsidRPr="00DA372F" w:rsidRDefault="003D2B43" w:rsidP="000D37C8">
            <w:pPr>
              <w:pStyle w:val="Tablehead"/>
              <w:rPr>
                <w:lang w:val="fr-FR" w:eastAsia="zh-CN"/>
              </w:rPr>
            </w:pPr>
            <w:r>
              <w:rPr>
                <w:lang w:val="fr-FR" w:eastAsia="zh-CN"/>
              </w:rPr>
              <w:lastRenderedPageBreak/>
              <w:t>Recommendation</w:t>
            </w:r>
          </w:p>
        </w:tc>
        <w:tc>
          <w:tcPr>
            <w:tcW w:w="2730" w:type="dxa"/>
          </w:tcPr>
          <w:p w14:paraId="45AC6B73" w14:textId="5CF03A86" w:rsidR="00561B43" w:rsidRDefault="00561B43" w:rsidP="000D37C8">
            <w:pPr>
              <w:pStyle w:val="Tablehead"/>
              <w:rPr>
                <w:lang w:val="fr-FR" w:eastAsia="zh-CN"/>
              </w:rPr>
            </w:pPr>
            <w:r>
              <w:rPr>
                <w:lang w:val="fr-FR" w:eastAsia="zh-CN"/>
              </w:rPr>
              <w:t>Title</w:t>
            </w:r>
          </w:p>
        </w:tc>
        <w:tc>
          <w:tcPr>
            <w:tcW w:w="8538" w:type="dxa"/>
          </w:tcPr>
          <w:p w14:paraId="02A2EA21" w14:textId="7B759464" w:rsidR="00561B43" w:rsidRPr="000D37C8" w:rsidRDefault="00C11EBE" w:rsidP="008353FC">
            <w:pPr>
              <w:pStyle w:val="Tablehead"/>
              <w:spacing w:before="60" w:after="40"/>
              <w:rPr>
                <w:i/>
                <w:iCs/>
                <w:lang w:val="fr-FR" w:eastAsia="zh-CN"/>
              </w:rPr>
            </w:pPr>
            <w:proofErr w:type="gramStart"/>
            <w:r>
              <w:rPr>
                <w:i/>
                <w:iCs/>
                <w:lang w:val="fr-FR" w:eastAsia="zh-CN"/>
              </w:rPr>
              <w:t>recommends</w:t>
            </w:r>
            <w:proofErr w:type="gramEnd"/>
          </w:p>
        </w:tc>
        <w:tc>
          <w:tcPr>
            <w:tcW w:w="961" w:type="dxa"/>
          </w:tcPr>
          <w:p w14:paraId="3EFCB52D" w14:textId="63CC7D45" w:rsidR="00561B43" w:rsidRDefault="00561B43" w:rsidP="00A817D3">
            <w:pPr>
              <w:pStyle w:val="Tablehead"/>
              <w:rPr>
                <w:lang w:val="fr-FR" w:eastAsia="zh-CN"/>
              </w:rPr>
            </w:pPr>
            <w:r>
              <w:rPr>
                <w:lang w:val="fr-FR" w:eastAsia="zh-CN"/>
              </w:rPr>
              <w:t>WP</w:t>
            </w:r>
          </w:p>
        </w:tc>
        <w:tc>
          <w:tcPr>
            <w:tcW w:w="1416" w:type="dxa"/>
          </w:tcPr>
          <w:p w14:paraId="0CF0ECAF" w14:textId="46C45CA8" w:rsidR="00561B43" w:rsidRPr="00B867A8" w:rsidRDefault="00561B43" w:rsidP="00C559F9">
            <w:pPr>
              <w:pStyle w:val="Tablehead"/>
              <w:rPr>
                <w:b w:val="0"/>
                <w:bCs/>
                <w:lang w:val="fr-FR" w:eastAsia="zh-CN"/>
              </w:rPr>
            </w:pPr>
            <w:r w:rsidRPr="00B867A8">
              <w:rPr>
                <w:b w:val="0"/>
                <w:bCs/>
                <w:lang w:val="fr-FR" w:eastAsia="zh-CN"/>
              </w:rPr>
              <w:t>Category</w:t>
            </w:r>
            <w:r w:rsidR="00C559F9">
              <w:rPr>
                <w:b w:val="0"/>
                <w:bCs/>
                <w:lang w:val="fr-FR" w:eastAsia="zh-CN"/>
              </w:rPr>
              <w:t>/(ies)</w:t>
            </w:r>
          </w:p>
        </w:tc>
      </w:tr>
      <w:tr w:rsidR="00443FF7" w14:paraId="08AFE5A2" w14:textId="11B4B531" w:rsidTr="00C559F9">
        <w:tc>
          <w:tcPr>
            <w:tcW w:w="1801" w:type="dxa"/>
            <w:shd w:val="clear" w:color="auto" w:fill="auto"/>
          </w:tcPr>
          <w:p w14:paraId="23F7401B" w14:textId="4C47C4B1" w:rsidR="00443FF7" w:rsidRPr="00C559F9" w:rsidRDefault="00443FF7" w:rsidP="00443FF7">
            <w:pPr>
              <w:pStyle w:val="Tabletext"/>
              <w:rPr>
                <w:b/>
                <w:spacing w:val="-6"/>
                <w:lang w:val="fr-FR" w:eastAsia="zh-CN"/>
              </w:rPr>
            </w:pPr>
            <w:r w:rsidRPr="00C559F9">
              <w:rPr>
                <w:b/>
                <w:spacing w:val="-6"/>
                <w:lang w:val="fr-FR" w:eastAsia="zh-CN"/>
              </w:rPr>
              <w:t>7 (Rev.WRC-97)</w:t>
            </w:r>
          </w:p>
        </w:tc>
        <w:tc>
          <w:tcPr>
            <w:tcW w:w="2730" w:type="dxa"/>
            <w:shd w:val="clear" w:color="auto" w:fill="auto"/>
          </w:tcPr>
          <w:p w14:paraId="7577C2DD" w14:textId="77777777" w:rsidR="00443FF7" w:rsidRPr="004B1FC2" w:rsidRDefault="00443FF7" w:rsidP="00443FF7">
            <w:pPr>
              <w:pStyle w:val="Tabletext"/>
              <w:rPr>
                <w:vertAlign w:val="superscript"/>
                <w:lang w:eastAsia="zh-CN"/>
              </w:rPr>
            </w:pPr>
            <w:r w:rsidRPr="004B1FC2">
              <w:rPr>
                <w:lang w:eastAsia="zh-CN"/>
              </w:rPr>
              <w:t>Adoption of standard forms for ship station and ship earth station licences and aircraft station and aircraft earth station licences</w:t>
            </w:r>
            <w:r w:rsidRPr="004B1FC2">
              <w:rPr>
                <w:vertAlign w:val="superscript"/>
                <w:lang w:eastAsia="zh-CN"/>
              </w:rPr>
              <w:t>1</w:t>
            </w:r>
          </w:p>
          <w:p w14:paraId="0E7B9AD0" w14:textId="77777777" w:rsidR="00443FF7" w:rsidRPr="004B1FC2" w:rsidRDefault="00443FF7" w:rsidP="00443FF7">
            <w:pPr>
              <w:pStyle w:val="Tabletext"/>
              <w:rPr>
                <w:vertAlign w:val="superscript"/>
                <w:lang w:eastAsia="zh-CN"/>
              </w:rPr>
            </w:pPr>
          </w:p>
          <w:p w14:paraId="36EEE139" w14:textId="77777777" w:rsidR="00443FF7" w:rsidRPr="004B1FC2" w:rsidRDefault="00443FF7" w:rsidP="00443FF7">
            <w:pPr>
              <w:pStyle w:val="Tabletext"/>
              <w:rPr>
                <w:vertAlign w:val="superscript"/>
                <w:lang w:eastAsia="zh-CN"/>
              </w:rPr>
            </w:pPr>
            <w:r w:rsidRPr="004B1FC2">
              <w:rPr>
                <w:vertAlign w:val="superscript"/>
                <w:lang w:eastAsia="zh-CN"/>
              </w:rPr>
              <w:t>____________________________________</w:t>
            </w:r>
          </w:p>
          <w:p w14:paraId="5F631606" w14:textId="05432260" w:rsidR="00443FF7" w:rsidRPr="004B1FC2" w:rsidRDefault="00443FF7" w:rsidP="00443FF7">
            <w:pPr>
              <w:pStyle w:val="Tabletext"/>
              <w:rPr>
                <w:lang w:eastAsia="zh-CN"/>
              </w:rPr>
            </w:pPr>
            <w:r w:rsidRPr="004B1FC2">
              <w:rPr>
                <w:vertAlign w:val="superscript"/>
                <w:lang w:eastAsia="zh-CN"/>
              </w:rPr>
              <w:t>1</w:t>
            </w:r>
            <w:r w:rsidRPr="004B1FC2">
              <w:rPr>
                <w:lang w:eastAsia="zh-CN"/>
              </w:rPr>
              <w:t xml:space="preserve"> </w:t>
            </w:r>
            <w:r w:rsidRPr="004B1FC2">
              <w:rPr>
                <w:sz w:val="18"/>
                <w:szCs w:val="18"/>
                <w:lang w:eastAsia="zh-CN"/>
              </w:rPr>
              <w:t>Throughout this Recommendation, references to ship stations may include references to ship earth stations and references to aircraft stations may include references to aircraft earth stations.</w:t>
            </w:r>
          </w:p>
        </w:tc>
        <w:tc>
          <w:tcPr>
            <w:tcW w:w="8538" w:type="dxa"/>
            <w:shd w:val="clear" w:color="auto" w:fill="auto"/>
          </w:tcPr>
          <w:p w14:paraId="391F2850" w14:textId="3380D8F3" w:rsidR="00443FF7" w:rsidRPr="001E194B" w:rsidRDefault="00443FF7" w:rsidP="00443FF7">
            <w:pPr>
              <w:pStyle w:val="Tabletext"/>
              <w:spacing w:before="60"/>
              <w:jc w:val="both"/>
              <w:rPr>
                <w:i/>
                <w:iCs/>
                <w:lang w:eastAsia="zh-CN"/>
              </w:rPr>
            </w:pPr>
            <w:r>
              <w:rPr>
                <w:lang w:val="en-US" w:eastAsia="zh-CN"/>
              </w:rPr>
              <w:tab/>
            </w:r>
            <w:r w:rsidRPr="001E194B">
              <w:rPr>
                <w:i/>
                <w:iCs/>
                <w:lang w:eastAsia="zh-CN"/>
              </w:rPr>
              <w:t>recommends</w:t>
            </w:r>
          </w:p>
          <w:p w14:paraId="54621C50" w14:textId="048832E0" w:rsidR="00443FF7" w:rsidRPr="001E194B" w:rsidRDefault="00443FF7" w:rsidP="00443FF7">
            <w:pPr>
              <w:pStyle w:val="Tabletext"/>
              <w:spacing w:before="60"/>
              <w:jc w:val="both"/>
              <w:rPr>
                <w:lang w:eastAsia="zh-CN"/>
              </w:rPr>
            </w:pPr>
            <w:r w:rsidRPr="001E194B">
              <w:rPr>
                <w:lang w:eastAsia="zh-CN"/>
              </w:rPr>
              <w:t>1</w:t>
            </w:r>
            <w:r>
              <w:rPr>
                <w:lang w:val="en-US" w:eastAsia="zh-CN"/>
              </w:rPr>
              <w:tab/>
            </w:r>
            <w:r w:rsidRPr="001E194B">
              <w:rPr>
                <w:lang w:eastAsia="zh-CN"/>
              </w:rPr>
              <w:t>that administrations which find these forms practicable and acceptable should adopt them</w:t>
            </w:r>
            <w:r>
              <w:rPr>
                <w:lang w:eastAsia="zh-CN"/>
              </w:rPr>
              <w:t xml:space="preserve"> </w:t>
            </w:r>
            <w:r w:rsidRPr="001E194B">
              <w:rPr>
                <w:lang w:eastAsia="zh-CN"/>
              </w:rPr>
              <w:t>for international use;</w:t>
            </w:r>
          </w:p>
          <w:p w14:paraId="7750CDF0" w14:textId="428BB744" w:rsidR="00443FF7" w:rsidRPr="004B1FC2" w:rsidRDefault="00443FF7" w:rsidP="00443FF7">
            <w:pPr>
              <w:pStyle w:val="Tabletext"/>
              <w:spacing w:before="60"/>
              <w:jc w:val="both"/>
              <w:rPr>
                <w:lang w:eastAsia="zh-CN"/>
              </w:rPr>
            </w:pPr>
            <w:r w:rsidRPr="001E194B">
              <w:rPr>
                <w:lang w:eastAsia="zh-CN"/>
              </w:rPr>
              <w:t>2</w:t>
            </w:r>
            <w:r>
              <w:rPr>
                <w:lang w:val="en-US" w:eastAsia="zh-CN"/>
              </w:rPr>
              <w:tab/>
            </w:r>
            <w:r w:rsidRPr="001E194B">
              <w:rPr>
                <w:lang w:eastAsia="zh-CN"/>
              </w:rPr>
              <w:t>that administrations should, as far as possible, endeavour to bring their national licence</w:t>
            </w:r>
            <w:r>
              <w:rPr>
                <w:lang w:eastAsia="zh-CN"/>
              </w:rPr>
              <w:t xml:space="preserve"> </w:t>
            </w:r>
            <w:r w:rsidRPr="001E194B">
              <w:rPr>
                <w:lang w:eastAsia="zh-CN"/>
              </w:rPr>
              <w:t>forms into line with these standard forms.</w:t>
            </w:r>
          </w:p>
        </w:tc>
        <w:tc>
          <w:tcPr>
            <w:tcW w:w="961" w:type="dxa"/>
            <w:shd w:val="clear" w:color="auto" w:fill="auto"/>
          </w:tcPr>
          <w:p w14:paraId="71F96BF7" w14:textId="30433C95" w:rsidR="00443FF7" w:rsidRPr="00867111" w:rsidRDefault="00443FF7" w:rsidP="00443FF7">
            <w:pPr>
              <w:pStyle w:val="Tabletext"/>
              <w:jc w:val="center"/>
              <w:rPr>
                <w:b/>
                <w:bCs/>
                <w:lang w:val="fr-FR" w:eastAsia="zh-CN"/>
              </w:rPr>
            </w:pPr>
            <w:r w:rsidRPr="00D553CE">
              <w:rPr>
                <w:lang w:val="fr-FR" w:eastAsia="zh-CN"/>
              </w:rPr>
              <w:t>−</w:t>
            </w:r>
          </w:p>
        </w:tc>
        <w:tc>
          <w:tcPr>
            <w:tcW w:w="1416" w:type="dxa"/>
            <w:shd w:val="clear" w:color="auto" w:fill="auto"/>
          </w:tcPr>
          <w:p w14:paraId="5C97D471" w14:textId="791290F2" w:rsidR="00443FF7" w:rsidRPr="00B867A8" w:rsidRDefault="00443FF7" w:rsidP="00443FF7">
            <w:pPr>
              <w:pStyle w:val="Tabletext"/>
              <w:jc w:val="center"/>
              <w:rPr>
                <w:bCs/>
                <w:lang w:val="fr-FR" w:eastAsia="zh-CN"/>
              </w:rPr>
            </w:pPr>
            <w:r>
              <w:rPr>
                <w:lang w:val="fr-FR"/>
              </w:rPr>
              <w:t>5</w:t>
            </w:r>
          </w:p>
        </w:tc>
      </w:tr>
      <w:tr w:rsidR="00443FF7" w14:paraId="188A4B62" w14:textId="47BDE35E" w:rsidTr="00C559F9">
        <w:tc>
          <w:tcPr>
            <w:tcW w:w="1801" w:type="dxa"/>
            <w:shd w:val="clear" w:color="auto" w:fill="DAEEF3" w:themeFill="accent5" w:themeFillTint="33"/>
          </w:tcPr>
          <w:p w14:paraId="5A569C31" w14:textId="25EFE2ED" w:rsidR="00443FF7" w:rsidRPr="00C559F9" w:rsidRDefault="00443FF7" w:rsidP="00443FF7">
            <w:pPr>
              <w:pStyle w:val="Tabletext"/>
              <w:rPr>
                <w:rStyle w:val="href"/>
                <w:b/>
                <w:spacing w:val="-6"/>
                <w:lang w:val="en-US"/>
              </w:rPr>
            </w:pPr>
            <w:r w:rsidRPr="00C559F9">
              <w:rPr>
                <w:rStyle w:val="href"/>
                <w:b/>
                <w:spacing w:val="-6"/>
                <w:lang w:val="en-US"/>
              </w:rPr>
              <w:t xml:space="preserve">8 </w:t>
            </w:r>
            <w:r w:rsidRPr="00C559F9">
              <w:rPr>
                <w:rStyle w:val="href"/>
                <w:b/>
                <w:spacing w:val="-6"/>
                <w:highlight w:val="yellow"/>
                <w:lang w:val="en-US"/>
              </w:rPr>
              <w:t>(WARC-79)</w:t>
            </w:r>
          </w:p>
        </w:tc>
        <w:tc>
          <w:tcPr>
            <w:tcW w:w="2730" w:type="dxa"/>
            <w:shd w:val="clear" w:color="auto" w:fill="DAEEF3" w:themeFill="accent5" w:themeFillTint="33"/>
          </w:tcPr>
          <w:p w14:paraId="47B2E7D4" w14:textId="48041DD8" w:rsidR="00443FF7" w:rsidRPr="000D37C8" w:rsidRDefault="00443FF7" w:rsidP="00443FF7">
            <w:pPr>
              <w:pStyle w:val="Tabletext"/>
              <w:rPr>
                <w:lang w:eastAsia="zh-CN"/>
              </w:rPr>
            </w:pPr>
            <w:r w:rsidRPr="00F745D1">
              <w:rPr>
                <w:lang w:eastAsia="zh-CN"/>
              </w:rPr>
              <w:t>Relating to automatic identification of stations</w:t>
            </w:r>
          </w:p>
        </w:tc>
        <w:tc>
          <w:tcPr>
            <w:tcW w:w="8538" w:type="dxa"/>
            <w:shd w:val="clear" w:color="auto" w:fill="DAEEF3" w:themeFill="accent5" w:themeFillTint="33"/>
          </w:tcPr>
          <w:p w14:paraId="11ABE06C" w14:textId="7AFE2CA2" w:rsidR="00443FF7" w:rsidRPr="00F745D1" w:rsidRDefault="00443FF7" w:rsidP="00443FF7">
            <w:pPr>
              <w:pStyle w:val="Tabletext"/>
              <w:spacing w:before="60"/>
              <w:jc w:val="both"/>
              <w:rPr>
                <w:i/>
                <w:iCs/>
                <w:lang w:eastAsia="zh-CN"/>
              </w:rPr>
            </w:pPr>
            <w:r>
              <w:rPr>
                <w:lang w:val="en-US" w:eastAsia="zh-CN"/>
              </w:rPr>
              <w:tab/>
            </w:r>
            <w:r w:rsidRPr="00F745D1">
              <w:rPr>
                <w:i/>
                <w:iCs/>
                <w:lang w:eastAsia="zh-CN"/>
              </w:rPr>
              <w:t>recommends</w:t>
            </w:r>
          </w:p>
          <w:p w14:paraId="35749CAA" w14:textId="1F44D6AA" w:rsidR="00443FF7" w:rsidRPr="004B1FC2" w:rsidRDefault="00443FF7" w:rsidP="00443FF7">
            <w:pPr>
              <w:pStyle w:val="Tabletext"/>
              <w:spacing w:before="60"/>
              <w:jc w:val="both"/>
              <w:rPr>
                <w:lang w:eastAsia="zh-CN"/>
              </w:rPr>
            </w:pPr>
            <w:r w:rsidRPr="00F745D1">
              <w:rPr>
                <w:lang w:eastAsia="zh-CN"/>
              </w:rPr>
              <w:t>that the ITU-R study the matter of automatic identification of stations with a view to recommending</w:t>
            </w:r>
            <w:r>
              <w:rPr>
                <w:lang w:eastAsia="zh-CN"/>
              </w:rPr>
              <w:t xml:space="preserve"> </w:t>
            </w:r>
            <w:r w:rsidRPr="00F745D1">
              <w:rPr>
                <w:lang w:eastAsia="zh-CN"/>
              </w:rPr>
              <w:t>technical characteristics and methods of implementing a common universal system, including</w:t>
            </w:r>
            <w:r>
              <w:rPr>
                <w:lang w:eastAsia="zh-CN"/>
              </w:rPr>
              <w:t xml:space="preserve"> </w:t>
            </w:r>
            <w:r w:rsidRPr="00F745D1">
              <w:rPr>
                <w:lang w:eastAsia="zh-CN"/>
              </w:rPr>
              <w:t xml:space="preserve">standard modulation techniques, for application in accordance with Article </w:t>
            </w:r>
            <w:r w:rsidRPr="00F745D1">
              <w:rPr>
                <w:b/>
                <w:bCs/>
                <w:lang w:eastAsia="zh-CN"/>
              </w:rPr>
              <w:t>19</w:t>
            </w:r>
            <w:r w:rsidRPr="00F745D1">
              <w:rPr>
                <w:lang w:eastAsia="zh-CN"/>
              </w:rPr>
              <w:t>, with due consideration</w:t>
            </w:r>
            <w:r>
              <w:rPr>
                <w:lang w:eastAsia="zh-CN"/>
              </w:rPr>
              <w:t xml:space="preserve"> </w:t>
            </w:r>
            <w:r w:rsidRPr="00F745D1">
              <w:rPr>
                <w:lang w:eastAsia="zh-CN"/>
              </w:rPr>
              <w:t>to the needs of the different services and types of stations.</w:t>
            </w:r>
          </w:p>
        </w:tc>
        <w:tc>
          <w:tcPr>
            <w:tcW w:w="961" w:type="dxa"/>
            <w:shd w:val="clear" w:color="auto" w:fill="DAEEF3" w:themeFill="accent5" w:themeFillTint="33"/>
          </w:tcPr>
          <w:p w14:paraId="55AAE7C5" w14:textId="1E77E4C4" w:rsidR="00443FF7" w:rsidRPr="00867111" w:rsidRDefault="00443FF7" w:rsidP="00443FF7">
            <w:pPr>
              <w:pStyle w:val="Tabletext"/>
              <w:jc w:val="center"/>
              <w:rPr>
                <w:b/>
                <w:bCs/>
                <w:lang w:val="fr-FR" w:eastAsia="zh-CN"/>
              </w:rPr>
            </w:pPr>
            <w:r w:rsidRPr="00D553CE">
              <w:rPr>
                <w:lang w:val="fr-FR" w:eastAsia="zh-CN"/>
              </w:rPr>
              <w:t>−</w:t>
            </w:r>
          </w:p>
        </w:tc>
        <w:tc>
          <w:tcPr>
            <w:tcW w:w="1416" w:type="dxa"/>
            <w:shd w:val="clear" w:color="auto" w:fill="DAEEF3" w:themeFill="accent5" w:themeFillTint="33"/>
          </w:tcPr>
          <w:p w14:paraId="57D1D5A6" w14:textId="7CF29719" w:rsidR="00443FF7" w:rsidRDefault="00443FF7" w:rsidP="00443FF7">
            <w:pPr>
              <w:pStyle w:val="Tabletext"/>
              <w:jc w:val="center"/>
              <w:rPr>
                <w:lang w:val="en-US" w:eastAsia="zh-CN"/>
              </w:rPr>
            </w:pPr>
            <w:r>
              <w:rPr>
                <w:lang w:val="en-US" w:eastAsia="zh-CN"/>
              </w:rPr>
              <w:t>1</w:t>
            </w:r>
          </w:p>
          <w:p w14:paraId="011F5D18" w14:textId="7714152D" w:rsidR="00443FF7" w:rsidRPr="003C736F" w:rsidRDefault="00443FF7" w:rsidP="00443FF7">
            <w:pPr>
              <w:pStyle w:val="Tabletext"/>
              <w:jc w:val="center"/>
              <w:rPr>
                <w:bCs/>
                <w:color w:val="FF0000"/>
                <w:lang w:eastAsia="zh-CN"/>
              </w:rPr>
            </w:pPr>
            <w:r w:rsidRPr="003C736F">
              <w:rPr>
                <w:bCs/>
                <w:color w:val="FF0000"/>
                <w:lang w:eastAsia="zh-CN"/>
              </w:rPr>
              <w:t>AND</w:t>
            </w:r>
          </w:p>
          <w:p w14:paraId="5AC871B3" w14:textId="36E96D69" w:rsidR="00443FF7" w:rsidRPr="007C72CF" w:rsidRDefault="00443FF7" w:rsidP="00443FF7">
            <w:pPr>
              <w:pStyle w:val="Tabletext"/>
              <w:jc w:val="center"/>
              <w:rPr>
                <w:bCs/>
                <w:lang w:eastAsia="zh-CN"/>
              </w:rPr>
            </w:pPr>
            <w:r>
              <w:rPr>
                <w:bCs/>
                <w:lang w:eastAsia="zh-CN"/>
              </w:rPr>
              <w:t>2</w:t>
            </w:r>
          </w:p>
        </w:tc>
      </w:tr>
      <w:tr w:rsidR="00443FF7" w14:paraId="6A10F382" w14:textId="56BED716" w:rsidTr="00C559F9">
        <w:tc>
          <w:tcPr>
            <w:tcW w:w="1801" w:type="dxa"/>
            <w:shd w:val="clear" w:color="auto" w:fill="auto"/>
          </w:tcPr>
          <w:p w14:paraId="35EC1C35" w14:textId="443BCE73" w:rsidR="00443FF7" w:rsidRPr="00C559F9" w:rsidRDefault="00443FF7" w:rsidP="00443FF7">
            <w:pPr>
              <w:pStyle w:val="Tabletext"/>
              <w:rPr>
                <w:rStyle w:val="href"/>
                <w:b/>
                <w:spacing w:val="-6"/>
                <w:lang w:val="en-US"/>
              </w:rPr>
            </w:pPr>
            <w:r w:rsidRPr="00C559F9">
              <w:rPr>
                <w:rStyle w:val="href"/>
                <w:b/>
                <w:spacing w:val="-6"/>
                <w:lang w:val="en-US"/>
              </w:rPr>
              <w:t>9</w:t>
            </w:r>
            <w:r w:rsidRPr="00C559F9">
              <w:rPr>
                <w:rStyle w:val="href"/>
                <w:b/>
                <w:spacing w:val="-6"/>
              </w:rPr>
              <w:t xml:space="preserve"> </w:t>
            </w:r>
            <w:r w:rsidRPr="00C559F9">
              <w:rPr>
                <w:rStyle w:val="href"/>
                <w:b/>
                <w:spacing w:val="-6"/>
                <w:highlight w:val="yellow"/>
                <w:lang w:val="en-US"/>
              </w:rPr>
              <w:t>(WARC-79)</w:t>
            </w:r>
          </w:p>
        </w:tc>
        <w:tc>
          <w:tcPr>
            <w:tcW w:w="2730" w:type="dxa"/>
            <w:shd w:val="clear" w:color="auto" w:fill="auto"/>
          </w:tcPr>
          <w:p w14:paraId="0B3ADD41" w14:textId="77777777" w:rsidR="00443FF7" w:rsidRDefault="00443FF7" w:rsidP="00443FF7">
            <w:pPr>
              <w:pStyle w:val="Tabletext"/>
              <w:rPr>
                <w:vertAlign w:val="superscript"/>
                <w:lang w:eastAsia="zh-CN"/>
              </w:rPr>
            </w:pPr>
            <w:r>
              <w:rPr>
                <w:lang w:eastAsia="zh-CN"/>
              </w:rPr>
              <w:t>Relating to the measures to be taken to prevent the operation of broadcasting stations on board ships or aircraft outside national territories</w:t>
            </w:r>
            <w:r w:rsidRPr="00A8780F">
              <w:rPr>
                <w:vertAlign w:val="superscript"/>
                <w:lang w:eastAsia="zh-CN"/>
              </w:rPr>
              <w:t>1</w:t>
            </w:r>
          </w:p>
          <w:p w14:paraId="6C46B657" w14:textId="77777777" w:rsidR="00443FF7" w:rsidRDefault="00443FF7" w:rsidP="00443FF7">
            <w:pPr>
              <w:pStyle w:val="Tabletext"/>
              <w:rPr>
                <w:vertAlign w:val="superscript"/>
                <w:lang w:eastAsia="zh-CN"/>
              </w:rPr>
            </w:pPr>
          </w:p>
          <w:p w14:paraId="6FCE1C7E" w14:textId="77777777" w:rsidR="00443FF7" w:rsidRDefault="00443FF7" w:rsidP="00443FF7">
            <w:pPr>
              <w:pStyle w:val="Tabletext"/>
              <w:rPr>
                <w:vertAlign w:val="superscript"/>
                <w:lang w:eastAsia="zh-CN"/>
              </w:rPr>
            </w:pPr>
            <w:r>
              <w:rPr>
                <w:vertAlign w:val="superscript"/>
                <w:lang w:eastAsia="zh-CN"/>
              </w:rPr>
              <w:t>__________________________________</w:t>
            </w:r>
          </w:p>
          <w:p w14:paraId="3E02F2D3" w14:textId="5127F566" w:rsidR="00443FF7" w:rsidRDefault="00443FF7" w:rsidP="00443FF7">
            <w:pPr>
              <w:pStyle w:val="Tabletext"/>
              <w:rPr>
                <w:lang w:eastAsia="zh-CN"/>
              </w:rPr>
            </w:pPr>
            <w:r w:rsidRPr="00915DC6">
              <w:rPr>
                <w:sz w:val="18"/>
                <w:szCs w:val="18"/>
                <w:vertAlign w:val="superscript"/>
                <w:lang w:eastAsia="zh-CN"/>
              </w:rPr>
              <w:t xml:space="preserve">1 </w:t>
            </w:r>
            <w:r w:rsidRPr="00915DC6">
              <w:rPr>
                <w:sz w:val="18"/>
                <w:szCs w:val="18"/>
                <w:lang w:eastAsia="zh-CN"/>
              </w:rPr>
              <w:t>WRC-97 made editorial amendments to this Recommendation.</w:t>
            </w:r>
          </w:p>
        </w:tc>
        <w:tc>
          <w:tcPr>
            <w:tcW w:w="8538" w:type="dxa"/>
            <w:shd w:val="clear" w:color="auto" w:fill="auto"/>
          </w:tcPr>
          <w:p w14:paraId="4EDBB43E" w14:textId="2993D270" w:rsidR="00443FF7" w:rsidRPr="00A8780F" w:rsidRDefault="00443FF7" w:rsidP="00443FF7">
            <w:pPr>
              <w:pStyle w:val="Tabletext"/>
              <w:spacing w:before="60"/>
              <w:jc w:val="both"/>
              <w:rPr>
                <w:i/>
                <w:iCs/>
                <w:lang w:eastAsia="zh-CN"/>
              </w:rPr>
            </w:pPr>
            <w:r>
              <w:rPr>
                <w:lang w:val="en-US" w:eastAsia="zh-CN"/>
              </w:rPr>
              <w:tab/>
            </w:r>
            <w:r w:rsidRPr="00A8780F">
              <w:rPr>
                <w:i/>
                <w:iCs/>
                <w:lang w:eastAsia="zh-CN"/>
              </w:rPr>
              <w:t>recommends</w:t>
            </w:r>
          </w:p>
          <w:p w14:paraId="244CDBB2" w14:textId="6FCE1EC6" w:rsidR="00443FF7" w:rsidRPr="00A8780F" w:rsidRDefault="00443FF7" w:rsidP="00443FF7">
            <w:pPr>
              <w:pStyle w:val="Tabletext"/>
              <w:spacing w:before="60"/>
              <w:jc w:val="both"/>
              <w:rPr>
                <w:lang w:eastAsia="zh-CN"/>
              </w:rPr>
            </w:pPr>
            <w:r w:rsidRPr="00A8780F">
              <w:rPr>
                <w:lang w:eastAsia="zh-CN"/>
              </w:rPr>
              <w:t>1</w:t>
            </w:r>
            <w:r>
              <w:rPr>
                <w:lang w:val="en-US" w:eastAsia="zh-CN"/>
              </w:rPr>
              <w:tab/>
            </w:r>
            <w:r w:rsidRPr="00A8780F">
              <w:rPr>
                <w:lang w:eastAsia="zh-CN"/>
              </w:rPr>
              <w:t>that administrations ask their governments to study possible means, direct or indirect, to</w:t>
            </w:r>
            <w:r>
              <w:rPr>
                <w:lang w:eastAsia="zh-CN"/>
              </w:rPr>
              <w:t xml:space="preserve"> </w:t>
            </w:r>
            <w:r w:rsidRPr="00A8780F">
              <w:rPr>
                <w:lang w:eastAsia="zh-CN"/>
              </w:rPr>
              <w:t>prevent or suspend such operations and, where appropriate, take the necessary action;</w:t>
            </w:r>
          </w:p>
          <w:p w14:paraId="122A4CC4" w14:textId="5E092534" w:rsidR="00443FF7" w:rsidRPr="000D37C8" w:rsidRDefault="00443FF7" w:rsidP="00443FF7">
            <w:pPr>
              <w:pStyle w:val="Tabletext"/>
              <w:spacing w:before="60"/>
              <w:jc w:val="both"/>
              <w:rPr>
                <w:lang w:eastAsia="zh-CN"/>
              </w:rPr>
            </w:pPr>
            <w:r w:rsidRPr="00A8780F">
              <w:rPr>
                <w:lang w:eastAsia="zh-CN"/>
              </w:rPr>
              <w:t>2</w:t>
            </w:r>
            <w:r>
              <w:rPr>
                <w:lang w:val="en-US" w:eastAsia="zh-CN"/>
              </w:rPr>
              <w:tab/>
            </w:r>
            <w:r w:rsidRPr="00A8780F">
              <w:rPr>
                <w:lang w:eastAsia="zh-CN"/>
              </w:rPr>
              <w:t>that administrations inform the Secretary-General of the results of these studies and</w:t>
            </w:r>
            <w:r>
              <w:rPr>
                <w:lang w:eastAsia="zh-CN"/>
              </w:rPr>
              <w:t xml:space="preserve"> </w:t>
            </w:r>
            <w:r w:rsidRPr="00A8780F">
              <w:rPr>
                <w:lang w:eastAsia="zh-CN"/>
              </w:rPr>
              <w:t>submit any other information which may be of general interest, so that the Secretary-General can</w:t>
            </w:r>
            <w:r>
              <w:rPr>
                <w:lang w:eastAsia="zh-CN"/>
              </w:rPr>
              <w:t xml:space="preserve"> </w:t>
            </w:r>
            <w:r w:rsidRPr="00A8780F">
              <w:rPr>
                <w:lang w:eastAsia="zh-CN"/>
              </w:rPr>
              <w:t>inform Member States accordingly.</w:t>
            </w:r>
          </w:p>
        </w:tc>
        <w:tc>
          <w:tcPr>
            <w:tcW w:w="961" w:type="dxa"/>
            <w:shd w:val="clear" w:color="auto" w:fill="auto"/>
          </w:tcPr>
          <w:p w14:paraId="7BCFB2F2" w14:textId="788FF55D" w:rsidR="00443FF7" w:rsidRDefault="00443FF7" w:rsidP="00443FF7">
            <w:pPr>
              <w:pStyle w:val="Tabletext"/>
              <w:jc w:val="center"/>
              <w:rPr>
                <w:lang w:val="fr-FR" w:eastAsia="zh-CN"/>
              </w:rPr>
            </w:pPr>
            <w:r w:rsidRPr="00D553CE">
              <w:rPr>
                <w:lang w:val="fr-FR" w:eastAsia="zh-CN"/>
              </w:rPr>
              <w:t>−</w:t>
            </w:r>
          </w:p>
        </w:tc>
        <w:tc>
          <w:tcPr>
            <w:tcW w:w="1416" w:type="dxa"/>
            <w:shd w:val="clear" w:color="auto" w:fill="auto"/>
          </w:tcPr>
          <w:p w14:paraId="724E58E1" w14:textId="5E03041B" w:rsidR="00443FF7" w:rsidRPr="00B867A8" w:rsidRDefault="00443FF7" w:rsidP="00443FF7">
            <w:pPr>
              <w:pStyle w:val="Tabletext"/>
              <w:jc w:val="center"/>
              <w:rPr>
                <w:bCs/>
                <w:lang w:val="fr-FR" w:eastAsia="zh-CN"/>
              </w:rPr>
            </w:pPr>
            <w:r>
              <w:rPr>
                <w:lang w:val="fr-FR"/>
              </w:rPr>
              <w:t>5</w:t>
            </w:r>
          </w:p>
        </w:tc>
      </w:tr>
      <w:tr w:rsidR="00561B43" w14:paraId="451FD264" w14:textId="42B4B38A" w:rsidTr="00C559F9">
        <w:tc>
          <w:tcPr>
            <w:tcW w:w="1801" w:type="dxa"/>
            <w:shd w:val="clear" w:color="auto" w:fill="EEECE1" w:themeFill="background2"/>
          </w:tcPr>
          <w:p w14:paraId="01DFD65A" w14:textId="6BD28494" w:rsidR="00561B43" w:rsidRPr="00C559F9" w:rsidRDefault="00F02F32" w:rsidP="000D37C8">
            <w:pPr>
              <w:pStyle w:val="Tabletext"/>
              <w:rPr>
                <w:rStyle w:val="href"/>
                <w:b/>
                <w:spacing w:val="-6"/>
              </w:rPr>
            </w:pPr>
            <w:r w:rsidRPr="00C559F9">
              <w:rPr>
                <w:rStyle w:val="href"/>
                <w:b/>
                <w:spacing w:val="-6"/>
              </w:rPr>
              <w:t>16 (</w:t>
            </w:r>
            <w:r w:rsidR="007323CA" w:rsidRPr="00C559F9">
              <w:rPr>
                <w:rStyle w:val="href"/>
                <w:b/>
                <w:spacing w:val="-6"/>
              </w:rPr>
              <w:t>Rev.</w:t>
            </w:r>
            <w:r w:rsidRPr="00C559F9">
              <w:rPr>
                <w:rStyle w:val="href"/>
                <w:b/>
                <w:spacing w:val="-6"/>
              </w:rPr>
              <w:t>WRC-19)</w:t>
            </w:r>
          </w:p>
        </w:tc>
        <w:tc>
          <w:tcPr>
            <w:tcW w:w="2730" w:type="dxa"/>
            <w:shd w:val="clear" w:color="auto" w:fill="EEECE1" w:themeFill="background2"/>
          </w:tcPr>
          <w:p w14:paraId="032EE46F" w14:textId="20281949" w:rsidR="00561B43" w:rsidRPr="000D37C8" w:rsidRDefault="007C72CF" w:rsidP="007C72CF">
            <w:pPr>
              <w:pStyle w:val="Tabletext"/>
              <w:rPr>
                <w:lang w:eastAsia="zh-CN"/>
              </w:rPr>
            </w:pPr>
            <w:r>
              <w:rPr>
                <w:lang w:eastAsia="zh-CN"/>
              </w:rPr>
              <w:t>Interference management for stations that may operate under more than one terrestrial radiocommunication service</w:t>
            </w:r>
          </w:p>
        </w:tc>
        <w:tc>
          <w:tcPr>
            <w:tcW w:w="8538" w:type="dxa"/>
            <w:shd w:val="clear" w:color="auto" w:fill="EEECE1" w:themeFill="background2"/>
          </w:tcPr>
          <w:p w14:paraId="32725505" w14:textId="4C41897C" w:rsidR="007C72CF" w:rsidRPr="007C72CF" w:rsidRDefault="007C72CF" w:rsidP="007C72CF">
            <w:pPr>
              <w:pStyle w:val="Tabletext"/>
              <w:spacing w:before="60"/>
              <w:jc w:val="both"/>
              <w:rPr>
                <w:i/>
                <w:iCs/>
                <w:lang w:eastAsia="zh-CN"/>
              </w:rPr>
            </w:pPr>
            <w:r>
              <w:rPr>
                <w:lang w:val="en-US" w:eastAsia="zh-CN"/>
              </w:rPr>
              <w:tab/>
            </w:r>
            <w:r w:rsidRPr="007C72CF">
              <w:rPr>
                <w:i/>
                <w:iCs/>
                <w:lang w:eastAsia="zh-CN"/>
              </w:rPr>
              <w:t>recommends</w:t>
            </w:r>
          </w:p>
          <w:p w14:paraId="5415C206" w14:textId="3B212DC6" w:rsidR="007C72CF" w:rsidRPr="007C72CF" w:rsidRDefault="007C72CF" w:rsidP="007C72CF">
            <w:pPr>
              <w:pStyle w:val="Tabletext"/>
              <w:spacing w:before="60"/>
              <w:jc w:val="both"/>
              <w:rPr>
                <w:lang w:eastAsia="zh-CN"/>
              </w:rPr>
            </w:pPr>
            <w:r w:rsidRPr="007C72CF">
              <w:rPr>
                <w:lang w:eastAsia="zh-CN"/>
              </w:rPr>
              <w:t>that ITU-R study all aspects of interference management resulting from the impact of technical</w:t>
            </w:r>
            <w:r>
              <w:rPr>
                <w:lang w:eastAsia="zh-CN"/>
              </w:rPr>
              <w:t xml:space="preserve"> </w:t>
            </w:r>
            <w:r w:rsidRPr="007C72CF">
              <w:rPr>
                <w:lang w:eastAsia="zh-CN"/>
              </w:rPr>
              <w:t>convergence on the radio regulatory environment, involving stations that may operate under more</w:t>
            </w:r>
            <w:r>
              <w:rPr>
                <w:lang w:eastAsia="zh-CN"/>
              </w:rPr>
              <w:t xml:space="preserve"> </w:t>
            </w:r>
            <w:r w:rsidRPr="007C72CF">
              <w:rPr>
                <w:lang w:eastAsia="zh-CN"/>
              </w:rPr>
              <w:t>than one terrestrial radiocommunication service, particularly cross-border interference cases, to</w:t>
            </w:r>
            <w:r>
              <w:rPr>
                <w:lang w:eastAsia="zh-CN"/>
              </w:rPr>
              <w:t xml:space="preserve"> </w:t>
            </w:r>
            <w:r w:rsidRPr="007C72CF">
              <w:rPr>
                <w:lang w:eastAsia="zh-CN"/>
              </w:rPr>
              <w:t>ensure harmful interference is not caused to stations of other Member States,</w:t>
            </w:r>
          </w:p>
          <w:p w14:paraId="61C13D77" w14:textId="0944402E" w:rsidR="007C72CF" w:rsidRPr="007C72CF" w:rsidRDefault="007C72CF" w:rsidP="007C72CF">
            <w:pPr>
              <w:pStyle w:val="Tabletext"/>
              <w:spacing w:before="60"/>
              <w:jc w:val="both"/>
              <w:rPr>
                <w:i/>
                <w:iCs/>
                <w:lang w:eastAsia="zh-CN"/>
              </w:rPr>
            </w:pPr>
            <w:r>
              <w:rPr>
                <w:lang w:val="en-US" w:eastAsia="zh-CN"/>
              </w:rPr>
              <w:tab/>
            </w:r>
            <w:r w:rsidRPr="007C72CF">
              <w:rPr>
                <w:i/>
                <w:iCs/>
                <w:lang w:eastAsia="zh-CN"/>
              </w:rPr>
              <w:t>invites administrations</w:t>
            </w:r>
          </w:p>
          <w:p w14:paraId="38FE3079" w14:textId="4D5FDD8A" w:rsidR="00561B43" w:rsidRPr="007C72CF" w:rsidRDefault="007C72CF" w:rsidP="007C72CF">
            <w:pPr>
              <w:pStyle w:val="Tabletext"/>
              <w:spacing w:before="60"/>
              <w:jc w:val="both"/>
              <w:rPr>
                <w:lang w:eastAsia="zh-CN"/>
              </w:rPr>
            </w:pPr>
            <w:r w:rsidRPr="007C72CF">
              <w:rPr>
                <w:lang w:eastAsia="zh-CN"/>
              </w:rPr>
              <w:t>to participate actively in the studies by submitting contributions to ITU-R.</w:t>
            </w:r>
          </w:p>
        </w:tc>
        <w:tc>
          <w:tcPr>
            <w:tcW w:w="961" w:type="dxa"/>
            <w:shd w:val="clear" w:color="auto" w:fill="EEECE1" w:themeFill="background2"/>
          </w:tcPr>
          <w:p w14:paraId="0A965AA3" w14:textId="21B02155" w:rsidR="00561B43" w:rsidRPr="003E0DC1" w:rsidRDefault="003E0DC1" w:rsidP="00A817D3">
            <w:pPr>
              <w:pStyle w:val="Tabletext"/>
              <w:jc w:val="center"/>
              <w:rPr>
                <w:lang w:val="fr-FR" w:eastAsia="zh-CN"/>
              </w:rPr>
            </w:pPr>
            <w:r w:rsidRPr="003E0DC1">
              <w:rPr>
                <w:lang w:val="fr-FR" w:eastAsia="zh-CN"/>
              </w:rPr>
              <w:t xml:space="preserve">See Doc. </w:t>
            </w:r>
            <w:hyperlink r:id="rId13" w:history="1">
              <w:r w:rsidRPr="003E0DC1">
                <w:rPr>
                  <w:rStyle w:val="Hyperlink"/>
                  <w:lang w:val="fr-FR" w:eastAsia="zh-CN"/>
                </w:rPr>
                <w:t>5/1</w:t>
              </w:r>
            </w:hyperlink>
          </w:p>
        </w:tc>
        <w:tc>
          <w:tcPr>
            <w:tcW w:w="1416" w:type="dxa"/>
            <w:shd w:val="clear" w:color="auto" w:fill="EEECE1" w:themeFill="background2"/>
          </w:tcPr>
          <w:p w14:paraId="29587C17" w14:textId="18EDDA18" w:rsidR="00561B43" w:rsidRPr="00B867A8" w:rsidRDefault="003C736F" w:rsidP="00C559F9">
            <w:pPr>
              <w:pStyle w:val="Tabletext"/>
              <w:jc w:val="center"/>
              <w:rPr>
                <w:bCs/>
                <w:lang w:val="fr-FR" w:eastAsia="zh-CN"/>
              </w:rPr>
            </w:pPr>
            <w:r w:rsidRPr="003C736F">
              <w:rPr>
                <w:lang w:val="en-US" w:eastAsia="zh-CN"/>
              </w:rPr>
              <w:t>1</w:t>
            </w:r>
          </w:p>
        </w:tc>
      </w:tr>
      <w:tr w:rsidR="00561B43" w14:paraId="160F3744" w14:textId="429D58B8" w:rsidTr="00C559F9">
        <w:tc>
          <w:tcPr>
            <w:tcW w:w="1801" w:type="dxa"/>
            <w:shd w:val="clear" w:color="auto" w:fill="EEECE1" w:themeFill="background2"/>
          </w:tcPr>
          <w:p w14:paraId="2E521C11" w14:textId="7CFB906B" w:rsidR="00561B43" w:rsidRPr="00C559F9" w:rsidRDefault="007C72CF" w:rsidP="000D37C8">
            <w:pPr>
              <w:pStyle w:val="Tabletext"/>
              <w:rPr>
                <w:rStyle w:val="href"/>
                <w:b/>
                <w:spacing w:val="-6"/>
                <w:szCs w:val="28"/>
              </w:rPr>
            </w:pPr>
            <w:r w:rsidRPr="00C559F9">
              <w:rPr>
                <w:rStyle w:val="href"/>
                <w:b/>
                <w:spacing w:val="-6"/>
                <w:szCs w:val="28"/>
              </w:rPr>
              <w:lastRenderedPageBreak/>
              <w:t>34 (</w:t>
            </w:r>
            <w:r w:rsidR="007323CA" w:rsidRPr="00C559F9">
              <w:rPr>
                <w:rStyle w:val="href"/>
                <w:b/>
                <w:spacing w:val="-6"/>
                <w:szCs w:val="28"/>
              </w:rPr>
              <w:t>Rev.</w:t>
            </w:r>
            <w:r w:rsidRPr="00C559F9">
              <w:rPr>
                <w:rStyle w:val="href"/>
                <w:b/>
                <w:spacing w:val="-6"/>
                <w:szCs w:val="28"/>
              </w:rPr>
              <w:t>WRC-</w:t>
            </w:r>
            <w:r w:rsidR="004B1FC2">
              <w:rPr>
                <w:rStyle w:val="href"/>
                <w:b/>
                <w:spacing w:val="-6"/>
                <w:szCs w:val="28"/>
              </w:rPr>
              <w:t>23</w:t>
            </w:r>
            <w:r w:rsidRPr="00C559F9">
              <w:rPr>
                <w:rStyle w:val="href"/>
                <w:b/>
                <w:spacing w:val="-6"/>
                <w:szCs w:val="28"/>
              </w:rPr>
              <w:t>)</w:t>
            </w:r>
          </w:p>
        </w:tc>
        <w:tc>
          <w:tcPr>
            <w:tcW w:w="2730" w:type="dxa"/>
            <w:shd w:val="clear" w:color="auto" w:fill="EEECE1" w:themeFill="background2"/>
          </w:tcPr>
          <w:p w14:paraId="1F0B86C7" w14:textId="3AD5DEBC" w:rsidR="00561B43" w:rsidRPr="000D37C8" w:rsidRDefault="007C72CF" w:rsidP="000D37C8">
            <w:pPr>
              <w:pStyle w:val="Tabletext"/>
              <w:rPr>
                <w:lang w:eastAsia="zh-CN"/>
              </w:rPr>
            </w:pPr>
            <w:r w:rsidRPr="007C72CF">
              <w:rPr>
                <w:lang w:eastAsia="zh-CN"/>
              </w:rPr>
              <w:t>Principles for the allocation of frequency bands</w:t>
            </w:r>
          </w:p>
        </w:tc>
        <w:tc>
          <w:tcPr>
            <w:tcW w:w="8538" w:type="dxa"/>
            <w:shd w:val="clear" w:color="auto" w:fill="EEECE1" w:themeFill="background2"/>
          </w:tcPr>
          <w:p w14:paraId="2B9572FE" w14:textId="56A47604" w:rsidR="007C72CF" w:rsidRPr="007C72CF" w:rsidRDefault="007C72CF" w:rsidP="00DF1357">
            <w:pPr>
              <w:pStyle w:val="Tabletext"/>
              <w:keepNext/>
              <w:keepLines/>
              <w:spacing w:before="60"/>
              <w:jc w:val="both"/>
              <w:rPr>
                <w:i/>
                <w:iCs/>
                <w:lang w:eastAsia="zh-CN"/>
              </w:rPr>
            </w:pPr>
            <w:r>
              <w:rPr>
                <w:lang w:val="en-US" w:eastAsia="zh-CN"/>
              </w:rPr>
              <w:tab/>
            </w:r>
            <w:r w:rsidRPr="007C72CF">
              <w:rPr>
                <w:i/>
                <w:iCs/>
                <w:lang w:eastAsia="zh-CN"/>
              </w:rPr>
              <w:t>recommends that future world radiocommunication conferences</w:t>
            </w:r>
          </w:p>
          <w:p w14:paraId="7A654D88" w14:textId="08195EE2" w:rsidR="007C72CF" w:rsidRPr="007C72CF" w:rsidRDefault="007C72CF" w:rsidP="007C72CF">
            <w:pPr>
              <w:pStyle w:val="Tabletext"/>
              <w:spacing w:before="60"/>
              <w:jc w:val="both"/>
              <w:rPr>
                <w:lang w:eastAsia="zh-CN"/>
              </w:rPr>
            </w:pPr>
            <w:r w:rsidRPr="007C72CF">
              <w:rPr>
                <w:lang w:eastAsia="zh-CN"/>
              </w:rPr>
              <w:t>1</w:t>
            </w:r>
            <w:r>
              <w:rPr>
                <w:lang w:val="en-US" w:eastAsia="zh-CN"/>
              </w:rPr>
              <w:tab/>
            </w:r>
            <w:r w:rsidRPr="007C72CF">
              <w:rPr>
                <w:lang w:eastAsia="zh-CN"/>
              </w:rPr>
              <w:t>should, wherever possible, allocate frequency bands to the most broadly defined services</w:t>
            </w:r>
            <w:r>
              <w:rPr>
                <w:lang w:eastAsia="zh-CN"/>
              </w:rPr>
              <w:t xml:space="preserve"> </w:t>
            </w:r>
            <w:r w:rsidRPr="007C72CF">
              <w:rPr>
                <w:lang w:eastAsia="zh-CN"/>
              </w:rPr>
              <w:t>with a view to providing the maximum flexibility to administrations in spectrum use, taking into</w:t>
            </w:r>
            <w:r>
              <w:rPr>
                <w:lang w:eastAsia="zh-CN"/>
              </w:rPr>
              <w:t xml:space="preserve"> </w:t>
            </w:r>
            <w:r w:rsidRPr="007C72CF">
              <w:rPr>
                <w:lang w:eastAsia="zh-CN"/>
              </w:rPr>
              <w:t xml:space="preserve">account safety, technical, operational, economic and other relevant </w:t>
            </w:r>
            <w:proofErr w:type="gramStart"/>
            <w:r w:rsidRPr="007C72CF">
              <w:rPr>
                <w:lang w:eastAsia="zh-CN"/>
              </w:rPr>
              <w:t>factors;</w:t>
            </w:r>
            <w:proofErr w:type="gramEnd"/>
          </w:p>
          <w:p w14:paraId="0EFA2097" w14:textId="0BCBF907" w:rsidR="007C72CF" w:rsidRPr="007C72CF" w:rsidRDefault="007C72CF" w:rsidP="007C72CF">
            <w:pPr>
              <w:pStyle w:val="Tabletext"/>
              <w:spacing w:before="60"/>
              <w:jc w:val="both"/>
              <w:rPr>
                <w:lang w:eastAsia="zh-CN"/>
              </w:rPr>
            </w:pPr>
            <w:r w:rsidRPr="007C72CF">
              <w:rPr>
                <w:lang w:eastAsia="zh-CN"/>
              </w:rPr>
              <w:t>2</w:t>
            </w:r>
            <w:r>
              <w:rPr>
                <w:lang w:val="en-US" w:eastAsia="zh-CN"/>
              </w:rPr>
              <w:tab/>
            </w:r>
            <w:r w:rsidRPr="007C72CF">
              <w:rPr>
                <w:lang w:eastAsia="zh-CN"/>
              </w:rPr>
              <w:t>should, wherever possible, allocate frequency bands on a worldwide basis (aligned</w:t>
            </w:r>
            <w:r>
              <w:rPr>
                <w:lang w:eastAsia="zh-CN"/>
              </w:rPr>
              <w:t xml:space="preserve"> </w:t>
            </w:r>
            <w:r w:rsidRPr="007C72CF">
              <w:rPr>
                <w:lang w:eastAsia="zh-CN"/>
              </w:rPr>
              <w:t>services, categories of service and frequency band limits) taking into account safety, technical,</w:t>
            </w:r>
            <w:r>
              <w:rPr>
                <w:lang w:eastAsia="zh-CN"/>
              </w:rPr>
              <w:t xml:space="preserve"> </w:t>
            </w:r>
            <w:r w:rsidRPr="007C72CF">
              <w:rPr>
                <w:lang w:eastAsia="zh-CN"/>
              </w:rPr>
              <w:t xml:space="preserve">operational, economic and other relevant </w:t>
            </w:r>
            <w:proofErr w:type="gramStart"/>
            <w:r w:rsidRPr="007C72CF">
              <w:rPr>
                <w:lang w:eastAsia="zh-CN"/>
              </w:rPr>
              <w:t>factors;</w:t>
            </w:r>
            <w:proofErr w:type="gramEnd"/>
          </w:p>
          <w:p w14:paraId="0807D08F" w14:textId="59E05134" w:rsidR="00561B43" w:rsidRDefault="007C72CF" w:rsidP="007C72CF">
            <w:pPr>
              <w:pStyle w:val="Tabletext"/>
              <w:spacing w:before="60"/>
              <w:jc w:val="both"/>
              <w:rPr>
                <w:lang w:eastAsia="zh-CN"/>
              </w:rPr>
            </w:pPr>
            <w:r w:rsidRPr="007C72CF">
              <w:rPr>
                <w:lang w:eastAsia="zh-CN"/>
              </w:rPr>
              <w:t>3</w:t>
            </w:r>
            <w:r>
              <w:rPr>
                <w:lang w:val="en-US" w:eastAsia="zh-CN"/>
              </w:rPr>
              <w:tab/>
            </w:r>
            <w:r w:rsidRPr="007C72CF">
              <w:rPr>
                <w:lang w:eastAsia="zh-CN"/>
              </w:rPr>
              <w:t xml:space="preserve">should, wherever possible, keep the number of footnotes in Article </w:t>
            </w:r>
            <w:r w:rsidRPr="007C72CF">
              <w:rPr>
                <w:b/>
                <w:bCs/>
                <w:lang w:eastAsia="zh-CN"/>
              </w:rPr>
              <w:t xml:space="preserve">5 </w:t>
            </w:r>
            <w:r w:rsidRPr="007C72CF">
              <w:rPr>
                <w:lang w:eastAsia="zh-CN"/>
              </w:rPr>
              <w:t>to a minimum when</w:t>
            </w:r>
            <w:r>
              <w:rPr>
                <w:lang w:eastAsia="zh-CN"/>
              </w:rPr>
              <w:t xml:space="preserve"> </w:t>
            </w:r>
            <w:r w:rsidRPr="007C72CF">
              <w:rPr>
                <w:lang w:eastAsia="zh-CN"/>
              </w:rPr>
              <w:t xml:space="preserve">allocating frequency bands through footnotes, in line with Resolution </w:t>
            </w:r>
            <w:r w:rsidRPr="007C72CF">
              <w:rPr>
                <w:b/>
                <w:bCs/>
                <w:lang w:eastAsia="zh-CN"/>
              </w:rPr>
              <w:t>26 (Rev.WRC-</w:t>
            </w:r>
            <w:r w:rsidR="00852C02">
              <w:rPr>
                <w:b/>
                <w:bCs/>
                <w:lang w:eastAsia="zh-CN"/>
              </w:rPr>
              <w:t>23</w:t>
            </w:r>
            <w:proofErr w:type="gramStart"/>
            <w:r w:rsidRPr="007C72CF">
              <w:rPr>
                <w:b/>
                <w:bCs/>
                <w:lang w:eastAsia="zh-CN"/>
              </w:rPr>
              <w:t>)</w:t>
            </w:r>
            <w:r w:rsidRPr="007C72CF">
              <w:rPr>
                <w:lang w:eastAsia="zh-CN"/>
              </w:rPr>
              <w:t>;</w:t>
            </w:r>
            <w:proofErr w:type="gramEnd"/>
          </w:p>
          <w:p w14:paraId="5AC8F550" w14:textId="7C0A1C54" w:rsidR="007C72CF" w:rsidRPr="007C72CF" w:rsidRDefault="007C72CF" w:rsidP="007C72CF">
            <w:pPr>
              <w:pStyle w:val="Tabletext"/>
              <w:spacing w:before="60"/>
              <w:jc w:val="both"/>
              <w:rPr>
                <w:lang w:eastAsia="zh-CN"/>
              </w:rPr>
            </w:pPr>
            <w:r w:rsidRPr="007C72CF">
              <w:rPr>
                <w:lang w:eastAsia="zh-CN"/>
              </w:rPr>
              <w:t>4</w:t>
            </w:r>
            <w:r>
              <w:rPr>
                <w:lang w:val="en-US" w:eastAsia="zh-CN"/>
              </w:rPr>
              <w:tab/>
            </w:r>
            <w:r w:rsidRPr="007C72CF">
              <w:rPr>
                <w:lang w:eastAsia="zh-CN"/>
              </w:rPr>
              <w:t xml:space="preserve">should </w:t>
            </w:r>
            <w:proofErr w:type="gramStart"/>
            <w:r w:rsidRPr="007C72CF">
              <w:rPr>
                <w:lang w:eastAsia="zh-CN"/>
              </w:rPr>
              <w:t>take into account</w:t>
            </w:r>
            <w:proofErr w:type="gramEnd"/>
            <w:r w:rsidRPr="007C72CF">
              <w:rPr>
                <w:lang w:eastAsia="zh-CN"/>
              </w:rPr>
              <w:t xml:space="preserve"> relevant studies by the Radiocommunication Sector</w:t>
            </w:r>
            <w:r w:rsidR="00852C02">
              <w:rPr>
                <w:lang w:eastAsia="zh-CN"/>
              </w:rPr>
              <w:t xml:space="preserve"> (ITU-R)</w:t>
            </w:r>
            <w:r w:rsidRPr="007C72CF">
              <w:rPr>
                <w:lang w:eastAsia="zh-CN"/>
              </w:rPr>
              <w:t xml:space="preserve"> and report(s)</w:t>
            </w:r>
            <w:r>
              <w:rPr>
                <w:lang w:eastAsia="zh-CN"/>
              </w:rPr>
              <w:t xml:space="preserve"> </w:t>
            </w:r>
            <w:r w:rsidRPr="007C72CF">
              <w:rPr>
                <w:lang w:eastAsia="zh-CN"/>
              </w:rPr>
              <w:t>of the relevant Conference Preparatory Meeting(s) (CPM), as appropriate, considering also</w:t>
            </w:r>
            <w:r>
              <w:rPr>
                <w:lang w:eastAsia="zh-CN"/>
              </w:rPr>
              <w:t xml:space="preserve"> </w:t>
            </w:r>
            <w:r w:rsidRPr="007C72CF">
              <w:rPr>
                <w:lang w:eastAsia="zh-CN"/>
              </w:rPr>
              <w:t>contributions by members, including technical and operational developments, forecasts and usages</w:t>
            </w:r>
            <w:r>
              <w:rPr>
                <w:lang w:eastAsia="zh-CN"/>
              </w:rPr>
              <w:t xml:space="preserve"> </w:t>
            </w:r>
            <w:r w:rsidRPr="007C72CF">
              <w:rPr>
                <w:lang w:eastAsia="zh-CN"/>
              </w:rPr>
              <w:t>as per the agenda of the WRC,</w:t>
            </w:r>
          </w:p>
          <w:p w14:paraId="6A77DB32" w14:textId="43648B07" w:rsidR="007C72CF" w:rsidRPr="007C72CF" w:rsidRDefault="007C72CF" w:rsidP="007C72CF">
            <w:pPr>
              <w:pStyle w:val="Tabletext"/>
              <w:spacing w:before="60"/>
              <w:jc w:val="both"/>
              <w:rPr>
                <w:i/>
                <w:iCs/>
                <w:lang w:eastAsia="zh-CN"/>
              </w:rPr>
            </w:pPr>
            <w:r>
              <w:rPr>
                <w:lang w:val="en-US" w:eastAsia="zh-CN"/>
              </w:rPr>
              <w:tab/>
            </w:r>
            <w:r w:rsidRPr="007C72CF">
              <w:rPr>
                <w:i/>
                <w:iCs/>
                <w:lang w:eastAsia="zh-CN"/>
              </w:rPr>
              <w:t>recommends administrations</w:t>
            </w:r>
          </w:p>
          <w:p w14:paraId="74C5CF6E" w14:textId="22513F0B" w:rsidR="007C72CF" w:rsidRPr="007C72CF" w:rsidRDefault="007C72CF" w:rsidP="007C72CF">
            <w:pPr>
              <w:pStyle w:val="Tabletext"/>
              <w:spacing w:before="60"/>
              <w:jc w:val="both"/>
              <w:rPr>
                <w:lang w:eastAsia="zh-CN"/>
              </w:rPr>
            </w:pPr>
            <w:r w:rsidRPr="007C72CF">
              <w:rPr>
                <w:lang w:eastAsia="zh-CN"/>
              </w:rPr>
              <w:t xml:space="preserve">in making proposals to world radiocommunication conferences, to take account of </w:t>
            </w:r>
            <w:r w:rsidRPr="007C72CF">
              <w:rPr>
                <w:i/>
                <w:iCs/>
                <w:lang w:eastAsia="zh-CN"/>
              </w:rPr>
              <w:t xml:space="preserve">recommends </w:t>
            </w:r>
            <w:r w:rsidR="00852C02">
              <w:rPr>
                <w:i/>
                <w:iCs/>
                <w:lang w:eastAsia="zh-CN"/>
              </w:rPr>
              <w:t xml:space="preserve">that future world radiocommunication conferences </w:t>
            </w:r>
            <w:r w:rsidRPr="007C72CF">
              <w:rPr>
                <w:lang w:eastAsia="zh-CN"/>
              </w:rPr>
              <w:t>1 to 4</w:t>
            </w:r>
            <w:r>
              <w:rPr>
                <w:lang w:eastAsia="zh-CN"/>
              </w:rPr>
              <w:t xml:space="preserve"> </w:t>
            </w:r>
            <w:r w:rsidRPr="007C72CF">
              <w:rPr>
                <w:lang w:eastAsia="zh-CN"/>
              </w:rPr>
              <w:t xml:space="preserve">and </w:t>
            </w:r>
            <w:r w:rsidRPr="007C72CF">
              <w:rPr>
                <w:i/>
                <w:iCs/>
                <w:lang w:eastAsia="zh-CN"/>
              </w:rPr>
              <w:t xml:space="preserve">considering a) </w:t>
            </w:r>
            <w:r w:rsidRPr="007C72CF">
              <w:rPr>
                <w:lang w:eastAsia="zh-CN"/>
              </w:rPr>
              <w:t xml:space="preserve">to </w:t>
            </w:r>
            <w:r w:rsidRPr="007C72CF">
              <w:rPr>
                <w:i/>
                <w:iCs/>
                <w:lang w:eastAsia="zh-CN"/>
              </w:rPr>
              <w:t>g)</w:t>
            </w:r>
            <w:r w:rsidRPr="007C72CF">
              <w:rPr>
                <w:lang w:eastAsia="zh-CN"/>
              </w:rPr>
              <w:t>,</w:t>
            </w:r>
          </w:p>
          <w:p w14:paraId="63B3B408" w14:textId="03367246" w:rsidR="007C72CF" w:rsidRPr="007C72CF" w:rsidRDefault="007C72CF" w:rsidP="007C72CF">
            <w:pPr>
              <w:pStyle w:val="Tabletext"/>
              <w:spacing w:before="60"/>
              <w:jc w:val="both"/>
              <w:rPr>
                <w:i/>
                <w:iCs/>
                <w:lang w:eastAsia="zh-CN"/>
              </w:rPr>
            </w:pPr>
            <w:r>
              <w:rPr>
                <w:lang w:val="en-US" w:eastAsia="zh-CN"/>
              </w:rPr>
              <w:tab/>
            </w:r>
            <w:r w:rsidRPr="007C72CF">
              <w:rPr>
                <w:i/>
                <w:iCs/>
                <w:lang w:eastAsia="zh-CN"/>
              </w:rPr>
              <w:t>invites administrations</w:t>
            </w:r>
          </w:p>
          <w:p w14:paraId="4871F9BE" w14:textId="77821E26" w:rsidR="007C72CF" w:rsidRPr="007C72CF" w:rsidRDefault="007C72CF" w:rsidP="007C72CF">
            <w:pPr>
              <w:pStyle w:val="Tabletext"/>
              <w:spacing w:before="60"/>
              <w:jc w:val="both"/>
              <w:rPr>
                <w:lang w:eastAsia="zh-CN"/>
              </w:rPr>
            </w:pPr>
            <w:r w:rsidRPr="007C72CF">
              <w:rPr>
                <w:lang w:eastAsia="zh-CN"/>
              </w:rPr>
              <w:t>to actively participate in ITU-R studies, providing their technical and operational developments,</w:t>
            </w:r>
            <w:r>
              <w:rPr>
                <w:lang w:eastAsia="zh-CN"/>
              </w:rPr>
              <w:t xml:space="preserve"> </w:t>
            </w:r>
            <w:r w:rsidRPr="007C72CF">
              <w:rPr>
                <w:lang w:eastAsia="zh-CN"/>
              </w:rPr>
              <w:t>forecasts and usages,</w:t>
            </w:r>
          </w:p>
          <w:p w14:paraId="6A96F29B" w14:textId="0D982D4F" w:rsidR="007C72CF" w:rsidRPr="007C72CF" w:rsidRDefault="007C72CF" w:rsidP="007C72CF">
            <w:pPr>
              <w:pStyle w:val="Tabletext"/>
              <w:spacing w:before="60"/>
              <w:ind w:left="284" w:hanging="284"/>
              <w:jc w:val="both"/>
              <w:rPr>
                <w:i/>
                <w:iCs/>
                <w:lang w:eastAsia="zh-CN"/>
              </w:rPr>
            </w:pPr>
            <w:r>
              <w:rPr>
                <w:lang w:val="en-US" w:eastAsia="zh-CN"/>
              </w:rPr>
              <w:tab/>
            </w:r>
            <w:r w:rsidRPr="007C72CF">
              <w:rPr>
                <w:i/>
                <w:iCs/>
                <w:lang w:eastAsia="zh-CN"/>
              </w:rPr>
              <w:t>instructs the Director of the Radiocommunication Bureau and requests the ITU</w:t>
            </w:r>
            <w:r w:rsidR="00852C02">
              <w:rPr>
                <w:i/>
                <w:iCs/>
                <w:lang w:eastAsia="zh-CN"/>
              </w:rPr>
              <w:t xml:space="preserve"> </w:t>
            </w:r>
            <w:r w:rsidRPr="007C72CF">
              <w:rPr>
                <w:i/>
                <w:iCs/>
                <w:lang w:eastAsia="zh-CN"/>
              </w:rPr>
              <w:t>R</w:t>
            </w:r>
            <w:r w:rsidR="00852C02">
              <w:rPr>
                <w:i/>
                <w:iCs/>
                <w:lang w:eastAsia="zh-CN"/>
              </w:rPr>
              <w:t>adiocommunication Sector</w:t>
            </w:r>
            <w:r w:rsidRPr="007C72CF">
              <w:rPr>
                <w:i/>
                <w:iCs/>
                <w:lang w:eastAsia="zh-CN"/>
              </w:rPr>
              <w:t xml:space="preserve"> study</w:t>
            </w:r>
            <w:r>
              <w:rPr>
                <w:i/>
                <w:iCs/>
                <w:lang w:eastAsia="zh-CN"/>
              </w:rPr>
              <w:t xml:space="preserve"> </w:t>
            </w:r>
            <w:r w:rsidRPr="007C72CF">
              <w:rPr>
                <w:i/>
                <w:iCs/>
                <w:lang w:eastAsia="zh-CN"/>
              </w:rPr>
              <w:t>groups</w:t>
            </w:r>
          </w:p>
          <w:p w14:paraId="1F60D3DB" w14:textId="220ED504" w:rsidR="007C72CF" w:rsidRPr="007C72CF" w:rsidRDefault="007C72CF" w:rsidP="00852C02">
            <w:pPr>
              <w:pStyle w:val="Tabletext"/>
              <w:spacing w:before="60"/>
              <w:jc w:val="both"/>
              <w:rPr>
                <w:lang w:eastAsia="zh-CN"/>
              </w:rPr>
            </w:pPr>
            <w:r w:rsidRPr="007C72CF">
              <w:rPr>
                <w:lang w:eastAsia="zh-CN"/>
              </w:rPr>
              <w:t>1</w:t>
            </w:r>
            <w:r>
              <w:rPr>
                <w:lang w:val="en-US" w:eastAsia="zh-CN"/>
              </w:rPr>
              <w:tab/>
            </w:r>
            <w:r w:rsidRPr="007C72CF">
              <w:rPr>
                <w:lang w:eastAsia="zh-CN"/>
              </w:rPr>
              <w:t>when carrying out technical studies relating to a frequency band, to examine the</w:t>
            </w:r>
            <w:r>
              <w:rPr>
                <w:lang w:eastAsia="zh-CN"/>
              </w:rPr>
              <w:t xml:space="preserve"> </w:t>
            </w:r>
            <w:r w:rsidRPr="007C72CF">
              <w:rPr>
                <w:lang w:eastAsia="zh-CN"/>
              </w:rPr>
              <w:t>compatibility of broadly defined services with the existing utilizations and the possibility of aligning</w:t>
            </w:r>
            <w:r>
              <w:rPr>
                <w:lang w:eastAsia="zh-CN"/>
              </w:rPr>
              <w:t xml:space="preserve"> </w:t>
            </w:r>
            <w:r w:rsidRPr="007C72CF">
              <w:rPr>
                <w:lang w:eastAsia="zh-CN"/>
              </w:rPr>
              <w:t xml:space="preserve">allocations on a worldwide basis, having regard to </w:t>
            </w:r>
            <w:r w:rsidRPr="007C72CF">
              <w:rPr>
                <w:i/>
                <w:iCs/>
                <w:lang w:eastAsia="zh-CN"/>
              </w:rPr>
              <w:t xml:space="preserve">considering a) </w:t>
            </w:r>
            <w:r w:rsidRPr="007C72CF">
              <w:rPr>
                <w:lang w:eastAsia="zh-CN"/>
              </w:rPr>
              <w:t xml:space="preserve">to </w:t>
            </w:r>
            <w:r w:rsidRPr="007C72CF">
              <w:rPr>
                <w:i/>
                <w:iCs/>
                <w:lang w:eastAsia="zh-CN"/>
              </w:rPr>
              <w:t xml:space="preserve">g) </w:t>
            </w:r>
            <w:r w:rsidRPr="007C72CF">
              <w:rPr>
                <w:lang w:eastAsia="zh-CN"/>
              </w:rPr>
              <w:t xml:space="preserve">and </w:t>
            </w:r>
            <w:r w:rsidRPr="007C72CF">
              <w:rPr>
                <w:i/>
                <w:iCs/>
                <w:lang w:eastAsia="zh-CN"/>
              </w:rPr>
              <w:t xml:space="preserve">recommends </w:t>
            </w:r>
            <w:r w:rsidR="00852C02" w:rsidRPr="00852C02">
              <w:rPr>
                <w:i/>
                <w:iCs/>
                <w:lang w:eastAsia="zh-CN"/>
              </w:rPr>
              <w:t>that future</w:t>
            </w:r>
            <w:r w:rsidR="00852C02">
              <w:rPr>
                <w:i/>
                <w:iCs/>
                <w:lang w:eastAsia="zh-CN"/>
              </w:rPr>
              <w:t xml:space="preserve"> </w:t>
            </w:r>
            <w:r w:rsidR="00852C02" w:rsidRPr="00852C02">
              <w:rPr>
                <w:i/>
                <w:iCs/>
                <w:lang w:eastAsia="zh-CN"/>
              </w:rPr>
              <w:t>world radiocommunication conferences</w:t>
            </w:r>
            <w:r w:rsidRPr="007C72CF">
              <w:rPr>
                <w:lang w:eastAsia="zh-CN"/>
              </w:rPr>
              <w:t>1 to 4</w:t>
            </w:r>
            <w:r>
              <w:rPr>
                <w:lang w:eastAsia="zh-CN"/>
              </w:rPr>
              <w:t xml:space="preserve"> </w:t>
            </w:r>
            <w:proofErr w:type="gramStart"/>
            <w:r w:rsidRPr="007C72CF">
              <w:rPr>
                <w:lang w:eastAsia="zh-CN"/>
              </w:rPr>
              <w:t>above;</w:t>
            </w:r>
            <w:proofErr w:type="gramEnd"/>
          </w:p>
          <w:p w14:paraId="7C1B780B" w14:textId="7425D6B7" w:rsidR="007C72CF" w:rsidRPr="007C72CF" w:rsidRDefault="007C72CF" w:rsidP="007C72CF">
            <w:pPr>
              <w:pStyle w:val="Tabletext"/>
              <w:spacing w:before="60"/>
              <w:jc w:val="both"/>
              <w:rPr>
                <w:lang w:eastAsia="zh-CN"/>
              </w:rPr>
            </w:pPr>
            <w:r w:rsidRPr="007C72CF">
              <w:rPr>
                <w:lang w:eastAsia="zh-CN"/>
              </w:rPr>
              <w:t>2</w:t>
            </w:r>
            <w:r>
              <w:rPr>
                <w:lang w:val="en-US" w:eastAsia="zh-CN"/>
              </w:rPr>
              <w:tab/>
            </w:r>
            <w:r w:rsidRPr="007C72CF">
              <w:rPr>
                <w:lang w:eastAsia="zh-CN"/>
              </w:rPr>
              <w:t>to conduct these studies, with the participation of the International Civil Aviation</w:t>
            </w:r>
            <w:r>
              <w:rPr>
                <w:lang w:eastAsia="zh-CN"/>
              </w:rPr>
              <w:t xml:space="preserve"> </w:t>
            </w:r>
            <w:r w:rsidRPr="007C72CF">
              <w:rPr>
                <w:lang w:eastAsia="zh-CN"/>
              </w:rPr>
              <w:t>Organization (ICAO), the International Maritime Organization (IMO), the World Meteorological</w:t>
            </w:r>
            <w:r>
              <w:rPr>
                <w:lang w:eastAsia="zh-CN"/>
              </w:rPr>
              <w:t xml:space="preserve"> </w:t>
            </w:r>
            <w:r w:rsidRPr="007C72CF">
              <w:rPr>
                <w:lang w:eastAsia="zh-CN"/>
              </w:rPr>
              <w:t>Organization (WMO) and other international organizations concerned, where appropriate;</w:t>
            </w:r>
          </w:p>
          <w:p w14:paraId="5F368533" w14:textId="3FF0D705" w:rsidR="007C72CF" w:rsidRPr="007C72CF" w:rsidRDefault="007C72CF" w:rsidP="007C72CF">
            <w:pPr>
              <w:pStyle w:val="Tabletext"/>
              <w:spacing w:before="60"/>
              <w:jc w:val="both"/>
              <w:rPr>
                <w:lang w:eastAsia="zh-CN"/>
              </w:rPr>
            </w:pPr>
            <w:r w:rsidRPr="007C72CF">
              <w:rPr>
                <w:lang w:eastAsia="zh-CN"/>
              </w:rPr>
              <w:t>3</w:t>
            </w:r>
            <w:r>
              <w:rPr>
                <w:lang w:val="en-US" w:eastAsia="zh-CN"/>
              </w:rPr>
              <w:tab/>
            </w:r>
            <w:r w:rsidRPr="007C72CF">
              <w:rPr>
                <w:lang w:eastAsia="zh-CN"/>
              </w:rPr>
              <w:t>to submit a report to future world radiocommunication conferences containing the results</w:t>
            </w:r>
            <w:r>
              <w:rPr>
                <w:lang w:eastAsia="zh-CN"/>
              </w:rPr>
              <w:t xml:space="preserve"> </w:t>
            </w:r>
            <w:r w:rsidRPr="007C72CF">
              <w:rPr>
                <w:lang w:eastAsia="zh-CN"/>
              </w:rPr>
              <w:t>of these studies,</w:t>
            </w:r>
          </w:p>
          <w:p w14:paraId="49A0D416" w14:textId="2E0EBF77" w:rsidR="007C72CF" w:rsidRPr="007C72CF" w:rsidRDefault="007C72CF" w:rsidP="007C72CF">
            <w:pPr>
              <w:pStyle w:val="Tabletext"/>
              <w:spacing w:before="60"/>
              <w:jc w:val="both"/>
              <w:rPr>
                <w:i/>
                <w:iCs/>
                <w:lang w:eastAsia="zh-CN"/>
              </w:rPr>
            </w:pPr>
            <w:r>
              <w:rPr>
                <w:lang w:val="en-US" w:eastAsia="zh-CN"/>
              </w:rPr>
              <w:tab/>
            </w:r>
            <w:r w:rsidRPr="007C72CF">
              <w:rPr>
                <w:i/>
                <w:iCs/>
                <w:lang w:eastAsia="zh-CN"/>
              </w:rPr>
              <w:t xml:space="preserve">invites </w:t>
            </w:r>
            <w:r w:rsidR="00852C02">
              <w:rPr>
                <w:i/>
                <w:iCs/>
                <w:lang w:eastAsia="zh-CN"/>
              </w:rPr>
              <w:t xml:space="preserve">the </w:t>
            </w:r>
            <w:r w:rsidRPr="007C72CF">
              <w:rPr>
                <w:i/>
                <w:iCs/>
                <w:lang w:eastAsia="zh-CN"/>
              </w:rPr>
              <w:t>ITU</w:t>
            </w:r>
            <w:r w:rsidR="00852C02">
              <w:rPr>
                <w:i/>
                <w:iCs/>
                <w:lang w:eastAsia="zh-CN"/>
              </w:rPr>
              <w:t xml:space="preserve"> </w:t>
            </w:r>
            <w:r w:rsidRPr="007C72CF">
              <w:rPr>
                <w:i/>
                <w:iCs/>
                <w:lang w:eastAsia="zh-CN"/>
              </w:rPr>
              <w:t>R</w:t>
            </w:r>
            <w:r w:rsidR="00852C02">
              <w:rPr>
                <w:i/>
                <w:iCs/>
                <w:lang w:eastAsia="zh-CN"/>
              </w:rPr>
              <w:t>adiocommunication Sector</w:t>
            </w:r>
          </w:p>
          <w:p w14:paraId="0A947537" w14:textId="1EE0D005" w:rsidR="007C72CF" w:rsidRPr="007C72CF" w:rsidRDefault="007C72CF" w:rsidP="007C72CF">
            <w:pPr>
              <w:pStyle w:val="Tabletext"/>
              <w:spacing w:before="60"/>
              <w:jc w:val="both"/>
              <w:rPr>
                <w:lang w:eastAsia="zh-CN"/>
              </w:rPr>
            </w:pPr>
            <w:r w:rsidRPr="007C72CF">
              <w:rPr>
                <w:lang w:eastAsia="zh-CN"/>
              </w:rPr>
              <w:t>to identify areas for study and to undertake the studies necessary to determine the impact on existing</w:t>
            </w:r>
            <w:r>
              <w:rPr>
                <w:lang w:eastAsia="zh-CN"/>
              </w:rPr>
              <w:t xml:space="preserve"> </w:t>
            </w:r>
            <w:r w:rsidRPr="007C72CF">
              <w:rPr>
                <w:lang w:eastAsia="zh-CN"/>
              </w:rPr>
              <w:t>services of those agenda items of future world radiocommunication conferences which involve</w:t>
            </w:r>
            <w:r>
              <w:rPr>
                <w:lang w:eastAsia="zh-CN"/>
              </w:rPr>
              <w:t xml:space="preserve"> </w:t>
            </w:r>
            <w:r w:rsidRPr="007C72CF">
              <w:rPr>
                <w:lang w:eastAsia="zh-CN"/>
              </w:rPr>
              <w:t>broadening the scope of existing service allocations,</w:t>
            </w:r>
          </w:p>
          <w:p w14:paraId="7C616CAF" w14:textId="5DD19786" w:rsidR="007C72CF" w:rsidRPr="007C72CF" w:rsidRDefault="007C72CF" w:rsidP="007C72CF">
            <w:pPr>
              <w:pStyle w:val="Tabletext"/>
              <w:spacing w:before="60"/>
              <w:jc w:val="both"/>
              <w:rPr>
                <w:i/>
                <w:iCs/>
                <w:lang w:eastAsia="zh-CN"/>
              </w:rPr>
            </w:pPr>
            <w:r>
              <w:rPr>
                <w:lang w:val="en-US" w:eastAsia="zh-CN"/>
              </w:rPr>
              <w:tab/>
            </w:r>
            <w:r w:rsidRPr="007C72CF">
              <w:rPr>
                <w:i/>
                <w:iCs/>
                <w:lang w:eastAsia="zh-CN"/>
              </w:rPr>
              <w:t>instructs the Secretary-General</w:t>
            </w:r>
          </w:p>
          <w:p w14:paraId="72F4F23A" w14:textId="5AD48FBB" w:rsidR="007C72CF" w:rsidRPr="007C72CF" w:rsidRDefault="007C72CF" w:rsidP="007C72CF">
            <w:pPr>
              <w:pStyle w:val="Tabletext"/>
              <w:spacing w:before="60"/>
              <w:jc w:val="both"/>
              <w:rPr>
                <w:lang w:eastAsia="zh-CN"/>
              </w:rPr>
            </w:pPr>
            <w:r w:rsidRPr="007C72CF">
              <w:rPr>
                <w:lang w:eastAsia="zh-CN"/>
              </w:rPr>
              <w:t>to communicate this Recommendation to ICAO, IMO, WMO and other international organizations</w:t>
            </w:r>
            <w:r>
              <w:rPr>
                <w:lang w:eastAsia="zh-CN"/>
              </w:rPr>
              <w:t xml:space="preserve"> </w:t>
            </w:r>
            <w:r w:rsidRPr="007C72CF">
              <w:rPr>
                <w:lang w:eastAsia="zh-CN"/>
              </w:rPr>
              <w:t>concerned, where appropriate,</w:t>
            </w:r>
          </w:p>
          <w:p w14:paraId="39FDA025" w14:textId="4CAED462" w:rsidR="007C72CF" w:rsidRPr="007C72CF" w:rsidRDefault="007C72CF" w:rsidP="007C72CF">
            <w:pPr>
              <w:pStyle w:val="Tabletext"/>
              <w:spacing w:before="60"/>
              <w:jc w:val="both"/>
              <w:rPr>
                <w:i/>
                <w:iCs/>
                <w:lang w:eastAsia="zh-CN"/>
              </w:rPr>
            </w:pPr>
            <w:r>
              <w:rPr>
                <w:lang w:val="en-US" w:eastAsia="zh-CN"/>
              </w:rPr>
              <w:lastRenderedPageBreak/>
              <w:tab/>
            </w:r>
            <w:r w:rsidRPr="007C72CF">
              <w:rPr>
                <w:i/>
                <w:iCs/>
                <w:lang w:eastAsia="zh-CN"/>
              </w:rPr>
              <w:t>invites the Director of the Radiocommunication Bureau</w:t>
            </w:r>
          </w:p>
          <w:p w14:paraId="183E4887" w14:textId="06D3F6E0" w:rsidR="007C72CF" w:rsidRPr="004B1FC2" w:rsidRDefault="007C72CF" w:rsidP="00852C02">
            <w:pPr>
              <w:pStyle w:val="Tabletext"/>
              <w:spacing w:before="60"/>
              <w:jc w:val="both"/>
              <w:rPr>
                <w:lang w:eastAsia="zh-CN"/>
              </w:rPr>
            </w:pPr>
            <w:r w:rsidRPr="007C72CF">
              <w:rPr>
                <w:lang w:eastAsia="zh-CN"/>
              </w:rPr>
              <w:t xml:space="preserve">to bring this Recommendation to the attention of </w:t>
            </w:r>
            <w:r w:rsidR="00852C02">
              <w:rPr>
                <w:lang w:eastAsia="zh-CN"/>
              </w:rPr>
              <w:t xml:space="preserve">the </w:t>
            </w:r>
            <w:r w:rsidRPr="007C72CF">
              <w:rPr>
                <w:lang w:eastAsia="zh-CN"/>
              </w:rPr>
              <w:t>ITU</w:t>
            </w:r>
            <w:r w:rsidR="00852C02">
              <w:rPr>
                <w:lang w:eastAsia="zh-CN"/>
              </w:rPr>
              <w:t xml:space="preserve"> Telecommunication Standardization and Telecommunication Development Sectors</w:t>
            </w:r>
            <w:r w:rsidRPr="007C72CF">
              <w:rPr>
                <w:lang w:eastAsia="zh-CN"/>
              </w:rPr>
              <w:t>.</w:t>
            </w:r>
          </w:p>
        </w:tc>
        <w:tc>
          <w:tcPr>
            <w:tcW w:w="961" w:type="dxa"/>
            <w:shd w:val="clear" w:color="auto" w:fill="EEECE1" w:themeFill="background2"/>
          </w:tcPr>
          <w:p w14:paraId="734DF2B6" w14:textId="77777777" w:rsidR="003C74A4" w:rsidRDefault="003E0DC1" w:rsidP="003E0DC1">
            <w:pPr>
              <w:pStyle w:val="Tabletext"/>
              <w:jc w:val="center"/>
              <w:rPr>
                <w:lang w:val="fr-FR" w:eastAsia="zh-CN"/>
              </w:rPr>
            </w:pPr>
            <w:proofErr w:type="spellStart"/>
            <w:r w:rsidRPr="003E0DC1">
              <w:rPr>
                <w:lang w:val="fr-FR" w:eastAsia="zh-CN"/>
              </w:rPr>
              <w:lastRenderedPageBreak/>
              <w:t>See</w:t>
            </w:r>
            <w:proofErr w:type="spellEnd"/>
            <w:r w:rsidRPr="003E0DC1">
              <w:rPr>
                <w:lang w:val="fr-FR" w:eastAsia="zh-CN"/>
              </w:rPr>
              <w:t xml:space="preserve"> </w:t>
            </w:r>
          </w:p>
          <w:p w14:paraId="58D40DED" w14:textId="3B43E0B2" w:rsidR="003C74A4" w:rsidRDefault="003E0DC1" w:rsidP="003C74A4">
            <w:pPr>
              <w:pStyle w:val="Tabletext"/>
              <w:jc w:val="center"/>
              <w:rPr>
                <w:lang w:val="fr-FR" w:eastAsia="zh-CN"/>
              </w:rPr>
            </w:pPr>
            <w:r w:rsidRPr="003E0DC1">
              <w:rPr>
                <w:lang w:val="fr-FR" w:eastAsia="zh-CN"/>
              </w:rPr>
              <w:t xml:space="preserve">Doc. </w:t>
            </w:r>
            <w:hyperlink r:id="rId14" w:history="1">
              <w:r w:rsidR="00D71BFF" w:rsidRPr="003E0DC1">
                <w:rPr>
                  <w:rStyle w:val="Hyperlink"/>
                  <w:lang w:val="fr-FR" w:eastAsia="zh-CN"/>
                </w:rPr>
                <w:t>1/1</w:t>
              </w:r>
            </w:hyperlink>
            <w:r>
              <w:rPr>
                <w:lang w:val="fr-FR" w:eastAsia="zh-CN"/>
              </w:rPr>
              <w:t xml:space="preserve"> </w:t>
            </w:r>
            <w:r w:rsidR="003C74A4">
              <w:rPr>
                <w:lang w:val="fr-FR" w:eastAsia="zh-CN"/>
              </w:rPr>
              <w:br/>
              <w:t>and</w:t>
            </w:r>
            <w:r w:rsidR="003C74A4" w:rsidRPr="003E0DC1">
              <w:rPr>
                <w:lang w:val="fr-FR" w:eastAsia="zh-CN"/>
              </w:rPr>
              <w:t xml:space="preserve"> </w:t>
            </w:r>
          </w:p>
          <w:p w14:paraId="28711A6B" w14:textId="1BEAEA73" w:rsidR="003E0DC1" w:rsidRPr="00BF03AA" w:rsidRDefault="003C74A4" w:rsidP="003C74A4">
            <w:pPr>
              <w:pStyle w:val="Tabletext"/>
              <w:jc w:val="center"/>
              <w:rPr>
                <w:b/>
                <w:bCs/>
                <w:lang w:val="fr-FR" w:eastAsia="zh-CN"/>
              </w:rPr>
            </w:pPr>
            <w:r w:rsidRPr="003E0DC1">
              <w:rPr>
                <w:lang w:val="fr-FR" w:eastAsia="zh-CN"/>
              </w:rPr>
              <w:t xml:space="preserve">Doc. </w:t>
            </w:r>
            <w:hyperlink r:id="rId15" w:history="1">
              <w:r w:rsidR="00D71BFF" w:rsidRPr="003E0DC1">
                <w:rPr>
                  <w:rStyle w:val="Hyperlink"/>
                  <w:lang w:val="fr-FR" w:eastAsia="zh-CN"/>
                </w:rPr>
                <w:t>5/1</w:t>
              </w:r>
            </w:hyperlink>
          </w:p>
        </w:tc>
        <w:tc>
          <w:tcPr>
            <w:tcW w:w="1416" w:type="dxa"/>
            <w:shd w:val="clear" w:color="auto" w:fill="EEECE1" w:themeFill="background2"/>
          </w:tcPr>
          <w:p w14:paraId="4FFDCA51" w14:textId="65945FE3" w:rsidR="004E0127" w:rsidRDefault="003C736F" w:rsidP="00C559F9">
            <w:pPr>
              <w:pStyle w:val="Tabletext"/>
              <w:jc w:val="center"/>
              <w:rPr>
                <w:lang w:val="en-US" w:eastAsia="zh-CN"/>
              </w:rPr>
            </w:pPr>
            <w:r w:rsidRPr="003C736F">
              <w:rPr>
                <w:lang w:val="en-US" w:eastAsia="zh-CN"/>
              </w:rPr>
              <w:t>1</w:t>
            </w:r>
          </w:p>
          <w:p w14:paraId="76BC2446" w14:textId="77777777" w:rsidR="003C736F" w:rsidRPr="003C736F" w:rsidRDefault="003C736F" w:rsidP="00C559F9">
            <w:pPr>
              <w:pStyle w:val="Tabletext"/>
              <w:jc w:val="center"/>
              <w:rPr>
                <w:color w:val="FF0000"/>
                <w:lang w:val="en-US" w:eastAsia="zh-CN"/>
              </w:rPr>
            </w:pPr>
            <w:r w:rsidRPr="003C736F">
              <w:rPr>
                <w:color w:val="FF0000"/>
                <w:lang w:val="en-US" w:eastAsia="zh-CN"/>
              </w:rPr>
              <w:t>AND</w:t>
            </w:r>
          </w:p>
          <w:p w14:paraId="18D7B54E" w14:textId="1EDF9D0E" w:rsidR="003C736F" w:rsidRPr="004629ED" w:rsidRDefault="00D85215" w:rsidP="00C559F9">
            <w:pPr>
              <w:pStyle w:val="Tabletext"/>
              <w:jc w:val="center"/>
              <w:rPr>
                <w:bCs/>
              </w:rPr>
            </w:pPr>
            <w:r>
              <w:rPr>
                <w:bCs/>
              </w:rPr>
              <w:t>2</w:t>
            </w:r>
          </w:p>
          <w:p w14:paraId="397F13FC" w14:textId="77777777" w:rsidR="004E0127" w:rsidRPr="003C736F" w:rsidRDefault="004E0127" w:rsidP="00C559F9">
            <w:pPr>
              <w:pStyle w:val="Tabletext"/>
              <w:jc w:val="center"/>
              <w:rPr>
                <w:bCs/>
                <w:color w:val="FF0000"/>
                <w:lang w:val="fr-FR" w:eastAsia="zh-CN"/>
              </w:rPr>
            </w:pPr>
            <w:r w:rsidRPr="003C736F">
              <w:rPr>
                <w:bCs/>
                <w:color w:val="FF0000"/>
                <w:lang w:val="fr-FR" w:eastAsia="zh-CN"/>
              </w:rPr>
              <w:t>AND</w:t>
            </w:r>
          </w:p>
          <w:p w14:paraId="4E26261E" w14:textId="196285B2" w:rsidR="003C736F" w:rsidRPr="004629ED" w:rsidRDefault="00D85215" w:rsidP="00C559F9">
            <w:pPr>
              <w:pStyle w:val="Tabletext"/>
              <w:jc w:val="center"/>
              <w:rPr>
                <w:bCs/>
              </w:rPr>
            </w:pPr>
            <w:r>
              <w:rPr>
                <w:bCs/>
              </w:rPr>
              <w:t>3</w:t>
            </w:r>
          </w:p>
          <w:p w14:paraId="32898E7F" w14:textId="77777777" w:rsidR="00D85215" w:rsidRPr="003C736F" w:rsidRDefault="00D85215" w:rsidP="00C559F9">
            <w:pPr>
              <w:pStyle w:val="Tabletext"/>
              <w:jc w:val="center"/>
              <w:rPr>
                <w:color w:val="FF0000"/>
                <w:lang w:val="en-US" w:eastAsia="zh-CN"/>
              </w:rPr>
            </w:pPr>
            <w:r w:rsidRPr="003C736F">
              <w:rPr>
                <w:color w:val="FF0000"/>
                <w:lang w:val="en-US" w:eastAsia="zh-CN"/>
              </w:rPr>
              <w:t>AND</w:t>
            </w:r>
          </w:p>
          <w:p w14:paraId="296166EF" w14:textId="4A50031A" w:rsidR="004E0127" w:rsidRPr="003C736F" w:rsidRDefault="00D85215" w:rsidP="00C559F9">
            <w:pPr>
              <w:pStyle w:val="Tabletext"/>
              <w:jc w:val="center"/>
              <w:rPr>
                <w:bCs/>
                <w:spacing w:val="-2"/>
                <w:lang w:eastAsia="zh-CN"/>
              </w:rPr>
            </w:pPr>
            <w:r>
              <w:rPr>
                <w:lang w:val="en-US" w:eastAsia="zh-CN"/>
              </w:rPr>
              <w:t>4</w:t>
            </w:r>
          </w:p>
        </w:tc>
      </w:tr>
      <w:tr w:rsidR="00561B43" w14:paraId="37FA3E4D" w14:textId="18B69B5E" w:rsidTr="00C559F9">
        <w:tc>
          <w:tcPr>
            <w:tcW w:w="1801" w:type="dxa"/>
            <w:shd w:val="clear" w:color="auto" w:fill="EEECE1" w:themeFill="background2"/>
          </w:tcPr>
          <w:p w14:paraId="7435A239" w14:textId="74A7B7BD" w:rsidR="00561B43" w:rsidRPr="00C559F9" w:rsidRDefault="00706E2A" w:rsidP="000D37C8">
            <w:pPr>
              <w:pStyle w:val="Tabletext"/>
              <w:rPr>
                <w:rFonts w:ascii="Times New Roman Bold" w:hAnsi="Times New Roman Bold" w:cs="TimesNewRomanPSMT"/>
                <w:b/>
                <w:spacing w:val="-6"/>
                <w:lang w:eastAsia="zh-CN"/>
              </w:rPr>
            </w:pPr>
            <w:r w:rsidRPr="00C559F9">
              <w:rPr>
                <w:rFonts w:ascii="Times New Roman Bold" w:hAnsi="Times New Roman Bold" w:cs="TimesNewRomanPSMT"/>
                <w:b/>
                <w:spacing w:val="-6"/>
                <w:lang w:eastAsia="zh-CN"/>
              </w:rPr>
              <w:t>36 (</w:t>
            </w:r>
            <w:r w:rsidR="007323CA" w:rsidRPr="00C559F9">
              <w:rPr>
                <w:rFonts w:ascii="Times New Roman Bold" w:hAnsi="Times New Roman Bold" w:cs="TimesNewRomanPSMT"/>
                <w:b/>
                <w:spacing w:val="-6"/>
                <w:lang w:eastAsia="zh-CN"/>
              </w:rPr>
              <w:t>Rev.</w:t>
            </w:r>
            <w:r w:rsidRPr="00C559F9">
              <w:rPr>
                <w:rFonts w:ascii="Times New Roman Bold" w:hAnsi="Times New Roman Bold" w:cs="TimesNewRomanPSMT"/>
                <w:b/>
                <w:spacing w:val="-6"/>
                <w:lang w:eastAsia="zh-CN"/>
              </w:rPr>
              <w:t>WRC-19)</w:t>
            </w:r>
          </w:p>
        </w:tc>
        <w:tc>
          <w:tcPr>
            <w:tcW w:w="2730" w:type="dxa"/>
            <w:shd w:val="clear" w:color="auto" w:fill="EEECE1" w:themeFill="background2"/>
          </w:tcPr>
          <w:p w14:paraId="489D5639" w14:textId="21227E5B" w:rsidR="00561B43" w:rsidRPr="000D37C8" w:rsidRDefault="00706E2A" w:rsidP="00706E2A">
            <w:pPr>
              <w:pStyle w:val="Tabletext"/>
              <w:rPr>
                <w:lang w:eastAsia="zh-CN"/>
              </w:rPr>
            </w:pPr>
            <w:r>
              <w:rPr>
                <w:lang w:eastAsia="zh-CN"/>
              </w:rPr>
              <w:t>Role of international monitoring in reducing apparent congestion in the use of orbit and spectrum resources</w:t>
            </w:r>
          </w:p>
        </w:tc>
        <w:tc>
          <w:tcPr>
            <w:tcW w:w="8538" w:type="dxa"/>
            <w:shd w:val="clear" w:color="auto" w:fill="EEECE1" w:themeFill="background2"/>
          </w:tcPr>
          <w:p w14:paraId="65A8A4C9" w14:textId="1D653356" w:rsidR="00706E2A" w:rsidRPr="00706E2A" w:rsidRDefault="00706E2A" w:rsidP="00706E2A">
            <w:pPr>
              <w:pStyle w:val="Tabletext"/>
              <w:spacing w:before="60"/>
              <w:jc w:val="both"/>
              <w:rPr>
                <w:i/>
                <w:iCs/>
                <w:lang w:eastAsia="zh-CN"/>
              </w:rPr>
            </w:pPr>
            <w:r>
              <w:rPr>
                <w:lang w:val="en-US" w:eastAsia="zh-CN"/>
              </w:rPr>
              <w:tab/>
            </w:r>
            <w:r w:rsidRPr="00706E2A">
              <w:rPr>
                <w:i/>
                <w:iCs/>
                <w:lang w:eastAsia="zh-CN"/>
              </w:rPr>
              <w:t>invites ITU-R</w:t>
            </w:r>
          </w:p>
          <w:p w14:paraId="0CFC18B9" w14:textId="7B9CEF91" w:rsidR="00706E2A" w:rsidRPr="00706E2A" w:rsidRDefault="00706E2A" w:rsidP="00706E2A">
            <w:pPr>
              <w:pStyle w:val="Tabletext"/>
              <w:spacing w:before="60"/>
              <w:jc w:val="both"/>
              <w:rPr>
                <w:lang w:eastAsia="zh-CN"/>
              </w:rPr>
            </w:pPr>
            <w:r w:rsidRPr="00706E2A">
              <w:rPr>
                <w:lang w:eastAsia="zh-CN"/>
              </w:rPr>
              <w:t>to study and make recommendations concerning the facilities required to provide adequate coverage</w:t>
            </w:r>
            <w:r>
              <w:rPr>
                <w:lang w:eastAsia="zh-CN"/>
              </w:rPr>
              <w:t xml:space="preserve"> </w:t>
            </w:r>
            <w:r w:rsidRPr="00706E2A">
              <w:rPr>
                <w:lang w:eastAsia="zh-CN"/>
              </w:rPr>
              <w:t>of the world with a view to ensuring efficient use of resources,</w:t>
            </w:r>
          </w:p>
          <w:p w14:paraId="3E4D19AB" w14:textId="4E6F1CD1" w:rsidR="00706E2A" w:rsidRPr="00706E2A" w:rsidRDefault="00706E2A" w:rsidP="00C559F9">
            <w:pPr>
              <w:pStyle w:val="Tabletext"/>
              <w:keepNext/>
              <w:keepLines/>
              <w:spacing w:before="60"/>
              <w:jc w:val="both"/>
              <w:rPr>
                <w:i/>
                <w:iCs/>
                <w:lang w:eastAsia="zh-CN"/>
              </w:rPr>
            </w:pPr>
            <w:r>
              <w:rPr>
                <w:lang w:val="en-US" w:eastAsia="zh-CN"/>
              </w:rPr>
              <w:tab/>
            </w:r>
            <w:r w:rsidRPr="00706E2A">
              <w:rPr>
                <w:i/>
                <w:iCs/>
                <w:lang w:eastAsia="zh-CN"/>
              </w:rPr>
              <w:t>invites administrations</w:t>
            </w:r>
          </w:p>
          <w:p w14:paraId="2EDE9242" w14:textId="68716D5C" w:rsidR="00706E2A" w:rsidRPr="00706E2A" w:rsidRDefault="00706E2A" w:rsidP="00706E2A">
            <w:pPr>
              <w:pStyle w:val="Tabletext"/>
              <w:spacing w:before="60"/>
              <w:jc w:val="both"/>
              <w:rPr>
                <w:lang w:eastAsia="zh-CN"/>
              </w:rPr>
            </w:pPr>
            <w:r w:rsidRPr="00706E2A">
              <w:rPr>
                <w:lang w:eastAsia="zh-CN"/>
              </w:rPr>
              <w:t>1</w:t>
            </w:r>
            <w:r>
              <w:rPr>
                <w:lang w:val="en-US" w:eastAsia="zh-CN"/>
              </w:rPr>
              <w:tab/>
            </w:r>
            <w:r w:rsidRPr="00706E2A">
              <w:rPr>
                <w:lang w:eastAsia="zh-CN"/>
              </w:rPr>
              <w:t xml:space="preserve">to make every effort to provide monitoring facilities as envisaged in Article </w:t>
            </w:r>
            <w:r w:rsidRPr="00706E2A">
              <w:rPr>
                <w:b/>
                <w:bCs/>
                <w:lang w:eastAsia="zh-CN"/>
              </w:rPr>
              <w:t>16</w:t>
            </w:r>
            <w:r w:rsidRPr="00706E2A">
              <w:rPr>
                <w:lang w:eastAsia="zh-CN"/>
              </w:rPr>
              <w:t>;</w:t>
            </w:r>
          </w:p>
          <w:p w14:paraId="5DC29D36" w14:textId="5843F761" w:rsidR="00706E2A" w:rsidRPr="00706E2A" w:rsidRDefault="00706E2A" w:rsidP="00706E2A">
            <w:pPr>
              <w:pStyle w:val="Tabletext"/>
              <w:spacing w:before="60"/>
              <w:jc w:val="both"/>
              <w:rPr>
                <w:lang w:eastAsia="zh-CN"/>
              </w:rPr>
            </w:pPr>
            <w:r w:rsidRPr="00706E2A">
              <w:rPr>
                <w:lang w:eastAsia="zh-CN"/>
              </w:rPr>
              <w:t>2</w:t>
            </w:r>
            <w:r>
              <w:rPr>
                <w:lang w:val="en-US" w:eastAsia="zh-CN"/>
              </w:rPr>
              <w:tab/>
            </w:r>
            <w:r w:rsidRPr="00706E2A">
              <w:rPr>
                <w:lang w:eastAsia="zh-CN"/>
              </w:rPr>
              <w:t>to inform ITU-R of the extent to which they are prepared to cooperate in such monitoring</w:t>
            </w:r>
            <w:r>
              <w:rPr>
                <w:lang w:eastAsia="zh-CN"/>
              </w:rPr>
              <w:t xml:space="preserve"> </w:t>
            </w:r>
            <w:r w:rsidRPr="00706E2A">
              <w:rPr>
                <w:lang w:eastAsia="zh-CN"/>
              </w:rPr>
              <w:t>programmes as may be requested by ITU-R;</w:t>
            </w:r>
          </w:p>
          <w:p w14:paraId="5701A9BD" w14:textId="4C242C21" w:rsidR="00561B43" w:rsidRPr="00706E2A" w:rsidRDefault="00706E2A" w:rsidP="00706E2A">
            <w:pPr>
              <w:pStyle w:val="Tabletext"/>
              <w:spacing w:before="60"/>
              <w:jc w:val="both"/>
              <w:rPr>
                <w:lang w:eastAsia="zh-CN"/>
              </w:rPr>
            </w:pPr>
            <w:r w:rsidRPr="00706E2A">
              <w:rPr>
                <w:lang w:eastAsia="zh-CN"/>
              </w:rPr>
              <w:t>3</w:t>
            </w:r>
            <w:r>
              <w:rPr>
                <w:lang w:val="en-US" w:eastAsia="zh-CN"/>
              </w:rPr>
              <w:tab/>
            </w:r>
            <w:r w:rsidRPr="00706E2A">
              <w:rPr>
                <w:lang w:eastAsia="zh-CN"/>
              </w:rPr>
              <w:t>to consider the various aspects of monitoring emissions originating from space stations</w:t>
            </w:r>
            <w:r>
              <w:rPr>
                <w:lang w:eastAsia="zh-CN"/>
              </w:rPr>
              <w:t xml:space="preserve"> </w:t>
            </w:r>
            <w:r w:rsidRPr="00706E2A">
              <w:rPr>
                <w:lang w:eastAsia="zh-CN"/>
              </w:rPr>
              <w:t xml:space="preserve">to enable the provisions of Articles </w:t>
            </w:r>
            <w:r w:rsidRPr="00706E2A">
              <w:rPr>
                <w:b/>
                <w:bCs/>
                <w:lang w:eastAsia="zh-CN"/>
              </w:rPr>
              <w:t xml:space="preserve">21 </w:t>
            </w:r>
            <w:r w:rsidRPr="00706E2A">
              <w:rPr>
                <w:lang w:eastAsia="zh-CN"/>
              </w:rPr>
              <w:t xml:space="preserve">and </w:t>
            </w:r>
            <w:r w:rsidRPr="00706E2A">
              <w:rPr>
                <w:b/>
                <w:bCs/>
                <w:lang w:eastAsia="zh-CN"/>
              </w:rPr>
              <w:t xml:space="preserve">22 </w:t>
            </w:r>
            <w:r w:rsidRPr="00706E2A">
              <w:rPr>
                <w:lang w:eastAsia="zh-CN"/>
              </w:rPr>
              <w:t>to be applied.</w:t>
            </w:r>
          </w:p>
        </w:tc>
        <w:tc>
          <w:tcPr>
            <w:tcW w:w="961" w:type="dxa"/>
            <w:shd w:val="clear" w:color="auto" w:fill="EEECE1" w:themeFill="background2"/>
          </w:tcPr>
          <w:p w14:paraId="75D99A1D" w14:textId="1E3108A2" w:rsidR="00561B43" w:rsidRPr="003E0DC1" w:rsidRDefault="003E0DC1" w:rsidP="003E0DC1">
            <w:pPr>
              <w:pStyle w:val="Tabletext"/>
              <w:jc w:val="center"/>
              <w:rPr>
                <w:lang w:val="fr-FR" w:eastAsia="zh-CN"/>
              </w:rPr>
            </w:pPr>
            <w:proofErr w:type="spellStart"/>
            <w:r w:rsidRPr="003E0DC1">
              <w:rPr>
                <w:lang w:val="fr-FR" w:eastAsia="zh-CN"/>
              </w:rPr>
              <w:t>See</w:t>
            </w:r>
            <w:proofErr w:type="spellEnd"/>
            <w:r w:rsidRPr="003E0DC1">
              <w:rPr>
                <w:lang w:val="fr-FR" w:eastAsia="zh-CN"/>
              </w:rPr>
              <w:t xml:space="preserve"> </w:t>
            </w:r>
            <w:r w:rsidR="003C74A4">
              <w:rPr>
                <w:lang w:val="fr-FR" w:eastAsia="zh-CN"/>
              </w:rPr>
              <w:br/>
            </w:r>
            <w:r w:rsidRPr="003E0DC1">
              <w:rPr>
                <w:lang w:val="fr-FR" w:eastAsia="zh-CN"/>
              </w:rPr>
              <w:t xml:space="preserve">Doc. </w:t>
            </w:r>
            <w:hyperlink r:id="rId16" w:history="1">
              <w:r w:rsidR="00D71BFF" w:rsidRPr="003E0DC1">
                <w:rPr>
                  <w:rStyle w:val="Hyperlink"/>
                  <w:lang w:val="fr-FR" w:eastAsia="zh-CN"/>
                </w:rPr>
                <w:t>1/1</w:t>
              </w:r>
            </w:hyperlink>
          </w:p>
        </w:tc>
        <w:tc>
          <w:tcPr>
            <w:tcW w:w="1416" w:type="dxa"/>
            <w:shd w:val="clear" w:color="auto" w:fill="EEECE1" w:themeFill="background2"/>
          </w:tcPr>
          <w:p w14:paraId="307335FF" w14:textId="4AB21A10" w:rsidR="00561B43" w:rsidRPr="005D7ABB" w:rsidRDefault="005D7ABB" w:rsidP="00C559F9">
            <w:pPr>
              <w:pStyle w:val="Tabletext"/>
              <w:jc w:val="center"/>
              <w:rPr>
                <w:lang w:val="en-US" w:eastAsia="zh-CN"/>
              </w:rPr>
            </w:pPr>
            <w:r w:rsidRPr="005D7ABB">
              <w:rPr>
                <w:lang w:val="en-US" w:eastAsia="zh-CN"/>
              </w:rPr>
              <w:t>1</w:t>
            </w:r>
          </w:p>
        </w:tc>
      </w:tr>
      <w:tr w:rsidR="00561B43" w14:paraId="7DB321B5" w14:textId="4EEB511A" w:rsidTr="00C559F9">
        <w:tc>
          <w:tcPr>
            <w:tcW w:w="1801" w:type="dxa"/>
            <w:shd w:val="clear" w:color="auto" w:fill="auto"/>
          </w:tcPr>
          <w:p w14:paraId="779FDDA2" w14:textId="5A24F3EF" w:rsidR="00561B43" w:rsidRPr="00C559F9" w:rsidRDefault="00E86190" w:rsidP="000D37C8">
            <w:pPr>
              <w:pStyle w:val="Tabletext"/>
              <w:rPr>
                <w:rStyle w:val="href"/>
                <w:b/>
                <w:spacing w:val="-6"/>
              </w:rPr>
            </w:pPr>
            <w:r w:rsidRPr="00C559F9">
              <w:rPr>
                <w:rStyle w:val="href"/>
                <w:b/>
                <w:spacing w:val="-6"/>
              </w:rPr>
              <w:t>37 (</w:t>
            </w:r>
            <w:r w:rsidR="004B1FC2">
              <w:rPr>
                <w:rStyle w:val="href"/>
                <w:b/>
                <w:spacing w:val="-6"/>
              </w:rPr>
              <w:t>Rev.</w:t>
            </w:r>
            <w:r w:rsidRPr="00C559F9">
              <w:rPr>
                <w:rStyle w:val="href"/>
                <w:b/>
                <w:spacing w:val="-6"/>
              </w:rPr>
              <w:t>WRC-</w:t>
            </w:r>
            <w:r w:rsidR="004B1FC2">
              <w:rPr>
                <w:rStyle w:val="href"/>
                <w:b/>
                <w:spacing w:val="-6"/>
              </w:rPr>
              <w:t>23</w:t>
            </w:r>
            <w:r w:rsidRPr="00C559F9">
              <w:rPr>
                <w:rStyle w:val="href"/>
                <w:b/>
                <w:spacing w:val="-6"/>
              </w:rPr>
              <w:t>)</w:t>
            </w:r>
          </w:p>
        </w:tc>
        <w:tc>
          <w:tcPr>
            <w:tcW w:w="2730" w:type="dxa"/>
            <w:shd w:val="clear" w:color="auto" w:fill="auto"/>
          </w:tcPr>
          <w:p w14:paraId="4B068E8E" w14:textId="5EAAE6F2" w:rsidR="00561B43" w:rsidRPr="00C60B0B" w:rsidRDefault="00E86190" w:rsidP="000D37C8">
            <w:pPr>
              <w:pStyle w:val="Tabletext"/>
              <w:rPr>
                <w:lang w:eastAsia="zh-CN"/>
              </w:rPr>
            </w:pPr>
            <w:r w:rsidRPr="00E86190">
              <w:rPr>
                <w:lang w:eastAsia="zh-CN"/>
              </w:rPr>
              <w:t>Operational procedures for earth stations on board vessels (ESVs) use</w:t>
            </w:r>
          </w:p>
        </w:tc>
        <w:tc>
          <w:tcPr>
            <w:tcW w:w="8538" w:type="dxa"/>
            <w:shd w:val="clear" w:color="auto" w:fill="auto"/>
          </w:tcPr>
          <w:p w14:paraId="1B5EC252" w14:textId="0BEC8A42" w:rsidR="00E86190" w:rsidRPr="00E86190" w:rsidRDefault="00E86190" w:rsidP="00E86190">
            <w:pPr>
              <w:pStyle w:val="Tabletext"/>
              <w:spacing w:before="60"/>
              <w:jc w:val="both"/>
              <w:rPr>
                <w:i/>
                <w:iCs/>
                <w:lang w:eastAsia="zh-CN"/>
              </w:rPr>
            </w:pPr>
            <w:r>
              <w:rPr>
                <w:lang w:val="en-US" w:eastAsia="zh-CN"/>
              </w:rPr>
              <w:tab/>
            </w:r>
            <w:r w:rsidRPr="00E86190">
              <w:rPr>
                <w:i/>
                <w:iCs/>
                <w:lang w:eastAsia="zh-CN"/>
              </w:rPr>
              <w:t>recommends</w:t>
            </w:r>
          </w:p>
          <w:p w14:paraId="5597BD6B" w14:textId="1D51808F" w:rsidR="00475392" w:rsidRPr="004B1FC2" w:rsidRDefault="00E86190" w:rsidP="00E86190">
            <w:pPr>
              <w:pStyle w:val="Tabletext"/>
              <w:spacing w:before="60"/>
              <w:jc w:val="both"/>
              <w:rPr>
                <w:lang w:eastAsia="zh-CN"/>
              </w:rPr>
            </w:pPr>
            <w:r w:rsidRPr="00E86190">
              <w:rPr>
                <w:lang w:eastAsia="zh-CN"/>
              </w:rPr>
              <w:t>that operation of ESVs follow the procedures set forth in the Annex.</w:t>
            </w:r>
          </w:p>
        </w:tc>
        <w:tc>
          <w:tcPr>
            <w:tcW w:w="961" w:type="dxa"/>
            <w:shd w:val="clear" w:color="auto" w:fill="auto"/>
          </w:tcPr>
          <w:p w14:paraId="394A97ED" w14:textId="03268B43" w:rsidR="00561B43" w:rsidRPr="00C60B0B" w:rsidRDefault="002D4AFF" w:rsidP="00A817D3">
            <w:pPr>
              <w:pStyle w:val="Tabletext"/>
              <w:jc w:val="center"/>
              <w:rPr>
                <w:lang w:val="en-US" w:eastAsia="zh-CN"/>
              </w:rPr>
            </w:pPr>
            <w:r>
              <w:rPr>
                <w:lang w:val="fr-FR" w:eastAsia="zh-CN"/>
              </w:rPr>
              <w:t>−</w:t>
            </w:r>
          </w:p>
        </w:tc>
        <w:tc>
          <w:tcPr>
            <w:tcW w:w="1416" w:type="dxa"/>
            <w:shd w:val="clear" w:color="auto" w:fill="auto"/>
          </w:tcPr>
          <w:p w14:paraId="349327A4" w14:textId="660B7C19" w:rsidR="00561B43" w:rsidRPr="00B867A8" w:rsidRDefault="005D7ABB" w:rsidP="00C559F9">
            <w:pPr>
              <w:pStyle w:val="Tabletext"/>
              <w:jc w:val="center"/>
              <w:rPr>
                <w:bCs/>
                <w:highlight w:val="cyan"/>
                <w:lang w:val="fr-FR" w:eastAsia="zh-CN"/>
              </w:rPr>
            </w:pPr>
            <w:r w:rsidRPr="005D7ABB">
              <w:t>5</w:t>
            </w:r>
          </w:p>
        </w:tc>
      </w:tr>
      <w:tr w:rsidR="00561B43" w14:paraId="3C0C9682" w14:textId="0C648637" w:rsidTr="00C559F9">
        <w:tc>
          <w:tcPr>
            <w:tcW w:w="1801" w:type="dxa"/>
            <w:shd w:val="clear" w:color="auto" w:fill="EEECE1" w:themeFill="background2"/>
          </w:tcPr>
          <w:p w14:paraId="7ED06A88" w14:textId="0A1E7763" w:rsidR="00561B43" w:rsidRPr="00C559F9" w:rsidRDefault="00ED0111" w:rsidP="000D37C8">
            <w:pPr>
              <w:pStyle w:val="Tabletext"/>
              <w:rPr>
                <w:rStyle w:val="href"/>
                <w:b/>
                <w:spacing w:val="-6"/>
              </w:rPr>
            </w:pPr>
            <w:r w:rsidRPr="00C559F9">
              <w:rPr>
                <w:rStyle w:val="href"/>
                <w:b/>
                <w:spacing w:val="-6"/>
              </w:rPr>
              <w:t>63 (</w:t>
            </w:r>
            <w:r w:rsidR="007323CA" w:rsidRPr="00C559F9">
              <w:rPr>
                <w:rStyle w:val="href"/>
                <w:b/>
                <w:spacing w:val="-6"/>
              </w:rPr>
              <w:t>Rev.</w:t>
            </w:r>
            <w:r w:rsidRPr="00C559F9">
              <w:rPr>
                <w:rStyle w:val="href"/>
                <w:b/>
                <w:spacing w:val="-6"/>
              </w:rPr>
              <w:t>WRC-19)</w:t>
            </w:r>
          </w:p>
        </w:tc>
        <w:tc>
          <w:tcPr>
            <w:tcW w:w="2730" w:type="dxa"/>
            <w:shd w:val="clear" w:color="auto" w:fill="EEECE1" w:themeFill="background2"/>
          </w:tcPr>
          <w:p w14:paraId="1C93EF00" w14:textId="26DFC04B" w:rsidR="00561B43" w:rsidRPr="00C60B0B" w:rsidRDefault="00ED0111" w:rsidP="00ED0111">
            <w:pPr>
              <w:pStyle w:val="Tabletext"/>
              <w:rPr>
                <w:lang w:eastAsia="zh-CN"/>
              </w:rPr>
            </w:pPr>
            <w:r>
              <w:rPr>
                <w:lang w:eastAsia="zh-CN"/>
              </w:rPr>
              <w:t>Relating to the provision of formulae and examples for the calculation of necessary bandwidths</w:t>
            </w:r>
          </w:p>
        </w:tc>
        <w:tc>
          <w:tcPr>
            <w:tcW w:w="8538" w:type="dxa"/>
            <w:shd w:val="clear" w:color="auto" w:fill="EEECE1" w:themeFill="background2"/>
          </w:tcPr>
          <w:p w14:paraId="3AF81813" w14:textId="184CB2CE" w:rsidR="00ED0111" w:rsidRPr="00ED0111" w:rsidRDefault="00ED0111" w:rsidP="00ED0111">
            <w:pPr>
              <w:tabs>
                <w:tab w:val="clear" w:pos="1134"/>
                <w:tab w:val="left" w:pos="313"/>
              </w:tabs>
              <w:spacing w:before="60" w:after="40"/>
              <w:jc w:val="both"/>
              <w:rPr>
                <w:i/>
                <w:iCs/>
                <w:sz w:val="20"/>
                <w:szCs w:val="16"/>
                <w:lang w:eastAsia="zh-CN"/>
              </w:rPr>
            </w:pPr>
            <w:r>
              <w:rPr>
                <w:lang w:val="en-US" w:eastAsia="zh-CN"/>
              </w:rPr>
              <w:tab/>
            </w:r>
            <w:r w:rsidRPr="00ED0111">
              <w:rPr>
                <w:i/>
                <w:iCs/>
                <w:sz w:val="20"/>
                <w:szCs w:val="16"/>
                <w:lang w:eastAsia="zh-CN"/>
              </w:rPr>
              <w:t>recommends that ITU-R</w:t>
            </w:r>
          </w:p>
          <w:p w14:paraId="07334F6B" w14:textId="05EF3A6C" w:rsidR="00ED0111" w:rsidRPr="00ED0111" w:rsidRDefault="00ED0111" w:rsidP="00ED0111">
            <w:pPr>
              <w:tabs>
                <w:tab w:val="clear" w:pos="1134"/>
                <w:tab w:val="left" w:pos="313"/>
              </w:tabs>
              <w:spacing w:before="60" w:after="40"/>
              <w:jc w:val="both"/>
              <w:rPr>
                <w:sz w:val="20"/>
                <w:szCs w:val="16"/>
                <w:lang w:eastAsia="zh-CN"/>
              </w:rPr>
            </w:pPr>
            <w:r w:rsidRPr="00ED0111">
              <w:rPr>
                <w:sz w:val="20"/>
                <w:szCs w:val="16"/>
                <w:lang w:eastAsia="zh-CN"/>
              </w:rPr>
              <w:t>1</w:t>
            </w:r>
            <w:r>
              <w:rPr>
                <w:lang w:val="en-US" w:eastAsia="zh-CN"/>
              </w:rPr>
              <w:tab/>
            </w:r>
            <w:r w:rsidRPr="00ED0111">
              <w:rPr>
                <w:sz w:val="20"/>
                <w:szCs w:val="16"/>
                <w:lang w:eastAsia="zh-CN"/>
              </w:rPr>
              <w:t>provide, from time to time, additional formulae for the determination of necessary</w:t>
            </w:r>
            <w:r>
              <w:rPr>
                <w:sz w:val="20"/>
                <w:szCs w:val="16"/>
                <w:lang w:eastAsia="zh-CN"/>
              </w:rPr>
              <w:t xml:space="preserve"> </w:t>
            </w:r>
            <w:r w:rsidRPr="00ED0111">
              <w:rPr>
                <w:sz w:val="20"/>
                <w:szCs w:val="16"/>
                <w:lang w:eastAsia="zh-CN"/>
              </w:rPr>
              <w:t>bandwidth for common classes of emission, as well as examples to supplement those given in</w:t>
            </w:r>
            <w:r>
              <w:rPr>
                <w:sz w:val="20"/>
                <w:szCs w:val="16"/>
                <w:lang w:eastAsia="zh-CN"/>
              </w:rPr>
              <w:t xml:space="preserve"> </w:t>
            </w:r>
            <w:r w:rsidRPr="00ED0111">
              <w:rPr>
                <w:sz w:val="20"/>
                <w:szCs w:val="16"/>
                <w:lang w:eastAsia="zh-CN"/>
              </w:rPr>
              <w:t>Recommendation ITU-R SM.1138;</w:t>
            </w:r>
          </w:p>
          <w:p w14:paraId="34C05BF7" w14:textId="4AC77C91" w:rsidR="00ED0111" w:rsidRPr="00ED0111" w:rsidRDefault="00ED0111" w:rsidP="00ED0111">
            <w:pPr>
              <w:tabs>
                <w:tab w:val="clear" w:pos="1134"/>
                <w:tab w:val="left" w:pos="313"/>
              </w:tabs>
              <w:spacing w:before="60" w:after="40"/>
              <w:jc w:val="both"/>
              <w:rPr>
                <w:sz w:val="20"/>
                <w:szCs w:val="16"/>
                <w:lang w:eastAsia="zh-CN"/>
              </w:rPr>
            </w:pPr>
            <w:r w:rsidRPr="00ED0111">
              <w:rPr>
                <w:sz w:val="20"/>
                <w:szCs w:val="16"/>
                <w:lang w:eastAsia="zh-CN"/>
              </w:rPr>
              <w:t>2</w:t>
            </w:r>
            <w:r>
              <w:rPr>
                <w:lang w:val="en-US" w:eastAsia="zh-CN"/>
              </w:rPr>
              <w:tab/>
            </w:r>
            <w:r w:rsidRPr="00ED0111">
              <w:rPr>
                <w:sz w:val="20"/>
                <w:szCs w:val="16"/>
                <w:lang w:eastAsia="zh-CN"/>
              </w:rPr>
              <w:t xml:space="preserve">study and provide values of supplementary </w:t>
            </w:r>
            <w:r w:rsidRPr="00ED0111">
              <w:rPr>
                <w:i/>
                <w:iCs/>
                <w:sz w:val="20"/>
                <w:szCs w:val="16"/>
                <w:lang w:eastAsia="zh-CN"/>
              </w:rPr>
              <w:t>K</w:t>
            </w:r>
            <w:r w:rsidRPr="00ED0111">
              <w:rPr>
                <w:sz w:val="20"/>
                <w:szCs w:val="16"/>
                <w:lang w:eastAsia="zh-CN"/>
              </w:rPr>
              <w:t>-factors required for the calculation of the</w:t>
            </w:r>
            <w:r>
              <w:rPr>
                <w:sz w:val="20"/>
                <w:szCs w:val="16"/>
                <w:lang w:eastAsia="zh-CN"/>
              </w:rPr>
              <w:t xml:space="preserve"> </w:t>
            </w:r>
            <w:r w:rsidRPr="00ED0111">
              <w:rPr>
                <w:sz w:val="20"/>
                <w:szCs w:val="16"/>
                <w:lang w:eastAsia="zh-CN"/>
              </w:rPr>
              <w:t>necessary bandwidth for common classes of emission,</w:t>
            </w:r>
          </w:p>
          <w:p w14:paraId="5294F483" w14:textId="503EFF1A" w:rsidR="00ED0111" w:rsidRPr="00ED0111" w:rsidRDefault="00ED0111" w:rsidP="00ED0111">
            <w:pPr>
              <w:tabs>
                <w:tab w:val="clear" w:pos="1134"/>
                <w:tab w:val="left" w:pos="313"/>
              </w:tabs>
              <w:spacing w:before="60" w:after="40"/>
              <w:jc w:val="both"/>
              <w:rPr>
                <w:i/>
                <w:iCs/>
                <w:sz w:val="20"/>
                <w:szCs w:val="16"/>
                <w:lang w:eastAsia="zh-CN"/>
              </w:rPr>
            </w:pPr>
            <w:r>
              <w:rPr>
                <w:lang w:val="en-US" w:eastAsia="zh-CN"/>
              </w:rPr>
              <w:tab/>
            </w:r>
            <w:r w:rsidRPr="00ED0111">
              <w:rPr>
                <w:i/>
                <w:iCs/>
                <w:sz w:val="20"/>
                <w:szCs w:val="16"/>
                <w:lang w:eastAsia="zh-CN"/>
              </w:rPr>
              <w:t>invites the Radiocommunication Bureau</w:t>
            </w:r>
          </w:p>
          <w:p w14:paraId="724495C2" w14:textId="17B851F1" w:rsidR="00561B43" w:rsidRPr="004B1FC2" w:rsidRDefault="00ED0111" w:rsidP="00ED0111">
            <w:pPr>
              <w:tabs>
                <w:tab w:val="clear" w:pos="1134"/>
                <w:tab w:val="left" w:pos="313"/>
              </w:tabs>
              <w:spacing w:before="60" w:after="40"/>
              <w:jc w:val="both"/>
              <w:rPr>
                <w:sz w:val="20"/>
                <w:szCs w:val="16"/>
                <w:lang w:eastAsia="zh-CN"/>
              </w:rPr>
            </w:pPr>
            <w:r w:rsidRPr="00ED0111">
              <w:rPr>
                <w:sz w:val="20"/>
                <w:szCs w:val="16"/>
                <w:lang w:eastAsia="zh-CN"/>
              </w:rPr>
              <w:t>to publish examples of such calculations in the Preface to the International Frequency Information</w:t>
            </w:r>
            <w:r>
              <w:rPr>
                <w:sz w:val="20"/>
                <w:szCs w:val="16"/>
                <w:lang w:eastAsia="zh-CN"/>
              </w:rPr>
              <w:t xml:space="preserve"> </w:t>
            </w:r>
            <w:r w:rsidRPr="00ED0111">
              <w:rPr>
                <w:sz w:val="20"/>
                <w:szCs w:val="16"/>
                <w:lang w:eastAsia="zh-CN"/>
              </w:rPr>
              <w:t>Circular (BR IFIC).</w:t>
            </w:r>
          </w:p>
        </w:tc>
        <w:tc>
          <w:tcPr>
            <w:tcW w:w="961" w:type="dxa"/>
            <w:shd w:val="clear" w:color="auto" w:fill="EEECE1" w:themeFill="background2"/>
          </w:tcPr>
          <w:p w14:paraId="4C322D9C" w14:textId="56AF03CB" w:rsidR="00561B43" w:rsidRPr="003E0DC1" w:rsidRDefault="003E0DC1" w:rsidP="003E0DC1">
            <w:pPr>
              <w:pStyle w:val="Tabletext"/>
              <w:jc w:val="center"/>
              <w:rPr>
                <w:lang w:val="fr-FR" w:eastAsia="zh-CN"/>
              </w:rPr>
            </w:pPr>
            <w:proofErr w:type="spellStart"/>
            <w:r w:rsidRPr="003E0DC1">
              <w:rPr>
                <w:lang w:val="fr-FR" w:eastAsia="zh-CN"/>
              </w:rPr>
              <w:t>See</w:t>
            </w:r>
            <w:proofErr w:type="spellEnd"/>
            <w:r w:rsidRPr="003E0DC1">
              <w:rPr>
                <w:lang w:val="fr-FR" w:eastAsia="zh-CN"/>
              </w:rPr>
              <w:t xml:space="preserve"> </w:t>
            </w:r>
            <w:r w:rsidR="00966F0E">
              <w:rPr>
                <w:lang w:val="fr-FR" w:eastAsia="zh-CN"/>
              </w:rPr>
              <w:br/>
            </w:r>
            <w:r w:rsidRPr="003E0DC1">
              <w:rPr>
                <w:lang w:val="fr-FR" w:eastAsia="zh-CN"/>
              </w:rPr>
              <w:t xml:space="preserve">Doc. </w:t>
            </w:r>
            <w:hyperlink r:id="rId17" w:history="1">
              <w:r w:rsidR="00D71BFF" w:rsidRPr="003E0DC1">
                <w:rPr>
                  <w:rStyle w:val="Hyperlink"/>
                  <w:lang w:val="fr-FR" w:eastAsia="zh-CN"/>
                </w:rPr>
                <w:t>1/1</w:t>
              </w:r>
            </w:hyperlink>
          </w:p>
        </w:tc>
        <w:tc>
          <w:tcPr>
            <w:tcW w:w="1416" w:type="dxa"/>
            <w:shd w:val="clear" w:color="auto" w:fill="EEECE1" w:themeFill="background2"/>
          </w:tcPr>
          <w:p w14:paraId="6869BA67" w14:textId="49528621" w:rsidR="005D7ABB" w:rsidRDefault="005D7ABB" w:rsidP="00C559F9">
            <w:pPr>
              <w:pStyle w:val="Tabletext"/>
              <w:jc w:val="center"/>
              <w:rPr>
                <w:lang w:val="en-US" w:eastAsia="zh-CN"/>
              </w:rPr>
            </w:pPr>
            <w:r w:rsidRPr="003C736F">
              <w:rPr>
                <w:lang w:val="en-US" w:eastAsia="zh-CN"/>
              </w:rPr>
              <w:t>1</w:t>
            </w:r>
          </w:p>
          <w:p w14:paraId="3B20E1DA" w14:textId="77777777" w:rsidR="005D7ABB" w:rsidRPr="003C736F" w:rsidRDefault="005D7ABB" w:rsidP="00C559F9">
            <w:pPr>
              <w:pStyle w:val="Tabletext"/>
              <w:jc w:val="center"/>
              <w:rPr>
                <w:color w:val="FF0000"/>
                <w:lang w:val="en-US" w:eastAsia="zh-CN"/>
              </w:rPr>
            </w:pPr>
            <w:r w:rsidRPr="003C736F">
              <w:rPr>
                <w:color w:val="FF0000"/>
                <w:lang w:val="en-US" w:eastAsia="zh-CN"/>
              </w:rPr>
              <w:t>AND</w:t>
            </w:r>
          </w:p>
          <w:p w14:paraId="077D91F9" w14:textId="5A37130D" w:rsidR="00ED0111" w:rsidRPr="005D7ABB" w:rsidRDefault="005D7ABB" w:rsidP="00C559F9">
            <w:pPr>
              <w:pStyle w:val="Tabletext"/>
              <w:jc w:val="center"/>
              <w:rPr>
                <w:lang w:eastAsia="zh-CN"/>
              </w:rPr>
            </w:pPr>
            <w:r>
              <w:rPr>
                <w:bCs/>
              </w:rPr>
              <w:t>2</w:t>
            </w:r>
          </w:p>
        </w:tc>
      </w:tr>
      <w:tr w:rsidR="00561B43" w14:paraId="4D09F3C6" w14:textId="7755B474" w:rsidTr="00C559F9">
        <w:tc>
          <w:tcPr>
            <w:tcW w:w="1801" w:type="dxa"/>
            <w:shd w:val="clear" w:color="auto" w:fill="auto"/>
          </w:tcPr>
          <w:p w14:paraId="1B5036DE" w14:textId="54B88768" w:rsidR="00561B43" w:rsidRPr="00C559F9" w:rsidRDefault="008B73A7" w:rsidP="000D37C8">
            <w:pPr>
              <w:pStyle w:val="Tabletext"/>
              <w:rPr>
                <w:rStyle w:val="href"/>
                <w:b/>
                <w:bCs/>
                <w:spacing w:val="-6"/>
              </w:rPr>
            </w:pPr>
            <w:r w:rsidRPr="00C559F9">
              <w:rPr>
                <w:b/>
                <w:bCs/>
                <w:spacing w:val="-6"/>
                <w:lang w:eastAsia="zh-CN"/>
              </w:rPr>
              <w:t>71 (WARC-79)</w:t>
            </w:r>
          </w:p>
        </w:tc>
        <w:tc>
          <w:tcPr>
            <w:tcW w:w="2730" w:type="dxa"/>
            <w:shd w:val="clear" w:color="auto" w:fill="auto"/>
          </w:tcPr>
          <w:p w14:paraId="79F9BDE2" w14:textId="77777777" w:rsidR="00561B43" w:rsidRDefault="008B73A7" w:rsidP="008B73A7">
            <w:pPr>
              <w:pStyle w:val="Tabletext"/>
              <w:rPr>
                <w:vertAlign w:val="superscript"/>
                <w:lang w:eastAsia="zh-CN"/>
              </w:rPr>
            </w:pPr>
            <w:r>
              <w:rPr>
                <w:lang w:eastAsia="zh-CN"/>
              </w:rPr>
              <w:t>Relating to the standardization of the technical and operational characteristics of radio equipment</w:t>
            </w:r>
            <w:r w:rsidRPr="008B73A7">
              <w:rPr>
                <w:vertAlign w:val="superscript"/>
                <w:lang w:eastAsia="zh-CN"/>
              </w:rPr>
              <w:t>1</w:t>
            </w:r>
          </w:p>
          <w:p w14:paraId="7CF6819B" w14:textId="77777777" w:rsidR="00C559F9" w:rsidRDefault="00C559F9" w:rsidP="00C559F9">
            <w:pPr>
              <w:pStyle w:val="Tabletext"/>
              <w:keepNext/>
              <w:keepLines/>
              <w:rPr>
                <w:vertAlign w:val="superscript"/>
                <w:lang w:eastAsia="zh-CN"/>
              </w:rPr>
            </w:pPr>
          </w:p>
          <w:p w14:paraId="17D716EA" w14:textId="77777777" w:rsidR="00C559F9" w:rsidRDefault="00C559F9" w:rsidP="00C559F9">
            <w:pPr>
              <w:pStyle w:val="Tabletext"/>
              <w:keepNext/>
              <w:keepLines/>
              <w:rPr>
                <w:lang w:eastAsia="zh-CN"/>
              </w:rPr>
            </w:pPr>
            <w:r>
              <w:rPr>
                <w:lang w:eastAsia="zh-CN"/>
              </w:rPr>
              <w:t>______________________</w:t>
            </w:r>
          </w:p>
          <w:p w14:paraId="6F55B165" w14:textId="3196CF5F" w:rsidR="00C559F9" w:rsidRPr="00405441" w:rsidRDefault="00C559F9" w:rsidP="00C559F9">
            <w:pPr>
              <w:pStyle w:val="Tabletext"/>
              <w:rPr>
                <w:lang w:eastAsia="zh-CN"/>
              </w:rPr>
            </w:pPr>
            <w:r w:rsidRPr="00915DC6">
              <w:rPr>
                <w:sz w:val="18"/>
                <w:szCs w:val="18"/>
                <w:vertAlign w:val="superscript"/>
                <w:lang w:eastAsia="zh-CN"/>
              </w:rPr>
              <w:t xml:space="preserve">1 </w:t>
            </w:r>
            <w:r w:rsidRPr="00915DC6">
              <w:rPr>
                <w:sz w:val="18"/>
                <w:szCs w:val="18"/>
                <w:lang w:eastAsia="zh-CN"/>
              </w:rPr>
              <w:t>WRC-97 made editorial amendments to this Recommendation.</w:t>
            </w:r>
          </w:p>
        </w:tc>
        <w:tc>
          <w:tcPr>
            <w:tcW w:w="8538" w:type="dxa"/>
            <w:shd w:val="clear" w:color="auto" w:fill="auto"/>
          </w:tcPr>
          <w:p w14:paraId="4C09A56C" w14:textId="7969B1DE" w:rsidR="008B73A7" w:rsidRPr="008B73A7" w:rsidRDefault="008B73A7" w:rsidP="008B73A7">
            <w:pPr>
              <w:tabs>
                <w:tab w:val="clear" w:pos="1134"/>
                <w:tab w:val="left" w:pos="313"/>
              </w:tabs>
              <w:spacing w:before="60" w:after="40"/>
              <w:jc w:val="both"/>
              <w:rPr>
                <w:i/>
                <w:iCs/>
                <w:sz w:val="20"/>
                <w:szCs w:val="16"/>
                <w:lang w:eastAsia="zh-CN"/>
              </w:rPr>
            </w:pPr>
            <w:r>
              <w:rPr>
                <w:lang w:val="en-US" w:eastAsia="zh-CN"/>
              </w:rPr>
              <w:tab/>
            </w:r>
            <w:r w:rsidRPr="008B73A7">
              <w:rPr>
                <w:i/>
                <w:iCs/>
                <w:sz w:val="20"/>
                <w:szCs w:val="16"/>
                <w:lang w:eastAsia="zh-CN"/>
              </w:rPr>
              <w:t>recommends</w:t>
            </w:r>
          </w:p>
          <w:p w14:paraId="48D60E79" w14:textId="65E70A42" w:rsidR="008B73A7" w:rsidRPr="008B73A7" w:rsidRDefault="008B73A7" w:rsidP="008B73A7">
            <w:pPr>
              <w:tabs>
                <w:tab w:val="clear" w:pos="1134"/>
                <w:tab w:val="left" w:pos="313"/>
              </w:tabs>
              <w:spacing w:before="60" w:after="40"/>
              <w:jc w:val="both"/>
              <w:rPr>
                <w:sz w:val="20"/>
                <w:szCs w:val="16"/>
                <w:lang w:eastAsia="zh-CN"/>
              </w:rPr>
            </w:pPr>
            <w:r w:rsidRPr="008B73A7">
              <w:rPr>
                <w:sz w:val="20"/>
                <w:szCs w:val="16"/>
                <w:lang w:eastAsia="zh-CN"/>
              </w:rPr>
              <w:t>1</w:t>
            </w:r>
            <w:r>
              <w:rPr>
                <w:lang w:val="en-US" w:eastAsia="zh-CN"/>
              </w:rPr>
              <w:tab/>
            </w:r>
            <w:r w:rsidRPr="008B73A7">
              <w:rPr>
                <w:sz w:val="20"/>
                <w:szCs w:val="16"/>
                <w:lang w:eastAsia="zh-CN"/>
              </w:rPr>
              <w:t>that administrations endeavour to cooperate with a view to establishing international</w:t>
            </w:r>
            <w:r>
              <w:rPr>
                <w:sz w:val="20"/>
                <w:szCs w:val="16"/>
                <w:lang w:eastAsia="zh-CN"/>
              </w:rPr>
              <w:t xml:space="preserve"> </w:t>
            </w:r>
            <w:r w:rsidRPr="008B73A7">
              <w:rPr>
                <w:sz w:val="20"/>
                <w:szCs w:val="16"/>
                <w:lang w:eastAsia="zh-CN"/>
              </w:rPr>
              <w:t>performance specifications and associated measuring methods that could be used as models for</w:t>
            </w:r>
            <w:r>
              <w:rPr>
                <w:sz w:val="20"/>
                <w:szCs w:val="16"/>
                <w:lang w:eastAsia="zh-CN"/>
              </w:rPr>
              <w:t xml:space="preserve"> </w:t>
            </w:r>
            <w:r w:rsidRPr="008B73A7">
              <w:rPr>
                <w:sz w:val="20"/>
                <w:szCs w:val="16"/>
                <w:lang w:eastAsia="zh-CN"/>
              </w:rPr>
              <w:t>domestic standards for radio equipment;</w:t>
            </w:r>
          </w:p>
          <w:p w14:paraId="3A6301C8" w14:textId="60D4DD9A" w:rsidR="008B73A7" w:rsidRPr="008B73A7" w:rsidRDefault="008B73A7" w:rsidP="008B73A7">
            <w:pPr>
              <w:tabs>
                <w:tab w:val="clear" w:pos="1134"/>
                <w:tab w:val="left" w:pos="313"/>
              </w:tabs>
              <w:spacing w:before="60" w:after="40"/>
              <w:jc w:val="both"/>
              <w:rPr>
                <w:sz w:val="20"/>
                <w:szCs w:val="16"/>
                <w:lang w:eastAsia="zh-CN"/>
              </w:rPr>
            </w:pPr>
            <w:r w:rsidRPr="008B73A7">
              <w:rPr>
                <w:sz w:val="20"/>
                <w:szCs w:val="16"/>
                <w:lang w:eastAsia="zh-CN"/>
              </w:rPr>
              <w:t>2</w:t>
            </w:r>
            <w:r>
              <w:rPr>
                <w:lang w:val="en-US" w:eastAsia="zh-CN"/>
              </w:rPr>
              <w:tab/>
            </w:r>
            <w:r w:rsidRPr="008B73A7">
              <w:rPr>
                <w:sz w:val="20"/>
                <w:szCs w:val="16"/>
                <w:lang w:eastAsia="zh-CN"/>
              </w:rPr>
              <w:t>that such international performance specifications and associated measuring methods</w:t>
            </w:r>
            <w:r>
              <w:rPr>
                <w:sz w:val="20"/>
                <w:szCs w:val="16"/>
                <w:lang w:eastAsia="zh-CN"/>
              </w:rPr>
              <w:t xml:space="preserve"> </w:t>
            </w:r>
            <w:r w:rsidRPr="008B73A7">
              <w:rPr>
                <w:sz w:val="20"/>
                <w:szCs w:val="16"/>
                <w:lang w:eastAsia="zh-CN"/>
              </w:rPr>
              <w:t>respond to widely representative conditions including specific requirements of developing countries;</w:t>
            </w:r>
          </w:p>
          <w:p w14:paraId="009B4C1C" w14:textId="417A4F0A" w:rsidR="008B73A7" w:rsidRPr="008B73A7" w:rsidRDefault="008B73A7" w:rsidP="008B73A7">
            <w:pPr>
              <w:tabs>
                <w:tab w:val="clear" w:pos="1134"/>
                <w:tab w:val="left" w:pos="313"/>
              </w:tabs>
              <w:spacing w:before="60" w:after="40"/>
              <w:jc w:val="both"/>
              <w:rPr>
                <w:sz w:val="20"/>
                <w:szCs w:val="16"/>
                <w:lang w:eastAsia="zh-CN"/>
              </w:rPr>
            </w:pPr>
            <w:r w:rsidRPr="008B73A7">
              <w:rPr>
                <w:sz w:val="20"/>
                <w:szCs w:val="16"/>
                <w:lang w:eastAsia="zh-CN"/>
              </w:rPr>
              <w:t>3</w:t>
            </w:r>
            <w:r>
              <w:rPr>
                <w:lang w:val="en-US" w:eastAsia="zh-CN"/>
              </w:rPr>
              <w:tab/>
            </w:r>
            <w:r w:rsidRPr="008B73A7">
              <w:rPr>
                <w:sz w:val="20"/>
                <w:szCs w:val="16"/>
                <w:lang w:eastAsia="zh-CN"/>
              </w:rPr>
              <w:t>that, when such international performance specifications for radio equipment exist,</w:t>
            </w:r>
            <w:r>
              <w:rPr>
                <w:sz w:val="20"/>
                <w:szCs w:val="16"/>
                <w:lang w:eastAsia="zh-CN"/>
              </w:rPr>
              <w:t xml:space="preserve"> </w:t>
            </w:r>
            <w:r w:rsidRPr="008B73A7">
              <w:rPr>
                <w:sz w:val="20"/>
                <w:szCs w:val="16"/>
                <w:lang w:eastAsia="zh-CN"/>
              </w:rPr>
              <w:t>administrations, as far as practicable, adopt these specifications as a basis for their national standards;</w:t>
            </w:r>
          </w:p>
          <w:p w14:paraId="45836C39" w14:textId="346DEC15" w:rsidR="00561B43" w:rsidRPr="004B1FC2" w:rsidRDefault="008B73A7" w:rsidP="008B73A7">
            <w:pPr>
              <w:tabs>
                <w:tab w:val="clear" w:pos="1134"/>
                <w:tab w:val="left" w:pos="313"/>
              </w:tabs>
              <w:spacing w:before="60" w:after="40"/>
              <w:jc w:val="both"/>
              <w:rPr>
                <w:sz w:val="20"/>
                <w:szCs w:val="16"/>
                <w:lang w:eastAsia="zh-CN"/>
              </w:rPr>
            </w:pPr>
            <w:r w:rsidRPr="008B73A7">
              <w:rPr>
                <w:sz w:val="20"/>
                <w:szCs w:val="16"/>
                <w:lang w:eastAsia="zh-CN"/>
              </w:rPr>
              <w:t>4</w:t>
            </w:r>
            <w:r>
              <w:rPr>
                <w:lang w:val="en-US" w:eastAsia="zh-CN"/>
              </w:rPr>
              <w:tab/>
            </w:r>
            <w:r w:rsidRPr="008B73A7">
              <w:rPr>
                <w:sz w:val="20"/>
                <w:szCs w:val="16"/>
                <w:lang w:eastAsia="zh-CN"/>
              </w:rPr>
              <w:t xml:space="preserve">that administrations consider as far as practicable mutual acceptance for the </w:t>
            </w:r>
            <w:proofErr w:type="gramStart"/>
            <w:r w:rsidRPr="008B73A7">
              <w:rPr>
                <w:sz w:val="20"/>
                <w:szCs w:val="16"/>
                <w:lang w:eastAsia="zh-CN"/>
              </w:rPr>
              <w:t>type</w:t>
            </w:r>
            <w:proofErr w:type="gramEnd"/>
            <w:r w:rsidRPr="008B73A7">
              <w:rPr>
                <w:sz w:val="20"/>
                <w:szCs w:val="16"/>
                <w:lang w:eastAsia="zh-CN"/>
              </w:rPr>
              <w:t xml:space="preserve"> approval</w:t>
            </w:r>
            <w:r>
              <w:rPr>
                <w:sz w:val="20"/>
                <w:szCs w:val="16"/>
                <w:lang w:eastAsia="zh-CN"/>
              </w:rPr>
              <w:t xml:space="preserve"> </w:t>
            </w:r>
            <w:r w:rsidRPr="008B73A7">
              <w:rPr>
                <w:sz w:val="20"/>
                <w:szCs w:val="16"/>
                <w:lang w:eastAsia="zh-CN"/>
              </w:rPr>
              <w:t>of equipment which conforms to such performance specifications.</w:t>
            </w:r>
          </w:p>
        </w:tc>
        <w:tc>
          <w:tcPr>
            <w:tcW w:w="961" w:type="dxa"/>
            <w:shd w:val="clear" w:color="auto" w:fill="auto"/>
          </w:tcPr>
          <w:p w14:paraId="5DDB9C59" w14:textId="45C4D989" w:rsidR="00561B43" w:rsidRPr="00443FF7" w:rsidRDefault="00443FF7" w:rsidP="00A817D3">
            <w:pPr>
              <w:pStyle w:val="Tabletext"/>
              <w:jc w:val="center"/>
              <w:rPr>
                <w:b/>
                <w:bCs/>
                <w:highlight w:val="yellow"/>
                <w:lang w:val="fr-FR" w:eastAsia="zh-CN"/>
              </w:rPr>
            </w:pPr>
            <w:r>
              <w:rPr>
                <w:lang w:val="fr-FR" w:eastAsia="zh-CN"/>
              </w:rPr>
              <w:t>−</w:t>
            </w:r>
          </w:p>
        </w:tc>
        <w:tc>
          <w:tcPr>
            <w:tcW w:w="1416" w:type="dxa"/>
            <w:shd w:val="clear" w:color="auto" w:fill="auto"/>
          </w:tcPr>
          <w:p w14:paraId="2DF8AC6B" w14:textId="5FA9B97C" w:rsidR="00561B43" w:rsidRPr="00B867A8" w:rsidRDefault="00562A80" w:rsidP="00C559F9">
            <w:pPr>
              <w:pStyle w:val="Tabletext"/>
              <w:jc w:val="center"/>
              <w:rPr>
                <w:bCs/>
                <w:highlight w:val="yellow"/>
                <w:lang w:val="fr-FR" w:eastAsia="zh-CN"/>
              </w:rPr>
            </w:pPr>
            <w:r w:rsidRPr="005D7ABB">
              <w:t>5</w:t>
            </w:r>
          </w:p>
        </w:tc>
      </w:tr>
      <w:tr w:rsidR="00561B43" w14:paraId="373CC1CC" w14:textId="37FB5C77" w:rsidTr="00C559F9">
        <w:tc>
          <w:tcPr>
            <w:tcW w:w="1801" w:type="dxa"/>
            <w:shd w:val="clear" w:color="auto" w:fill="EEECE1" w:themeFill="background2"/>
          </w:tcPr>
          <w:p w14:paraId="0F93289A" w14:textId="46687020" w:rsidR="00561B43" w:rsidRPr="00C559F9" w:rsidRDefault="00BA5461" w:rsidP="00E33D2E">
            <w:pPr>
              <w:pStyle w:val="Tabletext"/>
              <w:keepNext/>
              <w:keepLines/>
              <w:rPr>
                <w:rStyle w:val="href"/>
                <w:b/>
                <w:spacing w:val="-6"/>
                <w:sz w:val="24"/>
              </w:rPr>
            </w:pPr>
            <w:r w:rsidRPr="00C559F9">
              <w:rPr>
                <w:rStyle w:val="href"/>
                <w:b/>
                <w:spacing w:val="-6"/>
              </w:rPr>
              <w:lastRenderedPageBreak/>
              <w:t>75 (</w:t>
            </w:r>
            <w:r w:rsidR="007323CA" w:rsidRPr="00C559F9">
              <w:rPr>
                <w:rStyle w:val="href"/>
                <w:b/>
                <w:spacing w:val="-6"/>
              </w:rPr>
              <w:t>Rev.</w:t>
            </w:r>
            <w:r w:rsidRPr="00C559F9">
              <w:rPr>
                <w:rStyle w:val="href"/>
                <w:b/>
                <w:spacing w:val="-6"/>
              </w:rPr>
              <w:t>WRC-15)</w:t>
            </w:r>
          </w:p>
        </w:tc>
        <w:tc>
          <w:tcPr>
            <w:tcW w:w="2730" w:type="dxa"/>
            <w:shd w:val="clear" w:color="auto" w:fill="EEECE1" w:themeFill="background2"/>
          </w:tcPr>
          <w:p w14:paraId="1B8946F5" w14:textId="01AB026E" w:rsidR="00561B43" w:rsidRPr="00405441" w:rsidRDefault="00BA5461" w:rsidP="00E33D2E">
            <w:pPr>
              <w:pStyle w:val="Tabletext"/>
              <w:keepNext/>
              <w:keepLines/>
              <w:rPr>
                <w:lang w:eastAsia="zh-CN"/>
              </w:rPr>
            </w:pPr>
            <w:r>
              <w:rPr>
                <w:lang w:eastAsia="zh-CN"/>
              </w:rPr>
              <w:t>Study of the boundary between the out-of-band and spurious domains of primary radars using magnetrons</w:t>
            </w:r>
          </w:p>
        </w:tc>
        <w:tc>
          <w:tcPr>
            <w:tcW w:w="8538" w:type="dxa"/>
            <w:shd w:val="clear" w:color="auto" w:fill="EEECE1" w:themeFill="background2"/>
          </w:tcPr>
          <w:p w14:paraId="01FCEBD5" w14:textId="01DCC060" w:rsidR="00BA5461" w:rsidRPr="00BA5461" w:rsidRDefault="00BA5461" w:rsidP="00E33D2E">
            <w:pPr>
              <w:keepNext/>
              <w:keepLines/>
              <w:tabs>
                <w:tab w:val="clear" w:pos="1134"/>
                <w:tab w:val="left" w:pos="313"/>
              </w:tabs>
              <w:spacing w:before="60" w:after="40"/>
              <w:jc w:val="both"/>
              <w:rPr>
                <w:i/>
                <w:iCs/>
                <w:sz w:val="20"/>
                <w:szCs w:val="16"/>
                <w:lang w:eastAsia="zh-CN"/>
              </w:rPr>
            </w:pPr>
            <w:r>
              <w:rPr>
                <w:lang w:val="en-US" w:eastAsia="zh-CN"/>
              </w:rPr>
              <w:tab/>
            </w:r>
            <w:r w:rsidRPr="00BA5461">
              <w:rPr>
                <w:i/>
                <w:iCs/>
                <w:sz w:val="20"/>
                <w:szCs w:val="16"/>
                <w:lang w:eastAsia="zh-CN"/>
              </w:rPr>
              <w:t>recommends</w:t>
            </w:r>
          </w:p>
          <w:p w14:paraId="3594B2A1" w14:textId="3424ABCE" w:rsidR="00BA5461" w:rsidRPr="00BA5461" w:rsidRDefault="00BA5461" w:rsidP="00E33D2E">
            <w:pPr>
              <w:keepNext/>
              <w:keepLines/>
              <w:tabs>
                <w:tab w:val="clear" w:pos="1134"/>
                <w:tab w:val="left" w:pos="313"/>
              </w:tabs>
              <w:spacing w:before="60" w:after="40"/>
              <w:jc w:val="both"/>
              <w:rPr>
                <w:sz w:val="20"/>
                <w:szCs w:val="16"/>
                <w:lang w:eastAsia="zh-CN"/>
              </w:rPr>
            </w:pPr>
            <w:r w:rsidRPr="00BA5461">
              <w:rPr>
                <w:sz w:val="20"/>
                <w:szCs w:val="16"/>
                <w:lang w:eastAsia="zh-CN"/>
              </w:rPr>
              <w:t>that ITU-R study calculation methods for the −40 dB bandwidth necessary for the determination of</w:t>
            </w:r>
            <w:r>
              <w:rPr>
                <w:sz w:val="20"/>
                <w:szCs w:val="16"/>
                <w:lang w:eastAsia="zh-CN"/>
              </w:rPr>
              <w:t xml:space="preserve"> </w:t>
            </w:r>
            <w:r w:rsidRPr="00BA5461">
              <w:rPr>
                <w:sz w:val="20"/>
                <w:szCs w:val="16"/>
                <w:lang w:eastAsia="zh-CN"/>
              </w:rPr>
              <w:t>the boundary between the spurious and out-of-band domains of primary radars using magnetrons,</w:t>
            </w:r>
          </w:p>
          <w:p w14:paraId="2495A8C0" w14:textId="438E5550" w:rsidR="00BA5461" w:rsidRPr="00BA5461" w:rsidRDefault="00867111" w:rsidP="00E33D2E">
            <w:pPr>
              <w:keepNext/>
              <w:keepLines/>
              <w:tabs>
                <w:tab w:val="clear" w:pos="1134"/>
                <w:tab w:val="left" w:pos="313"/>
              </w:tabs>
              <w:spacing w:before="60" w:after="40"/>
              <w:jc w:val="both"/>
              <w:rPr>
                <w:i/>
                <w:iCs/>
                <w:sz w:val="20"/>
                <w:szCs w:val="16"/>
                <w:lang w:eastAsia="zh-CN"/>
              </w:rPr>
            </w:pPr>
            <w:r>
              <w:rPr>
                <w:lang w:val="en-US" w:eastAsia="zh-CN"/>
              </w:rPr>
              <w:tab/>
            </w:r>
            <w:proofErr w:type="spellStart"/>
            <w:r w:rsidR="00BA5461" w:rsidRPr="00BA5461">
              <w:rPr>
                <w:i/>
                <w:iCs/>
                <w:sz w:val="20"/>
                <w:szCs w:val="16"/>
                <w:lang w:val="en-US" w:eastAsia="zh-CN"/>
              </w:rPr>
              <w:t>i</w:t>
            </w:r>
            <w:r w:rsidR="00BA5461" w:rsidRPr="00BA5461">
              <w:rPr>
                <w:i/>
                <w:iCs/>
                <w:sz w:val="20"/>
                <w:szCs w:val="16"/>
                <w:lang w:eastAsia="zh-CN"/>
              </w:rPr>
              <w:t>nvites</w:t>
            </w:r>
            <w:proofErr w:type="spellEnd"/>
            <w:r w:rsidR="00BA5461" w:rsidRPr="00BA5461">
              <w:rPr>
                <w:i/>
                <w:iCs/>
                <w:sz w:val="20"/>
                <w:szCs w:val="16"/>
                <w:lang w:eastAsia="zh-CN"/>
              </w:rPr>
              <w:t xml:space="preserve"> administrations</w:t>
            </w:r>
          </w:p>
          <w:p w14:paraId="7C73E284" w14:textId="1C77948F" w:rsidR="00561B43" w:rsidRPr="00BA5461" w:rsidRDefault="00BA5461" w:rsidP="00E33D2E">
            <w:pPr>
              <w:keepNext/>
              <w:keepLines/>
              <w:tabs>
                <w:tab w:val="clear" w:pos="1134"/>
                <w:tab w:val="left" w:pos="313"/>
              </w:tabs>
              <w:spacing w:before="60" w:after="40"/>
              <w:jc w:val="both"/>
              <w:rPr>
                <w:sz w:val="20"/>
                <w:szCs w:val="16"/>
                <w:lang w:eastAsia="zh-CN"/>
              </w:rPr>
            </w:pPr>
            <w:r w:rsidRPr="00BA5461">
              <w:rPr>
                <w:sz w:val="20"/>
                <w:szCs w:val="16"/>
                <w:lang w:eastAsia="zh-CN"/>
              </w:rPr>
              <w:t>to participate actively in the above studies by submitting contributions to ITU-R.</w:t>
            </w:r>
          </w:p>
        </w:tc>
        <w:tc>
          <w:tcPr>
            <w:tcW w:w="961" w:type="dxa"/>
            <w:shd w:val="clear" w:color="auto" w:fill="EEECE1" w:themeFill="background2"/>
          </w:tcPr>
          <w:p w14:paraId="04C5E708" w14:textId="06AE97F0" w:rsidR="00561B43" w:rsidRPr="00BF03AA" w:rsidRDefault="003E0DC1" w:rsidP="00E33D2E">
            <w:pPr>
              <w:pStyle w:val="Tabletext"/>
              <w:keepNext/>
              <w:keepLines/>
              <w:jc w:val="center"/>
              <w:rPr>
                <w:b/>
                <w:bCs/>
                <w:highlight w:val="yellow"/>
                <w:lang w:val="fr-FR" w:eastAsia="zh-CN"/>
              </w:rPr>
            </w:pPr>
            <w:proofErr w:type="spellStart"/>
            <w:r w:rsidRPr="003E0DC1">
              <w:rPr>
                <w:lang w:val="fr-FR" w:eastAsia="zh-CN"/>
              </w:rPr>
              <w:t>See</w:t>
            </w:r>
            <w:proofErr w:type="spellEnd"/>
            <w:r w:rsidRPr="003E0DC1">
              <w:rPr>
                <w:lang w:val="fr-FR" w:eastAsia="zh-CN"/>
              </w:rPr>
              <w:t xml:space="preserve"> </w:t>
            </w:r>
            <w:r w:rsidR="003C74A4">
              <w:rPr>
                <w:lang w:val="fr-FR" w:eastAsia="zh-CN"/>
              </w:rPr>
              <w:br/>
            </w:r>
            <w:r w:rsidRPr="003E0DC1">
              <w:rPr>
                <w:lang w:val="fr-FR" w:eastAsia="zh-CN"/>
              </w:rPr>
              <w:t>Doc</w:t>
            </w:r>
            <w:r w:rsidR="003C74A4">
              <w:rPr>
                <w:lang w:val="fr-FR" w:eastAsia="zh-CN"/>
              </w:rPr>
              <w:t>.</w:t>
            </w:r>
            <w:r w:rsidRPr="003E0DC1">
              <w:rPr>
                <w:lang w:val="fr-FR" w:eastAsia="zh-CN"/>
              </w:rPr>
              <w:t xml:space="preserve"> </w:t>
            </w:r>
            <w:hyperlink r:id="rId18" w:history="1">
              <w:r w:rsidR="00D71BFF" w:rsidRPr="003E0DC1">
                <w:rPr>
                  <w:rStyle w:val="Hyperlink"/>
                  <w:lang w:val="fr-FR" w:eastAsia="zh-CN"/>
                </w:rPr>
                <w:t>1/1</w:t>
              </w:r>
            </w:hyperlink>
            <w:r>
              <w:rPr>
                <w:lang w:val="fr-FR" w:eastAsia="zh-CN"/>
              </w:rPr>
              <w:t xml:space="preserve"> and </w:t>
            </w:r>
            <w:r w:rsidR="003C74A4">
              <w:rPr>
                <w:lang w:val="fr-FR" w:eastAsia="zh-CN"/>
              </w:rPr>
              <w:br/>
            </w:r>
            <w:r w:rsidR="003C74A4">
              <w:t xml:space="preserve">Doc. </w:t>
            </w:r>
            <w:hyperlink r:id="rId19" w:history="1">
              <w:r w:rsidR="00D71BFF" w:rsidRPr="003E0DC1">
                <w:rPr>
                  <w:rStyle w:val="Hyperlink"/>
                  <w:lang w:val="fr-FR" w:eastAsia="zh-CN"/>
                </w:rPr>
                <w:t>5/1</w:t>
              </w:r>
            </w:hyperlink>
          </w:p>
        </w:tc>
        <w:tc>
          <w:tcPr>
            <w:tcW w:w="1416" w:type="dxa"/>
            <w:shd w:val="clear" w:color="auto" w:fill="EEECE1" w:themeFill="background2"/>
          </w:tcPr>
          <w:p w14:paraId="411701AB" w14:textId="391665F8" w:rsidR="00561B43" w:rsidRPr="00562A80" w:rsidRDefault="00562A80" w:rsidP="00E33D2E">
            <w:pPr>
              <w:pStyle w:val="Tabletext"/>
              <w:keepNext/>
              <w:keepLines/>
              <w:jc w:val="center"/>
              <w:rPr>
                <w:lang w:val="en-US" w:eastAsia="zh-CN"/>
              </w:rPr>
            </w:pPr>
            <w:r w:rsidRPr="003C736F">
              <w:rPr>
                <w:lang w:val="en-US" w:eastAsia="zh-CN"/>
              </w:rPr>
              <w:t>1</w:t>
            </w:r>
          </w:p>
        </w:tc>
      </w:tr>
      <w:tr w:rsidR="00561B43" w14:paraId="2122CAB8" w14:textId="2AA7DF0E" w:rsidTr="00C559F9">
        <w:tc>
          <w:tcPr>
            <w:tcW w:w="1801" w:type="dxa"/>
            <w:shd w:val="clear" w:color="auto" w:fill="EEECE1" w:themeFill="background2"/>
          </w:tcPr>
          <w:p w14:paraId="5804F7D0" w14:textId="581BDB84" w:rsidR="00561B43" w:rsidRPr="00C559F9" w:rsidRDefault="000C078C" w:rsidP="000D37C8">
            <w:pPr>
              <w:pStyle w:val="Tabletext"/>
              <w:rPr>
                <w:rStyle w:val="href"/>
                <w:b/>
                <w:spacing w:val="-6"/>
              </w:rPr>
            </w:pPr>
            <w:r w:rsidRPr="00C559F9">
              <w:rPr>
                <w:rStyle w:val="href"/>
                <w:b/>
                <w:spacing w:val="-6"/>
              </w:rPr>
              <w:t>76 (WRC-12)</w:t>
            </w:r>
          </w:p>
        </w:tc>
        <w:tc>
          <w:tcPr>
            <w:tcW w:w="2730" w:type="dxa"/>
            <w:shd w:val="clear" w:color="auto" w:fill="EEECE1" w:themeFill="background2"/>
          </w:tcPr>
          <w:p w14:paraId="51A3CE1D" w14:textId="18EF7C4B" w:rsidR="00561B43" w:rsidRDefault="000C078C" w:rsidP="00405441">
            <w:pPr>
              <w:pStyle w:val="Tabletext"/>
              <w:rPr>
                <w:lang w:eastAsia="zh-CN"/>
              </w:rPr>
            </w:pPr>
            <w:r w:rsidRPr="000C078C">
              <w:rPr>
                <w:lang w:eastAsia="zh-CN"/>
              </w:rPr>
              <w:t>Deployment and use of cognitive radio systems</w:t>
            </w:r>
          </w:p>
        </w:tc>
        <w:tc>
          <w:tcPr>
            <w:tcW w:w="8538" w:type="dxa"/>
            <w:shd w:val="clear" w:color="auto" w:fill="EEECE1" w:themeFill="background2"/>
          </w:tcPr>
          <w:p w14:paraId="7E08D47B" w14:textId="6467B505" w:rsidR="000C078C" w:rsidRPr="000C078C" w:rsidRDefault="000C078C" w:rsidP="000C078C">
            <w:pPr>
              <w:tabs>
                <w:tab w:val="clear" w:pos="1134"/>
                <w:tab w:val="left" w:pos="313"/>
              </w:tabs>
              <w:spacing w:before="60" w:after="40"/>
              <w:jc w:val="both"/>
              <w:rPr>
                <w:i/>
                <w:iCs/>
                <w:sz w:val="20"/>
                <w:szCs w:val="16"/>
                <w:lang w:eastAsia="zh-CN"/>
              </w:rPr>
            </w:pPr>
            <w:r>
              <w:rPr>
                <w:lang w:val="en-US" w:eastAsia="zh-CN"/>
              </w:rPr>
              <w:tab/>
            </w:r>
            <w:r w:rsidRPr="000C078C">
              <w:rPr>
                <w:i/>
                <w:iCs/>
                <w:sz w:val="20"/>
                <w:szCs w:val="16"/>
                <w:lang w:eastAsia="zh-CN"/>
              </w:rPr>
              <w:t>recommends</w:t>
            </w:r>
          </w:p>
          <w:p w14:paraId="1427096D" w14:textId="6592A86D" w:rsidR="00561B43" w:rsidRPr="0014139D" w:rsidRDefault="000C078C" w:rsidP="000C078C">
            <w:pPr>
              <w:tabs>
                <w:tab w:val="clear" w:pos="1134"/>
                <w:tab w:val="left" w:pos="313"/>
              </w:tabs>
              <w:spacing w:before="60" w:after="40"/>
              <w:jc w:val="both"/>
              <w:rPr>
                <w:sz w:val="20"/>
                <w:szCs w:val="16"/>
                <w:lang w:val="en-US" w:eastAsia="zh-CN"/>
              </w:rPr>
            </w:pPr>
            <w:r w:rsidRPr="000C078C">
              <w:rPr>
                <w:sz w:val="20"/>
                <w:szCs w:val="16"/>
                <w:lang w:eastAsia="zh-CN"/>
              </w:rPr>
              <w:t>that administrations participate actively in the ITU-R studies conducted under Resolution ITU-R 58,</w:t>
            </w:r>
            <w:r>
              <w:rPr>
                <w:sz w:val="20"/>
                <w:szCs w:val="16"/>
                <w:lang w:eastAsia="zh-CN"/>
              </w:rPr>
              <w:t xml:space="preserve"> </w:t>
            </w:r>
            <w:proofErr w:type="gramStart"/>
            <w:r w:rsidRPr="000C078C">
              <w:rPr>
                <w:sz w:val="20"/>
                <w:szCs w:val="16"/>
                <w:lang w:eastAsia="zh-CN"/>
              </w:rPr>
              <w:t>taking into account</w:t>
            </w:r>
            <w:proofErr w:type="gramEnd"/>
            <w:r w:rsidRPr="000C078C">
              <w:rPr>
                <w:sz w:val="20"/>
                <w:szCs w:val="16"/>
                <w:lang w:eastAsia="zh-CN"/>
              </w:rPr>
              <w:t xml:space="preserve"> </w:t>
            </w:r>
            <w:r w:rsidRPr="000C078C">
              <w:rPr>
                <w:i/>
                <w:iCs/>
                <w:sz w:val="20"/>
                <w:szCs w:val="16"/>
                <w:lang w:eastAsia="zh-CN"/>
              </w:rPr>
              <w:t xml:space="preserve">recognizing a) </w:t>
            </w:r>
            <w:r w:rsidRPr="000C078C">
              <w:rPr>
                <w:sz w:val="20"/>
                <w:szCs w:val="16"/>
                <w:lang w:eastAsia="zh-CN"/>
              </w:rPr>
              <w:t xml:space="preserve">and </w:t>
            </w:r>
            <w:r w:rsidRPr="000C078C">
              <w:rPr>
                <w:i/>
                <w:iCs/>
                <w:sz w:val="20"/>
                <w:szCs w:val="16"/>
                <w:lang w:eastAsia="zh-CN"/>
              </w:rPr>
              <w:t>b)</w:t>
            </w:r>
            <w:r w:rsidRPr="000C078C">
              <w:rPr>
                <w:sz w:val="20"/>
                <w:szCs w:val="16"/>
                <w:lang w:eastAsia="zh-CN"/>
              </w:rPr>
              <w:t>.</w:t>
            </w:r>
          </w:p>
        </w:tc>
        <w:tc>
          <w:tcPr>
            <w:tcW w:w="961" w:type="dxa"/>
            <w:shd w:val="clear" w:color="auto" w:fill="EEECE1" w:themeFill="background2"/>
          </w:tcPr>
          <w:p w14:paraId="38A15ABD" w14:textId="6B8DF830" w:rsidR="003329D3" w:rsidRPr="00E33D2E" w:rsidRDefault="003E0DC1" w:rsidP="003C74A4">
            <w:pPr>
              <w:pStyle w:val="Tabletext"/>
              <w:jc w:val="center"/>
              <w:rPr>
                <w:lang w:val="fr-FR" w:eastAsia="zh-CN"/>
              </w:rPr>
            </w:pPr>
            <w:proofErr w:type="spellStart"/>
            <w:r w:rsidRPr="003E0DC1">
              <w:rPr>
                <w:lang w:val="fr-FR" w:eastAsia="zh-CN"/>
              </w:rPr>
              <w:t>See</w:t>
            </w:r>
            <w:proofErr w:type="spellEnd"/>
            <w:r w:rsidRPr="003E0DC1">
              <w:rPr>
                <w:lang w:val="fr-FR" w:eastAsia="zh-CN"/>
              </w:rPr>
              <w:t xml:space="preserve"> </w:t>
            </w:r>
            <w:r w:rsidR="003C74A4">
              <w:rPr>
                <w:lang w:val="fr-FR" w:eastAsia="zh-CN"/>
              </w:rPr>
              <w:br/>
            </w:r>
            <w:r w:rsidRPr="003E0DC1">
              <w:rPr>
                <w:lang w:val="fr-FR" w:eastAsia="zh-CN"/>
              </w:rPr>
              <w:t xml:space="preserve">Doc. </w:t>
            </w:r>
            <w:hyperlink r:id="rId20" w:history="1">
              <w:r w:rsidRPr="003E0DC1">
                <w:rPr>
                  <w:rStyle w:val="Hyperlink"/>
                  <w:lang w:val="fr-FR" w:eastAsia="zh-CN"/>
                </w:rPr>
                <w:t>1/1</w:t>
              </w:r>
            </w:hyperlink>
            <w:r>
              <w:rPr>
                <w:lang w:val="fr-FR" w:eastAsia="zh-CN"/>
              </w:rPr>
              <w:t xml:space="preserve"> and </w:t>
            </w:r>
            <w:r w:rsidR="003C74A4">
              <w:rPr>
                <w:lang w:val="fr-FR" w:eastAsia="zh-CN"/>
              </w:rPr>
              <w:br/>
            </w:r>
            <w:r w:rsidR="003C74A4">
              <w:t xml:space="preserve">Doc. </w:t>
            </w:r>
            <w:hyperlink r:id="rId21" w:history="1">
              <w:r w:rsidR="00D71BFF" w:rsidRPr="003E0DC1">
                <w:rPr>
                  <w:rStyle w:val="Hyperlink"/>
                  <w:lang w:val="fr-FR" w:eastAsia="zh-CN"/>
                </w:rPr>
                <w:t>5/1</w:t>
              </w:r>
            </w:hyperlink>
          </w:p>
        </w:tc>
        <w:tc>
          <w:tcPr>
            <w:tcW w:w="1416" w:type="dxa"/>
            <w:shd w:val="clear" w:color="auto" w:fill="EEECE1" w:themeFill="background2"/>
          </w:tcPr>
          <w:p w14:paraId="0524DF13" w14:textId="0A2C472F" w:rsidR="00561B43" w:rsidRPr="00562A80" w:rsidRDefault="00562A80" w:rsidP="00C559F9">
            <w:pPr>
              <w:pStyle w:val="Tabletext"/>
              <w:jc w:val="center"/>
              <w:rPr>
                <w:lang w:val="en-US" w:eastAsia="zh-CN"/>
              </w:rPr>
            </w:pPr>
            <w:r w:rsidRPr="003C736F">
              <w:rPr>
                <w:lang w:val="en-US" w:eastAsia="zh-CN"/>
              </w:rPr>
              <w:t>1</w:t>
            </w:r>
          </w:p>
        </w:tc>
      </w:tr>
      <w:tr w:rsidR="00561B43" w14:paraId="0D0E5D1B" w14:textId="728E9E36" w:rsidTr="00C559F9">
        <w:tc>
          <w:tcPr>
            <w:tcW w:w="1801" w:type="dxa"/>
            <w:shd w:val="clear" w:color="auto" w:fill="auto"/>
          </w:tcPr>
          <w:p w14:paraId="29BFB426" w14:textId="7F570330" w:rsidR="00561B43" w:rsidRPr="00C559F9" w:rsidRDefault="000C078C" w:rsidP="000D37C8">
            <w:pPr>
              <w:pStyle w:val="Tabletext"/>
              <w:rPr>
                <w:rStyle w:val="href"/>
                <w:rFonts w:ascii="Times New Roman Bold" w:hAnsi="Times New Roman Bold"/>
                <w:b/>
                <w:spacing w:val="-6"/>
              </w:rPr>
            </w:pPr>
            <w:r w:rsidRPr="00C559F9">
              <w:rPr>
                <w:rStyle w:val="href"/>
                <w:rFonts w:ascii="Times New Roman Bold" w:hAnsi="Times New Roman Bold"/>
                <w:b/>
                <w:spacing w:val="-6"/>
              </w:rPr>
              <w:t>100 (</w:t>
            </w:r>
            <w:r w:rsidR="007323CA" w:rsidRPr="00C559F9">
              <w:rPr>
                <w:rStyle w:val="href"/>
                <w:rFonts w:ascii="Times New Roman Bold" w:hAnsi="Times New Roman Bold"/>
                <w:b/>
                <w:spacing w:val="-6"/>
              </w:rPr>
              <w:t>Rev.</w:t>
            </w:r>
            <w:r w:rsidRPr="00C559F9">
              <w:rPr>
                <w:rStyle w:val="href"/>
                <w:rFonts w:ascii="Times New Roman Bold" w:hAnsi="Times New Roman Bold"/>
                <w:b/>
                <w:spacing w:val="-6"/>
              </w:rPr>
              <w:t>WRC-03)</w:t>
            </w:r>
          </w:p>
        </w:tc>
        <w:tc>
          <w:tcPr>
            <w:tcW w:w="2730" w:type="dxa"/>
            <w:shd w:val="clear" w:color="auto" w:fill="auto"/>
          </w:tcPr>
          <w:p w14:paraId="3A6EDC2A" w14:textId="7A3CDA2F" w:rsidR="00561B43" w:rsidRDefault="000C078C" w:rsidP="00405441">
            <w:pPr>
              <w:pStyle w:val="Tabletext"/>
              <w:rPr>
                <w:lang w:eastAsia="zh-CN"/>
              </w:rPr>
            </w:pPr>
            <w:r w:rsidRPr="000C078C">
              <w:rPr>
                <w:lang w:eastAsia="zh-CN"/>
              </w:rPr>
              <w:t>Preferred frequency bands for systems using tropospheric scatter</w:t>
            </w:r>
          </w:p>
        </w:tc>
        <w:tc>
          <w:tcPr>
            <w:tcW w:w="8538" w:type="dxa"/>
            <w:shd w:val="clear" w:color="auto" w:fill="auto"/>
          </w:tcPr>
          <w:p w14:paraId="4B7BD9EB" w14:textId="2CA9D55E" w:rsidR="000C078C" w:rsidRPr="000C078C" w:rsidRDefault="000C078C" w:rsidP="000C078C">
            <w:pPr>
              <w:tabs>
                <w:tab w:val="clear" w:pos="1134"/>
                <w:tab w:val="left" w:pos="313"/>
              </w:tabs>
              <w:spacing w:before="60" w:after="40"/>
              <w:jc w:val="both"/>
              <w:rPr>
                <w:i/>
                <w:iCs/>
                <w:sz w:val="20"/>
                <w:szCs w:val="16"/>
                <w:lang w:eastAsia="zh-CN"/>
              </w:rPr>
            </w:pPr>
            <w:r>
              <w:rPr>
                <w:lang w:val="en-US" w:eastAsia="zh-CN"/>
              </w:rPr>
              <w:tab/>
            </w:r>
            <w:r w:rsidRPr="000C078C">
              <w:rPr>
                <w:i/>
                <w:iCs/>
                <w:sz w:val="20"/>
                <w:szCs w:val="16"/>
                <w:lang w:eastAsia="zh-CN"/>
              </w:rPr>
              <w:t>recommends that administrations</w:t>
            </w:r>
          </w:p>
          <w:p w14:paraId="1A7F415B" w14:textId="197F8B7A" w:rsidR="000C078C" w:rsidRPr="000C078C" w:rsidRDefault="000C078C" w:rsidP="000C078C">
            <w:pPr>
              <w:tabs>
                <w:tab w:val="clear" w:pos="1134"/>
                <w:tab w:val="left" w:pos="313"/>
              </w:tabs>
              <w:spacing w:before="60" w:after="40"/>
              <w:jc w:val="both"/>
              <w:rPr>
                <w:sz w:val="20"/>
                <w:szCs w:val="16"/>
                <w:lang w:eastAsia="zh-CN"/>
              </w:rPr>
            </w:pPr>
            <w:r w:rsidRPr="000C078C">
              <w:rPr>
                <w:sz w:val="20"/>
                <w:szCs w:val="16"/>
                <w:lang w:eastAsia="zh-CN"/>
              </w:rPr>
              <w:t>1</w:t>
            </w:r>
            <w:r>
              <w:rPr>
                <w:lang w:val="en-US" w:eastAsia="zh-CN"/>
              </w:rPr>
              <w:tab/>
            </w:r>
            <w:r w:rsidRPr="000C078C">
              <w:rPr>
                <w:sz w:val="20"/>
                <w:szCs w:val="16"/>
                <w:lang w:eastAsia="zh-CN"/>
              </w:rPr>
              <w:t>for the assignment of frequencies to new stations in systems using tropospheric scatter,</w:t>
            </w:r>
            <w:r>
              <w:rPr>
                <w:sz w:val="20"/>
                <w:szCs w:val="16"/>
                <w:lang w:eastAsia="zh-CN"/>
              </w:rPr>
              <w:t xml:space="preserve"> </w:t>
            </w:r>
            <w:r w:rsidRPr="000C078C">
              <w:rPr>
                <w:sz w:val="20"/>
                <w:szCs w:val="16"/>
                <w:lang w:eastAsia="zh-CN"/>
              </w:rPr>
              <w:t>take into account the latest information prepared by ITU-R to ensure that systems established in the</w:t>
            </w:r>
            <w:r>
              <w:rPr>
                <w:sz w:val="20"/>
                <w:szCs w:val="16"/>
                <w:lang w:eastAsia="zh-CN"/>
              </w:rPr>
              <w:t xml:space="preserve"> </w:t>
            </w:r>
            <w:r w:rsidRPr="000C078C">
              <w:rPr>
                <w:sz w:val="20"/>
                <w:szCs w:val="16"/>
                <w:lang w:eastAsia="zh-CN"/>
              </w:rPr>
              <w:t xml:space="preserve">future use a limited number of certain </w:t>
            </w:r>
            <w:proofErr w:type="gramStart"/>
            <w:r w:rsidRPr="000C078C">
              <w:rPr>
                <w:sz w:val="20"/>
                <w:szCs w:val="16"/>
                <w:lang w:eastAsia="zh-CN"/>
              </w:rPr>
              <w:t>frequency</w:t>
            </w:r>
            <w:proofErr w:type="gramEnd"/>
            <w:r w:rsidRPr="000C078C">
              <w:rPr>
                <w:sz w:val="20"/>
                <w:szCs w:val="16"/>
                <w:lang w:eastAsia="zh-CN"/>
              </w:rPr>
              <w:t xml:space="preserve"> bands;</w:t>
            </w:r>
          </w:p>
          <w:p w14:paraId="4A01003D" w14:textId="7758F719" w:rsidR="00561B43" w:rsidRPr="004B1FC2" w:rsidRDefault="000C078C" w:rsidP="000C078C">
            <w:pPr>
              <w:tabs>
                <w:tab w:val="clear" w:pos="1134"/>
                <w:tab w:val="left" w:pos="313"/>
              </w:tabs>
              <w:spacing w:before="60" w:after="40"/>
              <w:jc w:val="both"/>
              <w:rPr>
                <w:sz w:val="20"/>
                <w:szCs w:val="16"/>
                <w:lang w:eastAsia="zh-CN"/>
              </w:rPr>
            </w:pPr>
            <w:r w:rsidRPr="000C078C">
              <w:rPr>
                <w:sz w:val="20"/>
                <w:szCs w:val="16"/>
                <w:lang w:eastAsia="zh-CN"/>
              </w:rPr>
              <w:t>2</w:t>
            </w:r>
            <w:r>
              <w:rPr>
                <w:lang w:val="en-US" w:eastAsia="zh-CN"/>
              </w:rPr>
              <w:tab/>
            </w:r>
            <w:r w:rsidRPr="000C078C">
              <w:rPr>
                <w:sz w:val="20"/>
                <w:szCs w:val="16"/>
                <w:lang w:eastAsia="zh-CN"/>
              </w:rPr>
              <w:t>in frequency assignment notifications to the Bureau, indicate expressly whether they</w:t>
            </w:r>
            <w:r>
              <w:rPr>
                <w:sz w:val="20"/>
                <w:szCs w:val="16"/>
                <w:lang w:eastAsia="zh-CN"/>
              </w:rPr>
              <w:t xml:space="preserve"> </w:t>
            </w:r>
            <w:r w:rsidRPr="000C078C">
              <w:rPr>
                <w:sz w:val="20"/>
                <w:szCs w:val="16"/>
                <w:lang w:eastAsia="zh-CN"/>
              </w:rPr>
              <w:t>relate to stations of tropospheric scatter systems.</w:t>
            </w:r>
          </w:p>
        </w:tc>
        <w:tc>
          <w:tcPr>
            <w:tcW w:w="961" w:type="dxa"/>
            <w:shd w:val="clear" w:color="auto" w:fill="auto"/>
          </w:tcPr>
          <w:p w14:paraId="2372FADB" w14:textId="60115CDB" w:rsidR="00561B43" w:rsidRPr="00C60B0B" w:rsidRDefault="00443FF7" w:rsidP="00A817D3">
            <w:pPr>
              <w:pStyle w:val="Tabletext"/>
              <w:jc w:val="center"/>
              <w:rPr>
                <w:highlight w:val="yellow"/>
                <w:lang w:val="fr-FR" w:eastAsia="zh-CN"/>
              </w:rPr>
            </w:pPr>
            <w:r>
              <w:rPr>
                <w:lang w:val="fr-FR" w:eastAsia="zh-CN"/>
              </w:rPr>
              <w:t>−</w:t>
            </w:r>
          </w:p>
        </w:tc>
        <w:tc>
          <w:tcPr>
            <w:tcW w:w="1416" w:type="dxa"/>
            <w:shd w:val="clear" w:color="auto" w:fill="auto"/>
          </w:tcPr>
          <w:p w14:paraId="6458744D" w14:textId="1A246538" w:rsidR="00561B43" w:rsidRPr="00B867A8" w:rsidRDefault="00562A80" w:rsidP="00C559F9">
            <w:pPr>
              <w:pStyle w:val="Tabletext"/>
              <w:jc w:val="center"/>
              <w:rPr>
                <w:bCs/>
                <w:highlight w:val="yellow"/>
                <w:lang w:val="fr-FR" w:eastAsia="zh-CN"/>
              </w:rPr>
            </w:pPr>
            <w:r w:rsidRPr="005D7ABB">
              <w:t>5</w:t>
            </w:r>
          </w:p>
        </w:tc>
      </w:tr>
      <w:tr w:rsidR="00561B43" w14:paraId="296A0C67" w14:textId="3072A363" w:rsidTr="00C559F9">
        <w:tc>
          <w:tcPr>
            <w:tcW w:w="1801" w:type="dxa"/>
            <w:shd w:val="clear" w:color="auto" w:fill="EEECE1" w:themeFill="background2"/>
          </w:tcPr>
          <w:p w14:paraId="748EB8C5" w14:textId="40772A19" w:rsidR="00561B43" w:rsidRPr="00C559F9" w:rsidRDefault="002C6E4D" w:rsidP="000D37C8">
            <w:pPr>
              <w:pStyle w:val="Tabletext"/>
              <w:rPr>
                <w:rFonts w:ascii="TimesNewRomanPSMT" w:hAnsi="TimesNewRomanPSMT" w:cs="TimesNewRomanPSMT"/>
                <w:b/>
                <w:spacing w:val="-6"/>
                <w:lang w:eastAsia="zh-CN"/>
              </w:rPr>
            </w:pPr>
            <w:r w:rsidRPr="00C559F9">
              <w:rPr>
                <w:rFonts w:ascii="TimesNewRomanPSMT" w:hAnsi="TimesNewRomanPSMT" w:cs="TimesNewRomanPSMT"/>
                <w:b/>
                <w:spacing w:val="-6"/>
                <w:lang w:eastAsia="zh-CN"/>
              </w:rPr>
              <w:t>206 (</w:t>
            </w:r>
            <w:r w:rsidR="007323CA" w:rsidRPr="00C559F9">
              <w:rPr>
                <w:rFonts w:ascii="TimesNewRomanPSMT" w:hAnsi="TimesNewRomanPSMT" w:cs="TimesNewRomanPSMT"/>
                <w:b/>
                <w:spacing w:val="-6"/>
                <w:lang w:eastAsia="zh-CN"/>
              </w:rPr>
              <w:t>Rev.</w:t>
            </w:r>
            <w:r w:rsidRPr="00C559F9">
              <w:rPr>
                <w:rFonts w:ascii="TimesNewRomanPSMT" w:hAnsi="TimesNewRomanPSMT" w:cs="TimesNewRomanPSMT"/>
                <w:b/>
                <w:spacing w:val="-6"/>
                <w:lang w:eastAsia="zh-CN"/>
              </w:rPr>
              <w:t>WRC-</w:t>
            </w:r>
            <w:r w:rsidR="004B1FC2">
              <w:rPr>
                <w:rFonts w:ascii="TimesNewRomanPSMT" w:hAnsi="TimesNewRomanPSMT" w:cs="TimesNewRomanPSMT"/>
                <w:b/>
                <w:spacing w:val="-6"/>
                <w:lang w:eastAsia="zh-CN"/>
              </w:rPr>
              <w:t>23</w:t>
            </w:r>
            <w:r w:rsidRPr="00C559F9">
              <w:rPr>
                <w:rFonts w:ascii="TimesNewRomanPSMT" w:hAnsi="TimesNewRomanPSMT" w:cs="TimesNewRomanPSMT"/>
                <w:b/>
                <w:spacing w:val="-6"/>
                <w:lang w:eastAsia="zh-CN"/>
              </w:rPr>
              <w:t>)</w:t>
            </w:r>
          </w:p>
        </w:tc>
        <w:tc>
          <w:tcPr>
            <w:tcW w:w="2730" w:type="dxa"/>
            <w:shd w:val="clear" w:color="auto" w:fill="EEECE1" w:themeFill="background2"/>
          </w:tcPr>
          <w:p w14:paraId="225349D7" w14:textId="2F1339B1" w:rsidR="00561B43" w:rsidRDefault="002C6E4D" w:rsidP="002C6E4D">
            <w:pPr>
              <w:pStyle w:val="Tabletext"/>
              <w:rPr>
                <w:lang w:eastAsia="zh-CN"/>
              </w:rPr>
            </w:pPr>
            <w:r>
              <w:rPr>
                <w:lang w:eastAsia="zh-CN"/>
              </w:rPr>
              <w:t>Studies on the possible use of integrated mobile-satellite service and ground component systems in the frequency bands 1 525-1 544 MHz, 1 545</w:t>
            </w:r>
            <w:r>
              <w:rPr>
                <w:lang w:eastAsia="zh-CN"/>
              </w:rPr>
              <w:noBreakHyphen/>
              <w:t>1 559 MHz, 1 626.5</w:t>
            </w:r>
            <w:r>
              <w:rPr>
                <w:lang w:eastAsia="zh-CN"/>
              </w:rPr>
              <w:noBreakHyphen/>
              <w:t>1 645.5 MHz and 1 646.5-1 660.5 MHz</w:t>
            </w:r>
          </w:p>
        </w:tc>
        <w:tc>
          <w:tcPr>
            <w:tcW w:w="8538" w:type="dxa"/>
            <w:shd w:val="clear" w:color="auto" w:fill="EEECE1" w:themeFill="background2"/>
          </w:tcPr>
          <w:p w14:paraId="43C7319E" w14:textId="531A6777" w:rsidR="002C6E4D" w:rsidRPr="002C6E4D" w:rsidRDefault="002C6E4D" w:rsidP="002C6E4D">
            <w:pPr>
              <w:tabs>
                <w:tab w:val="clear" w:pos="1134"/>
                <w:tab w:val="left" w:pos="313"/>
              </w:tabs>
              <w:spacing w:before="60" w:after="40"/>
              <w:jc w:val="both"/>
              <w:rPr>
                <w:i/>
                <w:iCs/>
                <w:sz w:val="20"/>
                <w:szCs w:val="16"/>
                <w:lang w:eastAsia="zh-CN"/>
              </w:rPr>
            </w:pPr>
            <w:r>
              <w:rPr>
                <w:lang w:val="en-US" w:eastAsia="zh-CN"/>
              </w:rPr>
              <w:tab/>
            </w:r>
            <w:r w:rsidRPr="002C6E4D">
              <w:rPr>
                <w:i/>
                <w:iCs/>
                <w:sz w:val="20"/>
                <w:szCs w:val="16"/>
                <w:lang w:eastAsia="zh-CN"/>
              </w:rPr>
              <w:t>recommends</w:t>
            </w:r>
          </w:p>
          <w:p w14:paraId="6AD311BB" w14:textId="4E0311D0" w:rsidR="002C6E4D" w:rsidRPr="002C6E4D" w:rsidRDefault="002C6E4D" w:rsidP="002C6E4D">
            <w:pPr>
              <w:tabs>
                <w:tab w:val="clear" w:pos="1134"/>
                <w:tab w:val="left" w:pos="313"/>
              </w:tabs>
              <w:spacing w:before="60" w:after="40"/>
              <w:jc w:val="both"/>
              <w:rPr>
                <w:sz w:val="20"/>
                <w:szCs w:val="16"/>
                <w:lang w:eastAsia="zh-CN"/>
              </w:rPr>
            </w:pPr>
            <w:r w:rsidRPr="002C6E4D">
              <w:rPr>
                <w:sz w:val="20"/>
                <w:szCs w:val="16"/>
                <w:lang w:eastAsia="zh-CN"/>
              </w:rPr>
              <w:t>to invite ITU-R to conduct studies on the possible use of integrated MSS systems in the frequency</w:t>
            </w:r>
            <w:r>
              <w:rPr>
                <w:sz w:val="20"/>
                <w:szCs w:val="16"/>
                <w:lang w:eastAsia="zh-CN"/>
              </w:rPr>
              <w:t xml:space="preserve"> </w:t>
            </w:r>
            <w:r w:rsidRPr="002C6E4D">
              <w:rPr>
                <w:sz w:val="20"/>
                <w:szCs w:val="16"/>
                <w:lang w:eastAsia="zh-CN"/>
              </w:rPr>
              <w:t>bands 1 525-1 544 MHz, 1 545-1 559 MHz, 1 626.5-1 645.5 MHz and 1 646.5-1 660.5 MHz, as</w:t>
            </w:r>
            <w:r>
              <w:rPr>
                <w:sz w:val="20"/>
                <w:szCs w:val="16"/>
                <w:lang w:eastAsia="zh-CN"/>
              </w:rPr>
              <w:t xml:space="preserve"> </w:t>
            </w:r>
            <w:r w:rsidRPr="002C6E4D">
              <w:rPr>
                <w:sz w:val="20"/>
                <w:szCs w:val="16"/>
                <w:lang w:eastAsia="zh-CN"/>
              </w:rPr>
              <w:t>appropriate, taking into account the need to protect existing and planned systems, as well as the above</w:t>
            </w:r>
            <w:r>
              <w:rPr>
                <w:sz w:val="20"/>
                <w:szCs w:val="16"/>
                <w:lang w:eastAsia="zh-CN"/>
              </w:rPr>
              <w:t xml:space="preserve"> </w:t>
            </w:r>
            <w:r w:rsidRPr="002C6E4D">
              <w:rPr>
                <w:i/>
                <w:iCs/>
                <w:sz w:val="20"/>
                <w:szCs w:val="16"/>
                <w:lang w:eastAsia="zh-CN"/>
              </w:rPr>
              <w:t>considering</w:t>
            </w:r>
            <w:r w:rsidRPr="002C6E4D">
              <w:rPr>
                <w:sz w:val="20"/>
                <w:szCs w:val="16"/>
                <w:lang w:eastAsia="zh-CN"/>
              </w:rPr>
              <w:t xml:space="preserve">, </w:t>
            </w:r>
            <w:r w:rsidRPr="002C6E4D">
              <w:rPr>
                <w:i/>
                <w:iCs/>
                <w:sz w:val="20"/>
                <w:szCs w:val="16"/>
                <w:lang w:eastAsia="zh-CN"/>
              </w:rPr>
              <w:t xml:space="preserve">recognizing </w:t>
            </w:r>
            <w:r w:rsidRPr="002C6E4D">
              <w:rPr>
                <w:sz w:val="20"/>
                <w:szCs w:val="16"/>
                <w:lang w:eastAsia="zh-CN"/>
              </w:rPr>
              <w:t xml:space="preserve">and </w:t>
            </w:r>
            <w:r w:rsidRPr="002C6E4D">
              <w:rPr>
                <w:i/>
                <w:iCs/>
                <w:sz w:val="20"/>
                <w:szCs w:val="16"/>
                <w:lang w:eastAsia="zh-CN"/>
              </w:rPr>
              <w:t>noting</w:t>
            </w:r>
            <w:r w:rsidRPr="002C6E4D">
              <w:rPr>
                <w:sz w:val="20"/>
                <w:szCs w:val="16"/>
                <w:lang w:eastAsia="zh-CN"/>
              </w:rPr>
              <w:t xml:space="preserve">, and in particular </w:t>
            </w:r>
            <w:r w:rsidRPr="002C6E4D">
              <w:rPr>
                <w:i/>
                <w:iCs/>
                <w:sz w:val="20"/>
                <w:szCs w:val="16"/>
                <w:lang w:eastAsia="zh-CN"/>
              </w:rPr>
              <w:t>recognizing a)</w:t>
            </w:r>
            <w:r w:rsidRPr="002C6E4D">
              <w:rPr>
                <w:sz w:val="20"/>
                <w:szCs w:val="16"/>
                <w:lang w:eastAsia="zh-CN"/>
              </w:rPr>
              <w:t xml:space="preserve">, </w:t>
            </w:r>
            <w:r w:rsidRPr="002C6E4D">
              <w:rPr>
                <w:i/>
                <w:iCs/>
                <w:sz w:val="20"/>
                <w:szCs w:val="16"/>
                <w:lang w:eastAsia="zh-CN"/>
              </w:rPr>
              <w:t xml:space="preserve">b) </w:t>
            </w:r>
            <w:r w:rsidRPr="002C6E4D">
              <w:rPr>
                <w:sz w:val="20"/>
                <w:szCs w:val="16"/>
                <w:lang w:eastAsia="zh-CN"/>
              </w:rPr>
              <w:t xml:space="preserve">and </w:t>
            </w:r>
            <w:r w:rsidRPr="002C6E4D">
              <w:rPr>
                <w:i/>
                <w:iCs/>
                <w:sz w:val="20"/>
                <w:szCs w:val="16"/>
                <w:lang w:eastAsia="zh-CN"/>
              </w:rPr>
              <w:t>c)</w:t>
            </w:r>
            <w:r w:rsidRPr="002C6E4D">
              <w:rPr>
                <w:sz w:val="20"/>
                <w:szCs w:val="16"/>
                <w:lang w:eastAsia="zh-CN"/>
              </w:rPr>
              <w:t>,</w:t>
            </w:r>
          </w:p>
          <w:p w14:paraId="3E5C19E3" w14:textId="37002888" w:rsidR="002C6E4D" w:rsidRPr="002C6E4D" w:rsidRDefault="002C6E4D" w:rsidP="002C6E4D">
            <w:pPr>
              <w:tabs>
                <w:tab w:val="clear" w:pos="1134"/>
                <w:tab w:val="left" w:pos="313"/>
              </w:tabs>
              <w:spacing w:before="60" w:after="40"/>
              <w:jc w:val="both"/>
              <w:rPr>
                <w:i/>
                <w:iCs/>
                <w:sz w:val="20"/>
                <w:szCs w:val="16"/>
                <w:lang w:eastAsia="zh-CN"/>
              </w:rPr>
            </w:pPr>
            <w:r>
              <w:rPr>
                <w:lang w:val="en-US" w:eastAsia="zh-CN"/>
              </w:rPr>
              <w:tab/>
            </w:r>
            <w:r w:rsidRPr="002C6E4D">
              <w:rPr>
                <w:i/>
                <w:iCs/>
                <w:sz w:val="20"/>
                <w:szCs w:val="16"/>
                <w:lang w:eastAsia="zh-CN"/>
              </w:rPr>
              <w:t>invites administrations</w:t>
            </w:r>
          </w:p>
          <w:p w14:paraId="704482B6" w14:textId="6E59E31E" w:rsidR="00561B43" w:rsidRPr="0014139D" w:rsidRDefault="002C6E4D" w:rsidP="002C6E4D">
            <w:pPr>
              <w:tabs>
                <w:tab w:val="clear" w:pos="1134"/>
                <w:tab w:val="left" w:pos="313"/>
              </w:tabs>
              <w:spacing w:before="60" w:after="40"/>
              <w:jc w:val="both"/>
              <w:rPr>
                <w:sz w:val="20"/>
                <w:szCs w:val="16"/>
                <w:lang w:val="en-US" w:eastAsia="zh-CN"/>
              </w:rPr>
            </w:pPr>
            <w:r w:rsidRPr="002C6E4D">
              <w:rPr>
                <w:sz w:val="20"/>
                <w:szCs w:val="16"/>
                <w:lang w:eastAsia="zh-CN"/>
              </w:rPr>
              <w:t xml:space="preserve">to participate as necessary in the ITU-R studies </w:t>
            </w:r>
            <w:proofErr w:type="gramStart"/>
            <w:r w:rsidRPr="002C6E4D">
              <w:rPr>
                <w:sz w:val="20"/>
                <w:szCs w:val="16"/>
                <w:lang w:eastAsia="zh-CN"/>
              </w:rPr>
              <w:t>taking into account</w:t>
            </w:r>
            <w:proofErr w:type="gramEnd"/>
            <w:r w:rsidRPr="002C6E4D">
              <w:rPr>
                <w:sz w:val="20"/>
                <w:szCs w:val="16"/>
                <w:lang w:eastAsia="zh-CN"/>
              </w:rPr>
              <w:t xml:space="preserve"> </w:t>
            </w:r>
            <w:r w:rsidRPr="002C6E4D">
              <w:rPr>
                <w:i/>
                <w:iCs/>
                <w:sz w:val="20"/>
                <w:szCs w:val="16"/>
                <w:lang w:eastAsia="zh-CN"/>
              </w:rPr>
              <w:t>recognizing a)</w:t>
            </w:r>
            <w:r w:rsidRPr="002C6E4D">
              <w:rPr>
                <w:sz w:val="20"/>
                <w:szCs w:val="16"/>
                <w:lang w:eastAsia="zh-CN"/>
              </w:rPr>
              <w:t>.</w:t>
            </w:r>
          </w:p>
        </w:tc>
        <w:tc>
          <w:tcPr>
            <w:tcW w:w="961" w:type="dxa"/>
            <w:shd w:val="clear" w:color="auto" w:fill="EEECE1" w:themeFill="background2"/>
          </w:tcPr>
          <w:p w14:paraId="0F577682" w14:textId="3826B9B2" w:rsidR="00561B43" w:rsidRPr="00340B04" w:rsidRDefault="003E0DC1" w:rsidP="00A817D3">
            <w:pPr>
              <w:pStyle w:val="Tabletext"/>
              <w:jc w:val="center"/>
              <w:rPr>
                <w:b/>
                <w:bCs/>
                <w:highlight w:val="yellow"/>
                <w:lang w:val="fr-FR" w:eastAsia="zh-CN"/>
              </w:rPr>
            </w:pPr>
            <w:proofErr w:type="spellStart"/>
            <w:r w:rsidRPr="003E0DC1">
              <w:rPr>
                <w:lang w:val="fr-FR" w:eastAsia="zh-CN"/>
              </w:rPr>
              <w:t>See</w:t>
            </w:r>
            <w:proofErr w:type="spellEnd"/>
            <w:r w:rsidRPr="003E0DC1">
              <w:rPr>
                <w:lang w:val="fr-FR" w:eastAsia="zh-CN"/>
              </w:rPr>
              <w:t xml:space="preserve"> </w:t>
            </w:r>
            <w:r w:rsidR="003C74A4">
              <w:rPr>
                <w:lang w:val="fr-FR" w:eastAsia="zh-CN"/>
              </w:rPr>
              <w:br/>
            </w:r>
            <w:r w:rsidRPr="003E0DC1">
              <w:rPr>
                <w:lang w:val="fr-FR" w:eastAsia="zh-CN"/>
              </w:rPr>
              <w:t xml:space="preserve">Doc. </w:t>
            </w:r>
            <w:hyperlink r:id="rId22" w:history="1">
              <w:r>
                <w:rPr>
                  <w:rStyle w:val="Hyperlink"/>
                  <w:lang w:val="fr-FR" w:eastAsia="zh-CN"/>
                </w:rPr>
                <w:t>4/1</w:t>
              </w:r>
            </w:hyperlink>
            <w:r>
              <w:rPr>
                <w:lang w:val="fr-FR" w:eastAsia="zh-CN"/>
              </w:rPr>
              <w:t xml:space="preserve"> </w:t>
            </w:r>
            <w:r w:rsidR="003C74A4">
              <w:rPr>
                <w:lang w:val="fr-FR" w:eastAsia="zh-CN"/>
              </w:rPr>
              <w:br/>
            </w:r>
            <w:r>
              <w:rPr>
                <w:lang w:val="fr-FR" w:eastAsia="zh-CN"/>
              </w:rPr>
              <w:t>and</w:t>
            </w:r>
            <w:r w:rsidR="003C74A4">
              <w:rPr>
                <w:lang w:val="fr-FR" w:eastAsia="zh-CN"/>
              </w:rPr>
              <w:br/>
              <w:t>Doc.</w:t>
            </w:r>
            <w:r>
              <w:rPr>
                <w:lang w:val="fr-FR" w:eastAsia="zh-CN"/>
              </w:rPr>
              <w:t xml:space="preserve"> </w:t>
            </w:r>
            <w:hyperlink r:id="rId23" w:history="1">
              <w:r w:rsidR="00D71BFF" w:rsidRPr="003E0DC1">
                <w:rPr>
                  <w:rStyle w:val="Hyperlink"/>
                  <w:lang w:val="fr-FR" w:eastAsia="zh-CN"/>
                </w:rPr>
                <w:t>5/1</w:t>
              </w:r>
            </w:hyperlink>
          </w:p>
        </w:tc>
        <w:tc>
          <w:tcPr>
            <w:tcW w:w="1416" w:type="dxa"/>
            <w:shd w:val="clear" w:color="auto" w:fill="EEECE1" w:themeFill="background2"/>
          </w:tcPr>
          <w:p w14:paraId="38F2D8A5" w14:textId="68B8A3D8" w:rsidR="00561B43" w:rsidRPr="00B867A8" w:rsidRDefault="00562A80" w:rsidP="00C559F9">
            <w:pPr>
              <w:pStyle w:val="Tabletext"/>
              <w:jc w:val="center"/>
              <w:rPr>
                <w:bCs/>
                <w:highlight w:val="yellow"/>
                <w:lang w:val="fr-FR" w:eastAsia="zh-CN"/>
              </w:rPr>
            </w:pPr>
            <w:r w:rsidRPr="003C736F">
              <w:rPr>
                <w:lang w:val="en-US" w:eastAsia="zh-CN"/>
              </w:rPr>
              <w:t>1</w:t>
            </w:r>
          </w:p>
        </w:tc>
      </w:tr>
      <w:tr w:rsidR="00561B43" w14:paraId="4451B77F" w14:textId="576DF6F3" w:rsidTr="00C559F9">
        <w:tc>
          <w:tcPr>
            <w:tcW w:w="1801" w:type="dxa"/>
            <w:shd w:val="clear" w:color="auto" w:fill="EEECE1" w:themeFill="background2"/>
          </w:tcPr>
          <w:p w14:paraId="24418EC5" w14:textId="2B8E26B2" w:rsidR="00561B43" w:rsidRPr="00C559F9" w:rsidRDefault="00A77DE0" w:rsidP="000D37C8">
            <w:pPr>
              <w:pStyle w:val="Tabletext"/>
              <w:rPr>
                <w:rFonts w:ascii="TimesNewRomanPSMT" w:hAnsi="TimesNewRomanPSMT" w:cs="TimesNewRomanPSMT"/>
                <w:b/>
                <w:spacing w:val="-6"/>
                <w:lang w:eastAsia="zh-CN"/>
              </w:rPr>
            </w:pPr>
            <w:r w:rsidRPr="00C559F9">
              <w:rPr>
                <w:rFonts w:ascii="TimesNewRomanPSMT" w:hAnsi="TimesNewRomanPSMT" w:cs="TimesNewRomanPSMT"/>
                <w:b/>
                <w:spacing w:val="-6"/>
                <w:lang w:eastAsia="zh-CN"/>
              </w:rPr>
              <w:t>207 (</w:t>
            </w:r>
            <w:r w:rsidR="007323CA" w:rsidRPr="00C559F9">
              <w:rPr>
                <w:rFonts w:ascii="TimesNewRomanPSMT" w:hAnsi="TimesNewRomanPSMT" w:cs="TimesNewRomanPSMT"/>
                <w:b/>
                <w:spacing w:val="-6"/>
                <w:lang w:eastAsia="zh-CN"/>
              </w:rPr>
              <w:t>Rev.</w:t>
            </w:r>
            <w:r w:rsidRPr="00C559F9">
              <w:rPr>
                <w:rFonts w:ascii="TimesNewRomanPSMT" w:hAnsi="TimesNewRomanPSMT" w:cs="TimesNewRomanPSMT"/>
                <w:b/>
                <w:spacing w:val="-6"/>
                <w:lang w:eastAsia="zh-CN"/>
              </w:rPr>
              <w:t>WRC-19)</w:t>
            </w:r>
          </w:p>
        </w:tc>
        <w:tc>
          <w:tcPr>
            <w:tcW w:w="2730" w:type="dxa"/>
            <w:shd w:val="clear" w:color="auto" w:fill="EEECE1" w:themeFill="background2"/>
          </w:tcPr>
          <w:p w14:paraId="020EE167" w14:textId="1BD3451B" w:rsidR="00561B43" w:rsidRPr="00405441" w:rsidRDefault="00A77DE0" w:rsidP="00405441">
            <w:pPr>
              <w:pStyle w:val="Tabletext"/>
              <w:rPr>
                <w:lang w:eastAsia="zh-CN"/>
              </w:rPr>
            </w:pPr>
            <w:r w:rsidRPr="00A77DE0">
              <w:rPr>
                <w:lang w:eastAsia="zh-CN"/>
              </w:rPr>
              <w:t>Future IMT systems</w:t>
            </w:r>
          </w:p>
        </w:tc>
        <w:tc>
          <w:tcPr>
            <w:tcW w:w="8538" w:type="dxa"/>
            <w:shd w:val="clear" w:color="auto" w:fill="EEECE1" w:themeFill="background2"/>
          </w:tcPr>
          <w:p w14:paraId="55DD2D0B" w14:textId="3BB5ACF4" w:rsidR="00A77DE0" w:rsidRPr="00A77DE0" w:rsidRDefault="00A77DE0" w:rsidP="00A77DE0">
            <w:pPr>
              <w:tabs>
                <w:tab w:val="clear" w:pos="1134"/>
                <w:tab w:val="left" w:pos="313"/>
              </w:tabs>
              <w:spacing w:before="60" w:after="40"/>
              <w:jc w:val="both"/>
              <w:rPr>
                <w:i/>
                <w:iCs/>
                <w:sz w:val="20"/>
                <w:szCs w:val="16"/>
                <w:lang w:eastAsia="zh-CN"/>
              </w:rPr>
            </w:pPr>
            <w:r>
              <w:rPr>
                <w:lang w:val="en-US" w:eastAsia="zh-CN"/>
              </w:rPr>
              <w:tab/>
            </w:r>
            <w:r w:rsidRPr="00A77DE0">
              <w:rPr>
                <w:i/>
                <w:iCs/>
                <w:sz w:val="20"/>
                <w:szCs w:val="16"/>
                <w:lang w:eastAsia="zh-CN"/>
              </w:rPr>
              <w:t>recommends</w:t>
            </w:r>
          </w:p>
          <w:p w14:paraId="0FE9EAFD" w14:textId="4DCD0DA1" w:rsidR="00561B43" w:rsidRPr="004B1FC2" w:rsidRDefault="00A77DE0" w:rsidP="00A77DE0">
            <w:pPr>
              <w:tabs>
                <w:tab w:val="clear" w:pos="1134"/>
                <w:tab w:val="left" w:pos="313"/>
              </w:tabs>
              <w:spacing w:before="60" w:after="40"/>
              <w:jc w:val="both"/>
              <w:rPr>
                <w:sz w:val="20"/>
                <w:szCs w:val="16"/>
                <w:lang w:eastAsia="zh-CN"/>
              </w:rPr>
            </w:pPr>
            <w:r w:rsidRPr="00A77DE0">
              <w:rPr>
                <w:sz w:val="20"/>
                <w:szCs w:val="16"/>
                <w:lang w:eastAsia="zh-CN"/>
              </w:rPr>
              <w:t>to invite ITU-R to study as necessary technical, operational and spectrum related issues to meet the</w:t>
            </w:r>
            <w:r>
              <w:rPr>
                <w:sz w:val="20"/>
                <w:szCs w:val="16"/>
                <w:lang w:eastAsia="zh-CN"/>
              </w:rPr>
              <w:t xml:space="preserve"> </w:t>
            </w:r>
            <w:r w:rsidRPr="00A77DE0">
              <w:rPr>
                <w:sz w:val="20"/>
                <w:szCs w:val="16"/>
                <w:lang w:eastAsia="zh-CN"/>
              </w:rPr>
              <w:t>objectives of future development of IMT systems.</w:t>
            </w:r>
          </w:p>
        </w:tc>
        <w:tc>
          <w:tcPr>
            <w:tcW w:w="961" w:type="dxa"/>
            <w:shd w:val="clear" w:color="auto" w:fill="EEECE1" w:themeFill="background2"/>
          </w:tcPr>
          <w:p w14:paraId="1BE892BA" w14:textId="40AEA806" w:rsidR="00561B43" w:rsidRPr="00437F7D" w:rsidRDefault="003E0DC1" w:rsidP="00A817D3">
            <w:pPr>
              <w:pStyle w:val="Tabletext"/>
              <w:jc w:val="center"/>
              <w:rPr>
                <w:spacing w:val="-6"/>
                <w:highlight w:val="yellow"/>
                <w:lang w:val="fr-FR" w:eastAsia="zh-CN"/>
              </w:rPr>
            </w:pPr>
            <w:proofErr w:type="spellStart"/>
            <w:r w:rsidRPr="003E0DC1">
              <w:rPr>
                <w:lang w:val="fr-FR" w:eastAsia="zh-CN"/>
              </w:rPr>
              <w:t>See</w:t>
            </w:r>
            <w:proofErr w:type="spellEnd"/>
            <w:r w:rsidRPr="003E0DC1">
              <w:rPr>
                <w:lang w:val="fr-FR" w:eastAsia="zh-CN"/>
              </w:rPr>
              <w:t xml:space="preserve"> </w:t>
            </w:r>
            <w:r w:rsidR="003C74A4">
              <w:rPr>
                <w:lang w:val="fr-FR" w:eastAsia="zh-CN"/>
              </w:rPr>
              <w:br/>
            </w:r>
            <w:r w:rsidRPr="003E0DC1">
              <w:rPr>
                <w:lang w:val="fr-FR" w:eastAsia="zh-CN"/>
              </w:rPr>
              <w:t xml:space="preserve">Doc. </w:t>
            </w:r>
            <w:hyperlink r:id="rId24" w:history="1">
              <w:r w:rsidR="00D71BFF" w:rsidRPr="003E0DC1">
                <w:rPr>
                  <w:rStyle w:val="Hyperlink"/>
                  <w:lang w:val="fr-FR" w:eastAsia="zh-CN"/>
                </w:rPr>
                <w:t>5/1</w:t>
              </w:r>
            </w:hyperlink>
          </w:p>
        </w:tc>
        <w:tc>
          <w:tcPr>
            <w:tcW w:w="1416" w:type="dxa"/>
            <w:shd w:val="clear" w:color="auto" w:fill="EEECE1" w:themeFill="background2"/>
          </w:tcPr>
          <w:p w14:paraId="30A7AD48" w14:textId="021DB352" w:rsidR="00561B43" w:rsidRPr="00B867A8" w:rsidRDefault="00562A80" w:rsidP="00C559F9">
            <w:pPr>
              <w:pStyle w:val="Tabletext"/>
              <w:jc w:val="center"/>
              <w:rPr>
                <w:rFonts w:ascii="TimesNewRomanPSMT" w:hAnsi="TimesNewRomanPSMT" w:cs="TimesNewRomanPSMT"/>
                <w:bCs/>
                <w:spacing w:val="-6"/>
                <w:lang w:eastAsia="zh-CN"/>
              </w:rPr>
            </w:pPr>
            <w:r w:rsidRPr="003C736F">
              <w:rPr>
                <w:lang w:val="en-US" w:eastAsia="zh-CN"/>
              </w:rPr>
              <w:t>1</w:t>
            </w:r>
          </w:p>
        </w:tc>
      </w:tr>
      <w:tr w:rsidR="00561B43" w14:paraId="6CF2B9D2" w14:textId="2BAF774D" w:rsidTr="00C559F9">
        <w:tc>
          <w:tcPr>
            <w:tcW w:w="1801" w:type="dxa"/>
            <w:shd w:val="clear" w:color="auto" w:fill="EEECE1" w:themeFill="background2"/>
          </w:tcPr>
          <w:p w14:paraId="49A572F9" w14:textId="7EBA2279" w:rsidR="00561B43" w:rsidRPr="00C559F9" w:rsidRDefault="002564C3" w:rsidP="000D37C8">
            <w:pPr>
              <w:pStyle w:val="Tabletext"/>
              <w:rPr>
                <w:rFonts w:ascii="TimesNewRomanPSMT" w:hAnsi="TimesNewRomanPSMT" w:cs="TimesNewRomanPSMT"/>
                <w:b/>
                <w:spacing w:val="-6"/>
                <w:lang w:eastAsia="zh-CN"/>
              </w:rPr>
            </w:pPr>
            <w:r w:rsidRPr="00C559F9">
              <w:rPr>
                <w:rFonts w:ascii="TimesNewRomanPSMT" w:hAnsi="TimesNewRomanPSMT" w:cs="TimesNewRomanPSMT"/>
                <w:b/>
                <w:spacing w:val="-6"/>
                <w:lang w:eastAsia="zh-CN"/>
              </w:rPr>
              <w:t>208 (WRC-19)</w:t>
            </w:r>
          </w:p>
        </w:tc>
        <w:tc>
          <w:tcPr>
            <w:tcW w:w="2730" w:type="dxa"/>
            <w:shd w:val="clear" w:color="auto" w:fill="EEECE1" w:themeFill="background2"/>
          </w:tcPr>
          <w:p w14:paraId="6B3885C2" w14:textId="3AE48C0D" w:rsidR="00561B43" w:rsidRDefault="002564C3" w:rsidP="002564C3">
            <w:pPr>
              <w:pStyle w:val="Tabletext"/>
              <w:rPr>
                <w:lang w:eastAsia="zh-CN"/>
              </w:rPr>
            </w:pPr>
            <w:r>
              <w:rPr>
                <w:lang w:eastAsia="zh-CN"/>
              </w:rPr>
              <w:t>Harmonization of frequency bands for evolving Intelligent Transport Systems applications under mobile-service allocations</w:t>
            </w:r>
          </w:p>
        </w:tc>
        <w:tc>
          <w:tcPr>
            <w:tcW w:w="8538" w:type="dxa"/>
            <w:shd w:val="clear" w:color="auto" w:fill="EEECE1" w:themeFill="background2"/>
          </w:tcPr>
          <w:p w14:paraId="3CD80FB6" w14:textId="664BA039" w:rsidR="002564C3" w:rsidRPr="002564C3" w:rsidRDefault="002564C3" w:rsidP="002564C3">
            <w:pPr>
              <w:tabs>
                <w:tab w:val="clear" w:pos="1134"/>
                <w:tab w:val="left" w:pos="313"/>
              </w:tabs>
              <w:spacing w:before="60" w:after="40"/>
              <w:jc w:val="both"/>
              <w:rPr>
                <w:i/>
                <w:iCs/>
                <w:sz w:val="20"/>
                <w:szCs w:val="16"/>
                <w:lang w:eastAsia="zh-CN"/>
              </w:rPr>
            </w:pPr>
            <w:r>
              <w:rPr>
                <w:lang w:val="en-US" w:eastAsia="zh-CN"/>
              </w:rPr>
              <w:tab/>
            </w:r>
            <w:r w:rsidRPr="002564C3">
              <w:rPr>
                <w:i/>
                <w:iCs/>
                <w:sz w:val="20"/>
                <w:szCs w:val="16"/>
                <w:lang w:eastAsia="zh-CN"/>
              </w:rPr>
              <w:t>recommends</w:t>
            </w:r>
          </w:p>
          <w:p w14:paraId="04E07DA8" w14:textId="4E15484D" w:rsidR="002564C3" w:rsidRPr="002564C3" w:rsidRDefault="002564C3" w:rsidP="002564C3">
            <w:pPr>
              <w:tabs>
                <w:tab w:val="clear" w:pos="1134"/>
                <w:tab w:val="left" w:pos="313"/>
              </w:tabs>
              <w:spacing w:before="60" w:after="40"/>
              <w:jc w:val="both"/>
              <w:rPr>
                <w:sz w:val="20"/>
                <w:szCs w:val="16"/>
                <w:lang w:eastAsia="zh-CN"/>
              </w:rPr>
            </w:pPr>
            <w:r w:rsidRPr="002564C3">
              <w:rPr>
                <w:sz w:val="20"/>
                <w:szCs w:val="16"/>
                <w:lang w:eastAsia="zh-CN"/>
              </w:rPr>
              <w:t>1</w:t>
            </w:r>
            <w:r>
              <w:rPr>
                <w:lang w:val="en-US" w:eastAsia="zh-CN"/>
              </w:rPr>
              <w:tab/>
            </w:r>
            <w:r w:rsidRPr="002564C3">
              <w:rPr>
                <w:sz w:val="20"/>
                <w:szCs w:val="16"/>
                <w:lang w:eastAsia="zh-CN"/>
              </w:rPr>
              <w:t>that administrations consider using globally or regionally harmonized frequency bands,</w:t>
            </w:r>
            <w:r>
              <w:rPr>
                <w:sz w:val="20"/>
                <w:szCs w:val="16"/>
                <w:lang w:eastAsia="zh-CN"/>
              </w:rPr>
              <w:t xml:space="preserve"> </w:t>
            </w:r>
            <w:r w:rsidRPr="002564C3">
              <w:rPr>
                <w:sz w:val="20"/>
                <w:szCs w:val="16"/>
                <w:lang w:eastAsia="zh-CN"/>
              </w:rPr>
              <w:t>or parts thereof, as described in the most recent versions of Recommendations (e.g. ITU-R M.2121),</w:t>
            </w:r>
            <w:r>
              <w:rPr>
                <w:sz w:val="20"/>
                <w:szCs w:val="16"/>
                <w:lang w:eastAsia="zh-CN"/>
              </w:rPr>
              <w:t xml:space="preserve"> </w:t>
            </w:r>
            <w:r w:rsidRPr="002564C3">
              <w:rPr>
                <w:sz w:val="20"/>
                <w:szCs w:val="16"/>
                <w:lang w:eastAsia="zh-CN"/>
              </w:rPr>
              <w:t xml:space="preserve">when planning and deploying evolving ITS applications, taking into account </w:t>
            </w:r>
            <w:r w:rsidRPr="002564C3">
              <w:rPr>
                <w:i/>
                <w:iCs/>
                <w:sz w:val="20"/>
                <w:szCs w:val="16"/>
                <w:lang w:eastAsia="zh-CN"/>
              </w:rPr>
              <w:t xml:space="preserve">recognizing b) </w:t>
            </w:r>
            <w:r w:rsidRPr="002564C3">
              <w:rPr>
                <w:sz w:val="20"/>
                <w:szCs w:val="16"/>
                <w:lang w:eastAsia="zh-CN"/>
              </w:rPr>
              <w:t>above;</w:t>
            </w:r>
          </w:p>
          <w:p w14:paraId="6C853CB0" w14:textId="51719B63" w:rsidR="002564C3" w:rsidRPr="002564C3" w:rsidRDefault="002564C3" w:rsidP="002564C3">
            <w:pPr>
              <w:tabs>
                <w:tab w:val="clear" w:pos="1134"/>
                <w:tab w:val="left" w:pos="313"/>
              </w:tabs>
              <w:spacing w:before="60" w:after="40"/>
              <w:jc w:val="both"/>
              <w:rPr>
                <w:sz w:val="20"/>
                <w:szCs w:val="16"/>
                <w:lang w:eastAsia="zh-CN"/>
              </w:rPr>
            </w:pPr>
            <w:r w:rsidRPr="002564C3">
              <w:rPr>
                <w:sz w:val="20"/>
                <w:szCs w:val="16"/>
                <w:lang w:eastAsia="zh-CN"/>
              </w:rPr>
              <w:t>2</w:t>
            </w:r>
            <w:r>
              <w:rPr>
                <w:lang w:val="en-US" w:eastAsia="zh-CN"/>
              </w:rPr>
              <w:tab/>
            </w:r>
            <w:r w:rsidRPr="002564C3">
              <w:rPr>
                <w:sz w:val="20"/>
                <w:szCs w:val="16"/>
                <w:lang w:eastAsia="zh-CN"/>
              </w:rPr>
              <w:t xml:space="preserve">that administrations </w:t>
            </w:r>
            <w:proofErr w:type="gramStart"/>
            <w:r w:rsidRPr="002564C3">
              <w:rPr>
                <w:sz w:val="20"/>
                <w:szCs w:val="16"/>
                <w:lang w:eastAsia="zh-CN"/>
              </w:rPr>
              <w:t>take into account</w:t>
            </w:r>
            <w:proofErr w:type="gramEnd"/>
            <w:r w:rsidRPr="002564C3">
              <w:rPr>
                <w:sz w:val="20"/>
                <w:szCs w:val="16"/>
                <w:lang w:eastAsia="zh-CN"/>
              </w:rPr>
              <w:t>, if necessary, coexistence issues between ITS</w:t>
            </w:r>
            <w:r>
              <w:rPr>
                <w:sz w:val="20"/>
                <w:szCs w:val="16"/>
                <w:lang w:eastAsia="zh-CN"/>
              </w:rPr>
              <w:t xml:space="preserve"> </w:t>
            </w:r>
            <w:r w:rsidRPr="002564C3">
              <w:rPr>
                <w:sz w:val="20"/>
                <w:szCs w:val="16"/>
                <w:lang w:eastAsia="zh-CN"/>
              </w:rPr>
              <w:t xml:space="preserve">stations and stations of existing services (e.g. FSS earth stations), taking into account </w:t>
            </w:r>
            <w:r w:rsidRPr="002564C3">
              <w:rPr>
                <w:i/>
                <w:iCs/>
                <w:sz w:val="20"/>
                <w:szCs w:val="16"/>
                <w:lang w:eastAsia="zh-CN"/>
              </w:rPr>
              <w:t>considering f)</w:t>
            </w:r>
            <w:r w:rsidRPr="002564C3">
              <w:rPr>
                <w:sz w:val="20"/>
                <w:szCs w:val="16"/>
                <w:lang w:eastAsia="zh-CN"/>
              </w:rPr>
              <w:t>,</w:t>
            </w:r>
          </w:p>
          <w:p w14:paraId="4E761403" w14:textId="445E1343" w:rsidR="002564C3" w:rsidRPr="002564C3" w:rsidRDefault="002564C3" w:rsidP="002564C3">
            <w:pPr>
              <w:tabs>
                <w:tab w:val="clear" w:pos="1134"/>
                <w:tab w:val="left" w:pos="313"/>
              </w:tabs>
              <w:spacing w:before="60" w:after="40"/>
              <w:jc w:val="both"/>
              <w:rPr>
                <w:i/>
                <w:iCs/>
                <w:sz w:val="20"/>
                <w:szCs w:val="16"/>
                <w:lang w:eastAsia="zh-CN"/>
              </w:rPr>
            </w:pPr>
            <w:r>
              <w:rPr>
                <w:lang w:val="en-US" w:eastAsia="zh-CN"/>
              </w:rPr>
              <w:tab/>
            </w:r>
            <w:r w:rsidRPr="002564C3">
              <w:rPr>
                <w:i/>
                <w:iCs/>
                <w:sz w:val="20"/>
                <w:szCs w:val="16"/>
                <w:lang w:eastAsia="zh-CN"/>
              </w:rPr>
              <w:t>invites Member States and Sector Members</w:t>
            </w:r>
          </w:p>
          <w:p w14:paraId="0AEDC0E8" w14:textId="2BA786CE" w:rsidR="002564C3" w:rsidRPr="002564C3" w:rsidRDefault="002564C3" w:rsidP="002564C3">
            <w:pPr>
              <w:tabs>
                <w:tab w:val="clear" w:pos="1134"/>
                <w:tab w:val="left" w:pos="313"/>
              </w:tabs>
              <w:spacing w:before="60" w:after="40"/>
              <w:jc w:val="both"/>
              <w:rPr>
                <w:sz w:val="20"/>
                <w:szCs w:val="16"/>
                <w:lang w:eastAsia="zh-CN"/>
              </w:rPr>
            </w:pPr>
            <w:r w:rsidRPr="002564C3">
              <w:rPr>
                <w:sz w:val="20"/>
                <w:szCs w:val="16"/>
                <w:lang w:eastAsia="zh-CN"/>
              </w:rPr>
              <w:t>to participate actively in and to contribute to ITU</w:t>
            </w:r>
            <w:r w:rsidRPr="002564C3">
              <w:rPr>
                <w:i/>
                <w:iCs/>
                <w:sz w:val="20"/>
                <w:szCs w:val="16"/>
                <w:lang w:eastAsia="zh-CN"/>
              </w:rPr>
              <w:t>-</w:t>
            </w:r>
            <w:r w:rsidRPr="002564C3">
              <w:rPr>
                <w:sz w:val="20"/>
                <w:szCs w:val="16"/>
                <w:lang w:eastAsia="zh-CN"/>
              </w:rPr>
              <w:t>R studies on aspects of ITS and evolving ITS</w:t>
            </w:r>
            <w:r>
              <w:rPr>
                <w:sz w:val="20"/>
                <w:szCs w:val="16"/>
                <w:lang w:eastAsia="zh-CN"/>
              </w:rPr>
              <w:t xml:space="preserve"> </w:t>
            </w:r>
            <w:r w:rsidRPr="002564C3">
              <w:rPr>
                <w:sz w:val="20"/>
                <w:szCs w:val="16"/>
                <w:lang w:eastAsia="zh-CN"/>
              </w:rPr>
              <w:t>(e.g. connected vehicles, autonomous vehicles, adaptive driver assistance systems), through the</w:t>
            </w:r>
            <w:r>
              <w:rPr>
                <w:sz w:val="20"/>
                <w:szCs w:val="16"/>
                <w:lang w:eastAsia="zh-CN"/>
              </w:rPr>
              <w:t xml:space="preserve"> </w:t>
            </w:r>
            <w:r w:rsidRPr="002564C3">
              <w:rPr>
                <w:sz w:val="20"/>
                <w:szCs w:val="16"/>
                <w:lang w:eastAsia="zh-CN"/>
              </w:rPr>
              <w:t>ITU</w:t>
            </w:r>
            <w:r w:rsidRPr="002564C3">
              <w:rPr>
                <w:i/>
                <w:iCs/>
                <w:sz w:val="20"/>
                <w:szCs w:val="16"/>
                <w:lang w:eastAsia="zh-CN"/>
              </w:rPr>
              <w:t>-</w:t>
            </w:r>
            <w:r w:rsidRPr="002564C3">
              <w:rPr>
                <w:sz w:val="20"/>
                <w:szCs w:val="16"/>
                <w:lang w:eastAsia="zh-CN"/>
              </w:rPr>
              <w:t>R study groups,</w:t>
            </w:r>
          </w:p>
          <w:p w14:paraId="5E0E3F79" w14:textId="6815D897" w:rsidR="002564C3" w:rsidRPr="002564C3" w:rsidRDefault="002564C3">
            <w:pPr>
              <w:keepNext/>
              <w:keepLines/>
              <w:tabs>
                <w:tab w:val="clear" w:pos="1134"/>
                <w:tab w:val="left" w:pos="313"/>
              </w:tabs>
              <w:spacing w:before="60" w:after="40"/>
              <w:jc w:val="both"/>
              <w:rPr>
                <w:i/>
                <w:iCs/>
                <w:sz w:val="20"/>
                <w:szCs w:val="16"/>
                <w:lang w:eastAsia="zh-CN"/>
              </w:rPr>
              <w:pPrChange w:id="10" w:author="ITU - BR SGD" w:date="2025-02-03T11:00:00Z" w16du:dateUtc="2025-02-03T10:00:00Z">
                <w:pPr>
                  <w:tabs>
                    <w:tab w:val="clear" w:pos="1134"/>
                    <w:tab w:val="left" w:pos="313"/>
                  </w:tabs>
                  <w:spacing w:before="60" w:after="40"/>
                  <w:jc w:val="both"/>
                </w:pPr>
              </w:pPrChange>
            </w:pPr>
            <w:r>
              <w:rPr>
                <w:lang w:val="en-US" w:eastAsia="zh-CN"/>
              </w:rPr>
              <w:lastRenderedPageBreak/>
              <w:tab/>
            </w:r>
            <w:r w:rsidRPr="002564C3">
              <w:rPr>
                <w:i/>
                <w:iCs/>
                <w:sz w:val="20"/>
                <w:szCs w:val="16"/>
                <w:lang w:eastAsia="zh-CN"/>
              </w:rPr>
              <w:t>instructs the Secretary-General</w:t>
            </w:r>
          </w:p>
          <w:p w14:paraId="7270525E" w14:textId="636D67EF" w:rsidR="00A42CAD" w:rsidRPr="002564C3" w:rsidRDefault="002564C3" w:rsidP="002564C3">
            <w:pPr>
              <w:tabs>
                <w:tab w:val="clear" w:pos="1134"/>
                <w:tab w:val="left" w:pos="313"/>
              </w:tabs>
              <w:spacing w:before="60" w:after="40"/>
              <w:jc w:val="both"/>
              <w:rPr>
                <w:sz w:val="20"/>
                <w:szCs w:val="16"/>
                <w:lang w:eastAsia="zh-CN"/>
              </w:rPr>
            </w:pPr>
            <w:r w:rsidRPr="002564C3">
              <w:rPr>
                <w:sz w:val="20"/>
                <w:szCs w:val="16"/>
                <w:lang w:eastAsia="zh-CN"/>
              </w:rPr>
              <w:t>to bring this Recommendation to the attention of relevant international and regional organizations, in</w:t>
            </w:r>
            <w:r>
              <w:rPr>
                <w:sz w:val="20"/>
                <w:szCs w:val="16"/>
                <w:lang w:eastAsia="zh-CN"/>
              </w:rPr>
              <w:t xml:space="preserve"> </w:t>
            </w:r>
            <w:r w:rsidRPr="002564C3">
              <w:rPr>
                <w:sz w:val="20"/>
                <w:szCs w:val="16"/>
                <w:lang w:eastAsia="zh-CN"/>
              </w:rPr>
              <w:t>particular standards development organizations, dealing with ITS.</w:t>
            </w:r>
          </w:p>
        </w:tc>
        <w:tc>
          <w:tcPr>
            <w:tcW w:w="961" w:type="dxa"/>
            <w:shd w:val="clear" w:color="auto" w:fill="EEECE1" w:themeFill="background2"/>
          </w:tcPr>
          <w:p w14:paraId="5A14D9C1" w14:textId="0770B72A" w:rsidR="00561B43" w:rsidRPr="00437F7D" w:rsidRDefault="003E0DC1" w:rsidP="00A817D3">
            <w:pPr>
              <w:pStyle w:val="Tabletext"/>
              <w:jc w:val="center"/>
              <w:rPr>
                <w:spacing w:val="-6"/>
                <w:highlight w:val="yellow"/>
                <w:lang w:val="fr-FR" w:eastAsia="zh-CN"/>
              </w:rPr>
            </w:pPr>
            <w:proofErr w:type="spellStart"/>
            <w:r w:rsidRPr="003E0DC1">
              <w:rPr>
                <w:lang w:val="fr-FR" w:eastAsia="zh-CN"/>
              </w:rPr>
              <w:lastRenderedPageBreak/>
              <w:t>See</w:t>
            </w:r>
            <w:proofErr w:type="spellEnd"/>
            <w:r w:rsidRPr="003E0DC1">
              <w:rPr>
                <w:lang w:val="fr-FR" w:eastAsia="zh-CN"/>
              </w:rPr>
              <w:t xml:space="preserve"> </w:t>
            </w:r>
            <w:r w:rsidR="003C74A4">
              <w:rPr>
                <w:lang w:val="fr-FR" w:eastAsia="zh-CN"/>
              </w:rPr>
              <w:br/>
            </w:r>
            <w:r w:rsidRPr="003E0DC1">
              <w:rPr>
                <w:lang w:val="fr-FR" w:eastAsia="zh-CN"/>
              </w:rPr>
              <w:t xml:space="preserve">Doc. </w:t>
            </w:r>
            <w:hyperlink r:id="rId25" w:history="1">
              <w:r w:rsidR="00D71BFF" w:rsidRPr="003E0DC1">
                <w:rPr>
                  <w:rStyle w:val="Hyperlink"/>
                  <w:lang w:val="fr-FR" w:eastAsia="zh-CN"/>
                </w:rPr>
                <w:t>5/1</w:t>
              </w:r>
            </w:hyperlink>
          </w:p>
        </w:tc>
        <w:tc>
          <w:tcPr>
            <w:tcW w:w="1416" w:type="dxa"/>
            <w:shd w:val="clear" w:color="auto" w:fill="EEECE1" w:themeFill="background2"/>
          </w:tcPr>
          <w:p w14:paraId="7BF442F9" w14:textId="5DEA6345" w:rsidR="00267257" w:rsidRDefault="00562A80" w:rsidP="00C559F9">
            <w:pPr>
              <w:pStyle w:val="Tabletext"/>
              <w:jc w:val="center"/>
              <w:rPr>
                <w:bCs/>
                <w:lang w:val="fr-FR" w:eastAsia="zh-CN"/>
              </w:rPr>
            </w:pPr>
            <w:r w:rsidRPr="003C736F">
              <w:rPr>
                <w:lang w:val="en-US" w:eastAsia="zh-CN"/>
              </w:rPr>
              <w:t>1</w:t>
            </w:r>
          </w:p>
          <w:p w14:paraId="545C9948" w14:textId="77777777" w:rsidR="00267257" w:rsidRPr="00562A80" w:rsidRDefault="00267257" w:rsidP="00C559F9">
            <w:pPr>
              <w:pStyle w:val="Tabletext"/>
              <w:jc w:val="center"/>
              <w:rPr>
                <w:bCs/>
                <w:color w:val="FF0000"/>
                <w:lang w:val="fr-FR" w:eastAsia="zh-CN"/>
              </w:rPr>
            </w:pPr>
            <w:r w:rsidRPr="00562A80">
              <w:rPr>
                <w:bCs/>
                <w:color w:val="FF0000"/>
                <w:lang w:val="fr-FR" w:eastAsia="zh-CN"/>
              </w:rPr>
              <w:t>AND</w:t>
            </w:r>
          </w:p>
          <w:p w14:paraId="05809E24" w14:textId="3D5D4BFB" w:rsidR="00267257" w:rsidRPr="00562A80" w:rsidRDefault="00562A80" w:rsidP="00C559F9">
            <w:pPr>
              <w:pStyle w:val="Tabletext"/>
              <w:jc w:val="center"/>
              <w:rPr>
                <w:bCs/>
              </w:rPr>
            </w:pPr>
            <w:r>
              <w:rPr>
                <w:bCs/>
              </w:rPr>
              <w:t>3</w:t>
            </w:r>
          </w:p>
        </w:tc>
      </w:tr>
      <w:tr w:rsidR="00562A80" w14:paraId="5459B8BB" w14:textId="323F8466" w:rsidTr="00C559F9">
        <w:tc>
          <w:tcPr>
            <w:tcW w:w="1801" w:type="dxa"/>
            <w:shd w:val="clear" w:color="auto" w:fill="EEECE1" w:themeFill="background2"/>
          </w:tcPr>
          <w:p w14:paraId="1CAEFE52" w14:textId="5479F100" w:rsidR="00562A80" w:rsidRPr="00C559F9" w:rsidRDefault="00562A80" w:rsidP="00562A80">
            <w:pPr>
              <w:pStyle w:val="Tabletext"/>
              <w:rPr>
                <w:rFonts w:ascii="TimesNewRomanPSMT" w:hAnsi="TimesNewRomanPSMT" w:cs="TimesNewRomanPSMT"/>
                <w:b/>
                <w:spacing w:val="-6"/>
                <w:lang w:eastAsia="zh-CN"/>
              </w:rPr>
            </w:pPr>
            <w:r w:rsidRPr="00C559F9">
              <w:rPr>
                <w:rFonts w:ascii="TimesNewRomanPSMT" w:hAnsi="TimesNewRomanPSMT" w:cs="TimesNewRomanPSMT"/>
                <w:b/>
                <w:spacing w:val="-6"/>
                <w:lang w:eastAsia="zh-CN"/>
              </w:rPr>
              <w:t>316 (Rev.WRC-19)</w:t>
            </w:r>
          </w:p>
        </w:tc>
        <w:tc>
          <w:tcPr>
            <w:tcW w:w="2730" w:type="dxa"/>
            <w:shd w:val="clear" w:color="auto" w:fill="EEECE1" w:themeFill="background2"/>
          </w:tcPr>
          <w:p w14:paraId="005F4E82" w14:textId="2FA22F82" w:rsidR="00562A80" w:rsidRPr="00072950" w:rsidRDefault="00562A80" w:rsidP="00562A80">
            <w:pPr>
              <w:pStyle w:val="Tabletext"/>
              <w:rPr>
                <w:lang w:eastAsia="zh-CN"/>
              </w:rPr>
            </w:pPr>
            <w:r>
              <w:rPr>
                <w:lang w:eastAsia="zh-CN"/>
              </w:rPr>
              <w:t>Use of ship earth stations within harbours and other waters under national jurisdiction</w:t>
            </w:r>
          </w:p>
        </w:tc>
        <w:tc>
          <w:tcPr>
            <w:tcW w:w="8538" w:type="dxa"/>
            <w:shd w:val="clear" w:color="auto" w:fill="EEECE1" w:themeFill="background2"/>
          </w:tcPr>
          <w:p w14:paraId="2A457BAC" w14:textId="6BA154AD" w:rsidR="00562A80" w:rsidRPr="001E4455" w:rsidRDefault="00562A80" w:rsidP="00562A80">
            <w:pPr>
              <w:tabs>
                <w:tab w:val="clear" w:pos="1134"/>
                <w:tab w:val="left" w:pos="313"/>
              </w:tabs>
              <w:spacing w:before="60" w:after="40"/>
              <w:jc w:val="both"/>
              <w:rPr>
                <w:i/>
                <w:iCs/>
                <w:sz w:val="20"/>
                <w:szCs w:val="16"/>
                <w:lang w:eastAsia="zh-CN"/>
              </w:rPr>
            </w:pPr>
            <w:r>
              <w:rPr>
                <w:lang w:val="en-US" w:eastAsia="zh-CN"/>
              </w:rPr>
              <w:tab/>
            </w:r>
            <w:r w:rsidRPr="001E4455">
              <w:rPr>
                <w:i/>
                <w:iCs/>
                <w:sz w:val="20"/>
                <w:szCs w:val="16"/>
                <w:lang w:eastAsia="zh-CN"/>
              </w:rPr>
              <w:t>recommends</w:t>
            </w:r>
          </w:p>
          <w:p w14:paraId="635385F9" w14:textId="576F5D21" w:rsidR="00562A80" w:rsidRPr="00072950" w:rsidRDefault="00562A80" w:rsidP="00562A80">
            <w:pPr>
              <w:tabs>
                <w:tab w:val="clear" w:pos="1134"/>
                <w:tab w:val="left" w:pos="313"/>
              </w:tabs>
              <w:spacing w:before="60" w:after="40"/>
              <w:jc w:val="both"/>
              <w:rPr>
                <w:sz w:val="20"/>
                <w:szCs w:val="16"/>
                <w:lang w:eastAsia="zh-CN"/>
              </w:rPr>
            </w:pPr>
            <w:r w:rsidRPr="001E4455">
              <w:rPr>
                <w:sz w:val="20"/>
                <w:szCs w:val="16"/>
                <w:lang w:eastAsia="zh-CN"/>
              </w:rPr>
              <w:t>that all administrations should permit, to the extent possible, ship earth stations to operate within</w:t>
            </w:r>
            <w:r>
              <w:rPr>
                <w:sz w:val="20"/>
                <w:szCs w:val="16"/>
                <w:lang w:eastAsia="zh-CN"/>
              </w:rPr>
              <w:t xml:space="preserve"> </w:t>
            </w:r>
            <w:r w:rsidRPr="001E4455">
              <w:rPr>
                <w:sz w:val="20"/>
                <w:szCs w:val="16"/>
                <w:lang w:eastAsia="zh-CN"/>
              </w:rPr>
              <w:t>harbours and other waters under national jurisdiction, in the frequency bands used for the GMDSS.</w:t>
            </w:r>
          </w:p>
        </w:tc>
        <w:tc>
          <w:tcPr>
            <w:tcW w:w="961" w:type="dxa"/>
            <w:shd w:val="clear" w:color="auto" w:fill="EEECE1" w:themeFill="background2"/>
          </w:tcPr>
          <w:p w14:paraId="16479CDE" w14:textId="0A2F7697" w:rsidR="00562A80" w:rsidRPr="00C60B0B" w:rsidRDefault="003E0DC1" w:rsidP="00562A80">
            <w:pPr>
              <w:pStyle w:val="Tabletext"/>
              <w:jc w:val="center"/>
              <w:rPr>
                <w:highlight w:val="yellow"/>
                <w:lang w:val="fr-FR" w:eastAsia="zh-CN"/>
              </w:rPr>
            </w:pPr>
            <w:proofErr w:type="spellStart"/>
            <w:r w:rsidRPr="003E0DC1">
              <w:rPr>
                <w:lang w:val="fr-FR" w:eastAsia="zh-CN"/>
              </w:rPr>
              <w:t>See</w:t>
            </w:r>
            <w:proofErr w:type="spellEnd"/>
            <w:r w:rsidRPr="003E0DC1">
              <w:rPr>
                <w:lang w:val="fr-FR" w:eastAsia="zh-CN"/>
              </w:rPr>
              <w:t xml:space="preserve"> </w:t>
            </w:r>
            <w:r w:rsidR="00712089">
              <w:rPr>
                <w:lang w:val="fr-FR" w:eastAsia="zh-CN"/>
              </w:rPr>
              <w:br/>
            </w:r>
            <w:r w:rsidRPr="003E0DC1">
              <w:rPr>
                <w:lang w:val="fr-FR" w:eastAsia="zh-CN"/>
              </w:rPr>
              <w:t xml:space="preserve">Doc. </w:t>
            </w:r>
            <w:hyperlink r:id="rId26" w:history="1">
              <w:r w:rsidR="00D71BFF" w:rsidRPr="003E0DC1">
                <w:rPr>
                  <w:rStyle w:val="Hyperlink"/>
                  <w:lang w:val="fr-FR" w:eastAsia="zh-CN"/>
                </w:rPr>
                <w:t>5/1</w:t>
              </w:r>
            </w:hyperlink>
          </w:p>
        </w:tc>
        <w:tc>
          <w:tcPr>
            <w:tcW w:w="1416" w:type="dxa"/>
            <w:shd w:val="clear" w:color="auto" w:fill="EEECE1" w:themeFill="background2"/>
          </w:tcPr>
          <w:p w14:paraId="49C7152C" w14:textId="1BC541D1" w:rsidR="00562A80" w:rsidRPr="00B867A8" w:rsidRDefault="00562A80" w:rsidP="00C559F9">
            <w:pPr>
              <w:pStyle w:val="Tabletext"/>
              <w:jc w:val="center"/>
              <w:rPr>
                <w:bCs/>
                <w:highlight w:val="yellow"/>
                <w:lang w:val="fr-FR" w:eastAsia="zh-CN"/>
              </w:rPr>
            </w:pPr>
            <w:r w:rsidRPr="005D7ABB">
              <w:t>5</w:t>
            </w:r>
          </w:p>
        </w:tc>
      </w:tr>
      <w:tr w:rsidR="00443FF7" w14:paraId="6FEC7950" w14:textId="758403D6" w:rsidTr="00C559F9">
        <w:tc>
          <w:tcPr>
            <w:tcW w:w="1801" w:type="dxa"/>
            <w:shd w:val="clear" w:color="auto" w:fill="auto"/>
          </w:tcPr>
          <w:p w14:paraId="4ABA047E" w14:textId="6F66ECBC" w:rsidR="00443FF7" w:rsidRPr="00C559F9" w:rsidRDefault="00443FF7" w:rsidP="00443FF7">
            <w:pPr>
              <w:pStyle w:val="Tabletext"/>
              <w:rPr>
                <w:rFonts w:ascii="TimesNewRomanPSMT" w:hAnsi="TimesNewRomanPSMT" w:cs="TimesNewRomanPSMT"/>
                <w:b/>
                <w:bCs/>
                <w:spacing w:val="-6"/>
                <w:lang w:eastAsia="zh-CN"/>
              </w:rPr>
            </w:pPr>
            <w:r w:rsidRPr="00C559F9">
              <w:rPr>
                <w:b/>
                <w:bCs/>
                <w:spacing w:val="-6"/>
                <w:lang w:eastAsia="zh-CN"/>
              </w:rPr>
              <w:t xml:space="preserve">401 </w:t>
            </w:r>
            <w:r w:rsidRPr="00C559F9">
              <w:rPr>
                <w:b/>
                <w:bCs/>
                <w:spacing w:val="-6"/>
                <w:highlight w:val="yellow"/>
                <w:lang w:eastAsia="zh-CN"/>
              </w:rPr>
              <w:t>(WARC-79)</w:t>
            </w:r>
          </w:p>
        </w:tc>
        <w:tc>
          <w:tcPr>
            <w:tcW w:w="2730" w:type="dxa"/>
            <w:shd w:val="clear" w:color="auto" w:fill="auto"/>
          </w:tcPr>
          <w:p w14:paraId="5D4B20B3" w14:textId="748D2970" w:rsidR="00443FF7" w:rsidRDefault="00443FF7" w:rsidP="00443FF7">
            <w:pPr>
              <w:pStyle w:val="Tabletext"/>
              <w:rPr>
                <w:lang w:eastAsia="zh-CN"/>
              </w:rPr>
            </w:pPr>
            <w:r w:rsidRPr="00FC28C3">
              <w:rPr>
                <w:lang w:eastAsia="zh-CN"/>
              </w:rPr>
              <w:t>Relating to the efficient use of aeronautical mobile (R) worldwide frequencies</w:t>
            </w:r>
          </w:p>
        </w:tc>
        <w:tc>
          <w:tcPr>
            <w:tcW w:w="8538" w:type="dxa"/>
            <w:shd w:val="clear" w:color="auto" w:fill="auto"/>
          </w:tcPr>
          <w:p w14:paraId="1D7B6A90" w14:textId="273A5E8B" w:rsidR="00443FF7" w:rsidRPr="00FC28C3" w:rsidRDefault="00443FF7" w:rsidP="00443FF7">
            <w:pPr>
              <w:tabs>
                <w:tab w:val="clear" w:pos="1134"/>
                <w:tab w:val="left" w:pos="313"/>
              </w:tabs>
              <w:spacing w:before="60" w:after="40"/>
              <w:jc w:val="both"/>
              <w:rPr>
                <w:i/>
                <w:iCs/>
                <w:sz w:val="20"/>
                <w:szCs w:val="16"/>
                <w:lang w:eastAsia="zh-CN"/>
              </w:rPr>
            </w:pPr>
            <w:r>
              <w:rPr>
                <w:lang w:val="en-US" w:eastAsia="zh-CN"/>
              </w:rPr>
              <w:tab/>
            </w:r>
            <w:r w:rsidRPr="00FC28C3">
              <w:rPr>
                <w:i/>
                <w:iCs/>
                <w:sz w:val="20"/>
                <w:szCs w:val="16"/>
                <w:lang w:eastAsia="zh-CN"/>
              </w:rPr>
              <w:t>recommends to administrations</w:t>
            </w:r>
          </w:p>
          <w:p w14:paraId="686AA3DE" w14:textId="4164A641" w:rsidR="00443FF7" w:rsidRPr="00FC28C3" w:rsidRDefault="00443FF7" w:rsidP="00443FF7">
            <w:pPr>
              <w:tabs>
                <w:tab w:val="clear" w:pos="1134"/>
                <w:tab w:val="left" w:pos="313"/>
              </w:tabs>
              <w:spacing w:before="60" w:after="40"/>
              <w:jc w:val="both"/>
              <w:rPr>
                <w:sz w:val="20"/>
                <w:szCs w:val="16"/>
                <w:lang w:eastAsia="zh-CN"/>
              </w:rPr>
            </w:pPr>
            <w:r w:rsidRPr="00FC28C3">
              <w:rPr>
                <w:sz w:val="20"/>
                <w:szCs w:val="16"/>
                <w:lang w:eastAsia="zh-CN"/>
              </w:rPr>
              <w:t>1</w:t>
            </w:r>
            <w:r>
              <w:rPr>
                <w:lang w:val="en-US" w:eastAsia="zh-CN"/>
              </w:rPr>
              <w:tab/>
            </w:r>
            <w:r w:rsidRPr="00FC28C3">
              <w:rPr>
                <w:sz w:val="20"/>
                <w:szCs w:val="16"/>
                <w:lang w:eastAsia="zh-CN"/>
              </w:rPr>
              <w:t>that the number of HF aeronautical stations on the worldwide channels should be kept to</w:t>
            </w:r>
            <w:r>
              <w:rPr>
                <w:sz w:val="20"/>
                <w:szCs w:val="16"/>
                <w:lang w:eastAsia="zh-CN"/>
              </w:rPr>
              <w:t xml:space="preserve"> </w:t>
            </w:r>
            <w:r w:rsidRPr="00FC28C3">
              <w:rPr>
                <w:sz w:val="20"/>
                <w:szCs w:val="16"/>
                <w:lang w:eastAsia="zh-CN"/>
              </w:rPr>
              <w:t>a minimum consistent with the economic and efficient use of frequencies;</w:t>
            </w:r>
          </w:p>
          <w:p w14:paraId="26326572" w14:textId="002CDFCF" w:rsidR="00443FF7" w:rsidRDefault="00443FF7" w:rsidP="00443FF7">
            <w:pPr>
              <w:tabs>
                <w:tab w:val="clear" w:pos="1134"/>
                <w:tab w:val="left" w:pos="313"/>
              </w:tabs>
              <w:spacing w:before="60" w:after="40"/>
              <w:jc w:val="both"/>
              <w:rPr>
                <w:sz w:val="20"/>
                <w:szCs w:val="16"/>
                <w:lang w:eastAsia="zh-CN"/>
              </w:rPr>
            </w:pPr>
            <w:r w:rsidRPr="00FC28C3">
              <w:rPr>
                <w:sz w:val="20"/>
                <w:szCs w:val="16"/>
                <w:lang w:eastAsia="zh-CN"/>
              </w:rPr>
              <w:t>2</w:t>
            </w:r>
            <w:r>
              <w:rPr>
                <w:lang w:val="en-US" w:eastAsia="zh-CN"/>
              </w:rPr>
              <w:tab/>
            </w:r>
            <w:r w:rsidRPr="00FC28C3">
              <w:rPr>
                <w:sz w:val="20"/>
                <w:szCs w:val="16"/>
                <w:lang w:eastAsia="zh-CN"/>
              </w:rPr>
              <w:t>that, if possible and practicable, one such station should serve aircraft operating agencies</w:t>
            </w:r>
            <w:r>
              <w:rPr>
                <w:sz w:val="20"/>
                <w:szCs w:val="16"/>
                <w:lang w:eastAsia="zh-CN"/>
              </w:rPr>
              <w:t xml:space="preserve"> </w:t>
            </w:r>
            <w:r w:rsidRPr="00FC28C3">
              <w:rPr>
                <w:sz w:val="20"/>
                <w:szCs w:val="16"/>
                <w:lang w:eastAsia="zh-CN"/>
              </w:rPr>
              <w:t>in adjacent countries and there should not normally be more than one station per country.</w:t>
            </w:r>
          </w:p>
        </w:tc>
        <w:tc>
          <w:tcPr>
            <w:tcW w:w="961" w:type="dxa"/>
            <w:shd w:val="clear" w:color="auto" w:fill="auto"/>
          </w:tcPr>
          <w:p w14:paraId="766A87E6" w14:textId="178815CE" w:rsidR="00443FF7" w:rsidRPr="00C60B0B" w:rsidRDefault="00443FF7" w:rsidP="00443FF7">
            <w:pPr>
              <w:pStyle w:val="Tabletext"/>
              <w:jc w:val="center"/>
              <w:rPr>
                <w:highlight w:val="yellow"/>
                <w:lang w:val="fr-FR" w:eastAsia="zh-CN"/>
              </w:rPr>
            </w:pPr>
            <w:r w:rsidRPr="005B3D5F">
              <w:rPr>
                <w:lang w:val="fr-FR" w:eastAsia="zh-CN"/>
              </w:rPr>
              <w:t>−</w:t>
            </w:r>
          </w:p>
        </w:tc>
        <w:tc>
          <w:tcPr>
            <w:tcW w:w="1416" w:type="dxa"/>
            <w:shd w:val="clear" w:color="auto" w:fill="auto"/>
          </w:tcPr>
          <w:p w14:paraId="64941430" w14:textId="72E5A1DE" w:rsidR="00443FF7" w:rsidRPr="00B867A8" w:rsidRDefault="00443FF7" w:rsidP="00443FF7">
            <w:pPr>
              <w:pStyle w:val="Tabletext"/>
              <w:jc w:val="center"/>
              <w:rPr>
                <w:bCs/>
                <w:highlight w:val="yellow"/>
                <w:lang w:val="fr-FR" w:eastAsia="zh-CN"/>
              </w:rPr>
            </w:pPr>
            <w:r w:rsidRPr="005D7ABB">
              <w:t>5</w:t>
            </w:r>
          </w:p>
        </w:tc>
      </w:tr>
      <w:tr w:rsidR="00443FF7" w14:paraId="00DA5810" w14:textId="1FD76190" w:rsidTr="00C559F9">
        <w:tc>
          <w:tcPr>
            <w:tcW w:w="1801" w:type="dxa"/>
            <w:shd w:val="clear" w:color="auto" w:fill="auto"/>
          </w:tcPr>
          <w:p w14:paraId="62FAD571" w14:textId="02C9FFFC" w:rsidR="00443FF7" w:rsidRPr="00C559F9" w:rsidRDefault="00443FF7" w:rsidP="00443FF7">
            <w:pPr>
              <w:pStyle w:val="Tabletext"/>
              <w:rPr>
                <w:rStyle w:val="href"/>
                <w:rFonts w:ascii="Times New Roman Bold" w:hAnsi="Times New Roman Bold"/>
                <w:b/>
                <w:spacing w:val="-6"/>
              </w:rPr>
            </w:pPr>
            <w:r w:rsidRPr="00C559F9">
              <w:rPr>
                <w:rFonts w:ascii="Times New Roman Bold" w:hAnsi="Times New Roman Bold"/>
                <w:b/>
                <w:spacing w:val="-6"/>
              </w:rPr>
              <w:t>503 (Rev.WRC-19)</w:t>
            </w:r>
          </w:p>
        </w:tc>
        <w:tc>
          <w:tcPr>
            <w:tcW w:w="2730" w:type="dxa"/>
            <w:shd w:val="clear" w:color="auto" w:fill="auto"/>
          </w:tcPr>
          <w:p w14:paraId="4BDB3FB2" w14:textId="3C6FDEBE" w:rsidR="00443FF7" w:rsidRDefault="00443FF7" w:rsidP="00443FF7">
            <w:pPr>
              <w:pStyle w:val="Tabletext"/>
              <w:rPr>
                <w:lang w:eastAsia="zh-CN"/>
              </w:rPr>
            </w:pPr>
            <w:r w:rsidRPr="00F534DF">
              <w:rPr>
                <w:lang w:eastAsia="zh-CN"/>
              </w:rPr>
              <w:t>High-frequency broadcasting</w:t>
            </w:r>
          </w:p>
        </w:tc>
        <w:tc>
          <w:tcPr>
            <w:tcW w:w="8538" w:type="dxa"/>
            <w:shd w:val="clear" w:color="auto" w:fill="auto"/>
          </w:tcPr>
          <w:p w14:paraId="4A74007F" w14:textId="151A1C09" w:rsidR="00443FF7" w:rsidRPr="00F534DF" w:rsidRDefault="00443FF7" w:rsidP="00443FF7">
            <w:pPr>
              <w:tabs>
                <w:tab w:val="clear" w:pos="1134"/>
                <w:tab w:val="left" w:pos="313"/>
              </w:tabs>
              <w:spacing w:before="60" w:after="40"/>
              <w:jc w:val="both"/>
              <w:rPr>
                <w:i/>
                <w:iCs/>
                <w:sz w:val="20"/>
                <w:szCs w:val="16"/>
                <w:lang w:eastAsia="zh-CN"/>
              </w:rPr>
            </w:pPr>
            <w:r>
              <w:rPr>
                <w:lang w:val="en-US" w:eastAsia="zh-CN"/>
              </w:rPr>
              <w:tab/>
            </w:r>
            <w:r w:rsidRPr="00F534DF">
              <w:rPr>
                <w:i/>
                <w:iCs/>
                <w:sz w:val="20"/>
                <w:szCs w:val="16"/>
                <w:lang w:eastAsia="zh-CN"/>
              </w:rPr>
              <w:t>recommends administrations</w:t>
            </w:r>
          </w:p>
          <w:p w14:paraId="4BF311F7" w14:textId="56B5EADF" w:rsidR="00443FF7" w:rsidRPr="00F534DF" w:rsidRDefault="00443FF7" w:rsidP="00443FF7">
            <w:pPr>
              <w:tabs>
                <w:tab w:val="clear" w:pos="1134"/>
                <w:tab w:val="left" w:pos="313"/>
              </w:tabs>
              <w:spacing w:before="60" w:after="40"/>
              <w:jc w:val="both"/>
              <w:rPr>
                <w:sz w:val="20"/>
                <w:szCs w:val="16"/>
                <w:lang w:eastAsia="zh-CN"/>
              </w:rPr>
            </w:pPr>
            <w:r w:rsidRPr="00F534DF">
              <w:rPr>
                <w:sz w:val="20"/>
                <w:szCs w:val="16"/>
                <w:lang w:eastAsia="zh-CN"/>
              </w:rPr>
              <w:t>1</w:t>
            </w:r>
            <w:r>
              <w:rPr>
                <w:lang w:val="en-US" w:eastAsia="zh-CN"/>
              </w:rPr>
              <w:tab/>
            </w:r>
            <w:r w:rsidRPr="00F534DF">
              <w:rPr>
                <w:sz w:val="20"/>
                <w:szCs w:val="16"/>
                <w:lang w:eastAsia="zh-CN"/>
              </w:rPr>
              <w:t>to draw the attention of manufacturers to this matter, in order to ensure that future digital</w:t>
            </w:r>
            <w:r>
              <w:rPr>
                <w:sz w:val="20"/>
                <w:szCs w:val="16"/>
                <w:lang w:eastAsia="zh-CN"/>
              </w:rPr>
              <w:t xml:space="preserve"> </w:t>
            </w:r>
            <w:r w:rsidRPr="00F534DF">
              <w:rPr>
                <w:sz w:val="20"/>
                <w:szCs w:val="16"/>
                <w:lang w:eastAsia="zh-CN"/>
              </w:rPr>
              <w:t>receivers take full advantage of the advanced technology while maintaining low cost;</w:t>
            </w:r>
          </w:p>
          <w:p w14:paraId="35275BDE" w14:textId="5ECAB04A" w:rsidR="00443FF7" w:rsidRDefault="00443FF7" w:rsidP="00443FF7">
            <w:pPr>
              <w:tabs>
                <w:tab w:val="clear" w:pos="1134"/>
                <w:tab w:val="left" w:pos="313"/>
              </w:tabs>
              <w:spacing w:before="60" w:after="40"/>
              <w:jc w:val="both"/>
              <w:rPr>
                <w:sz w:val="20"/>
                <w:szCs w:val="16"/>
                <w:lang w:eastAsia="zh-CN"/>
              </w:rPr>
            </w:pPr>
            <w:r w:rsidRPr="00F534DF">
              <w:rPr>
                <w:sz w:val="20"/>
                <w:szCs w:val="16"/>
                <w:lang w:eastAsia="zh-CN"/>
              </w:rPr>
              <w:t>2</w:t>
            </w:r>
            <w:r>
              <w:rPr>
                <w:lang w:val="en-US" w:eastAsia="zh-CN"/>
              </w:rPr>
              <w:tab/>
            </w:r>
            <w:r w:rsidRPr="00F534DF">
              <w:rPr>
                <w:sz w:val="20"/>
                <w:szCs w:val="16"/>
                <w:lang w:eastAsia="zh-CN"/>
              </w:rPr>
              <w:t>to encourage manufacturers to monitor closely the development of the studies carried out</w:t>
            </w:r>
            <w:r>
              <w:rPr>
                <w:sz w:val="20"/>
                <w:szCs w:val="16"/>
                <w:lang w:eastAsia="zh-CN"/>
              </w:rPr>
              <w:t xml:space="preserve"> </w:t>
            </w:r>
            <w:r w:rsidRPr="00F534DF">
              <w:rPr>
                <w:sz w:val="20"/>
                <w:szCs w:val="16"/>
                <w:lang w:eastAsia="zh-CN"/>
              </w:rPr>
              <w:t>by ITU-R, with a view to starting mass production of new low-cost digital receivers as soon as</w:t>
            </w:r>
            <w:r>
              <w:rPr>
                <w:sz w:val="20"/>
                <w:szCs w:val="16"/>
                <w:lang w:eastAsia="zh-CN"/>
              </w:rPr>
              <w:t xml:space="preserve"> </w:t>
            </w:r>
            <w:r w:rsidRPr="00F534DF">
              <w:rPr>
                <w:sz w:val="20"/>
                <w:szCs w:val="16"/>
                <w:lang w:eastAsia="zh-CN"/>
              </w:rPr>
              <w:t>possible after the approval of relevant ITU-R Recommendation(s).</w:t>
            </w:r>
          </w:p>
        </w:tc>
        <w:tc>
          <w:tcPr>
            <w:tcW w:w="961" w:type="dxa"/>
            <w:shd w:val="clear" w:color="auto" w:fill="auto"/>
          </w:tcPr>
          <w:p w14:paraId="41FC2313" w14:textId="59E53866" w:rsidR="00443FF7" w:rsidRPr="00C60B0B" w:rsidRDefault="005E0B72" w:rsidP="00443FF7">
            <w:pPr>
              <w:pStyle w:val="Tabletext"/>
              <w:jc w:val="center"/>
              <w:rPr>
                <w:highlight w:val="yellow"/>
                <w:lang w:val="fr-FR" w:eastAsia="zh-CN"/>
              </w:rPr>
            </w:pPr>
            <w:proofErr w:type="spellStart"/>
            <w:r>
              <w:rPr>
                <w:lang w:val="fr-FR" w:eastAsia="zh-CN"/>
              </w:rPr>
              <w:t>See</w:t>
            </w:r>
            <w:proofErr w:type="spellEnd"/>
            <w:r>
              <w:rPr>
                <w:lang w:val="fr-FR" w:eastAsia="zh-CN"/>
              </w:rPr>
              <w:br/>
            </w:r>
            <w:r w:rsidRPr="00E33D2E">
              <w:rPr>
                <w:lang w:val="fr-FR" w:eastAsia="zh-CN"/>
              </w:rPr>
              <w:t xml:space="preserve">Doc. </w:t>
            </w:r>
            <w:hyperlink r:id="rId27" w:history="1">
              <w:r w:rsidRPr="00E33D2E">
                <w:rPr>
                  <w:rStyle w:val="Hyperlink"/>
                </w:rPr>
                <w:t>6/1</w:t>
              </w:r>
            </w:hyperlink>
          </w:p>
        </w:tc>
        <w:tc>
          <w:tcPr>
            <w:tcW w:w="1416" w:type="dxa"/>
            <w:shd w:val="clear" w:color="auto" w:fill="auto"/>
          </w:tcPr>
          <w:p w14:paraId="24C688E9" w14:textId="47F7AC94" w:rsidR="00443FF7" w:rsidRPr="00B867A8" w:rsidRDefault="00443FF7" w:rsidP="00443FF7">
            <w:pPr>
              <w:pStyle w:val="Tabletext"/>
              <w:jc w:val="center"/>
              <w:rPr>
                <w:bCs/>
                <w:highlight w:val="yellow"/>
                <w:lang w:val="fr-FR" w:eastAsia="zh-CN"/>
              </w:rPr>
            </w:pPr>
            <w:r w:rsidRPr="005D7ABB">
              <w:t>5</w:t>
            </w:r>
          </w:p>
        </w:tc>
      </w:tr>
      <w:tr w:rsidR="00443FF7" w14:paraId="4DA324C7" w14:textId="6F7F23F0" w:rsidTr="00C559F9">
        <w:tc>
          <w:tcPr>
            <w:tcW w:w="1801" w:type="dxa"/>
            <w:shd w:val="clear" w:color="auto" w:fill="auto"/>
          </w:tcPr>
          <w:p w14:paraId="29B4FDFE" w14:textId="3CB11835" w:rsidR="00443FF7" w:rsidRPr="00C559F9" w:rsidRDefault="00443FF7" w:rsidP="00443FF7">
            <w:pPr>
              <w:pStyle w:val="Tabletext"/>
              <w:rPr>
                <w:rFonts w:ascii="TimesNewRomanPSMT" w:hAnsi="TimesNewRomanPSMT" w:cs="TimesNewRomanPSMT"/>
                <w:b/>
                <w:bCs/>
                <w:spacing w:val="-6"/>
                <w:lang w:eastAsia="zh-CN"/>
              </w:rPr>
            </w:pPr>
            <w:r w:rsidRPr="00C559F9">
              <w:rPr>
                <w:b/>
                <w:bCs/>
                <w:spacing w:val="-6"/>
                <w:lang w:eastAsia="zh-CN"/>
              </w:rPr>
              <w:t xml:space="preserve">506 </w:t>
            </w:r>
            <w:r w:rsidRPr="00C559F9">
              <w:rPr>
                <w:b/>
                <w:bCs/>
                <w:spacing w:val="-6"/>
                <w:highlight w:val="yellow"/>
                <w:lang w:eastAsia="zh-CN"/>
              </w:rPr>
              <w:t>(WARC-79)</w:t>
            </w:r>
          </w:p>
        </w:tc>
        <w:tc>
          <w:tcPr>
            <w:tcW w:w="2730" w:type="dxa"/>
            <w:shd w:val="clear" w:color="auto" w:fill="auto"/>
          </w:tcPr>
          <w:p w14:paraId="0C9164E2" w14:textId="77777777" w:rsidR="00443FF7" w:rsidRDefault="00443FF7" w:rsidP="00443FF7">
            <w:pPr>
              <w:pStyle w:val="Tabletext"/>
              <w:rPr>
                <w:vertAlign w:val="superscript"/>
                <w:lang w:eastAsia="zh-CN"/>
              </w:rPr>
            </w:pPr>
            <w:r>
              <w:rPr>
                <w:lang w:eastAsia="zh-CN"/>
              </w:rPr>
              <w:t>Relating to the harmonics of the fundamental frequency of broadcasting-satellite stations</w:t>
            </w:r>
            <w:r w:rsidRPr="000E52B1">
              <w:rPr>
                <w:vertAlign w:val="superscript"/>
                <w:lang w:eastAsia="zh-CN"/>
              </w:rPr>
              <w:t>1</w:t>
            </w:r>
          </w:p>
          <w:p w14:paraId="40D7D6E4" w14:textId="77777777" w:rsidR="00443FF7" w:rsidRDefault="00443FF7" w:rsidP="00443FF7">
            <w:pPr>
              <w:pStyle w:val="Tabletext"/>
              <w:rPr>
                <w:vertAlign w:val="superscript"/>
                <w:lang w:eastAsia="zh-CN"/>
              </w:rPr>
            </w:pPr>
          </w:p>
          <w:p w14:paraId="335BC9C9" w14:textId="77777777" w:rsidR="00443FF7" w:rsidRDefault="00443FF7" w:rsidP="00443FF7">
            <w:pPr>
              <w:pStyle w:val="Tabletext"/>
              <w:rPr>
                <w:vertAlign w:val="superscript"/>
                <w:lang w:eastAsia="zh-CN"/>
              </w:rPr>
            </w:pPr>
            <w:r>
              <w:rPr>
                <w:vertAlign w:val="superscript"/>
                <w:lang w:eastAsia="zh-CN"/>
              </w:rPr>
              <w:t>_______________________________</w:t>
            </w:r>
          </w:p>
          <w:p w14:paraId="1F80D0C1" w14:textId="6358FF81" w:rsidR="00443FF7" w:rsidRDefault="00443FF7" w:rsidP="00443FF7">
            <w:pPr>
              <w:pStyle w:val="Tabletext"/>
              <w:rPr>
                <w:lang w:eastAsia="zh-CN"/>
              </w:rPr>
            </w:pPr>
            <w:r w:rsidRPr="004E7A8E">
              <w:rPr>
                <w:sz w:val="18"/>
                <w:szCs w:val="18"/>
                <w:vertAlign w:val="superscript"/>
                <w:lang w:eastAsia="zh-CN"/>
              </w:rPr>
              <w:t xml:space="preserve">1 </w:t>
            </w:r>
            <w:r w:rsidRPr="004E7A8E">
              <w:rPr>
                <w:sz w:val="18"/>
                <w:szCs w:val="18"/>
                <w:lang w:eastAsia="zh-CN"/>
              </w:rPr>
              <w:t>WRC-97 made editorial amendments to this Recommendation.</w:t>
            </w:r>
          </w:p>
        </w:tc>
        <w:tc>
          <w:tcPr>
            <w:tcW w:w="8538" w:type="dxa"/>
            <w:shd w:val="clear" w:color="auto" w:fill="auto"/>
          </w:tcPr>
          <w:p w14:paraId="00793266" w14:textId="3E3F5C85" w:rsidR="00443FF7" w:rsidRPr="000E52B1" w:rsidRDefault="00443FF7" w:rsidP="00443FF7">
            <w:pPr>
              <w:tabs>
                <w:tab w:val="clear" w:pos="1134"/>
                <w:tab w:val="left" w:pos="313"/>
              </w:tabs>
              <w:spacing w:before="60" w:after="40"/>
              <w:jc w:val="both"/>
              <w:rPr>
                <w:i/>
                <w:iCs/>
                <w:sz w:val="20"/>
                <w:szCs w:val="16"/>
                <w:lang w:eastAsia="zh-CN"/>
              </w:rPr>
            </w:pPr>
            <w:r>
              <w:rPr>
                <w:lang w:val="en-US" w:eastAsia="zh-CN"/>
              </w:rPr>
              <w:tab/>
            </w:r>
            <w:r w:rsidRPr="000E52B1">
              <w:rPr>
                <w:i/>
                <w:iCs/>
                <w:sz w:val="20"/>
                <w:szCs w:val="16"/>
                <w:lang w:eastAsia="zh-CN"/>
              </w:rPr>
              <w:t>recommends</w:t>
            </w:r>
          </w:p>
          <w:p w14:paraId="2BD54548" w14:textId="21D1493B" w:rsidR="00443FF7" w:rsidRDefault="00443FF7" w:rsidP="00443FF7">
            <w:pPr>
              <w:tabs>
                <w:tab w:val="clear" w:pos="1134"/>
                <w:tab w:val="left" w:pos="313"/>
              </w:tabs>
              <w:spacing w:before="60" w:after="40"/>
              <w:jc w:val="both"/>
              <w:rPr>
                <w:sz w:val="20"/>
                <w:szCs w:val="16"/>
                <w:lang w:eastAsia="zh-CN"/>
              </w:rPr>
            </w:pPr>
            <w:r w:rsidRPr="000E52B1">
              <w:rPr>
                <w:sz w:val="20"/>
                <w:szCs w:val="16"/>
                <w:lang w:eastAsia="zh-CN"/>
              </w:rPr>
              <w:t>that, when defining the characteristics of their space stations operating in the broadcasting-satellite</w:t>
            </w:r>
            <w:r>
              <w:rPr>
                <w:sz w:val="20"/>
                <w:szCs w:val="16"/>
                <w:lang w:eastAsia="zh-CN"/>
              </w:rPr>
              <w:t xml:space="preserve"> </w:t>
            </w:r>
            <w:r w:rsidRPr="000E52B1">
              <w:rPr>
                <w:sz w:val="20"/>
                <w:szCs w:val="16"/>
                <w:lang w:eastAsia="zh-CN"/>
              </w:rPr>
              <w:t>service, particularly within the band 11.8-12 GHz, administrations take all necessary steps to reduce</w:t>
            </w:r>
            <w:r>
              <w:rPr>
                <w:sz w:val="20"/>
                <w:szCs w:val="16"/>
                <w:lang w:eastAsia="zh-CN"/>
              </w:rPr>
              <w:t xml:space="preserve"> </w:t>
            </w:r>
            <w:r w:rsidRPr="000E52B1">
              <w:rPr>
                <w:sz w:val="20"/>
                <w:szCs w:val="16"/>
                <w:lang w:eastAsia="zh-CN"/>
              </w:rPr>
              <w:t>the level of the second harmonic below the values indicated in the relevant ITU-R Recommendations.</w:t>
            </w:r>
          </w:p>
        </w:tc>
        <w:tc>
          <w:tcPr>
            <w:tcW w:w="961" w:type="dxa"/>
            <w:shd w:val="clear" w:color="auto" w:fill="auto"/>
          </w:tcPr>
          <w:p w14:paraId="2FCFB017" w14:textId="112590E1" w:rsidR="00443FF7" w:rsidRPr="00C60B0B" w:rsidRDefault="00443FF7" w:rsidP="00443FF7">
            <w:pPr>
              <w:pStyle w:val="Tabletext"/>
              <w:jc w:val="center"/>
              <w:rPr>
                <w:highlight w:val="yellow"/>
                <w:lang w:val="fr-FR" w:eastAsia="zh-CN"/>
              </w:rPr>
            </w:pPr>
            <w:r w:rsidRPr="005B3D5F">
              <w:rPr>
                <w:lang w:val="fr-FR" w:eastAsia="zh-CN"/>
              </w:rPr>
              <w:t>−</w:t>
            </w:r>
          </w:p>
        </w:tc>
        <w:tc>
          <w:tcPr>
            <w:tcW w:w="1416" w:type="dxa"/>
            <w:shd w:val="clear" w:color="auto" w:fill="auto"/>
          </w:tcPr>
          <w:p w14:paraId="7B92B175" w14:textId="5AE16B56" w:rsidR="00443FF7" w:rsidRPr="00B867A8" w:rsidRDefault="00443FF7" w:rsidP="00443FF7">
            <w:pPr>
              <w:pStyle w:val="Tabletext"/>
              <w:jc w:val="center"/>
              <w:rPr>
                <w:bCs/>
                <w:highlight w:val="yellow"/>
                <w:lang w:val="fr-FR" w:eastAsia="zh-CN"/>
              </w:rPr>
            </w:pPr>
            <w:r w:rsidRPr="005D7ABB">
              <w:t>5</w:t>
            </w:r>
          </w:p>
        </w:tc>
      </w:tr>
      <w:tr w:rsidR="00F11CA4" w14:paraId="4B67F1A1" w14:textId="45AEDEB3" w:rsidTr="00C559F9">
        <w:tc>
          <w:tcPr>
            <w:tcW w:w="1801" w:type="dxa"/>
            <w:shd w:val="clear" w:color="auto" w:fill="auto"/>
          </w:tcPr>
          <w:p w14:paraId="1B92DA56" w14:textId="2F25611D" w:rsidR="00F11CA4" w:rsidRPr="00C559F9" w:rsidRDefault="00F11CA4" w:rsidP="00F11CA4">
            <w:pPr>
              <w:pStyle w:val="Tabletext"/>
              <w:rPr>
                <w:rFonts w:ascii="TimesNewRomanPSMT" w:hAnsi="TimesNewRomanPSMT" w:cs="TimesNewRomanPSMT"/>
                <w:b/>
                <w:spacing w:val="-6"/>
                <w:lang w:eastAsia="zh-CN"/>
              </w:rPr>
            </w:pPr>
            <w:r w:rsidRPr="00C559F9">
              <w:rPr>
                <w:rFonts w:ascii="TimesNewRomanPSMT" w:hAnsi="TimesNewRomanPSMT" w:cs="TimesNewRomanPSMT"/>
                <w:b/>
                <w:spacing w:val="-6"/>
                <w:lang w:eastAsia="zh-CN"/>
              </w:rPr>
              <w:t>520 (WARC-92)</w:t>
            </w:r>
          </w:p>
        </w:tc>
        <w:tc>
          <w:tcPr>
            <w:tcW w:w="2730" w:type="dxa"/>
            <w:shd w:val="clear" w:color="auto" w:fill="auto"/>
          </w:tcPr>
          <w:p w14:paraId="6BCEE44A" w14:textId="50E56A68" w:rsidR="00F11CA4" w:rsidRDefault="00F11CA4" w:rsidP="00F11CA4">
            <w:pPr>
              <w:pStyle w:val="Tabletext"/>
              <w:rPr>
                <w:lang w:eastAsia="zh-CN"/>
              </w:rPr>
            </w:pPr>
            <w:r>
              <w:rPr>
                <w:lang w:eastAsia="zh-CN"/>
              </w:rPr>
              <w:t>Elimination of HF broadcasting on frequencies outside the HF bands allocated to the broadcasting service</w:t>
            </w:r>
          </w:p>
        </w:tc>
        <w:tc>
          <w:tcPr>
            <w:tcW w:w="8538" w:type="dxa"/>
            <w:shd w:val="clear" w:color="auto" w:fill="auto"/>
          </w:tcPr>
          <w:p w14:paraId="7C8B252C" w14:textId="3A038900" w:rsidR="00F11CA4" w:rsidRPr="00B357AB" w:rsidRDefault="00F11CA4" w:rsidP="00F11CA4">
            <w:pPr>
              <w:tabs>
                <w:tab w:val="clear" w:pos="1134"/>
                <w:tab w:val="left" w:pos="313"/>
              </w:tabs>
              <w:spacing w:before="60" w:after="40"/>
              <w:jc w:val="both"/>
              <w:rPr>
                <w:i/>
                <w:iCs/>
                <w:sz w:val="20"/>
                <w:szCs w:val="16"/>
                <w:lang w:eastAsia="zh-CN"/>
              </w:rPr>
            </w:pPr>
            <w:r>
              <w:rPr>
                <w:lang w:val="en-US" w:eastAsia="zh-CN"/>
              </w:rPr>
              <w:tab/>
            </w:r>
            <w:r w:rsidRPr="00B357AB">
              <w:rPr>
                <w:i/>
                <w:iCs/>
                <w:sz w:val="20"/>
                <w:szCs w:val="16"/>
                <w:lang w:eastAsia="zh-CN"/>
              </w:rPr>
              <w:t>recommends</w:t>
            </w:r>
          </w:p>
          <w:p w14:paraId="7B18DCEC" w14:textId="37A30826" w:rsidR="00F11CA4" w:rsidRDefault="00F11CA4" w:rsidP="00F11CA4">
            <w:pPr>
              <w:tabs>
                <w:tab w:val="clear" w:pos="1134"/>
                <w:tab w:val="left" w:pos="313"/>
              </w:tabs>
              <w:spacing w:before="60" w:after="40"/>
              <w:jc w:val="both"/>
              <w:rPr>
                <w:sz w:val="20"/>
                <w:szCs w:val="16"/>
                <w:lang w:eastAsia="zh-CN"/>
              </w:rPr>
            </w:pPr>
            <w:r w:rsidRPr="00B357AB">
              <w:rPr>
                <w:sz w:val="20"/>
                <w:szCs w:val="16"/>
                <w:lang w:eastAsia="zh-CN"/>
              </w:rPr>
              <w:t>that administrations shall take practicable steps to eliminate HF broadcasting outside the HF bands</w:t>
            </w:r>
            <w:r>
              <w:rPr>
                <w:sz w:val="20"/>
                <w:szCs w:val="16"/>
                <w:lang w:eastAsia="zh-CN"/>
              </w:rPr>
              <w:t xml:space="preserve"> </w:t>
            </w:r>
            <w:r w:rsidRPr="00B357AB">
              <w:rPr>
                <w:sz w:val="20"/>
                <w:szCs w:val="16"/>
                <w:lang w:eastAsia="zh-CN"/>
              </w:rPr>
              <w:t>allocated to the broadcasting service.</w:t>
            </w:r>
          </w:p>
        </w:tc>
        <w:tc>
          <w:tcPr>
            <w:tcW w:w="961" w:type="dxa"/>
            <w:shd w:val="clear" w:color="auto" w:fill="auto"/>
          </w:tcPr>
          <w:p w14:paraId="03E03543" w14:textId="49B18E13" w:rsidR="00F11CA4" w:rsidRPr="000858BD" w:rsidRDefault="00F11CA4" w:rsidP="00F11CA4">
            <w:pPr>
              <w:pStyle w:val="Tabletext"/>
              <w:jc w:val="center"/>
              <w:rPr>
                <w:b/>
                <w:bCs/>
                <w:highlight w:val="yellow"/>
                <w:lang w:val="fr-FR" w:eastAsia="zh-CN"/>
              </w:rPr>
            </w:pPr>
            <w:proofErr w:type="spellStart"/>
            <w:r w:rsidRPr="00D772B9">
              <w:rPr>
                <w:lang w:val="fr-FR" w:eastAsia="zh-CN"/>
              </w:rPr>
              <w:t>See</w:t>
            </w:r>
            <w:proofErr w:type="spellEnd"/>
            <w:r w:rsidRPr="00D772B9">
              <w:rPr>
                <w:lang w:val="fr-FR" w:eastAsia="zh-CN"/>
              </w:rPr>
              <w:br/>
              <w:t xml:space="preserve">Doc. </w:t>
            </w:r>
            <w:hyperlink r:id="rId28" w:history="1">
              <w:r w:rsidRPr="00D772B9">
                <w:rPr>
                  <w:rStyle w:val="Hyperlink"/>
                  <w:lang w:val="fr-FR" w:eastAsia="zh-CN"/>
                </w:rPr>
                <w:t>6/1</w:t>
              </w:r>
            </w:hyperlink>
          </w:p>
        </w:tc>
        <w:tc>
          <w:tcPr>
            <w:tcW w:w="1416" w:type="dxa"/>
            <w:shd w:val="clear" w:color="auto" w:fill="auto"/>
          </w:tcPr>
          <w:p w14:paraId="60A242FB" w14:textId="60DDCB27" w:rsidR="00F11CA4" w:rsidRPr="00B867A8" w:rsidRDefault="00F11CA4" w:rsidP="00F11CA4">
            <w:pPr>
              <w:pStyle w:val="Tabletext"/>
              <w:jc w:val="center"/>
              <w:rPr>
                <w:bCs/>
                <w:lang w:val="fr-FR" w:eastAsia="zh-CN"/>
              </w:rPr>
            </w:pPr>
            <w:r w:rsidRPr="005D7ABB">
              <w:t>5</w:t>
            </w:r>
          </w:p>
        </w:tc>
      </w:tr>
      <w:tr w:rsidR="00F11CA4" w14:paraId="6BBC7CF8" w14:textId="4BF07BBD" w:rsidTr="00C559F9">
        <w:tc>
          <w:tcPr>
            <w:tcW w:w="1801" w:type="dxa"/>
            <w:shd w:val="clear" w:color="auto" w:fill="auto"/>
          </w:tcPr>
          <w:p w14:paraId="6BA4CBBE" w14:textId="2C16D40D" w:rsidR="00F11CA4" w:rsidRPr="00C559F9" w:rsidRDefault="00F11CA4" w:rsidP="00F11CA4">
            <w:pPr>
              <w:pStyle w:val="Tabletext"/>
              <w:rPr>
                <w:rFonts w:ascii="TimesNewRomanPSMT" w:hAnsi="TimesNewRomanPSMT" w:cs="TimesNewRomanPSMT"/>
                <w:b/>
                <w:spacing w:val="-6"/>
                <w:lang w:eastAsia="zh-CN"/>
              </w:rPr>
            </w:pPr>
            <w:r w:rsidRPr="00C559F9">
              <w:rPr>
                <w:rFonts w:ascii="TimesNewRomanPSMT" w:hAnsi="TimesNewRomanPSMT" w:cs="TimesNewRomanPSMT"/>
                <w:b/>
                <w:spacing w:val="-6"/>
                <w:lang w:eastAsia="zh-CN"/>
              </w:rPr>
              <w:t>522 (WRC-97)</w:t>
            </w:r>
          </w:p>
        </w:tc>
        <w:tc>
          <w:tcPr>
            <w:tcW w:w="2730" w:type="dxa"/>
            <w:shd w:val="clear" w:color="auto" w:fill="auto"/>
          </w:tcPr>
          <w:p w14:paraId="2C29239F" w14:textId="1B0110DC" w:rsidR="00F11CA4" w:rsidRDefault="00F11CA4" w:rsidP="00F11CA4">
            <w:pPr>
              <w:pStyle w:val="Tabletext"/>
              <w:rPr>
                <w:lang w:eastAsia="zh-CN"/>
              </w:rPr>
            </w:pPr>
            <w:r>
              <w:rPr>
                <w:lang w:eastAsia="zh-CN"/>
              </w:rPr>
              <w:t>Coordination of high-frequency broadcasting schedules in the bands allocated to the broadcasting service between 5 900 kHz and 26 100 kHz</w:t>
            </w:r>
          </w:p>
        </w:tc>
        <w:tc>
          <w:tcPr>
            <w:tcW w:w="8538" w:type="dxa"/>
            <w:shd w:val="clear" w:color="auto" w:fill="auto"/>
          </w:tcPr>
          <w:p w14:paraId="04AAE89F" w14:textId="41C89230" w:rsidR="00F11CA4" w:rsidRPr="0060798F" w:rsidRDefault="00F11CA4" w:rsidP="00F11CA4">
            <w:pPr>
              <w:tabs>
                <w:tab w:val="clear" w:pos="1134"/>
                <w:tab w:val="clear" w:pos="1871"/>
                <w:tab w:val="clear" w:pos="2268"/>
                <w:tab w:val="left" w:pos="360"/>
              </w:tabs>
              <w:overflowPunct/>
              <w:spacing w:before="60" w:after="40"/>
              <w:jc w:val="both"/>
              <w:textAlignment w:val="auto"/>
              <w:rPr>
                <w:i/>
                <w:iCs/>
                <w:sz w:val="20"/>
                <w:szCs w:val="16"/>
                <w:lang w:eastAsia="zh-CN"/>
              </w:rPr>
            </w:pPr>
            <w:r>
              <w:rPr>
                <w:lang w:val="en-US" w:eastAsia="zh-CN"/>
              </w:rPr>
              <w:tab/>
            </w:r>
            <w:r w:rsidRPr="0060798F">
              <w:rPr>
                <w:i/>
                <w:iCs/>
                <w:sz w:val="20"/>
                <w:szCs w:val="16"/>
                <w:lang w:eastAsia="zh-CN"/>
              </w:rPr>
              <w:t>recommends administrations</w:t>
            </w:r>
          </w:p>
          <w:p w14:paraId="41485E4F" w14:textId="03AE433A" w:rsidR="00F11CA4" w:rsidRDefault="00F11CA4" w:rsidP="00F11CA4">
            <w:pPr>
              <w:tabs>
                <w:tab w:val="clear" w:pos="1134"/>
                <w:tab w:val="clear" w:pos="1871"/>
                <w:tab w:val="clear" w:pos="2268"/>
                <w:tab w:val="left" w:pos="360"/>
              </w:tabs>
              <w:overflowPunct/>
              <w:spacing w:before="60" w:after="40"/>
              <w:jc w:val="both"/>
              <w:textAlignment w:val="auto"/>
              <w:rPr>
                <w:sz w:val="20"/>
                <w:szCs w:val="16"/>
                <w:lang w:eastAsia="zh-CN"/>
              </w:rPr>
            </w:pPr>
            <w:r w:rsidRPr="0060798F">
              <w:rPr>
                <w:sz w:val="20"/>
                <w:szCs w:val="16"/>
                <w:lang w:eastAsia="zh-CN"/>
              </w:rPr>
              <w:t>to promote, as far as possible, regular coordination of their broadcasting schedules within appropriate</w:t>
            </w:r>
            <w:r>
              <w:rPr>
                <w:sz w:val="20"/>
                <w:szCs w:val="16"/>
                <w:lang w:eastAsia="zh-CN"/>
              </w:rPr>
              <w:t xml:space="preserve"> </w:t>
            </w:r>
            <w:r w:rsidRPr="0060798F">
              <w:rPr>
                <w:sz w:val="20"/>
                <w:szCs w:val="16"/>
                <w:lang w:eastAsia="zh-CN"/>
              </w:rPr>
              <w:t>regional coordination groups of administrations or broadcasting organizations in order to resolve or</w:t>
            </w:r>
            <w:r>
              <w:rPr>
                <w:sz w:val="20"/>
                <w:szCs w:val="16"/>
                <w:lang w:eastAsia="zh-CN"/>
              </w:rPr>
              <w:t xml:space="preserve"> </w:t>
            </w:r>
            <w:r w:rsidRPr="0060798F">
              <w:rPr>
                <w:sz w:val="20"/>
                <w:szCs w:val="16"/>
                <w:lang w:eastAsia="zh-CN"/>
              </w:rPr>
              <w:t>reduce incompatibilities, through bilateral or multilateral meetings or by correspondence (telephone,</w:t>
            </w:r>
            <w:r>
              <w:rPr>
                <w:sz w:val="20"/>
                <w:szCs w:val="16"/>
                <w:lang w:eastAsia="zh-CN"/>
              </w:rPr>
              <w:t xml:space="preserve"> </w:t>
            </w:r>
            <w:r w:rsidRPr="0060798F">
              <w:rPr>
                <w:sz w:val="20"/>
                <w:szCs w:val="16"/>
                <w:lang w:eastAsia="zh-CN"/>
              </w:rPr>
              <w:t>facsimile, e-mail, etc.).</w:t>
            </w:r>
          </w:p>
        </w:tc>
        <w:tc>
          <w:tcPr>
            <w:tcW w:w="961" w:type="dxa"/>
            <w:shd w:val="clear" w:color="auto" w:fill="auto"/>
          </w:tcPr>
          <w:p w14:paraId="1056C47C" w14:textId="3BA453C2" w:rsidR="00F11CA4" w:rsidRPr="000858BD" w:rsidRDefault="00F11CA4" w:rsidP="00F11CA4">
            <w:pPr>
              <w:pStyle w:val="Tabletext"/>
              <w:jc w:val="center"/>
              <w:rPr>
                <w:b/>
                <w:bCs/>
                <w:highlight w:val="yellow"/>
                <w:lang w:val="fr-FR" w:eastAsia="zh-CN"/>
              </w:rPr>
            </w:pPr>
            <w:proofErr w:type="spellStart"/>
            <w:r w:rsidRPr="00D772B9">
              <w:rPr>
                <w:lang w:val="fr-FR" w:eastAsia="zh-CN"/>
              </w:rPr>
              <w:t>See</w:t>
            </w:r>
            <w:proofErr w:type="spellEnd"/>
            <w:r w:rsidRPr="00D772B9">
              <w:rPr>
                <w:lang w:val="fr-FR" w:eastAsia="zh-CN"/>
              </w:rPr>
              <w:br/>
              <w:t xml:space="preserve">Doc. </w:t>
            </w:r>
            <w:hyperlink r:id="rId29" w:history="1">
              <w:r w:rsidRPr="00D772B9">
                <w:rPr>
                  <w:rStyle w:val="Hyperlink"/>
                  <w:lang w:val="fr-FR" w:eastAsia="zh-CN"/>
                </w:rPr>
                <w:t>6/1</w:t>
              </w:r>
            </w:hyperlink>
          </w:p>
        </w:tc>
        <w:tc>
          <w:tcPr>
            <w:tcW w:w="1416" w:type="dxa"/>
            <w:shd w:val="clear" w:color="auto" w:fill="auto"/>
          </w:tcPr>
          <w:p w14:paraId="63C7D25B" w14:textId="7E1E13A8" w:rsidR="00F11CA4" w:rsidRPr="00B867A8" w:rsidRDefault="00F11CA4" w:rsidP="00F11CA4">
            <w:pPr>
              <w:pStyle w:val="Tabletext"/>
              <w:jc w:val="center"/>
              <w:rPr>
                <w:bCs/>
                <w:lang w:val="fr-FR" w:eastAsia="zh-CN"/>
              </w:rPr>
            </w:pPr>
            <w:r w:rsidRPr="005D7ABB">
              <w:t>5</w:t>
            </w:r>
          </w:p>
        </w:tc>
      </w:tr>
      <w:tr w:rsidR="00443FF7" w14:paraId="2E604519" w14:textId="03DDDEF4" w:rsidTr="00C559F9">
        <w:tc>
          <w:tcPr>
            <w:tcW w:w="1801" w:type="dxa"/>
            <w:shd w:val="clear" w:color="auto" w:fill="auto"/>
          </w:tcPr>
          <w:p w14:paraId="7C6DF952" w14:textId="0E30DB1D" w:rsidR="00443FF7" w:rsidRPr="00C559F9" w:rsidRDefault="00443FF7" w:rsidP="00443FF7">
            <w:pPr>
              <w:pStyle w:val="Tabletext"/>
              <w:rPr>
                <w:rFonts w:ascii="TimesNewRomanPSMT" w:hAnsi="TimesNewRomanPSMT" w:cs="TimesNewRomanPSMT"/>
                <w:b/>
                <w:spacing w:val="-6"/>
                <w:lang w:eastAsia="zh-CN"/>
              </w:rPr>
            </w:pPr>
            <w:r w:rsidRPr="00C559F9">
              <w:rPr>
                <w:rFonts w:ascii="TimesNewRomanPSMT" w:hAnsi="TimesNewRomanPSMT" w:cs="TimesNewRomanPSMT"/>
                <w:b/>
                <w:spacing w:val="-6"/>
                <w:lang w:eastAsia="zh-CN"/>
              </w:rPr>
              <w:lastRenderedPageBreak/>
              <w:t>608 (Rev.WRC-07)</w:t>
            </w:r>
          </w:p>
        </w:tc>
        <w:tc>
          <w:tcPr>
            <w:tcW w:w="2730" w:type="dxa"/>
            <w:shd w:val="clear" w:color="auto" w:fill="auto"/>
          </w:tcPr>
          <w:p w14:paraId="2202BACC" w14:textId="63F13C66" w:rsidR="00443FF7" w:rsidRDefault="00443FF7" w:rsidP="00443FF7">
            <w:pPr>
              <w:pStyle w:val="Tabletext"/>
              <w:rPr>
                <w:lang w:eastAsia="zh-CN"/>
              </w:rPr>
            </w:pPr>
            <w:r>
              <w:rPr>
                <w:lang w:eastAsia="zh-CN"/>
              </w:rPr>
              <w:t>Guidelines for consultation meetings established in Resolution 609 (Rev.WRC-07)</w:t>
            </w:r>
          </w:p>
        </w:tc>
        <w:tc>
          <w:tcPr>
            <w:tcW w:w="8538" w:type="dxa"/>
            <w:shd w:val="clear" w:color="auto" w:fill="auto"/>
          </w:tcPr>
          <w:p w14:paraId="6A97FD55" w14:textId="5165BD17" w:rsidR="00443FF7" w:rsidRPr="00506229" w:rsidRDefault="00443FF7" w:rsidP="00443FF7">
            <w:pPr>
              <w:tabs>
                <w:tab w:val="clear" w:pos="1134"/>
                <w:tab w:val="clear" w:pos="1871"/>
                <w:tab w:val="clear" w:pos="2268"/>
                <w:tab w:val="left" w:pos="330"/>
              </w:tabs>
              <w:overflowPunct/>
              <w:spacing w:before="60" w:after="40"/>
              <w:jc w:val="both"/>
              <w:textAlignment w:val="auto"/>
              <w:rPr>
                <w:i/>
                <w:iCs/>
                <w:sz w:val="20"/>
                <w:szCs w:val="16"/>
              </w:rPr>
            </w:pPr>
            <w:r>
              <w:rPr>
                <w:lang w:val="en-US" w:eastAsia="zh-CN"/>
              </w:rPr>
              <w:tab/>
            </w:r>
            <w:r w:rsidRPr="00506229">
              <w:rPr>
                <w:i/>
                <w:iCs/>
                <w:sz w:val="20"/>
                <w:szCs w:val="16"/>
              </w:rPr>
              <w:t>recommends</w:t>
            </w:r>
          </w:p>
          <w:p w14:paraId="320284C2" w14:textId="3B90D009" w:rsidR="00443FF7" w:rsidRPr="00506229" w:rsidRDefault="00443FF7" w:rsidP="00443FF7">
            <w:pPr>
              <w:tabs>
                <w:tab w:val="clear" w:pos="1134"/>
                <w:tab w:val="clear" w:pos="1871"/>
                <w:tab w:val="clear" w:pos="2268"/>
                <w:tab w:val="left" w:pos="330"/>
              </w:tabs>
              <w:overflowPunct/>
              <w:spacing w:before="60" w:after="40"/>
              <w:jc w:val="both"/>
              <w:textAlignment w:val="auto"/>
              <w:rPr>
                <w:sz w:val="20"/>
                <w:szCs w:val="16"/>
              </w:rPr>
            </w:pPr>
            <w:r w:rsidRPr="00506229">
              <w:rPr>
                <w:sz w:val="20"/>
                <w:szCs w:val="16"/>
              </w:rPr>
              <w:t>1</w:t>
            </w:r>
            <w:r>
              <w:rPr>
                <w:lang w:val="en-US" w:eastAsia="zh-CN"/>
              </w:rPr>
              <w:tab/>
            </w:r>
            <w:r w:rsidRPr="00506229">
              <w:rPr>
                <w:sz w:val="20"/>
                <w:szCs w:val="16"/>
              </w:rPr>
              <w:t xml:space="preserve">that in the implementation of </w:t>
            </w:r>
            <w:r w:rsidRPr="00506229">
              <w:rPr>
                <w:i/>
                <w:iCs/>
                <w:sz w:val="20"/>
                <w:szCs w:val="16"/>
              </w:rPr>
              <w:t xml:space="preserve">resolves </w:t>
            </w:r>
            <w:r w:rsidRPr="00506229">
              <w:rPr>
                <w:sz w:val="20"/>
                <w:szCs w:val="16"/>
              </w:rPr>
              <w:t xml:space="preserve">5 of Resolution </w:t>
            </w:r>
            <w:r w:rsidRPr="00506229">
              <w:rPr>
                <w:b/>
                <w:bCs/>
                <w:sz w:val="20"/>
                <w:szCs w:val="16"/>
              </w:rPr>
              <w:t>609 (Rev.WRC-07)</w:t>
            </w:r>
            <w:r w:rsidRPr="00506229">
              <w:rPr>
                <w:sz w:val="20"/>
                <w:szCs w:val="16"/>
              </w:rPr>
              <w:t>, in the</w:t>
            </w:r>
            <w:r>
              <w:rPr>
                <w:sz w:val="20"/>
                <w:szCs w:val="16"/>
              </w:rPr>
              <w:t xml:space="preserve"> </w:t>
            </w:r>
            <w:r w:rsidRPr="00506229">
              <w:rPr>
                <w:sz w:val="20"/>
                <w:szCs w:val="16"/>
              </w:rPr>
              <w:t>frequency band 1</w:t>
            </w:r>
            <w:r>
              <w:rPr>
                <w:sz w:val="20"/>
                <w:szCs w:val="16"/>
              </w:rPr>
              <w:t> </w:t>
            </w:r>
            <w:r w:rsidRPr="00506229">
              <w:rPr>
                <w:sz w:val="20"/>
                <w:szCs w:val="16"/>
              </w:rPr>
              <w:t>164-1 215 MHz, the maximum pfd produced at the surface of the Earth by</w:t>
            </w:r>
            <w:r>
              <w:rPr>
                <w:sz w:val="20"/>
                <w:szCs w:val="16"/>
              </w:rPr>
              <w:t xml:space="preserve"> </w:t>
            </w:r>
            <w:r w:rsidRPr="00506229">
              <w:rPr>
                <w:sz w:val="20"/>
                <w:szCs w:val="16"/>
              </w:rPr>
              <w:t>emissions from a space station in the RNSS, for all angles of arrival, should not exceed</w:t>
            </w:r>
            <w:r>
              <w:rPr>
                <w:sz w:val="20"/>
                <w:szCs w:val="16"/>
              </w:rPr>
              <w:t xml:space="preserve"> </w:t>
            </w:r>
            <w:r w:rsidRPr="00506229">
              <w:rPr>
                <w:sz w:val="20"/>
                <w:szCs w:val="16"/>
              </w:rPr>
              <w:t>−129 dB(W/m2) in any 1 MHz band under free space propagation conditions;</w:t>
            </w:r>
          </w:p>
          <w:p w14:paraId="5DC4EF43" w14:textId="67B5EA5C" w:rsidR="00443FF7" w:rsidRPr="004F3DF3" w:rsidRDefault="00443FF7" w:rsidP="00443FF7">
            <w:pPr>
              <w:tabs>
                <w:tab w:val="clear" w:pos="1134"/>
                <w:tab w:val="clear" w:pos="1871"/>
                <w:tab w:val="clear" w:pos="2268"/>
                <w:tab w:val="left" w:pos="330"/>
              </w:tabs>
              <w:overflowPunct/>
              <w:spacing w:before="60" w:after="40"/>
              <w:jc w:val="both"/>
              <w:textAlignment w:val="auto"/>
              <w:rPr>
                <w:sz w:val="32"/>
                <w:szCs w:val="24"/>
              </w:rPr>
            </w:pPr>
            <w:r w:rsidRPr="00506229">
              <w:rPr>
                <w:sz w:val="20"/>
                <w:szCs w:val="16"/>
              </w:rPr>
              <w:t>2</w:t>
            </w:r>
            <w:r>
              <w:rPr>
                <w:lang w:val="en-US" w:eastAsia="zh-CN"/>
              </w:rPr>
              <w:tab/>
            </w:r>
            <w:r w:rsidRPr="00506229">
              <w:rPr>
                <w:sz w:val="20"/>
                <w:szCs w:val="16"/>
              </w:rPr>
              <w:t>that the RNSS characteristics listed in the Annex 1, used when applying the methodology</w:t>
            </w:r>
            <w:r>
              <w:rPr>
                <w:sz w:val="20"/>
                <w:szCs w:val="16"/>
              </w:rPr>
              <w:t xml:space="preserve"> </w:t>
            </w:r>
            <w:r w:rsidRPr="00506229">
              <w:rPr>
                <w:sz w:val="20"/>
                <w:szCs w:val="16"/>
              </w:rPr>
              <w:t>contained in Recommendation ITU-R M.1642-2, as well as the calculated aggregate epfd</w:t>
            </w:r>
            <w:r>
              <w:rPr>
                <w:sz w:val="20"/>
                <w:szCs w:val="16"/>
              </w:rPr>
              <w:t xml:space="preserve"> </w:t>
            </w:r>
            <w:r w:rsidRPr="00506229">
              <w:rPr>
                <w:sz w:val="20"/>
                <w:szCs w:val="16"/>
              </w:rPr>
              <w:t>in dB(W/m2) in each 1</w:t>
            </w:r>
            <w:r>
              <w:rPr>
                <w:sz w:val="20"/>
                <w:szCs w:val="16"/>
              </w:rPr>
              <w:t> </w:t>
            </w:r>
            <w:r w:rsidRPr="00506229">
              <w:rPr>
                <w:sz w:val="20"/>
                <w:szCs w:val="16"/>
              </w:rPr>
              <w:t>MHz in the range 1 164-1 215 MHz, should be made available in electronic</w:t>
            </w:r>
            <w:r>
              <w:rPr>
                <w:sz w:val="20"/>
                <w:szCs w:val="16"/>
              </w:rPr>
              <w:t xml:space="preserve"> </w:t>
            </w:r>
            <w:r w:rsidRPr="00506229">
              <w:rPr>
                <w:sz w:val="20"/>
                <w:szCs w:val="16"/>
              </w:rPr>
              <w:t>format by the consultation meetings.</w:t>
            </w:r>
          </w:p>
        </w:tc>
        <w:tc>
          <w:tcPr>
            <w:tcW w:w="961" w:type="dxa"/>
            <w:shd w:val="clear" w:color="auto" w:fill="auto"/>
          </w:tcPr>
          <w:p w14:paraId="671BBE4C" w14:textId="001C09A5" w:rsidR="00443FF7" w:rsidRPr="00C60B0B" w:rsidRDefault="00443FF7" w:rsidP="00443FF7">
            <w:pPr>
              <w:pStyle w:val="Tabletext"/>
              <w:jc w:val="center"/>
              <w:rPr>
                <w:highlight w:val="yellow"/>
                <w:lang w:val="fr-FR" w:eastAsia="zh-CN"/>
              </w:rPr>
            </w:pPr>
            <w:r w:rsidRPr="00DC247C">
              <w:rPr>
                <w:lang w:val="fr-FR" w:eastAsia="zh-CN"/>
              </w:rPr>
              <w:t>−</w:t>
            </w:r>
          </w:p>
        </w:tc>
        <w:tc>
          <w:tcPr>
            <w:tcW w:w="1416" w:type="dxa"/>
            <w:shd w:val="clear" w:color="auto" w:fill="auto"/>
          </w:tcPr>
          <w:p w14:paraId="71BEEDB6" w14:textId="077D0809" w:rsidR="00443FF7" w:rsidRPr="00B867A8" w:rsidRDefault="00443FF7" w:rsidP="00443FF7">
            <w:pPr>
              <w:pStyle w:val="Tabletext"/>
              <w:jc w:val="center"/>
              <w:rPr>
                <w:bCs/>
                <w:highlight w:val="yellow"/>
                <w:lang w:val="fr-FR" w:eastAsia="zh-CN"/>
              </w:rPr>
            </w:pPr>
            <w:r>
              <w:t>5</w:t>
            </w:r>
          </w:p>
        </w:tc>
      </w:tr>
      <w:tr w:rsidR="00443FF7" w14:paraId="68F25CE9" w14:textId="44B24C5D" w:rsidTr="00C559F9">
        <w:tc>
          <w:tcPr>
            <w:tcW w:w="1801" w:type="dxa"/>
            <w:shd w:val="clear" w:color="auto" w:fill="auto"/>
          </w:tcPr>
          <w:p w14:paraId="5E4E3193" w14:textId="4550BAEF" w:rsidR="00443FF7" w:rsidRPr="00C559F9" w:rsidRDefault="00443FF7" w:rsidP="00443FF7">
            <w:pPr>
              <w:pStyle w:val="Tabletext"/>
              <w:rPr>
                <w:rFonts w:ascii="TimesNewRomanPSMT" w:hAnsi="TimesNewRomanPSMT" w:cs="TimesNewRomanPSMT"/>
                <w:b/>
                <w:spacing w:val="-6"/>
                <w:lang w:eastAsia="zh-CN"/>
              </w:rPr>
            </w:pPr>
            <w:r w:rsidRPr="00C559F9">
              <w:rPr>
                <w:rFonts w:ascii="TimesNewRomanPSMT" w:hAnsi="TimesNewRomanPSMT" w:cs="TimesNewRomanPSMT"/>
                <w:b/>
                <w:spacing w:val="-6"/>
                <w:lang w:eastAsia="zh-CN"/>
              </w:rPr>
              <w:t>622 (WRC-97)</w:t>
            </w:r>
          </w:p>
        </w:tc>
        <w:tc>
          <w:tcPr>
            <w:tcW w:w="2730" w:type="dxa"/>
            <w:shd w:val="clear" w:color="auto" w:fill="auto"/>
          </w:tcPr>
          <w:p w14:paraId="78D0B7E7" w14:textId="16A2AB47" w:rsidR="00443FF7" w:rsidRDefault="00443FF7" w:rsidP="00443FF7">
            <w:pPr>
              <w:pStyle w:val="Tabletext"/>
              <w:rPr>
                <w:lang w:eastAsia="zh-CN"/>
              </w:rPr>
            </w:pPr>
            <w:r>
              <w:rPr>
                <w:lang w:eastAsia="zh-CN"/>
              </w:rPr>
              <w:t>Use of the frequency bands 2 025-2 110 MHz and 2 200</w:t>
            </w:r>
            <w:r>
              <w:rPr>
                <w:lang w:eastAsia="zh-CN"/>
              </w:rPr>
              <w:noBreakHyphen/>
              <w:t>2 290 MHz by the space research, space operation, Earth exploration-satellite, fixed and mobile services</w:t>
            </w:r>
          </w:p>
        </w:tc>
        <w:tc>
          <w:tcPr>
            <w:tcW w:w="8538" w:type="dxa"/>
            <w:shd w:val="clear" w:color="auto" w:fill="auto"/>
          </w:tcPr>
          <w:p w14:paraId="1B02EAB0" w14:textId="3C7BDD32" w:rsidR="00443FF7" w:rsidRPr="00652F7C" w:rsidRDefault="00443FF7" w:rsidP="00443FF7">
            <w:pPr>
              <w:tabs>
                <w:tab w:val="clear" w:pos="1134"/>
                <w:tab w:val="clear" w:pos="1871"/>
                <w:tab w:val="clear" w:pos="2268"/>
                <w:tab w:val="left" w:pos="320"/>
              </w:tabs>
              <w:overflowPunct/>
              <w:spacing w:before="60" w:after="40"/>
              <w:jc w:val="both"/>
              <w:textAlignment w:val="auto"/>
              <w:rPr>
                <w:i/>
                <w:iCs/>
                <w:sz w:val="20"/>
                <w:szCs w:val="16"/>
              </w:rPr>
            </w:pPr>
            <w:r>
              <w:rPr>
                <w:lang w:val="en-US" w:eastAsia="zh-CN"/>
              </w:rPr>
              <w:tab/>
            </w:r>
            <w:r w:rsidRPr="00652F7C">
              <w:rPr>
                <w:i/>
                <w:iCs/>
                <w:sz w:val="20"/>
                <w:szCs w:val="16"/>
              </w:rPr>
              <w:t>recommends</w:t>
            </w:r>
          </w:p>
          <w:p w14:paraId="7A2C2182" w14:textId="4716AE4F" w:rsidR="00443FF7" w:rsidRPr="004F3DF3" w:rsidRDefault="00443FF7" w:rsidP="00443FF7">
            <w:pPr>
              <w:tabs>
                <w:tab w:val="clear" w:pos="1134"/>
                <w:tab w:val="clear" w:pos="1871"/>
                <w:tab w:val="clear" w:pos="2268"/>
              </w:tabs>
              <w:overflowPunct/>
              <w:spacing w:before="60" w:after="40"/>
              <w:jc w:val="both"/>
              <w:textAlignment w:val="auto"/>
              <w:rPr>
                <w:sz w:val="20"/>
                <w:szCs w:val="16"/>
              </w:rPr>
            </w:pPr>
            <w:r w:rsidRPr="00652F7C">
              <w:rPr>
                <w:sz w:val="20"/>
                <w:szCs w:val="16"/>
              </w:rPr>
              <w:t>that administrations planning to introduce new systems in the space research, space operation, earth</w:t>
            </w:r>
            <w:r>
              <w:rPr>
                <w:sz w:val="20"/>
                <w:szCs w:val="16"/>
              </w:rPr>
              <w:t xml:space="preserve"> </w:t>
            </w:r>
            <w:r w:rsidRPr="00652F7C">
              <w:rPr>
                <w:sz w:val="20"/>
                <w:szCs w:val="16"/>
              </w:rPr>
              <w:t>exploration-satellite, fixed or mobile services in the bands 2</w:t>
            </w:r>
            <w:r>
              <w:rPr>
                <w:sz w:val="20"/>
                <w:szCs w:val="16"/>
              </w:rPr>
              <w:t> </w:t>
            </w:r>
            <w:r w:rsidRPr="00652F7C">
              <w:rPr>
                <w:sz w:val="20"/>
                <w:szCs w:val="16"/>
              </w:rPr>
              <w:t>025</w:t>
            </w:r>
            <w:r>
              <w:rPr>
                <w:sz w:val="20"/>
                <w:szCs w:val="16"/>
              </w:rPr>
              <w:noBreakHyphen/>
            </w:r>
            <w:r w:rsidRPr="00652F7C">
              <w:rPr>
                <w:sz w:val="20"/>
                <w:szCs w:val="16"/>
              </w:rPr>
              <w:t>2</w:t>
            </w:r>
            <w:r>
              <w:rPr>
                <w:sz w:val="20"/>
                <w:szCs w:val="16"/>
              </w:rPr>
              <w:t> </w:t>
            </w:r>
            <w:r w:rsidRPr="00652F7C">
              <w:rPr>
                <w:sz w:val="20"/>
                <w:szCs w:val="16"/>
              </w:rPr>
              <w:t>110 MHz and 2 200-2 290 MHz</w:t>
            </w:r>
            <w:r>
              <w:rPr>
                <w:sz w:val="20"/>
                <w:szCs w:val="16"/>
              </w:rPr>
              <w:t xml:space="preserve"> </w:t>
            </w:r>
            <w:r w:rsidRPr="00652F7C">
              <w:rPr>
                <w:sz w:val="20"/>
                <w:szCs w:val="16"/>
              </w:rPr>
              <w:t xml:space="preserve">take into account the ITU-R Recommendations referred to in </w:t>
            </w:r>
            <w:r w:rsidRPr="00652F7C">
              <w:rPr>
                <w:i/>
                <w:iCs/>
                <w:sz w:val="20"/>
                <w:szCs w:val="16"/>
              </w:rPr>
              <w:t xml:space="preserve">considering b) </w:t>
            </w:r>
            <w:r w:rsidRPr="00652F7C">
              <w:rPr>
                <w:sz w:val="20"/>
                <w:szCs w:val="16"/>
              </w:rPr>
              <w:t>above when making</w:t>
            </w:r>
            <w:r>
              <w:rPr>
                <w:sz w:val="20"/>
                <w:szCs w:val="16"/>
              </w:rPr>
              <w:t xml:space="preserve"> </w:t>
            </w:r>
            <w:r w:rsidRPr="00652F7C">
              <w:rPr>
                <w:sz w:val="20"/>
                <w:szCs w:val="16"/>
              </w:rPr>
              <w:t>assignments to these services, and implement enhancements in technology as early as practicable</w:t>
            </w:r>
            <w:r>
              <w:rPr>
                <w:sz w:val="20"/>
                <w:szCs w:val="16"/>
              </w:rPr>
              <w:t xml:space="preserve"> </w:t>
            </w:r>
            <w:r w:rsidRPr="00652F7C">
              <w:rPr>
                <w:sz w:val="20"/>
                <w:szCs w:val="16"/>
              </w:rPr>
              <w:t>with a view to minimizing the total bandwidth required by systems of each service.</w:t>
            </w:r>
          </w:p>
        </w:tc>
        <w:tc>
          <w:tcPr>
            <w:tcW w:w="961" w:type="dxa"/>
            <w:shd w:val="clear" w:color="auto" w:fill="auto"/>
          </w:tcPr>
          <w:p w14:paraId="0A0E7D87" w14:textId="00AA81B2" w:rsidR="00443FF7" w:rsidRPr="00C60B0B" w:rsidRDefault="00443FF7" w:rsidP="00443FF7">
            <w:pPr>
              <w:pStyle w:val="Tabletext"/>
              <w:jc w:val="center"/>
              <w:rPr>
                <w:highlight w:val="yellow"/>
                <w:lang w:val="fr-FR" w:eastAsia="zh-CN"/>
              </w:rPr>
            </w:pPr>
            <w:r w:rsidRPr="00022252">
              <w:rPr>
                <w:lang w:val="fr-FR" w:eastAsia="zh-CN"/>
              </w:rPr>
              <w:t>−</w:t>
            </w:r>
          </w:p>
        </w:tc>
        <w:tc>
          <w:tcPr>
            <w:tcW w:w="1416" w:type="dxa"/>
            <w:shd w:val="clear" w:color="auto" w:fill="auto"/>
          </w:tcPr>
          <w:p w14:paraId="07285F56" w14:textId="2D83B089" w:rsidR="00443FF7" w:rsidRPr="00B867A8" w:rsidRDefault="00443FF7" w:rsidP="00443FF7">
            <w:pPr>
              <w:pStyle w:val="Tabletext"/>
              <w:jc w:val="center"/>
              <w:rPr>
                <w:bCs/>
                <w:highlight w:val="yellow"/>
                <w:lang w:val="fr-FR" w:eastAsia="zh-CN"/>
              </w:rPr>
            </w:pPr>
            <w:r w:rsidRPr="005D7ABB">
              <w:t>5</w:t>
            </w:r>
          </w:p>
        </w:tc>
      </w:tr>
      <w:tr w:rsidR="00443FF7" w14:paraId="4F6C7588" w14:textId="32DE07A9" w:rsidTr="00C559F9">
        <w:tc>
          <w:tcPr>
            <w:tcW w:w="1801" w:type="dxa"/>
            <w:shd w:val="clear" w:color="auto" w:fill="DAEEF3" w:themeFill="accent5" w:themeFillTint="33"/>
          </w:tcPr>
          <w:p w14:paraId="35661460" w14:textId="2A2DFFB0" w:rsidR="00443FF7" w:rsidRPr="00C559F9" w:rsidRDefault="00443FF7" w:rsidP="00443FF7">
            <w:pPr>
              <w:pStyle w:val="Tabletext"/>
              <w:rPr>
                <w:rFonts w:ascii="TimesNewRomanPSMT" w:hAnsi="TimesNewRomanPSMT" w:cs="TimesNewRomanPSMT"/>
                <w:b/>
                <w:spacing w:val="-6"/>
                <w:lang w:eastAsia="zh-CN"/>
              </w:rPr>
            </w:pPr>
            <w:r w:rsidRPr="00C559F9">
              <w:rPr>
                <w:rFonts w:ascii="TimesNewRomanPSMT" w:hAnsi="TimesNewRomanPSMT" w:cs="TimesNewRomanPSMT"/>
                <w:b/>
                <w:spacing w:val="-6"/>
                <w:lang w:eastAsia="zh-CN"/>
              </w:rPr>
              <w:t xml:space="preserve">707 </w:t>
            </w:r>
            <w:r w:rsidRPr="00E33D2E">
              <w:rPr>
                <w:rFonts w:ascii="TimesNewRomanPSMT" w:hAnsi="TimesNewRomanPSMT" w:cs="TimesNewRomanPSMT"/>
                <w:b/>
                <w:spacing w:val="-6"/>
                <w:lang w:eastAsia="zh-CN"/>
              </w:rPr>
              <w:t>(</w:t>
            </w:r>
            <w:r w:rsidR="004B1FC2" w:rsidRPr="00E33D2E">
              <w:rPr>
                <w:rFonts w:ascii="TimesNewRomanPSMT" w:hAnsi="TimesNewRomanPSMT" w:cs="TimesNewRomanPSMT"/>
                <w:b/>
                <w:spacing w:val="-6"/>
                <w:lang w:eastAsia="zh-CN"/>
              </w:rPr>
              <w:t>Rev.WRC-23</w:t>
            </w:r>
            <w:r w:rsidRPr="00E33D2E">
              <w:rPr>
                <w:rFonts w:ascii="TimesNewRomanPSMT" w:hAnsi="TimesNewRomanPSMT" w:cs="TimesNewRomanPSMT"/>
                <w:b/>
                <w:spacing w:val="-6"/>
                <w:lang w:eastAsia="zh-CN"/>
              </w:rPr>
              <w:t>)</w:t>
            </w:r>
          </w:p>
        </w:tc>
        <w:tc>
          <w:tcPr>
            <w:tcW w:w="2730" w:type="dxa"/>
            <w:shd w:val="clear" w:color="auto" w:fill="DAEEF3" w:themeFill="accent5" w:themeFillTint="33"/>
          </w:tcPr>
          <w:p w14:paraId="28287A32" w14:textId="78E1B283" w:rsidR="00443FF7" w:rsidRDefault="00443FF7" w:rsidP="00443FF7">
            <w:pPr>
              <w:pStyle w:val="Tabletext"/>
              <w:rPr>
                <w:lang w:eastAsia="zh-CN"/>
              </w:rPr>
            </w:pPr>
            <w:r>
              <w:rPr>
                <w:lang w:eastAsia="zh-CN"/>
              </w:rPr>
              <w:t>Relating to the use of the frequency band 32</w:t>
            </w:r>
            <w:r w:rsidR="004B1FC2">
              <w:rPr>
                <w:lang w:eastAsia="zh-CN"/>
              </w:rPr>
              <w:t>.3</w:t>
            </w:r>
            <w:r>
              <w:rPr>
                <w:lang w:eastAsia="zh-CN"/>
              </w:rPr>
              <w:t>-33 GHz shared between the intersatellite service and the radionavigation service</w:t>
            </w:r>
          </w:p>
        </w:tc>
        <w:tc>
          <w:tcPr>
            <w:tcW w:w="8538" w:type="dxa"/>
            <w:shd w:val="clear" w:color="auto" w:fill="DAEEF3" w:themeFill="accent5" w:themeFillTint="33"/>
          </w:tcPr>
          <w:p w14:paraId="7EE38A55" w14:textId="4AA039D5" w:rsidR="004B1FC2" w:rsidRPr="006E4A1A" w:rsidRDefault="004B1FC2" w:rsidP="004B1FC2">
            <w:pPr>
              <w:tabs>
                <w:tab w:val="clear" w:pos="1134"/>
                <w:tab w:val="clear" w:pos="1871"/>
                <w:tab w:val="clear" w:pos="2268"/>
                <w:tab w:val="left" w:pos="350"/>
              </w:tabs>
              <w:overflowPunct/>
              <w:spacing w:before="60" w:after="40"/>
              <w:jc w:val="both"/>
              <w:textAlignment w:val="auto"/>
              <w:rPr>
                <w:i/>
                <w:iCs/>
                <w:sz w:val="20"/>
                <w:szCs w:val="16"/>
              </w:rPr>
            </w:pPr>
            <w:r>
              <w:rPr>
                <w:lang w:val="en-US" w:eastAsia="zh-CN"/>
              </w:rPr>
              <w:tab/>
            </w:r>
            <w:r>
              <w:rPr>
                <w:i/>
                <w:iCs/>
                <w:sz w:val="20"/>
                <w:szCs w:val="16"/>
              </w:rPr>
              <w:t>considering</w:t>
            </w:r>
          </w:p>
          <w:p w14:paraId="11ECCB43" w14:textId="21BEE835" w:rsidR="004B1FC2" w:rsidRDefault="004B1FC2" w:rsidP="00443FF7">
            <w:pPr>
              <w:tabs>
                <w:tab w:val="clear" w:pos="1134"/>
                <w:tab w:val="clear" w:pos="1871"/>
                <w:tab w:val="clear" w:pos="2268"/>
                <w:tab w:val="left" w:pos="350"/>
              </w:tabs>
              <w:overflowPunct/>
              <w:spacing w:before="60" w:after="40"/>
              <w:jc w:val="both"/>
              <w:textAlignment w:val="auto"/>
              <w:rPr>
                <w:lang w:val="en-US" w:eastAsia="zh-CN"/>
              </w:rPr>
            </w:pPr>
            <w:r>
              <w:rPr>
                <w:lang w:val="en-US" w:eastAsia="zh-CN"/>
              </w:rPr>
              <w:t>…</w:t>
            </w:r>
          </w:p>
          <w:p w14:paraId="38D9BAB6" w14:textId="298F13F0" w:rsidR="004B1FC2" w:rsidRPr="00E33D2E" w:rsidRDefault="004B1FC2" w:rsidP="004B1FC2">
            <w:pPr>
              <w:tabs>
                <w:tab w:val="clear" w:pos="1134"/>
                <w:tab w:val="clear" w:pos="1871"/>
                <w:tab w:val="clear" w:pos="2268"/>
                <w:tab w:val="left" w:pos="350"/>
              </w:tabs>
              <w:overflowPunct/>
              <w:spacing w:before="60" w:after="40"/>
              <w:jc w:val="both"/>
              <w:textAlignment w:val="auto"/>
              <w:rPr>
                <w:sz w:val="20"/>
                <w:szCs w:val="16"/>
                <w:lang w:val="en-US" w:eastAsia="zh-CN"/>
              </w:rPr>
            </w:pPr>
            <w:r w:rsidRPr="00E33D2E">
              <w:rPr>
                <w:i/>
                <w:iCs/>
                <w:sz w:val="20"/>
                <w:szCs w:val="16"/>
                <w:lang w:eastAsia="zh-CN"/>
              </w:rPr>
              <w:t>d)</w:t>
            </w:r>
            <w:r w:rsidRPr="00E33D2E">
              <w:rPr>
                <w:sz w:val="20"/>
                <w:szCs w:val="16"/>
                <w:lang w:val="en-US" w:eastAsia="zh-CN"/>
              </w:rPr>
              <w:tab/>
            </w:r>
            <w:r w:rsidRPr="00E33D2E">
              <w:rPr>
                <w:i/>
                <w:iCs/>
                <w:sz w:val="20"/>
                <w:szCs w:val="16"/>
                <w:lang w:eastAsia="zh-CN"/>
              </w:rPr>
              <w:t xml:space="preserve"> </w:t>
            </w:r>
            <w:r w:rsidRPr="00E33D2E">
              <w:rPr>
                <w:sz w:val="20"/>
                <w:szCs w:val="16"/>
                <w:lang w:eastAsia="zh-CN"/>
              </w:rPr>
              <w:t>that Recommendation ITU-R S.1151 provides the criteria for sharing between the inter-satellite service and the radionavigation service at 33 GHz,</w:t>
            </w:r>
          </w:p>
          <w:p w14:paraId="03E234D5" w14:textId="68164173" w:rsidR="00443FF7" w:rsidRPr="006E4A1A" w:rsidRDefault="00443FF7" w:rsidP="00443FF7">
            <w:pPr>
              <w:tabs>
                <w:tab w:val="clear" w:pos="1134"/>
                <w:tab w:val="clear" w:pos="1871"/>
                <w:tab w:val="clear" w:pos="2268"/>
                <w:tab w:val="left" w:pos="350"/>
              </w:tabs>
              <w:overflowPunct/>
              <w:spacing w:before="60" w:after="40"/>
              <w:jc w:val="both"/>
              <w:textAlignment w:val="auto"/>
              <w:rPr>
                <w:i/>
                <w:iCs/>
                <w:sz w:val="20"/>
                <w:szCs w:val="16"/>
              </w:rPr>
            </w:pPr>
            <w:r>
              <w:rPr>
                <w:lang w:val="en-US" w:eastAsia="zh-CN"/>
              </w:rPr>
              <w:tab/>
            </w:r>
            <w:r w:rsidRPr="006E4A1A">
              <w:rPr>
                <w:i/>
                <w:iCs/>
                <w:sz w:val="20"/>
                <w:szCs w:val="16"/>
              </w:rPr>
              <w:t>recommends</w:t>
            </w:r>
          </w:p>
          <w:p w14:paraId="33E4A968" w14:textId="4506FE6B" w:rsidR="00443FF7" w:rsidRPr="004F3DF3" w:rsidRDefault="004B1FC2" w:rsidP="00443FF7">
            <w:pPr>
              <w:tabs>
                <w:tab w:val="clear" w:pos="1134"/>
                <w:tab w:val="clear" w:pos="1871"/>
                <w:tab w:val="clear" w:pos="2268"/>
                <w:tab w:val="left" w:pos="350"/>
              </w:tabs>
              <w:overflowPunct/>
              <w:spacing w:before="60" w:after="40"/>
              <w:jc w:val="both"/>
              <w:textAlignment w:val="auto"/>
              <w:rPr>
                <w:sz w:val="20"/>
                <w:szCs w:val="16"/>
              </w:rPr>
            </w:pPr>
            <w:r w:rsidRPr="004B1FC2">
              <w:rPr>
                <w:rFonts w:ascii="TimesNewRomanPSMT" w:hAnsi="TimesNewRomanPSMT" w:cs="TimesNewRomanPSMT"/>
                <w:sz w:val="17"/>
                <w:szCs w:val="17"/>
                <w:lang w:eastAsia="zh-CN"/>
              </w:rPr>
              <w:t xml:space="preserve"> </w:t>
            </w:r>
            <w:r w:rsidRPr="004B1FC2">
              <w:rPr>
                <w:sz w:val="20"/>
                <w:szCs w:val="16"/>
              </w:rPr>
              <w:t>that a future competent world radiocommunication conference consider the result of the ITU-R</w:t>
            </w:r>
            <w:r>
              <w:rPr>
                <w:sz w:val="20"/>
                <w:szCs w:val="16"/>
              </w:rPr>
              <w:t xml:space="preserve"> </w:t>
            </w:r>
            <w:r w:rsidRPr="004B1FC2">
              <w:rPr>
                <w:sz w:val="20"/>
                <w:szCs w:val="16"/>
              </w:rPr>
              <w:t xml:space="preserve">studies referred to in </w:t>
            </w:r>
            <w:r w:rsidRPr="004B1FC2">
              <w:rPr>
                <w:i/>
                <w:iCs/>
                <w:sz w:val="20"/>
                <w:szCs w:val="16"/>
              </w:rPr>
              <w:t xml:space="preserve">considering d) </w:t>
            </w:r>
            <w:r w:rsidRPr="004B1FC2">
              <w:rPr>
                <w:sz w:val="20"/>
                <w:szCs w:val="16"/>
              </w:rPr>
              <w:t>above with a view to the inclusion of such sharing criteria in</w:t>
            </w:r>
            <w:r>
              <w:rPr>
                <w:sz w:val="20"/>
                <w:szCs w:val="16"/>
              </w:rPr>
              <w:t xml:space="preserve"> </w:t>
            </w:r>
            <w:r w:rsidRPr="004B1FC2">
              <w:rPr>
                <w:sz w:val="20"/>
                <w:szCs w:val="16"/>
              </w:rPr>
              <w:t xml:space="preserve">Article </w:t>
            </w:r>
            <w:r w:rsidRPr="004B1FC2">
              <w:rPr>
                <w:b/>
                <w:bCs/>
                <w:sz w:val="20"/>
                <w:szCs w:val="16"/>
              </w:rPr>
              <w:t>21</w:t>
            </w:r>
            <w:r w:rsidRPr="004B1FC2">
              <w:rPr>
                <w:sz w:val="20"/>
                <w:szCs w:val="16"/>
              </w:rPr>
              <w:t>.</w:t>
            </w:r>
          </w:p>
        </w:tc>
        <w:tc>
          <w:tcPr>
            <w:tcW w:w="961" w:type="dxa"/>
            <w:shd w:val="clear" w:color="auto" w:fill="DAEEF3" w:themeFill="accent5" w:themeFillTint="33"/>
          </w:tcPr>
          <w:p w14:paraId="6643BB11" w14:textId="283E4443" w:rsidR="00443FF7" w:rsidRPr="00C07A80" w:rsidRDefault="00443FF7" w:rsidP="00443FF7">
            <w:pPr>
              <w:pStyle w:val="Tabletext"/>
              <w:jc w:val="center"/>
              <w:rPr>
                <w:b/>
                <w:bCs/>
                <w:highlight w:val="yellow"/>
                <w:lang w:val="fr-FR" w:eastAsia="zh-CN"/>
              </w:rPr>
            </w:pPr>
            <w:r w:rsidRPr="00022252">
              <w:rPr>
                <w:lang w:val="fr-FR" w:eastAsia="zh-CN"/>
              </w:rPr>
              <w:t>−</w:t>
            </w:r>
          </w:p>
        </w:tc>
        <w:tc>
          <w:tcPr>
            <w:tcW w:w="1416" w:type="dxa"/>
            <w:shd w:val="clear" w:color="auto" w:fill="DAEEF3" w:themeFill="accent5" w:themeFillTint="33"/>
          </w:tcPr>
          <w:p w14:paraId="571FDCEE" w14:textId="77777777" w:rsidR="00443FF7" w:rsidRPr="00FA6233" w:rsidRDefault="00443FF7" w:rsidP="00443FF7">
            <w:pPr>
              <w:pStyle w:val="Tabletext"/>
              <w:jc w:val="center"/>
              <w:rPr>
                <w:lang w:val="en-US" w:eastAsia="zh-CN"/>
              </w:rPr>
            </w:pPr>
            <w:r w:rsidRPr="00FA6233">
              <w:rPr>
                <w:lang w:val="en-US" w:eastAsia="zh-CN"/>
              </w:rPr>
              <w:t>1</w:t>
            </w:r>
          </w:p>
          <w:p w14:paraId="0F2F1B74" w14:textId="70E9DF13" w:rsidR="00443FF7" w:rsidRPr="00FA6233" w:rsidRDefault="00443FF7" w:rsidP="00443FF7">
            <w:pPr>
              <w:pStyle w:val="Tabletext"/>
              <w:jc w:val="center"/>
              <w:rPr>
                <w:bCs/>
                <w:color w:val="FF0000"/>
                <w:lang w:val="fr-FR" w:eastAsia="zh-CN"/>
              </w:rPr>
            </w:pPr>
            <w:r w:rsidRPr="00FA6233">
              <w:rPr>
                <w:bCs/>
                <w:color w:val="FF0000"/>
                <w:lang w:val="fr-FR" w:eastAsia="zh-CN"/>
              </w:rPr>
              <w:t>AND</w:t>
            </w:r>
          </w:p>
          <w:p w14:paraId="0AD8B8B0" w14:textId="2376FDAD" w:rsidR="00443FF7" w:rsidRPr="006E4A1A" w:rsidRDefault="00443FF7" w:rsidP="00443FF7">
            <w:pPr>
              <w:pStyle w:val="Tabletext"/>
              <w:jc w:val="center"/>
              <w:rPr>
                <w:bCs/>
                <w:lang w:val="fr-FR" w:eastAsia="zh-CN"/>
              </w:rPr>
            </w:pPr>
            <w:r w:rsidRPr="00FA6233">
              <w:rPr>
                <w:bCs/>
                <w:lang w:val="fr-FR" w:eastAsia="zh-CN"/>
              </w:rPr>
              <w:t>4</w:t>
            </w:r>
          </w:p>
        </w:tc>
      </w:tr>
      <w:tr w:rsidR="00443FF7" w14:paraId="17E127FD" w14:textId="3731E6B2" w:rsidTr="00C559F9">
        <w:tc>
          <w:tcPr>
            <w:tcW w:w="1801" w:type="dxa"/>
            <w:shd w:val="clear" w:color="auto" w:fill="auto"/>
          </w:tcPr>
          <w:p w14:paraId="1BC841A8" w14:textId="210EF75C" w:rsidR="00443FF7" w:rsidRPr="00C559F9" w:rsidRDefault="00443FF7" w:rsidP="00443FF7">
            <w:pPr>
              <w:pStyle w:val="Tabletext"/>
              <w:rPr>
                <w:rFonts w:ascii="TimesNewRomanPSMT" w:hAnsi="TimesNewRomanPSMT" w:cs="TimesNewRomanPSMT"/>
                <w:b/>
                <w:spacing w:val="-6"/>
                <w:lang w:eastAsia="zh-CN"/>
              </w:rPr>
            </w:pPr>
            <w:r w:rsidRPr="00C559F9">
              <w:rPr>
                <w:rFonts w:ascii="TimesNewRomanPSMT" w:hAnsi="TimesNewRomanPSMT" w:cs="TimesNewRomanPSMT"/>
                <w:b/>
                <w:spacing w:val="-6"/>
                <w:lang w:eastAsia="zh-CN"/>
              </w:rPr>
              <w:t>724 (WRC-07)</w:t>
            </w:r>
          </w:p>
        </w:tc>
        <w:tc>
          <w:tcPr>
            <w:tcW w:w="2730" w:type="dxa"/>
            <w:shd w:val="clear" w:color="auto" w:fill="auto"/>
          </w:tcPr>
          <w:p w14:paraId="6C8B928F" w14:textId="5AAC7A48" w:rsidR="00443FF7" w:rsidRDefault="00443FF7" w:rsidP="00443FF7">
            <w:pPr>
              <w:pStyle w:val="Tabletext"/>
              <w:rPr>
                <w:lang w:eastAsia="zh-CN"/>
              </w:rPr>
            </w:pPr>
            <w:r>
              <w:rPr>
                <w:lang w:eastAsia="zh-CN"/>
              </w:rPr>
              <w:t>Use by civil aviation of frequency allocations on a primary basis to the fixed-satellite service</w:t>
            </w:r>
          </w:p>
        </w:tc>
        <w:tc>
          <w:tcPr>
            <w:tcW w:w="8538" w:type="dxa"/>
            <w:shd w:val="clear" w:color="auto" w:fill="auto"/>
          </w:tcPr>
          <w:p w14:paraId="4951B5D3" w14:textId="0F9A8DA2" w:rsidR="00443FF7" w:rsidRPr="00675A08" w:rsidRDefault="00443FF7" w:rsidP="00443FF7">
            <w:pPr>
              <w:tabs>
                <w:tab w:val="clear" w:pos="1134"/>
                <w:tab w:val="clear" w:pos="1871"/>
                <w:tab w:val="clear" w:pos="2268"/>
                <w:tab w:val="left" w:pos="391"/>
              </w:tabs>
              <w:overflowPunct/>
              <w:spacing w:before="60" w:after="40"/>
              <w:jc w:val="both"/>
              <w:textAlignment w:val="auto"/>
              <w:rPr>
                <w:i/>
                <w:iCs/>
                <w:sz w:val="20"/>
                <w:szCs w:val="16"/>
              </w:rPr>
            </w:pPr>
            <w:r>
              <w:rPr>
                <w:lang w:val="en-US" w:eastAsia="zh-CN"/>
              </w:rPr>
              <w:tab/>
            </w:r>
            <w:r w:rsidRPr="00675A08">
              <w:rPr>
                <w:i/>
                <w:iCs/>
                <w:sz w:val="20"/>
                <w:szCs w:val="16"/>
              </w:rPr>
              <w:t>recommends</w:t>
            </w:r>
          </w:p>
          <w:p w14:paraId="777E779D" w14:textId="1D63AC6F" w:rsidR="00443FF7" w:rsidRPr="00675A08" w:rsidRDefault="00443FF7" w:rsidP="00443FF7">
            <w:pPr>
              <w:tabs>
                <w:tab w:val="clear" w:pos="1134"/>
                <w:tab w:val="clear" w:pos="1871"/>
                <w:tab w:val="clear" w:pos="2268"/>
                <w:tab w:val="left" w:pos="391"/>
              </w:tabs>
              <w:overflowPunct/>
              <w:spacing w:before="60" w:after="40"/>
              <w:jc w:val="both"/>
              <w:textAlignment w:val="auto"/>
              <w:rPr>
                <w:sz w:val="20"/>
                <w:szCs w:val="16"/>
              </w:rPr>
            </w:pPr>
            <w:r w:rsidRPr="00675A08">
              <w:rPr>
                <w:sz w:val="20"/>
                <w:szCs w:val="16"/>
              </w:rPr>
              <w:t>1</w:t>
            </w:r>
            <w:r>
              <w:rPr>
                <w:lang w:val="en-US" w:eastAsia="zh-CN"/>
              </w:rPr>
              <w:tab/>
            </w:r>
            <w:r w:rsidRPr="00675A08">
              <w:rPr>
                <w:sz w:val="20"/>
                <w:szCs w:val="16"/>
              </w:rPr>
              <w:t>that administrations, in particular in developing countries and in countries with remote</w:t>
            </w:r>
            <w:r>
              <w:rPr>
                <w:sz w:val="20"/>
                <w:szCs w:val="16"/>
              </w:rPr>
              <w:t xml:space="preserve"> </w:t>
            </w:r>
            <w:r w:rsidRPr="00675A08">
              <w:rPr>
                <w:sz w:val="20"/>
                <w:szCs w:val="16"/>
              </w:rPr>
              <w:t>and rural areas, recognize the importance of VSAT operations to the modernization of civil aviation</w:t>
            </w:r>
            <w:r>
              <w:rPr>
                <w:sz w:val="20"/>
                <w:szCs w:val="16"/>
              </w:rPr>
              <w:t xml:space="preserve"> </w:t>
            </w:r>
            <w:r w:rsidRPr="00675A08">
              <w:rPr>
                <w:sz w:val="20"/>
                <w:szCs w:val="16"/>
              </w:rPr>
              <w:t>telecommunications systems and encourage the implementation of VSAT systems that could support</w:t>
            </w:r>
            <w:r>
              <w:rPr>
                <w:sz w:val="20"/>
                <w:szCs w:val="16"/>
              </w:rPr>
              <w:t xml:space="preserve"> </w:t>
            </w:r>
            <w:r w:rsidRPr="00675A08">
              <w:rPr>
                <w:sz w:val="20"/>
                <w:szCs w:val="16"/>
              </w:rPr>
              <w:t>both aeronautical and other communication requirements;</w:t>
            </w:r>
          </w:p>
          <w:p w14:paraId="6CD4C825" w14:textId="1EECED25" w:rsidR="00443FF7" w:rsidRDefault="00443FF7" w:rsidP="00443FF7">
            <w:pPr>
              <w:tabs>
                <w:tab w:val="clear" w:pos="1134"/>
                <w:tab w:val="clear" w:pos="1871"/>
                <w:tab w:val="clear" w:pos="2268"/>
                <w:tab w:val="left" w:pos="391"/>
              </w:tabs>
              <w:overflowPunct/>
              <w:spacing w:before="60" w:after="40"/>
              <w:jc w:val="both"/>
              <w:textAlignment w:val="auto"/>
              <w:rPr>
                <w:sz w:val="20"/>
                <w:szCs w:val="16"/>
              </w:rPr>
            </w:pPr>
            <w:r w:rsidRPr="00675A08">
              <w:rPr>
                <w:sz w:val="20"/>
                <w:szCs w:val="16"/>
              </w:rPr>
              <w:t>2</w:t>
            </w:r>
            <w:r>
              <w:rPr>
                <w:lang w:val="en-US" w:eastAsia="zh-CN"/>
              </w:rPr>
              <w:tab/>
            </w:r>
            <w:r w:rsidRPr="00675A08">
              <w:rPr>
                <w:sz w:val="20"/>
                <w:szCs w:val="16"/>
              </w:rPr>
              <w:t>that administrations in developing countries be encouraged, to the maximum extent</w:t>
            </w:r>
            <w:r>
              <w:rPr>
                <w:sz w:val="20"/>
                <w:szCs w:val="16"/>
              </w:rPr>
              <w:t xml:space="preserve"> </w:t>
            </w:r>
            <w:r w:rsidRPr="00675A08">
              <w:rPr>
                <w:sz w:val="20"/>
                <w:szCs w:val="16"/>
              </w:rPr>
              <w:t>possible and as necessary, to expedite the authorization process to enable aeronautical communications</w:t>
            </w:r>
            <w:r>
              <w:rPr>
                <w:sz w:val="20"/>
                <w:szCs w:val="16"/>
              </w:rPr>
              <w:t xml:space="preserve"> </w:t>
            </w:r>
            <w:r w:rsidRPr="00675A08">
              <w:rPr>
                <w:sz w:val="20"/>
                <w:szCs w:val="16"/>
              </w:rPr>
              <w:t>using VSAT technology;</w:t>
            </w:r>
          </w:p>
          <w:p w14:paraId="6ED01AB5" w14:textId="4593BB51" w:rsidR="00443FF7" w:rsidRPr="00675A08" w:rsidRDefault="00443FF7" w:rsidP="00443FF7">
            <w:pPr>
              <w:tabs>
                <w:tab w:val="clear" w:pos="1134"/>
                <w:tab w:val="clear" w:pos="1871"/>
                <w:tab w:val="clear" w:pos="2268"/>
                <w:tab w:val="left" w:pos="391"/>
              </w:tabs>
              <w:overflowPunct/>
              <w:spacing w:before="60" w:after="40"/>
              <w:jc w:val="both"/>
              <w:textAlignment w:val="auto"/>
              <w:rPr>
                <w:sz w:val="20"/>
                <w:szCs w:val="16"/>
              </w:rPr>
            </w:pPr>
            <w:r w:rsidRPr="00675A08">
              <w:rPr>
                <w:sz w:val="20"/>
                <w:szCs w:val="16"/>
              </w:rPr>
              <w:t>3</w:t>
            </w:r>
            <w:r>
              <w:rPr>
                <w:lang w:val="en-US" w:eastAsia="zh-CN"/>
              </w:rPr>
              <w:tab/>
            </w:r>
            <w:r w:rsidRPr="00675A08">
              <w:rPr>
                <w:sz w:val="20"/>
                <w:szCs w:val="16"/>
              </w:rPr>
              <w:t>that arrangements should be made to provide for urgent service restoration or alternative</w:t>
            </w:r>
            <w:r>
              <w:rPr>
                <w:sz w:val="20"/>
                <w:szCs w:val="16"/>
              </w:rPr>
              <w:t xml:space="preserve"> </w:t>
            </w:r>
            <w:r w:rsidRPr="00675A08">
              <w:rPr>
                <w:sz w:val="20"/>
                <w:szCs w:val="16"/>
              </w:rPr>
              <w:t>routing in case of a disruption of a VSAT link associated with the aeronautical communications;</w:t>
            </w:r>
          </w:p>
          <w:p w14:paraId="3C7918B1" w14:textId="26652B3C" w:rsidR="00443FF7" w:rsidRPr="00675A08" w:rsidRDefault="00443FF7" w:rsidP="00443FF7">
            <w:pPr>
              <w:tabs>
                <w:tab w:val="clear" w:pos="1134"/>
                <w:tab w:val="clear" w:pos="1871"/>
                <w:tab w:val="clear" w:pos="2268"/>
                <w:tab w:val="left" w:pos="391"/>
              </w:tabs>
              <w:overflowPunct/>
              <w:spacing w:before="60" w:after="40"/>
              <w:jc w:val="both"/>
              <w:textAlignment w:val="auto"/>
              <w:rPr>
                <w:sz w:val="20"/>
                <w:szCs w:val="16"/>
              </w:rPr>
            </w:pPr>
            <w:r w:rsidRPr="00675A08">
              <w:rPr>
                <w:sz w:val="20"/>
                <w:szCs w:val="16"/>
              </w:rPr>
              <w:t>4</w:t>
            </w:r>
            <w:r>
              <w:rPr>
                <w:lang w:val="en-US" w:eastAsia="zh-CN"/>
              </w:rPr>
              <w:tab/>
            </w:r>
            <w:r w:rsidRPr="00675A08">
              <w:rPr>
                <w:sz w:val="20"/>
                <w:szCs w:val="16"/>
              </w:rPr>
              <w:t xml:space="preserve">that administrations implementing VSAT systems in accordance with </w:t>
            </w:r>
            <w:r w:rsidRPr="00675A08">
              <w:rPr>
                <w:i/>
                <w:iCs/>
                <w:sz w:val="20"/>
                <w:szCs w:val="16"/>
              </w:rPr>
              <w:t xml:space="preserve">recommends </w:t>
            </w:r>
            <w:r w:rsidRPr="00675A08">
              <w:rPr>
                <w:sz w:val="20"/>
                <w:szCs w:val="16"/>
              </w:rPr>
              <w:t>1 to 3</w:t>
            </w:r>
            <w:r>
              <w:rPr>
                <w:sz w:val="20"/>
                <w:szCs w:val="16"/>
              </w:rPr>
              <w:t xml:space="preserve"> </w:t>
            </w:r>
            <w:r w:rsidRPr="00675A08">
              <w:rPr>
                <w:sz w:val="20"/>
                <w:szCs w:val="16"/>
              </w:rPr>
              <w:t>should do so in satellite networks operating in frequency bands with a primary allocation to the</w:t>
            </w:r>
            <w:r>
              <w:rPr>
                <w:sz w:val="20"/>
                <w:szCs w:val="16"/>
              </w:rPr>
              <w:t xml:space="preserve"> </w:t>
            </w:r>
            <w:r w:rsidRPr="00675A08">
              <w:rPr>
                <w:sz w:val="20"/>
                <w:szCs w:val="16"/>
              </w:rPr>
              <w:t>satellite services;</w:t>
            </w:r>
          </w:p>
          <w:p w14:paraId="0016BA5A" w14:textId="2362EABB" w:rsidR="00443FF7" w:rsidRPr="00675A08" w:rsidRDefault="00443FF7" w:rsidP="00443FF7">
            <w:pPr>
              <w:tabs>
                <w:tab w:val="clear" w:pos="1134"/>
                <w:tab w:val="clear" w:pos="1871"/>
                <w:tab w:val="clear" w:pos="2268"/>
                <w:tab w:val="left" w:pos="391"/>
              </w:tabs>
              <w:overflowPunct/>
              <w:spacing w:before="60" w:after="40"/>
              <w:jc w:val="both"/>
              <w:textAlignment w:val="auto"/>
              <w:rPr>
                <w:sz w:val="20"/>
                <w:szCs w:val="16"/>
              </w:rPr>
            </w:pPr>
            <w:r w:rsidRPr="00675A08">
              <w:rPr>
                <w:sz w:val="20"/>
                <w:szCs w:val="16"/>
              </w:rPr>
              <w:t>5</w:t>
            </w:r>
            <w:r>
              <w:rPr>
                <w:lang w:val="en-US" w:eastAsia="zh-CN"/>
              </w:rPr>
              <w:tab/>
            </w:r>
            <w:r w:rsidRPr="00675A08">
              <w:rPr>
                <w:sz w:val="20"/>
                <w:szCs w:val="16"/>
              </w:rPr>
              <w:t xml:space="preserve">to invite ICAO, noting Resolution </w:t>
            </w:r>
            <w:r w:rsidRPr="00675A08">
              <w:rPr>
                <w:b/>
                <w:bCs/>
                <w:sz w:val="20"/>
                <w:szCs w:val="16"/>
              </w:rPr>
              <w:t>20 (Rev.WRC-03)</w:t>
            </w:r>
            <w:r w:rsidRPr="00675A08">
              <w:rPr>
                <w:sz w:val="20"/>
                <w:szCs w:val="16"/>
              </w:rPr>
              <w:t>, to continue its assistance to</w:t>
            </w:r>
            <w:r>
              <w:rPr>
                <w:sz w:val="20"/>
                <w:szCs w:val="16"/>
              </w:rPr>
              <w:t xml:space="preserve"> </w:t>
            </w:r>
            <w:r w:rsidRPr="00675A08">
              <w:rPr>
                <w:sz w:val="20"/>
                <w:szCs w:val="16"/>
              </w:rPr>
              <w:t>developing countries to improve their aeronautical telecommunications, including interoperability of</w:t>
            </w:r>
            <w:r>
              <w:rPr>
                <w:sz w:val="20"/>
                <w:szCs w:val="16"/>
              </w:rPr>
              <w:t xml:space="preserve"> </w:t>
            </w:r>
            <w:r w:rsidRPr="00675A08">
              <w:rPr>
                <w:sz w:val="20"/>
                <w:szCs w:val="16"/>
              </w:rPr>
              <w:t xml:space="preserve">VSAT </w:t>
            </w:r>
            <w:r w:rsidRPr="00675A08">
              <w:rPr>
                <w:sz w:val="20"/>
                <w:szCs w:val="16"/>
              </w:rPr>
              <w:lastRenderedPageBreak/>
              <w:t>networks, and provide guidance to developing countries on how they could best use VSAT</w:t>
            </w:r>
            <w:r>
              <w:rPr>
                <w:sz w:val="20"/>
                <w:szCs w:val="16"/>
              </w:rPr>
              <w:t xml:space="preserve"> </w:t>
            </w:r>
            <w:r w:rsidRPr="00675A08">
              <w:rPr>
                <w:sz w:val="20"/>
                <w:szCs w:val="16"/>
              </w:rPr>
              <w:t>technology for this purpose,</w:t>
            </w:r>
          </w:p>
          <w:p w14:paraId="02F7D0DC" w14:textId="1E28A37A" w:rsidR="00443FF7" w:rsidRPr="00675A08" w:rsidRDefault="00443FF7" w:rsidP="00443FF7">
            <w:pPr>
              <w:tabs>
                <w:tab w:val="clear" w:pos="1134"/>
                <w:tab w:val="clear" w:pos="1871"/>
                <w:tab w:val="clear" w:pos="2268"/>
                <w:tab w:val="left" w:pos="391"/>
              </w:tabs>
              <w:overflowPunct/>
              <w:spacing w:before="60" w:after="40"/>
              <w:jc w:val="both"/>
              <w:textAlignment w:val="auto"/>
              <w:rPr>
                <w:i/>
                <w:iCs/>
                <w:sz w:val="20"/>
                <w:szCs w:val="16"/>
              </w:rPr>
            </w:pPr>
            <w:r>
              <w:rPr>
                <w:lang w:val="en-US" w:eastAsia="zh-CN"/>
              </w:rPr>
              <w:tab/>
            </w:r>
            <w:r w:rsidRPr="00675A08">
              <w:rPr>
                <w:i/>
                <w:iCs/>
                <w:sz w:val="20"/>
                <w:szCs w:val="16"/>
              </w:rPr>
              <w:t>requests the Secretary-General</w:t>
            </w:r>
          </w:p>
          <w:p w14:paraId="4182718F" w14:textId="78144A4E" w:rsidR="00443FF7" w:rsidRPr="004F3DF3" w:rsidRDefault="00443FF7" w:rsidP="00443FF7">
            <w:pPr>
              <w:tabs>
                <w:tab w:val="clear" w:pos="1134"/>
                <w:tab w:val="clear" w:pos="1871"/>
                <w:tab w:val="clear" w:pos="2268"/>
                <w:tab w:val="left" w:pos="391"/>
              </w:tabs>
              <w:overflowPunct/>
              <w:spacing w:before="60" w:after="40"/>
              <w:jc w:val="both"/>
              <w:textAlignment w:val="auto"/>
              <w:rPr>
                <w:sz w:val="20"/>
                <w:szCs w:val="16"/>
              </w:rPr>
            </w:pPr>
            <w:r w:rsidRPr="00675A08">
              <w:rPr>
                <w:sz w:val="20"/>
                <w:szCs w:val="16"/>
              </w:rPr>
              <w:t>to bring this Recommendation to the attention of ICAO.</w:t>
            </w:r>
          </w:p>
        </w:tc>
        <w:tc>
          <w:tcPr>
            <w:tcW w:w="961" w:type="dxa"/>
            <w:shd w:val="clear" w:color="auto" w:fill="auto"/>
          </w:tcPr>
          <w:p w14:paraId="444B4D4C" w14:textId="77CD7376" w:rsidR="00443FF7" w:rsidRPr="00C60B0B" w:rsidRDefault="00443FF7" w:rsidP="00443FF7">
            <w:pPr>
              <w:pStyle w:val="Tabletext"/>
              <w:jc w:val="center"/>
              <w:rPr>
                <w:highlight w:val="yellow"/>
                <w:lang w:val="fr-FR" w:eastAsia="zh-CN"/>
              </w:rPr>
            </w:pPr>
            <w:r w:rsidRPr="00022252">
              <w:rPr>
                <w:lang w:val="fr-FR" w:eastAsia="zh-CN"/>
              </w:rPr>
              <w:lastRenderedPageBreak/>
              <w:t>−</w:t>
            </w:r>
          </w:p>
        </w:tc>
        <w:tc>
          <w:tcPr>
            <w:tcW w:w="1416" w:type="dxa"/>
            <w:shd w:val="clear" w:color="auto" w:fill="auto"/>
          </w:tcPr>
          <w:p w14:paraId="1D5692FC" w14:textId="7B4D7EF1" w:rsidR="00443FF7" w:rsidRDefault="00443FF7" w:rsidP="00443FF7">
            <w:pPr>
              <w:pStyle w:val="Tabletext"/>
              <w:jc w:val="center"/>
              <w:rPr>
                <w:bCs/>
              </w:rPr>
            </w:pPr>
            <w:r>
              <w:rPr>
                <w:bCs/>
              </w:rPr>
              <w:t>3</w:t>
            </w:r>
          </w:p>
          <w:p w14:paraId="3D11E733" w14:textId="77777777" w:rsidR="00443FF7" w:rsidRPr="006F2BDB" w:rsidRDefault="00443FF7" w:rsidP="00443FF7">
            <w:pPr>
              <w:pStyle w:val="Tabletext"/>
              <w:jc w:val="center"/>
              <w:rPr>
                <w:bCs/>
                <w:color w:val="FF0000"/>
              </w:rPr>
            </w:pPr>
            <w:r w:rsidRPr="006F2BDB">
              <w:rPr>
                <w:bCs/>
                <w:color w:val="FF0000"/>
              </w:rPr>
              <w:t>AND</w:t>
            </w:r>
          </w:p>
          <w:p w14:paraId="106BFB55" w14:textId="2300DF71" w:rsidR="00443FF7" w:rsidRPr="00B867A8" w:rsidRDefault="00443FF7" w:rsidP="00443FF7">
            <w:pPr>
              <w:pStyle w:val="Tabletext"/>
              <w:jc w:val="center"/>
              <w:rPr>
                <w:bCs/>
                <w:highlight w:val="yellow"/>
                <w:lang w:val="fr-FR" w:eastAsia="zh-CN"/>
              </w:rPr>
            </w:pPr>
            <w:r w:rsidRPr="005D7ABB">
              <w:t>5</w:t>
            </w:r>
          </w:p>
        </w:tc>
      </w:tr>
    </w:tbl>
    <w:p w14:paraId="57B9C9C4" w14:textId="77777777" w:rsidR="000D37C8" w:rsidRPr="000056E6" w:rsidRDefault="000D37C8" w:rsidP="000056E6">
      <w:pPr>
        <w:pStyle w:val="Tablefin"/>
      </w:pPr>
    </w:p>
    <w:p w14:paraId="34A01E9A" w14:textId="75147EEE" w:rsidR="00452039" w:rsidRPr="00452039" w:rsidRDefault="000056E6" w:rsidP="00452039">
      <w:pPr>
        <w:jc w:val="center"/>
        <w:rPr>
          <w:lang w:val="fr-FR" w:eastAsia="zh-CN"/>
        </w:rPr>
      </w:pPr>
      <w:r>
        <w:rPr>
          <w:lang w:val="fr-FR" w:eastAsia="zh-CN"/>
        </w:rPr>
        <w:t>_________________</w:t>
      </w:r>
    </w:p>
    <w:sectPr w:rsidR="00452039" w:rsidRPr="00452039" w:rsidSect="000D37C8">
      <w:headerReference w:type="first" r:id="rId30"/>
      <w:pgSz w:w="16834" w:h="11907" w:orient="landscape"/>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50F55" w14:textId="77777777" w:rsidR="00A27386" w:rsidRDefault="00A27386">
      <w:r>
        <w:separator/>
      </w:r>
    </w:p>
  </w:endnote>
  <w:endnote w:type="continuationSeparator" w:id="0">
    <w:p w14:paraId="36CE6001" w14:textId="77777777" w:rsidR="00A27386" w:rsidRDefault="00A2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0475D" w14:textId="77777777" w:rsidR="00A27386" w:rsidRDefault="00A27386">
      <w:r>
        <w:t>____________________</w:t>
      </w:r>
    </w:p>
  </w:footnote>
  <w:footnote w:type="continuationSeparator" w:id="0">
    <w:p w14:paraId="79749C35" w14:textId="77777777" w:rsidR="00A27386" w:rsidRDefault="00A27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2453" w14:textId="771C25AF" w:rsidR="00910B62" w:rsidRPr="00F8336E" w:rsidRDefault="00910B62" w:rsidP="00F8336E">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3AC3" w14:textId="0AED9DC9" w:rsidR="00DF1357" w:rsidRDefault="00DF1357" w:rsidP="00DF1357">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TU - BR SGD">
    <w15:presenceInfo w15:providerId="None" w15:userId="ITU - BR S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C8"/>
    <w:rsid w:val="00004ED2"/>
    <w:rsid w:val="000056E6"/>
    <w:rsid w:val="000069D4"/>
    <w:rsid w:val="00013456"/>
    <w:rsid w:val="00016960"/>
    <w:rsid w:val="000174AD"/>
    <w:rsid w:val="00022EBB"/>
    <w:rsid w:val="000263D2"/>
    <w:rsid w:val="000328CC"/>
    <w:rsid w:val="000340F3"/>
    <w:rsid w:val="000370AB"/>
    <w:rsid w:val="000409CE"/>
    <w:rsid w:val="0004208C"/>
    <w:rsid w:val="00044F6A"/>
    <w:rsid w:val="00045C1E"/>
    <w:rsid w:val="000478A7"/>
    <w:rsid w:val="00047A1D"/>
    <w:rsid w:val="0005180D"/>
    <w:rsid w:val="000550FF"/>
    <w:rsid w:val="000604B9"/>
    <w:rsid w:val="00062B94"/>
    <w:rsid w:val="00063C19"/>
    <w:rsid w:val="00072950"/>
    <w:rsid w:val="000838BE"/>
    <w:rsid w:val="000858BD"/>
    <w:rsid w:val="00092890"/>
    <w:rsid w:val="00093B84"/>
    <w:rsid w:val="000A2C6B"/>
    <w:rsid w:val="000A4C9F"/>
    <w:rsid w:val="000A7D55"/>
    <w:rsid w:val="000B231C"/>
    <w:rsid w:val="000B5C3E"/>
    <w:rsid w:val="000B740B"/>
    <w:rsid w:val="000C078C"/>
    <w:rsid w:val="000C12C8"/>
    <w:rsid w:val="000C2720"/>
    <w:rsid w:val="000C2E8E"/>
    <w:rsid w:val="000D2C4D"/>
    <w:rsid w:val="000D37C8"/>
    <w:rsid w:val="000D3E5A"/>
    <w:rsid w:val="000E0E7C"/>
    <w:rsid w:val="000E359D"/>
    <w:rsid w:val="000E52B1"/>
    <w:rsid w:val="000F1B4B"/>
    <w:rsid w:val="000F7ED5"/>
    <w:rsid w:val="001008C3"/>
    <w:rsid w:val="00106C9B"/>
    <w:rsid w:val="00113FA7"/>
    <w:rsid w:val="00114218"/>
    <w:rsid w:val="00125A25"/>
    <w:rsid w:val="001266E0"/>
    <w:rsid w:val="0012744F"/>
    <w:rsid w:val="0012795B"/>
    <w:rsid w:val="00131178"/>
    <w:rsid w:val="0013641F"/>
    <w:rsid w:val="00137BF0"/>
    <w:rsid w:val="00140D75"/>
    <w:rsid w:val="0014139D"/>
    <w:rsid w:val="00150004"/>
    <w:rsid w:val="00151B9E"/>
    <w:rsid w:val="0015309A"/>
    <w:rsid w:val="00156F66"/>
    <w:rsid w:val="00160922"/>
    <w:rsid w:val="00160AE0"/>
    <w:rsid w:val="00160C3A"/>
    <w:rsid w:val="00162B5B"/>
    <w:rsid w:val="00163271"/>
    <w:rsid w:val="00172122"/>
    <w:rsid w:val="00174C2D"/>
    <w:rsid w:val="001761B0"/>
    <w:rsid w:val="00182528"/>
    <w:rsid w:val="001843DC"/>
    <w:rsid w:val="0018500B"/>
    <w:rsid w:val="00185CA5"/>
    <w:rsid w:val="0018764F"/>
    <w:rsid w:val="00190B9E"/>
    <w:rsid w:val="001921F8"/>
    <w:rsid w:val="001939B3"/>
    <w:rsid w:val="00196A19"/>
    <w:rsid w:val="00197A4B"/>
    <w:rsid w:val="001A0F9A"/>
    <w:rsid w:val="001A594C"/>
    <w:rsid w:val="001A6605"/>
    <w:rsid w:val="001B29D6"/>
    <w:rsid w:val="001B700C"/>
    <w:rsid w:val="001C3246"/>
    <w:rsid w:val="001C57C1"/>
    <w:rsid w:val="001D0582"/>
    <w:rsid w:val="001D7223"/>
    <w:rsid w:val="001E194B"/>
    <w:rsid w:val="001E281A"/>
    <w:rsid w:val="001E2EEB"/>
    <w:rsid w:val="001E37FC"/>
    <w:rsid w:val="001E4455"/>
    <w:rsid w:val="001F3414"/>
    <w:rsid w:val="00200B37"/>
    <w:rsid w:val="00202DC1"/>
    <w:rsid w:val="00202E20"/>
    <w:rsid w:val="002030C0"/>
    <w:rsid w:val="0020744F"/>
    <w:rsid w:val="002116EE"/>
    <w:rsid w:val="00212B10"/>
    <w:rsid w:val="0021325C"/>
    <w:rsid w:val="00217FD1"/>
    <w:rsid w:val="00221230"/>
    <w:rsid w:val="002309D8"/>
    <w:rsid w:val="00233740"/>
    <w:rsid w:val="002364B0"/>
    <w:rsid w:val="00243CD0"/>
    <w:rsid w:val="00245C4D"/>
    <w:rsid w:val="0025143B"/>
    <w:rsid w:val="00251EBD"/>
    <w:rsid w:val="002533F0"/>
    <w:rsid w:val="002555DA"/>
    <w:rsid w:val="002564C3"/>
    <w:rsid w:val="002616DF"/>
    <w:rsid w:val="00263505"/>
    <w:rsid w:val="00267257"/>
    <w:rsid w:val="0027767B"/>
    <w:rsid w:val="0028104B"/>
    <w:rsid w:val="00283B10"/>
    <w:rsid w:val="0028612D"/>
    <w:rsid w:val="00291D32"/>
    <w:rsid w:val="002944F6"/>
    <w:rsid w:val="002956D8"/>
    <w:rsid w:val="00297476"/>
    <w:rsid w:val="00297BD0"/>
    <w:rsid w:val="002A10CB"/>
    <w:rsid w:val="002A2F6E"/>
    <w:rsid w:val="002A7FE2"/>
    <w:rsid w:val="002B136C"/>
    <w:rsid w:val="002C0850"/>
    <w:rsid w:val="002C60BA"/>
    <w:rsid w:val="002C62E0"/>
    <w:rsid w:val="002C6E4D"/>
    <w:rsid w:val="002D1E0B"/>
    <w:rsid w:val="002D2498"/>
    <w:rsid w:val="002D4AFF"/>
    <w:rsid w:val="002E1B4F"/>
    <w:rsid w:val="002E20CF"/>
    <w:rsid w:val="002E20FA"/>
    <w:rsid w:val="002E48CC"/>
    <w:rsid w:val="002F0225"/>
    <w:rsid w:val="002F1DB3"/>
    <w:rsid w:val="002F222B"/>
    <w:rsid w:val="002F2E67"/>
    <w:rsid w:val="002F599D"/>
    <w:rsid w:val="002F7CB3"/>
    <w:rsid w:val="00301AA0"/>
    <w:rsid w:val="00305EDB"/>
    <w:rsid w:val="003112AF"/>
    <w:rsid w:val="0031532A"/>
    <w:rsid w:val="00315546"/>
    <w:rsid w:val="003156C0"/>
    <w:rsid w:val="00315D59"/>
    <w:rsid w:val="0031635E"/>
    <w:rsid w:val="00316444"/>
    <w:rsid w:val="0032283D"/>
    <w:rsid w:val="00323203"/>
    <w:rsid w:val="003242DE"/>
    <w:rsid w:val="00325C57"/>
    <w:rsid w:val="00330567"/>
    <w:rsid w:val="003329D3"/>
    <w:rsid w:val="00337FC5"/>
    <w:rsid w:val="00340968"/>
    <w:rsid w:val="00340B04"/>
    <w:rsid w:val="00343F74"/>
    <w:rsid w:val="00344468"/>
    <w:rsid w:val="00344505"/>
    <w:rsid w:val="00345927"/>
    <w:rsid w:val="00351961"/>
    <w:rsid w:val="00355C3E"/>
    <w:rsid w:val="0036132B"/>
    <w:rsid w:val="00365ABC"/>
    <w:rsid w:val="00367480"/>
    <w:rsid w:val="00370D9C"/>
    <w:rsid w:val="003713AA"/>
    <w:rsid w:val="00371655"/>
    <w:rsid w:val="00373789"/>
    <w:rsid w:val="00375626"/>
    <w:rsid w:val="003764A2"/>
    <w:rsid w:val="00377F6B"/>
    <w:rsid w:val="00380712"/>
    <w:rsid w:val="00386A9D"/>
    <w:rsid w:val="003870EF"/>
    <w:rsid w:val="00390104"/>
    <w:rsid w:val="00391081"/>
    <w:rsid w:val="003B2789"/>
    <w:rsid w:val="003B4010"/>
    <w:rsid w:val="003B6AD6"/>
    <w:rsid w:val="003C13CE"/>
    <w:rsid w:val="003C1B5F"/>
    <w:rsid w:val="003C27E3"/>
    <w:rsid w:val="003C3A9D"/>
    <w:rsid w:val="003C697E"/>
    <w:rsid w:val="003C70E7"/>
    <w:rsid w:val="003C736F"/>
    <w:rsid w:val="003C74A4"/>
    <w:rsid w:val="003D2B43"/>
    <w:rsid w:val="003D3D7D"/>
    <w:rsid w:val="003D41D2"/>
    <w:rsid w:val="003D623C"/>
    <w:rsid w:val="003E0DC1"/>
    <w:rsid w:val="003E1641"/>
    <w:rsid w:val="003E2518"/>
    <w:rsid w:val="003E6605"/>
    <w:rsid w:val="003E7CEF"/>
    <w:rsid w:val="003F0181"/>
    <w:rsid w:val="003F0C31"/>
    <w:rsid w:val="003F3C7E"/>
    <w:rsid w:val="003F4BEB"/>
    <w:rsid w:val="003F5EEE"/>
    <w:rsid w:val="003F695C"/>
    <w:rsid w:val="003F73FF"/>
    <w:rsid w:val="00401782"/>
    <w:rsid w:val="004034DC"/>
    <w:rsid w:val="00405441"/>
    <w:rsid w:val="004164C2"/>
    <w:rsid w:val="0042249F"/>
    <w:rsid w:val="004337A1"/>
    <w:rsid w:val="00436B1D"/>
    <w:rsid w:val="00437F7D"/>
    <w:rsid w:val="004402D9"/>
    <w:rsid w:val="004412F1"/>
    <w:rsid w:val="004436F6"/>
    <w:rsid w:val="00443FF7"/>
    <w:rsid w:val="0044764F"/>
    <w:rsid w:val="00452039"/>
    <w:rsid w:val="00462317"/>
    <w:rsid w:val="00471A5A"/>
    <w:rsid w:val="00471B86"/>
    <w:rsid w:val="00471FDA"/>
    <w:rsid w:val="00475392"/>
    <w:rsid w:val="00476749"/>
    <w:rsid w:val="00477071"/>
    <w:rsid w:val="00481120"/>
    <w:rsid w:val="004841D4"/>
    <w:rsid w:val="00485E71"/>
    <w:rsid w:val="00490CBB"/>
    <w:rsid w:val="00495787"/>
    <w:rsid w:val="004977B5"/>
    <w:rsid w:val="004A0DF7"/>
    <w:rsid w:val="004A17A1"/>
    <w:rsid w:val="004A1E5A"/>
    <w:rsid w:val="004A2DE3"/>
    <w:rsid w:val="004A7E55"/>
    <w:rsid w:val="004B1EF7"/>
    <w:rsid w:val="004B1FC2"/>
    <w:rsid w:val="004B24A6"/>
    <w:rsid w:val="004B3FAD"/>
    <w:rsid w:val="004C05AD"/>
    <w:rsid w:val="004C3976"/>
    <w:rsid w:val="004C5465"/>
    <w:rsid w:val="004C5508"/>
    <w:rsid w:val="004C5749"/>
    <w:rsid w:val="004C6F47"/>
    <w:rsid w:val="004C7ACC"/>
    <w:rsid w:val="004D03FF"/>
    <w:rsid w:val="004D3A70"/>
    <w:rsid w:val="004D4379"/>
    <w:rsid w:val="004D6C82"/>
    <w:rsid w:val="004E0127"/>
    <w:rsid w:val="004E03EF"/>
    <w:rsid w:val="004E255A"/>
    <w:rsid w:val="004E4F15"/>
    <w:rsid w:val="004E57A4"/>
    <w:rsid w:val="004F1467"/>
    <w:rsid w:val="004F3DF3"/>
    <w:rsid w:val="004F59E5"/>
    <w:rsid w:val="00501DCA"/>
    <w:rsid w:val="00506229"/>
    <w:rsid w:val="00511650"/>
    <w:rsid w:val="00513A47"/>
    <w:rsid w:val="00513DE7"/>
    <w:rsid w:val="005212A0"/>
    <w:rsid w:val="0052541D"/>
    <w:rsid w:val="00532D9F"/>
    <w:rsid w:val="005346C9"/>
    <w:rsid w:val="00535F5D"/>
    <w:rsid w:val="0053666A"/>
    <w:rsid w:val="005408DF"/>
    <w:rsid w:val="00543EE9"/>
    <w:rsid w:val="00554EC7"/>
    <w:rsid w:val="005572F0"/>
    <w:rsid w:val="00561B43"/>
    <w:rsid w:val="0056215B"/>
    <w:rsid w:val="00562A80"/>
    <w:rsid w:val="00564C7A"/>
    <w:rsid w:val="0056711A"/>
    <w:rsid w:val="00573344"/>
    <w:rsid w:val="0058343C"/>
    <w:rsid w:val="00583F9B"/>
    <w:rsid w:val="00586C6E"/>
    <w:rsid w:val="00592E27"/>
    <w:rsid w:val="00593426"/>
    <w:rsid w:val="005A6A39"/>
    <w:rsid w:val="005A7D8B"/>
    <w:rsid w:val="005B0D29"/>
    <w:rsid w:val="005B2096"/>
    <w:rsid w:val="005B5681"/>
    <w:rsid w:val="005B5A95"/>
    <w:rsid w:val="005B6FEE"/>
    <w:rsid w:val="005C108C"/>
    <w:rsid w:val="005C14ED"/>
    <w:rsid w:val="005C1DDF"/>
    <w:rsid w:val="005D1CED"/>
    <w:rsid w:val="005D5CCC"/>
    <w:rsid w:val="005D7ABB"/>
    <w:rsid w:val="005E0B72"/>
    <w:rsid w:val="005E3AE3"/>
    <w:rsid w:val="005E3CBC"/>
    <w:rsid w:val="005E5C10"/>
    <w:rsid w:val="005E6AB8"/>
    <w:rsid w:val="005E7AF5"/>
    <w:rsid w:val="005F1AED"/>
    <w:rsid w:val="005F2C78"/>
    <w:rsid w:val="005F3C58"/>
    <w:rsid w:val="005F6AA2"/>
    <w:rsid w:val="0060159A"/>
    <w:rsid w:val="00601A28"/>
    <w:rsid w:val="00606BCA"/>
    <w:rsid w:val="0060798F"/>
    <w:rsid w:val="006107BB"/>
    <w:rsid w:val="00612705"/>
    <w:rsid w:val="00612D29"/>
    <w:rsid w:val="006144E4"/>
    <w:rsid w:val="006151FB"/>
    <w:rsid w:val="00620F33"/>
    <w:rsid w:val="006217E9"/>
    <w:rsid w:val="00624BB6"/>
    <w:rsid w:val="00625BB2"/>
    <w:rsid w:val="0063153E"/>
    <w:rsid w:val="00644C10"/>
    <w:rsid w:val="00650299"/>
    <w:rsid w:val="00652F7C"/>
    <w:rsid w:val="00655FC5"/>
    <w:rsid w:val="006601AB"/>
    <w:rsid w:val="0066088F"/>
    <w:rsid w:val="00660BC5"/>
    <w:rsid w:val="006660B3"/>
    <w:rsid w:val="00667BE4"/>
    <w:rsid w:val="00671B56"/>
    <w:rsid w:val="00675A08"/>
    <w:rsid w:val="006864AF"/>
    <w:rsid w:val="006870C2"/>
    <w:rsid w:val="00690690"/>
    <w:rsid w:val="0069069A"/>
    <w:rsid w:val="006906AB"/>
    <w:rsid w:val="006909D6"/>
    <w:rsid w:val="00694236"/>
    <w:rsid w:val="006A10A7"/>
    <w:rsid w:val="006A256F"/>
    <w:rsid w:val="006B08B3"/>
    <w:rsid w:val="006B4214"/>
    <w:rsid w:val="006B56EC"/>
    <w:rsid w:val="006B6D47"/>
    <w:rsid w:val="006D469E"/>
    <w:rsid w:val="006D54BB"/>
    <w:rsid w:val="006E0B7E"/>
    <w:rsid w:val="006E13F9"/>
    <w:rsid w:val="006E3D15"/>
    <w:rsid w:val="006E4A1A"/>
    <w:rsid w:val="006E5C22"/>
    <w:rsid w:val="006F2BDB"/>
    <w:rsid w:val="00701CBF"/>
    <w:rsid w:val="0070370F"/>
    <w:rsid w:val="00706E2A"/>
    <w:rsid w:val="00707279"/>
    <w:rsid w:val="00712089"/>
    <w:rsid w:val="00715774"/>
    <w:rsid w:val="00730BC0"/>
    <w:rsid w:val="0073158F"/>
    <w:rsid w:val="007323CA"/>
    <w:rsid w:val="00734EFB"/>
    <w:rsid w:val="00735D53"/>
    <w:rsid w:val="00746888"/>
    <w:rsid w:val="00751F07"/>
    <w:rsid w:val="00752B27"/>
    <w:rsid w:val="0075617A"/>
    <w:rsid w:val="007667C8"/>
    <w:rsid w:val="00772271"/>
    <w:rsid w:val="00773C9A"/>
    <w:rsid w:val="00775969"/>
    <w:rsid w:val="00777526"/>
    <w:rsid w:val="00780580"/>
    <w:rsid w:val="00780C94"/>
    <w:rsid w:val="00781C19"/>
    <w:rsid w:val="00782815"/>
    <w:rsid w:val="00783E4A"/>
    <w:rsid w:val="0079028C"/>
    <w:rsid w:val="00790E8F"/>
    <w:rsid w:val="007928E3"/>
    <w:rsid w:val="00792C52"/>
    <w:rsid w:val="007A58F9"/>
    <w:rsid w:val="007A7A23"/>
    <w:rsid w:val="007B0EA3"/>
    <w:rsid w:val="007B2507"/>
    <w:rsid w:val="007B40A9"/>
    <w:rsid w:val="007B4153"/>
    <w:rsid w:val="007B51D7"/>
    <w:rsid w:val="007C4846"/>
    <w:rsid w:val="007C72CF"/>
    <w:rsid w:val="007E1D2B"/>
    <w:rsid w:val="007F61F6"/>
    <w:rsid w:val="00800991"/>
    <w:rsid w:val="00801DA4"/>
    <w:rsid w:val="0080538C"/>
    <w:rsid w:val="0080575B"/>
    <w:rsid w:val="00805B0E"/>
    <w:rsid w:val="00806FEF"/>
    <w:rsid w:val="00814507"/>
    <w:rsid w:val="00814E0A"/>
    <w:rsid w:val="00817202"/>
    <w:rsid w:val="008175C4"/>
    <w:rsid w:val="00817838"/>
    <w:rsid w:val="00822581"/>
    <w:rsid w:val="008258DA"/>
    <w:rsid w:val="0083036E"/>
    <w:rsid w:val="008309DD"/>
    <w:rsid w:val="00830B6D"/>
    <w:rsid w:val="0083227A"/>
    <w:rsid w:val="008325C3"/>
    <w:rsid w:val="008353FC"/>
    <w:rsid w:val="008377D1"/>
    <w:rsid w:val="00844C58"/>
    <w:rsid w:val="00850831"/>
    <w:rsid w:val="00852C02"/>
    <w:rsid w:val="00854BB9"/>
    <w:rsid w:val="00856755"/>
    <w:rsid w:val="008574D3"/>
    <w:rsid w:val="00862A78"/>
    <w:rsid w:val="008639D1"/>
    <w:rsid w:val="00866900"/>
    <w:rsid w:val="00867111"/>
    <w:rsid w:val="00873822"/>
    <w:rsid w:val="008740F6"/>
    <w:rsid w:val="00876A8A"/>
    <w:rsid w:val="00881BA1"/>
    <w:rsid w:val="00882F6C"/>
    <w:rsid w:val="00883D5A"/>
    <w:rsid w:val="00886850"/>
    <w:rsid w:val="00887E84"/>
    <w:rsid w:val="008A08A5"/>
    <w:rsid w:val="008A5807"/>
    <w:rsid w:val="008A729E"/>
    <w:rsid w:val="008A7E99"/>
    <w:rsid w:val="008B2A97"/>
    <w:rsid w:val="008B375B"/>
    <w:rsid w:val="008B73A7"/>
    <w:rsid w:val="008C2302"/>
    <w:rsid w:val="008C26B8"/>
    <w:rsid w:val="008C5A9C"/>
    <w:rsid w:val="008C6033"/>
    <w:rsid w:val="008C7599"/>
    <w:rsid w:val="008D4D45"/>
    <w:rsid w:val="008E0015"/>
    <w:rsid w:val="008F0883"/>
    <w:rsid w:val="008F1911"/>
    <w:rsid w:val="008F208F"/>
    <w:rsid w:val="008F383C"/>
    <w:rsid w:val="008F5067"/>
    <w:rsid w:val="009019C9"/>
    <w:rsid w:val="009054E1"/>
    <w:rsid w:val="009109EE"/>
    <w:rsid w:val="00910B62"/>
    <w:rsid w:val="00911664"/>
    <w:rsid w:val="00913FDC"/>
    <w:rsid w:val="00921291"/>
    <w:rsid w:val="00921317"/>
    <w:rsid w:val="00927FFC"/>
    <w:rsid w:val="009305E6"/>
    <w:rsid w:val="0093125D"/>
    <w:rsid w:val="00934DF6"/>
    <w:rsid w:val="0093653A"/>
    <w:rsid w:val="009413F8"/>
    <w:rsid w:val="00942CE0"/>
    <w:rsid w:val="00943BA8"/>
    <w:rsid w:val="00952059"/>
    <w:rsid w:val="00952AB0"/>
    <w:rsid w:val="00966F0E"/>
    <w:rsid w:val="0097280B"/>
    <w:rsid w:val="0097327B"/>
    <w:rsid w:val="009750DB"/>
    <w:rsid w:val="00975810"/>
    <w:rsid w:val="00982084"/>
    <w:rsid w:val="00990672"/>
    <w:rsid w:val="009915A6"/>
    <w:rsid w:val="0099329B"/>
    <w:rsid w:val="00995963"/>
    <w:rsid w:val="009A06FB"/>
    <w:rsid w:val="009A07D6"/>
    <w:rsid w:val="009A2BAB"/>
    <w:rsid w:val="009B2ACF"/>
    <w:rsid w:val="009B37AC"/>
    <w:rsid w:val="009B61EB"/>
    <w:rsid w:val="009C0D73"/>
    <w:rsid w:val="009C2064"/>
    <w:rsid w:val="009C408A"/>
    <w:rsid w:val="009C5843"/>
    <w:rsid w:val="009D1697"/>
    <w:rsid w:val="009D475E"/>
    <w:rsid w:val="009D66BD"/>
    <w:rsid w:val="009E0BB8"/>
    <w:rsid w:val="009E30E5"/>
    <w:rsid w:val="009F1C76"/>
    <w:rsid w:val="009F3A46"/>
    <w:rsid w:val="009F6520"/>
    <w:rsid w:val="00A014F8"/>
    <w:rsid w:val="00A0366B"/>
    <w:rsid w:val="00A04123"/>
    <w:rsid w:val="00A04392"/>
    <w:rsid w:val="00A15F2A"/>
    <w:rsid w:val="00A202BE"/>
    <w:rsid w:val="00A2354A"/>
    <w:rsid w:val="00A27386"/>
    <w:rsid w:val="00A315BA"/>
    <w:rsid w:val="00A31E02"/>
    <w:rsid w:val="00A42CAD"/>
    <w:rsid w:val="00A4349B"/>
    <w:rsid w:val="00A45F19"/>
    <w:rsid w:val="00A50327"/>
    <w:rsid w:val="00A5173C"/>
    <w:rsid w:val="00A521C8"/>
    <w:rsid w:val="00A603AE"/>
    <w:rsid w:val="00A618AC"/>
    <w:rsid w:val="00A61AEF"/>
    <w:rsid w:val="00A637F1"/>
    <w:rsid w:val="00A708A7"/>
    <w:rsid w:val="00A71A66"/>
    <w:rsid w:val="00A7222A"/>
    <w:rsid w:val="00A75A6A"/>
    <w:rsid w:val="00A75E16"/>
    <w:rsid w:val="00A77DE0"/>
    <w:rsid w:val="00A817D3"/>
    <w:rsid w:val="00A86750"/>
    <w:rsid w:val="00A8780F"/>
    <w:rsid w:val="00A9065C"/>
    <w:rsid w:val="00A9483B"/>
    <w:rsid w:val="00AA1FDC"/>
    <w:rsid w:val="00AA3F1C"/>
    <w:rsid w:val="00AA51E1"/>
    <w:rsid w:val="00AA6157"/>
    <w:rsid w:val="00AB0982"/>
    <w:rsid w:val="00AB45FB"/>
    <w:rsid w:val="00AB637D"/>
    <w:rsid w:val="00AB6C7C"/>
    <w:rsid w:val="00AC4FA7"/>
    <w:rsid w:val="00AC6957"/>
    <w:rsid w:val="00AD1A47"/>
    <w:rsid w:val="00AD2345"/>
    <w:rsid w:val="00AD7C59"/>
    <w:rsid w:val="00AE0F58"/>
    <w:rsid w:val="00AE1A54"/>
    <w:rsid w:val="00AE1DB7"/>
    <w:rsid w:val="00AE1FC6"/>
    <w:rsid w:val="00AE46CE"/>
    <w:rsid w:val="00AE6CD9"/>
    <w:rsid w:val="00AE6D4C"/>
    <w:rsid w:val="00AF173A"/>
    <w:rsid w:val="00AF2B27"/>
    <w:rsid w:val="00AF4D15"/>
    <w:rsid w:val="00AF6416"/>
    <w:rsid w:val="00B00A4E"/>
    <w:rsid w:val="00B025A3"/>
    <w:rsid w:val="00B05943"/>
    <w:rsid w:val="00B066A4"/>
    <w:rsid w:val="00B07A13"/>
    <w:rsid w:val="00B10155"/>
    <w:rsid w:val="00B11C11"/>
    <w:rsid w:val="00B169EA"/>
    <w:rsid w:val="00B22E21"/>
    <w:rsid w:val="00B259D2"/>
    <w:rsid w:val="00B3196C"/>
    <w:rsid w:val="00B31C3B"/>
    <w:rsid w:val="00B34F37"/>
    <w:rsid w:val="00B357AB"/>
    <w:rsid w:val="00B42758"/>
    <w:rsid w:val="00B4279B"/>
    <w:rsid w:val="00B45FC9"/>
    <w:rsid w:val="00B4715F"/>
    <w:rsid w:val="00B542D2"/>
    <w:rsid w:val="00B55C0A"/>
    <w:rsid w:val="00B5781C"/>
    <w:rsid w:val="00B65353"/>
    <w:rsid w:val="00B70B6A"/>
    <w:rsid w:val="00B731BB"/>
    <w:rsid w:val="00B75375"/>
    <w:rsid w:val="00B76F35"/>
    <w:rsid w:val="00B81138"/>
    <w:rsid w:val="00B867A8"/>
    <w:rsid w:val="00B86A45"/>
    <w:rsid w:val="00B959DD"/>
    <w:rsid w:val="00BA1282"/>
    <w:rsid w:val="00BA44A2"/>
    <w:rsid w:val="00BA5461"/>
    <w:rsid w:val="00BB17E8"/>
    <w:rsid w:val="00BB221D"/>
    <w:rsid w:val="00BB6CBC"/>
    <w:rsid w:val="00BB79DB"/>
    <w:rsid w:val="00BC2941"/>
    <w:rsid w:val="00BC78B0"/>
    <w:rsid w:val="00BC7CCF"/>
    <w:rsid w:val="00BD3CFA"/>
    <w:rsid w:val="00BD414E"/>
    <w:rsid w:val="00BE014E"/>
    <w:rsid w:val="00BE470B"/>
    <w:rsid w:val="00BE4AA1"/>
    <w:rsid w:val="00BE6EC6"/>
    <w:rsid w:val="00BF03AA"/>
    <w:rsid w:val="00BF0AD4"/>
    <w:rsid w:val="00BF2903"/>
    <w:rsid w:val="00BF4ECF"/>
    <w:rsid w:val="00BF550E"/>
    <w:rsid w:val="00BF59A9"/>
    <w:rsid w:val="00C01705"/>
    <w:rsid w:val="00C036FF"/>
    <w:rsid w:val="00C06670"/>
    <w:rsid w:val="00C07A80"/>
    <w:rsid w:val="00C11EBE"/>
    <w:rsid w:val="00C13008"/>
    <w:rsid w:val="00C1314C"/>
    <w:rsid w:val="00C13443"/>
    <w:rsid w:val="00C14517"/>
    <w:rsid w:val="00C14C97"/>
    <w:rsid w:val="00C16027"/>
    <w:rsid w:val="00C23426"/>
    <w:rsid w:val="00C2379C"/>
    <w:rsid w:val="00C26308"/>
    <w:rsid w:val="00C37DA0"/>
    <w:rsid w:val="00C41FDF"/>
    <w:rsid w:val="00C42766"/>
    <w:rsid w:val="00C501C5"/>
    <w:rsid w:val="00C5512F"/>
    <w:rsid w:val="00C559F9"/>
    <w:rsid w:val="00C57A91"/>
    <w:rsid w:val="00C60B0B"/>
    <w:rsid w:val="00C61331"/>
    <w:rsid w:val="00C82103"/>
    <w:rsid w:val="00C87320"/>
    <w:rsid w:val="00CA2DAD"/>
    <w:rsid w:val="00CA3058"/>
    <w:rsid w:val="00CA58DF"/>
    <w:rsid w:val="00CA58FC"/>
    <w:rsid w:val="00CB3128"/>
    <w:rsid w:val="00CB4E40"/>
    <w:rsid w:val="00CB51A8"/>
    <w:rsid w:val="00CB5900"/>
    <w:rsid w:val="00CB5FB8"/>
    <w:rsid w:val="00CB6E85"/>
    <w:rsid w:val="00CC01C2"/>
    <w:rsid w:val="00CC229B"/>
    <w:rsid w:val="00CC6D56"/>
    <w:rsid w:val="00CD0598"/>
    <w:rsid w:val="00CD0B5C"/>
    <w:rsid w:val="00CD15E3"/>
    <w:rsid w:val="00CD1CE9"/>
    <w:rsid w:val="00CD2EE6"/>
    <w:rsid w:val="00CD494F"/>
    <w:rsid w:val="00CD553B"/>
    <w:rsid w:val="00CF21F2"/>
    <w:rsid w:val="00CF4BAB"/>
    <w:rsid w:val="00D02712"/>
    <w:rsid w:val="00D0441B"/>
    <w:rsid w:val="00D046A7"/>
    <w:rsid w:val="00D07086"/>
    <w:rsid w:val="00D13A51"/>
    <w:rsid w:val="00D214D0"/>
    <w:rsid w:val="00D226F5"/>
    <w:rsid w:val="00D404DA"/>
    <w:rsid w:val="00D443BB"/>
    <w:rsid w:val="00D45BEE"/>
    <w:rsid w:val="00D46142"/>
    <w:rsid w:val="00D47606"/>
    <w:rsid w:val="00D51AA6"/>
    <w:rsid w:val="00D52838"/>
    <w:rsid w:val="00D561E8"/>
    <w:rsid w:val="00D6546B"/>
    <w:rsid w:val="00D65483"/>
    <w:rsid w:val="00D662FA"/>
    <w:rsid w:val="00D678A1"/>
    <w:rsid w:val="00D71BFF"/>
    <w:rsid w:val="00D71C01"/>
    <w:rsid w:val="00D72024"/>
    <w:rsid w:val="00D85215"/>
    <w:rsid w:val="00D962E4"/>
    <w:rsid w:val="00D96717"/>
    <w:rsid w:val="00DA372F"/>
    <w:rsid w:val="00DA5590"/>
    <w:rsid w:val="00DA5BBC"/>
    <w:rsid w:val="00DB163F"/>
    <w:rsid w:val="00DB178B"/>
    <w:rsid w:val="00DB2269"/>
    <w:rsid w:val="00DB3F44"/>
    <w:rsid w:val="00DB738D"/>
    <w:rsid w:val="00DC17D3"/>
    <w:rsid w:val="00DC4B8C"/>
    <w:rsid w:val="00DC6BE9"/>
    <w:rsid w:val="00DD030B"/>
    <w:rsid w:val="00DD195C"/>
    <w:rsid w:val="00DD2360"/>
    <w:rsid w:val="00DD2380"/>
    <w:rsid w:val="00DD2AC8"/>
    <w:rsid w:val="00DD4BED"/>
    <w:rsid w:val="00DD62EB"/>
    <w:rsid w:val="00DE0CE7"/>
    <w:rsid w:val="00DE25C0"/>
    <w:rsid w:val="00DE2A1C"/>
    <w:rsid w:val="00DE2CF8"/>
    <w:rsid w:val="00DE39F0"/>
    <w:rsid w:val="00DE6C1F"/>
    <w:rsid w:val="00DF0AF3"/>
    <w:rsid w:val="00DF1357"/>
    <w:rsid w:val="00DF1F55"/>
    <w:rsid w:val="00DF6CA8"/>
    <w:rsid w:val="00DF7E9F"/>
    <w:rsid w:val="00E008F1"/>
    <w:rsid w:val="00E0133E"/>
    <w:rsid w:val="00E01D55"/>
    <w:rsid w:val="00E046A2"/>
    <w:rsid w:val="00E054A2"/>
    <w:rsid w:val="00E06A57"/>
    <w:rsid w:val="00E11434"/>
    <w:rsid w:val="00E1240E"/>
    <w:rsid w:val="00E155EC"/>
    <w:rsid w:val="00E15C9A"/>
    <w:rsid w:val="00E23E33"/>
    <w:rsid w:val="00E27207"/>
    <w:rsid w:val="00E27D7E"/>
    <w:rsid w:val="00E33D2E"/>
    <w:rsid w:val="00E37005"/>
    <w:rsid w:val="00E42E13"/>
    <w:rsid w:val="00E445AB"/>
    <w:rsid w:val="00E44EBA"/>
    <w:rsid w:val="00E456C5"/>
    <w:rsid w:val="00E45B3E"/>
    <w:rsid w:val="00E522AD"/>
    <w:rsid w:val="00E525C1"/>
    <w:rsid w:val="00E52C36"/>
    <w:rsid w:val="00E54828"/>
    <w:rsid w:val="00E56D5C"/>
    <w:rsid w:val="00E5789B"/>
    <w:rsid w:val="00E57A73"/>
    <w:rsid w:val="00E60FCF"/>
    <w:rsid w:val="00E6257C"/>
    <w:rsid w:val="00E63C59"/>
    <w:rsid w:val="00E64B8A"/>
    <w:rsid w:val="00E652D0"/>
    <w:rsid w:val="00E745BC"/>
    <w:rsid w:val="00E75094"/>
    <w:rsid w:val="00E75238"/>
    <w:rsid w:val="00E758E7"/>
    <w:rsid w:val="00E8087D"/>
    <w:rsid w:val="00E81542"/>
    <w:rsid w:val="00E86190"/>
    <w:rsid w:val="00E867E3"/>
    <w:rsid w:val="00E879B7"/>
    <w:rsid w:val="00E91658"/>
    <w:rsid w:val="00EA1BA6"/>
    <w:rsid w:val="00EA2885"/>
    <w:rsid w:val="00EA462D"/>
    <w:rsid w:val="00EB418D"/>
    <w:rsid w:val="00EB5AED"/>
    <w:rsid w:val="00EB6BD7"/>
    <w:rsid w:val="00EB6E67"/>
    <w:rsid w:val="00EC1E1D"/>
    <w:rsid w:val="00EC2476"/>
    <w:rsid w:val="00EC3BD1"/>
    <w:rsid w:val="00EC585E"/>
    <w:rsid w:val="00ED0111"/>
    <w:rsid w:val="00ED1CB2"/>
    <w:rsid w:val="00ED6946"/>
    <w:rsid w:val="00ED7982"/>
    <w:rsid w:val="00EE082D"/>
    <w:rsid w:val="00EE3B6A"/>
    <w:rsid w:val="00EE4BB3"/>
    <w:rsid w:val="00EF3952"/>
    <w:rsid w:val="00EF68D4"/>
    <w:rsid w:val="00F007A8"/>
    <w:rsid w:val="00F01C08"/>
    <w:rsid w:val="00F022EF"/>
    <w:rsid w:val="00F02F32"/>
    <w:rsid w:val="00F05FCA"/>
    <w:rsid w:val="00F064A2"/>
    <w:rsid w:val="00F06DEB"/>
    <w:rsid w:val="00F11CA4"/>
    <w:rsid w:val="00F12900"/>
    <w:rsid w:val="00F21378"/>
    <w:rsid w:val="00F25662"/>
    <w:rsid w:val="00F353B7"/>
    <w:rsid w:val="00F375DE"/>
    <w:rsid w:val="00F45957"/>
    <w:rsid w:val="00F534DF"/>
    <w:rsid w:val="00F540EE"/>
    <w:rsid w:val="00F570C2"/>
    <w:rsid w:val="00F620EF"/>
    <w:rsid w:val="00F7028D"/>
    <w:rsid w:val="00F7087E"/>
    <w:rsid w:val="00F73D98"/>
    <w:rsid w:val="00F74381"/>
    <w:rsid w:val="00F745D1"/>
    <w:rsid w:val="00F806A7"/>
    <w:rsid w:val="00F8072B"/>
    <w:rsid w:val="00F8336E"/>
    <w:rsid w:val="00F87D26"/>
    <w:rsid w:val="00F9371B"/>
    <w:rsid w:val="00F952FE"/>
    <w:rsid w:val="00F974C4"/>
    <w:rsid w:val="00FA124A"/>
    <w:rsid w:val="00FA46A4"/>
    <w:rsid w:val="00FA6233"/>
    <w:rsid w:val="00FA665A"/>
    <w:rsid w:val="00FA776A"/>
    <w:rsid w:val="00FC08DD"/>
    <w:rsid w:val="00FC0DEC"/>
    <w:rsid w:val="00FC2316"/>
    <w:rsid w:val="00FC28C3"/>
    <w:rsid w:val="00FC2CFD"/>
    <w:rsid w:val="00FC3D76"/>
    <w:rsid w:val="00FD19A3"/>
    <w:rsid w:val="00FD3DF1"/>
    <w:rsid w:val="00FD4487"/>
    <w:rsid w:val="00FE0848"/>
    <w:rsid w:val="00FE12AA"/>
    <w:rsid w:val="00FE35D8"/>
    <w:rsid w:val="00FF2F8F"/>
    <w:rsid w:val="00FF4B50"/>
    <w:rsid w:val="00FF77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5D899"/>
  <w15:docId w15:val="{3C55E863-804D-4C1D-BCD2-C67C4CFD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8A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table" w:styleId="TableGrid">
    <w:name w:val="Table Grid"/>
    <w:basedOn w:val="TableNormal"/>
    <w:rsid w:val="000D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0D37C8"/>
  </w:style>
  <w:style w:type="character" w:customStyle="1" w:styleId="TabletextChar">
    <w:name w:val="Table_text Char"/>
    <w:link w:val="Tabletext"/>
    <w:rsid w:val="006660B3"/>
    <w:rPr>
      <w:rFonts w:ascii="Times New Roman" w:hAnsi="Times New Roman"/>
      <w:lang w:val="en-GB" w:eastAsia="en-US"/>
    </w:rPr>
  </w:style>
  <w:style w:type="paragraph" w:customStyle="1" w:styleId="call0">
    <w:name w:val="call"/>
    <w:basedOn w:val="Normal"/>
    <w:next w:val="Normal"/>
    <w:rsid w:val="006660B3"/>
    <w:pPr>
      <w:keepNext/>
      <w:keepLines/>
      <w:tabs>
        <w:tab w:val="clear" w:pos="1134"/>
        <w:tab w:val="clear" w:pos="1871"/>
        <w:tab w:val="clear" w:pos="2268"/>
        <w:tab w:val="left" w:pos="794"/>
      </w:tabs>
      <w:spacing w:before="40"/>
      <w:ind w:left="284"/>
    </w:pPr>
    <w:rPr>
      <w:i/>
      <w:sz w:val="20"/>
      <w:lang w:val="es-ES_tradnl"/>
    </w:rPr>
  </w:style>
  <w:style w:type="paragraph" w:styleId="ListParagraph">
    <w:name w:val="List Paragraph"/>
    <w:basedOn w:val="Normal"/>
    <w:uiPriority w:val="34"/>
    <w:qFormat/>
    <w:rsid w:val="005D1CED"/>
    <w:pPr>
      <w:ind w:left="720"/>
      <w:contextualSpacing/>
    </w:pPr>
  </w:style>
  <w:style w:type="paragraph" w:customStyle="1" w:styleId="Tablefin">
    <w:name w:val="Table_fin"/>
    <w:basedOn w:val="Tabletext"/>
    <w:rsid w:val="000056E6"/>
  </w:style>
  <w:style w:type="character" w:styleId="Hyperlink">
    <w:name w:val="Hyperlink"/>
    <w:basedOn w:val="DefaultParagraphFont"/>
    <w:unhideWhenUsed/>
    <w:rsid w:val="003E0DC1"/>
    <w:rPr>
      <w:color w:val="0000FF" w:themeColor="hyperlink"/>
      <w:u w:val="single"/>
    </w:rPr>
  </w:style>
  <w:style w:type="character" w:styleId="UnresolvedMention">
    <w:name w:val="Unresolved Mention"/>
    <w:basedOn w:val="DefaultParagraphFont"/>
    <w:uiPriority w:val="99"/>
    <w:semiHidden/>
    <w:unhideWhenUsed/>
    <w:rsid w:val="003E0DC1"/>
    <w:rPr>
      <w:color w:val="605E5C"/>
      <w:shd w:val="clear" w:color="auto" w:fill="E1DFDD"/>
    </w:rPr>
  </w:style>
  <w:style w:type="paragraph" w:styleId="Revision">
    <w:name w:val="Revision"/>
    <w:hidden/>
    <w:uiPriority w:val="99"/>
    <w:semiHidden/>
    <w:rsid w:val="004B1FC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SG05-C-0001/en" TargetMode="External"/><Relationship Id="rId18" Type="http://schemas.openxmlformats.org/officeDocument/2006/relationships/hyperlink" Target="https://www.itu.int/md/R23-SG01-C-0001/en" TargetMode="External"/><Relationship Id="rId26" Type="http://schemas.openxmlformats.org/officeDocument/2006/relationships/hyperlink" Target="https://www.itu.int/md/R23-SG05-C-0001/en" TargetMode="External"/><Relationship Id="rId3" Type="http://schemas.openxmlformats.org/officeDocument/2006/relationships/customXml" Target="../customXml/item3.xml"/><Relationship Id="rId21" Type="http://schemas.openxmlformats.org/officeDocument/2006/relationships/hyperlink" Target="https://www.itu.int/md/R23-SG05-C-0001/en"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itu.int/md/R23-SG01-C-0001/en" TargetMode="External"/><Relationship Id="rId25" Type="http://schemas.openxmlformats.org/officeDocument/2006/relationships/hyperlink" Target="https://www.itu.int/md/R23-SG05-C-0001/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23-SG01-C-0001/en" TargetMode="External"/><Relationship Id="rId20" Type="http://schemas.openxmlformats.org/officeDocument/2006/relationships/hyperlink" Target="https://www.itu.int/md/R23-SG01-C-0001/en" TargetMode="External"/><Relationship Id="rId29" Type="http://schemas.openxmlformats.org/officeDocument/2006/relationships/hyperlink" Target="https://www.itu.int/md/R23-SG06-C-000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00-CA-CIR-0252/en" TargetMode="External"/><Relationship Id="rId24" Type="http://schemas.openxmlformats.org/officeDocument/2006/relationships/hyperlink" Target="https://www.itu.int/md/R23-SG05-C-0001/en"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itu.int/md/R23-SG05-C-0001/en" TargetMode="External"/><Relationship Id="rId23" Type="http://schemas.openxmlformats.org/officeDocument/2006/relationships/hyperlink" Target="https://www.itu.int/md/R23-SG05-C-0001/en" TargetMode="External"/><Relationship Id="rId28" Type="http://schemas.openxmlformats.org/officeDocument/2006/relationships/hyperlink" Target="https://www.itu.int/md/R23-SG06-C-0001/en" TargetMode="External"/><Relationship Id="rId10" Type="http://schemas.openxmlformats.org/officeDocument/2006/relationships/image" Target="media/image1.png"/><Relationship Id="rId19" Type="http://schemas.openxmlformats.org/officeDocument/2006/relationships/hyperlink" Target="https://www.itu.int/md/R23-SG05-C-0001/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md/R23-SG01-C-0001/en" TargetMode="External"/><Relationship Id="rId22" Type="http://schemas.openxmlformats.org/officeDocument/2006/relationships/hyperlink" Target="https://www.itu.int/md/R23-SG01-C-0001/en" TargetMode="External"/><Relationship Id="rId27" Type="http://schemas.openxmlformats.org/officeDocument/2006/relationships/hyperlink" Target="https://www.itu.int/md/R23-SG06-C-0001/en" TargetMode="External"/><Relationship Id="rId30" Type="http://schemas.openxmlformats.org/officeDocument/2006/relationships/header" Target="header2.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35B0695FFEE443AE514A13C3F8C990" ma:contentTypeVersion="4" ma:contentTypeDescription="Create a new document." ma:contentTypeScope="" ma:versionID="c22119392272404257278c0e6678f5d1">
  <xsd:schema xmlns:xsd="http://www.w3.org/2001/XMLSchema" xmlns:xs="http://www.w3.org/2001/XMLSchema" xmlns:p="http://schemas.microsoft.com/office/2006/metadata/properties" xmlns:ns2="656382a4-f7dc-45f3-9e1b-96cc8558cd4f" targetNamespace="http://schemas.microsoft.com/office/2006/metadata/properties" ma:root="true" ma:fieldsID="72b1a0eaaf5a608298bb0976d2728362" ns2:_="">
    <xsd:import namespace="656382a4-f7dc-45f3-9e1b-96cc8558c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382a4-f7dc-45f3-9e1b-96cc8558c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A2487-1AC2-4AD8-8733-CB521D45DCA8}">
  <ds:schemaRefs>
    <ds:schemaRef ds:uri="http://schemas.openxmlformats.org/officeDocument/2006/bibliography"/>
  </ds:schemaRefs>
</ds:datastoreItem>
</file>

<file path=customXml/itemProps2.xml><?xml version="1.0" encoding="utf-8"?>
<ds:datastoreItem xmlns:ds="http://schemas.openxmlformats.org/officeDocument/2006/customXml" ds:itemID="{721DE5E7-17F4-45FC-8F5A-8C26B33E5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382a4-f7dc-45f3-9e1b-96cc8558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8D15A-784F-4938-AF33-FFC7CD3A37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BACFE8-478F-436F-A97F-E01AA944A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9</Pages>
  <Words>2850</Words>
  <Characters>18004</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 SGD</dc:creator>
  <cp:keywords/>
  <dc:description/>
  <cp:lastModifiedBy>ITU - BR SGD</cp:lastModifiedBy>
  <cp:revision>5</cp:revision>
  <cp:lastPrinted>2008-02-21T14:04:00Z</cp:lastPrinted>
  <dcterms:created xsi:type="dcterms:W3CDTF">2025-02-03T09:59:00Z</dcterms:created>
  <dcterms:modified xsi:type="dcterms:W3CDTF">2025-02-03T10:01:00Z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0x0101002A35B0695FFEE443AE514A13C3F8C990</vt:lpwstr>
  </property>
</Properties>
</file>