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9" w:rsidRDefault="002A7CB9" w:rsidP="00753A1A">
      <w:pPr>
        <w:keepNext/>
        <w:keepLines/>
        <w:spacing w:before="240" w:after="120"/>
        <w:jc w:val="center"/>
        <w:rPr>
          <w:rFonts w:ascii="Times New Roman Bold" w:eastAsiaTheme="minorEastAsia" w:hAnsi="Times New Roman Bold"/>
          <w:b/>
          <w:sz w:val="28"/>
          <w:lang w:eastAsia="ja-JP"/>
        </w:rPr>
      </w:pPr>
      <w:bookmarkStart w:id="0" w:name="_GoBack"/>
      <w:bookmarkEnd w:id="0"/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Summary</w:t>
      </w:r>
      <w:r w:rsidRPr="00142CD9">
        <w:rPr>
          <w:rFonts w:ascii="Times New Roman Bold" w:eastAsiaTheme="minorEastAsia" w:hAnsi="Times New Roman Bold"/>
          <w:b/>
          <w:sz w:val="28"/>
          <w:lang w:eastAsia="zh-CN"/>
        </w:rPr>
        <w:t xml:space="preserve">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of</w:t>
      </w:r>
      <w:r w:rsidRPr="00142CD9">
        <w:rPr>
          <w:rFonts w:ascii="Times New Roman Bold" w:eastAsiaTheme="minorEastAsia" w:hAnsi="Times New Roman Bold"/>
          <w:b/>
          <w:sz w:val="28"/>
          <w:lang w:eastAsia="zh-CN"/>
        </w:rPr>
        <w:t xml:space="preserve"> the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progress of studies requested in </w:t>
      </w:r>
      <w:r w:rsidRPr="00142CD9">
        <w:rPr>
          <w:rFonts w:ascii="Times New Roman Bold" w:eastAsiaTheme="minorEastAsia" w:hAnsi="Times New Roman Bold"/>
          <w:b/>
          <w:sz w:val="28"/>
        </w:rPr>
        <w:t xml:space="preserve">ITU-R Resolutions 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>relevant to</w:t>
      </w:r>
      <w:r w:rsidRPr="00142CD9">
        <w:rPr>
          <w:rFonts w:ascii="Times New Roman Bold" w:eastAsiaTheme="minorEastAsia" w:hAnsi="Times New Roman Bold"/>
          <w:b/>
          <w:sz w:val="28"/>
        </w:rPr>
        <w:t xml:space="preserve"> Study</w:t>
      </w:r>
      <w:r w:rsidRPr="00142CD9">
        <w:rPr>
          <w:rFonts w:ascii="Times New Roman Bold" w:eastAsiaTheme="minorEastAsia" w:hAnsi="Times New Roman Bold" w:hint="eastAsia"/>
          <w:b/>
          <w:sz w:val="28"/>
          <w:lang w:eastAsia="ja-JP"/>
        </w:rPr>
        <w:t xml:space="preserve"> Group </w:t>
      </w:r>
      <w:r>
        <w:rPr>
          <w:rFonts w:ascii="Times New Roman Bold" w:eastAsiaTheme="minorEastAsia" w:hAnsi="Times New Roman Bold"/>
          <w:b/>
          <w:sz w:val="28"/>
          <w:lang w:eastAsia="ja-JP"/>
        </w:rPr>
        <w:t>6</w:t>
      </w:r>
    </w:p>
    <w:p w:rsidR="006035DA" w:rsidRDefault="006035DA" w:rsidP="00753A1A">
      <w:pPr>
        <w:keepNext/>
        <w:keepLines/>
        <w:spacing w:before="0" w:after="280"/>
        <w:jc w:val="center"/>
        <w:rPr>
          <w:rFonts w:ascii="Times New Roman Bold" w:eastAsia="MS Mincho" w:hAnsi="Times New Roman Bold"/>
          <w:b/>
          <w:sz w:val="28"/>
          <w:lang w:val="en-US"/>
        </w:rPr>
      </w:pPr>
      <w:r w:rsidRPr="006035DA">
        <w:rPr>
          <w:rFonts w:ascii="Times New Roman Bold" w:eastAsia="MS Mincho" w:hAnsi="Times New Roman Bold"/>
          <w:b/>
          <w:sz w:val="28"/>
          <w:lang w:val="en-US"/>
        </w:rPr>
        <w:t>ITU-R Resolutions assigned/of specific interest to Study Group 6</w:t>
      </w:r>
    </w:p>
    <w:p w:rsidR="000069D4" w:rsidRPr="00753A1A" w:rsidRDefault="000069D4" w:rsidP="00DD4BED">
      <w:pPr>
        <w:rPr>
          <w:lang w:val="en-US" w:eastAsia="zh-CN"/>
        </w:rPr>
      </w:pPr>
    </w:p>
    <w:tbl>
      <w:tblPr>
        <w:tblStyle w:val="TableGrid"/>
        <w:tblW w:w="1307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2835"/>
        <w:gridCol w:w="5138"/>
      </w:tblGrid>
      <w:tr w:rsidR="00727E74" w:rsidRPr="00344F4A" w:rsidTr="001173A3">
        <w:trPr>
          <w:tblHeader/>
          <w:jc w:val="center"/>
        </w:trPr>
        <w:tc>
          <w:tcPr>
            <w:tcW w:w="1271" w:type="dxa"/>
            <w:shd w:val="clear" w:color="auto" w:fill="EEECE1" w:themeFill="background2"/>
            <w:vAlign w:val="center"/>
          </w:tcPr>
          <w:p w:rsidR="00727E74" w:rsidRPr="00344F4A" w:rsidRDefault="00727E74" w:rsidP="00D86B27">
            <w:pPr>
              <w:pStyle w:val="Tablehead"/>
            </w:pPr>
            <w:r w:rsidRPr="00344F4A">
              <w:t>Resolution ITU-R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727E74" w:rsidRPr="00344F4A" w:rsidRDefault="00727E74" w:rsidP="00D86B27">
            <w:pPr>
              <w:pStyle w:val="Tablehead"/>
            </w:pPr>
            <w:r w:rsidRPr="00344F4A">
              <w:t>Title</w:t>
            </w:r>
          </w:p>
        </w:tc>
        <w:tc>
          <w:tcPr>
            <w:tcW w:w="1134" w:type="dxa"/>
            <w:shd w:val="clear" w:color="auto" w:fill="EEECE1" w:themeFill="background2"/>
          </w:tcPr>
          <w:p w:rsidR="00727E74" w:rsidRPr="00344F4A" w:rsidRDefault="00727E74" w:rsidP="00D86B27">
            <w:pPr>
              <w:pStyle w:val="Tablehead"/>
            </w:pPr>
            <w:r>
              <w:t>Working Party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727E74" w:rsidRPr="00344F4A" w:rsidRDefault="00727E74" w:rsidP="00D86B27">
            <w:pPr>
              <w:pStyle w:val="Tablehead"/>
            </w:pPr>
            <w:r w:rsidRPr="00344F4A">
              <w:t>Status of studies</w:t>
            </w:r>
          </w:p>
        </w:tc>
        <w:tc>
          <w:tcPr>
            <w:tcW w:w="5138" w:type="dxa"/>
            <w:shd w:val="clear" w:color="auto" w:fill="EEECE1" w:themeFill="background2"/>
            <w:vAlign w:val="center"/>
          </w:tcPr>
          <w:p w:rsidR="00727E74" w:rsidRPr="00344F4A" w:rsidRDefault="00727E74" w:rsidP="00D86B27">
            <w:pPr>
              <w:pStyle w:val="Tablehead"/>
            </w:pPr>
            <w:r w:rsidRPr="00344F4A">
              <w:t>Deliverables</w:t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color w:val="0000FF"/>
                <w:sz w:val="20"/>
                <w:lang w:eastAsia="ja-JP"/>
              </w:rPr>
            </w:pPr>
            <w:hyperlink r:id="rId7" w:history="1">
              <w:r w:rsidR="00727E74" w:rsidRPr="00D452A9">
                <w:rPr>
                  <w:rFonts w:asciiTheme="majorBidi" w:hAnsiTheme="majorBidi" w:cstheme="majorBidi"/>
                  <w:b/>
                  <w:color w:val="0000FF"/>
                  <w:sz w:val="20"/>
                  <w:u w:val="single"/>
                  <w:lang w:eastAsia="ja-JP"/>
                </w:rPr>
                <w:t>6</w:t>
              </w:r>
            </w:hyperlink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>Liaison and collaboration with the ITU Telecommunication Standardization Sector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6B and 6C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Three </w:t>
            </w:r>
            <w:proofErr w:type="spellStart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Intersector</w:t>
            </w:r>
            <w:proofErr w:type="spellEnd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 Rapporteur Groups IRG-AVA on </w:t>
            </w:r>
            <w:proofErr w:type="spellStart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audiovisual</w:t>
            </w:r>
            <w:proofErr w:type="spellEnd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 media accessibility (with ITU-T Study Groups 9 and 16), IRG-AVQA on </w:t>
            </w:r>
            <w:proofErr w:type="spellStart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audiovisual</w:t>
            </w:r>
            <w:proofErr w:type="spellEnd"/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 quality assessments (with ITU-T Study Group 12) and IRG-IBB on Integrated Broadcast Broadband Systems (with ITU-T Study Groups 9 and 16) have been working.</w:t>
            </w:r>
          </w:p>
        </w:tc>
        <w:tc>
          <w:tcPr>
            <w:tcW w:w="5138" w:type="dxa"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8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7</w:t>
              </w:r>
            </w:hyperlink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Theme="majorBidi" w:hAnsiTheme="majorBidi" w:cstheme="majorBidi"/>
                <w:b/>
                <w:sz w:val="28"/>
              </w:rPr>
            </w:pPr>
            <w:r w:rsidRPr="00344F4A">
              <w:t>Telecommunication development including liaison and collaboration with the ITU Telecommunication Development Sector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WP 6A, 6B and 6C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 w:rsidRPr="00344F4A">
              <w:rPr>
                <w:lang w:eastAsia="ja-JP"/>
              </w:rPr>
              <w:t xml:space="preserve">Study Group 6 </w:t>
            </w: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maintains close collaboration with ITU-D Study Groups.</w:t>
            </w:r>
            <w:r w:rsidRPr="00344F4A">
              <w:rPr>
                <w:lang w:eastAsia="ja-JP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lang w:eastAsia="ja-JP"/>
              </w:rPr>
              <w:t xml:space="preserve">A new Handbook “Handbook on </w:t>
            </w: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Digital Terrestrial Television Broadcasting networks and systems implementation” facilitated the work of </w:t>
            </w:r>
            <w:r>
              <w:rPr>
                <w:rFonts w:asciiTheme="majorBidi" w:eastAsiaTheme="minorEastAsia" w:hAnsiTheme="majorBidi" w:cstheme="majorBidi"/>
                <w:lang w:eastAsia="ja-JP"/>
              </w:rPr>
              <w:t xml:space="preserve"> </w:t>
            </w: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ITU-D Study Groups.</w:t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9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9</w:t>
              </w:r>
            </w:hyperlink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Theme="majorBidi" w:hAnsiTheme="majorBidi" w:cstheme="majorBidi"/>
                <w:b/>
                <w:sz w:val="28"/>
              </w:rPr>
            </w:pPr>
            <w:r w:rsidRPr="00344F4A">
              <w:t>Liaison and collaboration with other relevant organizations, in particular ISO, IEC and CISPR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6B and 6C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 maintains close collaboration with ISO and IEC, and also collaborates with other organizations including ARIB, CIE, ETSI, SMPTE, and WHO.</w:t>
            </w:r>
          </w:p>
        </w:tc>
        <w:tc>
          <w:tcPr>
            <w:tcW w:w="5138" w:type="dxa"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color w:val="0000FF"/>
                <w:sz w:val="20"/>
              </w:rPr>
            </w:pPr>
            <w:hyperlink r:id="rId10" w:history="1">
              <w:r w:rsidR="00727E74" w:rsidRPr="00D452A9">
                <w:rPr>
                  <w:rFonts w:asciiTheme="majorBidi" w:hAnsiTheme="majorBidi" w:cstheme="majorBidi"/>
                  <w:b/>
                  <w:color w:val="0000FF"/>
                  <w:sz w:val="20"/>
                  <w:u w:val="single"/>
                </w:rPr>
                <w:t>12</w:t>
              </w:r>
            </w:hyperlink>
            <w:r w:rsidR="00727E74">
              <w:rPr>
                <w:rFonts w:asciiTheme="majorBidi" w:hAnsiTheme="majorBidi" w:cstheme="majorBidi"/>
                <w:b/>
                <w:color w:val="0000FF"/>
                <w:sz w:val="20"/>
                <w:u w:val="single"/>
              </w:rPr>
              <w:t>-1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 xml:space="preserve">Handbooks and special publications for development of </w:t>
            </w:r>
            <w:proofErr w:type="spellStart"/>
            <w:r w:rsidRPr="00344F4A">
              <w:t>radiocommunication</w:t>
            </w:r>
            <w:proofErr w:type="spellEnd"/>
            <w:r w:rsidRPr="00344F4A">
              <w:t xml:space="preserve"> services  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6A ,6B and 6C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 developed a new Handbook in 2016.</w:t>
            </w:r>
          </w:p>
        </w:tc>
        <w:tc>
          <w:tcPr>
            <w:tcW w:w="5138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 xml:space="preserve">“Handbook on Digital Terrestrial Television Broadcasting networks and systems implementation” </w:t>
            </w:r>
            <w:r w:rsidRPr="00344F4A">
              <w:rPr>
                <w:lang w:eastAsia="ja-JP"/>
              </w:rPr>
              <w:t xml:space="preserve"> </w:t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11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34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-4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="Times New Roman Bold" w:hAnsi="Times New Roman Bold"/>
                <w:b/>
                <w:sz w:val="28"/>
              </w:rPr>
            </w:pPr>
            <w:r w:rsidRPr="00344F4A">
              <w:t>Guidelines for the preparation of terms and definitions</w:t>
            </w:r>
          </w:p>
        </w:tc>
        <w:tc>
          <w:tcPr>
            <w:tcW w:w="1134" w:type="dxa"/>
            <w:vMerge w:val="restart"/>
          </w:tcPr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lang w:eastAsia="ja-JP"/>
              </w:rPr>
              <w:t>WP 6A, 6B and 6C</w:t>
            </w:r>
          </w:p>
        </w:tc>
        <w:tc>
          <w:tcPr>
            <w:tcW w:w="2835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 frequently proposed new terms and definitions for inclusion in the ITU Terminology database.</w:t>
            </w:r>
          </w:p>
        </w:tc>
        <w:tc>
          <w:tcPr>
            <w:tcW w:w="5138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 w:rsidRPr="00517408">
              <w:rPr>
                <w:lang w:val="en-US" w:eastAsia="zh-CN"/>
              </w:rPr>
              <w:t xml:space="preserve">Digital switchover </w:t>
            </w:r>
            <w:r>
              <w:rPr>
                <w:lang w:val="en-US" w:eastAsia="zh-CN"/>
              </w:rPr>
              <w:t>,</w:t>
            </w:r>
            <w:r w:rsidRPr="0051740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Digital </w:t>
            </w:r>
            <w:r w:rsidRPr="00517408">
              <w:rPr>
                <w:lang w:val="en-US" w:eastAsia="zh-CN"/>
              </w:rPr>
              <w:t xml:space="preserve">dividend </w:t>
            </w:r>
            <w:r>
              <w:rPr>
                <w:lang w:val="en-US" w:eastAsia="zh-CN"/>
              </w:rPr>
              <w:t>,</w:t>
            </w:r>
            <w:r w:rsidRPr="00517408">
              <w:rPr>
                <w:lang w:val="en-US" w:eastAsia="zh-CN"/>
              </w:rPr>
              <w:t xml:space="preserve"> Digital divide </w:t>
            </w:r>
            <w:r>
              <w:rPr>
                <w:lang w:val="en-US" w:eastAsia="zh-CN"/>
              </w:rPr>
              <w:t>,</w:t>
            </w:r>
            <w:r w:rsidRPr="00535612">
              <w:rPr>
                <w:iCs/>
              </w:rPr>
              <w:t>Scene</w:t>
            </w:r>
            <w:r>
              <w:rPr>
                <w:iCs/>
              </w:rPr>
              <w:noBreakHyphen/>
            </w:r>
            <w:r w:rsidRPr="00535612">
              <w:rPr>
                <w:iCs/>
              </w:rPr>
              <w:t>based audio</w:t>
            </w:r>
            <w:r>
              <w:rPr>
                <w:lang w:eastAsia="ja-JP"/>
              </w:rPr>
              <w:t>,</w:t>
            </w:r>
            <w:r w:rsidRPr="00DD1B76">
              <w:rPr>
                <w:color w:val="000000" w:themeColor="text1"/>
              </w:rPr>
              <w:t xml:space="preserve"> Advanced sound system (ASS)</w:t>
            </w:r>
            <w:r>
              <w:rPr>
                <w:color w:val="000000" w:themeColor="text1"/>
              </w:rPr>
              <w:t>,</w:t>
            </w:r>
            <w:r w:rsidRPr="00DD1B76">
              <w:rPr>
                <w:color w:val="000000" w:themeColor="text1"/>
                <w:lang w:val="en-US" w:eastAsia="zh-CN"/>
              </w:rPr>
              <w:t xml:space="preserve"> HDR Graphics white</w:t>
            </w:r>
            <w:r>
              <w:rPr>
                <w:color w:val="000000" w:themeColor="text1"/>
                <w:lang w:val="en-US" w:eastAsia="zh-CN"/>
              </w:rPr>
              <w:t>,</w:t>
            </w:r>
            <w:r w:rsidRPr="00DD1B76">
              <w:rPr>
                <w:color w:val="000000" w:themeColor="text1"/>
                <w:lang w:val="en-US" w:eastAsia="zh-CN"/>
              </w:rPr>
              <w:t xml:space="preserve"> Perfect reflecting diffuser</w:t>
            </w:r>
            <w:r>
              <w:rPr>
                <w:color w:val="000000" w:themeColor="text1"/>
                <w:lang w:val="en-US" w:eastAsia="zh-CN"/>
              </w:rPr>
              <w:t>,</w:t>
            </w:r>
            <w:r w:rsidRPr="00DD1B76">
              <w:rPr>
                <w:color w:val="000000" w:themeColor="text1"/>
                <w:lang w:val="en-US" w:eastAsia="zh-CN"/>
              </w:rPr>
              <w:t xml:space="preserve"> HDR reference white</w:t>
            </w:r>
            <w:r>
              <w:rPr>
                <w:color w:val="000000" w:themeColor="text1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Advanced Common Application Platform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Chromaticity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Declarative application environment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DRM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lastRenderedPageBreak/>
              <w:t>DASH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IRDR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Pixel (broadcasting emission planning)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</w:rPr>
              <w:t xml:space="preserve"> Primary distribution</w:t>
            </w:r>
            <w:r>
              <w:rPr>
                <w:rFonts w:asciiTheme="majorBidi" w:hAnsiTheme="majorBidi" w:cstheme="majorBidi"/>
              </w:rPr>
              <w:t>,</w:t>
            </w:r>
            <w:r w:rsidRPr="00B80B29">
              <w:rPr>
                <w:rFonts w:asciiTheme="majorBidi" w:hAnsiTheme="majorBidi" w:cstheme="majorBidi"/>
                <w:lang w:val="en-US" w:eastAsia="zh-CN"/>
              </w:rPr>
              <w:t xml:space="preserve"> Reception location probability (broadcasting emission planning)</w:t>
            </w:r>
            <w:r>
              <w:rPr>
                <w:rFonts w:asciiTheme="majorBidi" w:hAnsiTheme="majorBidi" w:cstheme="majorBidi"/>
                <w:lang w:val="en-US" w:eastAsia="zh-CN"/>
              </w:rPr>
              <w:t>,</w:t>
            </w:r>
            <w:r w:rsidRPr="00B80B29">
              <w:rPr>
                <w:rFonts w:asciiTheme="majorBidi" w:hAnsiTheme="majorBidi" w:cstheme="majorBidi"/>
              </w:rPr>
              <w:t xml:space="preserve"> Secondary distribution</w:t>
            </w:r>
            <w:r>
              <w:rPr>
                <w:rFonts w:asciiTheme="majorBidi" w:hAnsiTheme="majorBidi" w:cstheme="majorBidi"/>
              </w:rPr>
              <w:t>,</w:t>
            </w:r>
            <w:r w:rsidRPr="008A43E5">
              <w:rPr>
                <w:lang w:val="en-US" w:eastAsia="zh-CN"/>
              </w:rPr>
              <w:t xml:space="preserve"> ADM</w:t>
            </w:r>
            <w:r>
              <w:rPr>
                <w:lang w:val="en-US" w:eastAsia="zh-CN"/>
              </w:rPr>
              <w:t>,</w:t>
            </w:r>
            <w:r w:rsidRPr="008A43E5">
              <w:rPr>
                <w:lang w:val="en-US" w:eastAsia="zh-CN"/>
              </w:rPr>
              <w:t xml:space="preserve"> EVP</w:t>
            </w:r>
            <w:r>
              <w:rPr>
                <w:lang w:val="en-US" w:eastAsia="zh-CN"/>
              </w:rPr>
              <w:t>,</w:t>
            </w:r>
            <w:r w:rsidRPr="00557D79">
              <w:rPr>
                <w:lang w:val="en-US" w:eastAsia="zh-CN"/>
              </w:rPr>
              <w:t xml:space="preserve"> </w:t>
            </w:r>
            <w:proofErr w:type="spellStart"/>
            <w:r w:rsidRPr="00557D79">
              <w:rPr>
                <w:lang w:val="en-US" w:eastAsia="zh-CN"/>
              </w:rPr>
              <w:t>O</w:t>
            </w:r>
            <w:r w:rsidRPr="00557D79">
              <w:rPr>
                <w:vertAlign w:val="subscript"/>
                <w:lang w:val="en-US" w:eastAsia="zh-CN"/>
              </w:rPr>
              <w:t>th</w:t>
            </w:r>
            <w:proofErr w:type="spellEnd"/>
            <w:r>
              <w:rPr>
                <w:vertAlign w:val="subscript"/>
                <w:lang w:val="en-US" w:eastAsia="zh-CN"/>
              </w:rPr>
              <w:t>,</w:t>
            </w:r>
            <w:r w:rsidRPr="00557D79">
              <w:rPr>
                <w:lang w:val="en-US" w:eastAsia="zh-CN"/>
              </w:rPr>
              <w:t xml:space="preserve"> Reception location </w:t>
            </w:r>
            <w:proofErr w:type="spellStart"/>
            <w:r w:rsidRPr="00557D79">
              <w:rPr>
                <w:lang w:val="en-US" w:eastAsia="zh-CN"/>
              </w:rPr>
              <w:t>probability</w:t>
            </w:r>
            <w:r>
              <w:rPr>
                <w:lang w:val="en-US" w:eastAsia="zh-CN"/>
              </w:rPr>
              <w:t>,QEF</w:t>
            </w:r>
            <w:proofErr w:type="spellEnd"/>
            <w:r>
              <w:rPr>
                <w:lang w:val="en-US" w:eastAsia="zh-CN"/>
              </w:rPr>
              <w:t>.</w:t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12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35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-4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="Times New Roman Bold" w:hAnsi="Times New Roman Bold"/>
                <w:b/>
                <w:sz w:val="28"/>
              </w:rPr>
            </w:pPr>
            <w:r w:rsidRPr="00344F4A">
              <w:t>The organization of vocabulary work covering terms and definitions</w:t>
            </w:r>
          </w:p>
        </w:tc>
        <w:tc>
          <w:tcPr>
            <w:tcW w:w="1134" w:type="dxa"/>
            <w:vMerge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2835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5138" w:type="dxa"/>
            <w:vMerge/>
          </w:tcPr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13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36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-4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>Coordination of vocabulary</w:t>
            </w:r>
          </w:p>
        </w:tc>
        <w:tc>
          <w:tcPr>
            <w:tcW w:w="1134" w:type="dxa"/>
            <w:vMerge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2835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5138" w:type="dxa"/>
            <w:vMerge/>
          </w:tcPr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14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55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-2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>ITU-R studies of disaster prediction, detection, mitigation and relief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6A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</w:t>
            </w:r>
            <w:r w:rsidRPr="00344F4A">
              <w:t xml:space="preserve"> maintains Question ITU-R 118-1/6 and developed Recommendations Reports.</w:t>
            </w:r>
          </w:p>
        </w:tc>
        <w:tc>
          <w:tcPr>
            <w:tcW w:w="5138" w:type="dxa"/>
            <w:vAlign w:val="center"/>
          </w:tcPr>
          <w:p w:rsidR="00727E74" w:rsidRPr="009B3599" w:rsidRDefault="00727E74" w:rsidP="00D86B27">
            <w:pP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Rec.</w:t>
            </w:r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ITU</w:t>
            </w:r>
            <w:proofErr w:type="spellEnd"/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-R</w:t>
            </w:r>
            <w: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 xml:space="preserve"> </w:t>
            </w:r>
            <w:hyperlink r:id="rId15" w:history="1">
              <w:r w:rsidRPr="009B3599">
                <w:rPr>
                  <w:rStyle w:val="Hyperlink"/>
                  <w:rFonts w:eastAsiaTheme="minorEastAsia"/>
                  <w:iCs/>
                  <w:sz w:val="20"/>
                  <w:lang w:eastAsia="ja-JP"/>
                </w:rPr>
                <w:t>BS.2107-0</w:t>
              </w:r>
            </w:hyperlink>
            <w:r>
              <w:rPr>
                <w:rFonts w:eastAsiaTheme="minorEastAsia"/>
                <w:iCs/>
                <w:sz w:val="20"/>
                <w:lang w:eastAsia="ja-JP"/>
              </w:rPr>
              <w:t>—</w:t>
            </w:r>
            <w: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 xml:space="preserve">Use </w:t>
            </w:r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of International R</w:t>
            </w:r>
            <w: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 xml:space="preserve">adio for Disaster Relief (IRDR) frequencies </w:t>
            </w:r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for emergency broadcasts in the High Frequency (HF) bands</w:t>
            </w:r>
          </w:p>
          <w:p w:rsidR="00727E74" w:rsidRPr="009B3599" w:rsidRDefault="00727E74" w:rsidP="00D86B27">
            <w:pPr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</w:pPr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 xml:space="preserve">Rep. ITU-R </w:t>
            </w:r>
            <w:hyperlink r:id="rId16" w:history="1">
              <w:r w:rsidRPr="009B3599">
                <w:rPr>
                  <w:rStyle w:val="Hyperlink"/>
                  <w:rFonts w:eastAsiaTheme="minorEastAsia"/>
                  <w:iCs/>
                  <w:sz w:val="20"/>
                  <w:lang w:eastAsia="ja-JP"/>
                </w:rPr>
                <w:t>BT.2299-2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  <w:r w:rsidRPr="009B3599">
              <w:rPr>
                <w:rFonts w:eastAsiaTheme="minorEastAsia"/>
                <w:iCs/>
                <w:lang w:eastAsia="ja-JP"/>
              </w:rPr>
              <w:t>--</w:t>
            </w:r>
            <w:r w:rsidRPr="009B3599">
              <w:rPr>
                <w:b/>
                <w:sz w:val="28"/>
                <w:lang w:eastAsia="zh-CN"/>
              </w:rPr>
              <w:t xml:space="preserve"> </w:t>
            </w:r>
            <w:r w:rsidRPr="009B3599">
              <w:rPr>
                <w:rFonts w:asciiTheme="majorBidi" w:eastAsiaTheme="minorEastAsia" w:hAnsiTheme="majorBidi" w:cstheme="majorBidi"/>
                <w:iCs/>
                <w:sz w:val="20"/>
                <w:lang w:eastAsia="ja-JP"/>
              </w:rPr>
              <w:t>Broadcasting for public warning, disaster mitigation and relief</w:t>
            </w:r>
          </w:p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Merge w:val="restart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17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59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-1</w:t>
            </w:r>
          </w:p>
        </w:tc>
        <w:tc>
          <w:tcPr>
            <w:tcW w:w="2693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WP6A</w:t>
            </w:r>
          </w:p>
        </w:tc>
        <w:tc>
          <w:tcPr>
            <w:tcW w:w="2835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</w:t>
            </w:r>
            <w:r w:rsidRPr="00344F4A">
              <w:rPr>
                <w:rFonts w:asciiTheme="majorBidi" w:eastAsiaTheme="minorEastAsia" w:hAnsiTheme="majorBidi" w:cstheme="majorBidi"/>
                <w:iCs/>
                <w:lang w:eastAsia="ja-JP"/>
              </w:rPr>
              <w:t xml:space="preserve"> developed several Recommendations and Reports relevant to </w:t>
            </w:r>
            <w:r w:rsidRPr="00344F4A">
              <w:t>terrestrial electronic news gathering systems</w:t>
            </w:r>
            <w:r w:rsidRPr="00344F4A">
              <w:rPr>
                <w:rFonts w:asciiTheme="majorBidi" w:eastAsiaTheme="minorEastAsia" w:hAnsiTheme="majorBidi" w:cstheme="majorBidi"/>
                <w:iCs/>
                <w:lang w:eastAsia="ja-JP"/>
              </w:rPr>
              <w:t xml:space="preserve"> and updated information.</w:t>
            </w:r>
          </w:p>
        </w:tc>
        <w:tc>
          <w:tcPr>
            <w:tcW w:w="5138" w:type="dxa"/>
            <w:vAlign w:val="center"/>
          </w:tcPr>
          <w:p w:rsidR="00727E74" w:rsidRPr="008352DE" w:rsidRDefault="00727E74" w:rsidP="00D86B27">
            <w:pPr>
              <w:rPr>
                <w:bCs/>
                <w:sz w:val="20"/>
              </w:rPr>
            </w:pPr>
            <w:r w:rsidRPr="008352DE">
              <w:rPr>
                <w:sz w:val="20"/>
              </w:rPr>
              <w:t xml:space="preserve">Rec. </w:t>
            </w:r>
            <w:hyperlink r:id="rId18" w:history="1">
              <w:r w:rsidRPr="008352DE">
                <w:rPr>
                  <w:rStyle w:val="Hyperlink"/>
                  <w:sz w:val="20"/>
                </w:rPr>
                <w:t xml:space="preserve">ITU-R </w:t>
              </w:r>
              <w:r w:rsidRPr="008352DE">
                <w:rPr>
                  <w:rStyle w:val="Hyperlink"/>
                  <w:rFonts w:asciiTheme="majorBidi" w:hAnsiTheme="majorBidi" w:cstheme="majorBidi"/>
                  <w:sz w:val="20"/>
                </w:rPr>
                <w:t>BT.1871-2</w:t>
              </w:r>
            </w:hyperlink>
            <w:r w:rsidRPr="008352DE">
              <w:rPr>
                <w:b/>
                <w:sz w:val="28"/>
              </w:rPr>
              <w:t xml:space="preserve"> </w:t>
            </w:r>
            <w:r w:rsidRPr="008352DE">
              <w:rPr>
                <w:bCs/>
                <w:sz w:val="20"/>
              </w:rPr>
              <w:t>User requirements for wireless microphones</w:t>
            </w:r>
          </w:p>
          <w:p w:rsidR="00727E74" w:rsidRPr="0042719B" w:rsidRDefault="00727E74" w:rsidP="00D86B27">
            <w:pPr>
              <w:rPr>
                <w:b/>
                <w:sz w:val="20"/>
              </w:rPr>
            </w:pPr>
            <w:r w:rsidRPr="0042719B">
              <w:rPr>
                <w:sz w:val="20"/>
              </w:rPr>
              <w:t xml:space="preserve">Rep. ITU-R </w:t>
            </w:r>
            <w:hyperlink r:id="rId19" w:history="1">
              <w:r w:rsidRPr="0042719B">
                <w:rPr>
                  <w:rStyle w:val="Hyperlink"/>
                  <w:rFonts w:asciiTheme="majorBidi" w:hAnsiTheme="majorBidi" w:cstheme="majorBidi"/>
                  <w:sz w:val="20"/>
                </w:rPr>
                <w:t>BT.2069-7</w:t>
              </w:r>
            </w:hyperlink>
            <w:r w:rsidRPr="0042719B">
              <w:rPr>
                <w:b/>
                <w:sz w:val="20"/>
              </w:rPr>
              <w:t xml:space="preserve"> </w:t>
            </w:r>
            <w:r w:rsidRPr="0042719B">
              <w:rPr>
                <w:bCs/>
                <w:sz w:val="20"/>
              </w:rPr>
              <w:t>Tuning ranges and operational characteri</w:t>
            </w:r>
            <w:r>
              <w:rPr>
                <w:bCs/>
                <w:sz w:val="20"/>
              </w:rPr>
              <w:t xml:space="preserve">stics of terrestrial electronic </w:t>
            </w:r>
            <w:r w:rsidRPr="0042719B">
              <w:rPr>
                <w:bCs/>
                <w:sz w:val="20"/>
              </w:rPr>
              <w:t>news gathering (ENG), television outside broadcast (TVOB)</w:t>
            </w:r>
            <w:r w:rsidRPr="0042719B">
              <w:rPr>
                <w:bCs/>
                <w:sz w:val="20"/>
              </w:rPr>
              <w:br/>
              <w:t>and electronic field production (EFP) systems</w:t>
            </w:r>
          </w:p>
          <w:p w:rsidR="00727E74" w:rsidRPr="0042719B" w:rsidRDefault="00727E74" w:rsidP="00D86B27">
            <w:pPr>
              <w:pStyle w:val="Tabletext"/>
              <w:rPr>
                <w:rStyle w:val="Hyperlink"/>
                <w:rFonts w:asciiTheme="majorBidi" w:hAnsiTheme="majorBidi" w:cstheme="majorBidi"/>
              </w:rPr>
            </w:pPr>
          </w:p>
          <w:p w:rsidR="00727E74" w:rsidRPr="0042719B" w:rsidRDefault="00727E74" w:rsidP="00D86B27">
            <w:pPr>
              <w:rPr>
                <w:bCs/>
                <w:sz w:val="20"/>
                <w:lang w:val="en-US"/>
              </w:rPr>
            </w:pPr>
            <w:r w:rsidRPr="0042719B">
              <w:rPr>
                <w:sz w:val="20"/>
              </w:rPr>
              <w:t xml:space="preserve">Rep. ITU-R </w:t>
            </w:r>
            <w:hyperlink r:id="rId20" w:history="1">
              <w:r w:rsidRPr="0042719B">
                <w:rPr>
                  <w:rStyle w:val="Hyperlink"/>
                  <w:rFonts w:asciiTheme="majorBidi" w:hAnsiTheme="majorBidi" w:cstheme="majorBidi"/>
                  <w:bCs/>
                  <w:sz w:val="20"/>
                </w:rPr>
                <w:t>BT.2344-</w:t>
              </w:r>
            </w:hyperlink>
            <w:r w:rsidRPr="0042719B">
              <w:rPr>
                <w:rStyle w:val="Hyperlink"/>
                <w:rFonts w:asciiTheme="majorBidi" w:hAnsiTheme="majorBidi" w:cstheme="majorBidi"/>
                <w:bCs/>
                <w:sz w:val="20"/>
              </w:rPr>
              <w:t xml:space="preserve">2 </w:t>
            </w:r>
            <w:r w:rsidRPr="0042719B">
              <w:rPr>
                <w:bCs/>
                <w:sz w:val="20"/>
                <w:lang w:val="en-US"/>
              </w:rPr>
              <w:t>Information on technical parameters, operational characteristics and deployment scenarios of SAB/SAP as utilized in broadcasting</w:t>
            </w:r>
          </w:p>
          <w:p w:rsidR="00727E74" w:rsidRPr="008352DE" w:rsidRDefault="00727E74" w:rsidP="00D86B27">
            <w:pPr>
              <w:pStyle w:val="Tabletext"/>
              <w:rPr>
                <w:lang w:val="en-US"/>
              </w:rPr>
            </w:pPr>
          </w:p>
        </w:tc>
      </w:tr>
      <w:tr w:rsidR="00727E74" w:rsidRPr="00344F4A" w:rsidTr="00D86B27">
        <w:trPr>
          <w:trHeight w:val="1246"/>
          <w:jc w:val="center"/>
        </w:trPr>
        <w:tc>
          <w:tcPr>
            <w:tcW w:w="1271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2693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 xml:space="preserve">W6B </w:t>
            </w:r>
          </w:p>
        </w:tc>
        <w:tc>
          <w:tcPr>
            <w:tcW w:w="2835" w:type="dxa"/>
            <w:vMerge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</w:tc>
        <w:tc>
          <w:tcPr>
            <w:tcW w:w="5138" w:type="dxa"/>
            <w:vAlign w:val="center"/>
          </w:tcPr>
          <w:p w:rsidR="00727E74" w:rsidRPr="00981035" w:rsidRDefault="00727E74" w:rsidP="00D86B27">
            <w:pPr>
              <w:rPr>
                <w:rStyle w:val="Hyperlink"/>
                <w:bCs/>
                <w:sz w:val="20"/>
                <w:lang w:val="en-US"/>
              </w:rPr>
            </w:pPr>
            <w:r w:rsidRPr="007165BC">
              <w:rPr>
                <w:sz w:val="20"/>
              </w:rPr>
              <w:t xml:space="preserve">Rec. </w:t>
            </w:r>
            <w:r w:rsidRPr="008352DE">
              <w:rPr>
                <w:sz w:val="20"/>
                <w:lang w:val="fr-CH"/>
              </w:rPr>
              <w:fldChar w:fldCharType="begin"/>
            </w:r>
            <w:r w:rsidRPr="007165BC">
              <w:rPr>
                <w:sz w:val="20"/>
              </w:rPr>
              <w:instrText xml:space="preserve"> HYPERLINK "http://www.itu.int/rec/R-REC-BT.1872/en" </w:instrText>
            </w:r>
            <w:r w:rsidRPr="008352DE">
              <w:rPr>
                <w:sz w:val="20"/>
                <w:lang w:val="fr-CH"/>
              </w:rPr>
              <w:fldChar w:fldCharType="separate"/>
            </w:r>
            <w:r w:rsidRPr="008352DE">
              <w:rPr>
                <w:rStyle w:val="Hyperlink"/>
                <w:sz w:val="20"/>
              </w:rPr>
              <w:t xml:space="preserve">ITU-R </w:t>
            </w:r>
            <w:r w:rsidRPr="008352DE">
              <w:rPr>
                <w:rStyle w:val="Hyperlink"/>
                <w:rFonts w:asciiTheme="majorBidi" w:hAnsiTheme="majorBidi" w:cstheme="majorBidi"/>
                <w:sz w:val="20"/>
              </w:rPr>
              <w:t>BT.1872-2</w:t>
            </w:r>
            <w:r w:rsidRPr="008352DE">
              <w:rPr>
                <w:b/>
                <w:sz w:val="20"/>
                <w:lang w:val="en-US"/>
              </w:rPr>
              <w:t xml:space="preserve"> </w:t>
            </w:r>
            <w:r w:rsidRPr="008352DE">
              <w:rPr>
                <w:bCs/>
                <w:sz w:val="20"/>
                <w:lang w:val="en-US"/>
              </w:rPr>
              <w:t xml:space="preserve">User requirements for broadcast auxiliary services including digital television outside broadcast, electronic/satellite news gathering </w:t>
            </w:r>
            <w:r w:rsidRPr="008352DE">
              <w:rPr>
                <w:bCs/>
                <w:sz w:val="20"/>
                <w:lang w:val="en-US"/>
              </w:rPr>
              <w:br/>
              <w:t>and electronic field production</w:t>
            </w:r>
          </w:p>
          <w:p w:rsidR="00727E74" w:rsidRPr="008352DE" w:rsidRDefault="00727E74" w:rsidP="00D86B27">
            <w:pPr>
              <w:rPr>
                <w:sz w:val="20"/>
              </w:rPr>
            </w:pPr>
            <w:r w:rsidRPr="008352DE">
              <w:rPr>
                <w:sz w:val="20"/>
                <w:lang w:val="fr-CH"/>
              </w:rPr>
              <w:fldChar w:fldCharType="end"/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21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60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-1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>Reduction of energy consumption for environmental protection and miti</w:t>
            </w:r>
            <w:r>
              <w:t xml:space="preserve">gating climate change by use of </w:t>
            </w:r>
            <w:r w:rsidRPr="00344F4A">
              <w:t>ICT/</w:t>
            </w:r>
            <w:proofErr w:type="spellStart"/>
            <w:r w:rsidRPr="00344F4A">
              <w:t>radiocommunication</w:t>
            </w:r>
            <w:proofErr w:type="spellEnd"/>
            <w:r w:rsidRPr="00344F4A">
              <w:t xml:space="preserve"> technologies and systems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6A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rFonts w:asciiTheme="majorBidi" w:eastAsiaTheme="minorEastAsia" w:hAnsiTheme="majorBidi" w:cstheme="majorBidi"/>
                <w:lang w:eastAsia="ja-JP"/>
              </w:rPr>
              <w:t>Study Group 6 and its Working Parties are working on further reduction of energy consumption in broadcasting through the “green broadcasting” and “sustainable broadcasting” initiatives.</w:t>
            </w:r>
          </w:p>
        </w:tc>
        <w:tc>
          <w:tcPr>
            <w:tcW w:w="5138" w:type="dxa"/>
            <w:vAlign w:val="center"/>
          </w:tcPr>
          <w:p w:rsidR="00727E74" w:rsidRPr="0042719B" w:rsidRDefault="00727E74" w:rsidP="00D86B27">
            <w:pPr>
              <w:rPr>
                <w:sz w:val="20"/>
                <w:lang w:val="en-US"/>
              </w:rPr>
            </w:pPr>
            <w:r w:rsidRPr="0042719B">
              <w:rPr>
                <w:sz w:val="20"/>
                <w:lang w:eastAsia="ja-JP"/>
              </w:rPr>
              <w:t>Rep.</w:t>
            </w:r>
            <w:r w:rsidRPr="0042719B">
              <w:rPr>
                <w:sz w:val="20"/>
              </w:rPr>
              <w:t xml:space="preserve"> ITU-R </w:t>
            </w:r>
            <w:hyperlink r:id="rId22" w:history="1">
              <w:r w:rsidRPr="0042719B">
                <w:rPr>
                  <w:rStyle w:val="Hyperlink"/>
                  <w:rFonts w:asciiTheme="majorBidi" w:hAnsiTheme="majorBidi" w:cstheme="majorBidi"/>
                  <w:bCs/>
                  <w:sz w:val="20"/>
                </w:rPr>
                <w:t>BT.2385-0</w:t>
              </w:r>
            </w:hyperlink>
            <w:r w:rsidRPr="0042719B">
              <w:rPr>
                <w:rStyle w:val="Hyperlink"/>
                <w:rFonts w:asciiTheme="majorBidi" w:hAnsiTheme="majorBidi" w:cstheme="majorBidi"/>
                <w:bCs/>
                <w:sz w:val="20"/>
              </w:rPr>
              <w:t xml:space="preserve"> </w:t>
            </w:r>
            <w:r w:rsidRPr="0042719B">
              <w:rPr>
                <w:sz w:val="20"/>
              </w:rPr>
              <w:t>Reducing the environmental impact of terrestrial broadcasting systems</w:t>
            </w:r>
          </w:p>
          <w:p w:rsidR="00727E74" w:rsidRPr="008352DE" w:rsidRDefault="00727E74" w:rsidP="00D86B27">
            <w:pPr>
              <w:pStyle w:val="Tabletext"/>
              <w:rPr>
                <w:lang w:val="en-US" w:eastAsia="ja-JP"/>
              </w:rPr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  <w:lang w:eastAsia="ja-JP"/>
              </w:rPr>
            </w:pPr>
            <w:hyperlink r:id="rId23" w:history="1">
              <w:r w:rsidR="00727E74" w:rsidRPr="00D452A9">
                <w:rPr>
                  <w:rStyle w:val="Hyperlink"/>
                  <w:b/>
                  <w:color w:val="0000FF"/>
                  <w:sz w:val="20"/>
                  <w:lang w:eastAsia="ja-JP"/>
                </w:rPr>
                <w:t>66</w:t>
              </w:r>
            </w:hyperlink>
            <w:r w:rsidR="00727E74">
              <w:rPr>
                <w:rStyle w:val="Hyperlink"/>
                <w:b/>
                <w:color w:val="0000FF"/>
                <w:sz w:val="20"/>
                <w:lang w:eastAsia="ja-JP"/>
              </w:rPr>
              <w:t>-1</w:t>
            </w:r>
          </w:p>
        </w:tc>
        <w:tc>
          <w:tcPr>
            <w:tcW w:w="2693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t xml:space="preserve">Studies related to wireless systems and applications for the development of the Internet of Things  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</w:p>
          <w:p w:rsidR="00727E74" w:rsidRPr="00A76738" w:rsidRDefault="00727E74" w:rsidP="00D86B27">
            <w:pPr>
              <w:pStyle w:val="Tabletext"/>
              <w:rPr>
                <w:rFonts w:asciiTheme="majorBidi" w:eastAsiaTheme="minorEastAsia" w:hAnsiTheme="majorBidi" w:cstheme="majorBidi"/>
                <w:lang w:eastAsia="ja-JP"/>
              </w:rPr>
            </w:pPr>
            <w:r>
              <w:rPr>
                <w:rFonts w:asciiTheme="majorBidi" w:eastAsiaTheme="minorEastAsia" w:hAnsiTheme="majorBidi" w:cstheme="majorBidi"/>
                <w:lang w:eastAsia="ja-JP"/>
              </w:rPr>
              <w:t>WP 6B</w:t>
            </w:r>
          </w:p>
        </w:tc>
        <w:tc>
          <w:tcPr>
            <w:tcW w:w="2835" w:type="dxa"/>
            <w:vAlign w:val="center"/>
          </w:tcPr>
          <w:p w:rsidR="00727E74" w:rsidRPr="00344F4A" w:rsidRDefault="00727E74" w:rsidP="00D86B27">
            <w:pPr>
              <w:pStyle w:val="Tabletext"/>
            </w:pPr>
            <w:r w:rsidRPr="00A76738">
              <w:rPr>
                <w:rFonts w:asciiTheme="majorBidi" w:eastAsiaTheme="minorEastAsia" w:hAnsiTheme="majorBidi" w:cstheme="majorBidi"/>
                <w:lang w:eastAsia="ja-JP"/>
              </w:rPr>
              <w:t xml:space="preserve">SG 6 developed Recommendation and Report on Integrated Broadcast Broadband (IBB) systems, which make use of </w:t>
            </w:r>
            <w:proofErr w:type="spellStart"/>
            <w:r w:rsidRPr="00A76738">
              <w:rPr>
                <w:rFonts w:asciiTheme="majorBidi" w:eastAsiaTheme="minorEastAsia" w:hAnsiTheme="majorBidi" w:cstheme="majorBidi"/>
                <w:lang w:eastAsia="ja-JP"/>
              </w:rPr>
              <w:t>IoT</w:t>
            </w:r>
            <w:proofErr w:type="spellEnd"/>
            <w:r w:rsidRPr="00A76738">
              <w:rPr>
                <w:rFonts w:asciiTheme="majorBidi" w:eastAsiaTheme="minorEastAsia" w:hAnsiTheme="majorBidi" w:cstheme="majorBidi"/>
                <w:lang w:eastAsia="ja-JP"/>
              </w:rPr>
              <w:t xml:space="preserve"> devices for their applications.</w:t>
            </w:r>
          </w:p>
        </w:tc>
        <w:tc>
          <w:tcPr>
            <w:tcW w:w="5138" w:type="dxa"/>
            <w:vAlign w:val="center"/>
          </w:tcPr>
          <w:p w:rsidR="00727E74" w:rsidRPr="008352DE" w:rsidRDefault="00727E74" w:rsidP="00D86B27">
            <w:pPr>
              <w:rPr>
                <w:bCs/>
                <w:sz w:val="20"/>
                <w:lang w:eastAsia="ja-JP"/>
              </w:rPr>
            </w:pPr>
            <w:r w:rsidRPr="008352DE">
              <w:rPr>
                <w:sz w:val="20"/>
                <w:lang w:eastAsia="ja-JP"/>
              </w:rPr>
              <w:t xml:space="preserve">Rec. ITU-R </w:t>
            </w:r>
            <w:hyperlink r:id="rId24" w:history="1">
              <w:r w:rsidRPr="008352DE">
                <w:rPr>
                  <w:rStyle w:val="Hyperlink"/>
                  <w:rFonts w:asciiTheme="majorBidi" w:hAnsiTheme="majorBidi" w:cstheme="majorBidi"/>
                  <w:bCs/>
                  <w:sz w:val="20"/>
                </w:rPr>
                <w:t>BT.2075</w:t>
              </w:r>
            </w:hyperlink>
            <w:r w:rsidRPr="008352DE">
              <w:rPr>
                <w:rStyle w:val="Hyperlink"/>
                <w:rFonts w:asciiTheme="majorBidi" w:hAnsiTheme="majorBidi" w:cstheme="majorBidi"/>
                <w:sz w:val="20"/>
              </w:rPr>
              <w:t xml:space="preserve">-2 </w:t>
            </w:r>
            <w:r w:rsidRPr="008352DE">
              <w:rPr>
                <w:bCs/>
                <w:sz w:val="20"/>
                <w:lang w:eastAsia="ja-JP"/>
              </w:rPr>
              <w:t>Integrated broadcast-broadband system</w:t>
            </w:r>
          </w:p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 w:rsidRPr="00344F4A">
              <w:rPr>
                <w:lang w:eastAsia="ja-JP"/>
              </w:rPr>
              <w:t xml:space="preserve">Rep. ITU-R </w:t>
            </w:r>
            <w:hyperlink r:id="rId25" w:history="1">
              <w:r w:rsidRPr="00344F4A">
                <w:rPr>
                  <w:rStyle w:val="Hyperlink"/>
                  <w:rFonts w:asciiTheme="majorBidi" w:hAnsiTheme="majorBidi" w:cstheme="majorBidi"/>
                </w:rPr>
                <w:t>BT.2267</w:t>
              </w:r>
            </w:hyperlink>
            <w:r w:rsidRPr="00344F4A">
              <w:rPr>
                <w:rStyle w:val="Hyperlink"/>
                <w:rFonts w:asciiTheme="majorBidi" w:hAnsiTheme="majorBidi" w:cstheme="majorBidi"/>
              </w:rPr>
              <w:t>-9</w:t>
            </w:r>
            <w:r>
              <w:rPr>
                <w:rStyle w:val="Hyperlink"/>
                <w:rFonts w:asciiTheme="majorBidi" w:hAnsiTheme="majorBidi" w:cstheme="majorBidi"/>
              </w:rPr>
              <w:t xml:space="preserve"> </w:t>
            </w:r>
            <w:r w:rsidRPr="008A2352">
              <w:rPr>
                <w:lang w:eastAsia="ja-JP"/>
              </w:rPr>
              <w:t>Integrated broadcast-broadband systems</w:t>
            </w: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Merge w:val="restart"/>
            <w:vAlign w:val="center"/>
          </w:tcPr>
          <w:p w:rsidR="00727E74" w:rsidRPr="00D452A9" w:rsidRDefault="00210BE9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hyperlink r:id="rId26" w:history="1">
              <w:r w:rsidR="00727E74" w:rsidRPr="00D452A9">
                <w:rPr>
                  <w:rFonts w:asciiTheme="majorBidi" w:hAnsiTheme="majorBidi" w:cstheme="majorBidi"/>
                  <w:b/>
                  <w:bCs/>
                  <w:color w:val="0000FF"/>
                  <w:sz w:val="20"/>
                  <w:u w:val="single"/>
                </w:rPr>
                <w:t>67</w:t>
              </w:r>
            </w:hyperlink>
            <w:r w:rsidR="00727E74"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  <w:t>-1</w:t>
            </w:r>
          </w:p>
        </w:tc>
        <w:tc>
          <w:tcPr>
            <w:tcW w:w="2693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  <w:rPr>
                <w:rFonts w:ascii="Times New Roman Bold" w:hAnsi="Times New Roman Bold"/>
                <w:b/>
                <w:sz w:val="28"/>
              </w:rPr>
            </w:pPr>
            <w:r w:rsidRPr="00344F4A">
              <w:t>Telecommunication/ICT accessibility for persons with disabilities and persons with specific needs</w:t>
            </w: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WP 6B </w:t>
            </w:r>
          </w:p>
        </w:tc>
        <w:tc>
          <w:tcPr>
            <w:tcW w:w="2835" w:type="dxa"/>
            <w:vMerge w:val="restart"/>
            <w:vAlign w:val="center"/>
          </w:tcPr>
          <w:p w:rsidR="00727E74" w:rsidRPr="00344F4A" w:rsidRDefault="00727E74" w:rsidP="00D86B27">
            <w:pPr>
              <w:pStyle w:val="Tabletext"/>
            </w:pPr>
            <w:r w:rsidRPr="00344F4A">
              <w:rPr>
                <w:lang w:eastAsia="ja-JP"/>
              </w:rPr>
              <w:t xml:space="preserve">SG 6 developed ITU-R Reports and a new Question. </w:t>
            </w:r>
            <w:proofErr w:type="spellStart"/>
            <w:r w:rsidRPr="00344F4A">
              <w:rPr>
                <w:lang w:eastAsia="ja-JP"/>
              </w:rPr>
              <w:t>Intersector</w:t>
            </w:r>
            <w:proofErr w:type="spellEnd"/>
            <w:r w:rsidRPr="00344F4A">
              <w:rPr>
                <w:lang w:eastAsia="ja-JP"/>
              </w:rPr>
              <w:t xml:space="preserve"> Joint Rapporteur Group IRG-AVA has been working.</w:t>
            </w:r>
          </w:p>
        </w:tc>
        <w:tc>
          <w:tcPr>
            <w:tcW w:w="5138" w:type="dxa"/>
            <w:vAlign w:val="center"/>
          </w:tcPr>
          <w:p w:rsidR="00727E74" w:rsidRDefault="00727E74" w:rsidP="00D86B27">
            <w:pPr>
              <w:rPr>
                <w:bCs/>
                <w:sz w:val="20"/>
              </w:rPr>
            </w:pPr>
            <w:r w:rsidRPr="0042719B">
              <w:rPr>
                <w:sz w:val="20"/>
                <w:lang w:eastAsia="ja-JP"/>
              </w:rPr>
              <w:t>Rep.</w:t>
            </w:r>
            <w:r w:rsidRPr="0042719B">
              <w:rPr>
                <w:sz w:val="20"/>
              </w:rPr>
              <w:t xml:space="preserve"> ITU-R </w:t>
            </w:r>
            <w:hyperlink r:id="rId27" w:history="1">
              <w:r w:rsidRPr="0042719B">
                <w:rPr>
                  <w:rStyle w:val="Hyperlink"/>
                  <w:sz w:val="20"/>
                </w:rPr>
                <w:t>BT.2448-0</w:t>
              </w:r>
            </w:hyperlink>
            <w:r w:rsidRPr="0042719B">
              <w:rPr>
                <w:rStyle w:val="Hyperlink"/>
                <w:sz w:val="20"/>
              </w:rPr>
              <w:t xml:space="preserve"> </w:t>
            </w:r>
            <w:r w:rsidRPr="0042719B">
              <w:rPr>
                <w:bCs/>
                <w:sz w:val="20"/>
              </w:rPr>
              <w:t>Technical realisation of signing in digital television</w:t>
            </w:r>
          </w:p>
          <w:p w:rsidR="00727E74" w:rsidRPr="00344F4A" w:rsidRDefault="00727E74" w:rsidP="00D86B27">
            <w:pPr>
              <w:pStyle w:val="Tabletext"/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Merge/>
            <w:vAlign w:val="center"/>
          </w:tcPr>
          <w:p w:rsidR="00727E74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</w:p>
        </w:tc>
        <w:tc>
          <w:tcPr>
            <w:tcW w:w="2693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WP 6C </w:t>
            </w:r>
          </w:p>
        </w:tc>
        <w:tc>
          <w:tcPr>
            <w:tcW w:w="2835" w:type="dxa"/>
            <w:vMerge/>
            <w:vAlign w:val="center"/>
          </w:tcPr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</w:p>
        </w:tc>
        <w:tc>
          <w:tcPr>
            <w:tcW w:w="5138" w:type="dxa"/>
            <w:vAlign w:val="center"/>
          </w:tcPr>
          <w:p w:rsidR="00727E74" w:rsidRPr="008352DE" w:rsidRDefault="00727E74" w:rsidP="00D86B27">
            <w:pPr>
              <w:rPr>
                <w:bCs/>
                <w:sz w:val="20"/>
                <w:lang w:eastAsia="ja-JP"/>
              </w:rPr>
            </w:pPr>
            <w:r w:rsidRPr="008352DE">
              <w:rPr>
                <w:sz w:val="20"/>
                <w:lang w:eastAsia="ja-JP"/>
              </w:rPr>
              <w:t>Rep.</w:t>
            </w:r>
            <w:r w:rsidRPr="008352DE">
              <w:rPr>
                <w:sz w:val="20"/>
              </w:rPr>
              <w:t xml:space="preserve"> ITU-R </w:t>
            </w:r>
            <w:hyperlink r:id="rId28" w:history="1">
              <w:r w:rsidRPr="008352DE">
                <w:rPr>
                  <w:rStyle w:val="Hyperlink"/>
                  <w:rFonts w:asciiTheme="majorBidi" w:hAnsiTheme="majorBidi" w:cstheme="majorBidi"/>
                  <w:sz w:val="20"/>
                </w:rPr>
                <w:t>BT.2207</w:t>
              </w:r>
            </w:hyperlink>
            <w:r w:rsidRPr="008352DE">
              <w:rPr>
                <w:rStyle w:val="Hyperlink"/>
                <w:rFonts w:asciiTheme="majorBidi" w:hAnsiTheme="majorBidi" w:cstheme="majorBidi"/>
                <w:sz w:val="20"/>
              </w:rPr>
              <w:t xml:space="preserve">-4 </w:t>
            </w:r>
            <w:r w:rsidRPr="008352DE">
              <w:rPr>
                <w:bCs/>
                <w:sz w:val="20"/>
                <w:lang w:eastAsia="ja-JP"/>
              </w:rPr>
              <w:t>Accessibility to broadcasting services for persons with disabilities</w:t>
            </w:r>
          </w:p>
          <w:p w:rsidR="00727E74" w:rsidRPr="008352DE" w:rsidRDefault="00727E74" w:rsidP="00D86B27">
            <w:pPr>
              <w:rPr>
                <w:sz w:val="20"/>
                <w:lang w:eastAsia="ja-JP"/>
              </w:rPr>
            </w:pPr>
          </w:p>
        </w:tc>
      </w:tr>
      <w:tr w:rsidR="00727E74" w:rsidRPr="00344F4A" w:rsidTr="00D86B27">
        <w:trPr>
          <w:jc w:val="center"/>
        </w:trPr>
        <w:tc>
          <w:tcPr>
            <w:tcW w:w="1271" w:type="dxa"/>
            <w:vMerge/>
            <w:vAlign w:val="center"/>
          </w:tcPr>
          <w:p w:rsidR="00727E74" w:rsidRDefault="00727E74" w:rsidP="00D86B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</w:p>
        </w:tc>
        <w:tc>
          <w:tcPr>
            <w:tcW w:w="2693" w:type="dxa"/>
            <w:vMerge/>
            <w:vAlign w:val="center"/>
          </w:tcPr>
          <w:p w:rsidR="00727E74" w:rsidRPr="00344F4A" w:rsidRDefault="00727E74" w:rsidP="00D86B27">
            <w:pPr>
              <w:pStyle w:val="Tabletext"/>
            </w:pPr>
          </w:p>
        </w:tc>
        <w:tc>
          <w:tcPr>
            <w:tcW w:w="1134" w:type="dxa"/>
          </w:tcPr>
          <w:p w:rsidR="00727E74" w:rsidRDefault="00727E74" w:rsidP="00D86B27">
            <w:pPr>
              <w:pStyle w:val="Tabletext"/>
              <w:rPr>
                <w:lang w:eastAsia="ja-JP"/>
              </w:rPr>
            </w:pPr>
          </w:p>
          <w:p w:rsidR="00727E74" w:rsidRDefault="00727E74" w:rsidP="00D86B27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WP 6B and 6C</w:t>
            </w:r>
          </w:p>
        </w:tc>
        <w:tc>
          <w:tcPr>
            <w:tcW w:w="2835" w:type="dxa"/>
            <w:vMerge/>
            <w:vAlign w:val="center"/>
          </w:tcPr>
          <w:p w:rsidR="00727E74" w:rsidRPr="00344F4A" w:rsidRDefault="00727E74" w:rsidP="00D86B27">
            <w:pPr>
              <w:pStyle w:val="Tabletext"/>
              <w:rPr>
                <w:lang w:eastAsia="ja-JP"/>
              </w:rPr>
            </w:pPr>
          </w:p>
        </w:tc>
        <w:tc>
          <w:tcPr>
            <w:tcW w:w="5138" w:type="dxa"/>
            <w:vAlign w:val="center"/>
          </w:tcPr>
          <w:p w:rsidR="00727E74" w:rsidRPr="0042719B" w:rsidRDefault="00727E74" w:rsidP="00D86B27">
            <w:pPr>
              <w:rPr>
                <w:sz w:val="20"/>
              </w:rPr>
            </w:pPr>
            <w:r w:rsidRPr="0042719B">
              <w:rPr>
                <w:sz w:val="20"/>
              </w:rPr>
              <w:t>Question ITU-R</w:t>
            </w:r>
            <w:r w:rsidRPr="0042719B">
              <w:rPr>
                <w:b/>
                <w:bCs/>
                <w:sz w:val="20"/>
              </w:rPr>
              <w:t xml:space="preserve"> </w:t>
            </w:r>
            <w:hyperlink r:id="rId29" w:history="1">
              <w:r w:rsidRPr="0042719B">
                <w:rPr>
                  <w:rStyle w:val="Hyperlink"/>
                  <w:b/>
                  <w:bCs/>
                  <w:sz w:val="20"/>
                  <w:lang w:eastAsia="ja-JP"/>
                </w:rPr>
                <w:t>145</w:t>
              </w:r>
              <w:r w:rsidRPr="0042719B">
                <w:rPr>
                  <w:rStyle w:val="Hyperlink"/>
                  <w:b/>
                  <w:bCs/>
                  <w:sz w:val="20"/>
                </w:rPr>
                <w:t>/6</w:t>
              </w:r>
            </w:hyperlink>
            <w:r w:rsidRPr="0042719B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 </w:t>
            </w:r>
            <w:r w:rsidRPr="0042719B">
              <w:rPr>
                <w:rFonts w:asciiTheme="majorBidi" w:hAnsiTheme="majorBidi" w:cstheme="majorBidi"/>
                <w:sz w:val="20"/>
                <w:lang w:eastAsia="zh-CN"/>
              </w:rPr>
              <w:t>Systems for enabling access to broadcast and cooperative media</w:t>
            </w:r>
            <w:r w:rsidRPr="0042719B">
              <w:rPr>
                <w:rFonts w:asciiTheme="majorBidi" w:hAnsiTheme="majorBidi" w:cstheme="majorBidi"/>
                <w:sz w:val="20"/>
                <w:lang w:eastAsia="zh-CN"/>
              </w:rPr>
              <w:br/>
            </w:r>
            <w:r w:rsidRPr="0042719B">
              <w:rPr>
                <w:rFonts w:asciiTheme="majorBidi" w:hAnsiTheme="majorBidi" w:cstheme="majorBidi"/>
                <w:sz w:val="20"/>
              </w:rPr>
              <w:t>for</w:t>
            </w:r>
            <w:r w:rsidRPr="0042719B">
              <w:rPr>
                <w:rFonts w:asciiTheme="majorBidi" w:hAnsiTheme="majorBidi" w:cstheme="majorBidi"/>
                <w:sz w:val="20"/>
                <w:lang w:eastAsia="zh-CN"/>
              </w:rPr>
              <w:t xml:space="preserve"> persons with disabilities</w:t>
            </w:r>
          </w:p>
          <w:p w:rsidR="00727E74" w:rsidRPr="008352DE" w:rsidRDefault="00727E74" w:rsidP="00D86B27">
            <w:pPr>
              <w:rPr>
                <w:sz w:val="20"/>
                <w:lang w:eastAsia="ja-JP"/>
              </w:rPr>
            </w:pPr>
          </w:p>
        </w:tc>
      </w:tr>
    </w:tbl>
    <w:p w:rsidR="00A80982" w:rsidRPr="002A7CB9" w:rsidRDefault="00A80982" w:rsidP="00DD4BED">
      <w:pPr>
        <w:rPr>
          <w:lang w:eastAsia="zh-CN"/>
        </w:rPr>
      </w:pPr>
    </w:p>
    <w:p w:rsidR="00A80982" w:rsidRDefault="00A80982" w:rsidP="00DD4BED">
      <w:pPr>
        <w:rPr>
          <w:lang w:eastAsia="zh-CN"/>
        </w:rPr>
      </w:pPr>
    </w:p>
    <w:p w:rsidR="001173A3" w:rsidRDefault="001173A3" w:rsidP="00DD4BED">
      <w:pPr>
        <w:rPr>
          <w:lang w:eastAsia="zh-CN"/>
        </w:rPr>
      </w:pPr>
    </w:p>
    <w:p w:rsidR="006035DA" w:rsidRPr="002A7CB9" w:rsidRDefault="006035DA" w:rsidP="006035DA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6035DA" w:rsidRPr="002A7CB9" w:rsidSect="00BB5C23">
      <w:headerReference w:type="default" r:id="rId30"/>
      <w:footerReference w:type="default" r:id="rId31"/>
      <w:footerReference w:type="first" r:id="rId32"/>
      <w:pgSz w:w="16834" w:h="11907" w:orient="landscape" w:code="9"/>
      <w:pgMar w:top="1134" w:right="1418" w:bottom="964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23" w:rsidRDefault="00BB5C23">
      <w:r>
        <w:separator/>
      </w:r>
    </w:p>
  </w:endnote>
  <w:endnote w:type="continuationSeparator" w:id="0">
    <w:p w:rsidR="00BB5C23" w:rsidRDefault="00BB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BE9" w:rsidRDefault="00210BE9" w:rsidP="00210BE9">
    <w:pPr>
      <w:pStyle w:val="Footer"/>
      <w:jc w:val="right"/>
    </w:pPr>
    <w:r>
      <w:rPr>
        <w:lang w:val="fr-FR"/>
      </w:rPr>
      <w:t>28.08.19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BE9" w:rsidRDefault="00210BE9" w:rsidP="00210BE9">
    <w:pPr>
      <w:pStyle w:val="Footer"/>
      <w:jc w:val="right"/>
    </w:pPr>
    <w:r>
      <w:rPr>
        <w:lang w:val="fr-FR"/>
      </w:rPr>
      <w:t>28.08.19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23" w:rsidRDefault="00BB5C23">
      <w:r>
        <w:t>____________________</w:t>
      </w:r>
    </w:p>
  </w:footnote>
  <w:footnote w:type="continuationSeparator" w:id="0">
    <w:p w:rsidR="00BB5C23" w:rsidRDefault="00BB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23" w:rsidRDefault="00BB5C2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B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9"/>
    <w:rsid w:val="000069D4"/>
    <w:rsid w:val="000174AD"/>
    <w:rsid w:val="00047A1D"/>
    <w:rsid w:val="000604B9"/>
    <w:rsid w:val="000A7D55"/>
    <w:rsid w:val="000B1B1F"/>
    <w:rsid w:val="000C12C8"/>
    <w:rsid w:val="000C2E8E"/>
    <w:rsid w:val="000E0E7C"/>
    <w:rsid w:val="000F1B4B"/>
    <w:rsid w:val="001173A3"/>
    <w:rsid w:val="0012744F"/>
    <w:rsid w:val="00131178"/>
    <w:rsid w:val="00142CD9"/>
    <w:rsid w:val="00147EEF"/>
    <w:rsid w:val="00156F66"/>
    <w:rsid w:val="00163271"/>
    <w:rsid w:val="001717D2"/>
    <w:rsid w:val="00182528"/>
    <w:rsid w:val="0018500B"/>
    <w:rsid w:val="00196A19"/>
    <w:rsid w:val="00202DC1"/>
    <w:rsid w:val="00210BE9"/>
    <w:rsid w:val="002116EE"/>
    <w:rsid w:val="0021529F"/>
    <w:rsid w:val="002309D8"/>
    <w:rsid w:val="00282311"/>
    <w:rsid w:val="002A7CB9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0981"/>
    <w:rsid w:val="00501DCA"/>
    <w:rsid w:val="00513A47"/>
    <w:rsid w:val="005408DF"/>
    <w:rsid w:val="00573344"/>
    <w:rsid w:val="00583F9B"/>
    <w:rsid w:val="005B0D29"/>
    <w:rsid w:val="005E5C10"/>
    <w:rsid w:val="005F2C78"/>
    <w:rsid w:val="006035DA"/>
    <w:rsid w:val="006144E4"/>
    <w:rsid w:val="0062390D"/>
    <w:rsid w:val="00650299"/>
    <w:rsid w:val="00655FC5"/>
    <w:rsid w:val="00687D7F"/>
    <w:rsid w:val="006E1C4B"/>
    <w:rsid w:val="00727E74"/>
    <w:rsid w:val="00753A1A"/>
    <w:rsid w:val="007E3505"/>
    <w:rsid w:val="007E7A20"/>
    <w:rsid w:val="00806229"/>
    <w:rsid w:val="00814E0A"/>
    <w:rsid w:val="0082134D"/>
    <w:rsid w:val="00822581"/>
    <w:rsid w:val="008309DD"/>
    <w:rsid w:val="0083227A"/>
    <w:rsid w:val="008416EF"/>
    <w:rsid w:val="00866900"/>
    <w:rsid w:val="00876A8A"/>
    <w:rsid w:val="00881BA1"/>
    <w:rsid w:val="008C2302"/>
    <w:rsid w:val="008C26B8"/>
    <w:rsid w:val="008F208F"/>
    <w:rsid w:val="00952ED9"/>
    <w:rsid w:val="00982084"/>
    <w:rsid w:val="0098568D"/>
    <w:rsid w:val="00995963"/>
    <w:rsid w:val="009B61EB"/>
    <w:rsid w:val="009C2064"/>
    <w:rsid w:val="009D1697"/>
    <w:rsid w:val="009F3A46"/>
    <w:rsid w:val="009F6520"/>
    <w:rsid w:val="00A014F8"/>
    <w:rsid w:val="00A07107"/>
    <w:rsid w:val="00A46815"/>
    <w:rsid w:val="00A5173C"/>
    <w:rsid w:val="00A57761"/>
    <w:rsid w:val="00A61AEF"/>
    <w:rsid w:val="00A80982"/>
    <w:rsid w:val="00AC2572"/>
    <w:rsid w:val="00AD2345"/>
    <w:rsid w:val="00AF173A"/>
    <w:rsid w:val="00B066A4"/>
    <w:rsid w:val="00B07A13"/>
    <w:rsid w:val="00B4279B"/>
    <w:rsid w:val="00B45FC9"/>
    <w:rsid w:val="00B65EA1"/>
    <w:rsid w:val="00B76F35"/>
    <w:rsid w:val="00B81138"/>
    <w:rsid w:val="00BB5C23"/>
    <w:rsid w:val="00BC7CCF"/>
    <w:rsid w:val="00BE470B"/>
    <w:rsid w:val="00BF4DBB"/>
    <w:rsid w:val="00C57A91"/>
    <w:rsid w:val="00CC01C2"/>
    <w:rsid w:val="00CF21F2"/>
    <w:rsid w:val="00CF3C27"/>
    <w:rsid w:val="00D02712"/>
    <w:rsid w:val="00D046A7"/>
    <w:rsid w:val="00D214D0"/>
    <w:rsid w:val="00D6546B"/>
    <w:rsid w:val="00D86B27"/>
    <w:rsid w:val="00DB178B"/>
    <w:rsid w:val="00DC17D3"/>
    <w:rsid w:val="00DC5370"/>
    <w:rsid w:val="00DD4BED"/>
    <w:rsid w:val="00DE39F0"/>
    <w:rsid w:val="00DF0AF3"/>
    <w:rsid w:val="00DF7E9F"/>
    <w:rsid w:val="00E27D7E"/>
    <w:rsid w:val="00E42E13"/>
    <w:rsid w:val="00E431CF"/>
    <w:rsid w:val="00E56D5C"/>
    <w:rsid w:val="00E6257C"/>
    <w:rsid w:val="00E63C59"/>
    <w:rsid w:val="00F1013C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E6DDF54-981D-4F5B-A4DA-B1B5C446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23"/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spacing w:before="240"/>
      <w:jc w:val="center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spacing w:before="0"/>
    </w:pPr>
  </w:style>
  <w:style w:type="table" w:styleId="TableGrid">
    <w:name w:val="Table Grid"/>
    <w:basedOn w:val="TableNormal"/>
    <w:uiPriority w:val="99"/>
    <w:rsid w:val="00142CD9"/>
    <w:rPr>
      <w:rFonts w:ascii="Calibri" w:eastAsia="SimSun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nhideWhenUsed/>
    <w:rsid w:val="00DC5370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727E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36" TargetMode="External"/><Relationship Id="rId18" Type="http://schemas.openxmlformats.org/officeDocument/2006/relationships/hyperlink" Target="http://www.itu.int/rec/R-REC-BT.1871/en" TargetMode="External"/><Relationship Id="rId26" Type="http://schemas.openxmlformats.org/officeDocument/2006/relationships/hyperlink" Target="https://www.itu.int/pub/R-RES-R.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RES-R.6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pub/R-RES-R.6" TargetMode="External"/><Relationship Id="rId12" Type="http://schemas.openxmlformats.org/officeDocument/2006/relationships/hyperlink" Target="https://www.itu.int/pub/R-RES-R.35" TargetMode="External"/><Relationship Id="rId17" Type="http://schemas.openxmlformats.org/officeDocument/2006/relationships/hyperlink" Target="http://www.itu.int/pub/R-RES-R.59" TargetMode="External"/><Relationship Id="rId25" Type="http://schemas.openxmlformats.org/officeDocument/2006/relationships/hyperlink" Target="http://www.itu.int/pub/R-REP-BT.226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pub/R-REP-BT.2299-2-2017" TargetMode="External"/><Relationship Id="rId20" Type="http://schemas.openxmlformats.org/officeDocument/2006/relationships/hyperlink" Target="http://www.itu.int/pub/R-REP-BT.2344" TargetMode="External"/><Relationship Id="rId29" Type="http://schemas.openxmlformats.org/officeDocument/2006/relationships/hyperlink" Target="https://www.itu.int/pub/R-QUE-SG06.1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RES-R.34-4-2015" TargetMode="External"/><Relationship Id="rId24" Type="http://schemas.openxmlformats.org/officeDocument/2006/relationships/hyperlink" Target="http://www.itu.int/rec/R-REC-BT.2075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BS.2107-0-201706-I/en" TargetMode="External"/><Relationship Id="rId23" Type="http://schemas.openxmlformats.org/officeDocument/2006/relationships/hyperlink" Target="https://www.itu.int/pub/R-RES-R.66" TargetMode="External"/><Relationship Id="rId28" Type="http://schemas.openxmlformats.org/officeDocument/2006/relationships/hyperlink" Target="http://www.itu.int/pub/R-REP-BT.2207" TargetMode="External"/><Relationship Id="rId10" Type="http://schemas.openxmlformats.org/officeDocument/2006/relationships/hyperlink" Target="https://www.itu.int/pub/R-RES-R.12" TargetMode="External"/><Relationship Id="rId19" Type="http://schemas.openxmlformats.org/officeDocument/2006/relationships/hyperlink" Target="http://www.itu.int/pub/R-REP-BT.2069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RES-R.9" TargetMode="External"/><Relationship Id="rId14" Type="http://schemas.openxmlformats.org/officeDocument/2006/relationships/hyperlink" Target="http://www.itu.int/pub/R-RES-R.55" TargetMode="External"/><Relationship Id="rId22" Type="http://schemas.openxmlformats.org/officeDocument/2006/relationships/hyperlink" Target="http://www.itu.int/pub/R-REP-BT.2385" TargetMode="External"/><Relationship Id="rId27" Type="http://schemas.openxmlformats.org/officeDocument/2006/relationships/hyperlink" Target="https://www.itu.int/pub/R-REP-BT.2448-2019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pub/R-RES-R.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3</Pages>
  <Words>666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Huguet, Fabienne</cp:lastModifiedBy>
  <cp:revision>4</cp:revision>
  <cp:lastPrinted>2008-02-21T14:04:00Z</cp:lastPrinted>
  <dcterms:created xsi:type="dcterms:W3CDTF">2019-08-28T13:38:00Z</dcterms:created>
  <dcterms:modified xsi:type="dcterms:W3CDTF">2019-08-28T13:45:00Z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