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6B3318" w:rsidTr="00A524D9">
        <w:trPr>
          <w:cantSplit/>
        </w:trPr>
        <w:tc>
          <w:tcPr>
            <w:tcW w:w="6487" w:type="dxa"/>
            <w:vAlign w:val="center"/>
          </w:tcPr>
          <w:p w:rsidR="006B3318" w:rsidRPr="00D8032B" w:rsidRDefault="006B3318" w:rsidP="00A524D9">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6B3318" w:rsidRDefault="006B3318" w:rsidP="00A524D9">
            <w:pPr>
              <w:shd w:val="solid" w:color="FFFFFF" w:fill="FFFFFF"/>
              <w:spacing w:before="0" w:line="240" w:lineRule="atLeast"/>
            </w:pPr>
            <w:bookmarkStart w:id="0" w:name="ditulogo"/>
            <w:bookmarkEnd w:id="0"/>
            <w:r w:rsidRPr="00E8501D">
              <w:rPr>
                <w:b/>
                <w:bCs/>
                <w:noProof/>
                <w:sz w:val="20"/>
                <w:lang w:val="fr-FR" w:eastAsia="zh-CN"/>
              </w:rPr>
              <w:drawing>
                <wp:inline distT="0" distB="0" distL="0" distR="0" wp14:anchorId="359A72B7" wp14:editId="012FA263">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6B3318" w:rsidRPr="0051782D" w:rsidTr="00A524D9">
        <w:trPr>
          <w:cantSplit/>
        </w:trPr>
        <w:tc>
          <w:tcPr>
            <w:tcW w:w="6487" w:type="dxa"/>
            <w:tcBorders>
              <w:bottom w:val="single" w:sz="12" w:space="0" w:color="auto"/>
            </w:tcBorders>
          </w:tcPr>
          <w:p w:rsidR="006B3318" w:rsidRPr="00163271" w:rsidRDefault="006B3318" w:rsidP="00A524D9">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6B3318" w:rsidRPr="0051782D" w:rsidRDefault="006B3318" w:rsidP="00A524D9">
            <w:pPr>
              <w:shd w:val="solid" w:color="FFFFFF" w:fill="FFFFFF"/>
              <w:spacing w:before="0" w:after="48" w:line="240" w:lineRule="atLeast"/>
              <w:rPr>
                <w:sz w:val="22"/>
                <w:szCs w:val="22"/>
                <w:lang w:val="en-US"/>
              </w:rPr>
            </w:pPr>
          </w:p>
        </w:tc>
      </w:tr>
      <w:tr w:rsidR="006B3318" w:rsidTr="00A524D9">
        <w:trPr>
          <w:cantSplit/>
        </w:trPr>
        <w:tc>
          <w:tcPr>
            <w:tcW w:w="6487" w:type="dxa"/>
            <w:tcBorders>
              <w:top w:val="single" w:sz="12" w:space="0" w:color="auto"/>
            </w:tcBorders>
          </w:tcPr>
          <w:p w:rsidR="006B3318" w:rsidRPr="0051782D" w:rsidRDefault="006B3318" w:rsidP="00A524D9">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6B3318" w:rsidRDefault="006B3318" w:rsidP="00A524D9">
            <w:pPr>
              <w:shd w:val="solid" w:color="FFFFFF" w:fill="FFFFFF"/>
              <w:spacing w:before="0" w:after="48" w:line="240" w:lineRule="atLeast"/>
              <w:rPr>
                <w:lang w:val="en-US"/>
              </w:rPr>
            </w:pPr>
          </w:p>
          <w:p w:rsidR="00C95206" w:rsidRPr="00710D66" w:rsidRDefault="00C95206" w:rsidP="00A524D9">
            <w:pPr>
              <w:shd w:val="solid" w:color="FFFFFF" w:fill="FFFFFF"/>
              <w:spacing w:before="0" w:after="48" w:line="240" w:lineRule="atLeast"/>
              <w:rPr>
                <w:lang w:val="en-US"/>
              </w:rPr>
            </w:pPr>
            <w:r>
              <w:rPr>
                <w:lang w:val="en-US"/>
              </w:rPr>
              <w:t>25 April 2017</w:t>
            </w:r>
          </w:p>
        </w:tc>
      </w:tr>
      <w:tr w:rsidR="006B3318" w:rsidTr="00A524D9">
        <w:trPr>
          <w:cantSplit/>
        </w:trPr>
        <w:tc>
          <w:tcPr>
            <w:tcW w:w="6487" w:type="dxa"/>
            <w:vMerge w:val="restart"/>
          </w:tcPr>
          <w:p w:rsidR="006B3318" w:rsidRPr="00982084" w:rsidRDefault="006B3318" w:rsidP="00A524D9">
            <w:pPr>
              <w:shd w:val="solid" w:color="FFFFFF" w:fill="FFFFFF"/>
              <w:spacing w:before="0" w:after="240"/>
              <w:ind w:left="1134" w:hanging="1134"/>
              <w:rPr>
                <w:rFonts w:ascii="Verdana" w:hAnsi="Verdana"/>
                <w:sz w:val="20"/>
              </w:rPr>
            </w:pPr>
            <w:bookmarkStart w:id="1" w:name="recibido"/>
            <w:bookmarkStart w:id="2" w:name="dnum" w:colFirst="1" w:colLast="1"/>
            <w:bookmarkEnd w:id="1"/>
          </w:p>
        </w:tc>
        <w:tc>
          <w:tcPr>
            <w:tcW w:w="3402" w:type="dxa"/>
          </w:tcPr>
          <w:p w:rsidR="006B3318" w:rsidRPr="00690D5B" w:rsidRDefault="006B3318" w:rsidP="00A524D9">
            <w:pPr>
              <w:shd w:val="solid" w:color="FFFFFF" w:fill="FFFFFF"/>
              <w:spacing w:before="0" w:line="240" w:lineRule="atLeast"/>
              <w:rPr>
                <w:rFonts w:ascii="Verdana" w:hAnsi="Verdana"/>
                <w:sz w:val="20"/>
                <w:lang w:eastAsia="zh-CN"/>
              </w:rPr>
            </w:pPr>
          </w:p>
        </w:tc>
      </w:tr>
      <w:tr w:rsidR="006B3318" w:rsidTr="00A524D9">
        <w:trPr>
          <w:cantSplit/>
        </w:trPr>
        <w:tc>
          <w:tcPr>
            <w:tcW w:w="6487" w:type="dxa"/>
            <w:vMerge/>
          </w:tcPr>
          <w:p w:rsidR="006B3318" w:rsidRDefault="006B3318" w:rsidP="00A524D9">
            <w:pPr>
              <w:spacing w:before="60"/>
              <w:jc w:val="center"/>
              <w:rPr>
                <w:b/>
                <w:smallCaps/>
                <w:sz w:val="32"/>
                <w:lang w:eastAsia="zh-CN"/>
              </w:rPr>
            </w:pPr>
            <w:bookmarkStart w:id="3" w:name="ddate" w:colFirst="1" w:colLast="1"/>
            <w:bookmarkEnd w:id="2"/>
          </w:p>
        </w:tc>
        <w:tc>
          <w:tcPr>
            <w:tcW w:w="3402" w:type="dxa"/>
          </w:tcPr>
          <w:p w:rsidR="006B3318" w:rsidRPr="00690D5B" w:rsidRDefault="006B3318" w:rsidP="00A524D9">
            <w:pPr>
              <w:shd w:val="solid" w:color="FFFFFF" w:fill="FFFFFF"/>
              <w:spacing w:before="0" w:line="240" w:lineRule="atLeast"/>
              <w:rPr>
                <w:rFonts w:ascii="Verdana" w:hAnsi="Verdana"/>
                <w:sz w:val="20"/>
                <w:lang w:eastAsia="zh-CN"/>
              </w:rPr>
            </w:pPr>
          </w:p>
        </w:tc>
      </w:tr>
      <w:tr w:rsidR="006B3318" w:rsidTr="00A524D9">
        <w:trPr>
          <w:cantSplit/>
        </w:trPr>
        <w:tc>
          <w:tcPr>
            <w:tcW w:w="6487" w:type="dxa"/>
            <w:vMerge/>
          </w:tcPr>
          <w:p w:rsidR="006B3318" w:rsidRDefault="006B3318" w:rsidP="00A524D9">
            <w:pPr>
              <w:spacing w:before="60"/>
              <w:jc w:val="center"/>
              <w:rPr>
                <w:b/>
                <w:smallCaps/>
                <w:sz w:val="32"/>
                <w:lang w:eastAsia="zh-CN"/>
              </w:rPr>
            </w:pPr>
            <w:bookmarkStart w:id="4" w:name="dorlang" w:colFirst="1" w:colLast="1"/>
            <w:bookmarkEnd w:id="3"/>
          </w:p>
        </w:tc>
        <w:tc>
          <w:tcPr>
            <w:tcW w:w="3402" w:type="dxa"/>
          </w:tcPr>
          <w:p w:rsidR="006B3318" w:rsidRPr="00690D5B" w:rsidRDefault="006B3318" w:rsidP="00A524D9">
            <w:pPr>
              <w:shd w:val="solid" w:color="FFFFFF" w:fill="FFFFFF"/>
              <w:spacing w:before="0" w:line="240" w:lineRule="atLeast"/>
              <w:rPr>
                <w:rFonts w:ascii="Verdana" w:eastAsia="SimSun" w:hAnsi="Verdana"/>
                <w:sz w:val="20"/>
                <w:lang w:eastAsia="zh-CN"/>
              </w:rPr>
            </w:pPr>
          </w:p>
        </w:tc>
      </w:tr>
      <w:tr w:rsidR="006B3318" w:rsidTr="00A524D9">
        <w:trPr>
          <w:cantSplit/>
        </w:trPr>
        <w:tc>
          <w:tcPr>
            <w:tcW w:w="9889" w:type="dxa"/>
            <w:gridSpan w:val="2"/>
          </w:tcPr>
          <w:p w:rsidR="006B3318" w:rsidRDefault="006B3318" w:rsidP="00A524D9">
            <w:pPr>
              <w:pStyle w:val="Source"/>
              <w:spacing w:before="240"/>
              <w:rPr>
                <w:lang w:eastAsia="zh-CN"/>
              </w:rPr>
            </w:pPr>
            <w:bookmarkStart w:id="5" w:name="dsource" w:colFirst="0" w:colLast="0"/>
            <w:bookmarkEnd w:id="4"/>
            <w:r>
              <w:rPr>
                <w:lang w:eastAsia="zh-CN"/>
              </w:rPr>
              <w:t>Chairman of Study Group 6</w:t>
            </w:r>
          </w:p>
        </w:tc>
      </w:tr>
      <w:tr w:rsidR="006B3318" w:rsidTr="00A524D9">
        <w:trPr>
          <w:cantSplit/>
        </w:trPr>
        <w:tc>
          <w:tcPr>
            <w:tcW w:w="9889" w:type="dxa"/>
            <w:gridSpan w:val="2"/>
          </w:tcPr>
          <w:p w:rsidR="006B3318" w:rsidRDefault="006B3318" w:rsidP="00A524D9">
            <w:pPr>
              <w:pStyle w:val="Title1"/>
              <w:rPr>
                <w:lang w:eastAsia="zh-CN"/>
              </w:rPr>
            </w:pPr>
            <w:bookmarkStart w:id="6" w:name="drec" w:colFirst="0" w:colLast="0"/>
            <w:bookmarkEnd w:id="5"/>
            <w:r>
              <w:rPr>
                <w:lang w:eastAsia="ja-JP"/>
              </w:rPr>
              <w:t>report</w:t>
            </w:r>
            <w:r>
              <w:rPr>
                <w:lang w:eastAsia="zh-CN"/>
              </w:rPr>
              <w:t xml:space="preserve"> o</w:t>
            </w:r>
            <w:r>
              <w:rPr>
                <w:rFonts w:hint="eastAsia"/>
                <w:lang w:eastAsia="ja-JP"/>
              </w:rPr>
              <w:t>F</w:t>
            </w:r>
            <w:r>
              <w:rPr>
                <w:lang w:eastAsia="zh-CN"/>
              </w:rPr>
              <w:t xml:space="preserve"> p</w:t>
            </w:r>
            <w:r>
              <w:rPr>
                <w:rFonts w:hint="eastAsia"/>
                <w:lang w:eastAsia="ja-JP"/>
              </w:rPr>
              <w:t xml:space="preserve">rogress </w:t>
            </w:r>
            <w:r>
              <w:rPr>
                <w:lang w:eastAsia="ja-JP"/>
              </w:rPr>
              <w:t>in</w:t>
            </w:r>
            <w:r>
              <w:rPr>
                <w:rFonts w:hint="eastAsia"/>
                <w:lang w:eastAsia="ja-JP"/>
              </w:rPr>
              <w:t xml:space="preserve"> the Studies requested</w:t>
            </w:r>
            <w:r>
              <w:rPr>
                <w:lang w:eastAsia="ja-JP"/>
              </w:rPr>
              <w:br/>
            </w:r>
            <w:r>
              <w:rPr>
                <w:rFonts w:hint="eastAsia"/>
                <w:lang w:eastAsia="ja-JP"/>
              </w:rPr>
              <w:t>iN the ITU-R Resolutions</w:t>
            </w:r>
          </w:p>
        </w:tc>
      </w:tr>
      <w:tr w:rsidR="006B3318" w:rsidTr="00A524D9">
        <w:trPr>
          <w:cantSplit/>
        </w:trPr>
        <w:tc>
          <w:tcPr>
            <w:tcW w:w="9889" w:type="dxa"/>
            <w:gridSpan w:val="2"/>
          </w:tcPr>
          <w:p w:rsidR="006B3318" w:rsidRDefault="00DB4AB4" w:rsidP="006B3318">
            <w:pPr>
              <w:pStyle w:val="Title3"/>
              <w:rPr>
                <w:lang w:eastAsia="zh-CN"/>
              </w:rPr>
            </w:pPr>
            <w:bookmarkStart w:id="7" w:name="dtitle1" w:colFirst="0" w:colLast="0"/>
            <w:bookmarkEnd w:id="6"/>
            <w:r>
              <w:rPr>
                <w:lang w:eastAsia="zh-CN"/>
              </w:rPr>
              <w:t>(FOR INFORMATION)</w:t>
            </w:r>
          </w:p>
        </w:tc>
      </w:tr>
      <w:bookmarkEnd w:id="7"/>
    </w:tbl>
    <w:p w:rsidR="008B1096" w:rsidRDefault="008B1096" w:rsidP="004C0D10">
      <w:pPr>
        <w:pStyle w:val="Normalaftertitle"/>
        <w:rPr>
          <w:lang w:eastAsia="ja-JP"/>
        </w:rPr>
      </w:pPr>
    </w:p>
    <w:p w:rsidR="00283CAD" w:rsidRDefault="00283CAD" w:rsidP="004C0D10">
      <w:pPr>
        <w:pStyle w:val="Normalaftertitle"/>
        <w:rPr>
          <w:lang w:eastAsia="ja-JP"/>
        </w:rPr>
      </w:pPr>
      <w:r>
        <w:rPr>
          <w:lang w:eastAsia="ja-JP"/>
        </w:rPr>
        <w:t>T</w:t>
      </w:r>
      <w:r>
        <w:rPr>
          <w:rFonts w:hint="eastAsia"/>
          <w:lang w:eastAsia="ja-JP"/>
        </w:rPr>
        <w:t xml:space="preserve">his document provides </w:t>
      </w:r>
      <w:r>
        <w:rPr>
          <w:lang w:eastAsia="ja-JP"/>
        </w:rPr>
        <w:t xml:space="preserve">a brief report on the progress </w:t>
      </w:r>
      <w:r>
        <w:rPr>
          <w:rFonts w:hint="eastAsia"/>
          <w:lang w:eastAsia="ja-JP"/>
        </w:rPr>
        <w:t xml:space="preserve">of </w:t>
      </w:r>
      <w:r>
        <w:rPr>
          <w:lang w:eastAsia="ja-JP"/>
        </w:rPr>
        <w:t xml:space="preserve">studies related to </w:t>
      </w:r>
      <w:r w:rsidRPr="005A2125">
        <w:rPr>
          <w:rFonts w:asciiTheme="majorBidi" w:hAnsiTheme="majorBidi" w:cstheme="majorBidi"/>
          <w:szCs w:val="24"/>
        </w:rPr>
        <w:t>the implementation of</w:t>
      </w:r>
      <w:r>
        <w:rPr>
          <w:rFonts w:hint="eastAsia"/>
          <w:lang w:eastAsia="ja-JP"/>
        </w:rPr>
        <w:t xml:space="preserve"> </w:t>
      </w:r>
      <w:r>
        <w:rPr>
          <w:lang w:eastAsia="ja-JP"/>
        </w:rPr>
        <w:t>relevant</w:t>
      </w:r>
      <w:r>
        <w:rPr>
          <w:rFonts w:hint="eastAsia"/>
          <w:lang w:eastAsia="ja-JP"/>
        </w:rPr>
        <w:t xml:space="preserve"> ITU-R Resolutions.</w:t>
      </w:r>
      <w:r>
        <w:rPr>
          <w:lang w:eastAsia="ja-JP"/>
        </w:rPr>
        <w:t xml:space="preserve"> It also provides the results of studies carried out, which were published as ITU-R Recommendations and/or Reports.</w:t>
      </w:r>
    </w:p>
    <w:p w:rsidR="00283CAD" w:rsidRDefault="00283CAD" w:rsidP="00283CAD">
      <w:pPr>
        <w:rPr>
          <w:lang w:eastAsia="ja-JP"/>
        </w:rPr>
      </w:pPr>
      <w:r>
        <w:rPr>
          <w:rFonts w:hint="eastAsia"/>
          <w:lang w:eastAsia="ja-JP"/>
        </w:rPr>
        <w:t>Attachment 1 summarizes the status of the studies, provisional outputs and foreseen dates and deliverables</w:t>
      </w:r>
      <w:r w:rsidRPr="005F65CC">
        <w:rPr>
          <w:rFonts w:asciiTheme="majorBidi" w:hAnsiTheme="majorBidi" w:cstheme="majorBidi"/>
          <w:szCs w:val="24"/>
        </w:rPr>
        <w:t xml:space="preserve"> in response to the </w:t>
      </w:r>
      <w:r>
        <w:rPr>
          <w:rFonts w:asciiTheme="majorBidi" w:hAnsiTheme="majorBidi" w:cstheme="majorBidi" w:hint="eastAsia"/>
          <w:szCs w:val="24"/>
          <w:lang w:eastAsia="ja-JP"/>
        </w:rPr>
        <w:t xml:space="preserve">ITU-R </w:t>
      </w:r>
      <w:r w:rsidRPr="005F65CC">
        <w:rPr>
          <w:rFonts w:asciiTheme="majorBidi" w:hAnsiTheme="majorBidi" w:cstheme="majorBidi"/>
          <w:szCs w:val="24"/>
        </w:rPr>
        <w:t>Resolutions</w:t>
      </w:r>
      <w:r w:rsidRPr="005F65CC">
        <w:rPr>
          <w:rFonts w:hint="eastAsia"/>
          <w:lang w:eastAsia="ja-JP"/>
        </w:rPr>
        <w:t xml:space="preserve"> </w:t>
      </w:r>
      <w:r>
        <w:rPr>
          <w:rFonts w:hint="eastAsia"/>
          <w:lang w:eastAsia="ja-JP"/>
        </w:rPr>
        <w:t xml:space="preserve">relevant to Study Group </w:t>
      </w:r>
      <w:r>
        <w:rPr>
          <w:lang w:eastAsia="ja-JP"/>
        </w:rPr>
        <w:t>6</w:t>
      </w:r>
      <w:r>
        <w:rPr>
          <w:rFonts w:hint="eastAsia"/>
          <w:lang w:eastAsia="ja-JP"/>
        </w:rPr>
        <w:t>.</w:t>
      </w:r>
      <w:r w:rsidRPr="005C7471">
        <w:rPr>
          <w:lang w:eastAsia="ja-JP"/>
        </w:rPr>
        <w:t xml:space="preserve"> </w:t>
      </w:r>
      <w:r>
        <w:rPr>
          <w:lang w:eastAsia="ja-JP"/>
        </w:rPr>
        <w:t>It also provides the results of studies carried out, which were published as ITU-R Recommendations and/or Reports.</w:t>
      </w:r>
    </w:p>
    <w:p w:rsidR="00283CAD" w:rsidRPr="005F65CC" w:rsidRDefault="00283CAD" w:rsidP="00283CAD">
      <w:pPr>
        <w:rPr>
          <w:bCs/>
          <w:lang w:eastAsia="ja-JP"/>
        </w:rPr>
      </w:pPr>
      <w:r w:rsidRPr="005F65CC">
        <w:rPr>
          <w:rFonts w:hint="eastAsia"/>
          <w:bCs/>
          <w:lang w:eastAsia="ja-JP"/>
        </w:rPr>
        <w:t xml:space="preserve">Also, </w:t>
      </w:r>
      <w:r>
        <w:rPr>
          <w:rFonts w:hint="eastAsia"/>
          <w:bCs/>
          <w:lang w:eastAsia="ja-JP"/>
        </w:rPr>
        <w:t xml:space="preserve">Attachment 2 provides general activity in relation to the ITU-R Resolutions other than those specifically assigned to Study Group </w:t>
      </w:r>
      <w:r>
        <w:rPr>
          <w:bCs/>
          <w:lang w:eastAsia="ja-JP"/>
        </w:rPr>
        <w:t>6</w:t>
      </w:r>
      <w:r>
        <w:rPr>
          <w:rFonts w:hint="eastAsia"/>
          <w:bCs/>
          <w:lang w:eastAsia="ja-JP"/>
        </w:rPr>
        <w:t>.</w:t>
      </w:r>
    </w:p>
    <w:p w:rsidR="00283CAD" w:rsidRPr="003C4080" w:rsidRDefault="00283CAD" w:rsidP="00283CAD">
      <w:pPr>
        <w:rPr>
          <w:bCs/>
          <w:lang w:eastAsia="ja-JP"/>
        </w:rPr>
      </w:pPr>
    </w:p>
    <w:p w:rsidR="00125B7F" w:rsidRDefault="00125B7F" w:rsidP="00001E6A">
      <w:pPr>
        <w:pStyle w:val="Normalaftertitle"/>
      </w:pPr>
      <w:bookmarkStart w:id="8" w:name="_GoBack"/>
      <w:bookmarkEnd w:id="8"/>
    </w:p>
    <w:p w:rsidR="00283CAD" w:rsidRDefault="00283CAD" w:rsidP="00283CAD"/>
    <w:p w:rsidR="00283CAD" w:rsidRPr="003C4080" w:rsidRDefault="00283CAD" w:rsidP="00283CAD">
      <w:pPr>
        <w:rPr>
          <w:bCs/>
          <w:lang w:eastAsia="ja-JP"/>
        </w:rPr>
      </w:pPr>
    </w:p>
    <w:p w:rsidR="00283CAD" w:rsidRDefault="00283CAD" w:rsidP="00283CAD">
      <w:pPr>
        <w:rPr>
          <w:rFonts w:asciiTheme="majorBidi" w:hAnsiTheme="majorBidi" w:cstheme="majorBidi"/>
          <w:sz w:val="22"/>
          <w:szCs w:val="22"/>
          <w:lang w:eastAsia="ja-JP"/>
        </w:rPr>
      </w:pPr>
    </w:p>
    <w:p w:rsidR="00283CAD" w:rsidRDefault="00283CAD" w:rsidP="00283CAD">
      <w:pPr>
        <w:rPr>
          <w:rFonts w:asciiTheme="majorBidi" w:hAnsiTheme="majorBidi" w:cstheme="majorBidi"/>
          <w:sz w:val="22"/>
          <w:szCs w:val="22"/>
          <w:lang w:eastAsia="ja-JP"/>
        </w:rPr>
      </w:pPr>
    </w:p>
    <w:p w:rsidR="00283CAD" w:rsidRDefault="00283CAD" w:rsidP="00283CAD">
      <w:pPr>
        <w:rPr>
          <w:rFonts w:asciiTheme="majorBidi" w:hAnsiTheme="majorBidi" w:cstheme="majorBidi"/>
          <w:sz w:val="22"/>
          <w:szCs w:val="22"/>
          <w:lang w:eastAsia="ja-JP"/>
        </w:rPr>
      </w:pPr>
    </w:p>
    <w:p w:rsidR="00283CAD" w:rsidRDefault="00283CAD" w:rsidP="00283CAD">
      <w:pPr>
        <w:rPr>
          <w:rFonts w:asciiTheme="majorBidi" w:hAnsiTheme="majorBidi" w:cstheme="majorBidi"/>
          <w:sz w:val="22"/>
          <w:szCs w:val="22"/>
          <w:lang w:eastAsia="ja-JP"/>
        </w:rPr>
      </w:pPr>
      <w:r>
        <w:rPr>
          <w:b/>
          <w:bCs/>
          <w:lang w:eastAsia="ja-JP"/>
        </w:rPr>
        <w:t>Attachment</w:t>
      </w:r>
      <w:r>
        <w:rPr>
          <w:rFonts w:hint="eastAsia"/>
          <w:b/>
          <w:bCs/>
          <w:lang w:eastAsia="ja-JP"/>
        </w:rPr>
        <w:t>s</w:t>
      </w:r>
      <w:r>
        <w:rPr>
          <w:b/>
          <w:bCs/>
          <w:lang w:eastAsia="ja-JP"/>
        </w:rPr>
        <w:t>:</w:t>
      </w:r>
      <w:r>
        <w:rPr>
          <w:lang w:eastAsia="ja-JP"/>
        </w:rPr>
        <w:t xml:space="preserve"> </w:t>
      </w:r>
      <w:r>
        <w:rPr>
          <w:rFonts w:hint="eastAsia"/>
          <w:lang w:eastAsia="ja-JP"/>
        </w:rPr>
        <w:t>2</w:t>
      </w:r>
    </w:p>
    <w:p w:rsidR="00283CAD" w:rsidRDefault="00283CAD" w:rsidP="00283CAD">
      <w:pPr>
        <w:sectPr w:rsidR="00283CAD" w:rsidSect="00F749FF">
          <w:headerReference w:type="default" r:id="rId8"/>
          <w:footerReference w:type="default" r:id="rId9"/>
          <w:footerReference w:type="first" r:id="rId10"/>
          <w:pgSz w:w="11907" w:h="16834"/>
          <w:pgMar w:top="1418" w:right="1134" w:bottom="1418" w:left="1134" w:header="720" w:footer="720" w:gutter="0"/>
          <w:paperSrc w:first="15" w:other="15"/>
          <w:cols w:space="720"/>
          <w:titlePg/>
        </w:sectPr>
      </w:pPr>
    </w:p>
    <w:p w:rsidR="00283CAD" w:rsidRPr="00806F95" w:rsidRDefault="00283CAD" w:rsidP="00283CAD">
      <w:pPr>
        <w:pStyle w:val="AppendixNo"/>
        <w:spacing w:before="120"/>
        <w:rPr>
          <w:lang w:eastAsia="ja-JP"/>
        </w:rPr>
      </w:pPr>
      <w:r w:rsidRPr="00806F95">
        <w:rPr>
          <w:rFonts w:hint="eastAsia"/>
          <w:lang w:eastAsia="ja-JP"/>
        </w:rPr>
        <w:lastRenderedPageBreak/>
        <w:t>Attachment 1</w:t>
      </w:r>
    </w:p>
    <w:p w:rsidR="00283CAD" w:rsidRDefault="00283CAD" w:rsidP="00283CAD">
      <w:pPr>
        <w:pStyle w:val="Appendixtitle"/>
        <w:rPr>
          <w:lang w:eastAsia="ja-JP"/>
        </w:rPr>
      </w:pPr>
      <w:r>
        <w:rPr>
          <w:lang w:eastAsia="ja-JP"/>
        </w:rPr>
        <w:t xml:space="preserve">Summary </w:t>
      </w:r>
      <w:r w:rsidRPr="0053054D">
        <w:rPr>
          <w:rFonts w:hint="eastAsia"/>
          <w:lang w:eastAsia="ja-JP"/>
        </w:rPr>
        <w:t>of</w:t>
      </w:r>
      <w:r w:rsidRPr="0053054D">
        <w:rPr>
          <w:lang w:eastAsia="zh-CN"/>
        </w:rPr>
        <w:t xml:space="preserve"> the </w:t>
      </w:r>
      <w:r w:rsidRPr="0053054D">
        <w:rPr>
          <w:rFonts w:hint="eastAsia"/>
          <w:lang w:eastAsia="ja-JP"/>
        </w:rPr>
        <w:t>progress of the studies requested in the</w:t>
      </w:r>
      <w:r w:rsidRPr="0053054D">
        <w:t xml:space="preserve"> ITU-R Resolutions </w:t>
      </w:r>
      <w:r w:rsidRPr="0053054D">
        <w:rPr>
          <w:rFonts w:hint="eastAsia"/>
          <w:lang w:eastAsia="ja-JP"/>
        </w:rPr>
        <w:t>relevant to</w:t>
      </w:r>
      <w:r w:rsidRPr="0053054D">
        <w:t xml:space="preserve"> Study</w:t>
      </w:r>
      <w:r w:rsidRPr="0053054D">
        <w:rPr>
          <w:rFonts w:hint="eastAsia"/>
          <w:lang w:eastAsia="ja-JP"/>
        </w:rPr>
        <w:t xml:space="preserve"> Group </w:t>
      </w:r>
      <w:r>
        <w:rPr>
          <w:lang w:eastAsia="ja-JP"/>
        </w:rPr>
        <w:t>6</w:t>
      </w:r>
    </w:p>
    <w:tbl>
      <w:tblPr>
        <w:tblStyle w:val="TableGrid"/>
        <w:tblW w:w="14596" w:type="dxa"/>
        <w:tblLayout w:type="fixed"/>
        <w:tblLook w:val="04A0" w:firstRow="1" w:lastRow="0" w:firstColumn="1" w:lastColumn="0" w:noHBand="0" w:noVBand="1"/>
      </w:tblPr>
      <w:tblGrid>
        <w:gridCol w:w="1701"/>
        <w:gridCol w:w="5240"/>
        <w:gridCol w:w="709"/>
        <w:gridCol w:w="4252"/>
        <w:gridCol w:w="2694"/>
      </w:tblGrid>
      <w:tr w:rsidR="000308C6" w:rsidTr="007D4B1F">
        <w:trPr>
          <w:cantSplit/>
          <w:tblHeader/>
        </w:trPr>
        <w:tc>
          <w:tcPr>
            <w:tcW w:w="1701" w:type="dxa"/>
            <w:shd w:val="clear" w:color="auto" w:fill="D9D9D9" w:themeFill="background1" w:themeFillShade="D9"/>
            <w:vAlign w:val="center"/>
          </w:tcPr>
          <w:p w:rsidR="000308C6" w:rsidRPr="0053054D" w:rsidRDefault="000308C6" w:rsidP="00A524D9">
            <w:pPr>
              <w:pStyle w:val="Tablehead"/>
              <w:rPr>
                <w:lang w:eastAsia="ja-JP"/>
              </w:rPr>
            </w:pPr>
            <w:r w:rsidRPr="0053054D">
              <w:rPr>
                <w:rFonts w:hint="eastAsia"/>
                <w:lang w:eastAsia="ja-JP"/>
              </w:rPr>
              <w:t>Resolution</w:t>
            </w:r>
          </w:p>
        </w:tc>
        <w:tc>
          <w:tcPr>
            <w:tcW w:w="5240" w:type="dxa"/>
            <w:shd w:val="clear" w:color="auto" w:fill="D9D9D9" w:themeFill="background1" w:themeFillShade="D9"/>
            <w:vAlign w:val="center"/>
          </w:tcPr>
          <w:p w:rsidR="000308C6" w:rsidRPr="0053054D" w:rsidRDefault="00A524D9" w:rsidP="00A524D9">
            <w:pPr>
              <w:pStyle w:val="Tablehead"/>
            </w:pPr>
            <w:r>
              <w:t xml:space="preserve">Requested </w:t>
            </w:r>
            <w:r w:rsidR="007D4B1F">
              <w:t>Studies</w:t>
            </w:r>
          </w:p>
        </w:tc>
        <w:tc>
          <w:tcPr>
            <w:tcW w:w="709" w:type="dxa"/>
            <w:shd w:val="clear" w:color="auto" w:fill="D9D9D9" w:themeFill="background1" w:themeFillShade="D9"/>
            <w:vAlign w:val="center"/>
          </w:tcPr>
          <w:p w:rsidR="000308C6" w:rsidRPr="0053054D" w:rsidRDefault="000308C6" w:rsidP="000308C6">
            <w:pPr>
              <w:pStyle w:val="Tablehead"/>
              <w:rPr>
                <w:lang w:eastAsia="ja-JP"/>
              </w:rPr>
            </w:pPr>
            <w:r w:rsidRPr="0053054D">
              <w:rPr>
                <w:rFonts w:hint="eastAsia"/>
                <w:lang w:eastAsia="ja-JP"/>
              </w:rPr>
              <w:t>WP</w:t>
            </w:r>
          </w:p>
        </w:tc>
        <w:tc>
          <w:tcPr>
            <w:tcW w:w="4252" w:type="dxa"/>
            <w:shd w:val="clear" w:color="auto" w:fill="D9D9D9" w:themeFill="background1" w:themeFillShade="D9"/>
            <w:vAlign w:val="center"/>
          </w:tcPr>
          <w:p w:rsidR="000308C6" w:rsidRPr="0053054D" w:rsidRDefault="007D4B1F" w:rsidP="000308C6">
            <w:pPr>
              <w:pStyle w:val="Tablehead"/>
            </w:pPr>
            <w:r>
              <w:t>Status and Provisional outputs</w:t>
            </w:r>
          </w:p>
        </w:tc>
        <w:tc>
          <w:tcPr>
            <w:tcW w:w="2694" w:type="dxa"/>
            <w:shd w:val="clear" w:color="auto" w:fill="D9D9D9" w:themeFill="background1" w:themeFillShade="D9"/>
            <w:vAlign w:val="center"/>
          </w:tcPr>
          <w:p w:rsidR="000308C6" w:rsidRPr="0053054D" w:rsidRDefault="007D4B1F" w:rsidP="00970893">
            <w:pPr>
              <w:pStyle w:val="Tablehead"/>
              <w:rPr>
                <w:lang w:eastAsia="ja-JP"/>
              </w:rPr>
            </w:pPr>
            <w:r>
              <w:rPr>
                <w:rFonts w:asciiTheme="majorBidi" w:hAnsiTheme="majorBidi" w:cstheme="majorBidi"/>
                <w:szCs w:val="24"/>
                <w:lang w:eastAsia="ja-JP"/>
              </w:rPr>
              <w:t>E</w:t>
            </w:r>
            <w:r w:rsidR="00E410C1">
              <w:rPr>
                <w:lang w:eastAsia="ja-JP"/>
              </w:rPr>
              <w:t>xpected outputs including completion date</w:t>
            </w:r>
          </w:p>
        </w:tc>
      </w:tr>
      <w:tr w:rsidR="000308C6" w:rsidTr="007D4B1F">
        <w:trPr>
          <w:cantSplit/>
        </w:trPr>
        <w:tc>
          <w:tcPr>
            <w:tcW w:w="1701" w:type="dxa"/>
          </w:tcPr>
          <w:p w:rsidR="000308C6" w:rsidRDefault="000308C6">
            <w:pPr>
              <w:pStyle w:val="Tabletext"/>
            </w:pPr>
            <w:r w:rsidRPr="009951D3">
              <w:t>Resolution</w:t>
            </w:r>
            <w:r w:rsidRPr="009951D3">
              <w:rPr>
                <w:rFonts w:hint="eastAsia"/>
                <w:lang w:eastAsia="ja-JP"/>
              </w:rPr>
              <w:t xml:space="preserve"> </w:t>
            </w:r>
            <w:r w:rsidRPr="009951D3">
              <w:t>55</w:t>
            </w:r>
            <w:r>
              <w:noBreakHyphen/>
              <w:t>2</w:t>
            </w:r>
            <w:r w:rsidRPr="009951D3">
              <w:t xml:space="preserve"> </w:t>
            </w:r>
          </w:p>
          <w:p w:rsidR="000308C6" w:rsidRPr="009951D3" w:rsidDel="00BB22C0" w:rsidRDefault="000308C6">
            <w:pPr>
              <w:pStyle w:val="Tabletext"/>
            </w:pPr>
            <w:r w:rsidRPr="009951D3">
              <w:t>ITU studies of disaster prediction, detection, mitigation and relief</w:t>
            </w:r>
          </w:p>
        </w:tc>
        <w:tc>
          <w:tcPr>
            <w:tcW w:w="5240" w:type="dxa"/>
          </w:tcPr>
          <w:p w:rsidR="000308C6" w:rsidRDefault="000308C6" w:rsidP="00BF3C27">
            <w:pPr>
              <w:pStyle w:val="Tabletext"/>
            </w:pPr>
            <w:r>
              <w:t>– the concerned ITU-R Study Groups undertake studies and develop guidelines related to the management of radiocommunications in disaster prediction, detection, mitigation and relief collaboratively and cooperatively within ITU and with organizations external to the Union;</w:t>
            </w:r>
          </w:p>
          <w:p w:rsidR="000308C6" w:rsidRPr="009951D3" w:rsidRDefault="000308C6" w:rsidP="00BF3C27">
            <w:pPr>
              <w:pStyle w:val="Tabletext"/>
              <w:tabs>
                <w:tab w:val="clear" w:pos="284"/>
                <w:tab w:val="clear" w:pos="567"/>
              </w:tabs>
            </w:pPr>
            <w:r>
              <w:t>– the relevant ITU-R Study Groups continue studies on new emerging technologies which could support disaster prediction, detection, mitigation and relief,</w:t>
            </w:r>
          </w:p>
        </w:tc>
        <w:tc>
          <w:tcPr>
            <w:tcW w:w="709" w:type="dxa"/>
          </w:tcPr>
          <w:p w:rsidR="000308C6" w:rsidRPr="009951D3" w:rsidRDefault="000308C6" w:rsidP="000308C6">
            <w:pPr>
              <w:pStyle w:val="Tabletext"/>
              <w:jc w:val="center"/>
              <w:rPr>
                <w:lang w:eastAsia="ja-JP"/>
              </w:rPr>
            </w:pPr>
            <w:r w:rsidRPr="009951D3">
              <w:rPr>
                <w:lang w:eastAsia="ja-JP"/>
              </w:rPr>
              <w:t>6</w:t>
            </w:r>
            <w:r>
              <w:rPr>
                <w:lang w:eastAsia="ja-JP"/>
              </w:rPr>
              <w:t>A</w:t>
            </w:r>
          </w:p>
        </w:tc>
        <w:tc>
          <w:tcPr>
            <w:tcW w:w="4252" w:type="dxa"/>
          </w:tcPr>
          <w:p w:rsidR="007D4B1F" w:rsidRDefault="007D4B1F" w:rsidP="007D4B1F">
            <w:pPr>
              <w:pStyle w:val="Tabletext"/>
              <w:rPr>
                <w:lang w:eastAsia="ja-JP"/>
              </w:rPr>
            </w:pPr>
            <w:r>
              <w:rPr>
                <w:lang w:eastAsia="ja-JP"/>
              </w:rPr>
              <w:t>Since several years, SG6 and its Working Parties 6A and 6B have pursued the issue of how broadcasting can help in case of disaster.</w:t>
            </w:r>
          </w:p>
          <w:p w:rsidR="007D4B1F" w:rsidRDefault="007D4B1F" w:rsidP="007D4B1F">
            <w:pPr>
              <w:pStyle w:val="Tabletext"/>
              <w:rPr>
                <w:lang w:eastAsia="ja-JP"/>
              </w:rPr>
            </w:pPr>
            <w:r>
              <w:rPr>
                <w:lang w:eastAsia="ja-JP"/>
              </w:rPr>
              <w:t xml:space="preserve">Broadcasting is a prime means of communication in case of disaster. Report BT. 2299 provides describes a comprehensive description of technical solutions and best operational practices. The report is continuously updated, last in March 2017 (ref. Doc. 6/123). Emergency broadcast transmitters can be implemented swiftly for information of and assistance to the concerned people (independent of their numbers). Several techniques exist to inform the population with audio-visual messages (e.g. rescue maps and behavior information). </w:t>
            </w:r>
          </w:p>
          <w:p w:rsidR="000308C6" w:rsidRPr="003B2EFA" w:rsidRDefault="007D4B1F" w:rsidP="007D4B1F">
            <w:pPr>
              <w:pStyle w:val="Tabletext"/>
              <w:rPr>
                <w:lang w:eastAsia="ja-JP"/>
              </w:rPr>
            </w:pPr>
            <w:r>
              <w:rPr>
                <w:lang w:eastAsia="ja-JP"/>
              </w:rPr>
              <w:t xml:space="preserve">In this context, the new Opinion of SG 6 on the activation of sound broadcast reception in smart phones becomes an important issue (ref. Doc. 6/105).  </w:t>
            </w:r>
          </w:p>
        </w:tc>
        <w:tc>
          <w:tcPr>
            <w:tcW w:w="2694" w:type="dxa"/>
          </w:tcPr>
          <w:p w:rsidR="000308C6" w:rsidRDefault="009B6C32" w:rsidP="009B6C32">
            <w:pPr>
              <w:pStyle w:val="Tabletext"/>
              <w:rPr>
                <w:lang w:eastAsia="ja-JP"/>
              </w:rPr>
            </w:pPr>
            <w:r>
              <w:rPr>
                <w:lang w:eastAsia="ja-JP"/>
              </w:rPr>
              <w:t>Doc. 6/123 - Approved R</w:t>
            </w:r>
            <w:r w:rsidRPr="009B6C32">
              <w:rPr>
                <w:lang w:eastAsia="ja-JP"/>
              </w:rPr>
              <w:t>evision of Report ITU-R BT.2299 - Broadcasting for public warning, disaster mitigation and relief</w:t>
            </w:r>
            <w:r>
              <w:rPr>
                <w:lang w:eastAsia="ja-JP"/>
              </w:rPr>
              <w:t xml:space="preserve"> (Mar 2017)</w:t>
            </w:r>
          </w:p>
          <w:p w:rsidR="009B6C32" w:rsidRDefault="009B6C32" w:rsidP="009B6C32">
            <w:pPr>
              <w:pStyle w:val="Tabletext"/>
              <w:rPr>
                <w:lang w:eastAsia="ja-JP"/>
              </w:rPr>
            </w:pPr>
            <w:r>
              <w:rPr>
                <w:lang w:eastAsia="ja-JP"/>
              </w:rPr>
              <w:t xml:space="preserve">Doc. 6/104 - </w:t>
            </w:r>
            <w:r w:rsidRPr="009B6C32">
              <w:rPr>
                <w:lang w:eastAsia="ja-JP"/>
              </w:rPr>
              <w:t xml:space="preserve">Draft </w:t>
            </w:r>
            <w:r>
              <w:rPr>
                <w:lang w:eastAsia="ja-JP"/>
              </w:rPr>
              <w:t>N</w:t>
            </w:r>
            <w:r w:rsidRPr="009B6C32">
              <w:rPr>
                <w:lang w:eastAsia="ja-JP"/>
              </w:rPr>
              <w:t>ew Recommendation - Use of International Radio for Disaster Relief (IRDR) frequencies for emergency broadcasts in the short wave bands</w:t>
            </w:r>
            <w:r>
              <w:rPr>
                <w:lang w:eastAsia="ja-JP"/>
              </w:rPr>
              <w:t xml:space="preserve"> (PSAA, Jun 2017)</w:t>
            </w:r>
            <w:r w:rsidR="0005262B">
              <w:rPr>
                <w:lang w:eastAsia="ja-JP"/>
              </w:rPr>
              <w:t>.</w:t>
            </w:r>
          </w:p>
          <w:p w:rsidR="0005262B" w:rsidRPr="009951D3" w:rsidRDefault="0005262B" w:rsidP="0005262B">
            <w:pPr>
              <w:pStyle w:val="Tabletext"/>
              <w:rPr>
                <w:iCs/>
                <w:lang w:eastAsia="ja-JP"/>
              </w:rPr>
            </w:pPr>
            <w:r>
              <w:rPr>
                <w:lang w:eastAsia="ja-JP"/>
              </w:rPr>
              <w:t>Doc. 6/105 – Approved N</w:t>
            </w:r>
            <w:r w:rsidRPr="0005262B">
              <w:rPr>
                <w:lang w:eastAsia="ja-JP"/>
              </w:rPr>
              <w:t>ew Opinion of Study Group 6 - The activation of radio receivers in smart</w:t>
            </w:r>
            <w:r>
              <w:rPr>
                <w:lang w:eastAsia="ja-JP"/>
              </w:rPr>
              <w:t>/mobile telephones and tablets (Mar 2017)</w:t>
            </w:r>
            <w:r w:rsidRPr="0005262B">
              <w:rPr>
                <w:lang w:eastAsia="ja-JP"/>
              </w:rPr>
              <w:t xml:space="preserve">  </w:t>
            </w:r>
          </w:p>
        </w:tc>
      </w:tr>
      <w:tr w:rsidR="000308C6" w:rsidTr="007D4B1F">
        <w:trPr>
          <w:cantSplit/>
        </w:trPr>
        <w:tc>
          <w:tcPr>
            <w:tcW w:w="1701" w:type="dxa"/>
          </w:tcPr>
          <w:p w:rsidR="000308C6" w:rsidRDefault="000308C6" w:rsidP="00A524D9">
            <w:pPr>
              <w:pStyle w:val="Tabletext"/>
              <w:rPr>
                <w:lang w:eastAsia="ja-JP"/>
              </w:rPr>
            </w:pPr>
            <w:r w:rsidRPr="009951D3">
              <w:t>Resolution</w:t>
            </w:r>
            <w:r w:rsidRPr="009951D3">
              <w:rPr>
                <w:rFonts w:hint="eastAsia"/>
                <w:lang w:eastAsia="ja-JP"/>
              </w:rPr>
              <w:t xml:space="preserve"> </w:t>
            </w:r>
            <w:r w:rsidRPr="009951D3">
              <w:t>5</w:t>
            </w:r>
            <w:r w:rsidRPr="009951D3">
              <w:rPr>
                <w:lang w:eastAsia="ja-JP"/>
              </w:rPr>
              <w:t>8</w:t>
            </w:r>
            <w:r>
              <w:rPr>
                <w:lang w:eastAsia="ja-JP"/>
              </w:rPr>
              <w:t xml:space="preserve">-1 </w:t>
            </w:r>
          </w:p>
          <w:p w:rsidR="000308C6" w:rsidRPr="009951D3" w:rsidRDefault="000308C6" w:rsidP="00A524D9">
            <w:pPr>
              <w:pStyle w:val="Tabletext"/>
            </w:pPr>
            <w:r w:rsidRPr="009951D3">
              <w:lastRenderedPageBreak/>
              <w:t>Studies on the implementation and use of cognitive radio systems</w:t>
            </w:r>
          </w:p>
        </w:tc>
        <w:tc>
          <w:tcPr>
            <w:tcW w:w="5240" w:type="dxa"/>
          </w:tcPr>
          <w:p w:rsidR="000308C6" w:rsidRDefault="000308C6" w:rsidP="00DF768F">
            <w:pPr>
              <w:pStyle w:val="Tabletext"/>
            </w:pPr>
            <w:r>
              <w:lastRenderedPageBreak/>
              <w:t>1</w:t>
            </w:r>
            <w:r>
              <w:tab/>
              <w:t>to continue studies for the implementation and use of CRS in radiocommunication services;</w:t>
            </w:r>
          </w:p>
          <w:p w:rsidR="000308C6" w:rsidRDefault="000308C6" w:rsidP="00DF768F">
            <w:pPr>
              <w:pStyle w:val="Tabletext"/>
            </w:pPr>
            <w:r>
              <w:lastRenderedPageBreak/>
              <w:t>2</w:t>
            </w:r>
            <w:r>
              <w:tab/>
              <w:t>to study operational and technical requirements, characteristics, performance and possible benefits associated with the implementation and use of CRS in relevant radiocommunication services and related frequency bands;</w:t>
            </w:r>
          </w:p>
          <w:p w:rsidR="000308C6" w:rsidRDefault="000308C6" w:rsidP="00DF768F">
            <w:pPr>
              <w:pStyle w:val="Tabletext"/>
            </w:pPr>
            <w:r>
              <w:t>3</w:t>
            </w:r>
            <w:r>
              <w:tab/>
              <w:t>to give particular attention to enhancing coexistence and sharing among radiocommunication services;</w:t>
            </w:r>
          </w:p>
          <w:p w:rsidR="000308C6" w:rsidRPr="009951D3" w:rsidRDefault="000308C6" w:rsidP="00DF768F">
            <w:pPr>
              <w:pStyle w:val="Tabletext"/>
            </w:pPr>
            <w:r>
              <w:t>4</w:t>
            </w:r>
            <w:r>
              <w:tab/>
              <w:t>to develop relevant ITU R Recommendations and/or Reports based on the aforementioned studies, as appropriate,</w:t>
            </w:r>
          </w:p>
        </w:tc>
        <w:tc>
          <w:tcPr>
            <w:tcW w:w="709" w:type="dxa"/>
          </w:tcPr>
          <w:p w:rsidR="000308C6" w:rsidRPr="009951D3" w:rsidRDefault="000308C6" w:rsidP="000308C6">
            <w:pPr>
              <w:pStyle w:val="Tabletext"/>
              <w:jc w:val="center"/>
              <w:rPr>
                <w:lang w:eastAsia="ja-JP"/>
              </w:rPr>
            </w:pPr>
            <w:r w:rsidRPr="009951D3">
              <w:rPr>
                <w:lang w:eastAsia="ja-JP"/>
              </w:rPr>
              <w:lastRenderedPageBreak/>
              <w:t>6</w:t>
            </w:r>
            <w:r w:rsidRPr="009951D3">
              <w:rPr>
                <w:rFonts w:hint="eastAsia"/>
                <w:lang w:eastAsia="ja-JP"/>
              </w:rPr>
              <w:t>A</w:t>
            </w:r>
          </w:p>
        </w:tc>
        <w:tc>
          <w:tcPr>
            <w:tcW w:w="4252" w:type="dxa"/>
          </w:tcPr>
          <w:p w:rsidR="000308C6" w:rsidRPr="009951D3" w:rsidRDefault="00A524D9" w:rsidP="00832517">
            <w:pPr>
              <w:pStyle w:val="Tabletext"/>
              <w:rPr>
                <w:lang w:eastAsia="ja-JP"/>
              </w:rPr>
            </w:pPr>
            <w:r w:rsidRPr="00A524D9">
              <w:rPr>
                <w:lang w:eastAsia="ja-JP"/>
              </w:rPr>
              <w:t xml:space="preserve">WP 6A continues to contribute to the Report currently being prepared by WP </w:t>
            </w:r>
            <w:r w:rsidRPr="00A524D9">
              <w:rPr>
                <w:lang w:eastAsia="ja-JP"/>
              </w:rPr>
              <w:lastRenderedPageBreak/>
              <w:t>1A which is the lead group for the studies</w:t>
            </w:r>
          </w:p>
        </w:tc>
        <w:tc>
          <w:tcPr>
            <w:tcW w:w="2694" w:type="dxa"/>
          </w:tcPr>
          <w:p w:rsidR="000308C6" w:rsidRPr="009951D3" w:rsidRDefault="000308C6" w:rsidP="00283CAD">
            <w:pPr>
              <w:pStyle w:val="Tabletext"/>
              <w:rPr>
                <w:iCs/>
                <w:lang w:eastAsia="ja-JP"/>
              </w:rPr>
            </w:pPr>
          </w:p>
        </w:tc>
      </w:tr>
      <w:tr w:rsidR="000308C6" w:rsidTr="007D4B1F">
        <w:trPr>
          <w:cantSplit/>
        </w:trPr>
        <w:tc>
          <w:tcPr>
            <w:tcW w:w="1701" w:type="dxa"/>
          </w:tcPr>
          <w:p w:rsidR="000308C6" w:rsidRDefault="000308C6" w:rsidP="00283CAD">
            <w:pPr>
              <w:pStyle w:val="Tabletext"/>
              <w:rPr>
                <w:lang w:eastAsia="ja-JP"/>
              </w:rPr>
            </w:pPr>
            <w:r w:rsidRPr="009951D3">
              <w:t>Resolution</w:t>
            </w:r>
            <w:r w:rsidRPr="009951D3">
              <w:rPr>
                <w:rFonts w:hint="eastAsia"/>
                <w:lang w:eastAsia="ja-JP"/>
              </w:rPr>
              <w:t xml:space="preserve"> </w:t>
            </w:r>
            <w:r w:rsidRPr="009951D3">
              <w:t>5</w:t>
            </w:r>
            <w:r w:rsidRPr="009951D3">
              <w:rPr>
                <w:lang w:eastAsia="ja-JP"/>
              </w:rPr>
              <w:t>9</w:t>
            </w:r>
            <w:r>
              <w:rPr>
                <w:lang w:eastAsia="ja-JP"/>
              </w:rPr>
              <w:t>-1</w:t>
            </w:r>
          </w:p>
          <w:p w:rsidR="000308C6" w:rsidRPr="009951D3" w:rsidDel="00BB22C0" w:rsidRDefault="000308C6" w:rsidP="00283CAD">
            <w:pPr>
              <w:pStyle w:val="Tabletext"/>
            </w:pPr>
            <w:r w:rsidRPr="009951D3">
              <w:rPr>
                <w:rFonts w:eastAsia="MS PGothic"/>
                <w:lang w:val="en-US" w:eastAsia="ja-JP"/>
              </w:rPr>
              <w:t>Studies on availability of frequency bands and/or tuning ranges for worldwide and/or regional harmonization and conditions for their use by terrestrial electronic news gathering systems</w:t>
            </w:r>
          </w:p>
        </w:tc>
        <w:tc>
          <w:tcPr>
            <w:tcW w:w="5240" w:type="dxa"/>
          </w:tcPr>
          <w:p w:rsidR="000308C6" w:rsidRPr="00CD17D4" w:rsidRDefault="000308C6" w:rsidP="00CD17D4">
            <w:pPr>
              <w:pStyle w:val="Tabletext"/>
              <w:keepLines/>
              <w:rPr>
                <w:rFonts w:eastAsia="MS PGothic"/>
                <w:lang w:val="en-US" w:eastAsia="ja-JP"/>
              </w:rPr>
            </w:pPr>
            <w:r w:rsidRPr="00CD17D4">
              <w:rPr>
                <w:rFonts w:eastAsia="MS PGothic"/>
                <w:lang w:val="en-US" w:eastAsia="ja-JP"/>
              </w:rPr>
              <w:t>1 to carry out studies regarding possible solutions for global/regional harmonization of frequency bands and tuning ranges for ENG use focused on bands already allocated, on a primary or secondary basis, to the fixed, mobile or broadcasting services, taking into account:</w:t>
            </w:r>
          </w:p>
          <w:p w:rsidR="000308C6" w:rsidRPr="00CD17D4" w:rsidRDefault="000308C6" w:rsidP="00CD17D4">
            <w:pPr>
              <w:pStyle w:val="Tabletext"/>
              <w:keepLines/>
              <w:rPr>
                <w:rFonts w:eastAsia="MS PGothic"/>
                <w:lang w:val="en-US" w:eastAsia="ja-JP"/>
              </w:rPr>
            </w:pPr>
            <w:r w:rsidRPr="00CD17D4">
              <w:rPr>
                <w:rFonts w:eastAsia="MS PGothic"/>
                <w:lang w:val="en-US" w:eastAsia="ja-JP"/>
              </w:rPr>
              <w:t>– available technologies to maximize efficient and flexible use of spectrum;</w:t>
            </w:r>
          </w:p>
          <w:p w:rsidR="000308C6" w:rsidRPr="00CD17D4" w:rsidRDefault="000308C6" w:rsidP="00CD17D4">
            <w:pPr>
              <w:pStyle w:val="Tabletext"/>
              <w:keepLines/>
              <w:rPr>
                <w:rFonts w:eastAsia="MS PGothic"/>
                <w:lang w:val="en-US" w:eastAsia="ja-JP"/>
              </w:rPr>
            </w:pPr>
            <w:r w:rsidRPr="00CD17D4">
              <w:rPr>
                <w:rFonts w:eastAsia="MS PGothic"/>
                <w:lang w:val="en-US" w:eastAsia="ja-JP"/>
              </w:rPr>
              <w:t>– system characteristics and operational practices which facilitate the implementation of these solutions;</w:t>
            </w:r>
          </w:p>
          <w:p w:rsidR="000308C6" w:rsidRPr="009951D3" w:rsidRDefault="000308C6" w:rsidP="00CD17D4">
            <w:pPr>
              <w:pStyle w:val="Tabletext"/>
              <w:keepLines/>
              <w:rPr>
                <w:rFonts w:eastAsia="MS PGothic"/>
                <w:lang w:val="en-US" w:eastAsia="ja-JP"/>
              </w:rPr>
            </w:pPr>
            <w:r w:rsidRPr="00CD17D4">
              <w:rPr>
                <w:rFonts w:eastAsia="MS PGothic"/>
                <w:lang w:val="en-US" w:eastAsia="ja-JP"/>
              </w:rPr>
              <w:t>2 to develop ITU-R Recommendations and/or ITU-R Reports based on the aforementioned studies, as appropriate,</w:t>
            </w:r>
          </w:p>
        </w:tc>
        <w:tc>
          <w:tcPr>
            <w:tcW w:w="709" w:type="dxa"/>
          </w:tcPr>
          <w:p w:rsidR="000308C6" w:rsidRPr="009951D3" w:rsidRDefault="000308C6" w:rsidP="000308C6">
            <w:pPr>
              <w:pStyle w:val="Tabletext"/>
              <w:jc w:val="center"/>
              <w:rPr>
                <w:lang w:eastAsia="ja-JP"/>
              </w:rPr>
            </w:pPr>
            <w:r>
              <w:rPr>
                <w:lang w:eastAsia="ja-JP"/>
              </w:rPr>
              <w:t>6A</w:t>
            </w:r>
          </w:p>
        </w:tc>
        <w:tc>
          <w:tcPr>
            <w:tcW w:w="4252" w:type="dxa"/>
          </w:tcPr>
          <w:p w:rsidR="000308C6" w:rsidRPr="00283CAD" w:rsidRDefault="00D17225" w:rsidP="00283CAD">
            <w:pPr>
              <w:pStyle w:val="Tabletext"/>
              <w:rPr>
                <w:lang w:eastAsia="ja-JP"/>
              </w:rPr>
            </w:pPr>
            <w:r>
              <w:rPr>
                <w:lang w:eastAsia="ja-JP"/>
              </w:rPr>
              <w:t>On going</w:t>
            </w:r>
          </w:p>
        </w:tc>
        <w:tc>
          <w:tcPr>
            <w:tcW w:w="2694" w:type="dxa"/>
          </w:tcPr>
          <w:p w:rsidR="000308C6" w:rsidRPr="003A33A3" w:rsidRDefault="000308C6" w:rsidP="00283CAD">
            <w:pPr>
              <w:pStyle w:val="Tabletext"/>
              <w:rPr>
                <w:iCs/>
                <w:lang w:eastAsia="ja-JP"/>
              </w:rPr>
            </w:pPr>
          </w:p>
        </w:tc>
      </w:tr>
      <w:tr w:rsidR="000308C6" w:rsidTr="007D4B1F">
        <w:trPr>
          <w:cantSplit/>
        </w:trPr>
        <w:tc>
          <w:tcPr>
            <w:tcW w:w="1701" w:type="dxa"/>
          </w:tcPr>
          <w:p w:rsidR="000308C6" w:rsidRDefault="000308C6" w:rsidP="00283CAD">
            <w:pPr>
              <w:pStyle w:val="Tabletext"/>
              <w:rPr>
                <w:szCs w:val="22"/>
                <w:lang w:eastAsia="ja-JP"/>
              </w:rPr>
            </w:pPr>
            <w:r w:rsidRPr="009951D3">
              <w:rPr>
                <w:szCs w:val="22"/>
              </w:rPr>
              <w:t>Resolution</w:t>
            </w:r>
            <w:r w:rsidRPr="009951D3">
              <w:rPr>
                <w:rFonts w:hint="eastAsia"/>
                <w:szCs w:val="22"/>
                <w:lang w:eastAsia="ja-JP"/>
              </w:rPr>
              <w:t xml:space="preserve"> 60</w:t>
            </w:r>
            <w:r>
              <w:rPr>
                <w:szCs w:val="22"/>
                <w:lang w:eastAsia="ja-JP"/>
              </w:rPr>
              <w:t>-1</w:t>
            </w:r>
          </w:p>
          <w:p w:rsidR="000308C6" w:rsidRPr="009951D3" w:rsidRDefault="000308C6" w:rsidP="00283CAD">
            <w:pPr>
              <w:pStyle w:val="Tabletext"/>
              <w:rPr>
                <w:szCs w:val="22"/>
              </w:rPr>
            </w:pPr>
            <w:r w:rsidRPr="009951D3">
              <w:rPr>
                <w:szCs w:val="22"/>
              </w:rPr>
              <w:t>Reduction of energy consumption for environmental protection and miti</w:t>
            </w:r>
            <w:r>
              <w:rPr>
                <w:szCs w:val="22"/>
              </w:rPr>
              <w:t xml:space="preserve">gating climate change by use of </w:t>
            </w:r>
            <w:r w:rsidRPr="009951D3">
              <w:rPr>
                <w:szCs w:val="22"/>
              </w:rPr>
              <w:t>ICT/</w:t>
            </w:r>
            <w:r>
              <w:rPr>
                <w:szCs w:val="22"/>
              </w:rPr>
              <w:br/>
            </w:r>
            <w:r w:rsidRPr="009951D3">
              <w:rPr>
                <w:szCs w:val="22"/>
              </w:rPr>
              <w:lastRenderedPageBreak/>
              <w:t>radiocommunication technologies and systems</w:t>
            </w:r>
          </w:p>
        </w:tc>
        <w:tc>
          <w:tcPr>
            <w:tcW w:w="5240" w:type="dxa"/>
          </w:tcPr>
          <w:p w:rsidR="000308C6" w:rsidRPr="00D8289E" w:rsidRDefault="000308C6" w:rsidP="00D8289E">
            <w:pPr>
              <w:pStyle w:val="Tabletext"/>
              <w:rPr>
                <w:szCs w:val="22"/>
              </w:rPr>
            </w:pPr>
            <w:r w:rsidRPr="00D8289E">
              <w:rPr>
                <w:szCs w:val="22"/>
              </w:rPr>
              <w:lastRenderedPageBreak/>
              <w:t>1 that ITU-R Study Groups should develop Recommendations, Reports or Handbooks on:</w:t>
            </w:r>
          </w:p>
          <w:p w:rsidR="000308C6" w:rsidRPr="00D8289E" w:rsidRDefault="000308C6" w:rsidP="00D8289E">
            <w:pPr>
              <w:pStyle w:val="Tabletext"/>
              <w:rPr>
                <w:szCs w:val="22"/>
              </w:rPr>
            </w:pPr>
            <w:r w:rsidRPr="00D8289E">
              <w:rPr>
                <w:szCs w:val="22"/>
              </w:rPr>
              <w:t>• best practices in place to reduce energy consumption within ICT systems, equipment or applications operating in a radiocommunication service;</w:t>
            </w:r>
          </w:p>
          <w:p w:rsidR="000308C6" w:rsidRPr="00D8289E" w:rsidRDefault="000308C6" w:rsidP="00D8289E">
            <w:pPr>
              <w:pStyle w:val="Tabletext"/>
              <w:rPr>
                <w:szCs w:val="22"/>
              </w:rPr>
            </w:pPr>
            <w:r w:rsidRPr="00D8289E">
              <w:rPr>
                <w:szCs w:val="22"/>
              </w:rPr>
              <w:lastRenderedPageBreak/>
              <w:t>• possible development and use of radio systems or applications which can support reduction of energy consumption in non-radiocommunication sectors;</w:t>
            </w:r>
          </w:p>
          <w:p w:rsidR="000308C6" w:rsidRPr="00D8289E" w:rsidRDefault="000308C6" w:rsidP="00D8289E">
            <w:pPr>
              <w:pStyle w:val="Tabletext"/>
              <w:rPr>
                <w:szCs w:val="22"/>
              </w:rPr>
            </w:pPr>
            <w:r w:rsidRPr="00D8289E">
              <w:rPr>
                <w:szCs w:val="22"/>
              </w:rPr>
              <w:t>• effective systems for monitoring the environment and monitoring and predicting climate change, and ensuring reliable operation of such systems;</w:t>
            </w:r>
          </w:p>
          <w:p w:rsidR="000308C6" w:rsidRPr="00D8289E" w:rsidRDefault="000308C6" w:rsidP="00D8289E">
            <w:pPr>
              <w:pStyle w:val="Tabletext"/>
              <w:rPr>
                <w:szCs w:val="22"/>
              </w:rPr>
            </w:pPr>
            <w:r w:rsidRPr="00D8289E">
              <w:rPr>
                <w:szCs w:val="22"/>
              </w:rPr>
              <w:t>2 that ITU-R Study Groups, when developing new ITU-R Recommendations, Handbooks, or Reports or reviewing existing Recommendations or Reports, take into account, as appropriate, energy consumption as well as best practices to conserve energy;</w:t>
            </w:r>
          </w:p>
          <w:p w:rsidR="000308C6" w:rsidRPr="009951D3" w:rsidRDefault="000308C6" w:rsidP="00D8289E">
            <w:pPr>
              <w:pStyle w:val="Tabletext"/>
              <w:rPr>
                <w:szCs w:val="22"/>
              </w:rPr>
            </w:pPr>
            <w:r w:rsidRPr="00D8289E">
              <w:rPr>
                <w:szCs w:val="22"/>
              </w:rPr>
              <w:t>3 to maintain close cooperation and to regularly liaise with ITU-T, ITU-D and the General Secretariat, and to take into account the results of the work carried out in these Sectors and avoid duplication,</w:t>
            </w:r>
          </w:p>
        </w:tc>
        <w:tc>
          <w:tcPr>
            <w:tcW w:w="709" w:type="dxa"/>
          </w:tcPr>
          <w:p w:rsidR="000308C6" w:rsidRPr="009951D3" w:rsidRDefault="000308C6" w:rsidP="000308C6">
            <w:pPr>
              <w:pStyle w:val="Tabletext"/>
              <w:jc w:val="center"/>
              <w:rPr>
                <w:szCs w:val="22"/>
                <w:lang w:eastAsia="ja-JP"/>
              </w:rPr>
            </w:pPr>
            <w:r>
              <w:rPr>
                <w:szCs w:val="22"/>
                <w:lang w:eastAsia="ja-JP"/>
              </w:rPr>
              <w:lastRenderedPageBreak/>
              <w:t>All</w:t>
            </w:r>
          </w:p>
        </w:tc>
        <w:tc>
          <w:tcPr>
            <w:tcW w:w="4252" w:type="dxa"/>
          </w:tcPr>
          <w:p w:rsidR="000308C6" w:rsidRDefault="00A524D9" w:rsidP="00283CAD">
            <w:pPr>
              <w:pStyle w:val="Tabletext"/>
              <w:rPr>
                <w:lang w:eastAsia="ja-JP"/>
              </w:rPr>
            </w:pPr>
            <w:r w:rsidRPr="00A524D9">
              <w:rPr>
                <w:lang w:eastAsia="ja-JP"/>
              </w:rPr>
              <w:t>Broadcasting has already achieved substantial energy reductions through the transition from analogue to digital TV broadcasting, which is under way or completed in many parts of the world.</w:t>
            </w:r>
          </w:p>
          <w:p w:rsidR="00A524D9" w:rsidRPr="009951D3" w:rsidRDefault="00A524D9" w:rsidP="00283CAD">
            <w:pPr>
              <w:pStyle w:val="Tabletext"/>
              <w:rPr>
                <w:lang w:eastAsia="ja-JP"/>
              </w:rPr>
            </w:pPr>
          </w:p>
        </w:tc>
        <w:tc>
          <w:tcPr>
            <w:tcW w:w="2694" w:type="dxa"/>
          </w:tcPr>
          <w:p w:rsidR="000308C6" w:rsidRPr="00B4103D" w:rsidRDefault="00A524D9" w:rsidP="00A524D9">
            <w:pPr>
              <w:pStyle w:val="Tabletext"/>
            </w:pPr>
            <w:r w:rsidRPr="00A524D9">
              <w:t>SG 6 continue</w:t>
            </w:r>
            <w:r>
              <w:t>s</w:t>
            </w:r>
            <w:r w:rsidRPr="00A524D9">
              <w:t xml:space="preserve"> </w:t>
            </w:r>
            <w:r>
              <w:t>to contribute to the work of</w:t>
            </w:r>
            <w:r w:rsidRPr="00A524D9">
              <w:t xml:space="preserve"> ITU-T SG Focus Group looking at “Guidelines for sustainable broadcasting”.</w:t>
            </w:r>
          </w:p>
        </w:tc>
      </w:tr>
      <w:tr w:rsidR="000308C6" w:rsidTr="007D4B1F">
        <w:trPr>
          <w:cantSplit/>
        </w:trPr>
        <w:tc>
          <w:tcPr>
            <w:tcW w:w="1701" w:type="dxa"/>
          </w:tcPr>
          <w:p w:rsidR="000308C6" w:rsidRDefault="000308C6" w:rsidP="00283CAD">
            <w:pPr>
              <w:pStyle w:val="Tabletext"/>
              <w:rPr>
                <w:sz w:val="21"/>
                <w:szCs w:val="21"/>
                <w:lang w:eastAsia="ja-JP"/>
              </w:rPr>
            </w:pPr>
            <w:r>
              <w:rPr>
                <w:sz w:val="21"/>
                <w:szCs w:val="21"/>
              </w:rPr>
              <w:t>Resolu</w:t>
            </w:r>
            <w:r w:rsidRPr="00B4103D">
              <w:rPr>
                <w:sz w:val="21"/>
                <w:szCs w:val="21"/>
              </w:rPr>
              <w:t>tion</w:t>
            </w:r>
            <w:r w:rsidRPr="00B4103D">
              <w:rPr>
                <w:rFonts w:hint="eastAsia"/>
                <w:sz w:val="21"/>
                <w:szCs w:val="21"/>
                <w:lang w:eastAsia="ja-JP"/>
              </w:rPr>
              <w:t xml:space="preserve"> 62</w:t>
            </w:r>
            <w:r>
              <w:rPr>
                <w:sz w:val="21"/>
                <w:szCs w:val="21"/>
                <w:lang w:eastAsia="ja-JP"/>
              </w:rPr>
              <w:t>-1</w:t>
            </w:r>
          </w:p>
          <w:p w:rsidR="000308C6" w:rsidRPr="00B4103D" w:rsidRDefault="000308C6" w:rsidP="00283CAD">
            <w:pPr>
              <w:pStyle w:val="Tabletext"/>
              <w:rPr>
                <w:sz w:val="21"/>
                <w:szCs w:val="21"/>
              </w:rPr>
            </w:pPr>
            <w:r w:rsidRPr="00B4103D">
              <w:rPr>
                <w:rFonts w:eastAsia="MS PGothic"/>
                <w:sz w:val="21"/>
                <w:szCs w:val="21"/>
                <w:lang w:val="en-US" w:eastAsia="ja-JP"/>
              </w:rPr>
              <w:t>Studies related to testing for conformance with ITU R Recommendations and interoperability of radiocommunication equipment and systems</w:t>
            </w:r>
          </w:p>
        </w:tc>
        <w:tc>
          <w:tcPr>
            <w:tcW w:w="5240" w:type="dxa"/>
          </w:tcPr>
          <w:p w:rsidR="000308C6" w:rsidRPr="00B4103D" w:rsidRDefault="000308C6" w:rsidP="009A1C50">
            <w:pPr>
              <w:pStyle w:val="Tabletext"/>
              <w:rPr>
                <w:rFonts w:eastAsia="MS PGothic"/>
                <w:sz w:val="21"/>
                <w:szCs w:val="21"/>
                <w:lang w:val="en-US" w:eastAsia="ja-JP"/>
              </w:rPr>
            </w:pPr>
            <w:r w:rsidRPr="009A1C50">
              <w:rPr>
                <w:rFonts w:eastAsia="MS PGothic"/>
                <w:sz w:val="21"/>
                <w:szCs w:val="21"/>
                <w:lang w:val="en-US" w:eastAsia="ja-JP"/>
              </w:rPr>
              <w:t>that ITU-R collaborate with, and provide information when requested by, ITU-T and ITU-D on conformance and interoperability testing within its existing mandate consistent with Resolution 177 (Rev. Busan, 2014) of the Plenipotentiary Conference (see noting b)),</w:t>
            </w:r>
          </w:p>
        </w:tc>
        <w:tc>
          <w:tcPr>
            <w:tcW w:w="709" w:type="dxa"/>
          </w:tcPr>
          <w:p w:rsidR="000308C6" w:rsidRPr="00717ED6" w:rsidRDefault="000308C6" w:rsidP="000308C6">
            <w:pPr>
              <w:pStyle w:val="Tabletext"/>
              <w:jc w:val="center"/>
              <w:rPr>
                <w:sz w:val="20"/>
                <w:lang w:eastAsia="ja-JP"/>
              </w:rPr>
            </w:pPr>
            <w:r>
              <w:rPr>
                <w:sz w:val="20"/>
                <w:lang w:eastAsia="ja-JP"/>
              </w:rPr>
              <w:t>All</w:t>
            </w:r>
          </w:p>
        </w:tc>
        <w:tc>
          <w:tcPr>
            <w:tcW w:w="4252" w:type="dxa"/>
          </w:tcPr>
          <w:p w:rsidR="000308C6" w:rsidRPr="002A3FAE" w:rsidRDefault="00D17225" w:rsidP="00283CAD">
            <w:pPr>
              <w:pStyle w:val="Tabletext"/>
              <w:rPr>
                <w:lang w:val="en-US"/>
              </w:rPr>
            </w:pPr>
            <w:r>
              <w:rPr>
                <w:lang w:val="en-US"/>
              </w:rPr>
              <w:t>On going</w:t>
            </w:r>
          </w:p>
        </w:tc>
        <w:tc>
          <w:tcPr>
            <w:tcW w:w="2694" w:type="dxa"/>
          </w:tcPr>
          <w:p w:rsidR="000308C6" w:rsidRPr="00B4103D" w:rsidRDefault="000308C6" w:rsidP="00283CAD">
            <w:pPr>
              <w:pStyle w:val="Tabletext"/>
              <w:rPr>
                <w:iCs/>
                <w:sz w:val="21"/>
                <w:szCs w:val="21"/>
              </w:rPr>
            </w:pPr>
          </w:p>
        </w:tc>
      </w:tr>
      <w:tr w:rsidR="000308C6" w:rsidTr="007D4B1F">
        <w:trPr>
          <w:cantSplit/>
        </w:trPr>
        <w:tc>
          <w:tcPr>
            <w:tcW w:w="1701" w:type="dxa"/>
          </w:tcPr>
          <w:p w:rsidR="000308C6" w:rsidRDefault="000308C6" w:rsidP="00283CAD">
            <w:pPr>
              <w:pStyle w:val="Tabletext"/>
              <w:rPr>
                <w:sz w:val="21"/>
                <w:szCs w:val="21"/>
              </w:rPr>
            </w:pPr>
            <w:r>
              <w:rPr>
                <w:sz w:val="21"/>
                <w:szCs w:val="21"/>
              </w:rPr>
              <w:t>Resolution 67-1</w:t>
            </w:r>
          </w:p>
          <w:p w:rsidR="000308C6" w:rsidRDefault="000308C6" w:rsidP="00283CAD">
            <w:pPr>
              <w:pStyle w:val="Tabletext"/>
              <w:rPr>
                <w:sz w:val="21"/>
                <w:szCs w:val="21"/>
              </w:rPr>
            </w:pPr>
            <w:r w:rsidRPr="009A1C50">
              <w:rPr>
                <w:sz w:val="21"/>
                <w:szCs w:val="21"/>
              </w:rPr>
              <w:t>Telecommunication/ICT accessibility for persons with disabilities and persons with specific needs</w:t>
            </w:r>
          </w:p>
        </w:tc>
        <w:tc>
          <w:tcPr>
            <w:tcW w:w="5240" w:type="dxa"/>
          </w:tcPr>
          <w:p w:rsidR="000308C6" w:rsidRPr="00B4103D" w:rsidDel="009A1C50" w:rsidRDefault="000308C6" w:rsidP="009A1C50">
            <w:pPr>
              <w:pStyle w:val="Tabletext"/>
              <w:rPr>
                <w:rFonts w:eastAsia="MS PGothic"/>
                <w:sz w:val="21"/>
                <w:szCs w:val="21"/>
                <w:lang w:val="en-US" w:eastAsia="ja-JP"/>
              </w:rPr>
            </w:pPr>
            <w:r w:rsidRPr="009A1C50">
              <w:rPr>
                <w:rFonts w:eastAsia="MS PGothic"/>
                <w:sz w:val="21"/>
                <w:szCs w:val="21"/>
                <w:lang w:val="en-US" w:eastAsia="ja-JP"/>
              </w:rPr>
              <w:t>to continue conducting studies, research, guidelines and recommendations, related to telecommunication/ICT accessibility for persons with disabilities and persons with specific needs, taking into account recognizing b) and c), and in close cooperation with ITU-T and ITU-D,</w:t>
            </w:r>
          </w:p>
        </w:tc>
        <w:tc>
          <w:tcPr>
            <w:tcW w:w="709" w:type="dxa"/>
          </w:tcPr>
          <w:p w:rsidR="000308C6" w:rsidRDefault="000308C6" w:rsidP="000308C6">
            <w:pPr>
              <w:pStyle w:val="Tabletext"/>
              <w:jc w:val="center"/>
              <w:rPr>
                <w:sz w:val="20"/>
                <w:lang w:eastAsia="ja-JP"/>
              </w:rPr>
            </w:pPr>
            <w:r>
              <w:rPr>
                <w:sz w:val="20"/>
                <w:lang w:eastAsia="ja-JP"/>
              </w:rPr>
              <w:t>All</w:t>
            </w:r>
          </w:p>
        </w:tc>
        <w:tc>
          <w:tcPr>
            <w:tcW w:w="4252" w:type="dxa"/>
          </w:tcPr>
          <w:p w:rsidR="000308C6" w:rsidRPr="00BF46F2" w:rsidRDefault="00D17225" w:rsidP="00283CAD">
            <w:pPr>
              <w:pStyle w:val="Tabletext"/>
              <w:rPr>
                <w:lang w:val="en-US"/>
              </w:rPr>
            </w:pPr>
            <w:r>
              <w:rPr>
                <w:lang w:val="en-US"/>
              </w:rPr>
              <w:t>On going</w:t>
            </w:r>
          </w:p>
        </w:tc>
        <w:tc>
          <w:tcPr>
            <w:tcW w:w="2694" w:type="dxa"/>
          </w:tcPr>
          <w:p w:rsidR="000308C6" w:rsidRPr="00B4103D" w:rsidRDefault="00E716C3" w:rsidP="00283CAD">
            <w:pPr>
              <w:pStyle w:val="Tabletext"/>
              <w:rPr>
                <w:iCs/>
                <w:sz w:val="21"/>
                <w:szCs w:val="21"/>
              </w:rPr>
            </w:pPr>
            <w:r>
              <w:rPr>
                <w:iCs/>
                <w:sz w:val="21"/>
                <w:szCs w:val="21"/>
              </w:rPr>
              <w:t xml:space="preserve">Approved New </w:t>
            </w:r>
            <w:r w:rsidRPr="00283CAD">
              <w:t>Handbook on Digital Terrestrial Television</w:t>
            </w:r>
            <w:r>
              <w:t xml:space="preserve"> Broadcasting </w:t>
            </w:r>
            <w:r w:rsidRPr="00283CAD">
              <w:t xml:space="preserve">(DTTB) </w:t>
            </w:r>
            <w:r>
              <w:t xml:space="preserve">Networks and Systems </w:t>
            </w:r>
            <w:r w:rsidRPr="00283CAD">
              <w:t>Implementation</w:t>
            </w:r>
            <w:r>
              <w:t xml:space="preserve"> includes a chapter (14) on Accessibilities.</w:t>
            </w:r>
          </w:p>
        </w:tc>
      </w:tr>
    </w:tbl>
    <w:p w:rsidR="00283CAD" w:rsidRDefault="00283CAD" w:rsidP="00283CAD">
      <w:pPr>
        <w:rPr>
          <w:lang w:eastAsia="ja-JP"/>
        </w:rPr>
      </w:pPr>
    </w:p>
    <w:p w:rsidR="005B4D58" w:rsidRDefault="00283CAD" w:rsidP="005B4D58">
      <w:pPr>
        <w:pStyle w:val="AppendixNo"/>
        <w:rPr>
          <w:lang w:eastAsia="ja-JP"/>
        </w:rPr>
      </w:pPr>
      <w:r>
        <w:rPr>
          <w:lang w:eastAsia="ja-JP"/>
        </w:rPr>
        <w:br w:type="page"/>
      </w:r>
    </w:p>
    <w:p w:rsidR="005B4D58" w:rsidRDefault="005B4D58" w:rsidP="005B4D58">
      <w:pPr>
        <w:pStyle w:val="AppendixNo"/>
        <w:rPr>
          <w:lang w:eastAsia="ja-JP"/>
        </w:rPr>
      </w:pPr>
    </w:p>
    <w:p w:rsidR="00283CAD" w:rsidRPr="006210CA" w:rsidRDefault="00283CAD" w:rsidP="005B4D58">
      <w:pPr>
        <w:pStyle w:val="AppendixNo"/>
        <w:rPr>
          <w:lang w:eastAsia="ja-JP"/>
        </w:rPr>
      </w:pPr>
      <w:r w:rsidRPr="006210CA">
        <w:rPr>
          <w:lang w:eastAsia="ja-JP"/>
        </w:rPr>
        <w:t>ATTACHMENT 2</w:t>
      </w:r>
    </w:p>
    <w:p w:rsidR="00283CAD" w:rsidRDefault="00283CAD" w:rsidP="00283CAD">
      <w:pPr>
        <w:pStyle w:val="Appendixtitle"/>
        <w:spacing w:before="120" w:after="240"/>
      </w:pPr>
      <w:r w:rsidRPr="0053054D">
        <w:rPr>
          <w:rFonts w:hint="eastAsia"/>
          <w:lang w:eastAsia="ja-JP"/>
        </w:rPr>
        <w:t>Summary</w:t>
      </w:r>
      <w:r w:rsidRPr="0053054D">
        <w:rPr>
          <w:lang w:eastAsia="zh-CN"/>
        </w:rPr>
        <w:t xml:space="preserve"> </w:t>
      </w:r>
      <w:r w:rsidRPr="0053054D">
        <w:rPr>
          <w:rFonts w:hint="eastAsia"/>
          <w:lang w:eastAsia="ja-JP"/>
        </w:rPr>
        <w:t>of</w:t>
      </w:r>
      <w:r w:rsidRPr="0053054D">
        <w:rPr>
          <w:lang w:eastAsia="zh-CN"/>
        </w:rPr>
        <w:t xml:space="preserve"> </w:t>
      </w:r>
      <w:r w:rsidRPr="0053054D">
        <w:rPr>
          <w:rFonts w:hint="eastAsia"/>
          <w:lang w:eastAsia="ja-JP"/>
        </w:rPr>
        <w:t>other activities in relation to the</w:t>
      </w:r>
      <w:r w:rsidRPr="0053054D">
        <w:t xml:space="preserve"> ITU-R Resolutions</w:t>
      </w:r>
    </w:p>
    <w:tbl>
      <w:tblPr>
        <w:tblStyle w:val="TableGrid"/>
        <w:tblW w:w="14029" w:type="dxa"/>
        <w:jc w:val="center"/>
        <w:tblLook w:val="04A0" w:firstRow="1" w:lastRow="0" w:firstColumn="1" w:lastColumn="0" w:noHBand="0" w:noVBand="1"/>
      </w:tblPr>
      <w:tblGrid>
        <w:gridCol w:w="2037"/>
        <w:gridCol w:w="4231"/>
        <w:gridCol w:w="848"/>
        <w:gridCol w:w="3620"/>
        <w:gridCol w:w="3293"/>
      </w:tblGrid>
      <w:tr w:rsidR="00A72C39" w:rsidTr="00A72C39">
        <w:trPr>
          <w:cantSplit/>
          <w:tblHeader/>
          <w:jc w:val="center"/>
        </w:trPr>
        <w:tc>
          <w:tcPr>
            <w:tcW w:w="2037" w:type="dxa"/>
            <w:shd w:val="clear" w:color="auto" w:fill="D9D9D9" w:themeFill="background1" w:themeFillShade="D9"/>
          </w:tcPr>
          <w:p w:rsidR="00A72C39" w:rsidRPr="00283CAD" w:rsidRDefault="00A72C39" w:rsidP="00283CAD">
            <w:pPr>
              <w:pStyle w:val="Tablehead"/>
            </w:pPr>
            <w:r w:rsidRPr="00283CAD">
              <w:rPr>
                <w:rFonts w:hint="eastAsia"/>
              </w:rPr>
              <w:t>Resolution</w:t>
            </w:r>
          </w:p>
        </w:tc>
        <w:tc>
          <w:tcPr>
            <w:tcW w:w="4231" w:type="dxa"/>
            <w:shd w:val="clear" w:color="auto" w:fill="D9D9D9" w:themeFill="background1" w:themeFillShade="D9"/>
          </w:tcPr>
          <w:p w:rsidR="00A72C39" w:rsidRPr="00283CAD" w:rsidRDefault="00A72C39" w:rsidP="00283CAD">
            <w:pPr>
              <w:pStyle w:val="Tablehead"/>
            </w:pPr>
            <w:r w:rsidRPr="00283CAD">
              <w:t>Title</w:t>
            </w:r>
          </w:p>
        </w:tc>
        <w:tc>
          <w:tcPr>
            <w:tcW w:w="848" w:type="dxa"/>
            <w:shd w:val="clear" w:color="auto" w:fill="D9D9D9" w:themeFill="background1" w:themeFillShade="D9"/>
          </w:tcPr>
          <w:p w:rsidR="00A72C39" w:rsidRPr="00283CAD" w:rsidRDefault="00A72C39" w:rsidP="000308C6">
            <w:pPr>
              <w:pStyle w:val="Tablehead"/>
            </w:pPr>
            <w:r w:rsidRPr="00283CAD">
              <w:rPr>
                <w:rFonts w:hint="eastAsia"/>
              </w:rPr>
              <w:t>WP</w:t>
            </w:r>
          </w:p>
        </w:tc>
        <w:tc>
          <w:tcPr>
            <w:tcW w:w="3620" w:type="dxa"/>
            <w:shd w:val="clear" w:color="auto" w:fill="D9D9D9" w:themeFill="background1" w:themeFillShade="D9"/>
          </w:tcPr>
          <w:p w:rsidR="00A72C39" w:rsidRPr="00283CAD" w:rsidRDefault="00143B1E" w:rsidP="000308C6">
            <w:pPr>
              <w:pStyle w:val="Tablehead"/>
            </w:pPr>
            <w:r>
              <w:t>Activities</w:t>
            </w:r>
          </w:p>
        </w:tc>
        <w:tc>
          <w:tcPr>
            <w:tcW w:w="3293" w:type="dxa"/>
            <w:shd w:val="clear" w:color="auto" w:fill="D9D9D9" w:themeFill="background1" w:themeFillShade="D9"/>
          </w:tcPr>
          <w:p w:rsidR="00A72C39" w:rsidRPr="00283CAD" w:rsidRDefault="00A72C39" w:rsidP="003D6943">
            <w:pPr>
              <w:pStyle w:val="Tablehead"/>
            </w:pPr>
            <w:r>
              <w:t>Status</w:t>
            </w:r>
            <w:r w:rsidRPr="00283CAD">
              <w:rPr>
                <w:rFonts w:hint="eastAsia"/>
              </w:rPr>
              <w:t xml:space="preserve"> </w:t>
            </w:r>
          </w:p>
        </w:tc>
      </w:tr>
      <w:tr w:rsidR="00A72C39" w:rsidTr="00A72C39">
        <w:trPr>
          <w:cantSplit/>
          <w:jc w:val="center"/>
        </w:trPr>
        <w:tc>
          <w:tcPr>
            <w:tcW w:w="2037" w:type="dxa"/>
          </w:tcPr>
          <w:p w:rsidR="00A72C39" w:rsidRDefault="00A72C39">
            <w:pPr>
              <w:pStyle w:val="Tabletext"/>
            </w:pPr>
            <w:r w:rsidRPr="00283CAD">
              <w:rPr>
                <w:rFonts w:hint="eastAsia"/>
              </w:rPr>
              <w:t xml:space="preserve">Resolution </w:t>
            </w:r>
            <w:r w:rsidRPr="00283CAD">
              <w:t>6</w:t>
            </w:r>
            <w:r w:rsidRPr="00283CAD">
              <w:rPr>
                <w:rFonts w:hint="eastAsia"/>
              </w:rPr>
              <w:t>-</w:t>
            </w:r>
            <w:r>
              <w:t>2</w:t>
            </w:r>
          </w:p>
          <w:p w:rsidR="00A72C39" w:rsidRPr="00283CAD" w:rsidRDefault="00A72C39">
            <w:pPr>
              <w:pStyle w:val="Tabletext"/>
            </w:pPr>
            <w:r w:rsidRPr="00283CAD">
              <w:t>Liaison and collaboration with the ITU Telecommunication Standardization Sector</w:t>
            </w:r>
          </w:p>
        </w:tc>
        <w:tc>
          <w:tcPr>
            <w:tcW w:w="4231" w:type="dxa"/>
          </w:tcPr>
          <w:p w:rsidR="00A72C39" w:rsidRDefault="00A72C39" w:rsidP="00283CAD">
            <w:pPr>
              <w:pStyle w:val="Tabletext"/>
            </w:pPr>
            <w:r>
              <w:t>resolves</w:t>
            </w:r>
          </w:p>
          <w:p w:rsidR="00A72C39" w:rsidRPr="00283CAD" w:rsidRDefault="00A72C39" w:rsidP="00283CAD">
            <w:pPr>
              <w:pStyle w:val="Tabletext"/>
            </w:pPr>
            <w:r w:rsidRPr="00192B72">
              <w:t>to refer to the Radiocommunication Advisory Group in collaboration with the Telecommunication Standardization Advisory Group, the continuing review of new and existing work and its distribution between the two Sectors, for approval by Members in accordance with the procedures laid down for the approval of new or revised Questions taking into account the activities and results of the ongoing restructuring efforts within ITU;</w:t>
            </w:r>
          </w:p>
        </w:tc>
        <w:tc>
          <w:tcPr>
            <w:tcW w:w="848" w:type="dxa"/>
          </w:tcPr>
          <w:p w:rsidR="00A72C39" w:rsidRPr="00283CAD" w:rsidRDefault="00A72C39" w:rsidP="000308C6">
            <w:pPr>
              <w:pStyle w:val="Tabletext"/>
              <w:jc w:val="center"/>
            </w:pPr>
            <w:r>
              <w:t>All</w:t>
            </w:r>
          </w:p>
        </w:tc>
        <w:tc>
          <w:tcPr>
            <w:tcW w:w="3620" w:type="dxa"/>
          </w:tcPr>
          <w:p w:rsidR="00A72C39" w:rsidRPr="00283CAD" w:rsidRDefault="00A72C39" w:rsidP="00E92FD1">
            <w:pPr>
              <w:pStyle w:val="Tabletext"/>
            </w:pPr>
            <w:r w:rsidRPr="00283CAD">
              <w:t xml:space="preserve">Three Intersector Rapporteur Groups on </w:t>
            </w:r>
            <w:r w:rsidR="00143B1E" w:rsidRPr="00283CAD">
              <w:t>audio-visual</w:t>
            </w:r>
            <w:r w:rsidRPr="00283CAD">
              <w:t xml:space="preserve"> media accessibility</w:t>
            </w:r>
            <w:r w:rsidR="00E92FD1" w:rsidRPr="00283CAD">
              <w:t xml:space="preserve"> </w:t>
            </w:r>
            <w:r w:rsidR="00E92FD1">
              <w:t>(</w:t>
            </w:r>
            <w:r w:rsidR="00E92FD1" w:rsidRPr="00283CAD">
              <w:t>IRG-AVA</w:t>
            </w:r>
            <w:r w:rsidR="00E92FD1">
              <w:t>)</w:t>
            </w:r>
            <w:r w:rsidRPr="00283CAD">
              <w:t xml:space="preserve">, on </w:t>
            </w:r>
            <w:r w:rsidR="00143B1E" w:rsidRPr="00283CAD">
              <w:t>audio-visual</w:t>
            </w:r>
            <w:r w:rsidRPr="00283CAD">
              <w:t xml:space="preserve"> quality assessments </w:t>
            </w:r>
            <w:r w:rsidR="00E92FD1">
              <w:t>(I</w:t>
            </w:r>
            <w:r w:rsidR="00E92FD1" w:rsidRPr="00283CAD">
              <w:t>RG-AVQA</w:t>
            </w:r>
            <w:r w:rsidR="00E92FD1">
              <w:t>)</w:t>
            </w:r>
            <w:r w:rsidR="00E92FD1" w:rsidRPr="00283CAD">
              <w:t xml:space="preserve"> </w:t>
            </w:r>
            <w:r w:rsidRPr="00283CAD">
              <w:t xml:space="preserve">and on Integrated Broadcast Broadband Systems </w:t>
            </w:r>
            <w:r w:rsidR="00E92FD1">
              <w:t>(</w:t>
            </w:r>
            <w:r w:rsidR="00E92FD1" w:rsidRPr="00283CAD">
              <w:t>IRG-IBB</w:t>
            </w:r>
            <w:r w:rsidR="00E92FD1">
              <w:t>)</w:t>
            </w:r>
            <w:r w:rsidR="00E92FD1" w:rsidRPr="00283CAD">
              <w:t xml:space="preserve"> </w:t>
            </w:r>
            <w:r w:rsidRPr="00283CAD">
              <w:t>were established.</w:t>
            </w:r>
          </w:p>
        </w:tc>
        <w:tc>
          <w:tcPr>
            <w:tcW w:w="3293" w:type="dxa"/>
          </w:tcPr>
          <w:p w:rsidR="00A72C39" w:rsidRPr="00283CAD" w:rsidRDefault="00143B1E" w:rsidP="003D6943">
            <w:pPr>
              <w:pStyle w:val="Tabletext"/>
            </w:pPr>
            <w:r>
              <w:t>Ongoing</w:t>
            </w:r>
          </w:p>
        </w:tc>
      </w:tr>
      <w:tr w:rsidR="00A72C39" w:rsidTr="00A72C39">
        <w:trPr>
          <w:cantSplit/>
          <w:jc w:val="center"/>
        </w:trPr>
        <w:tc>
          <w:tcPr>
            <w:tcW w:w="2037" w:type="dxa"/>
          </w:tcPr>
          <w:p w:rsidR="00A72C39" w:rsidRDefault="00A72C39">
            <w:pPr>
              <w:pStyle w:val="Tabletext"/>
            </w:pPr>
            <w:r w:rsidRPr="00283CAD">
              <w:t>Resolution 9-</w:t>
            </w:r>
            <w:r>
              <w:t>5</w:t>
            </w:r>
          </w:p>
          <w:p w:rsidR="00A72C39" w:rsidRPr="00283CAD" w:rsidRDefault="00A72C39" w:rsidP="00192B72">
            <w:pPr>
              <w:pStyle w:val="Tabletext"/>
            </w:pPr>
            <w:r w:rsidRPr="00192B72">
              <w:t>Liaison and collaboration with other relevant organizations, in particular ISO, IEC and CISPR</w:t>
            </w:r>
          </w:p>
        </w:tc>
        <w:tc>
          <w:tcPr>
            <w:tcW w:w="4231" w:type="dxa"/>
          </w:tcPr>
          <w:p w:rsidR="00A72C39" w:rsidRDefault="00A72C39" w:rsidP="00283CAD">
            <w:pPr>
              <w:pStyle w:val="Tabletext"/>
            </w:pPr>
            <w:r>
              <w:t>resolves</w:t>
            </w:r>
          </w:p>
          <w:p w:rsidR="00A72C39" w:rsidRPr="00283CAD" w:rsidRDefault="00A72C39" w:rsidP="00283CAD">
            <w:pPr>
              <w:pStyle w:val="Tabletext"/>
            </w:pPr>
            <w:r w:rsidRPr="00192B72">
              <w:t>that Radiocommunication Study Groups or groups established by the Study Groups, may liaise, collaborate, and exchange information in accordance with established principles (see Annex 1) with other organizations such as standard development organizations, universities, and industry organizations, and with partnership projects, forums, consortia, research collaborations</w:t>
            </w:r>
          </w:p>
        </w:tc>
        <w:tc>
          <w:tcPr>
            <w:tcW w:w="848" w:type="dxa"/>
          </w:tcPr>
          <w:p w:rsidR="00A72C39" w:rsidRPr="00283CAD" w:rsidRDefault="00A72C39" w:rsidP="000308C6">
            <w:pPr>
              <w:pStyle w:val="Tabletext"/>
              <w:jc w:val="center"/>
            </w:pPr>
            <w:r>
              <w:t>All</w:t>
            </w:r>
          </w:p>
        </w:tc>
        <w:tc>
          <w:tcPr>
            <w:tcW w:w="3620" w:type="dxa"/>
          </w:tcPr>
          <w:p w:rsidR="00A72C39" w:rsidRPr="00283CAD" w:rsidRDefault="00A72C39" w:rsidP="00283CAD">
            <w:pPr>
              <w:pStyle w:val="Tabletext"/>
            </w:pPr>
            <w:r w:rsidRPr="00283CAD">
              <w:t>The Study Group, in accordance with this Resolution, maintains close collaboration with ISO and IEC and develops common text, including Recommendations. SG 6 also collaborates with other organizations like ETSI, SMPTE, ARIB, HbbTV, OMA, ABNT, TIA, in developing Recommendations with common text.</w:t>
            </w:r>
          </w:p>
        </w:tc>
        <w:tc>
          <w:tcPr>
            <w:tcW w:w="3293" w:type="dxa"/>
          </w:tcPr>
          <w:p w:rsidR="00A72C39" w:rsidRPr="00283CAD" w:rsidRDefault="00A72C39" w:rsidP="00283CAD">
            <w:pPr>
              <w:pStyle w:val="Tabletext"/>
            </w:pPr>
            <w:r w:rsidRPr="00283CAD">
              <w:t>Ongoing</w:t>
            </w:r>
          </w:p>
        </w:tc>
      </w:tr>
      <w:tr w:rsidR="00A72C39" w:rsidTr="00A72C39">
        <w:trPr>
          <w:cantSplit/>
          <w:jc w:val="center"/>
        </w:trPr>
        <w:tc>
          <w:tcPr>
            <w:tcW w:w="2037" w:type="dxa"/>
          </w:tcPr>
          <w:p w:rsidR="00A72C39" w:rsidRDefault="00A72C39" w:rsidP="00283CAD">
            <w:pPr>
              <w:pStyle w:val="Tabletext"/>
            </w:pPr>
            <w:r w:rsidRPr="00283CAD">
              <w:rPr>
                <w:rFonts w:hint="eastAsia"/>
              </w:rPr>
              <w:t>Resolution 12-1</w:t>
            </w:r>
          </w:p>
          <w:p w:rsidR="00A72C39" w:rsidRPr="00283CAD" w:rsidRDefault="00A72C39" w:rsidP="00283CAD">
            <w:pPr>
              <w:pStyle w:val="Tabletext"/>
            </w:pPr>
            <w:r w:rsidRPr="00283CAD">
              <w:t xml:space="preserve">Handbooks and special publications </w:t>
            </w:r>
            <w:r w:rsidRPr="00283CAD">
              <w:lastRenderedPageBreak/>
              <w:t>for development of radiocommunication services</w:t>
            </w:r>
          </w:p>
        </w:tc>
        <w:tc>
          <w:tcPr>
            <w:tcW w:w="4231" w:type="dxa"/>
          </w:tcPr>
          <w:p w:rsidR="00A72C39" w:rsidRDefault="00A72C39" w:rsidP="004D6C78">
            <w:pPr>
              <w:pStyle w:val="Tabletext"/>
            </w:pPr>
            <w:r>
              <w:lastRenderedPageBreak/>
              <w:t>resolves</w:t>
            </w:r>
          </w:p>
          <w:p w:rsidR="00A72C39" w:rsidRPr="00283CAD" w:rsidRDefault="00A72C39" w:rsidP="004D6C78">
            <w:pPr>
              <w:pStyle w:val="Tabletext"/>
            </w:pPr>
            <w:r>
              <w:t xml:space="preserve">1 that in establishing priorities for the preparation and publishing of handbooks </w:t>
            </w:r>
            <w:r>
              <w:lastRenderedPageBreak/>
              <w:t>and special publications, special consideration should be given to the needs of developing countries,</w:t>
            </w:r>
          </w:p>
        </w:tc>
        <w:tc>
          <w:tcPr>
            <w:tcW w:w="848" w:type="dxa"/>
          </w:tcPr>
          <w:p w:rsidR="00A72C39" w:rsidRPr="00283CAD" w:rsidRDefault="00A72C39" w:rsidP="000308C6">
            <w:pPr>
              <w:pStyle w:val="Tabletext"/>
              <w:jc w:val="center"/>
            </w:pPr>
            <w:r w:rsidRPr="00283CAD">
              <w:lastRenderedPageBreak/>
              <w:t>6</w:t>
            </w:r>
            <w:r w:rsidRPr="00283CAD">
              <w:rPr>
                <w:rFonts w:hint="eastAsia"/>
              </w:rPr>
              <w:t>A</w:t>
            </w:r>
          </w:p>
        </w:tc>
        <w:tc>
          <w:tcPr>
            <w:tcW w:w="3620" w:type="dxa"/>
          </w:tcPr>
          <w:p w:rsidR="00A72C39" w:rsidRPr="00283CAD" w:rsidRDefault="00A72C39" w:rsidP="003C7740">
            <w:pPr>
              <w:pStyle w:val="Tabletext"/>
            </w:pPr>
            <w:r w:rsidRPr="00283CAD">
              <w:t>Handbook on Digital Terrestrial Television</w:t>
            </w:r>
            <w:r>
              <w:t xml:space="preserve"> Broadcasting </w:t>
            </w:r>
            <w:r w:rsidRPr="00283CAD">
              <w:t xml:space="preserve">(DTTB) </w:t>
            </w:r>
            <w:r>
              <w:t xml:space="preserve">Networks and Systems </w:t>
            </w:r>
            <w:r w:rsidRPr="00283CAD">
              <w:lastRenderedPageBreak/>
              <w:t>Implementation</w:t>
            </w:r>
            <w:r>
              <w:t xml:space="preserve"> was approved and </w:t>
            </w:r>
            <w:r w:rsidR="003C7740">
              <w:t xml:space="preserve">available in electronic format </w:t>
            </w:r>
            <w:r>
              <w:t>for free download</w:t>
            </w:r>
            <w:r w:rsidR="003C7740">
              <w:t xml:space="preserve"> and also in hard-copy.</w:t>
            </w:r>
          </w:p>
        </w:tc>
        <w:tc>
          <w:tcPr>
            <w:tcW w:w="3293" w:type="dxa"/>
          </w:tcPr>
          <w:p w:rsidR="00A72C39" w:rsidRPr="00283CAD" w:rsidRDefault="00A72C39" w:rsidP="00283CAD">
            <w:pPr>
              <w:pStyle w:val="Tabletext"/>
            </w:pPr>
            <w:r w:rsidRPr="00283CAD">
              <w:lastRenderedPageBreak/>
              <w:t>Ongoing</w:t>
            </w:r>
          </w:p>
        </w:tc>
      </w:tr>
      <w:tr w:rsidR="00A72C39" w:rsidTr="00A72C39">
        <w:trPr>
          <w:cantSplit/>
          <w:jc w:val="center"/>
        </w:trPr>
        <w:tc>
          <w:tcPr>
            <w:tcW w:w="2037" w:type="dxa"/>
          </w:tcPr>
          <w:p w:rsidR="00A72C39" w:rsidRDefault="00A72C39" w:rsidP="00AD2861">
            <w:pPr>
              <w:pStyle w:val="Tabletext"/>
            </w:pPr>
            <w:r w:rsidRPr="00283CAD">
              <w:t>Resolution</w:t>
            </w:r>
            <w:r w:rsidRPr="00283CAD">
              <w:rPr>
                <w:rFonts w:hint="eastAsia"/>
              </w:rPr>
              <w:t xml:space="preserve"> 34-3</w:t>
            </w:r>
          </w:p>
          <w:p w:rsidR="00A72C39" w:rsidRPr="00832517" w:rsidRDefault="00A72C39" w:rsidP="00AD2861">
            <w:pPr>
              <w:pStyle w:val="Tabletext"/>
              <w:rPr>
                <w:i/>
                <w:iCs/>
              </w:rPr>
            </w:pPr>
            <w:r w:rsidRPr="00832517">
              <w:rPr>
                <w:i/>
                <w:iCs/>
              </w:rPr>
              <w:t>Guidelines for the preparation of terms and definitions</w:t>
            </w:r>
          </w:p>
          <w:p w:rsidR="003C7740" w:rsidRPr="00283CAD" w:rsidRDefault="003C7740" w:rsidP="003C7740">
            <w:pPr>
              <w:pStyle w:val="Tabletext"/>
            </w:pPr>
            <w:r w:rsidRPr="00283CAD">
              <w:rPr>
                <w:rFonts w:hint="eastAsia"/>
              </w:rPr>
              <w:t>Resolution 35-3</w:t>
            </w:r>
          </w:p>
          <w:p w:rsidR="003C7740" w:rsidRPr="00832517" w:rsidRDefault="003C7740" w:rsidP="003C7740">
            <w:pPr>
              <w:pStyle w:val="Tabletext"/>
              <w:rPr>
                <w:i/>
                <w:iCs/>
              </w:rPr>
            </w:pPr>
            <w:r w:rsidRPr="00832517">
              <w:rPr>
                <w:i/>
                <w:iCs/>
              </w:rPr>
              <w:t>The organization of vocabulary work covering terms and definitions</w:t>
            </w:r>
          </w:p>
          <w:p w:rsidR="00A72C39" w:rsidRPr="00283CAD" w:rsidDel="00BB22C0" w:rsidRDefault="003C7740" w:rsidP="003C7740">
            <w:pPr>
              <w:pStyle w:val="Tabletext"/>
            </w:pPr>
            <w:r w:rsidRPr="00283CAD">
              <w:rPr>
                <w:rFonts w:hint="eastAsia"/>
              </w:rPr>
              <w:t>Resolution 36-3</w:t>
            </w:r>
            <w:r w:rsidRPr="00832517">
              <w:rPr>
                <w:i/>
                <w:iCs/>
              </w:rPr>
              <w:t xml:space="preserve"> Coordination of vocabulary</w:t>
            </w:r>
          </w:p>
        </w:tc>
        <w:tc>
          <w:tcPr>
            <w:tcW w:w="4231" w:type="dxa"/>
          </w:tcPr>
          <w:p w:rsidR="00A72C39" w:rsidRPr="00283CAD" w:rsidRDefault="00A72C39" w:rsidP="00283CAD">
            <w:pPr>
              <w:pStyle w:val="Tabletext"/>
            </w:pPr>
          </w:p>
        </w:tc>
        <w:tc>
          <w:tcPr>
            <w:tcW w:w="848" w:type="dxa"/>
          </w:tcPr>
          <w:p w:rsidR="00A72C39" w:rsidRPr="00283CAD" w:rsidRDefault="00A72C39" w:rsidP="000308C6">
            <w:pPr>
              <w:pStyle w:val="Tabletext"/>
              <w:jc w:val="center"/>
            </w:pPr>
            <w:r>
              <w:t>All</w:t>
            </w:r>
          </w:p>
        </w:tc>
        <w:tc>
          <w:tcPr>
            <w:tcW w:w="3620" w:type="dxa"/>
          </w:tcPr>
          <w:p w:rsidR="00A72C39" w:rsidRPr="00283CAD" w:rsidRDefault="00A72C39" w:rsidP="005B4D58">
            <w:pPr>
              <w:pStyle w:val="Tabletext"/>
              <w:keepLines/>
            </w:pPr>
            <w:r w:rsidRPr="00283CAD">
              <w:t>The Study Group has been forwarding terms and definitions to the CCV following each meeting where it has agreed to have ITU-R Recommendations sent for the adoption and approval procedure. These terms and definitions are for inclusion in the ITU Terminology database.</w:t>
            </w:r>
          </w:p>
        </w:tc>
        <w:tc>
          <w:tcPr>
            <w:tcW w:w="3293" w:type="dxa"/>
          </w:tcPr>
          <w:p w:rsidR="00A72C39" w:rsidRPr="00283CAD" w:rsidRDefault="00A72C39" w:rsidP="00283CAD">
            <w:pPr>
              <w:pStyle w:val="Tabletext"/>
            </w:pPr>
            <w:r w:rsidRPr="00283CAD">
              <w:t>Ongoing</w:t>
            </w:r>
          </w:p>
        </w:tc>
      </w:tr>
    </w:tbl>
    <w:p w:rsidR="00283CAD" w:rsidRDefault="00283CAD" w:rsidP="00283CAD"/>
    <w:p w:rsidR="00283CAD" w:rsidRDefault="00283CAD">
      <w:pPr>
        <w:jc w:val="center"/>
      </w:pPr>
    </w:p>
    <w:p w:rsidR="00283CAD" w:rsidRDefault="00283CAD">
      <w:pPr>
        <w:jc w:val="center"/>
      </w:pPr>
      <w:r>
        <w:t>______________</w:t>
      </w:r>
    </w:p>
    <w:sectPr w:rsidR="00283CAD" w:rsidSect="003D6943">
      <w:footerReference w:type="default" r:id="rId11"/>
      <w:headerReference w:type="first" r:id="rId12"/>
      <w:pgSz w:w="16834" w:h="11907" w:orient="landscape" w:code="9"/>
      <w:pgMar w:top="1134" w:right="1134" w:bottom="1134" w:left="113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D6F" w:rsidRDefault="00D37D6F">
      <w:r>
        <w:separator/>
      </w:r>
    </w:p>
  </w:endnote>
  <w:endnote w:type="continuationSeparator" w:id="0">
    <w:p w:rsidR="00D37D6F" w:rsidRDefault="00D3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4D9" w:rsidRDefault="00C16D02" w:rsidP="00D67A77">
    <w:pPr>
      <w:pStyle w:val="Footer"/>
    </w:pPr>
    <w:r>
      <w:fldChar w:fldCharType="begin"/>
    </w:r>
    <w:r>
      <w:instrText xml:space="preserve"> FILENAME \p  \* MERGEFORMAT </w:instrText>
    </w:r>
    <w:r>
      <w:fldChar w:fldCharType="separate"/>
    </w:r>
    <w:r w:rsidR="00A524D9">
      <w:t>P:\ENG\ITU-R\AG\RAG\RAG15\000\023E.docx</w:t>
    </w:r>
    <w:r>
      <w:fldChar w:fldCharType="end"/>
    </w:r>
    <w:r w:rsidR="00A524D9">
      <w:t xml:space="preserve"> (379942)</w:t>
    </w:r>
    <w:r w:rsidR="00A524D9">
      <w:tab/>
    </w:r>
    <w:r w:rsidR="00A524D9">
      <w:fldChar w:fldCharType="begin"/>
    </w:r>
    <w:r w:rsidR="00A524D9">
      <w:instrText xml:space="preserve"> SAVEDATE \@ DD.MM.YY </w:instrText>
    </w:r>
    <w:r w:rsidR="00A524D9">
      <w:fldChar w:fldCharType="separate"/>
    </w:r>
    <w:r>
      <w:t>25.04.17</w:t>
    </w:r>
    <w:r w:rsidR="00A524D9">
      <w:fldChar w:fldCharType="end"/>
    </w:r>
    <w:r w:rsidR="00A524D9">
      <w:tab/>
    </w:r>
    <w:r w:rsidR="00A524D9">
      <w:fldChar w:fldCharType="begin"/>
    </w:r>
    <w:r w:rsidR="00A524D9">
      <w:instrText xml:space="preserve"> PRINTDATE \@ DD.MM.YY </w:instrText>
    </w:r>
    <w:r w:rsidR="00A524D9">
      <w:fldChar w:fldCharType="separate"/>
    </w:r>
    <w:r w:rsidR="00A524D9">
      <w:t>29.04.15</w:t>
    </w:r>
    <w:r w:rsidR="00A524D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4D9" w:rsidRDefault="00C16D02">
    <w:pPr>
      <w:pStyle w:val="Footer"/>
    </w:pPr>
    <w:r>
      <w:fldChar w:fldCharType="begin"/>
    </w:r>
    <w:r>
      <w:instrText xml:space="preserve"> FILENAME \p  \* MERGEFORMAT </w:instrText>
    </w:r>
    <w:r>
      <w:fldChar w:fldCharType="separate"/>
    </w:r>
    <w:r w:rsidR="00A524D9">
      <w:t>P:\ENG\ITU-R\AG\RAG\RAG15\000\023E.docx</w:t>
    </w:r>
    <w:r>
      <w:fldChar w:fldCharType="end"/>
    </w:r>
    <w:r w:rsidR="00A524D9">
      <w:t xml:space="preserve"> (379960)</w:t>
    </w:r>
    <w:r w:rsidR="00A524D9">
      <w:tab/>
    </w:r>
    <w:r w:rsidR="00A524D9">
      <w:fldChar w:fldCharType="begin"/>
    </w:r>
    <w:r w:rsidR="00A524D9">
      <w:instrText xml:space="preserve"> SAVEDATE \@ DD.MM.YY </w:instrText>
    </w:r>
    <w:r w:rsidR="00A524D9">
      <w:fldChar w:fldCharType="separate"/>
    </w:r>
    <w:r>
      <w:t>25.04.17</w:t>
    </w:r>
    <w:r w:rsidR="00A524D9">
      <w:fldChar w:fldCharType="end"/>
    </w:r>
    <w:r w:rsidR="00A524D9">
      <w:tab/>
    </w:r>
    <w:r w:rsidR="00A524D9">
      <w:fldChar w:fldCharType="begin"/>
    </w:r>
    <w:r w:rsidR="00A524D9">
      <w:instrText xml:space="preserve"> PRINTDATE \@ DD.MM.YY </w:instrText>
    </w:r>
    <w:r w:rsidR="00A524D9">
      <w:fldChar w:fldCharType="separate"/>
    </w:r>
    <w:r w:rsidR="00A524D9">
      <w:t>29.04.15</w:t>
    </w:r>
    <w:r w:rsidR="00A524D9">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4D9" w:rsidRDefault="00C16D02" w:rsidP="00283CAD">
    <w:pPr>
      <w:pStyle w:val="Footer"/>
    </w:pPr>
    <w:r>
      <w:fldChar w:fldCharType="begin"/>
    </w:r>
    <w:r>
      <w:instrText xml:space="preserve"> FILENAME \p  \* MERGEFORMAT </w:instrText>
    </w:r>
    <w:r>
      <w:fldChar w:fldCharType="separate"/>
    </w:r>
    <w:r w:rsidR="00A524D9">
      <w:t>P:\ENG\ITU-R\AG\RAG\RAG15\000\023E.docx</w:t>
    </w:r>
    <w:r>
      <w:fldChar w:fldCharType="end"/>
    </w:r>
    <w:r w:rsidR="00A524D9">
      <w:t xml:space="preserve"> (379960)</w:t>
    </w:r>
    <w:r w:rsidR="00A524D9">
      <w:tab/>
    </w:r>
    <w:r w:rsidR="00A524D9">
      <w:fldChar w:fldCharType="begin"/>
    </w:r>
    <w:r w:rsidR="00A524D9">
      <w:instrText xml:space="preserve"> SAVEDATE \@ DD.MM.YY </w:instrText>
    </w:r>
    <w:r w:rsidR="00A524D9">
      <w:fldChar w:fldCharType="separate"/>
    </w:r>
    <w:r>
      <w:t>25.04.17</w:t>
    </w:r>
    <w:r w:rsidR="00A524D9">
      <w:fldChar w:fldCharType="end"/>
    </w:r>
    <w:r w:rsidR="00A524D9">
      <w:tab/>
    </w:r>
    <w:r w:rsidR="00A524D9">
      <w:fldChar w:fldCharType="begin"/>
    </w:r>
    <w:r w:rsidR="00A524D9">
      <w:instrText xml:space="preserve"> PRINTDATE \@ DD.MM.YY </w:instrText>
    </w:r>
    <w:r w:rsidR="00A524D9">
      <w:fldChar w:fldCharType="separate"/>
    </w:r>
    <w:r w:rsidR="00A524D9">
      <w:t>29.04.15</w:t>
    </w:r>
    <w:r w:rsidR="00A524D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D6F" w:rsidRDefault="00D37D6F">
      <w:r>
        <w:t>____________________</w:t>
      </w:r>
    </w:p>
  </w:footnote>
  <w:footnote w:type="continuationSeparator" w:id="0">
    <w:p w:rsidR="00D37D6F" w:rsidRDefault="00D37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4D9" w:rsidRDefault="00A524D9" w:rsidP="001E41A0">
    <w:pPr>
      <w:pStyle w:val="Header"/>
      <w:rPr>
        <w:lang w:val="es-ES"/>
      </w:rPr>
    </w:pPr>
    <w:r>
      <w:fldChar w:fldCharType="begin"/>
    </w:r>
    <w:r>
      <w:instrText xml:space="preserve"> PAGE </w:instrText>
    </w:r>
    <w:r>
      <w:fldChar w:fldCharType="separate"/>
    </w:r>
    <w:r w:rsidR="00C16D02">
      <w:rPr>
        <w:noProof/>
      </w:rPr>
      <w:t>7</w:t>
    </w:r>
    <w:r>
      <w:rPr>
        <w:noProof/>
      </w:rPr>
      <w:fldChar w:fldCharType="end"/>
    </w:r>
  </w:p>
  <w:p w:rsidR="00A524D9" w:rsidRDefault="00A524D9" w:rsidP="00283CAD">
    <w:pPr>
      <w:pStyle w:val="Header"/>
      <w:rPr>
        <w:lang w:val="es-ES"/>
      </w:rPr>
    </w:pPr>
    <w:r>
      <w:rPr>
        <w:lang w:val="es-ES"/>
      </w:rPr>
      <w:t>RAG15-1/23-E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188151"/>
      <w:docPartObj>
        <w:docPartGallery w:val="Page Numbers (Top of Page)"/>
        <w:docPartUnique/>
      </w:docPartObj>
    </w:sdtPr>
    <w:sdtEndPr>
      <w:rPr>
        <w:noProof/>
      </w:rPr>
    </w:sdtEndPr>
    <w:sdtContent>
      <w:p w:rsidR="00A524D9" w:rsidRDefault="00A524D9">
        <w:pPr>
          <w:pStyle w:val="Header"/>
        </w:pPr>
        <w:r>
          <w:fldChar w:fldCharType="begin"/>
        </w:r>
        <w:r>
          <w:instrText xml:space="preserve"> PAGE   \* MERGEFORMAT </w:instrText>
        </w:r>
        <w:r>
          <w:fldChar w:fldCharType="separate"/>
        </w:r>
        <w:r>
          <w:rPr>
            <w:noProof/>
          </w:rPr>
          <w:t>2</w:t>
        </w:r>
        <w:r>
          <w:rPr>
            <w:noProof/>
          </w:rPr>
          <w:fldChar w:fldCharType="end"/>
        </w:r>
      </w:p>
    </w:sdtContent>
  </w:sdt>
  <w:p w:rsidR="00A524D9" w:rsidRDefault="00A524D9">
    <w:pPr>
      <w:pStyle w:val="Header"/>
    </w:pPr>
    <w:r>
      <w:t>RAG13-1/2-E</w:t>
    </w:r>
  </w:p>
  <w:p w:rsidR="00A524D9" w:rsidRDefault="00A524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6DF0808"/>
    <w:multiLevelType w:val="hybridMultilevel"/>
    <w:tmpl w:val="08FAB984"/>
    <w:lvl w:ilvl="0" w:tplc="9F20077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832"/>
    <w:rsid w:val="00001E6A"/>
    <w:rsid w:val="000100BF"/>
    <w:rsid w:val="000308C6"/>
    <w:rsid w:val="0005262B"/>
    <w:rsid w:val="00056D88"/>
    <w:rsid w:val="00093C73"/>
    <w:rsid w:val="000A25BF"/>
    <w:rsid w:val="0012511B"/>
    <w:rsid w:val="00125B7F"/>
    <w:rsid w:val="001377D6"/>
    <w:rsid w:val="00143B1E"/>
    <w:rsid w:val="0016601B"/>
    <w:rsid w:val="00177CEE"/>
    <w:rsid w:val="00192B72"/>
    <w:rsid w:val="001E41A0"/>
    <w:rsid w:val="002774E4"/>
    <w:rsid w:val="00283CAD"/>
    <w:rsid w:val="00302AA8"/>
    <w:rsid w:val="003C7740"/>
    <w:rsid w:val="003D068D"/>
    <w:rsid w:val="003D6943"/>
    <w:rsid w:val="004114C0"/>
    <w:rsid w:val="00453CB7"/>
    <w:rsid w:val="004C0D10"/>
    <w:rsid w:val="004D6C78"/>
    <w:rsid w:val="004F0848"/>
    <w:rsid w:val="00507DA3"/>
    <w:rsid w:val="0051782D"/>
    <w:rsid w:val="00564346"/>
    <w:rsid w:val="00586A6F"/>
    <w:rsid w:val="005950CC"/>
    <w:rsid w:val="00597657"/>
    <w:rsid w:val="005B2C58"/>
    <w:rsid w:val="005B4D58"/>
    <w:rsid w:val="006A20D2"/>
    <w:rsid w:val="006B3318"/>
    <w:rsid w:val="006F6EB0"/>
    <w:rsid w:val="00746923"/>
    <w:rsid w:val="007D4B1F"/>
    <w:rsid w:val="00806E63"/>
    <w:rsid w:val="0081028D"/>
    <w:rsid w:val="0081390F"/>
    <w:rsid w:val="00832517"/>
    <w:rsid w:val="00851FDB"/>
    <w:rsid w:val="00855463"/>
    <w:rsid w:val="008B1096"/>
    <w:rsid w:val="008B3F50"/>
    <w:rsid w:val="00917733"/>
    <w:rsid w:val="0095426A"/>
    <w:rsid w:val="00970893"/>
    <w:rsid w:val="009A1C50"/>
    <w:rsid w:val="009B6C32"/>
    <w:rsid w:val="009D27EC"/>
    <w:rsid w:val="00A16CB2"/>
    <w:rsid w:val="00A26BE9"/>
    <w:rsid w:val="00A338C8"/>
    <w:rsid w:val="00A524D9"/>
    <w:rsid w:val="00A72C39"/>
    <w:rsid w:val="00AD2861"/>
    <w:rsid w:val="00B35BE4"/>
    <w:rsid w:val="00B46937"/>
    <w:rsid w:val="00B52992"/>
    <w:rsid w:val="00BF3C27"/>
    <w:rsid w:val="00C16D02"/>
    <w:rsid w:val="00C2541E"/>
    <w:rsid w:val="00C94E15"/>
    <w:rsid w:val="00C95206"/>
    <w:rsid w:val="00CB2832"/>
    <w:rsid w:val="00CC1D49"/>
    <w:rsid w:val="00CD17D4"/>
    <w:rsid w:val="00CD4D80"/>
    <w:rsid w:val="00CE366B"/>
    <w:rsid w:val="00CF7532"/>
    <w:rsid w:val="00D17225"/>
    <w:rsid w:val="00D211BC"/>
    <w:rsid w:val="00D37D6F"/>
    <w:rsid w:val="00D67A77"/>
    <w:rsid w:val="00D705A7"/>
    <w:rsid w:val="00D8289E"/>
    <w:rsid w:val="00DB4AB4"/>
    <w:rsid w:val="00DD3BF8"/>
    <w:rsid w:val="00DF768F"/>
    <w:rsid w:val="00E16DA1"/>
    <w:rsid w:val="00E410C1"/>
    <w:rsid w:val="00E716C3"/>
    <w:rsid w:val="00E92FD1"/>
    <w:rsid w:val="00EA7325"/>
    <w:rsid w:val="00F04DD3"/>
    <w:rsid w:val="00F749FF"/>
    <w:rsid w:val="00F75D9B"/>
    <w:rsid w:val="00F8448C"/>
    <w:rsid w:val="00F87E19"/>
    <w:rsid w:val="00FC1E29"/>
    <w:rsid w:val="00FE79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EE6E6C-920F-40BC-AB9D-25944795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customStyle="1" w:styleId="Reasons">
    <w:name w:val="Reasons"/>
    <w:basedOn w:val="Normal"/>
    <w:qFormat/>
    <w:rsid w:val="00125B7F"/>
    <w:pPr>
      <w:tabs>
        <w:tab w:val="clear" w:pos="794"/>
        <w:tab w:val="clear" w:pos="1191"/>
        <w:tab w:val="left" w:pos="1134"/>
      </w:tabs>
    </w:pPr>
  </w:style>
  <w:style w:type="character" w:customStyle="1" w:styleId="TabletextChar">
    <w:name w:val="Table_text Char"/>
    <w:basedOn w:val="DefaultParagraphFont"/>
    <w:link w:val="Tabletext"/>
    <w:locked/>
    <w:rsid w:val="00283CAD"/>
    <w:rPr>
      <w:rFonts w:ascii="Times New Roman" w:hAnsi="Times New Roman"/>
      <w:sz w:val="22"/>
      <w:lang w:val="en-GB" w:eastAsia="en-US"/>
    </w:rPr>
  </w:style>
  <w:style w:type="paragraph" w:customStyle="1" w:styleId="AppendixNo">
    <w:name w:val="Appendix_No"/>
    <w:basedOn w:val="Normal"/>
    <w:next w:val="Normal"/>
    <w:rsid w:val="00283CAD"/>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rPr>
  </w:style>
  <w:style w:type="paragraph" w:customStyle="1" w:styleId="Appendixtitle">
    <w:name w:val="Appendix_title"/>
    <w:basedOn w:val="Normal"/>
    <w:next w:val="Normal"/>
    <w:rsid w:val="00283CAD"/>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rPr>
  </w:style>
  <w:style w:type="table" w:styleId="TableGrid">
    <w:name w:val="Table Grid"/>
    <w:basedOn w:val="TableNormal"/>
    <w:rsid w:val="0028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PE_RAG15.dotm</Template>
  <TotalTime>1</TotalTime>
  <Pages>7</Pages>
  <Words>1325</Words>
  <Characters>8147</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 Jane</dc:creator>
  <cp:keywords/>
  <dc:description>PE_RAG10.dotm  For: _x000d_Document date: _x000d_Saved by TRA44246 at 12:32:17 on 12.02.2010</dc:description>
  <cp:lastModifiedBy>Huguet, Fabienne</cp:lastModifiedBy>
  <cp:revision>2</cp:revision>
  <cp:lastPrinted>2015-04-29T11:40:00Z</cp:lastPrinted>
  <dcterms:created xsi:type="dcterms:W3CDTF">2017-04-25T13:24:00Z</dcterms:created>
  <dcterms:modified xsi:type="dcterms:W3CDTF">2017-04-25T13:24:00Z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