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8F8" w:rsidRPr="000E28F8" w:rsidRDefault="000E28F8" w:rsidP="000E28F8">
      <w:pPr>
        <w:jc w:val="center"/>
        <w:rPr>
          <w:rFonts w:ascii="Times New Roman" w:hAnsi="Times New Roman" w:cs="Times New Roman"/>
          <w:sz w:val="28"/>
          <w:szCs w:val="28"/>
        </w:rPr>
      </w:pPr>
      <w:bookmarkStart w:id="0" w:name="_Toc450048810"/>
      <w:bookmarkStart w:id="1" w:name="_Toc35789404"/>
      <w:bookmarkStart w:id="2" w:name="_Toc35857101"/>
      <w:bookmarkStart w:id="3" w:name="_Toc35877736"/>
      <w:bookmarkStart w:id="4" w:name="_Toc35963679"/>
      <w:r w:rsidRPr="000E28F8">
        <w:rPr>
          <w:rFonts w:ascii="Times New Roman" w:hAnsi="Times New Roman" w:cs="Times New Roman"/>
          <w:sz w:val="28"/>
          <w:szCs w:val="28"/>
        </w:rPr>
        <w:t>RESOLUTION 731 (</w:t>
      </w:r>
      <w:proofErr w:type="spellStart"/>
      <w:r w:rsidRPr="000E28F8">
        <w:rPr>
          <w:rFonts w:ascii="Times New Roman" w:hAnsi="Times New Roman" w:cs="Times New Roman"/>
          <w:sz w:val="28"/>
          <w:szCs w:val="28"/>
        </w:rPr>
        <w:t>REV.WRC</w:t>
      </w:r>
      <w:proofErr w:type="spellEnd"/>
      <w:r w:rsidRPr="000E28F8">
        <w:rPr>
          <w:rFonts w:ascii="Times New Roman" w:hAnsi="Times New Roman" w:cs="Times New Roman"/>
          <w:sz w:val="28"/>
          <w:szCs w:val="28"/>
        </w:rPr>
        <w:noBreakHyphen/>
        <w:t>19)</w:t>
      </w:r>
      <w:bookmarkEnd w:id="0"/>
      <w:bookmarkEnd w:id="1"/>
      <w:bookmarkEnd w:id="2"/>
      <w:bookmarkEnd w:id="3"/>
      <w:bookmarkEnd w:id="4"/>
    </w:p>
    <w:p w:rsidR="000E28F8" w:rsidRPr="000E28F8" w:rsidRDefault="000E28F8" w:rsidP="000E28F8">
      <w:pPr>
        <w:jc w:val="center"/>
        <w:rPr>
          <w:rFonts w:ascii="Times New Roman" w:hAnsi="Times New Roman" w:cs="Times New Roman"/>
          <w:b/>
          <w:sz w:val="28"/>
          <w:szCs w:val="28"/>
        </w:rPr>
      </w:pPr>
      <w:bookmarkStart w:id="5" w:name="_Toc450048811"/>
      <w:bookmarkStart w:id="6" w:name="_Toc327364551"/>
      <w:bookmarkStart w:id="7" w:name="_Toc319401894"/>
      <w:bookmarkStart w:id="8" w:name="_Toc35789405"/>
      <w:bookmarkStart w:id="9" w:name="_Toc35857102"/>
      <w:bookmarkStart w:id="10" w:name="_Toc35877737"/>
      <w:bookmarkStart w:id="11" w:name="_Toc35963680"/>
      <w:r w:rsidRPr="000E28F8">
        <w:rPr>
          <w:rFonts w:ascii="Times New Roman" w:hAnsi="Times New Roman" w:cs="Times New Roman"/>
          <w:b/>
          <w:sz w:val="28"/>
          <w:szCs w:val="28"/>
        </w:rPr>
        <w:t xml:space="preserve">Consideration of sharing and adjacent-band compatibility </w:t>
      </w:r>
      <w:r w:rsidRPr="000E28F8">
        <w:rPr>
          <w:rFonts w:ascii="Times New Roman" w:hAnsi="Times New Roman" w:cs="Times New Roman"/>
          <w:b/>
          <w:sz w:val="28"/>
          <w:szCs w:val="28"/>
        </w:rPr>
        <w:br/>
        <w:t>between passive and active services above 71 GHz</w:t>
      </w:r>
      <w:bookmarkEnd w:id="5"/>
      <w:bookmarkEnd w:id="6"/>
      <w:bookmarkEnd w:id="7"/>
      <w:bookmarkEnd w:id="8"/>
      <w:bookmarkEnd w:id="9"/>
      <w:bookmarkEnd w:id="10"/>
      <w:bookmarkEnd w:id="11"/>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The World Radiocommunication Conference (Sharm el-Sheikh, 2019),</w:t>
      </w:r>
    </w:p>
    <w:p w:rsidR="000E28F8" w:rsidRPr="000E28F8" w:rsidRDefault="000E28F8" w:rsidP="000E28F8">
      <w:pPr>
        <w:rPr>
          <w:rFonts w:ascii="Times New Roman" w:hAnsi="Times New Roman" w:cs="Times New Roman"/>
          <w:i/>
          <w:sz w:val="24"/>
          <w:szCs w:val="24"/>
        </w:rPr>
      </w:pPr>
      <w:r w:rsidRPr="000E28F8">
        <w:rPr>
          <w:rFonts w:ascii="Times New Roman" w:hAnsi="Times New Roman" w:cs="Times New Roman"/>
          <w:i/>
          <w:sz w:val="24"/>
          <w:szCs w:val="24"/>
        </w:rPr>
        <w:t>considering</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sz w:val="24"/>
          <w:szCs w:val="24"/>
        </w:rPr>
        <w:t>a)</w:t>
      </w:r>
      <w:r w:rsidRPr="000E28F8">
        <w:rPr>
          <w:rFonts w:ascii="Times New Roman" w:hAnsi="Times New Roman" w:cs="Times New Roman"/>
          <w:sz w:val="24"/>
          <w:szCs w:val="24"/>
        </w:rPr>
        <w:tab/>
        <w:t>that the changes made to the Table of Frequency Allocations by WRC</w:t>
      </w:r>
      <w:r w:rsidRPr="000E28F8">
        <w:rPr>
          <w:rFonts w:ascii="Times New Roman" w:hAnsi="Times New Roman" w:cs="Times New Roman"/>
          <w:sz w:val="24"/>
          <w:szCs w:val="24"/>
        </w:rPr>
        <w:noBreakHyphen/>
        <w:t xml:space="preserve">2000 in frequency bands above 71 GHz were based on the requirements known at the time of that </w:t>
      </w:r>
      <w:proofErr w:type="gramStart"/>
      <w:r w:rsidRPr="000E28F8">
        <w:rPr>
          <w:rFonts w:ascii="Times New Roman" w:hAnsi="Times New Roman" w:cs="Times New Roman"/>
          <w:sz w:val="24"/>
          <w:szCs w:val="24"/>
        </w:rPr>
        <w:t>conference;</w:t>
      </w:r>
      <w:proofErr w:type="gramEnd"/>
      <w:r w:rsidRPr="000E28F8">
        <w:rPr>
          <w:rFonts w:ascii="Times New Roman" w:hAnsi="Times New Roman" w:cs="Times New Roman"/>
          <w:sz w:val="24"/>
          <w:szCs w:val="24"/>
        </w:rPr>
        <w:t xml:space="preserve"> </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sz w:val="24"/>
          <w:szCs w:val="24"/>
        </w:rPr>
        <w:t>b)</w:t>
      </w:r>
      <w:r w:rsidRPr="000E28F8">
        <w:rPr>
          <w:rFonts w:ascii="Times New Roman" w:hAnsi="Times New Roman" w:cs="Times New Roman"/>
          <w:sz w:val="24"/>
          <w:szCs w:val="24"/>
        </w:rPr>
        <w:tab/>
        <w:t xml:space="preserve">that the passive service spectrum requirements above 71 GHz are based on physical phenomena and therefore are well known, and are reflected in the changes made to the Table of Frequency Allocations by that </w:t>
      </w:r>
      <w:proofErr w:type="gramStart"/>
      <w:r w:rsidRPr="000E28F8">
        <w:rPr>
          <w:rFonts w:ascii="Times New Roman" w:hAnsi="Times New Roman" w:cs="Times New Roman"/>
          <w:sz w:val="24"/>
          <w:szCs w:val="24"/>
        </w:rPr>
        <w:t>conference;</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sz w:val="24"/>
          <w:szCs w:val="24"/>
        </w:rPr>
        <w:t>c)</w:t>
      </w:r>
      <w:r w:rsidRPr="000E28F8">
        <w:rPr>
          <w:rFonts w:ascii="Times New Roman" w:hAnsi="Times New Roman" w:cs="Times New Roman"/>
          <w:sz w:val="24"/>
          <w:szCs w:val="24"/>
        </w:rPr>
        <w:tab/>
        <w:t>that several frequency bands above 71 GHz are already used by the Earth exploration-satellite service (</w:t>
      </w:r>
      <w:proofErr w:type="spellStart"/>
      <w:r w:rsidRPr="000E28F8">
        <w:rPr>
          <w:rFonts w:ascii="Times New Roman" w:hAnsi="Times New Roman" w:cs="Times New Roman"/>
          <w:sz w:val="24"/>
          <w:szCs w:val="24"/>
        </w:rPr>
        <w:t>EESS</w:t>
      </w:r>
      <w:proofErr w:type="spellEnd"/>
      <w:r w:rsidRPr="000E28F8">
        <w:rPr>
          <w:rFonts w:ascii="Times New Roman" w:hAnsi="Times New Roman" w:cs="Times New Roman"/>
          <w:sz w:val="24"/>
          <w:szCs w:val="24"/>
        </w:rPr>
        <w:t xml:space="preserve">) (passive) and space research service (passive) because they are unique bands for the measurement of specific atmospheric </w:t>
      </w:r>
      <w:proofErr w:type="gramStart"/>
      <w:r w:rsidRPr="000E28F8">
        <w:rPr>
          <w:rFonts w:ascii="Times New Roman" w:hAnsi="Times New Roman" w:cs="Times New Roman"/>
          <w:sz w:val="24"/>
          <w:szCs w:val="24"/>
        </w:rPr>
        <w:t>parameters;</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iCs/>
          <w:sz w:val="24"/>
          <w:szCs w:val="24"/>
        </w:rPr>
        <w:t>d)</w:t>
      </w:r>
      <w:r w:rsidRPr="000E28F8">
        <w:rPr>
          <w:rFonts w:ascii="Times New Roman" w:hAnsi="Times New Roman" w:cs="Times New Roman"/>
          <w:sz w:val="24"/>
          <w:szCs w:val="24"/>
        </w:rPr>
        <w:tab/>
      </w:r>
      <w:bookmarkStart w:id="12" w:name="_Hlk23824885"/>
      <w:r w:rsidRPr="000E28F8">
        <w:rPr>
          <w:rFonts w:ascii="Times New Roman" w:hAnsi="Times New Roman" w:cs="Times New Roman"/>
          <w:sz w:val="24"/>
          <w:szCs w:val="24"/>
        </w:rPr>
        <w:t xml:space="preserve">that frequency bands in the frequency range 275-1 000 GHz are identified for use by administrations for passive service applications in No. </w:t>
      </w:r>
      <w:r w:rsidRPr="000E28F8">
        <w:rPr>
          <w:rFonts w:ascii="Times New Roman" w:hAnsi="Times New Roman" w:cs="Times New Roman"/>
          <w:b/>
          <w:bCs/>
          <w:sz w:val="24"/>
          <w:szCs w:val="24"/>
        </w:rPr>
        <w:t>5.565</w:t>
      </w:r>
      <w:r w:rsidRPr="000E28F8">
        <w:rPr>
          <w:rFonts w:ascii="Times New Roman" w:hAnsi="Times New Roman" w:cs="Times New Roman"/>
          <w:sz w:val="24"/>
          <w:szCs w:val="24"/>
        </w:rPr>
        <w:t>, without precluding the use of this frequency range by active service applications, and urging administrations to take all practicable steps to protect the passive service applications from harmful interference;</w:t>
      </w:r>
      <w:bookmarkEnd w:id="12"/>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sz w:val="24"/>
          <w:szCs w:val="24"/>
        </w:rPr>
        <w:t>e)</w:t>
      </w:r>
      <w:r w:rsidRPr="000E28F8">
        <w:rPr>
          <w:rFonts w:ascii="Times New Roman" w:hAnsi="Times New Roman" w:cs="Times New Roman"/>
          <w:sz w:val="24"/>
          <w:szCs w:val="24"/>
        </w:rPr>
        <w:tab/>
        <w:t>that there is currently only limited knowledge of requirements and implementation plans for the active services that will operate in frequency bands above 71 </w:t>
      </w:r>
      <w:proofErr w:type="gramStart"/>
      <w:r w:rsidRPr="000E28F8">
        <w:rPr>
          <w:rFonts w:ascii="Times New Roman" w:hAnsi="Times New Roman" w:cs="Times New Roman"/>
          <w:sz w:val="24"/>
          <w:szCs w:val="24"/>
        </w:rPr>
        <w:t>GHz;</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sz w:val="24"/>
          <w:szCs w:val="24"/>
        </w:rPr>
        <w:t>f)</w:t>
      </w:r>
      <w:r w:rsidRPr="000E28F8">
        <w:rPr>
          <w:rFonts w:ascii="Times New Roman" w:hAnsi="Times New Roman" w:cs="Times New Roman"/>
          <w:sz w:val="24"/>
          <w:szCs w:val="24"/>
        </w:rPr>
        <w:tab/>
        <w:t>that, in the past, technological developments have led to viable communication systems operating at increasingly higher frequencies, and that this can be expected to continue so as to make communication technology available in the future in the frequency bands above 71 </w:t>
      </w:r>
      <w:proofErr w:type="gramStart"/>
      <w:r w:rsidRPr="000E28F8">
        <w:rPr>
          <w:rFonts w:ascii="Times New Roman" w:hAnsi="Times New Roman" w:cs="Times New Roman"/>
          <w:sz w:val="24"/>
          <w:szCs w:val="24"/>
        </w:rPr>
        <w:t>GHz;</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sz w:val="24"/>
          <w:szCs w:val="24"/>
        </w:rPr>
        <w:t>g)</w:t>
      </w:r>
      <w:r w:rsidRPr="000E28F8">
        <w:rPr>
          <w:rFonts w:ascii="Times New Roman" w:hAnsi="Times New Roman" w:cs="Times New Roman"/>
          <w:sz w:val="24"/>
          <w:szCs w:val="24"/>
        </w:rPr>
        <w:tab/>
        <w:t xml:space="preserve">that, in the future, alternative spectrum needs for the active and passive services should be accommodated when the new technologies become </w:t>
      </w:r>
      <w:proofErr w:type="gramStart"/>
      <w:r w:rsidRPr="000E28F8">
        <w:rPr>
          <w:rFonts w:ascii="Times New Roman" w:hAnsi="Times New Roman" w:cs="Times New Roman"/>
          <w:sz w:val="24"/>
          <w:szCs w:val="24"/>
        </w:rPr>
        <w:t>available;</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iCs/>
          <w:sz w:val="24"/>
          <w:szCs w:val="24"/>
        </w:rPr>
        <w:t>h)</w:t>
      </w:r>
      <w:r w:rsidRPr="000E28F8">
        <w:rPr>
          <w:rFonts w:ascii="Times New Roman" w:hAnsi="Times New Roman" w:cs="Times New Roman"/>
          <w:sz w:val="24"/>
          <w:szCs w:val="24"/>
        </w:rPr>
        <w:tab/>
        <w:t>that, following the revisions to the Table of Frequency Allocations by WRC</w:t>
      </w:r>
      <w:r w:rsidRPr="000E28F8">
        <w:rPr>
          <w:rFonts w:ascii="Times New Roman" w:hAnsi="Times New Roman" w:cs="Times New Roman"/>
          <w:sz w:val="24"/>
          <w:szCs w:val="24"/>
        </w:rPr>
        <w:noBreakHyphen/>
        <w:t>2000, sharing studies may still be required for services in some frequency bands above 71 </w:t>
      </w:r>
      <w:proofErr w:type="gramStart"/>
      <w:r w:rsidRPr="000E28F8">
        <w:rPr>
          <w:rFonts w:ascii="Times New Roman" w:hAnsi="Times New Roman" w:cs="Times New Roman"/>
          <w:sz w:val="24"/>
          <w:szCs w:val="24"/>
        </w:rPr>
        <w:t>GHz;</w:t>
      </w:r>
      <w:proofErr w:type="gramEnd"/>
    </w:p>
    <w:p w:rsidR="000E28F8" w:rsidRPr="000E28F8" w:rsidRDefault="000E28F8" w:rsidP="000E28F8">
      <w:pPr>
        <w:rPr>
          <w:rFonts w:ascii="Times New Roman" w:hAnsi="Times New Roman" w:cs="Times New Roman"/>
          <w:sz w:val="24"/>
          <w:szCs w:val="24"/>
        </w:rPr>
      </w:pPr>
      <w:proofErr w:type="spellStart"/>
      <w:r w:rsidRPr="000E28F8">
        <w:rPr>
          <w:rFonts w:ascii="Times New Roman" w:hAnsi="Times New Roman" w:cs="Times New Roman"/>
          <w:i/>
          <w:iCs/>
          <w:sz w:val="24"/>
          <w:szCs w:val="24"/>
        </w:rPr>
        <w:t>i</w:t>
      </w:r>
      <w:proofErr w:type="spellEnd"/>
      <w:r w:rsidRPr="000E28F8">
        <w:rPr>
          <w:rFonts w:ascii="Times New Roman" w:hAnsi="Times New Roman" w:cs="Times New Roman"/>
          <w:i/>
          <w:iCs/>
          <w:sz w:val="24"/>
          <w:szCs w:val="24"/>
        </w:rPr>
        <w:t>)</w:t>
      </w:r>
      <w:r w:rsidRPr="000E28F8">
        <w:rPr>
          <w:rFonts w:ascii="Times New Roman" w:hAnsi="Times New Roman" w:cs="Times New Roman"/>
          <w:sz w:val="24"/>
          <w:szCs w:val="24"/>
        </w:rPr>
        <w:tab/>
        <w:t xml:space="preserve">that interference criteria for passive sensors have been developed and are given in Recommendation ITU-R </w:t>
      </w:r>
      <w:proofErr w:type="spellStart"/>
      <w:r w:rsidRPr="000E28F8">
        <w:rPr>
          <w:rFonts w:ascii="Times New Roman" w:hAnsi="Times New Roman" w:cs="Times New Roman"/>
          <w:sz w:val="24"/>
          <w:szCs w:val="24"/>
        </w:rPr>
        <w:t>RS.</w:t>
      </w:r>
      <w:proofErr w:type="gramStart"/>
      <w:r w:rsidRPr="000E28F8">
        <w:rPr>
          <w:rFonts w:ascii="Times New Roman" w:hAnsi="Times New Roman" w:cs="Times New Roman"/>
          <w:sz w:val="24"/>
          <w:szCs w:val="24"/>
        </w:rPr>
        <w:t>2017</w:t>
      </w:r>
      <w:proofErr w:type="spellEnd"/>
      <w:r w:rsidRPr="000E28F8">
        <w:rPr>
          <w:rFonts w:ascii="Times New Roman" w:hAnsi="Times New Roman" w:cs="Times New Roman"/>
          <w:sz w:val="24"/>
          <w:szCs w:val="24"/>
        </w:rPr>
        <w:t>;</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iCs/>
          <w:sz w:val="24"/>
          <w:szCs w:val="24"/>
        </w:rPr>
        <w:t>j)</w:t>
      </w:r>
      <w:r w:rsidRPr="000E28F8">
        <w:rPr>
          <w:rFonts w:ascii="Times New Roman" w:hAnsi="Times New Roman" w:cs="Times New Roman"/>
          <w:sz w:val="24"/>
          <w:szCs w:val="24"/>
        </w:rPr>
        <w:tab/>
        <w:t xml:space="preserve">that protection criteria for radio astronomy have been developed and are given in Recommendations ITU-R </w:t>
      </w:r>
      <w:proofErr w:type="spellStart"/>
      <w:r w:rsidRPr="000E28F8">
        <w:rPr>
          <w:rFonts w:ascii="Times New Roman" w:hAnsi="Times New Roman" w:cs="Times New Roman"/>
          <w:sz w:val="24"/>
          <w:szCs w:val="24"/>
        </w:rPr>
        <w:t>RA.769</w:t>
      </w:r>
      <w:proofErr w:type="spellEnd"/>
      <w:r w:rsidRPr="000E28F8">
        <w:rPr>
          <w:rFonts w:ascii="Times New Roman" w:hAnsi="Times New Roman" w:cs="Times New Roman"/>
          <w:sz w:val="24"/>
          <w:szCs w:val="24"/>
        </w:rPr>
        <w:t xml:space="preserve"> and ITU-R </w:t>
      </w:r>
      <w:proofErr w:type="spellStart"/>
      <w:r w:rsidRPr="000E28F8">
        <w:rPr>
          <w:rFonts w:ascii="Times New Roman" w:hAnsi="Times New Roman" w:cs="Times New Roman"/>
          <w:sz w:val="24"/>
          <w:szCs w:val="24"/>
        </w:rPr>
        <w:t>RA.1513</w:t>
      </w:r>
      <w:proofErr w:type="spellEnd"/>
      <w:r w:rsidRPr="000E28F8">
        <w:rPr>
          <w:rFonts w:ascii="Times New Roman" w:hAnsi="Times New Roman" w:cs="Times New Roman"/>
          <w:sz w:val="24"/>
          <w:szCs w:val="24"/>
        </w:rPr>
        <w:t xml:space="preserve"> and Report ITU-R </w:t>
      </w:r>
      <w:proofErr w:type="spellStart"/>
      <w:r w:rsidRPr="000E28F8">
        <w:rPr>
          <w:rFonts w:ascii="Times New Roman" w:hAnsi="Times New Roman" w:cs="Times New Roman"/>
          <w:sz w:val="24"/>
          <w:szCs w:val="24"/>
        </w:rPr>
        <w:t>RA.</w:t>
      </w:r>
      <w:proofErr w:type="gramStart"/>
      <w:r w:rsidRPr="000E28F8">
        <w:rPr>
          <w:rFonts w:ascii="Times New Roman" w:hAnsi="Times New Roman" w:cs="Times New Roman"/>
          <w:sz w:val="24"/>
          <w:szCs w:val="24"/>
        </w:rPr>
        <w:t>2189</w:t>
      </w:r>
      <w:proofErr w:type="spellEnd"/>
      <w:r w:rsidRPr="000E28F8">
        <w:rPr>
          <w:rFonts w:ascii="Times New Roman" w:hAnsi="Times New Roman" w:cs="Times New Roman"/>
          <w:sz w:val="24"/>
          <w:szCs w:val="24"/>
        </w:rPr>
        <w:t>;</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iCs/>
          <w:sz w:val="24"/>
          <w:szCs w:val="24"/>
        </w:rPr>
        <w:t>k)</w:t>
      </w:r>
      <w:r w:rsidRPr="000E28F8">
        <w:rPr>
          <w:rFonts w:ascii="Times New Roman" w:hAnsi="Times New Roman" w:cs="Times New Roman"/>
          <w:sz w:val="24"/>
          <w:szCs w:val="24"/>
        </w:rPr>
        <w:tab/>
        <w:t xml:space="preserve">that several satellite downlink allocations have been made in frequency bands adjacent to those allocated to the radio astronomy </w:t>
      </w:r>
      <w:proofErr w:type="gramStart"/>
      <w:r w:rsidRPr="000E28F8">
        <w:rPr>
          <w:rFonts w:ascii="Times New Roman" w:hAnsi="Times New Roman" w:cs="Times New Roman"/>
          <w:sz w:val="24"/>
          <w:szCs w:val="24"/>
        </w:rPr>
        <w:t>service;</w:t>
      </w:r>
      <w:proofErr w:type="gramEnd"/>
    </w:p>
    <w:p w:rsidR="000E28F8" w:rsidRPr="000E28F8" w:rsidRDefault="000E28F8" w:rsidP="000E28F8">
      <w:pPr>
        <w:rPr>
          <w:rFonts w:ascii="Times New Roman" w:hAnsi="Times New Roman" w:cs="Times New Roman"/>
          <w:i/>
          <w:iCs/>
          <w:sz w:val="24"/>
          <w:szCs w:val="24"/>
        </w:rPr>
      </w:pPr>
      <w:r w:rsidRPr="000E28F8">
        <w:rPr>
          <w:rFonts w:ascii="Times New Roman" w:hAnsi="Times New Roman" w:cs="Times New Roman"/>
          <w:i/>
          <w:iCs/>
          <w:sz w:val="24"/>
          <w:szCs w:val="24"/>
        </w:rPr>
        <w:br w:type="page"/>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i/>
          <w:iCs/>
          <w:sz w:val="24"/>
          <w:szCs w:val="24"/>
        </w:rPr>
        <w:lastRenderedPageBreak/>
        <w:t>l)</w:t>
      </w:r>
      <w:r w:rsidRPr="000E28F8">
        <w:rPr>
          <w:rFonts w:ascii="Times New Roman" w:hAnsi="Times New Roman" w:cs="Times New Roman"/>
          <w:sz w:val="24"/>
          <w:szCs w:val="24"/>
        </w:rPr>
        <w:tab/>
        <w:t>that sharing criteria for active and passive services in frequency bands above 71 GHz have not yet been fully developed within the ITU Radiocommunication Sector (ITU-R),</w:t>
      </w:r>
    </w:p>
    <w:p w:rsidR="000E28F8" w:rsidRPr="000E28F8" w:rsidRDefault="000E28F8" w:rsidP="000E28F8">
      <w:pPr>
        <w:rPr>
          <w:rFonts w:ascii="Times New Roman" w:hAnsi="Times New Roman" w:cs="Times New Roman"/>
          <w:i/>
          <w:sz w:val="24"/>
          <w:szCs w:val="24"/>
        </w:rPr>
      </w:pPr>
      <w:r w:rsidRPr="000E28F8">
        <w:rPr>
          <w:rFonts w:ascii="Times New Roman" w:hAnsi="Times New Roman" w:cs="Times New Roman"/>
          <w:i/>
          <w:sz w:val="24"/>
          <w:szCs w:val="24"/>
        </w:rPr>
        <w:t>recognizing</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that, to the extent practicable, the burden of sharing among active and passive services should be equitably distributed among the services to which allocations are made,</w:t>
      </w:r>
    </w:p>
    <w:p w:rsidR="000E28F8" w:rsidRPr="000E28F8" w:rsidRDefault="000E28F8" w:rsidP="000E28F8">
      <w:pPr>
        <w:rPr>
          <w:rFonts w:ascii="Times New Roman" w:hAnsi="Times New Roman" w:cs="Times New Roman"/>
          <w:i/>
          <w:sz w:val="24"/>
          <w:szCs w:val="24"/>
        </w:rPr>
      </w:pPr>
      <w:r w:rsidRPr="000E28F8">
        <w:rPr>
          <w:rFonts w:ascii="Times New Roman" w:hAnsi="Times New Roman" w:cs="Times New Roman"/>
          <w:i/>
          <w:sz w:val="24"/>
          <w:szCs w:val="24"/>
        </w:rPr>
        <w:t>resolves </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 xml:space="preserve">to invite a future competent world radiocommunication conference to consider the results of ITU-R studies referred to in </w:t>
      </w:r>
      <w:r w:rsidRPr="000E28F8">
        <w:rPr>
          <w:rFonts w:ascii="Times New Roman" w:hAnsi="Times New Roman" w:cs="Times New Roman"/>
          <w:i/>
          <w:iCs/>
          <w:sz w:val="24"/>
          <w:szCs w:val="24"/>
        </w:rPr>
        <w:t>invites the ITU Radiocommunication Sector</w:t>
      </w:r>
      <w:r w:rsidRPr="000E28F8">
        <w:rPr>
          <w:rFonts w:ascii="Times New Roman" w:hAnsi="Times New Roman" w:cs="Times New Roman"/>
          <w:sz w:val="24"/>
          <w:szCs w:val="24"/>
        </w:rPr>
        <w:t xml:space="preserve"> below with a view to taking the necessary action, as appropriate, in order to accommodate the emerging requirements of active services, taking into account the requirements of the</w:t>
      </w:r>
      <w:bookmarkStart w:id="13" w:name="_GoBack"/>
      <w:bookmarkEnd w:id="13"/>
      <w:r w:rsidRPr="000E28F8">
        <w:rPr>
          <w:rFonts w:ascii="Times New Roman" w:hAnsi="Times New Roman" w:cs="Times New Roman"/>
          <w:sz w:val="24"/>
          <w:szCs w:val="24"/>
        </w:rPr>
        <w:t xml:space="preserve"> passive services, in frequency bands above 71 GHz,</w:t>
      </w:r>
    </w:p>
    <w:p w:rsidR="000E28F8" w:rsidRPr="000E28F8" w:rsidRDefault="000E28F8" w:rsidP="000E28F8">
      <w:pPr>
        <w:rPr>
          <w:rFonts w:ascii="Times New Roman" w:hAnsi="Times New Roman" w:cs="Times New Roman"/>
          <w:i/>
          <w:sz w:val="24"/>
          <w:szCs w:val="24"/>
        </w:rPr>
      </w:pPr>
      <w:r w:rsidRPr="000E28F8">
        <w:rPr>
          <w:rFonts w:ascii="Times New Roman" w:hAnsi="Times New Roman" w:cs="Times New Roman"/>
          <w:i/>
          <w:sz w:val="24"/>
          <w:szCs w:val="24"/>
        </w:rPr>
        <w:t>urges administrations</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to note the possibility of changes to Article </w:t>
      </w:r>
      <w:r w:rsidRPr="000E28F8">
        <w:rPr>
          <w:rFonts w:ascii="Times New Roman" w:hAnsi="Times New Roman" w:cs="Times New Roman"/>
          <w:b/>
          <w:sz w:val="24"/>
          <w:szCs w:val="24"/>
        </w:rPr>
        <w:t>5</w:t>
      </w:r>
      <w:r w:rsidRPr="000E28F8">
        <w:rPr>
          <w:rFonts w:ascii="Times New Roman" w:hAnsi="Times New Roman" w:cs="Times New Roman"/>
          <w:sz w:val="24"/>
          <w:szCs w:val="24"/>
        </w:rPr>
        <w:t xml:space="preserve"> to accommodate emerging requirements for active services, as indicated in this Resolution, and to take this into account in the development of national policies and regulations,</w:t>
      </w:r>
    </w:p>
    <w:p w:rsidR="000E28F8" w:rsidRPr="000E28F8" w:rsidRDefault="000E28F8" w:rsidP="000E28F8">
      <w:pPr>
        <w:rPr>
          <w:rFonts w:ascii="Times New Roman" w:hAnsi="Times New Roman" w:cs="Times New Roman"/>
          <w:i/>
          <w:sz w:val="24"/>
          <w:szCs w:val="24"/>
        </w:rPr>
      </w:pPr>
      <w:r w:rsidRPr="000E28F8">
        <w:rPr>
          <w:rFonts w:ascii="Times New Roman" w:hAnsi="Times New Roman" w:cs="Times New Roman"/>
          <w:i/>
          <w:sz w:val="24"/>
          <w:szCs w:val="24"/>
        </w:rPr>
        <w:t>invites the ITU Radiocommunication Sector</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1</w:t>
      </w:r>
      <w:r w:rsidRPr="000E28F8">
        <w:rPr>
          <w:rFonts w:ascii="Times New Roman" w:hAnsi="Times New Roman" w:cs="Times New Roman"/>
          <w:sz w:val="24"/>
          <w:szCs w:val="24"/>
        </w:rPr>
        <w:tab/>
        <w:t>to continue its studies to determine if and under what conditions sharing is possible between active and passive services in the frequency bands above 71 GHz, such as, but not limited to, 100</w:t>
      </w:r>
      <w:r w:rsidRPr="000E28F8">
        <w:rPr>
          <w:rFonts w:ascii="Times New Roman" w:hAnsi="Times New Roman" w:cs="Times New Roman"/>
          <w:sz w:val="24"/>
          <w:szCs w:val="24"/>
        </w:rPr>
        <w:noBreakHyphen/>
        <w:t>102 GHz, 116</w:t>
      </w:r>
      <w:r w:rsidRPr="000E28F8">
        <w:rPr>
          <w:rFonts w:ascii="Times New Roman" w:hAnsi="Times New Roman" w:cs="Times New Roman"/>
          <w:sz w:val="24"/>
          <w:szCs w:val="24"/>
        </w:rPr>
        <w:noBreakHyphen/>
        <w:t>122.25 GHz, 148.5</w:t>
      </w:r>
      <w:r w:rsidRPr="000E28F8">
        <w:rPr>
          <w:rFonts w:ascii="Times New Roman" w:hAnsi="Times New Roman" w:cs="Times New Roman"/>
          <w:sz w:val="24"/>
          <w:szCs w:val="24"/>
        </w:rPr>
        <w:noBreakHyphen/>
        <w:t>151.5 GHz, 174.8</w:t>
      </w:r>
      <w:r w:rsidRPr="000E28F8">
        <w:rPr>
          <w:rFonts w:ascii="Times New Roman" w:hAnsi="Times New Roman" w:cs="Times New Roman"/>
          <w:sz w:val="24"/>
          <w:szCs w:val="24"/>
        </w:rPr>
        <w:noBreakHyphen/>
        <w:t>191.8 GHz, 226</w:t>
      </w:r>
      <w:r w:rsidRPr="000E28F8">
        <w:rPr>
          <w:rFonts w:ascii="Times New Roman" w:hAnsi="Times New Roman" w:cs="Times New Roman"/>
          <w:sz w:val="24"/>
          <w:szCs w:val="24"/>
        </w:rPr>
        <w:noBreakHyphen/>
        <w:t>231.5 GHz and 235</w:t>
      </w:r>
      <w:r w:rsidRPr="000E28F8">
        <w:rPr>
          <w:rFonts w:ascii="Times New Roman" w:hAnsi="Times New Roman" w:cs="Times New Roman"/>
          <w:sz w:val="24"/>
          <w:szCs w:val="24"/>
        </w:rPr>
        <w:noBreakHyphen/>
        <w:t>238 GHz;</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2</w:t>
      </w:r>
      <w:r w:rsidRPr="000E28F8">
        <w:rPr>
          <w:rFonts w:ascii="Times New Roman" w:hAnsi="Times New Roman" w:cs="Times New Roman"/>
          <w:sz w:val="24"/>
          <w:szCs w:val="24"/>
        </w:rPr>
        <w:tab/>
        <w:t xml:space="preserve">to conduct studies to determine the specific conditions to be applied to the land-mobile and fixed-service applications to ensure the protection of </w:t>
      </w:r>
      <w:proofErr w:type="spellStart"/>
      <w:r w:rsidRPr="000E28F8">
        <w:rPr>
          <w:rFonts w:ascii="Times New Roman" w:hAnsi="Times New Roman" w:cs="Times New Roman"/>
          <w:sz w:val="24"/>
          <w:szCs w:val="24"/>
        </w:rPr>
        <w:t>EESS</w:t>
      </w:r>
      <w:proofErr w:type="spellEnd"/>
      <w:r w:rsidRPr="000E28F8">
        <w:rPr>
          <w:rFonts w:ascii="Times New Roman" w:hAnsi="Times New Roman" w:cs="Times New Roman"/>
          <w:sz w:val="24"/>
          <w:szCs w:val="24"/>
        </w:rPr>
        <w:t xml:space="preserve"> (passive) applications in the frequency bands 296-306 GHz, 313-318 GHz and 333-356 </w:t>
      </w:r>
      <w:proofErr w:type="gramStart"/>
      <w:r w:rsidRPr="000E28F8">
        <w:rPr>
          <w:rFonts w:ascii="Times New Roman" w:hAnsi="Times New Roman" w:cs="Times New Roman"/>
          <w:sz w:val="24"/>
          <w:szCs w:val="24"/>
        </w:rPr>
        <w:t>GHz;</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3</w:t>
      </w:r>
      <w:r w:rsidRPr="000E28F8">
        <w:rPr>
          <w:rFonts w:ascii="Times New Roman" w:hAnsi="Times New Roman" w:cs="Times New Roman"/>
          <w:sz w:val="24"/>
          <w:szCs w:val="24"/>
        </w:rPr>
        <w:tab/>
        <w:t>to study means of avoiding adjacent-band interference from space services (downlinks) into radio astronomy frequency bands above 71 </w:t>
      </w:r>
      <w:proofErr w:type="gramStart"/>
      <w:r w:rsidRPr="000E28F8">
        <w:rPr>
          <w:rFonts w:ascii="Times New Roman" w:hAnsi="Times New Roman" w:cs="Times New Roman"/>
          <w:sz w:val="24"/>
          <w:szCs w:val="24"/>
        </w:rPr>
        <w:t>GHz;</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4</w:t>
      </w:r>
      <w:r w:rsidRPr="000E28F8">
        <w:rPr>
          <w:rFonts w:ascii="Times New Roman" w:hAnsi="Times New Roman" w:cs="Times New Roman"/>
          <w:sz w:val="24"/>
          <w:szCs w:val="24"/>
        </w:rPr>
        <w:tab/>
        <w:t xml:space="preserve">to take into account the principles of burden-sharing to the extent practicable in their </w:t>
      </w:r>
      <w:proofErr w:type="gramStart"/>
      <w:r w:rsidRPr="000E28F8">
        <w:rPr>
          <w:rFonts w:ascii="Times New Roman" w:hAnsi="Times New Roman" w:cs="Times New Roman"/>
          <w:sz w:val="24"/>
          <w:szCs w:val="24"/>
        </w:rPr>
        <w:t>studies;</w:t>
      </w:r>
      <w:proofErr w:type="gramEnd"/>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5</w:t>
      </w:r>
      <w:r w:rsidRPr="000E28F8">
        <w:rPr>
          <w:rFonts w:ascii="Times New Roman" w:hAnsi="Times New Roman" w:cs="Times New Roman"/>
          <w:sz w:val="24"/>
          <w:szCs w:val="24"/>
        </w:rPr>
        <w:tab/>
        <w:t xml:space="preserve">to complete the necessary studies when the technical characteristics of the active services in these frequency bands are </w:t>
      </w:r>
      <w:proofErr w:type="gramStart"/>
      <w:r w:rsidRPr="000E28F8">
        <w:rPr>
          <w:rFonts w:ascii="Times New Roman" w:hAnsi="Times New Roman" w:cs="Times New Roman"/>
          <w:sz w:val="24"/>
          <w:szCs w:val="24"/>
        </w:rPr>
        <w:t>known;</w:t>
      </w:r>
      <w:proofErr w:type="gramEnd"/>
      <w:r w:rsidRPr="000E28F8">
        <w:rPr>
          <w:rFonts w:ascii="Times New Roman" w:hAnsi="Times New Roman" w:cs="Times New Roman"/>
          <w:sz w:val="24"/>
          <w:szCs w:val="24"/>
        </w:rPr>
        <w:t xml:space="preserve"> </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6</w:t>
      </w:r>
      <w:r w:rsidRPr="000E28F8">
        <w:rPr>
          <w:rFonts w:ascii="Times New Roman" w:hAnsi="Times New Roman" w:cs="Times New Roman"/>
          <w:sz w:val="24"/>
          <w:szCs w:val="24"/>
        </w:rPr>
        <w:tab/>
        <w:t>to develop Recommendations specifying sharing criteria for those frequency bands where sharing is feasible,</w:t>
      </w:r>
    </w:p>
    <w:p w:rsidR="000E28F8" w:rsidRPr="000E28F8" w:rsidRDefault="000E28F8" w:rsidP="000E28F8">
      <w:pPr>
        <w:rPr>
          <w:rFonts w:ascii="Times New Roman" w:hAnsi="Times New Roman" w:cs="Times New Roman"/>
          <w:i/>
          <w:sz w:val="24"/>
          <w:szCs w:val="24"/>
        </w:rPr>
      </w:pPr>
      <w:r w:rsidRPr="000E28F8">
        <w:rPr>
          <w:rFonts w:ascii="Times New Roman" w:hAnsi="Times New Roman" w:cs="Times New Roman"/>
          <w:i/>
          <w:sz w:val="24"/>
          <w:szCs w:val="24"/>
        </w:rPr>
        <w:t>instructs the Secretary-General</w:t>
      </w:r>
    </w:p>
    <w:p w:rsidR="000E28F8" w:rsidRPr="000E28F8" w:rsidRDefault="000E28F8" w:rsidP="000E28F8">
      <w:pPr>
        <w:rPr>
          <w:rFonts w:ascii="Times New Roman" w:hAnsi="Times New Roman" w:cs="Times New Roman"/>
          <w:sz w:val="24"/>
          <w:szCs w:val="24"/>
        </w:rPr>
      </w:pPr>
      <w:r w:rsidRPr="000E28F8">
        <w:rPr>
          <w:rFonts w:ascii="Times New Roman" w:hAnsi="Times New Roman" w:cs="Times New Roman"/>
          <w:sz w:val="24"/>
          <w:szCs w:val="24"/>
        </w:rPr>
        <w:t>to bring this Resolution to the attention of the international and regional organizations concerned.</w:t>
      </w:r>
    </w:p>
    <w:p w:rsidR="000E28F8" w:rsidRPr="000E28F8" w:rsidRDefault="000E28F8" w:rsidP="000E28F8">
      <w:pPr>
        <w:rPr>
          <w:rFonts w:ascii="Times New Roman" w:hAnsi="Times New Roman" w:cs="Times New Roman"/>
          <w:sz w:val="24"/>
          <w:szCs w:val="24"/>
        </w:rPr>
      </w:pPr>
    </w:p>
    <w:p w:rsidR="000E28F8" w:rsidRPr="000E28F8" w:rsidRDefault="000E28F8" w:rsidP="000E28F8">
      <w:pPr>
        <w:jc w:val="center"/>
        <w:rPr>
          <w:rFonts w:ascii="Times New Roman" w:hAnsi="Times New Roman" w:cs="Times New Roman"/>
          <w:b/>
          <w:sz w:val="24"/>
          <w:szCs w:val="24"/>
        </w:rPr>
      </w:pPr>
      <w:r w:rsidRPr="000E28F8">
        <w:rPr>
          <w:rFonts w:ascii="Times New Roman" w:hAnsi="Times New Roman" w:cs="Times New Roman"/>
          <w:b/>
          <w:sz w:val="24"/>
          <w:szCs w:val="24"/>
        </w:rPr>
        <w:t>_______________</w:t>
      </w:r>
    </w:p>
    <w:p w:rsidR="001D64CE" w:rsidRPr="000E28F8" w:rsidRDefault="001D64CE">
      <w:pPr>
        <w:rPr>
          <w:rFonts w:ascii="Times New Roman" w:hAnsi="Times New Roman" w:cs="Times New Roman"/>
          <w:sz w:val="24"/>
          <w:szCs w:val="24"/>
        </w:rPr>
      </w:pPr>
    </w:p>
    <w:sectPr w:rsidR="001D64CE" w:rsidRPr="000E28F8" w:rsidSect="000E28F8">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8F8" w:rsidRDefault="000E28F8" w:rsidP="000E28F8">
      <w:pPr>
        <w:spacing w:after="0" w:line="240" w:lineRule="auto"/>
      </w:pPr>
      <w:r>
        <w:separator/>
      </w:r>
    </w:p>
  </w:endnote>
  <w:endnote w:type="continuationSeparator" w:id="0">
    <w:p w:rsidR="000E28F8" w:rsidRDefault="000E28F8" w:rsidP="000E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8F8" w:rsidRDefault="000E28F8" w:rsidP="000E28F8">
      <w:pPr>
        <w:spacing w:after="0" w:line="240" w:lineRule="auto"/>
      </w:pPr>
      <w:r>
        <w:separator/>
      </w:r>
    </w:p>
  </w:footnote>
  <w:footnote w:type="continuationSeparator" w:id="0">
    <w:p w:rsidR="000E28F8" w:rsidRDefault="000E28F8" w:rsidP="000E2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28F8" w:rsidRPr="000E28F8" w:rsidRDefault="000E28F8">
    <w:pPr>
      <w:pStyle w:val="Header"/>
      <w:jc w:val="center"/>
      <w:rPr>
        <w:rFonts w:ascii="Times New Roman" w:hAnsi="Times New Roman" w:cs="Times New Roman"/>
        <w:sz w:val="18"/>
        <w:szCs w:val="18"/>
      </w:rPr>
    </w:pPr>
    <w:r w:rsidRPr="000E28F8">
      <w:rPr>
        <w:rFonts w:ascii="Times New Roman" w:hAnsi="Times New Roman" w:cs="Times New Roman"/>
        <w:sz w:val="18"/>
        <w:szCs w:val="18"/>
      </w:rPr>
      <w:t xml:space="preserve">- </w:t>
    </w:r>
    <w:sdt>
      <w:sdtPr>
        <w:rPr>
          <w:rFonts w:ascii="Times New Roman" w:hAnsi="Times New Roman" w:cs="Times New Roman"/>
          <w:sz w:val="18"/>
          <w:szCs w:val="18"/>
        </w:rPr>
        <w:id w:val="33170660"/>
        <w:docPartObj>
          <w:docPartGallery w:val="Page Numbers (Top of Page)"/>
          <w:docPartUnique/>
        </w:docPartObj>
      </w:sdtPr>
      <w:sdtEndPr>
        <w:rPr>
          <w:noProof/>
        </w:rPr>
      </w:sdtEndPr>
      <w:sdtContent>
        <w:r w:rsidRPr="000E28F8">
          <w:rPr>
            <w:rFonts w:ascii="Times New Roman" w:hAnsi="Times New Roman" w:cs="Times New Roman"/>
            <w:sz w:val="18"/>
            <w:szCs w:val="18"/>
          </w:rPr>
          <w:fldChar w:fldCharType="begin"/>
        </w:r>
        <w:r w:rsidRPr="000E28F8">
          <w:rPr>
            <w:rFonts w:ascii="Times New Roman" w:hAnsi="Times New Roman" w:cs="Times New Roman"/>
            <w:sz w:val="18"/>
            <w:szCs w:val="18"/>
          </w:rPr>
          <w:instrText xml:space="preserve"> PAGE   \* MERGEFORMAT </w:instrText>
        </w:r>
        <w:r w:rsidRPr="000E28F8">
          <w:rPr>
            <w:rFonts w:ascii="Times New Roman" w:hAnsi="Times New Roman" w:cs="Times New Roman"/>
            <w:sz w:val="18"/>
            <w:szCs w:val="18"/>
          </w:rPr>
          <w:fldChar w:fldCharType="separate"/>
        </w:r>
        <w:r w:rsidRPr="000E28F8">
          <w:rPr>
            <w:rFonts w:ascii="Times New Roman" w:hAnsi="Times New Roman" w:cs="Times New Roman"/>
            <w:noProof/>
            <w:sz w:val="18"/>
            <w:szCs w:val="18"/>
          </w:rPr>
          <w:t>2</w:t>
        </w:r>
        <w:r w:rsidRPr="000E28F8">
          <w:rPr>
            <w:rFonts w:ascii="Times New Roman" w:hAnsi="Times New Roman" w:cs="Times New Roman"/>
            <w:noProof/>
            <w:sz w:val="18"/>
            <w:szCs w:val="18"/>
          </w:rPr>
          <w:fldChar w:fldCharType="end"/>
        </w:r>
        <w:r w:rsidRPr="000E28F8">
          <w:rPr>
            <w:rFonts w:ascii="Times New Roman" w:hAnsi="Times New Roman" w:cs="Times New Roman"/>
            <w:noProof/>
            <w:sz w:val="18"/>
            <w:szCs w:val="18"/>
          </w:rPr>
          <w:t xml:space="preserve"> -</w:t>
        </w:r>
      </w:sdtContent>
    </w:sdt>
  </w:p>
  <w:p w:rsidR="000E28F8" w:rsidRDefault="000E2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37"/>
    <w:rsid w:val="0009094F"/>
    <w:rsid w:val="000E28F8"/>
    <w:rsid w:val="001A6DDF"/>
    <w:rsid w:val="001D64CE"/>
    <w:rsid w:val="00430C74"/>
    <w:rsid w:val="00544C37"/>
    <w:rsid w:val="00B643D0"/>
    <w:rsid w:val="00CA65A4"/>
    <w:rsid w:val="00DF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22A4"/>
  <w15:chartTrackingRefBased/>
  <w15:docId w15:val="{876CE225-120A-4D9A-983B-47157CEC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8F8"/>
  </w:style>
  <w:style w:type="paragraph" w:styleId="Footer">
    <w:name w:val="footer"/>
    <w:basedOn w:val="Normal"/>
    <w:link w:val="FooterChar"/>
    <w:uiPriority w:val="99"/>
    <w:unhideWhenUsed/>
    <w:rsid w:val="000E2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3925</Characters>
  <Application>Microsoft Office Word</Application>
  <DocSecurity>0</DocSecurity>
  <Lines>32</Lines>
  <Paragraphs>9</Paragraphs>
  <ScaleCrop>false</ScaleCrop>
  <Company>ITU</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Viard, Emma</dc:creator>
  <cp:keywords/>
  <dc:description/>
  <cp:lastModifiedBy>Norton Viard, Emma</cp:lastModifiedBy>
  <cp:revision>2</cp:revision>
  <dcterms:created xsi:type="dcterms:W3CDTF">2020-04-01T07:43:00Z</dcterms:created>
  <dcterms:modified xsi:type="dcterms:W3CDTF">2020-04-01T07:46:00Z</dcterms:modified>
</cp:coreProperties>
</file>