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AB35C6" w:rsidP="00AB35C6">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EF619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307464" w:rsidTr="00876A8A">
        <w:trPr>
          <w:cantSplit/>
        </w:trPr>
        <w:tc>
          <w:tcPr>
            <w:tcW w:w="6487" w:type="dxa"/>
            <w:vMerge w:val="restart"/>
          </w:tcPr>
          <w:p w:rsidR="00AB35C6" w:rsidRPr="007F1A52" w:rsidRDefault="007F1A52" w:rsidP="007F1A52">
            <w:pPr>
              <w:shd w:val="solid" w:color="FFFFFF" w:fill="FFFFFF"/>
              <w:tabs>
                <w:tab w:val="clear" w:pos="1134"/>
                <w:tab w:val="clear" w:pos="1871"/>
                <w:tab w:val="clear" w:pos="2268"/>
              </w:tabs>
              <w:spacing w:before="0" w:after="240"/>
              <w:rPr>
                <w:rFonts w:ascii="Verdana" w:hAnsi="Verdana"/>
                <w:sz w:val="20"/>
                <w:lang w:val="fr-CH"/>
              </w:rPr>
            </w:pPr>
            <w:bookmarkStart w:id="1" w:name="recibido"/>
            <w:bookmarkStart w:id="2" w:name="dnum" w:colFirst="1" w:colLast="1"/>
            <w:bookmarkEnd w:id="1"/>
            <w:r w:rsidRPr="007F1A52">
              <w:rPr>
                <w:rFonts w:ascii="Verdana" w:hAnsi="Verdana"/>
                <w:sz w:val="20"/>
                <w:lang w:val="fr-CH"/>
              </w:rPr>
              <w:t>Source:</w:t>
            </w:r>
            <w:r w:rsidRPr="007F1A52">
              <w:rPr>
                <w:rFonts w:ascii="Verdana" w:hAnsi="Verdana"/>
                <w:sz w:val="20"/>
                <w:lang w:val="fr-CH"/>
              </w:rPr>
              <w:tab/>
            </w:r>
            <w:r w:rsidRPr="007F1A52">
              <w:rPr>
                <w:rFonts w:ascii="Verdana" w:hAnsi="Verdana"/>
                <w:bCs/>
                <w:sz w:val="20"/>
                <w:lang w:val="fr-CH" w:eastAsia="zh-CN"/>
              </w:rPr>
              <w:t>Document 5D/TEMP/420(Rev.1)</w:t>
            </w:r>
          </w:p>
        </w:tc>
        <w:tc>
          <w:tcPr>
            <w:tcW w:w="3402" w:type="dxa"/>
          </w:tcPr>
          <w:p w:rsidR="000069D4" w:rsidRPr="001F5EEE" w:rsidRDefault="000069D4" w:rsidP="007F1A52">
            <w:pPr>
              <w:shd w:val="solid" w:color="FFFFFF" w:fill="FFFFFF"/>
              <w:spacing w:before="0" w:line="240" w:lineRule="atLeast"/>
              <w:rPr>
                <w:rFonts w:ascii="Verdana" w:hAnsi="Verdana"/>
                <w:sz w:val="20"/>
                <w:lang w:val="fr-CH" w:eastAsia="zh-CN"/>
              </w:rPr>
            </w:pPr>
          </w:p>
        </w:tc>
      </w:tr>
      <w:tr w:rsidR="000069D4" w:rsidTr="00876A8A">
        <w:trPr>
          <w:cantSplit/>
        </w:trPr>
        <w:tc>
          <w:tcPr>
            <w:tcW w:w="6487" w:type="dxa"/>
            <w:vMerge/>
          </w:tcPr>
          <w:p w:rsidR="000069D4" w:rsidRPr="001F5EEE" w:rsidRDefault="000069D4" w:rsidP="00A5173C">
            <w:pPr>
              <w:spacing w:before="60"/>
              <w:jc w:val="center"/>
              <w:rPr>
                <w:b/>
                <w:smallCaps/>
                <w:sz w:val="32"/>
                <w:lang w:val="fr-CH" w:eastAsia="zh-CN"/>
              </w:rPr>
            </w:pPr>
            <w:bookmarkStart w:id="3" w:name="ddate" w:colFirst="1" w:colLast="1"/>
            <w:bookmarkEnd w:id="2"/>
          </w:p>
        </w:tc>
        <w:tc>
          <w:tcPr>
            <w:tcW w:w="3402" w:type="dxa"/>
          </w:tcPr>
          <w:p w:rsidR="000069D4" w:rsidRPr="00AB35C6" w:rsidRDefault="00307464" w:rsidP="00AB35C6">
            <w:pPr>
              <w:shd w:val="solid" w:color="FFFFFF" w:fill="FFFFFF"/>
              <w:spacing w:before="0" w:line="240" w:lineRule="atLeast"/>
              <w:rPr>
                <w:rFonts w:ascii="Verdana" w:hAnsi="Verdana"/>
                <w:sz w:val="20"/>
                <w:lang w:eastAsia="zh-CN"/>
              </w:rPr>
            </w:pPr>
            <w:r>
              <w:rPr>
                <w:rFonts w:ascii="Verdana" w:hAnsi="Verdana"/>
                <w:b/>
                <w:sz w:val="20"/>
                <w:lang w:eastAsia="zh-CN"/>
              </w:rPr>
              <w:t>23</w:t>
            </w:r>
            <w:r w:rsidR="00AB35C6">
              <w:rPr>
                <w:rFonts w:ascii="Verdana" w:hAnsi="Verdana"/>
                <w:b/>
                <w:sz w:val="20"/>
                <w:lang w:eastAsia="zh-CN"/>
              </w:rPr>
              <w:t xml:space="preserve"> October 2017</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AB35C6" w:rsidRDefault="00AB35C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A10991" w:rsidP="00AB35C6">
            <w:pPr>
              <w:pStyle w:val="Source"/>
              <w:rPr>
                <w:lang w:eastAsia="zh-CN"/>
              </w:rPr>
            </w:pPr>
            <w:bookmarkStart w:id="5" w:name="dsource" w:colFirst="0" w:colLast="0"/>
            <w:bookmarkEnd w:id="4"/>
            <w:r>
              <w:rPr>
                <w:lang w:eastAsia="zh-CN"/>
              </w:rPr>
              <w:t>Working Party 5D</w:t>
            </w:r>
          </w:p>
        </w:tc>
      </w:tr>
      <w:tr w:rsidR="000069D4" w:rsidTr="00D046A7">
        <w:trPr>
          <w:cantSplit/>
        </w:trPr>
        <w:tc>
          <w:tcPr>
            <w:tcW w:w="9889" w:type="dxa"/>
            <w:gridSpan w:val="2"/>
          </w:tcPr>
          <w:p w:rsidR="000069D4" w:rsidRDefault="00AD4625" w:rsidP="00A5173C">
            <w:pPr>
              <w:pStyle w:val="Title1"/>
              <w:rPr>
                <w:lang w:eastAsia="zh-CN"/>
              </w:rPr>
            </w:pPr>
            <w:bookmarkStart w:id="6" w:name="drec" w:colFirst="0" w:colLast="0"/>
            <w:bookmarkEnd w:id="5"/>
            <w:r>
              <w:rPr>
                <w:lang w:eastAsia="zh-CN"/>
              </w:rPr>
              <w:t xml:space="preserve">AN OPEN-SOURCE IMPLEMENTATION OF </w:t>
            </w:r>
            <w:r>
              <w:rPr>
                <w:lang w:eastAsia="zh-CN"/>
              </w:rPr>
              <w:br/>
              <w:t>RECOMMENDATION ITU-R M.2101</w:t>
            </w:r>
          </w:p>
        </w:tc>
      </w:tr>
      <w:tr w:rsidR="000069D4" w:rsidTr="00D046A7">
        <w:trPr>
          <w:cantSplit/>
        </w:trPr>
        <w:tc>
          <w:tcPr>
            <w:tcW w:w="9889" w:type="dxa"/>
            <w:gridSpan w:val="2"/>
          </w:tcPr>
          <w:p w:rsidR="000069D4" w:rsidRDefault="000069D4" w:rsidP="00305974">
            <w:pPr>
              <w:pStyle w:val="Title4"/>
              <w:spacing w:before="0"/>
              <w:rPr>
                <w:lang w:eastAsia="zh-CN"/>
              </w:rPr>
            </w:pPr>
            <w:bookmarkStart w:id="7" w:name="dtitle1" w:colFirst="0" w:colLast="0"/>
            <w:bookmarkEnd w:id="6"/>
          </w:p>
        </w:tc>
      </w:tr>
    </w:tbl>
    <w:p w:rsidR="00556BCD" w:rsidRDefault="00556BCD">
      <w:pPr>
        <w:pStyle w:val="Heading1"/>
        <w:rPr>
          <w:lang w:val="en-US" w:eastAsia="zh-CN"/>
        </w:rPr>
      </w:pPr>
      <w:bookmarkStart w:id="8" w:name="dbreak"/>
      <w:bookmarkEnd w:id="7"/>
      <w:bookmarkEnd w:id="8"/>
      <w:r>
        <w:rPr>
          <w:lang w:val="en-US" w:eastAsia="zh-CN"/>
        </w:rPr>
        <w:t>1</w:t>
      </w:r>
      <w:r>
        <w:rPr>
          <w:lang w:val="en-US" w:eastAsia="zh-CN"/>
        </w:rPr>
        <w:tab/>
        <w:t>Introduction</w:t>
      </w:r>
    </w:p>
    <w:p w:rsidR="00556BCD" w:rsidRDefault="00556BCD">
      <w:pPr>
        <w:rPr>
          <w:lang w:val="en-US" w:eastAsia="zh-CN"/>
        </w:rPr>
      </w:pPr>
      <w:r>
        <w:rPr>
          <w:lang w:val="en-US" w:eastAsia="zh-CN"/>
        </w:rPr>
        <w:t>Agenda item 1.13 of WRC-19 considers the identification of frequency bands between 24.25</w:t>
      </w:r>
      <w:r>
        <w:rPr>
          <w:lang w:val="en-US" w:eastAsia="zh-CN"/>
        </w:rPr>
        <w:noBreakHyphen/>
        <w:t xml:space="preserve">86 GHz for the future development of International Mobile Telecommunications (IMT). </w:t>
      </w:r>
    </w:p>
    <w:p w:rsidR="00556BCD" w:rsidRDefault="00556BCD">
      <w:pPr>
        <w:rPr>
          <w:lang w:val="en-US" w:eastAsia="zh-CN"/>
        </w:rPr>
      </w:pPr>
      <w:r>
        <w:rPr>
          <w:lang w:val="en-US" w:eastAsia="zh-CN"/>
        </w:rPr>
        <w:t xml:space="preserve">Resolution </w:t>
      </w:r>
      <w:r>
        <w:rPr>
          <w:b/>
          <w:bCs/>
          <w:lang w:val="en-US" w:eastAsia="zh-CN"/>
        </w:rPr>
        <w:t>238 (WRC-15)</w:t>
      </w:r>
      <w:r>
        <w:rPr>
          <w:lang w:val="en-US" w:eastAsia="zh-CN"/>
        </w:rPr>
        <w:t xml:space="preserve"> invites ITU-R to conduct sharing and compatibility studies to support eventual identification of IMT in these bands. Administrations are also invited to submit contributions to ITU-R and participate actively in these studies.</w:t>
      </w:r>
    </w:p>
    <w:p w:rsidR="00556BCD" w:rsidRDefault="00556BCD">
      <w:pPr>
        <w:rPr>
          <w:lang w:val="en-US" w:eastAsia="zh-CN"/>
        </w:rPr>
      </w:pPr>
      <w:r>
        <w:rPr>
          <w:lang w:val="en-US" w:eastAsia="zh-CN"/>
        </w:rPr>
        <w:t>Under this scope, the modelling and simulation of IMT networks and systems for use in sharing and compatibility studies should be based on the methodology contained in Recommendation ITU-R M.2101</w:t>
      </w:r>
      <w:r w:rsidR="00B52A6A">
        <w:rPr>
          <w:lang w:val="en-US" w:eastAsia="zh-CN"/>
        </w:rPr>
        <w:t xml:space="preserve"> “</w:t>
      </w:r>
      <w:r w:rsidR="00B52A6A" w:rsidRPr="00B52A6A">
        <w:rPr>
          <w:i/>
          <w:iCs/>
          <w:lang w:val="en-US" w:eastAsia="zh-CN"/>
        </w:rPr>
        <w:t>Modelling and simulation of IMT networks and systems for use in sharing and compatibility studies</w:t>
      </w:r>
      <w:r w:rsidR="00B52A6A">
        <w:rPr>
          <w:lang w:val="en-US" w:eastAsia="zh-CN"/>
        </w:rPr>
        <w:t>”</w:t>
      </w:r>
      <w:r>
        <w:rPr>
          <w:lang w:val="en-US" w:eastAsia="zh-CN"/>
        </w:rPr>
        <w:t xml:space="preserve">, </w:t>
      </w:r>
      <w:r w:rsidR="00E8571D">
        <w:rPr>
          <w:lang w:val="en-US" w:eastAsia="zh-CN"/>
        </w:rPr>
        <w:t>under the responsibility of</w:t>
      </w:r>
      <w:r>
        <w:rPr>
          <w:lang w:val="en-US" w:eastAsia="zh-CN"/>
        </w:rPr>
        <w:t xml:space="preserve"> Study Group 5.</w:t>
      </w:r>
    </w:p>
    <w:p w:rsidR="00556BCD" w:rsidRDefault="00556BCD">
      <w:pPr>
        <w:rPr>
          <w:lang w:val="en-US" w:eastAsia="zh-CN"/>
        </w:rPr>
      </w:pPr>
      <w:r>
        <w:rPr>
          <w:lang w:val="en-US" w:eastAsia="zh-CN"/>
        </w:rPr>
        <w:t>This information document presents an</w:t>
      </w:r>
      <w:r w:rsidR="00B52A6A">
        <w:rPr>
          <w:lang w:val="en-US" w:eastAsia="zh-CN"/>
        </w:rPr>
        <w:t xml:space="preserve"> example of</w:t>
      </w:r>
      <w:r>
        <w:rPr>
          <w:lang w:val="en-US" w:eastAsia="zh-CN"/>
        </w:rPr>
        <w:t xml:space="preserve"> open-source implementation of Recommendation ITU-R M.2101 that can be used in the sharing and compatibility studies that have been conducted by T</w:t>
      </w:r>
      <w:r w:rsidR="00B52A6A">
        <w:rPr>
          <w:lang w:val="en-US" w:eastAsia="zh-CN"/>
        </w:rPr>
        <w:t xml:space="preserve">ask </w:t>
      </w:r>
      <w:r>
        <w:rPr>
          <w:lang w:val="en-US" w:eastAsia="zh-CN"/>
        </w:rPr>
        <w:t>G</w:t>
      </w:r>
      <w:r w:rsidR="00B52A6A">
        <w:rPr>
          <w:lang w:val="en-US" w:eastAsia="zh-CN"/>
        </w:rPr>
        <w:t>roup</w:t>
      </w:r>
      <w:r>
        <w:rPr>
          <w:lang w:val="en-US" w:eastAsia="zh-CN"/>
        </w:rPr>
        <w:t xml:space="preserve"> 5/1. This implementation is a free software, which means that users are free to run, copy, distribute, study, change and </w:t>
      </w:r>
      <w:r w:rsidR="00B52A6A">
        <w:rPr>
          <w:lang w:val="en-US" w:eastAsia="zh-CN"/>
        </w:rPr>
        <w:lastRenderedPageBreak/>
        <w:t>make improvements</w:t>
      </w:r>
      <w:r>
        <w:rPr>
          <w:lang w:val="en-US" w:eastAsia="zh-CN"/>
        </w:rPr>
        <w:t xml:space="preserve">. No sharing study is presented in this contribution, although the software can already be used to support studies between IMT and FSS, for example. Instead, IMT system modelling is briefly described and some IMT performance indicators are shown for the sake of comparison with other implementations. </w:t>
      </w:r>
      <w:r w:rsidR="00B52A6A">
        <w:rPr>
          <w:lang w:val="en-US" w:eastAsia="zh-CN"/>
        </w:rPr>
        <w:t xml:space="preserve">The tool </w:t>
      </w:r>
      <w:r w:rsidR="00E8571D">
        <w:rPr>
          <w:lang w:val="en-US" w:eastAsia="zh-CN"/>
        </w:rPr>
        <w:t>is</w:t>
      </w:r>
      <w:r w:rsidR="00B52A6A">
        <w:rPr>
          <w:lang w:val="en-US" w:eastAsia="zh-CN"/>
        </w:rPr>
        <w:t xml:space="preserve"> available on the Working Party 5D </w:t>
      </w:r>
      <w:r w:rsidR="00AE2CB0">
        <w:rPr>
          <w:lang w:val="en-US" w:eastAsia="zh-CN"/>
        </w:rPr>
        <w:t>SharePoint</w:t>
      </w:r>
      <w:r w:rsidR="00B52A6A">
        <w:rPr>
          <w:lang w:val="en-US" w:eastAsia="zh-CN"/>
        </w:rPr>
        <w:t xml:space="preserve"> </w:t>
      </w:r>
      <w:hyperlink r:id="rId11" w:history="1">
        <w:r w:rsidR="00B52A6A" w:rsidRPr="007020C5">
          <w:rPr>
            <w:rStyle w:val="Hyperlink"/>
            <w:lang w:val="en-US" w:eastAsia="zh-CN"/>
          </w:rPr>
          <w:t>website</w:t>
        </w:r>
      </w:hyperlink>
      <w:r w:rsidR="00B52A6A">
        <w:rPr>
          <w:lang w:val="en-US" w:eastAsia="zh-CN"/>
        </w:rPr>
        <w:t>.</w:t>
      </w:r>
    </w:p>
    <w:p w:rsidR="00556BCD" w:rsidRDefault="00556BCD">
      <w:pPr>
        <w:pStyle w:val="Heading1"/>
      </w:pPr>
      <w:r>
        <w:t>2</w:t>
      </w:r>
      <w:r>
        <w:tab/>
        <w:t>The open source simulation tool</w:t>
      </w:r>
    </w:p>
    <w:p w:rsidR="00556BCD" w:rsidRDefault="00556BCD">
      <w:pPr>
        <w:rPr>
          <w:lang w:val="en-US" w:eastAsia="zh-CN"/>
        </w:rPr>
      </w:pPr>
      <w:r>
        <w:rPr>
          <w:lang w:val="en-US" w:eastAsia="zh-CN"/>
        </w:rPr>
        <w:t xml:space="preserve">In order to contribute actively with ITU-R studies, the Spectrum, Orbit and Broadcasting Division of the Brazilian National Telecommunication Agency (ANATEL) has been leading a collaborative project for the development of an open-source simulation tool called SHARC (simulator for </w:t>
      </w:r>
      <w:proofErr w:type="spellStart"/>
      <w:r w:rsidR="00AE2CB0">
        <w:rPr>
          <w:lang w:val="en-US" w:eastAsia="zh-CN"/>
        </w:rPr>
        <w:t>SHARing</w:t>
      </w:r>
      <w:proofErr w:type="spellEnd"/>
      <w:r w:rsidR="00AE2CB0">
        <w:rPr>
          <w:lang w:val="en-US" w:eastAsia="zh-CN"/>
        </w:rPr>
        <w:t xml:space="preserve"> </w:t>
      </w:r>
      <w:r>
        <w:rPr>
          <w:lang w:val="en-US" w:eastAsia="zh-CN"/>
        </w:rPr>
        <w:t xml:space="preserve">and Compatibility studies). This is a free software that complies with the framework proposed by Recommendation ITU-R M.2101 for modelling and simulation of IMT systems. </w:t>
      </w:r>
    </w:p>
    <w:p w:rsidR="00556BCD" w:rsidRDefault="00556BCD">
      <w:pPr>
        <w:rPr>
          <w:lang w:val="en-US" w:eastAsia="zh-CN"/>
        </w:rPr>
      </w:pPr>
      <w:r>
        <w:rPr>
          <w:lang w:val="en-US" w:eastAsia="zh-CN"/>
        </w:rPr>
        <w:t xml:space="preserve">The focus of this simulator is the modeling of IMT systems, taking into account several characteristics of these systems such as: heterogeneous networks, antenna beamforming, distribution of base stations and user </w:t>
      </w:r>
      <w:proofErr w:type="spellStart"/>
      <w:r>
        <w:rPr>
          <w:lang w:val="en-US" w:eastAsia="zh-CN"/>
        </w:rPr>
        <w:t>equipments</w:t>
      </w:r>
      <w:proofErr w:type="spellEnd"/>
      <w:r>
        <w:rPr>
          <w:lang w:val="en-US" w:eastAsia="zh-CN"/>
        </w:rPr>
        <w:t>, power control, resource-blocks allocation, and other parameters.</w:t>
      </w:r>
    </w:p>
    <w:p w:rsidR="00556BCD" w:rsidRDefault="00556BCD">
      <w:pPr>
        <w:rPr>
          <w:lang w:val="en-US" w:eastAsia="zh-CN"/>
        </w:rPr>
      </w:pPr>
      <w:r>
        <w:rPr>
          <w:lang w:val="en-US" w:eastAsia="zh-CN"/>
        </w:rPr>
        <w:t xml:space="preserve">This simulation tool can be used to support sharing and compatibility studies between IMT and other </w:t>
      </w:r>
      <w:proofErr w:type="spellStart"/>
      <w:r>
        <w:rPr>
          <w:lang w:val="en-US" w:eastAsia="zh-CN"/>
        </w:rPr>
        <w:t>radiocommunication</w:t>
      </w:r>
      <w:proofErr w:type="spellEnd"/>
      <w:r>
        <w:rPr>
          <w:lang w:val="en-US" w:eastAsia="zh-CN"/>
        </w:rPr>
        <w:t xml:space="preserve"> services or systems, like fixed-satellite service (FSS), high-altitude platform system (HAPS), fixed point-to-point links, among others. </w:t>
      </w:r>
    </w:p>
    <w:p w:rsidR="00556BCD" w:rsidRDefault="00556BCD">
      <w:pPr>
        <w:rPr>
          <w:lang w:val="en-US" w:eastAsia="zh-CN"/>
        </w:rPr>
      </w:pPr>
      <w:r>
        <w:rPr>
          <w:lang w:val="en-US" w:eastAsia="zh-CN"/>
        </w:rPr>
        <w:t xml:space="preserve">SHARC is a free software licensed under the GNU </w:t>
      </w:r>
      <w:proofErr w:type="spellStart"/>
      <w:r>
        <w:rPr>
          <w:lang w:val="en-US" w:eastAsia="zh-CN"/>
        </w:rPr>
        <w:t>Affero</w:t>
      </w:r>
      <w:proofErr w:type="spellEnd"/>
      <w:r>
        <w:rPr>
          <w:lang w:val="en-US" w:eastAsia="zh-CN"/>
        </w:rPr>
        <w:t xml:space="preserve"> General Public License v3.0 (AGPL</w:t>
      </w:r>
      <w:r>
        <w:rPr>
          <w:lang w:val="en-US" w:eastAsia="zh-CN"/>
        </w:rPr>
        <w:noBreakHyphen/>
        <w:t xml:space="preserve">3.0), which means that the users have the freedom to run, copy, distribute, study, change and improve the software. </w:t>
      </w:r>
    </w:p>
    <w:p w:rsidR="00556BCD" w:rsidRDefault="00556BCD" w:rsidP="00845E78">
      <w:pPr>
        <w:rPr>
          <w:lang w:val="en-US" w:eastAsia="zh-CN"/>
        </w:rPr>
      </w:pPr>
      <w:r>
        <w:rPr>
          <w:lang w:val="en-US" w:eastAsia="zh-CN"/>
        </w:rPr>
        <w:t xml:space="preserve">The participation on the simulator development project does not require any financial commitment and so far the project has received many valuable contributions from local universities and independent </w:t>
      </w:r>
      <w:r w:rsidR="00845E78">
        <w:rPr>
          <w:lang w:val="en-US" w:eastAsia="zh-CN"/>
        </w:rPr>
        <w:t>entities</w:t>
      </w:r>
      <w:r>
        <w:rPr>
          <w:lang w:val="en-US" w:eastAsia="zh-CN"/>
        </w:rPr>
        <w:t>.</w:t>
      </w:r>
    </w:p>
    <w:p w:rsidR="00556BCD" w:rsidRDefault="00556BCD">
      <w:pPr>
        <w:rPr>
          <w:lang w:val="en-US" w:eastAsia="zh-CN"/>
        </w:rPr>
      </w:pPr>
      <w:r>
        <w:rPr>
          <w:lang w:val="en-US" w:eastAsia="zh-CN"/>
        </w:rPr>
        <w:lastRenderedPageBreak/>
        <w:t>The programming language that was chosen for the simulation development was Python and the source code is hosted in GitHub (</w:t>
      </w:r>
      <w:hyperlink r:id="rId12" w:history="1">
        <w:r>
          <w:rPr>
            <w:rStyle w:val="Hyperlink"/>
            <w:lang w:val="en-US" w:eastAsia="zh-CN"/>
          </w:rPr>
          <w:t>https://github.com/SIMULATOR-WG/SHARC</w:t>
        </w:r>
      </w:hyperlink>
      <w:r>
        <w:rPr>
          <w:lang w:val="en-US" w:eastAsia="zh-CN"/>
        </w:rPr>
        <w:t>). Instructions on how to configure the development environment and run simulations are also available on simulator’s web page in GitHub.</w:t>
      </w:r>
    </w:p>
    <w:p w:rsidR="00556BCD" w:rsidRDefault="00556BCD">
      <w:pPr>
        <w:pStyle w:val="Heading1"/>
        <w:rPr>
          <w:lang w:val="en-US" w:eastAsia="zh-CN"/>
        </w:rPr>
      </w:pPr>
      <w:r>
        <w:rPr>
          <w:lang w:val="en-US" w:eastAsia="zh-CN"/>
        </w:rPr>
        <w:t>3</w:t>
      </w:r>
      <w:r>
        <w:rPr>
          <w:lang w:val="en-US" w:eastAsia="zh-CN"/>
        </w:rPr>
        <w:tab/>
        <w:t>Simulator development methodology</w:t>
      </w:r>
    </w:p>
    <w:p w:rsidR="00556BCD" w:rsidRDefault="00556BCD">
      <w:pPr>
        <w:rPr>
          <w:lang w:val="en-US" w:eastAsia="zh-CN"/>
        </w:rPr>
      </w:pPr>
      <w:r>
        <w:rPr>
          <w:lang w:val="en-US" w:eastAsia="zh-CN"/>
        </w:rPr>
        <w:t xml:space="preserve">A Scrum-based methodology is adopted for the development of the software. The resources provided by GitHub platform may be used to manage the implementations of the features, to report bugs and to manage the overall software </w:t>
      </w:r>
      <w:r w:rsidR="00105410">
        <w:rPr>
          <w:lang w:val="en-US" w:eastAsia="zh-CN"/>
        </w:rPr>
        <w:t>development</w:t>
      </w:r>
      <w:r>
        <w:rPr>
          <w:lang w:val="en-US" w:eastAsia="zh-CN"/>
        </w:rPr>
        <w:t>.</w:t>
      </w:r>
    </w:p>
    <w:p w:rsidR="00556BCD" w:rsidRDefault="00556BCD">
      <w:pPr>
        <w:rPr>
          <w:lang w:val="en-US" w:eastAsia="zh-CN"/>
        </w:rPr>
      </w:pPr>
      <w:r>
        <w:rPr>
          <w:lang w:val="en-US" w:eastAsia="zh-CN"/>
        </w:rPr>
        <w:t xml:space="preserve">In order to ensure software quality, different kinds of tests are taken, including: </w:t>
      </w:r>
    </w:p>
    <w:p w:rsidR="00556BCD" w:rsidRDefault="00556BCD">
      <w:pPr>
        <w:pStyle w:val="enumlev1"/>
        <w:rPr>
          <w:lang w:val="en-US" w:eastAsia="zh-CN"/>
        </w:rPr>
      </w:pPr>
      <w:r>
        <w:rPr>
          <w:lang w:val="en-US" w:eastAsia="zh-CN"/>
        </w:rPr>
        <w:t>–</w:t>
      </w:r>
      <w:r>
        <w:rPr>
          <w:lang w:val="en-US" w:eastAsia="zh-CN"/>
        </w:rPr>
        <w:tab/>
        <w:t xml:space="preserve">unit tests: classes are </w:t>
      </w:r>
      <w:r w:rsidR="00105410">
        <w:rPr>
          <w:lang w:val="en-US" w:eastAsia="zh-CN"/>
        </w:rPr>
        <w:t>individually</w:t>
      </w:r>
      <w:r>
        <w:rPr>
          <w:lang w:val="en-US" w:eastAsia="zh-CN"/>
        </w:rPr>
        <w:t xml:space="preserve"> tested using the Python’s unit-test framework;</w:t>
      </w:r>
    </w:p>
    <w:p w:rsidR="00556BCD" w:rsidRDefault="00556BCD">
      <w:pPr>
        <w:pStyle w:val="enumlev1"/>
        <w:rPr>
          <w:lang w:val="en-US" w:eastAsia="zh-CN"/>
        </w:rPr>
      </w:pPr>
      <w:r>
        <w:rPr>
          <w:lang w:val="en-US" w:eastAsia="zh-CN"/>
        </w:rPr>
        <w:t>–</w:t>
      </w:r>
      <w:r>
        <w:rPr>
          <w:lang w:val="en-US" w:eastAsia="zh-CN"/>
        </w:rPr>
        <w:tab/>
        <w:t>benchmarking of individual modules: plots are created to individually validate and verify the implementation of modules (ex.: plot and antenna pattern and compare with a reference plot that is provided by an ITU-R recommendation);</w:t>
      </w:r>
    </w:p>
    <w:p w:rsidR="00556BCD" w:rsidRDefault="00556BCD">
      <w:pPr>
        <w:pStyle w:val="enumlev1"/>
        <w:rPr>
          <w:lang w:val="en-US" w:eastAsia="zh-CN"/>
        </w:rPr>
      </w:pPr>
      <w:r>
        <w:rPr>
          <w:lang w:val="en-US" w:eastAsia="zh-CN"/>
        </w:rPr>
        <w:t>–</w:t>
      </w:r>
      <w:r>
        <w:rPr>
          <w:lang w:val="en-US" w:eastAsia="zh-CN"/>
        </w:rPr>
        <w:tab/>
        <w:t>integration tests: once modules are individually tested and verified, their integration is tested to ensure that communication works properly. In some cases, a single snapshot of a simplified network is performed;</w:t>
      </w:r>
    </w:p>
    <w:p w:rsidR="00556BCD" w:rsidRDefault="00556BCD">
      <w:pPr>
        <w:pStyle w:val="enumlev1"/>
        <w:rPr>
          <w:lang w:val="en-US" w:eastAsia="zh-CN"/>
        </w:rPr>
      </w:pPr>
      <w:r>
        <w:rPr>
          <w:lang w:val="en-US" w:eastAsia="zh-CN"/>
        </w:rPr>
        <w:t>–</w:t>
      </w:r>
      <w:r>
        <w:rPr>
          <w:lang w:val="en-US" w:eastAsia="zh-CN"/>
        </w:rPr>
        <w:tab/>
        <w:t>benchmarking of reference results: simulation results of SHARC can be compared with results provided by other implementations.</w:t>
      </w:r>
    </w:p>
    <w:p w:rsidR="00556BCD" w:rsidRDefault="00556BCD">
      <w:pPr>
        <w:pStyle w:val="Heading1"/>
        <w:rPr>
          <w:lang w:val="en-US" w:eastAsia="zh-CN"/>
        </w:rPr>
      </w:pPr>
      <w:r>
        <w:rPr>
          <w:lang w:val="en-US" w:eastAsia="zh-CN"/>
        </w:rPr>
        <w:t>4</w:t>
      </w:r>
      <w:r>
        <w:rPr>
          <w:lang w:val="en-US" w:eastAsia="zh-CN"/>
        </w:rPr>
        <w:tab/>
        <w:t xml:space="preserve">Simulation parameters </w:t>
      </w:r>
    </w:p>
    <w:p w:rsidR="00556BCD" w:rsidRDefault="00556BCD">
      <w:pPr>
        <w:rPr>
          <w:lang w:val="en-US" w:eastAsia="zh-CN"/>
        </w:rPr>
      </w:pPr>
      <w:r>
        <w:rPr>
          <w:lang w:val="en-US" w:eastAsia="zh-CN"/>
        </w:rPr>
        <w:t>This section presents simulation parameters for a reference urban macro scenario. This is only one of the possible scenarios that can be easily configured in the simulator through the appropriate input parameters.</w:t>
      </w:r>
    </w:p>
    <w:p w:rsidR="00556BCD" w:rsidRDefault="00556BCD">
      <w:pPr>
        <w:pStyle w:val="Heading2"/>
        <w:rPr>
          <w:lang w:val="en-US" w:eastAsia="zh-CN"/>
        </w:rPr>
      </w:pPr>
      <w:r>
        <w:rPr>
          <w:lang w:val="en-US" w:eastAsia="zh-CN"/>
        </w:rPr>
        <w:lastRenderedPageBreak/>
        <w:t>4.1</w:t>
      </w:r>
      <w:r>
        <w:rPr>
          <w:lang w:val="en-US" w:eastAsia="zh-CN"/>
        </w:rPr>
        <w:tab/>
        <w:t>Network topology</w:t>
      </w:r>
    </w:p>
    <w:p w:rsidR="00556BCD" w:rsidRDefault="00556BCD" w:rsidP="00B00E70">
      <w:pPr>
        <w:rPr>
          <w:lang w:val="en-US" w:eastAsia="zh-CN"/>
        </w:rPr>
      </w:pPr>
      <w:r>
        <w:rPr>
          <w:lang w:val="en-US" w:eastAsia="zh-CN"/>
        </w:rPr>
        <w:t>The considered network topology is urban macro, where 3-sector base stations (BS) are deployed in fixed positions on a regular grid. The user equipment (UE</w:t>
      </w:r>
      <w:r w:rsidR="00E8571D">
        <w:rPr>
          <w:lang w:val="en-US" w:eastAsia="zh-CN"/>
        </w:rPr>
        <w:t>s</w:t>
      </w:r>
      <w:r>
        <w:rPr>
          <w:lang w:val="en-US" w:eastAsia="zh-CN"/>
        </w:rPr>
        <w:t>) are distributed within the sector coverage area and the distance between a BS and UE is modelled b</w:t>
      </w:r>
      <w:r w:rsidR="00105410">
        <w:rPr>
          <w:lang w:val="en-US" w:eastAsia="zh-CN"/>
        </w:rPr>
        <w:t xml:space="preserve">y a Rayleigh distribution with </w:t>
      </w:r>
      <w:r>
        <w:rPr>
          <w:lang w:val="en-US" w:eastAsia="zh-CN"/>
        </w:rPr>
        <w:t xml:space="preserve">scale parameter </w:t>
      </w:r>
      <m:oMath>
        <m:sSub>
          <m:sSubPr>
            <m:ctrlPr>
              <w:rPr>
                <w:rFonts w:ascii="Cambria Math" w:hAnsi="Cambria Math"/>
                <w:i/>
                <w:lang w:val="fr-FR" w:eastAsia="zh-CN"/>
              </w:rPr>
            </m:ctrlPr>
          </m:sSubPr>
          <m:e>
            <m:r>
              <w:rPr>
                <w:rFonts w:ascii="Cambria Math" w:hAnsi="Cambria Math"/>
                <w:lang w:val="fr-FR" w:eastAsia="zh-CN"/>
              </w:rPr>
              <m:t>σ</m:t>
            </m:r>
          </m:e>
          <m:sub>
            <m:r>
              <w:rPr>
                <w:rFonts w:ascii="Cambria Math" w:hAnsi="Cambria Math"/>
                <w:lang w:val="fr-FR" w:eastAsia="zh-CN"/>
              </w:rPr>
              <m:t>d</m:t>
            </m:r>
          </m:sub>
        </m:sSub>
        <m:r>
          <w:rPr>
            <w:rFonts w:ascii="Cambria Math" w:hAnsi="Cambria Math"/>
            <w:lang w:val="en-US" w:eastAsia="zh-CN"/>
          </w:rPr>
          <m:t xml:space="preserve">=32 </m:t>
        </m:r>
        <m:r>
          <w:rPr>
            <w:rFonts w:ascii="Cambria Math" w:hAnsi="Cambria Math"/>
            <w:lang w:val="fr-FR" w:eastAsia="zh-CN"/>
          </w:rPr>
          <m:t>m</m:t>
        </m:r>
      </m:oMath>
      <w:r>
        <w:rPr>
          <w:lang w:val="en-US" w:eastAsia="zh-CN"/>
        </w:rPr>
        <w:t xml:space="preserve">. The azimuth between them follows a normal distribution, truncated within the </w:t>
      </w:r>
      <m:oMath>
        <m:r>
          <w:rPr>
            <w:rFonts w:ascii="Cambria Math" w:hAnsi="Cambria Math" w:hint="eastAsia"/>
            <w:lang w:val="en-US" w:eastAsia="zh-CN"/>
          </w:rPr>
          <m:t>±</m:t>
        </m:r>
        <m:r>
          <w:rPr>
            <w:rFonts w:ascii="Cambria Math" w:hAnsi="Cambria Math"/>
            <w:lang w:val="en-US" w:eastAsia="zh-CN"/>
          </w:rPr>
          <m:t>60</m:t>
        </m:r>
        <m:r>
          <w:rPr>
            <w:rFonts w:ascii="Cambria Math" w:hAnsi="Cambria Math" w:hint="eastAsia"/>
            <w:lang w:val="en-US" w:eastAsia="zh-CN"/>
          </w:rPr>
          <m:t>°</m:t>
        </m:r>
      </m:oMath>
      <w:r>
        <w:rPr>
          <w:lang w:val="en-US" w:eastAsia="zh-CN"/>
        </w:rPr>
        <w:t xml:space="preserve"> range, with mean </w:t>
      </w:r>
      <m:oMath>
        <m:sSub>
          <m:sSubPr>
            <m:ctrlPr>
              <w:rPr>
                <w:rFonts w:ascii="Cambria Math" w:hAnsi="Cambria Math"/>
                <w:i/>
                <w:lang w:val="fr-FR" w:eastAsia="zh-CN"/>
              </w:rPr>
            </m:ctrlPr>
          </m:sSubPr>
          <m:e>
            <m:r>
              <w:rPr>
                <w:rFonts w:ascii="Cambria Math" w:hAnsi="Cambria Math"/>
                <w:lang w:val="fr-FR" w:eastAsia="zh-CN"/>
              </w:rPr>
              <m:t>μ</m:t>
            </m:r>
          </m:e>
          <m:sub>
            <m:r>
              <w:rPr>
                <w:rFonts w:ascii="Cambria Math" w:hAnsi="Cambria Math"/>
                <w:lang w:val="fr-FR" w:eastAsia="zh-CN"/>
              </w:rPr>
              <m:t>a</m:t>
            </m:r>
          </m:sub>
        </m:sSub>
        <m:r>
          <w:rPr>
            <w:rFonts w:ascii="Cambria Math" w:hAnsi="Cambria Math"/>
            <w:lang w:val="en-US" w:eastAsia="zh-CN"/>
          </w:rPr>
          <m:t>=0</m:t>
        </m:r>
        <m:r>
          <w:rPr>
            <w:rFonts w:ascii="Cambria Math" w:hAnsi="Cambria Math" w:hint="eastAsia"/>
            <w:lang w:val="en-US" w:eastAsia="zh-CN"/>
          </w:rPr>
          <m:t>°</m:t>
        </m:r>
      </m:oMath>
      <w:r>
        <w:rPr>
          <w:lang w:val="en-US" w:eastAsia="zh-CN"/>
        </w:rPr>
        <w:t xml:space="preserve"> and standard deviation </w:t>
      </w:r>
      <m:oMath>
        <m:sSub>
          <m:sSubPr>
            <m:ctrlPr>
              <w:rPr>
                <w:rFonts w:ascii="Cambria Math" w:hAnsi="Cambria Math"/>
                <w:i/>
                <w:lang w:val="fr-FR" w:eastAsia="zh-CN"/>
              </w:rPr>
            </m:ctrlPr>
          </m:sSubPr>
          <m:e>
            <m:r>
              <w:rPr>
                <w:rFonts w:ascii="Cambria Math" w:hAnsi="Cambria Math"/>
                <w:lang w:val="fr-FR" w:eastAsia="zh-CN"/>
              </w:rPr>
              <m:t>σ</m:t>
            </m:r>
          </m:e>
          <m:sub>
            <m:r>
              <w:rPr>
                <w:rFonts w:ascii="Cambria Math" w:hAnsi="Cambria Math"/>
                <w:lang w:val="fr-FR" w:eastAsia="zh-CN"/>
              </w:rPr>
              <m:t>a</m:t>
            </m:r>
          </m:sub>
        </m:sSub>
        <m:r>
          <w:rPr>
            <w:rFonts w:ascii="Cambria Math" w:hAnsi="Cambria Math"/>
            <w:lang w:val="en-US" w:eastAsia="zh-CN"/>
          </w:rPr>
          <m:t xml:space="preserve"> =30</m:t>
        </m:r>
        <m:r>
          <w:rPr>
            <w:rFonts w:ascii="Cambria Math" w:hAnsi="Cambria Math" w:hint="eastAsia"/>
            <w:lang w:val="en-US" w:eastAsia="zh-CN"/>
          </w:rPr>
          <m:t>°</m:t>
        </m:r>
      </m:oMath>
      <w:r>
        <w:rPr>
          <w:lang w:val="en-US" w:eastAsia="zh-CN"/>
        </w:rPr>
        <w:t xml:space="preserve">. </w:t>
      </w:r>
      <w:r w:rsidR="00BE1765" w:rsidRPr="00BE1765">
        <w:rPr>
          <w:lang w:val="en-US" w:eastAsia="zh-CN"/>
        </w:rPr>
        <w:t>Elevation angles of user equipment are assumed to be uniformly distributed within the ±90° range</w:t>
      </w:r>
      <w:r w:rsidRPr="00BE1765">
        <w:rPr>
          <w:lang w:val="en-US" w:eastAsia="zh-CN"/>
        </w:rPr>
        <w:t>. Azimuth angles that define UE</w:t>
      </w:r>
      <w:r w:rsidR="00E8571D" w:rsidRPr="00BE1765">
        <w:rPr>
          <w:lang w:val="en-US" w:eastAsia="zh-CN"/>
        </w:rPr>
        <w:t>s</w:t>
      </w:r>
      <w:r w:rsidRPr="00BE1765">
        <w:rPr>
          <w:lang w:val="en-US" w:eastAsia="zh-CN"/>
        </w:rPr>
        <w:t xml:space="preserve"> orientation range between -</w:t>
      </w:r>
      <w:r w:rsidR="00BE1765">
        <w:rPr>
          <w:lang w:val="en-US" w:eastAsia="zh-CN"/>
        </w:rPr>
        <w:t>6</w:t>
      </w:r>
      <w:r w:rsidRPr="00BE1765">
        <w:rPr>
          <w:lang w:val="en-US" w:eastAsia="zh-CN"/>
        </w:rPr>
        <w:t xml:space="preserve">0° and </w:t>
      </w:r>
      <w:r w:rsidR="00BE1765">
        <w:rPr>
          <w:lang w:val="en-US" w:eastAsia="zh-CN"/>
        </w:rPr>
        <w:t>6</w:t>
      </w:r>
      <w:r w:rsidRPr="00BE1765">
        <w:rPr>
          <w:lang w:val="en-US" w:eastAsia="zh-CN"/>
        </w:rPr>
        <w:t xml:space="preserve">0° in the direction of the base station. Figure </w:t>
      </w:r>
      <w:r w:rsidRPr="007F1A52">
        <w:rPr>
          <w:lang w:val="fr-FR" w:eastAsia="zh-CN"/>
        </w:rPr>
        <w:fldChar w:fldCharType="begin"/>
      </w:r>
      <w:r w:rsidRPr="00BE1765">
        <w:rPr>
          <w:lang w:val="en-US" w:eastAsia="zh-CN"/>
        </w:rPr>
        <w:instrText xml:space="preserve"> REF _Ref493175380 \h  \* MERGEFORMAT </w:instrText>
      </w:r>
      <w:r w:rsidRPr="007F1A52">
        <w:rPr>
          <w:lang w:val="fr-FR" w:eastAsia="zh-CN"/>
        </w:rPr>
      </w:r>
      <w:r w:rsidRPr="007F1A52">
        <w:rPr>
          <w:lang w:val="fr-FR" w:eastAsia="zh-CN"/>
        </w:rPr>
        <w:fldChar w:fldCharType="separate"/>
      </w:r>
      <w:r w:rsidR="00307464" w:rsidRPr="00307464">
        <w:rPr>
          <w:noProof/>
          <w:color w:val="000000" w:themeColor="text1"/>
        </w:rPr>
        <w:t>FIGURE</w:t>
      </w:r>
      <w:r w:rsidR="00307464">
        <w:t xml:space="preserve"> </w:t>
      </w:r>
      <w:r w:rsidR="00307464">
        <w:rPr>
          <w:noProof/>
        </w:rPr>
        <w:t>1</w:t>
      </w:r>
      <w:r w:rsidRPr="007F1A52">
        <w:rPr>
          <w:lang w:val="fr-FR" w:eastAsia="zh-CN"/>
        </w:rPr>
        <w:fldChar w:fldCharType="end"/>
      </w:r>
      <w:r w:rsidRPr="00BE1765">
        <w:rPr>
          <w:lang w:val="en-US" w:eastAsia="zh-CN"/>
        </w:rPr>
        <w:t xml:space="preserve"> shows an example of the IMT network topology.</w:t>
      </w:r>
    </w:p>
    <w:p w:rsidR="00556BCD" w:rsidRDefault="00556BCD">
      <w:pPr>
        <w:pStyle w:val="FigureNo"/>
      </w:pPr>
      <w:bookmarkStart w:id="9" w:name="_Ref493175380"/>
      <w:r>
        <w:t xml:space="preserve">FIGURE </w:t>
      </w:r>
      <w:r>
        <w:fldChar w:fldCharType="begin"/>
      </w:r>
      <w:r>
        <w:instrText xml:space="preserve"> SEQ FIGURE \* ARABIC </w:instrText>
      </w:r>
      <w:r>
        <w:fldChar w:fldCharType="separate"/>
      </w:r>
      <w:r w:rsidR="00307464">
        <w:rPr>
          <w:noProof/>
        </w:rPr>
        <w:t>1</w:t>
      </w:r>
      <w:r>
        <w:fldChar w:fldCharType="end"/>
      </w:r>
      <w:bookmarkEnd w:id="9"/>
      <w:r>
        <w:t xml:space="preserve"> </w:t>
      </w:r>
    </w:p>
    <w:p w:rsidR="00556BCD" w:rsidRDefault="00556BCD" w:rsidP="00F04D7C">
      <w:pPr>
        <w:pStyle w:val="Figuretitle"/>
      </w:pPr>
      <w:r>
        <w:t xml:space="preserve">IMT </w:t>
      </w:r>
      <w:r w:rsidRPr="00F04D7C">
        <w:t>network</w:t>
      </w:r>
      <w:r>
        <w:t xml:space="preserve"> topology</w:t>
      </w:r>
    </w:p>
    <w:p w:rsidR="00556BCD" w:rsidRPr="00F04D7C" w:rsidRDefault="00556BCD" w:rsidP="00F04D7C">
      <w:pPr>
        <w:pStyle w:val="Figure"/>
      </w:pPr>
      <w:r w:rsidRPr="00F04D7C">
        <w:rPr>
          <w:noProof/>
          <w:lang w:eastAsia="zh-CN"/>
        </w:rPr>
        <w:drawing>
          <wp:inline distT="0" distB="0" distL="0" distR="0">
            <wp:extent cx="3721100" cy="3124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scenario.png"/>
                    <pic:cNvPicPr/>
                  </pic:nvPicPr>
                  <pic:blipFill rotWithShape="1">
                    <a:blip r:embed="rId13">
                      <a:extLst>
                        <a:ext uri="{28A0092B-C50C-407E-A947-70E740481C1C}">
                          <a14:useLocalDpi xmlns:a14="http://schemas.microsoft.com/office/drawing/2010/main" val="0"/>
                        </a:ext>
                      </a:extLst>
                    </a:blip>
                    <a:srcRect t="10793" b="4925"/>
                    <a:stretch/>
                  </pic:blipFill>
                  <pic:spPr bwMode="auto">
                    <a:xfrm>
                      <a:off x="0" y="0"/>
                      <a:ext cx="3724614" cy="3127150"/>
                    </a:xfrm>
                    <a:prstGeom prst="rect">
                      <a:avLst/>
                    </a:prstGeom>
                    <a:ln>
                      <a:noFill/>
                    </a:ln>
                    <a:extLst>
                      <a:ext uri="{53640926-AAD7-44D8-BBD7-CCE9431645EC}">
                        <a14:shadowObscured xmlns:a14="http://schemas.microsoft.com/office/drawing/2010/main"/>
                      </a:ext>
                    </a:extLst>
                  </pic:spPr>
                </pic:pic>
              </a:graphicData>
            </a:graphic>
          </wp:inline>
        </w:drawing>
      </w:r>
    </w:p>
    <w:p w:rsidR="00556BCD" w:rsidRDefault="00556BCD">
      <w:pPr>
        <w:pStyle w:val="Heading2"/>
        <w:rPr>
          <w:lang w:val="en-US" w:eastAsia="zh-CN"/>
        </w:rPr>
      </w:pPr>
      <w:r>
        <w:rPr>
          <w:lang w:val="en-US" w:eastAsia="zh-CN"/>
        </w:rPr>
        <w:lastRenderedPageBreak/>
        <w:t>4.2</w:t>
      </w:r>
      <w:r>
        <w:rPr>
          <w:lang w:val="en-US" w:eastAsia="zh-CN"/>
        </w:rPr>
        <w:tab/>
        <w:t>Antenna beamforming</w:t>
      </w:r>
    </w:p>
    <w:p w:rsidR="00556BCD" w:rsidRDefault="00556BCD">
      <w:pPr>
        <w:rPr>
          <w:lang w:val="en-US" w:eastAsia="zh-CN"/>
        </w:rPr>
      </w:pPr>
      <w:r>
        <w:rPr>
          <w:lang w:val="en-US" w:eastAsia="zh-CN"/>
        </w:rPr>
        <w:t xml:space="preserve">Both IMT base stations and user </w:t>
      </w:r>
      <w:proofErr w:type="spellStart"/>
      <w:r>
        <w:rPr>
          <w:lang w:val="en-US" w:eastAsia="zh-CN"/>
        </w:rPr>
        <w:t>equipments</w:t>
      </w:r>
      <w:proofErr w:type="spellEnd"/>
      <w:r>
        <w:rPr>
          <w:lang w:val="en-US" w:eastAsia="zh-CN"/>
        </w:rPr>
        <w:t xml:space="preserve"> use antenna beamforming according to the model provided in Recommendation ITU-R M.2101. This model consists of several identical radiating elements in the </w:t>
      </w:r>
      <w:proofErr w:type="spellStart"/>
      <w:r>
        <w:rPr>
          <w:lang w:val="en-US" w:eastAsia="zh-CN"/>
        </w:rPr>
        <w:t>yz</w:t>
      </w:r>
      <w:proofErr w:type="spellEnd"/>
      <w:r>
        <w:rPr>
          <w:lang w:val="en-US" w:eastAsia="zh-CN"/>
        </w:rPr>
        <w:t xml:space="preserve">-plane, having the same individual radiation pattern and with a certain separation distance. The beam direction is calculated by a weighting function. </w:t>
      </w:r>
      <w:r w:rsidR="001B0912">
        <w:rPr>
          <w:lang w:val="en-US" w:eastAsia="zh-CN"/>
        </w:rPr>
        <w:t xml:space="preserve">Figure 2 </w:t>
      </w:r>
      <w:r>
        <w:rPr>
          <w:lang w:val="en-US" w:eastAsia="zh-CN"/>
        </w:rPr>
        <w:t xml:space="preserve">shows examples of 8×8 and 4×4 antenna arrays that are used by base stations and user equipment, respectively. </w:t>
      </w:r>
    </w:p>
    <w:p w:rsidR="00556BCD" w:rsidRDefault="00556BCD" w:rsidP="00F04D7C">
      <w:pPr>
        <w:pStyle w:val="FigureNo"/>
      </w:pPr>
      <w:bookmarkStart w:id="10" w:name="_Ref493176769"/>
      <w:r w:rsidRPr="00F04D7C">
        <w:t>FIGURE</w:t>
      </w:r>
      <w:r>
        <w:t xml:space="preserve"> </w:t>
      </w:r>
      <w:r>
        <w:fldChar w:fldCharType="begin"/>
      </w:r>
      <w:r>
        <w:instrText xml:space="preserve"> SEQ FIGURE \* ARABIC </w:instrText>
      </w:r>
      <w:r>
        <w:fldChar w:fldCharType="separate"/>
      </w:r>
      <w:r w:rsidR="00307464">
        <w:rPr>
          <w:noProof/>
        </w:rPr>
        <w:t>2</w:t>
      </w:r>
      <w:r>
        <w:fldChar w:fldCharType="end"/>
      </w:r>
      <w:bookmarkEnd w:id="10"/>
      <w:r>
        <w:t xml:space="preserve"> </w:t>
      </w:r>
    </w:p>
    <w:p w:rsidR="00556BCD" w:rsidRDefault="00556BCD" w:rsidP="00F04D7C">
      <w:pPr>
        <w:pStyle w:val="Figuretitle"/>
      </w:pPr>
      <w:r>
        <w:t>IMT base station and user equipment antenna patterns</w:t>
      </w:r>
    </w:p>
    <w:p w:rsidR="00556BCD" w:rsidRDefault="00556BCD" w:rsidP="00F04D7C">
      <w:pPr>
        <w:pStyle w:val="Figure"/>
        <w:keepNext/>
        <w:spacing w:after="0"/>
      </w:pPr>
      <w:r>
        <w:rPr>
          <w:noProof/>
          <w:lang w:eastAsia="zh-CN"/>
        </w:rPr>
        <w:drawing>
          <wp:inline distT="0" distB="0" distL="0" distR="0">
            <wp:extent cx="6120765" cy="202755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BS anten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027555"/>
                    </a:xfrm>
                    <a:prstGeom prst="rect">
                      <a:avLst/>
                    </a:prstGeom>
                  </pic:spPr>
                </pic:pic>
              </a:graphicData>
            </a:graphic>
          </wp:inline>
        </w:drawing>
      </w:r>
    </w:p>
    <w:p w:rsidR="00556BCD" w:rsidRDefault="00556BCD">
      <w:pPr>
        <w:jc w:val="center"/>
        <w:rPr>
          <w:lang w:val="fr-FR" w:eastAsia="zh-CN"/>
        </w:rPr>
      </w:pPr>
      <w:r>
        <w:rPr>
          <w:noProof/>
          <w:lang w:eastAsia="zh-CN"/>
        </w:rPr>
        <w:drawing>
          <wp:inline distT="0" distB="0" distL="0" distR="0">
            <wp:extent cx="6120765" cy="20275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UE antenn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027555"/>
                    </a:xfrm>
                    <a:prstGeom prst="rect">
                      <a:avLst/>
                    </a:prstGeom>
                  </pic:spPr>
                </pic:pic>
              </a:graphicData>
            </a:graphic>
          </wp:inline>
        </w:drawing>
      </w:r>
    </w:p>
    <w:p w:rsidR="00556BCD" w:rsidRDefault="00556BCD">
      <w:pPr>
        <w:pStyle w:val="Heading2"/>
        <w:rPr>
          <w:lang w:val="en-US" w:eastAsia="zh-CN"/>
        </w:rPr>
      </w:pPr>
      <w:r>
        <w:rPr>
          <w:lang w:val="en-US" w:eastAsia="zh-CN"/>
        </w:rPr>
        <w:t>4.3</w:t>
      </w:r>
      <w:r>
        <w:rPr>
          <w:lang w:val="en-US" w:eastAsia="zh-CN"/>
        </w:rPr>
        <w:tab/>
        <w:t>Simulation parameters</w:t>
      </w:r>
    </w:p>
    <w:p w:rsidR="00556BCD" w:rsidRDefault="001B0912">
      <w:pPr>
        <w:rPr>
          <w:lang w:val="en-US" w:eastAsia="zh-CN"/>
        </w:rPr>
      </w:pPr>
      <w:r w:rsidRPr="007F1A52">
        <w:rPr>
          <w:szCs w:val="24"/>
          <w:lang w:val="en-US" w:eastAsia="zh-CN"/>
        </w:rPr>
        <w:t>Table 1</w:t>
      </w:r>
      <w:r w:rsidR="00556BCD">
        <w:rPr>
          <w:szCs w:val="24"/>
          <w:lang w:val="en-US" w:eastAsia="zh-CN"/>
        </w:rPr>
        <w:t xml:space="preserve"> summarizes</w:t>
      </w:r>
      <w:r w:rsidR="00556BCD">
        <w:rPr>
          <w:lang w:val="en-US" w:eastAsia="zh-CN"/>
        </w:rPr>
        <w:t xml:space="preserve"> the simulation parameters, including the parameters of the path loss model that was used in this case.</w:t>
      </w:r>
    </w:p>
    <w:p w:rsidR="00556BCD" w:rsidRDefault="00556BCD">
      <w:pPr>
        <w:pStyle w:val="TableNo"/>
      </w:pPr>
      <w:bookmarkStart w:id="11" w:name="_Ref493254230"/>
      <w:r>
        <w:lastRenderedPageBreak/>
        <w:t xml:space="preserve">TABLE </w:t>
      </w:r>
      <w:r>
        <w:fldChar w:fldCharType="begin"/>
      </w:r>
      <w:r>
        <w:instrText xml:space="preserve"> SEQ TABLE \* ARABIC </w:instrText>
      </w:r>
      <w:r>
        <w:fldChar w:fldCharType="separate"/>
      </w:r>
      <w:r w:rsidR="00307464">
        <w:rPr>
          <w:noProof/>
        </w:rPr>
        <w:t>1</w:t>
      </w:r>
      <w:r>
        <w:fldChar w:fldCharType="end"/>
      </w:r>
      <w:bookmarkEnd w:id="11"/>
    </w:p>
    <w:p w:rsidR="00556BCD" w:rsidRDefault="00556BCD">
      <w:pPr>
        <w:pStyle w:val="Tabletitle"/>
      </w:pPr>
      <w:r>
        <w:t>Simulation parameters</w:t>
      </w:r>
    </w:p>
    <w:p w:rsidR="00556BCD" w:rsidRDefault="00556BCD" w:rsidP="00F04D7C">
      <w:pPr>
        <w:pStyle w:val="Figure"/>
      </w:pPr>
      <w:r>
        <w:rPr>
          <w:noProof/>
          <w:lang w:eastAsia="zh-CN"/>
        </w:rPr>
        <w:drawing>
          <wp:inline distT="0" distB="0" distL="0" distR="0">
            <wp:extent cx="4591050" cy="5067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277" cy="5073070"/>
                    </a:xfrm>
                    <a:prstGeom prst="rect">
                      <a:avLst/>
                    </a:prstGeom>
                    <a:noFill/>
                    <a:ln>
                      <a:noFill/>
                    </a:ln>
                  </pic:spPr>
                </pic:pic>
              </a:graphicData>
            </a:graphic>
          </wp:inline>
        </w:drawing>
      </w:r>
    </w:p>
    <w:p w:rsidR="00556BCD" w:rsidRDefault="00556BCD">
      <w:pPr>
        <w:pStyle w:val="Heading1"/>
        <w:rPr>
          <w:lang w:val="en-US" w:eastAsia="zh-CN"/>
        </w:rPr>
      </w:pPr>
      <w:r>
        <w:rPr>
          <w:lang w:val="en-US" w:eastAsia="zh-CN"/>
        </w:rPr>
        <w:t>5</w:t>
      </w:r>
      <w:r>
        <w:rPr>
          <w:lang w:val="en-US" w:eastAsia="zh-CN"/>
        </w:rPr>
        <w:tab/>
        <w:t>Simulation results</w:t>
      </w:r>
    </w:p>
    <w:p w:rsidR="00556BCD" w:rsidRDefault="00556BCD">
      <w:pPr>
        <w:rPr>
          <w:lang w:val="en-US" w:eastAsia="zh-CN"/>
        </w:rPr>
      </w:pPr>
      <w:r>
        <w:rPr>
          <w:lang w:val="en-US" w:eastAsia="zh-CN"/>
        </w:rPr>
        <w:t xml:space="preserve">This section presents some IMT key performance indicators for the simulation scenario described in the previous sections. These results </w:t>
      </w:r>
      <w:r>
        <w:rPr>
          <w:lang w:val="en-US" w:eastAsia="zh-CN"/>
        </w:rPr>
        <w:lastRenderedPageBreak/>
        <w:t>are comparable with the ones provided by other independent implementations and previously presented in</w:t>
      </w:r>
      <w:r>
        <w:t xml:space="preserve"> </w:t>
      </w:r>
      <w:r w:rsidRPr="00374C61">
        <w:rPr>
          <w:lang w:val="en-US" w:eastAsia="zh-CN"/>
        </w:rPr>
        <w:t xml:space="preserve">Document </w:t>
      </w:r>
      <w:r w:rsidR="00845E78" w:rsidRPr="00374C61">
        <w:t>5D/645</w:t>
      </w:r>
      <w:r w:rsidR="00374C61">
        <w:t>, here attached</w:t>
      </w:r>
      <w:r w:rsidRPr="00374C61">
        <w:rPr>
          <w:lang w:val="en-US" w:eastAsia="zh-CN"/>
        </w:rPr>
        <w:t>.</w:t>
      </w:r>
    </w:p>
    <w:p w:rsidR="00845E78" w:rsidRDefault="00845E78">
      <w:pPr>
        <w:rPr>
          <w:lang w:val="en-US" w:eastAsia="zh-CN"/>
        </w:rPr>
      </w:pPr>
    </w:p>
    <w:bookmarkStart w:id="12" w:name="_MON_1569164120"/>
    <w:bookmarkEnd w:id="12"/>
    <w:p w:rsidR="00845E78" w:rsidRDefault="00845E78" w:rsidP="007F1A52">
      <w:pPr>
        <w:jc w:val="center"/>
        <w:rPr>
          <w:lang w:val="en-US" w:eastAsia="zh-CN"/>
        </w:rPr>
      </w:pPr>
      <w:r>
        <w:rPr>
          <w:lang w:val="en-US" w:eastAsia="zh-CN"/>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6pt" o:ole="">
            <v:imagedata r:id="rId17" o:title=""/>
          </v:shape>
          <o:OLEObject Type="Embed" ProgID="Word.Document.12" ShapeID="_x0000_i1025" DrawAspect="Icon" ObjectID="_1570283328" r:id="rId18">
            <o:FieldCodes>\s</o:FieldCodes>
          </o:OLEObject>
        </w:object>
      </w:r>
    </w:p>
    <w:p w:rsidR="00556BCD" w:rsidRDefault="00556BCD">
      <w:pPr>
        <w:pStyle w:val="Heading2"/>
        <w:rPr>
          <w:lang w:val="en-US" w:eastAsia="zh-CN"/>
        </w:rPr>
      </w:pPr>
      <w:r>
        <w:rPr>
          <w:lang w:val="en-US" w:eastAsia="zh-CN"/>
        </w:rPr>
        <w:t>5.1</w:t>
      </w:r>
      <w:r>
        <w:rPr>
          <w:lang w:val="en-US" w:eastAsia="zh-CN"/>
        </w:rPr>
        <w:tab/>
        <w:t>IMT downlink results</w:t>
      </w:r>
    </w:p>
    <w:p w:rsidR="00556BCD" w:rsidRDefault="00556BCD">
      <w:pPr>
        <w:pStyle w:val="FigureNo"/>
      </w:pPr>
      <w:r>
        <w:t xml:space="preserve">FIGURE </w:t>
      </w:r>
      <w:r>
        <w:fldChar w:fldCharType="begin"/>
      </w:r>
      <w:r>
        <w:instrText xml:space="preserve"> SEQ FIGURE \* ARABIC </w:instrText>
      </w:r>
      <w:r>
        <w:fldChar w:fldCharType="separate"/>
      </w:r>
      <w:r w:rsidR="00307464">
        <w:rPr>
          <w:noProof/>
        </w:rPr>
        <w:t>3</w:t>
      </w:r>
      <w:r>
        <w:fldChar w:fldCharType="end"/>
      </w:r>
    </w:p>
    <w:p w:rsidR="00556BCD" w:rsidRDefault="00556BCD" w:rsidP="00F04D7C">
      <w:pPr>
        <w:pStyle w:val="Figuretitle"/>
      </w:pPr>
      <w:r>
        <w:t>CDF of base station antenna gain towards user equipment</w:t>
      </w:r>
    </w:p>
    <w:p w:rsidR="00556BCD" w:rsidRDefault="00556BCD" w:rsidP="00F04D7C">
      <w:pPr>
        <w:pStyle w:val="Figure"/>
      </w:pPr>
      <w:r>
        <w:rPr>
          <w:noProof/>
          <w:lang w:eastAsia="zh-CN"/>
        </w:rPr>
        <w:drawing>
          <wp:inline distT="0" distB="0" distL="0" distR="0">
            <wp:extent cx="4114800" cy="27432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BS antenna gain towards the UE.png"/>
                    <pic:cNvPicPr/>
                  </pic:nvPicPr>
                  <pic:blipFill>
                    <a:blip r:embed="rId19">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556BCD" w:rsidRDefault="00556BCD">
      <w:pPr>
        <w:pStyle w:val="FigureNo"/>
      </w:pPr>
      <w:r>
        <w:lastRenderedPageBreak/>
        <w:t xml:space="preserve">FIGURE </w:t>
      </w:r>
      <w:r>
        <w:fldChar w:fldCharType="begin"/>
      </w:r>
      <w:r>
        <w:instrText xml:space="preserve"> SEQ FIGURE \* ARABIC </w:instrText>
      </w:r>
      <w:r>
        <w:fldChar w:fldCharType="separate"/>
      </w:r>
      <w:r w:rsidR="00307464">
        <w:rPr>
          <w:noProof/>
        </w:rPr>
        <w:t>4</w:t>
      </w:r>
      <w:r>
        <w:fldChar w:fldCharType="end"/>
      </w:r>
    </w:p>
    <w:p w:rsidR="00556BCD" w:rsidRDefault="00556BCD" w:rsidP="00F04D7C">
      <w:pPr>
        <w:pStyle w:val="Figuretitle"/>
        <w:rPr>
          <w:lang w:val="en-US" w:eastAsia="zh-CN"/>
        </w:rPr>
      </w:pPr>
      <w:r>
        <w:rPr>
          <w:lang w:val="en-US" w:eastAsia="zh-CN"/>
        </w:rPr>
        <w:t>CDF of downlink SNR</w:t>
      </w:r>
    </w:p>
    <w:p w:rsidR="00556BCD" w:rsidRDefault="00556BCD" w:rsidP="00F04D7C">
      <w:pPr>
        <w:pStyle w:val="Figure"/>
      </w:pPr>
      <w:r>
        <w:rPr>
          <w:noProof/>
          <w:lang w:eastAsia="zh-CN"/>
        </w:rPr>
        <w:drawing>
          <wp:inline distT="0" distB="0" distL="0" distR="0">
            <wp:extent cx="4114800" cy="27432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DL SNR.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556BCD" w:rsidRDefault="00556BCD">
      <w:pPr>
        <w:pStyle w:val="FigureNo"/>
      </w:pPr>
      <w:r>
        <w:lastRenderedPageBreak/>
        <w:t xml:space="preserve">FIGURE </w:t>
      </w:r>
      <w:r>
        <w:fldChar w:fldCharType="begin"/>
      </w:r>
      <w:r>
        <w:instrText xml:space="preserve"> SEQ FIGURE \* ARABIC </w:instrText>
      </w:r>
      <w:r>
        <w:fldChar w:fldCharType="separate"/>
      </w:r>
      <w:r w:rsidR="00307464">
        <w:rPr>
          <w:noProof/>
        </w:rPr>
        <w:t>5</w:t>
      </w:r>
      <w:r>
        <w:fldChar w:fldCharType="end"/>
      </w:r>
    </w:p>
    <w:p w:rsidR="00556BCD" w:rsidRDefault="00556BCD" w:rsidP="00F04D7C">
      <w:pPr>
        <w:pStyle w:val="Figuretitle"/>
      </w:pPr>
      <w:r>
        <w:t>CDF of downlink SINR</w:t>
      </w:r>
    </w:p>
    <w:p w:rsidR="00556BCD" w:rsidRDefault="00556BCD" w:rsidP="00F04D7C">
      <w:pPr>
        <w:pStyle w:val="Figure"/>
        <w:rPr>
          <w:lang w:val="fr-FR"/>
        </w:rPr>
      </w:pPr>
      <w:r>
        <w:rPr>
          <w:noProof/>
          <w:lang w:eastAsia="zh-CN"/>
        </w:rPr>
        <w:drawing>
          <wp:inline distT="0" distB="0" distL="0" distR="0">
            <wp:extent cx="4114800" cy="2743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DL SINR.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556BCD" w:rsidRDefault="00556BCD">
      <w:pPr>
        <w:pStyle w:val="Heading2"/>
        <w:rPr>
          <w:lang w:val="en-US" w:eastAsia="zh-CN"/>
        </w:rPr>
      </w:pPr>
      <w:r>
        <w:rPr>
          <w:lang w:val="en-US" w:eastAsia="zh-CN"/>
        </w:rPr>
        <w:lastRenderedPageBreak/>
        <w:t>5.2</w:t>
      </w:r>
      <w:r>
        <w:rPr>
          <w:lang w:val="en-US" w:eastAsia="zh-CN"/>
        </w:rPr>
        <w:tab/>
        <w:t>IMT uplink results</w:t>
      </w:r>
    </w:p>
    <w:p w:rsidR="00556BCD" w:rsidRDefault="00556BCD">
      <w:pPr>
        <w:pStyle w:val="FigureNo"/>
      </w:pPr>
      <w:r>
        <w:t xml:space="preserve">FIGURE </w:t>
      </w:r>
      <w:r>
        <w:fldChar w:fldCharType="begin"/>
      </w:r>
      <w:r>
        <w:instrText xml:space="preserve"> SEQ FIGURE \* ARABIC </w:instrText>
      </w:r>
      <w:r>
        <w:fldChar w:fldCharType="separate"/>
      </w:r>
      <w:r w:rsidR="00307464">
        <w:rPr>
          <w:noProof/>
        </w:rPr>
        <w:t>6</w:t>
      </w:r>
      <w:r>
        <w:fldChar w:fldCharType="end"/>
      </w:r>
    </w:p>
    <w:p w:rsidR="00556BCD" w:rsidRDefault="00556BCD" w:rsidP="00F04D7C">
      <w:pPr>
        <w:pStyle w:val="Figuretitle"/>
      </w:pPr>
      <w:r>
        <w:t>CDF of user equipment antenna gain towards base station</w:t>
      </w:r>
    </w:p>
    <w:p w:rsidR="00556BCD" w:rsidRDefault="00556BCD" w:rsidP="00F04D7C">
      <w:pPr>
        <w:pStyle w:val="Figure"/>
      </w:pPr>
      <w:r>
        <w:rPr>
          <w:noProof/>
          <w:lang w:eastAsia="zh-CN"/>
        </w:rPr>
        <w:drawing>
          <wp:inline distT="0" distB="0" distL="0" distR="0">
            <wp:extent cx="4114800" cy="2743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UE antenna gain towards the BS.png"/>
                    <pic:cNvPicPr/>
                  </pic:nvPicPr>
                  <pic:blipFill>
                    <a:blip r:embed="rId22">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556BCD" w:rsidRDefault="00556BCD">
      <w:pPr>
        <w:pStyle w:val="FigureNo"/>
      </w:pPr>
      <w:r>
        <w:lastRenderedPageBreak/>
        <w:t xml:space="preserve">FIGURE </w:t>
      </w:r>
      <w:r>
        <w:fldChar w:fldCharType="begin"/>
      </w:r>
      <w:r>
        <w:instrText xml:space="preserve"> SEQ FIGURE \* ARABIC </w:instrText>
      </w:r>
      <w:r>
        <w:fldChar w:fldCharType="separate"/>
      </w:r>
      <w:r w:rsidR="00307464">
        <w:rPr>
          <w:noProof/>
        </w:rPr>
        <w:t>7</w:t>
      </w:r>
      <w:r>
        <w:fldChar w:fldCharType="end"/>
      </w:r>
    </w:p>
    <w:p w:rsidR="00556BCD" w:rsidRDefault="00556BCD" w:rsidP="00F04D7C">
      <w:pPr>
        <w:pStyle w:val="Figuretitle"/>
      </w:pPr>
      <w:r>
        <w:t>CDF of user equipment transmit power</w:t>
      </w:r>
    </w:p>
    <w:p w:rsidR="00556BCD" w:rsidRDefault="00556BCD" w:rsidP="00F04D7C">
      <w:pPr>
        <w:pStyle w:val="Figure"/>
        <w:rPr>
          <w:lang w:val="fr-FR"/>
        </w:rPr>
      </w:pPr>
      <w:r>
        <w:rPr>
          <w:noProof/>
          <w:lang w:eastAsia="zh-CN"/>
        </w:rPr>
        <w:drawing>
          <wp:inline distT="0" distB="0" distL="0" distR="0">
            <wp:extent cx="4114800" cy="27432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UE transmit power.png"/>
                    <pic:cNvPicPr/>
                  </pic:nvPicPr>
                  <pic:blipFill>
                    <a:blip r:embed="rId23">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556BCD" w:rsidRDefault="00556BCD">
      <w:pPr>
        <w:pStyle w:val="FigureNo"/>
      </w:pPr>
      <w:r>
        <w:lastRenderedPageBreak/>
        <w:t xml:space="preserve">FIGURE </w:t>
      </w:r>
      <w:r>
        <w:fldChar w:fldCharType="begin"/>
      </w:r>
      <w:r>
        <w:instrText xml:space="preserve"> SEQ FIGURE \* ARABIC </w:instrText>
      </w:r>
      <w:r>
        <w:fldChar w:fldCharType="separate"/>
      </w:r>
      <w:r w:rsidR="00307464">
        <w:rPr>
          <w:noProof/>
        </w:rPr>
        <w:t>8</w:t>
      </w:r>
      <w:r>
        <w:fldChar w:fldCharType="end"/>
      </w:r>
    </w:p>
    <w:p w:rsidR="00556BCD" w:rsidRDefault="00556BCD" w:rsidP="00F04D7C">
      <w:pPr>
        <w:pStyle w:val="Figuretitle"/>
      </w:pPr>
      <w:r>
        <w:t>CDF of uplink SINR</w:t>
      </w:r>
    </w:p>
    <w:p w:rsidR="00556BCD" w:rsidRDefault="00556BCD" w:rsidP="00F04D7C">
      <w:pPr>
        <w:pStyle w:val="Figure"/>
        <w:rPr>
          <w:lang w:val="fr-FR"/>
        </w:rPr>
      </w:pPr>
      <w:r>
        <w:rPr>
          <w:noProof/>
          <w:lang w:eastAsia="zh-CN"/>
        </w:rPr>
        <w:drawing>
          <wp:inline distT="0" distB="0" distL="0" distR="0">
            <wp:extent cx="4114800" cy="27432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 CDF of UL SINR.png"/>
                    <pic:cNvPicPr/>
                  </pic:nvPicPr>
                  <pic:blipFill>
                    <a:blip r:embed="rId24">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307464" w:rsidRDefault="00307464">
      <w:pPr>
        <w:tabs>
          <w:tab w:val="clear" w:pos="1134"/>
          <w:tab w:val="clear" w:pos="1871"/>
          <w:tab w:val="clear" w:pos="2268"/>
        </w:tabs>
        <w:overflowPunct/>
        <w:autoSpaceDE/>
        <w:autoSpaceDN/>
        <w:adjustRightInd/>
        <w:spacing w:before="0"/>
        <w:textAlignment w:val="auto"/>
        <w:rPr>
          <w:b/>
          <w:sz w:val="28"/>
          <w:lang w:val="en-US" w:eastAsia="zh-CN"/>
        </w:rPr>
      </w:pPr>
      <w:r>
        <w:rPr>
          <w:lang w:val="en-US" w:eastAsia="zh-CN"/>
        </w:rPr>
        <w:br w:type="page"/>
      </w:r>
    </w:p>
    <w:p w:rsidR="00556BCD" w:rsidRDefault="00556BCD">
      <w:pPr>
        <w:pStyle w:val="Heading1"/>
        <w:rPr>
          <w:lang w:val="en-US" w:eastAsia="zh-CN"/>
        </w:rPr>
      </w:pPr>
      <w:bookmarkStart w:id="13" w:name="_GoBack"/>
      <w:bookmarkEnd w:id="13"/>
      <w:r>
        <w:rPr>
          <w:lang w:val="en-US" w:eastAsia="zh-CN"/>
        </w:rPr>
        <w:t>6</w:t>
      </w:r>
      <w:r>
        <w:rPr>
          <w:lang w:val="en-US" w:eastAsia="zh-CN"/>
        </w:rPr>
        <w:tab/>
        <w:t>Conclusions</w:t>
      </w:r>
    </w:p>
    <w:p w:rsidR="00556BCD" w:rsidRDefault="00556BCD" w:rsidP="00F04D7C">
      <w:pPr>
        <w:rPr>
          <w:lang w:val="en-US" w:eastAsia="zh-CN"/>
        </w:rPr>
      </w:pPr>
      <w:r>
        <w:rPr>
          <w:lang w:val="en-US" w:eastAsia="zh-CN"/>
        </w:rPr>
        <w:t>This document presents an open-source implementation of Recommendation ITU-R M.2101. Since it is a free software, users have freedom to run the program as they wish, as well as study the source code and make changes. Some IMT results indicate that this simulator provides results which are comparable with the ones provided by other implementations.</w:t>
      </w:r>
    </w:p>
    <w:p w:rsidR="00F01260" w:rsidRPr="001F5EEE" w:rsidRDefault="001F5EEE" w:rsidP="001F5EEE">
      <w:pPr>
        <w:rPr>
          <w:rFonts w:asciiTheme="majorBidi" w:hAnsiTheme="majorBidi" w:cstheme="majorBidi"/>
          <w:szCs w:val="24"/>
          <w:lang w:val="en-US" w:eastAsia="zh-CN"/>
        </w:rPr>
      </w:pPr>
      <w:r w:rsidRPr="001F5EEE">
        <w:rPr>
          <w:rFonts w:asciiTheme="majorBidi" w:hAnsiTheme="majorBidi" w:cstheme="majorBidi"/>
          <w:b/>
          <w:bCs/>
          <w:color w:val="24292E"/>
          <w:szCs w:val="24"/>
          <w:lang w:val="en"/>
        </w:rPr>
        <w:t>Contact:</w:t>
      </w:r>
      <w:r>
        <w:rPr>
          <w:rFonts w:asciiTheme="majorBidi" w:hAnsiTheme="majorBidi" w:cstheme="majorBidi"/>
          <w:color w:val="24292E"/>
          <w:szCs w:val="24"/>
          <w:lang w:val="en"/>
        </w:rPr>
        <w:tab/>
        <w:t>Q</w:t>
      </w:r>
      <w:r w:rsidRPr="001F5EEE">
        <w:rPr>
          <w:rFonts w:asciiTheme="majorBidi" w:hAnsiTheme="majorBidi" w:cstheme="majorBidi"/>
          <w:color w:val="24292E"/>
          <w:szCs w:val="24"/>
          <w:lang w:val="en"/>
        </w:rPr>
        <w:t>uestion</w:t>
      </w:r>
      <w:r>
        <w:rPr>
          <w:rFonts w:asciiTheme="majorBidi" w:hAnsiTheme="majorBidi" w:cstheme="majorBidi"/>
          <w:color w:val="24292E"/>
          <w:szCs w:val="24"/>
          <w:lang w:val="en"/>
        </w:rPr>
        <w:t>s</w:t>
      </w:r>
      <w:r w:rsidRPr="001F5EEE">
        <w:rPr>
          <w:rFonts w:asciiTheme="majorBidi" w:hAnsiTheme="majorBidi" w:cstheme="majorBidi"/>
          <w:color w:val="24292E"/>
          <w:szCs w:val="24"/>
          <w:lang w:val="en"/>
        </w:rPr>
        <w:t xml:space="preserve"> about this </w:t>
      </w:r>
      <w:r>
        <w:rPr>
          <w:rFonts w:asciiTheme="majorBidi" w:hAnsiTheme="majorBidi" w:cstheme="majorBidi"/>
          <w:color w:val="24292E"/>
          <w:szCs w:val="24"/>
          <w:lang w:val="en"/>
        </w:rPr>
        <w:t>open-source implementation can be raised to Mr.</w:t>
      </w:r>
      <w:r w:rsidRPr="001F5EEE">
        <w:rPr>
          <w:rFonts w:asciiTheme="majorBidi" w:hAnsiTheme="majorBidi" w:cstheme="majorBidi"/>
          <w:color w:val="24292E"/>
          <w:szCs w:val="24"/>
          <w:lang w:val="en"/>
        </w:rPr>
        <w:t xml:space="preserve"> Edgar Souza (</w:t>
      </w:r>
      <w:hyperlink r:id="rId25" w:history="1">
        <w:r w:rsidRPr="001F5EEE">
          <w:rPr>
            <w:rFonts w:asciiTheme="majorBidi" w:hAnsiTheme="majorBidi" w:cstheme="majorBidi"/>
            <w:color w:val="0366D6"/>
            <w:szCs w:val="24"/>
            <w:lang w:val="en"/>
          </w:rPr>
          <w:t>edgar@anatel.gov.br</w:t>
        </w:r>
      </w:hyperlink>
      <w:r w:rsidRPr="001F5EEE">
        <w:rPr>
          <w:rFonts w:asciiTheme="majorBidi" w:hAnsiTheme="majorBidi" w:cstheme="majorBidi"/>
          <w:color w:val="24292E"/>
          <w:szCs w:val="24"/>
          <w:lang w:val="en"/>
        </w:rPr>
        <w:t>).</w:t>
      </w:r>
    </w:p>
    <w:p w:rsidR="001F5EEE" w:rsidRPr="00307464" w:rsidRDefault="001F5EEE" w:rsidP="00EF047B">
      <w:pPr>
        <w:pStyle w:val="Reasons"/>
        <w:rPr>
          <w:sz w:val="22"/>
          <w:szCs w:val="22"/>
          <w:u w:val="single"/>
          <w:lang w:val="en-US"/>
        </w:rPr>
      </w:pPr>
    </w:p>
    <w:p w:rsidR="00556BCD" w:rsidRDefault="006F6BC5" w:rsidP="00EF047B">
      <w:pPr>
        <w:pStyle w:val="Reasons"/>
      </w:pPr>
      <w:r w:rsidRPr="001F5EEE">
        <w:rPr>
          <w:sz w:val="22"/>
          <w:szCs w:val="22"/>
          <w:u w:val="single"/>
        </w:rPr>
        <w:lastRenderedPageBreak/>
        <w:t>Disclaimer:</w:t>
      </w:r>
      <w:r w:rsidRPr="001F5EEE">
        <w:rPr>
          <w:sz w:val="22"/>
          <w:szCs w:val="22"/>
        </w:rPr>
        <w:t xml:space="preserve"> </w:t>
      </w:r>
      <w:r w:rsidR="00EF047B" w:rsidRPr="001F5EEE">
        <w:rPr>
          <w:sz w:val="22"/>
          <w:szCs w:val="22"/>
        </w:rPr>
        <w:tab/>
      </w:r>
      <w:r w:rsidR="00EF047B" w:rsidRPr="001F5EEE">
        <w:rPr>
          <w:sz w:val="22"/>
          <w:szCs w:val="22"/>
        </w:rPr>
        <w:tab/>
        <w:t>this open-source implementation tool</w:t>
      </w:r>
      <w:r w:rsidRPr="001F5EEE">
        <w:rPr>
          <w:sz w:val="22"/>
          <w:szCs w:val="22"/>
        </w:rPr>
        <w:t xml:space="preserve"> is provided “AS IS” WITH NO WARRANTIES, EXPRESS OR IMPLIED, INCLUDING BUT NOT LIMITED TO, THE WARRANTIES OF MERCHANTABILITY, FITNESS FOR A PARTICULAR PURPOSE AND NON-INFRINGMENT OF INTELLECTUAL PROPERTY RIGHTS and neither the </w:t>
      </w:r>
      <w:r w:rsidR="00EF047B" w:rsidRPr="001F5EEE">
        <w:rPr>
          <w:sz w:val="22"/>
          <w:szCs w:val="22"/>
        </w:rPr>
        <w:t>Developer</w:t>
      </w:r>
      <w:r w:rsidRPr="001F5EEE">
        <w:rPr>
          <w:sz w:val="22"/>
          <w:szCs w:val="22"/>
        </w:rPr>
        <w:t xml:space="preserve"> (or its affiliates) nor the ITU shall be held liable in any event for any damages whatsoever (including, without limitation, damages for loss of profits, business interruption, loss of information, or any other pecuniary loss) arising out of or related to the use of or inability to u</w:t>
      </w:r>
      <w:r w:rsidR="00EF047B" w:rsidRPr="001F5EEE">
        <w:rPr>
          <w:sz w:val="22"/>
          <w:szCs w:val="22"/>
        </w:rPr>
        <w:t>se this tool.</w:t>
      </w:r>
    </w:p>
    <w:p w:rsidR="000069D4" w:rsidRPr="00F04D7C" w:rsidRDefault="00556BCD" w:rsidP="00F04D7C">
      <w:pPr>
        <w:jc w:val="center"/>
      </w:pPr>
      <w:r>
        <w:t>______________</w:t>
      </w:r>
    </w:p>
    <w:sectPr w:rsidR="000069D4" w:rsidRPr="00F04D7C" w:rsidSect="007F1A52">
      <w:headerReference w:type="default" r:id="rId26"/>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DCD" w:rsidRDefault="00492DCD">
      <w:r>
        <w:separator/>
      </w:r>
    </w:p>
  </w:endnote>
  <w:endnote w:type="continuationSeparator" w:id="0">
    <w:p w:rsidR="00492DCD" w:rsidRDefault="0049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DCD" w:rsidRDefault="00492DCD">
      <w:r>
        <w:t>____________________</w:t>
      </w:r>
    </w:p>
  </w:footnote>
  <w:footnote w:type="continuationSeparator" w:id="0">
    <w:p w:rsidR="00492DCD" w:rsidRDefault="00492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307464">
      <w:rPr>
        <w:rStyle w:val="PageNumber"/>
        <w:noProof/>
      </w:rPr>
      <w:t>9</w:t>
    </w:r>
    <w:r w:rsidR="00D02712">
      <w:rPr>
        <w:rStyle w:val="PageNumber"/>
      </w:rPr>
      <w:fldChar w:fldCharType="end"/>
    </w:r>
    <w:r>
      <w:rPr>
        <w:rStyle w:val="PageNumbe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5C6"/>
    <w:rsid w:val="000069D4"/>
    <w:rsid w:val="000174AD"/>
    <w:rsid w:val="00047A1D"/>
    <w:rsid w:val="000604B9"/>
    <w:rsid w:val="000A7D55"/>
    <w:rsid w:val="000C12C8"/>
    <w:rsid w:val="000C2E8E"/>
    <w:rsid w:val="000E0E7C"/>
    <w:rsid w:val="000F1B4B"/>
    <w:rsid w:val="00105410"/>
    <w:rsid w:val="0012744F"/>
    <w:rsid w:val="00131178"/>
    <w:rsid w:val="00156F66"/>
    <w:rsid w:val="00163271"/>
    <w:rsid w:val="00182528"/>
    <w:rsid w:val="0018500B"/>
    <w:rsid w:val="00196A19"/>
    <w:rsid w:val="001A5EC9"/>
    <w:rsid w:val="001B0912"/>
    <w:rsid w:val="001F5EEE"/>
    <w:rsid w:val="00202DC1"/>
    <w:rsid w:val="00203169"/>
    <w:rsid w:val="002116EE"/>
    <w:rsid w:val="002309D8"/>
    <w:rsid w:val="00262629"/>
    <w:rsid w:val="002A7FE2"/>
    <w:rsid w:val="002D72F6"/>
    <w:rsid w:val="002E1B4F"/>
    <w:rsid w:val="002F2B79"/>
    <w:rsid w:val="002F2E67"/>
    <w:rsid w:val="002F7CB3"/>
    <w:rsid w:val="00305974"/>
    <w:rsid w:val="00307464"/>
    <w:rsid w:val="00315546"/>
    <w:rsid w:val="00330567"/>
    <w:rsid w:val="00374C61"/>
    <w:rsid w:val="00386A9D"/>
    <w:rsid w:val="00391081"/>
    <w:rsid w:val="003B2789"/>
    <w:rsid w:val="003C13CE"/>
    <w:rsid w:val="003E2518"/>
    <w:rsid w:val="003E7CEF"/>
    <w:rsid w:val="00492DCD"/>
    <w:rsid w:val="004B1EF7"/>
    <w:rsid w:val="004B3FAD"/>
    <w:rsid w:val="004C5749"/>
    <w:rsid w:val="00501DCA"/>
    <w:rsid w:val="00513A47"/>
    <w:rsid w:val="005408DF"/>
    <w:rsid w:val="00556BCD"/>
    <w:rsid w:val="00573344"/>
    <w:rsid w:val="00583F9B"/>
    <w:rsid w:val="005E5C10"/>
    <w:rsid w:val="005F2C78"/>
    <w:rsid w:val="006144E4"/>
    <w:rsid w:val="00650299"/>
    <w:rsid w:val="00655FC5"/>
    <w:rsid w:val="006F6BC5"/>
    <w:rsid w:val="007020C5"/>
    <w:rsid w:val="007F1A52"/>
    <w:rsid w:val="007F316E"/>
    <w:rsid w:val="00814E0A"/>
    <w:rsid w:val="00822581"/>
    <w:rsid w:val="008309DD"/>
    <w:rsid w:val="0083227A"/>
    <w:rsid w:val="00835451"/>
    <w:rsid w:val="00845E78"/>
    <w:rsid w:val="00866900"/>
    <w:rsid w:val="008719A5"/>
    <w:rsid w:val="00876A8A"/>
    <w:rsid w:val="00881BA1"/>
    <w:rsid w:val="008C2302"/>
    <w:rsid w:val="008C26B8"/>
    <w:rsid w:val="008F208F"/>
    <w:rsid w:val="00925012"/>
    <w:rsid w:val="00982084"/>
    <w:rsid w:val="00995963"/>
    <w:rsid w:val="009B61EB"/>
    <w:rsid w:val="009C2064"/>
    <w:rsid w:val="009C40BE"/>
    <w:rsid w:val="009D1697"/>
    <w:rsid w:val="009F3A46"/>
    <w:rsid w:val="009F6520"/>
    <w:rsid w:val="00A014F8"/>
    <w:rsid w:val="00A10991"/>
    <w:rsid w:val="00A410AC"/>
    <w:rsid w:val="00A5173C"/>
    <w:rsid w:val="00A53FEA"/>
    <w:rsid w:val="00A61AEF"/>
    <w:rsid w:val="00AB107E"/>
    <w:rsid w:val="00AB35C6"/>
    <w:rsid w:val="00AD1000"/>
    <w:rsid w:val="00AD2345"/>
    <w:rsid w:val="00AD4625"/>
    <w:rsid w:val="00AE2CB0"/>
    <w:rsid w:val="00AF173A"/>
    <w:rsid w:val="00B00E70"/>
    <w:rsid w:val="00B066A4"/>
    <w:rsid w:val="00B07A13"/>
    <w:rsid w:val="00B4279B"/>
    <w:rsid w:val="00B45FC9"/>
    <w:rsid w:val="00B52A6A"/>
    <w:rsid w:val="00B65A9D"/>
    <w:rsid w:val="00B76F35"/>
    <w:rsid w:val="00B81138"/>
    <w:rsid w:val="00BC7CCF"/>
    <w:rsid w:val="00BE1765"/>
    <w:rsid w:val="00BE470B"/>
    <w:rsid w:val="00C51DEB"/>
    <w:rsid w:val="00C57A91"/>
    <w:rsid w:val="00CB0503"/>
    <w:rsid w:val="00CC01C2"/>
    <w:rsid w:val="00CF21F2"/>
    <w:rsid w:val="00D02712"/>
    <w:rsid w:val="00D046A7"/>
    <w:rsid w:val="00D05E68"/>
    <w:rsid w:val="00D214D0"/>
    <w:rsid w:val="00D6546B"/>
    <w:rsid w:val="00DB178B"/>
    <w:rsid w:val="00DC17D3"/>
    <w:rsid w:val="00DD0F7C"/>
    <w:rsid w:val="00DD4BED"/>
    <w:rsid w:val="00DE39F0"/>
    <w:rsid w:val="00DF0AF3"/>
    <w:rsid w:val="00DF7E9F"/>
    <w:rsid w:val="00E27D7E"/>
    <w:rsid w:val="00E42E13"/>
    <w:rsid w:val="00E56D5C"/>
    <w:rsid w:val="00E6257C"/>
    <w:rsid w:val="00E63C59"/>
    <w:rsid w:val="00E8571D"/>
    <w:rsid w:val="00EA52BC"/>
    <w:rsid w:val="00EF047B"/>
    <w:rsid w:val="00EF619A"/>
    <w:rsid w:val="00F01260"/>
    <w:rsid w:val="00F04D7C"/>
    <w:rsid w:val="00F25662"/>
    <w:rsid w:val="00FA124A"/>
    <w:rsid w:val="00FC05DB"/>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B9AB054-F79E-48BE-BCAB-D8A4BFD7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F04D7C"/>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04D7C"/>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nhideWhenUsed/>
    <w:rsid w:val="00556BCD"/>
    <w:rPr>
      <w:color w:val="0000FF" w:themeColor="hyperlink"/>
      <w:u w:val="single"/>
    </w:rPr>
  </w:style>
  <w:style w:type="character" w:styleId="FollowedHyperlink">
    <w:name w:val="FollowedHyperlink"/>
    <w:basedOn w:val="DefaultParagraphFont"/>
    <w:semiHidden/>
    <w:unhideWhenUsed/>
    <w:rsid w:val="007020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package" Target="embeddings/Microsoft_Word_Document1.doc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github.com/SIMULATOR-WG/SHARC" TargetMode="External"/><Relationship Id="rId17" Type="http://schemas.openxmlformats.org/officeDocument/2006/relationships/image" Target="media/image6.emf"/><Relationship Id="rId25" Type="http://schemas.openxmlformats.org/officeDocument/2006/relationships/hyperlink" Target="mailto:edgar@anatel.gov.b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en/ITU-R/study-groups/rsg5/rwp5d/Pages/default.aspx"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49404B91EB243A52E4C18B0AD6E78" ma:contentTypeVersion="3" ma:contentTypeDescription="Create a new document." ma:contentTypeScope="" ma:versionID="53c18b01b240f176b3c7411656453b1b">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2e40c60c3245544aa9afb2d62e8c93e1"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PL</Comments>
    <Source xmlns="1a029cd6-340b-4c4d-a48a-2df9865801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A872C-178B-4280-9436-BC5BFE8A8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15053-34E5-4FF9-8392-D52E4D5E7792}">
  <ds:schemaRefs>
    <ds:schemaRef ds:uri="http://schemas.microsoft.com/office/2006/metadata/properties"/>
    <ds:schemaRef ds:uri="http://schemas.microsoft.com/office/infopath/2007/PartnerControls"/>
    <ds:schemaRef ds:uri="4c6a61cb-1973-4fc6-92ae-f4d7a4471404"/>
    <ds:schemaRef ds:uri="1a029cd6-340b-4c4d-a48a-2df986580122"/>
  </ds:schemaRefs>
</ds:datastoreItem>
</file>

<file path=customXml/itemProps3.xml><?xml version="1.0" encoding="utf-8"?>
<ds:datastoreItem xmlns:ds="http://schemas.openxmlformats.org/officeDocument/2006/customXml" ds:itemID="{AFF8EAFC-13D6-453D-80C9-94E3A65A558D}">
  <ds:schemaRefs>
    <ds:schemaRef ds:uri="http://schemas.microsoft.com/sharepoint/v3/contenttype/forms"/>
  </ds:schemaRefs>
</ds:datastoreItem>
</file>

<file path=customXml/itemProps4.xml><?xml version="1.0" encoding="utf-8"?>
<ds:datastoreItem xmlns:ds="http://schemas.openxmlformats.org/officeDocument/2006/customXml" ds:itemID="{C1F90B89-E79D-4506-8E32-84C34ED44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8</TotalTime>
  <Pages>9</Pages>
  <Words>1162</Words>
  <Characters>7248</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An open-source implementation of Recommendation ITU-R M.2101</vt:lpstr>
    </vt:vector>
  </TitlesOfParts>
  <Company>ITU</Company>
  <LinksUpToDate>false</LinksUpToDate>
  <CharactersWithSpaces>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open-source implementation of Recommendation ITU-R M.2101</dc:title>
  <dc:subject>SA</dc:subject>
  <dc:creator>Fernandez Jimenez, Virginia</dc:creator>
  <cp:lastModifiedBy>ITU</cp:lastModifiedBy>
  <cp:revision>2</cp:revision>
  <cp:lastPrinted>2017-10-23T14:42:00Z</cp:lastPrinted>
  <dcterms:created xsi:type="dcterms:W3CDTF">2017-10-23T14:50:00Z</dcterms:created>
  <dcterms:modified xsi:type="dcterms:W3CDTF">2017-10-23T14:50:00Z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0x010100E1449404B91EB243A52E4C18B0AD6E78</vt:lpwstr>
  </property>
</Properties>
</file>