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E70BFD" w:rsidP="00E70BFD">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E70BFD" w:rsidRPr="00D22CF5" w:rsidRDefault="00E70BFD" w:rsidP="00D22CF5">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D22CF5">
              <w:rPr>
                <w:rFonts w:ascii="Verdana" w:hAnsi="Verdana"/>
                <w:sz w:val="20"/>
                <w:lang w:val="fr-FR"/>
              </w:rPr>
              <w:t>Source:</w:t>
            </w:r>
            <w:r w:rsidRPr="00D22CF5">
              <w:rPr>
                <w:rFonts w:ascii="Verdana" w:hAnsi="Verdana"/>
                <w:sz w:val="20"/>
                <w:lang w:val="fr-FR"/>
              </w:rPr>
              <w:tab/>
              <w:t>Document</w:t>
            </w:r>
            <w:r w:rsidR="00D22CF5" w:rsidRPr="00D22CF5">
              <w:rPr>
                <w:rFonts w:ascii="Verdana" w:hAnsi="Verdana"/>
                <w:sz w:val="20"/>
                <w:lang w:val="fr-FR"/>
              </w:rPr>
              <w:t xml:space="preserve"> 3M/TEMP/43</w:t>
            </w:r>
          </w:p>
        </w:tc>
        <w:tc>
          <w:tcPr>
            <w:tcW w:w="3402" w:type="dxa"/>
          </w:tcPr>
          <w:p w:rsidR="000069D4" w:rsidRPr="00E70BFD" w:rsidRDefault="00D22CF5" w:rsidP="00D22CF5">
            <w:pPr>
              <w:shd w:val="solid" w:color="FFFFFF" w:fill="FFFFFF"/>
              <w:spacing w:before="0" w:line="240" w:lineRule="atLeast"/>
              <w:rPr>
                <w:rFonts w:ascii="Verdana" w:hAnsi="Verdana"/>
                <w:sz w:val="20"/>
                <w:lang w:eastAsia="zh-CN"/>
              </w:rPr>
            </w:pPr>
            <w:r>
              <w:rPr>
                <w:rFonts w:ascii="Verdana" w:hAnsi="Verdana"/>
                <w:b/>
                <w:sz w:val="20"/>
                <w:lang w:eastAsia="zh-CN"/>
              </w:rPr>
              <w:t>Revision 1 to</w:t>
            </w:r>
            <w:r>
              <w:rPr>
                <w:rFonts w:ascii="Verdana" w:hAnsi="Verdana"/>
                <w:b/>
                <w:sz w:val="20"/>
                <w:lang w:eastAsia="zh-CN"/>
              </w:rPr>
              <w:br/>
            </w:r>
            <w:r w:rsidR="00E70BFD">
              <w:rPr>
                <w:rFonts w:ascii="Verdana" w:hAnsi="Verdana"/>
                <w:b/>
                <w:sz w:val="20"/>
                <w:lang w:eastAsia="zh-CN"/>
              </w:rPr>
              <w:t>Document 3M/</w:t>
            </w:r>
            <w:r>
              <w:rPr>
                <w:rFonts w:ascii="Verdana" w:hAnsi="Verdana"/>
                <w:b/>
                <w:sz w:val="20"/>
                <w:lang w:eastAsia="zh-CN"/>
              </w:rPr>
              <w:t>FAS</w:t>
            </w:r>
            <w:r w:rsidR="00E70BFD">
              <w:rPr>
                <w:rFonts w:ascii="Verdana" w:hAnsi="Verdana"/>
                <w:b/>
                <w:sz w:val="20"/>
                <w:lang w:eastAsia="zh-CN"/>
              </w:rPr>
              <w:t>/</w:t>
            </w:r>
            <w:r>
              <w:rPr>
                <w:rFonts w:ascii="Verdana" w:hAnsi="Verdana"/>
                <w:b/>
                <w:sz w:val="20"/>
                <w:lang w:eastAsia="zh-CN"/>
              </w:rPr>
              <w:t>6</w:t>
            </w:r>
            <w:r w:rsidR="00E70BFD">
              <w:rPr>
                <w:rFonts w:ascii="Verdana" w:hAnsi="Verdana"/>
                <w:b/>
                <w:sz w:val="20"/>
                <w:lang w:eastAsia="zh-CN"/>
              </w:rPr>
              <w:t>-E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E70BFD" w:rsidRDefault="00D22CF5" w:rsidP="00D22CF5">
            <w:pPr>
              <w:shd w:val="solid" w:color="FFFFFF" w:fill="FFFFFF"/>
              <w:spacing w:before="0" w:line="240" w:lineRule="atLeast"/>
              <w:rPr>
                <w:rFonts w:ascii="Verdana" w:hAnsi="Verdana"/>
                <w:sz w:val="20"/>
                <w:lang w:eastAsia="zh-CN"/>
              </w:rPr>
            </w:pPr>
            <w:r>
              <w:rPr>
                <w:rFonts w:ascii="Verdana" w:hAnsi="Verdana"/>
                <w:b/>
                <w:sz w:val="20"/>
                <w:lang w:eastAsia="zh-CN"/>
              </w:rPr>
              <w:t>3</w:t>
            </w:r>
            <w:r w:rsidR="00E70BFD">
              <w:rPr>
                <w:rFonts w:ascii="Verdana" w:hAnsi="Verdana"/>
                <w:b/>
                <w:sz w:val="20"/>
                <w:lang w:eastAsia="zh-CN"/>
              </w:rPr>
              <w:t xml:space="preserve"> </w:t>
            </w:r>
            <w:r>
              <w:rPr>
                <w:rFonts w:ascii="Verdana" w:hAnsi="Verdana"/>
                <w:b/>
                <w:sz w:val="20"/>
                <w:lang w:eastAsia="zh-CN"/>
              </w:rPr>
              <w:t>April</w:t>
            </w:r>
            <w:r w:rsidR="00E70BFD">
              <w:rPr>
                <w:rFonts w:ascii="Verdana" w:hAnsi="Verdana"/>
                <w:b/>
                <w:sz w:val="20"/>
                <w:lang w:eastAsia="zh-CN"/>
              </w:rPr>
              <w:t xml:space="preserve"> 2017</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E70BFD" w:rsidRDefault="00E70BF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E70BFD" w:rsidP="00D22CF5">
            <w:pPr>
              <w:pStyle w:val="Source"/>
              <w:rPr>
                <w:lang w:eastAsia="zh-CN"/>
              </w:rPr>
            </w:pPr>
            <w:bookmarkStart w:id="5" w:name="dsource" w:colFirst="0" w:colLast="0"/>
            <w:bookmarkEnd w:id="4"/>
            <w:r>
              <w:t>Working Party 3M</w:t>
            </w:r>
          </w:p>
        </w:tc>
      </w:tr>
      <w:tr w:rsidR="000069D4" w:rsidTr="00D046A7">
        <w:trPr>
          <w:cantSplit/>
        </w:trPr>
        <w:tc>
          <w:tcPr>
            <w:tcW w:w="9889" w:type="dxa"/>
            <w:gridSpan w:val="2"/>
          </w:tcPr>
          <w:p w:rsidR="000069D4" w:rsidRDefault="00E70BFD" w:rsidP="00D22CF5">
            <w:pPr>
              <w:pStyle w:val="Title1"/>
              <w:rPr>
                <w:lang w:eastAsia="zh-CN"/>
              </w:rPr>
            </w:pPr>
            <w:bookmarkStart w:id="6" w:name="drec" w:colFirst="0" w:colLast="0"/>
            <w:bookmarkEnd w:id="5"/>
            <w:r w:rsidRPr="00943F9D">
              <w:t>FASCICLE</w:t>
            </w:r>
          </w:p>
        </w:tc>
      </w:tr>
      <w:tr w:rsidR="000069D4" w:rsidTr="00D046A7">
        <w:trPr>
          <w:cantSplit/>
        </w:trPr>
        <w:tc>
          <w:tcPr>
            <w:tcW w:w="9889" w:type="dxa"/>
            <w:gridSpan w:val="2"/>
          </w:tcPr>
          <w:p w:rsidR="000069D4" w:rsidRDefault="00E70BFD" w:rsidP="00E70BFD">
            <w:pPr>
              <w:pStyle w:val="Title4"/>
              <w:rPr>
                <w:lang w:eastAsia="zh-CN"/>
              </w:rPr>
            </w:pPr>
            <w:bookmarkStart w:id="7" w:name="dtitle1" w:colFirst="0" w:colLast="0"/>
            <w:bookmarkEnd w:id="6"/>
            <w:r w:rsidRPr="007742D2">
              <w:t>Application</w:t>
            </w:r>
            <w:r>
              <w:t>, validation</w:t>
            </w:r>
            <w:r w:rsidRPr="007742D2">
              <w:t xml:space="preserve"> </w:t>
            </w:r>
            <w:r>
              <w:t xml:space="preserve">and data processing </w:t>
            </w:r>
            <w:r w:rsidRPr="007742D2">
              <w:t>of atmospheric path length standard deviation statistics for ground-based antenna array performance predictions</w:t>
            </w:r>
          </w:p>
        </w:tc>
      </w:tr>
    </w:tbl>
    <w:p w:rsidR="00E70BFD" w:rsidRDefault="00E70BFD" w:rsidP="00573694">
      <w:pPr>
        <w:tabs>
          <w:tab w:val="clear" w:pos="1134"/>
          <w:tab w:val="clear" w:pos="1871"/>
          <w:tab w:val="clear" w:pos="2268"/>
        </w:tabs>
        <w:overflowPunct/>
        <w:autoSpaceDE/>
        <w:autoSpaceDN/>
        <w:adjustRightInd/>
        <w:spacing w:before="0"/>
        <w:textAlignment w:val="auto"/>
        <w:rPr>
          <w:lang w:val="en-US" w:eastAsia="zh-CN"/>
        </w:rPr>
      </w:pPr>
      <w:bookmarkStart w:id="8" w:name="dbreak"/>
      <w:bookmarkEnd w:id="7"/>
      <w:bookmarkEnd w:id="8"/>
    </w:p>
    <w:p w:rsidR="00E70BFD" w:rsidRPr="00B5268D" w:rsidRDefault="00E70BFD" w:rsidP="00B77397">
      <w:pPr>
        <w:pStyle w:val="Title4"/>
        <w:rPr>
          <w:lang w:val="en-US" w:eastAsia="zh-CN"/>
        </w:rPr>
      </w:pPr>
      <w:r w:rsidRPr="00B5268D">
        <w:rPr>
          <w:lang w:val="en-US" w:eastAsia="zh-CN"/>
        </w:rPr>
        <w:t>Table of Contents</w:t>
      </w:r>
    </w:p>
    <w:p w:rsidR="00492298" w:rsidRDefault="00492298">
      <w:pPr>
        <w:pStyle w:val="TOC1"/>
        <w:rPr>
          <w:rFonts w:asciiTheme="minorHAnsi" w:eastAsiaTheme="minorEastAsia" w:hAnsiTheme="minorHAnsi" w:cstheme="minorBidi"/>
          <w:noProof/>
          <w:sz w:val="22"/>
          <w:szCs w:val="22"/>
          <w:lang w:val="en-US" w:eastAsia="zh-CN"/>
        </w:rPr>
      </w:pPr>
      <w:r>
        <w:rPr>
          <w:sz w:val="28"/>
          <w:szCs w:val="28"/>
          <w:lang w:val="en-US" w:eastAsia="zh-CN"/>
        </w:rPr>
        <w:fldChar w:fldCharType="begin"/>
      </w:r>
      <w:r>
        <w:rPr>
          <w:sz w:val="28"/>
          <w:szCs w:val="28"/>
          <w:lang w:val="en-US" w:eastAsia="zh-CN"/>
        </w:rPr>
        <w:instrText xml:space="preserve"> TOC \o "1-3" \h \z \u </w:instrText>
      </w:r>
      <w:r>
        <w:rPr>
          <w:sz w:val="28"/>
          <w:szCs w:val="28"/>
          <w:lang w:val="en-US" w:eastAsia="zh-CN"/>
        </w:rPr>
        <w:fldChar w:fldCharType="separate"/>
      </w:r>
      <w:hyperlink w:anchor="_Toc478543527" w:history="1">
        <w:r w:rsidRPr="00ED2D65">
          <w:rPr>
            <w:rStyle w:val="Hyperlink"/>
            <w:noProof/>
          </w:rPr>
          <w:t>1</w:t>
        </w:r>
        <w:r>
          <w:rPr>
            <w:rFonts w:asciiTheme="minorHAnsi" w:eastAsiaTheme="minorEastAsia" w:hAnsiTheme="minorHAnsi" w:cstheme="minorBidi"/>
            <w:noProof/>
            <w:sz w:val="22"/>
            <w:szCs w:val="22"/>
            <w:lang w:val="en-US" w:eastAsia="zh-CN"/>
          </w:rPr>
          <w:tab/>
        </w:r>
        <w:r w:rsidRPr="00ED2D65">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_Toc478543527 \h </w:instrText>
        </w:r>
        <w:r>
          <w:rPr>
            <w:noProof/>
            <w:webHidden/>
          </w:rPr>
        </w:r>
        <w:r>
          <w:rPr>
            <w:noProof/>
            <w:webHidden/>
          </w:rPr>
          <w:fldChar w:fldCharType="separate"/>
        </w:r>
        <w:r w:rsidR="00C756BB">
          <w:rPr>
            <w:noProof/>
            <w:webHidden/>
          </w:rPr>
          <w:t>2</w:t>
        </w:r>
        <w:r>
          <w:rPr>
            <w:noProof/>
            <w:webHidden/>
          </w:rPr>
          <w:fldChar w:fldCharType="end"/>
        </w:r>
      </w:hyperlink>
    </w:p>
    <w:p w:rsidR="00492298" w:rsidRDefault="00C756BB">
      <w:pPr>
        <w:pStyle w:val="TOC1"/>
        <w:rPr>
          <w:rFonts w:asciiTheme="minorHAnsi" w:eastAsiaTheme="minorEastAsia" w:hAnsiTheme="minorHAnsi" w:cstheme="minorBidi"/>
          <w:noProof/>
          <w:sz w:val="22"/>
          <w:szCs w:val="22"/>
          <w:lang w:val="en-US" w:eastAsia="zh-CN"/>
        </w:rPr>
      </w:pPr>
      <w:hyperlink w:anchor="_Toc478543528" w:history="1">
        <w:r w:rsidR="00492298" w:rsidRPr="00ED2D65">
          <w:rPr>
            <w:rStyle w:val="Hyperlink"/>
            <w:noProof/>
          </w:rPr>
          <w:t>2</w:t>
        </w:r>
        <w:r w:rsidR="00492298">
          <w:rPr>
            <w:rFonts w:asciiTheme="minorHAnsi" w:eastAsiaTheme="minorEastAsia" w:hAnsiTheme="minorHAnsi" w:cstheme="minorBidi"/>
            <w:noProof/>
            <w:sz w:val="22"/>
            <w:szCs w:val="22"/>
            <w:lang w:val="en-US" w:eastAsia="zh-CN"/>
          </w:rPr>
          <w:tab/>
        </w:r>
        <w:r w:rsidR="00492298" w:rsidRPr="00ED2D65">
          <w:rPr>
            <w:rStyle w:val="Hyperlink"/>
            <w:noProof/>
          </w:rPr>
          <w:t>Array loss due to atmospheric turbulence: Derivation</w:t>
        </w:r>
        <w:r w:rsidR="00492298">
          <w:rPr>
            <w:noProof/>
            <w:webHidden/>
          </w:rPr>
          <w:tab/>
        </w:r>
        <w:r w:rsidR="00492298">
          <w:rPr>
            <w:noProof/>
            <w:webHidden/>
          </w:rPr>
          <w:tab/>
        </w:r>
        <w:r w:rsidR="00492298">
          <w:rPr>
            <w:noProof/>
            <w:webHidden/>
          </w:rPr>
          <w:fldChar w:fldCharType="begin"/>
        </w:r>
        <w:r w:rsidR="00492298">
          <w:rPr>
            <w:noProof/>
            <w:webHidden/>
          </w:rPr>
          <w:instrText xml:space="preserve"> PAGEREF _Toc478543528 \h </w:instrText>
        </w:r>
        <w:r w:rsidR="00492298">
          <w:rPr>
            <w:noProof/>
            <w:webHidden/>
          </w:rPr>
        </w:r>
        <w:r w:rsidR="00492298">
          <w:rPr>
            <w:noProof/>
            <w:webHidden/>
          </w:rPr>
          <w:fldChar w:fldCharType="separate"/>
        </w:r>
        <w:r>
          <w:rPr>
            <w:noProof/>
            <w:webHidden/>
          </w:rPr>
          <w:t>2</w:t>
        </w:r>
        <w:r w:rsidR="00492298">
          <w:rPr>
            <w:noProof/>
            <w:webHidden/>
          </w:rPr>
          <w:fldChar w:fldCharType="end"/>
        </w:r>
      </w:hyperlink>
    </w:p>
    <w:p w:rsidR="00492298" w:rsidRDefault="00C756BB">
      <w:pPr>
        <w:pStyle w:val="TOC1"/>
        <w:rPr>
          <w:rFonts w:asciiTheme="minorHAnsi" w:eastAsiaTheme="minorEastAsia" w:hAnsiTheme="minorHAnsi" w:cstheme="minorBidi"/>
          <w:noProof/>
          <w:sz w:val="22"/>
          <w:szCs w:val="22"/>
          <w:lang w:val="en-US" w:eastAsia="zh-CN"/>
        </w:rPr>
      </w:pPr>
      <w:hyperlink w:anchor="_Toc478543529" w:history="1">
        <w:r w:rsidR="00492298" w:rsidRPr="00ED2D65">
          <w:rPr>
            <w:rStyle w:val="Hyperlink"/>
            <w:noProof/>
          </w:rPr>
          <w:t>3</w:t>
        </w:r>
        <w:r w:rsidR="00492298">
          <w:rPr>
            <w:rFonts w:asciiTheme="minorHAnsi" w:eastAsiaTheme="minorEastAsia" w:hAnsiTheme="minorHAnsi" w:cstheme="minorBidi"/>
            <w:noProof/>
            <w:sz w:val="22"/>
            <w:szCs w:val="22"/>
            <w:lang w:val="en-US" w:eastAsia="zh-CN"/>
          </w:rPr>
          <w:tab/>
        </w:r>
        <w:r w:rsidR="00492298" w:rsidRPr="00ED2D65">
          <w:rPr>
            <w:rStyle w:val="Hyperlink"/>
            <w:noProof/>
          </w:rPr>
          <w:t>Validation of assumptions</w:t>
        </w:r>
        <w:r w:rsidR="00492298">
          <w:rPr>
            <w:noProof/>
            <w:webHidden/>
          </w:rPr>
          <w:tab/>
        </w:r>
        <w:r w:rsidR="00492298">
          <w:rPr>
            <w:noProof/>
            <w:webHidden/>
          </w:rPr>
          <w:tab/>
        </w:r>
        <w:r w:rsidR="00492298">
          <w:rPr>
            <w:noProof/>
            <w:webHidden/>
          </w:rPr>
          <w:fldChar w:fldCharType="begin"/>
        </w:r>
        <w:r w:rsidR="00492298">
          <w:rPr>
            <w:noProof/>
            <w:webHidden/>
          </w:rPr>
          <w:instrText xml:space="preserve"> PAGEREF _Toc478543529 \h </w:instrText>
        </w:r>
        <w:r w:rsidR="00492298">
          <w:rPr>
            <w:noProof/>
            <w:webHidden/>
          </w:rPr>
        </w:r>
        <w:r w:rsidR="00492298">
          <w:rPr>
            <w:noProof/>
            <w:webHidden/>
          </w:rPr>
          <w:fldChar w:fldCharType="separate"/>
        </w:r>
        <w:r>
          <w:rPr>
            <w:noProof/>
            <w:webHidden/>
          </w:rPr>
          <w:t>4</w:t>
        </w:r>
        <w:r w:rsidR="00492298">
          <w:rPr>
            <w:noProof/>
            <w:webHidden/>
          </w:rPr>
          <w:fldChar w:fldCharType="end"/>
        </w:r>
      </w:hyperlink>
    </w:p>
    <w:p w:rsidR="00492298" w:rsidRDefault="00C756BB">
      <w:pPr>
        <w:pStyle w:val="TOC1"/>
        <w:rPr>
          <w:rFonts w:asciiTheme="minorHAnsi" w:eastAsiaTheme="minorEastAsia" w:hAnsiTheme="minorHAnsi" w:cstheme="minorBidi"/>
          <w:noProof/>
          <w:sz w:val="22"/>
          <w:szCs w:val="22"/>
          <w:lang w:val="en-US" w:eastAsia="zh-CN"/>
        </w:rPr>
      </w:pPr>
      <w:hyperlink w:anchor="_Toc478543530" w:history="1">
        <w:r w:rsidR="00492298" w:rsidRPr="00ED2D65">
          <w:rPr>
            <w:rStyle w:val="Hyperlink"/>
            <w:noProof/>
          </w:rPr>
          <w:t>4</w:t>
        </w:r>
        <w:r w:rsidR="00492298">
          <w:rPr>
            <w:rFonts w:asciiTheme="minorHAnsi" w:eastAsiaTheme="minorEastAsia" w:hAnsiTheme="minorHAnsi" w:cstheme="minorBidi"/>
            <w:noProof/>
            <w:sz w:val="22"/>
            <w:szCs w:val="22"/>
            <w:lang w:val="en-US" w:eastAsia="zh-CN"/>
          </w:rPr>
          <w:tab/>
        </w:r>
        <w:r w:rsidR="00492298" w:rsidRPr="00ED2D65">
          <w:rPr>
            <w:rStyle w:val="Hyperlink"/>
            <w:noProof/>
          </w:rPr>
          <w:t>Experimental setup and data processing procedure</w:t>
        </w:r>
        <w:r w:rsidR="00492298">
          <w:rPr>
            <w:noProof/>
            <w:webHidden/>
          </w:rPr>
          <w:tab/>
        </w:r>
        <w:r w:rsidR="00492298">
          <w:rPr>
            <w:noProof/>
            <w:webHidden/>
          </w:rPr>
          <w:tab/>
        </w:r>
        <w:r w:rsidR="00492298">
          <w:rPr>
            <w:noProof/>
            <w:webHidden/>
          </w:rPr>
          <w:fldChar w:fldCharType="begin"/>
        </w:r>
        <w:r w:rsidR="00492298">
          <w:rPr>
            <w:noProof/>
            <w:webHidden/>
          </w:rPr>
          <w:instrText xml:space="preserve"> PAGEREF _Toc478543530 \h </w:instrText>
        </w:r>
        <w:r w:rsidR="00492298">
          <w:rPr>
            <w:noProof/>
            <w:webHidden/>
          </w:rPr>
        </w:r>
        <w:r w:rsidR="00492298">
          <w:rPr>
            <w:noProof/>
            <w:webHidden/>
          </w:rPr>
          <w:fldChar w:fldCharType="separate"/>
        </w:r>
        <w:r>
          <w:rPr>
            <w:noProof/>
            <w:webHidden/>
          </w:rPr>
          <w:t>5</w:t>
        </w:r>
        <w:r w:rsidR="00492298">
          <w:rPr>
            <w:noProof/>
            <w:webHidden/>
          </w:rPr>
          <w:fldChar w:fldCharType="end"/>
        </w:r>
      </w:hyperlink>
    </w:p>
    <w:p w:rsidR="00492298" w:rsidRDefault="00C756BB">
      <w:pPr>
        <w:pStyle w:val="TOC1"/>
        <w:rPr>
          <w:rFonts w:asciiTheme="minorHAnsi" w:eastAsiaTheme="minorEastAsia" w:hAnsiTheme="minorHAnsi" w:cstheme="minorBidi"/>
          <w:noProof/>
          <w:sz w:val="22"/>
          <w:szCs w:val="22"/>
          <w:lang w:val="en-US" w:eastAsia="zh-CN"/>
        </w:rPr>
      </w:pPr>
      <w:hyperlink w:anchor="_Toc478543531" w:history="1">
        <w:r w:rsidR="00492298" w:rsidRPr="00ED2D65">
          <w:rPr>
            <w:rStyle w:val="Hyperlink"/>
            <w:noProof/>
          </w:rPr>
          <w:t>5</w:t>
        </w:r>
        <w:r w:rsidR="00492298">
          <w:rPr>
            <w:rFonts w:asciiTheme="minorHAnsi" w:eastAsiaTheme="minorEastAsia" w:hAnsiTheme="minorHAnsi" w:cstheme="minorBidi"/>
            <w:noProof/>
            <w:sz w:val="22"/>
            <w:szCs w:val="22"/>
            <w:lang w:val="en-US" w:eastAsia="zh-CN"/>
          </w:rPr>
          <w:tab/>
        </w:r>
        <w:r w:rsidR="00492298" w:rsidRPr="00ED2D65">
          <w:rPr>
            <w:rStyle w:val="Hyperlink"/>
            <w:noProof/>
          </w:rPr>
          <w:t>Validation of measurements with collocated water vapour radiometers</w:t>
        </w:r>
        <w:r w:rsidR="00492298">
          <w:rPr>
            <w:noProof/>
            <w:webHidden/>
          </w:rPr>
          <w:tab/>
        </w:r>
        <w:r w:rsidR="00492298">
          <w:rPr>
            <w:noProof/>
            <w:webHidden/>
          </w:rPr>
          <w:tab/>
        </w:r>
        <w:r w:rsidR="00492298">
          <w:rPr>
            <w:noProof/>
            <w:webHidden/>
          </w:rPr>
          <w:fldChar w:fldCharType="begin"/>
        </w:r>
        <w:r w:rsidR="00492298">
          <w:rPr>
            <w:noProof/>
            <w:webHidden/>
          </w:rPr>
          <w:instrText xml:space="preserve"> PAGEREF _Toc478543531 \h </w:instrText>
        </w:r>
        <w:r w:rsidR="00492298">
          <w:rPr>
            <w:noProof/>
            <w:webHidden/>
          </w:rPr>
        </w:r>
        <w:r w:rsidR="00492298">
          <w:rPr>
            <w:noProof/>
            <w:webHidden/>
          </w:rPr>
          <w:fldChar w:fldCharType="separate"/>
        </w:r>
        <w:r>
          <w:rPr>
            <w:noProof/>
            <w:webHidden/>
          </w:rPr>
          <w:t>7</w:t>
        </w:r>
        <w:r w:rsidR="00492298">
          <w:rPr>
            <w:noProof/>
            <w:webHidden/>
          </w:rPr>
          <w:fldChar w:fldCharType="end"/>
        </w:r>
      </w:hyperlink>
    </w:p>
    <w:p w:rsidR="00492298" w:rsidRDefault="00C756BB">
      <w:pPr>
        <w:pStyle w:val="TOC1"/>
        <w:rPr>
          <w:rFonts w:asciiTheme="minorHAnsi" w:eastAsiaTheme="minorEastAsia" w:hAnsiTheme="minorHAnsi" w:cstheme="minorBidi"/>
          <w:noProof/>
          <w:sz w:val="22"/>
          <w:szCs w:val="22"/>
          <w:lang w:val="en-US" w:eastAsia="zh-CN"/>
        </w:rPr>
      </w:pPr>
      <w:hyperlink w:anchor="_Toc478543532" w:history="1">
        <w:r w:rsidR="00492298" w:rsidRPr="00ED2D65">
          <w:rPr>
            <w:rStyle w:val="Hyperlink"/>
            <w:noProof/>
          </w:rPr>
          <w:t>6</w:t>
        </w:r>
        <w:r w:rsidR="00492298">
          <w:rPr>
            <w:rFonts w:asciiTheme="minorHAnsi" w:eastAsiaTheme="minorEastAsia" w:hAnsiTheme="minorHAnsi" w:cstheme="minorBidi"/>
            <w:noProof/>
            <w:sz w:val="22"/>
            <w:szCs w:val="22"/>
            <w:lang w:val="en-US" w:eastAsia="zh-CN"/>
          </w:rPr>
          <w:tab/>
        </w:r>
        <w:r w:rsidR="00492298" w:rsidRPr="00ED2D65">
          <w:rPr>
            <w:rStyle w:val="Hyperlink"/>
            <w:noProof/>
          </w:rPr>
          <w:t xml:space="preserve">Validation of array loss model with separate interferometer measurements </w:t>
        </w:r>
        <w:r w:rsidR="00492298">
          <w:rPr>
            <w:rStyle w:val="Hyperlink"/>
            <w:noProof/>
          </w:rPr>
          <w:br/>
        </w:r>
        <w:r w:rsidR="00492298" w:rsidRPr="00ED2D65">
          <w:rPr>
            <w:rStyle w:val="Hyperlink"/>
            <w:noProof/>
          </w:rPr>
          <w:t>on different baselines</w:t>
        </w:r>
        <w:r w:rsidR="00492298">
          <w:rPr>
            <w:noProof/>
            <w:webHidden/>
          </w:rPr>
          <w:tab/>
        </w:r>
        <w:r w:rsidR="00492298">
          <w:rPr>
            <w:noProof/>
            <w:webHidden/>
          </w:rPr>
          <w:tab/>
        </w:r>
        <w:r w:rsidR="00492298">
          <w:rPr>
            <w:noProof/>
            <w:webHidden/>
          </w:rPr>
          <w:fldChar w:fldCharType="begin"/>
        </w:r>
        <w:r w:rsidR="00492298">
          <w:rPr>
            <w:noProof/>
            <w:webHidden/>
          </w:rPr>
          <w:instrText xml:space="preserve"> PAGEREF _Toc478543532 \h </w:instrText>
        </w:r>
        <w:r w:rsidR="00492298">
          <w:rPr>
            <w:noProof/>
            <w:webHidden/>
          </w:rPr>
        </w:r>
        <w:r w:rsidR="00492298">
          <w:rPr>
            <w:noProof/>
            <w:webHidden/>
          </w:rPr>
          <w:fldChar w:fldCharType="separate"/>
        </w:r>
        <w:r>
          <w:rPr>
            <w:noProof/>
            <w:webHidden/>
          </w:rPr>
          <w:t>9</w:t>
        </w:r>
        <w:r w:rsidR="00492298">
          <w:rPr>
            <w:noProof/>
            <w:webHidden/>
          </w:rPr>
          <w:fldChar w:fldCharType="end"/>
        </w:r>
      </w:hyperlink>
    </w:p>
    <w:p w:rsidR="00492298" w:rsidRDefault="00C756BB">
      <w:pPr>
        <w:pStyle w:val="TOC1"/>
        <w:rPr>
          <w:rFonts w:asciiTheme="minorHAnsi" w:eastAsiaTheme="minorEastAsia" w:hAnsiTheme="minorHAnsi" w:cstheme="minorBidi"/>
          <w:noProof/>
          <w:sz w:val="22"/>
          <w:szCs w:val="22"/>
          <w:lang w:val="en-US" w:eastAsia="zh-CN"/>
        </w:rPr>
      </w:pPr>
      <w:hyperlink w:anchor="_Toc478543533" w:history="1">
        <w:r w:rsidR="00492298" w:rsidRPr="00ED2D65">
          <w:rPr>
            <w:rStyle w:val="Hyperlink"/>
            <w:noProof/>
          </w:rPr>
          <w:t>7</w:t>
        </w:r>
        <w:r w:rsidR="00492298">
          <w:rPr>
            <w:rFonts w:asciiTheme="minorHAnsi" w:eastAsiaTheme="minorEastAsia" w:hAnsiTheme="minorHAnsi" w:cstheme="minorBidi"/>
            <w:noProof/>
            <w:sz w:val="22"/>
            <w:szCs w:val="22"/>
            <w:lang w:val="en-US" w:eastAsia="zh-CN"/>
          </w:rPr>
          <w:tab/>
        </w:r>
        <w:r w:rsidR="00492298" w:rsidRPr="00ED2D65">
          <w:rPr>
            <w:rStyle w:val="Hyperlink"/>
            <w:noProof/>
          </w:rPr>
          <w:t xml:space="preserve">Validation of STI phase data with concurrent NASA Deep Space Network </w:t>
        </w:r>
        <w:r w:rsidR="00492298">
          <w:rPr>
            <w:rStyle w:val="Hyperlink"/>
            <w:noProof/>
          </w:rPr>
          <w:br/>
        </w:r>
        <w:r w:rsidR="00492298" w:rsidRPr="00ED2D65">
          <w:rPr>
            <w:rStyle w:val="Hyperlink"/>
            <w:noProof/>
          </w:rPr>
          <w:t>array phase data of interplanetary spacecraft</w:t>
        </w:r>
        <w:r w:rsidR="00492298">
          <w:rPr>
            <w:noProof/>
            <w:webHidden/>
          </w:rPr>
          <w:tab/>
        </w:r>
        <w:r w:rsidR="00492298">
          <w:rPr>
            <w:noProof/>
            <w:webHidden/>
          </w:rPr>
          <w:tab/>
        </w:r>
        <w:r w:rsidR="00492298">
          <w:rPr>
            <w:noProof/>
            <w:webHidden/>
          </w:rPr>
          <w:fldChar w:fldCharType="begin"/>
        </w:r>
        <w:r w:rsidR="00492298">
          <w:rPr>
            <w:noProof/>
            <w:webHidden/>
          </w:rPr>
          <w:instrText xml:space="preserve"> PAGEREF _Toc478543533 \h </w:instrText>
        </w:r>
        <w:r w:rsidR="00492298">
          <w:rPr>
            <w:noProof/>
            <w:webHidden/>
          </w:rPr>
        </w:r>
        <w:r w:rsidR="00492298">
          <w:rPr>
            <w:noProof/>
            <w:webHidden/>
          </w:rPr>
          <w:fldChar w:fldCharType="separate"/>
        </w:r>
        <w:r>
          <w:rPr>
            <w:noProof/>
            <w:webHidden/>
          </w:rPr>
          <w:t>10</w:t>
        </w:r>
        <w:r w:rsidR="00492298">
          <w:rPr>
            <w:noProof/>
            <w:webHidden/>
          </w:rPr>
          <w:fldChar w:fldCharType="end"/>
        </w:r>
      </w:hyperlink>
    </w:p>
    <w:p w:rsidR="00492298" w:rsidRDefault="00C756BB">
      <w:pPr>
        <w:pStyle w:val="TOC1"/>
        <w:rPr>
          <w:rFonts w:asciiTheme="minorHAnsi" w:eastAsiaTheme="minorEastAsia" w:hAnsiTheme="minorHAnsi" w:cstheme="minorBidi"/>
          <w:noProof/>
          <w:sz w:val="22"/>
          <w:szCs w:val="22"/>
          <w:lang w:val="en-US" w:eastAsia="zh-CN"/>
        </w:rPr>
      </w:pPr>
      <w:hyperlink w:anchor="_Toc478543534" w:history="1">
        <w:r w:rsidR="00492298" w:rsidRPr="00ED2D65">
          <w:rPr>
            <w:rStyle w:val="Hyperlink"/>
            <w:noProof/>
          </w:rPr>
          <w:t>8</w:t>
        </w:r>
        <w:r w:rsidR="00492298">
          <w:rPr>
            <w:rFonts w:asciiTheme="minorHAnsi" w:eastAsiaTheme="minorEastAsia" w:hAnsiTheme="minorHAnsi" w:cstheme="minorBidi"/>
            <w:noProof/>
            <w:sz w:val="22"/>
            <w:szCs w:val="22"/>
            <w:lang w:val="en-US" w:eastAsia="zh-CN"/>
          </w:rPr>
          <w:tab/>
        </w:r>
        <w:r w:rsidR="00492298" w:rsidRPr="00ED2D65">
          <w:rPr>
            <w:rStyle w:val="Hyperlink"/>
            <w:noProof/>
          </w:rPr>
          <w:t>Example predicted array loss due to atmospheric turbulence statistics</w:t>
        </w:r>
        <w:r w:rsidR="00492298">
          <w:rPr>
            <w:noProof/>
            <w:webHidden/>
          </w:rPr>
          <w:tab/>
        </w:r>
        <w:r w:rsidR="00492298">
          <w:rPr>
            <w:noProof/>
            <w:webHidden/>
          </w:rPr>
          <w:tab/>
        </w:r>
        <w:r w:rsidR="00492298">
          <w:rPr>
            <w:noProof/>
            <w:webHidden/>
          </w:rPr>
          <w:fldChar w:fldCharType="begin"/>
        </w:r>
        <w:r w:rsidR="00492298">
          <w:rPr>
            <w:noProof/>
            <w:webHidden/>
          </w:rPr>
          <w:instrText xml:space="preserve"> PAGEREF _Toc478543534 \h </w:instrText>
        </w:r>
        <w:r w:rsidR="00492298">
          <w:rPr>
            <w:noProof/>
            <w:webHidden/>
          </w:rPr>
        </w:r>
        <w:r w:rsidR="00492298">
          <w:rPr>
            <w:noProof/>
            <w:webHidden/>
          </w:rPr>
          <w:fldChar w:fldCharType="separate"/>
        </w:r>
        <w:r>
          <w:rPr>
            <w:noProof/>
            <w:webHidden/>
          </w:rPr>
          <w:t>12</w:t>
        </w:r>
        <w:r w:rsidR="00492298">
          <w:rPr>
            <w:noProof/>
            <w:webHidden/>
          </w:rPr>
          <w:fldChar w:fldCharType="end"/>
        </w:r>
      </w:hyperlink>
    </w:p>
    <w:p w:rsidR="00492298" w:rsidRDefault="00C756BB">
      <w:pPr>
        <w:pStyle w:val="TOC1"/>
        <w:rPr>
          <w:rFonts w:asciiTheme="minorHAnsi" w:eastAsiaTheme="minorEastAsia" w:hAnsiTheme="minorHAnsi" w:cstheme="minorBidi"/>
          <w:noProof/>
          <w:sz w:val="22"/>
          <w:szCs w:val="22"/>
          <w:lang w:val="en-US" w:eastAsia="zh-CN"/>
        </w:rPr>
      </w:pPr>
      <w:hyperlink w:anchor="_Toc478543535" w:history="1">
        <w:r w:rsidR="00492298" w:rsidRPr="00ED2D65">
          <w:rPr>
            <w:rStyle w:val="Hyperlink"/>
            <w:noProof/>
          </w:rPr>
          <w:t>9</w:t>
        </w:r>
        <w:r w:rsidR="00492298">
          <w:rPr>
            <w:rFonts w:asciiTheme="minorHAnsi" w:eastAsiaTheme="minorEastAsia" w:hAnsiTheme="minorHAnsi" w:cstheme="minorBidi"/>
            <w:noProof/>
            <w:sz w:val="22"/>
            <w:szCs w:val="22"/>
            <w:lang w:val="en-US" w:eastAsia="zh-CN"/>
          </w:rPr>
          <w:tab/>
        </w:r>
        <w:r w:rsidR="00492298" w:rsidRPr="00ED2D65">
          <w:rPr>
            <w:rStyle w:val="Hyperlink"/>
            <w:noProof/>
          </w:rPr>
          <w:t>References</w:t>
        </w:r>
        <w:r w:rsidR="00492298">
          <w:rPr>
            <w:noProof/>
            <w:webHidden/>
          </w:rPr>
          <w:tab/>
        </w:r>
        <w:r w:rsidR="00492298">
          <w:rPr>
            <w:noProof/>
            <w:webHidden/>
          </w:rPr>
          <w:tab/>
        </w:r>
        <w:r w:rsidR="00492298">
          <w:rPr>
            <w:noProof/>
            <w:webHidden/>
          </w:rPr>
          <w:fldChar w:fldCharType="begin"/>
        </w:r>
        <w:r w:rsidR="00492298">
          <w:rPr>
            <w:noProof/>
            <w:webHidden/>
          </w:rPr>
          <w:instrText xml:space="preserve"> PAGEREF _Toc478543535 \h </w:instrText>
        </w:r>
        <w:r w:rsidR="00492298">
          <w:rPr>
            <w:noProof/>
            <w:webHidden/>
          </w:rPr>
        </w:r>
        <w:r w:rsidR="00492298">
          <w:rPr>
            <w:noProof/>
            <w:webHidden/>
          </w:rPr>
          <w:fldChar w:fldCharType="separate"/>
        </w:r>
        <w:r>
          <w:rPr>
            <w:noProof/>
            <w:webHidden/>
          </w:rPr>
          <w:t>15</w:t>
        </w:r>
        <w:r w:rsidR="00492298">
          <w:rPr>
            <w:noProof/>
            <w:webHidden/>
          </w:rPr>
          <w:fldChar w:fldCharType="end"/>
        </w:r>
      </w:hyperlink>
    </w:p>
    <w:p w:rsidR="00E70BFD" w:rsidRDefault="00492298" w:rsidP="0095529A">
      <w:pPr>
        <w:rPr>
          <w:sz w:val="28"/>
          <w:szCs w:val="28"/>
          <w:lang w:val="en-US" w:eastAsia="zh-CN"/>
        </w:rPr>
      </w:pPr>
      <w:r>
        <w:rPr>
          <w:sz w:val="28"/>
          <w:szCs w:val="28"/>
          <w:lang w:val="en-US" w:eastAsia="zh-CN"/>
        </w:rPr>
        <w:fldChar w:fldCharType="end"/>
      </w:r>
    </w:p>
    <w:p w:rsidR="00E70BFD" w:rsidRDefault="00E70BFD">
      <w:pPr>
        <w:tabs>
          <w:tab w:val="clear" w:pos="1134"/>
          <w:tab w:val="clear" w:pos="1871"/>
          <w:tab w:val="clear" w:pos="2268"/>
        </w:tabs>
        <w:overflowPunct/>
        <w:autoSpaceDE/>
        <w:autoSpaceDN/>
        <w:adjustRightInd/>
        <w:spacing w:before="0"/>
        <w:textAlignment w:val="auto"/>
        <w:rPr>
          <w:sz w:val="28"/>
          <w:szCs w:val="28"/>
          <w:lang w:val="en-US" w:eastAsia="zh-CN"/>
        </w:rPr>
      </w:pPr>
      <w:r>
        <w:rPr>
          <w:sz w:val="28"/>
          <w:szCs w:val="28"/>
          <w:lang w:val="en-US" w:eastAsia="zh-CN"/>
        </w:rPr>
        <w:br w:type="page"/>
      </w:r>
    </w:p>
    <w:p w:rsidR="00E70BFD" w:rsidRPr="007742D2" w:rsidRDefault="00E70BFD" w:rsidP="00573694">
      <w:pPr>
        <w:pStyle w:val="Heading1"/>
      </w:pPr>
      <w:bookmarkStart w:id="9" w:name="_Toc352245292"/>
      <w:bookmarkStart w:id="10" w:name="_Toc478543527"/>
      <w:r w:rsidRPr="007742D2">
        <w:lastRenderedPageBreak/>
        <w:t>1</w:t>
      </w:r>
      <w:r w:rsidRPr="007742D2">
        <w:tab/>
      </w:r>
      <w:r w:rsidRPr="002F7BAE">
        <w:t>Introduction</w:t>
      </w:r>
      <w:bookmarkEnd w:id="9"/>
      <w:bookmarkEnd w:id="10"/>
    </w:p>
    <w:p w:rsidR="00E70BFD" w:rsidRPr="007742D2" w:rsidRDefault="00E70BFD" w:rsidP="00492302">
      <w:r w:rsidRPr="007742D2">
        <w:t xml:space="preserve">This document contains background information and data processing techniques </w:t>
      </w:r>
      <w:r>
        <w:t>for</w:t>
      </w:r>
      <w:r w:rsidRPr="007742D2">
        <w:t xml:space="preserve"> the application of atmospheric-induced path length statistics </w:t>
      </w:r>
      <w:r>
        <w:t>provided in Table II-11 in the</w:t>
      </w:r>
      <w:r w:rsidRPr="007742D2">
        <w:t xml:space="preserve"> </w:t>
      </w:r>
      <w:r>
        <w:t>Recommendation</w:t>
      </w:r>
      <w:r>
        <w:br/>
      </w:r>
      <w:r w:rsidRPr="007742D2">
        <w:t xml:space="preserve">ITU-R P.311 </w:t>
      </w:r>
      <w:r>
        <w:t xml:space="preserve">Databanks. A preliminary </w:t>
      </w:r>
      <w:r w:rsidRPr="007742D2">
        <w:t xml:space="preserve">model </w:t>
      </w:r>
      <w:r>
        <w:t xml:space="preserve">is provided to compute the average array loss for an </w:t>
      </w:r>
      <w:r w:rsidRPr="007742D2">
        <w:t xml:space="preserve">antenna array </w:t>
      </w:r>
      <w:r>
        <w:t>of arbitrary geometry</w:t>
      </w:r>
      <w:r w:rsidRPr="007742D2">
        <w:t xml:space="preserve"> due to </w:t>
      </w:r>
      <w:r>
        <w:t xml:space="preserve">fluctuations of water vapour resulting from atmospheric turbulence. This represents </w:t>
      </w:r>
      <w:r w:rsidRPr="007742D2">
        <w:t xml:space="preserve">the </w:t>
      </w:r>
      <w:r>
        <w:t>dominant dynamic path length variation component. Validation of the assumptions required for the use of the proposed model, as well as the measurements themselves, are also provided.</w:t>
      </w:r>
    </w:p>
    <w:p w:rsidR="00E70BFD" w:rsidRPr="007742D2" w:rsidRDefault="00E70BFD" w:rsidP="00B77397">
      <w:r w:rsidRPr="007742D2">
        <w:t xml:space="preserve">The </w:t>
      </w:r>
      <w:r>
        <w:t xml:space="preserve">model takes as input, the </w:t>
      </w:r>
      <w:r w:rsidRPr="007742D2">
        <w:t xml:space="preserve">atmospheric-induced path length </w:t>
      </w:r>
      <w:r>
        <w:t>variation statistics defined in Table</w:t>
      </w:r>
      <w:r w:rsidR="00B77397">
        <w:t> </w:t>
      </w:r>
      <w:r>
        <w:t>II-11</w:t>
      </w:r>
      <w:r w:rsidRPr="007742D2">
        <w:t xml:space="preserve"> to </w:t>
      </w:r>
      <w:r>
        <w:t>derive</w:t>
      </w:r>
      <w:r w:rsidRPr="007742D2">
        <w:t xml:space="preserve"> </w:t>
      </w:r>
      <w:r>
        <w:t>the</w:t>
      </w:r>
      <w:r w:rsidRPr="007742D2">
        <w:t xml:space="preserve"> array loss factor (in dB) for an arbitrary geometry array at </w:t>
      </w:r>
      <w:r>
        <w:t xml:space="preserve">a given </w:t>
      </w:r>
      <w:r w:rsidRPr="007742D2">
        <w:t>elevation angle and operational frequency</w:t>
      </w:r>
      <w:r>
        <w:t>. The basis of this model</w:t>
      </w:r>
      <w:r w:rsidRPr="007742D2">
        <w:t xml:space="preserve"> </w:t>
      </w:r>
      <w:r>
        <w:t xml:space="preserve">is </w:t>
      </w:r>
      <w:r w:rsidRPr="007742D2">
        <w:t xml:space="preserve">derived </w:t>
      </w:r>
      <w:r>
        <w:t>from</w:t>
      </w:r>
      <w:r w:rsidRPr="007742D2">
        <w:t xml:space="preserve"> well accepted atmospheric frequency scaling parameters and Kolmogorov turbulence theory.</w:t>
      </w:r>
    </w:p>
    <w:p w:rsidR="00E70BFD" w:rsidRPr="007742D2" w:rsidRDefault="00E70BFD" w:rsidP="00492302">
      <w:r w:rsidRPr="007742D2">
        <w:t xml:space="preserve">Section 2 describes the </w:t>
      </w:r>
      <w:r>
        <w:t>problem statement</w:t>
      </w:r>
      <w:r w:rsidRPr="007742D2">
        <w:t xml:space="preserve"> and provides a proposed procedure for translating path length st</w:t>
      </w:r>
      <w:r>
        <w:t xml:space="preserve">atistics to array loss factor. </w:t>
      </w:r>
      <w:r w:rsidRPr="007742D2">
        <w:t xml:space="preserve">Section 3 provides some data to validate the assumptions </w:t>
      </w:r>
      <w:r>
        <w:t xml:space="preserve">needed for use of the proposed model. </w:t>
      </w:r>
      <w:r w:rsidRPr="007742D2">
        <w:t xml:space="preserve">Section 4 describes an </w:t>
      </w:r>
      <w:r>
        <w:t xml:space="preserve">example </w:t>
      </w:r>
      <w:r w:rsidRPr="007742D2">
        <w:t xml:space="preserve">experimental setup and the data processing techniques employed to </w:t>
      </w:r>
      <w:r>
        <w:t>measure path length turbulence.</w:t>
      </w:r>
      <w:r w:rsidRPr="007742D2">
        <w:t xml:space="preserve"> </w:t>
      </w:r>
      <w:r>
        <w:t xml:space="preserve">Section 5 provides validation of the measurement of the site test interferometer with two </w:t>
      </w:r>
      <w:r w:rsidRPr="000552F5">
        <w:t>collocated</w:t>
      </w:r>
      <w:r>
        <w:t xml:space="preserve"> water vapour radiometers. Section 6 provides validation of the phase statistics scaling procedure via comparison of two separate STIs on two unique baseline separations at the same site. Section 7 provides validation comparisons of the STI phase measurements with those from downlink Deep Space Network array demonstration passes. Section 8 provides estimates of the expected array loss due to the atmospheric path length variations for a 3-element antenna array located at the Goldstone Deep Space Communications Complex (GDSCC). </w:t>
      </w:r>
      <w:r w:rsidRPr="007742D2">
        <w:t xml:space="preserve">References dealing with these derivations </w:t>
      </w:r>
      <w:r>
        <w:t xml:space="preserve">and further validation of the approach </w:t>
      </w:r>
      <w:r w:rsidRPr="007742D2">
        <w:t xml:space="preserve">are listed in Section </w:t>
      </w:r>
      <w:r>
        <w:t>9</w:t>
      </w:r>
      <w:r w:rsidRPr="007742D2">
        <w:t xml:space="preserve"> of this document.</w:t>
      </w:r>
    </w:p>
    <w:p w:rsidR="00E70BFD" w:rsidRPr="007742D2" w:rsidRDefault="00E70BFD" w:rsidP="00573694">
      <w:pPr>
        <w:pStyle w:val="Heading1"/>
      </w:pPr>
      <w:bookmarkStart w:id="11" w:name="_Toc352245293"/>
      <w:bookmarkStart w:id="12" w:name="_Toc478543528"/>
      <w:r w:rsidRPr="007742D2">
        <w:t>2</w:t>
      </w:r>
      <w:r w:rsidRPr="007742D2">
        <w:tab/>
        <w:t>Array loss due to atmospheric turbulence: Derivation</w:t>
      </w:r>
      <w:bookmarkEnd w:id="11"/>
      <w:bookmarkEnd w:id="12"/>
    </w:p>
    <w:p w:rsidR="00E70BFD" w:rsidRPr="007742D2" w:rsidRDefault="00E70BFD" w:rsidP="00573694">
      <w:r w:rsidRPr="007742D2">
        <w:t>For the purposes of (1) generating statistical models, and (2) predicting the performance of communications systems in a widely distributed ground-based antenna array architecture, it becomes necessary to define the impact of path length (phase) turbulence, as induced by the atmosphere, on array combining losses. Atmospheric-induced path length variations are directly correlated with the spatiotemporal variations in tropospheric water vapour that occur along the line of sight path for individual antenna element</w:t>
      </w:r>
      <w:bookmarkStart w:id="13" w:name="_GoBack"/>
      <w:bookmarkEnd w:id="13"/>
      <w:r w:rsidRPr="007742D2">
        <w:t xml:space="preserve">s comprising an array. Turbulence in the troposphere result in short timescale variations of the refractive index of the atmospheric channel which can be unique to each antenna element and directly impact the array combining efficiency of a </w:t>
      </w:r>
      <w:r>
        <w:br/>
      </w:r>
      <w:r w:rsidRPr="007742D2">
        <w:t xml:space="preserve">ground-based antenna array via distortions of the phase front received and transmitted, as indicated in the diagram of Figure 1, for the transmit case. </w:t>
      </w:r>
    </w:p>
    <w:p w:rsidR="00E70BFD" w:rsidRPr="007742D2" w:rsidRDefault="00E70BFD" w:rsidP="00573694">
      <w:pPr>
        <w:jc w:val="both"/>
      </w:pPr>
      <w:r w:rsidRPr="007742D2">
        <w:t xml:space="preserve">The </w:t>
      </w:r>
      <w:r w:rsidRPr="007742D2">
        <w:rPr>
          <w:i/>
        </w:rPr>
        <w:t>average loss</w:t>
      </w:r>
      <w:r w:rsidRPr="007742D2">
        <w:t xml:space="preserve"> of an array in the presence of atmospheric turbulence integrated over a finite time interval can be described by a generalized form of the </w:t>
      </w:r>
      <w:proofErr w:type="spellStart"/>
      <w:r w:rsidRPr="007742D2">
        <w:t>Ruze</w:t>
      </w:r>
      <w:proofErr w:type="spellEnd"/>
      <w:r w:rsidRPr="007742D2">
        <w:t xml:space="preserve"> equation,</w:t>
      </w:r>
    </w:p>
    <w:p w:rsidR="00E70BFD" w:rsidRPr="007742D2" w:rsidRDefault="00D56D0B" w:rsidP="00D56D0B">
      <w:pPr>
        <w:pStyle w:val="Equation"/>
      </w:pPr>
      <w:r>
        <w:tab/>
      </w:r>
      <w:r>
        <w:tab/>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loss</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w:rPr>
                        <w:rFonts w:ascii="Cambria Math" w:hAnsi="Cambria Math"/>
                      </w:rPr>
                      <m:t>e</m:t>
                    </m:r>
                  </m:e>
                  <m:sup>
                    <m:f>
                      <m:fPr>
                        <m:ctrlPr>
                          <w:rPr>
                            <w:rFonts w:ascii="Cambria Math" w:hAnsi="Cambria Math"/>
                          </w:rPr>
                        </m:ctrlPr>
                      </m:fPr>
                      <m:num>
                        <m:sSubSup>
                          <m:sSubSupPr>
                            <m:ctrlPr>
                              <w:rPr>
                                <w:rFonts w:ascii="Cambria Math" w:hAnsi="Cambria Math"/>
                              </w:rPr>
                            </m:ctrlPr>
                          </m:sSubSupPr>
                          <m:e>
                            <m:r>
                              <m:rPr>
                                <m:sty m:val="p"/>
                              </m:rPr>
                              <w:rPr>
                                <w:rFonts w:ascii="Cambria Math" w:hAnsi="Cambria Math"/>
                              </w:rPr>
                              <m:t>-</m:t>
                            </m:r>
                            <m:r>
                              <w:rPr>
                                <w:rFonts w:ascii="Cambria Math" w:hAnsi="Cambria Math"/>
                              </w:rPr>
                              <m:t>σ</m:t>
                            </m:r>
                          </m:e>
                          <m:sub>
                            <m:sSub>
                              <m:sSubPr>
                                <m:ctrlPr>
                                  <w:rPr>
                                    <w:rFonts w:ascii="Cambria Math" w:hAnsi="Cambria Math"/>
                                  </w:rPr>
                                </m:ctrlPr>
                              </m:sSubPr>
                              <m:e>
                                <m:r>
                                  <w:rPr>
                                    <w:rFonts w:ascii="Cambria Math" w:hAnsi="Cambria Math"/>
                                  </w:rPr>
                                  <m:t>ϕ</m:t>
                                </m:r>
                              </m:e>
                              <m:sub>
                                <m:r>
                                  <w:rPr>
                                    <w:rFonts w:ascii="Cambria Math" w:hAnsi="Cambria Math"/>
                                  </w:rPr>
                                  <m:t>mn</m:t>
                                </m:r>
                              </m:sub>
                            </m:sSub>
                          </m:sub>
                          <m:sup>
                            <m:r>
                              <m:rPr>
                                <m:sty m:val="p"/>
                              </m:rPr>
                              <w:rPr>
                                <w:rFonts w:ascii="Cambria Math" w:hAnsi="Cambria Math"/>
                              </w:rPr>
                              <m:t>2</m:t>
                            </m:r>
                          </m:sup>
                        </m:sSubSup>
                      </m:num>
                      <m:den>
                        <m:r>
                          <m:rPr>
                            <m:sty m:val="p"/>
                          </m:rPr>
                          <w:rPr>
                            <w:rFonts w:ascii="Cambria Math" w:hAnsi="Cambria Math"/>
                          </w:rPr>
                          <m:t>2</m:t>
                        </m:r>
                      </m:den>
                    </m:f>
                  </m:sup>
                </m:sSup>
              </m:e>
            </m:nary>
          </m:e>
        </m:nary>
      </m:oMath>
    </w:p>
    <w:p w:rsidR="00E70BFD" w:rsidRPr="007742D2" w:rsidRDefault="00E70BFD" w:rsidP="00573694">
      <w:r w:rsidRPr="007742D2">
        <w:t>where,</w:t>
      </w:r>
    </w:p>
    <w:p w:rsidR="00E70BFD" w:rsidRPr="007742D2" w:rsidRDefault="00E70BFD" w:rsidP="000B6C9D">
      <w:pPr>
        <w:pStyle w:val="Equationlegend"/>
      </w:pPr>
      <w:r w:rsidRPr="007742D2">
        <w:tab/>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loss</m:t>
                </m:r>
              </m:sub>
            </m:sSub>
          </m:e>
        </m:d>
      </m:oMath>
      <w:r w:rsidRPr="007742D2">
        <w:t xml:space="preserve"> </w:t>
      </w:r>
      <w:r w:rsidR="000B6C9D">
        <w:tab/>
      </w:r>
      <w:r w:rsidRPr="007742D2">
        <w:t>is the average loss of the array due to atmospheric phase turbulence</w:t>
      </w:r>
      <w:r w:rsidR="000B6C9D">
        <w:t>;</w:t>
      </w:r>
    </w:p>
    <w:p w:rsidR="00E70BFD" w:rsidRPr="007742D2" w:rsidRDefault="00E70BFD" w:rsidP="000B6C9D">
      <w:pPr>
        <w:pStyle w:val="Equationlegend"/>
        <w:rPr>
          <w:szCs w:val="24"/>
        </w:rPr>
      </w:pPr>
      <w:r w:rsidRPr="007742D2">
        <w:rPr>
          <w:szCs w:val="24"/>
        </w:rPr>
        <w:tab/>
      </w:r>
      <m:oMath>
        <m:r>
          <w:rPr>
            <w:rFonts w:ascii="Cambria Math" w:hAnsi="Cambria Math"/>
            <w:szCs w:val="24"/>
          </w:rPr>
          <m:t>N</m:t>
        </m:r>
      </m:oMath>
      <w:r w:rsidR="000B6C9D">
        <w:rPr>
          <w:szCs w:val="24"/>
        </w:rPr>
        <w:t xml:space="preserve"> </w:t>
      </w:r>
      <w:r w:rsidR="000B6C9D">
        <w:rPr>
          <w:szCs w:val="24"/>
        </w:rPr>
        <w:tab/>
      </w:r>
      <w:r w:rsidRPr="007742D2">
        <w:rPr>
          <w:szCs w:val="24"/>
        </w:rPr>
        <w:t xml:space="preserve">is the number of elements in </w:t>
      </w:r>
      <w:r w:rsidRPr="000B6C9D">
        <w:t>the</w:t>
      </w:r>
      <w:r w:rsidRPr="007742D2">
        <w:rPr>
          <w:szCs w:val="24"/>
        </w:rPr>
        <w:t xml:space="preserve"> array</w:t>
      </w:r>
      <w:r w:rsidR="000B6C9D">
        <w:rPr>
          <w:szCs w:val="24"/>
        </w:rPr>
        <w:t>;</w:t>
      </w:r>
    </w:p>
    <w:p w:rsidR="00E70BFD" w:rsidRPr="007742D2" w:rsidRDefault="00E70BFD" w:rsidP="000B6C9D">
      <w:pPr>
        <w:pStyle w:val="Equationlegend"/>
        <w:rPr>
          <w:szCs w:val="24"/>
        </w:rPr>
      </w:pPr>
      <w:r w:rsidRPr="007742D2">
        <w:rPr>
          <w:szCs w:val="24"/>
        </w:rPr>
        <w:tab/>
      </w:r>
      <m:oMath>
        <m:sSubSup>
          <m:sSubSupPr>
            <m:ctrlPr>
              <w:rPr>
                <w:rFonts w:ascii="Cambria Math" w:hAnsi="Cambria Math"/>
                <w:i/>
                <w:szCs w:val="24"/>
              </w:rPr>
            </m:ctrlPr>
          </m:sSubSupPr>
          <m:e>
            <m:r>
              <w:rPr>
                <w:rFonts w:ascii="Cambria Math" w:hAnsi="Cambria Math"/>
                <w:szCs w:val="24"/>
              </w:rPr>
              <m:t>σ</m:t>
            </m:r>
          </m:e>
          <m:sub>
            <m:sSub>
              <m:sSubPr>
                <m:ctrlPr>
                  <w:rPr>
                    <w:rFonts w:ascii="Cambria Math" w:hAnsi="Cambria Math"/>
                    <w:i/>
                    <w:szCs w:val="24"/>
                  </w:rPr>
                </m:ctrlPr>
              </m:sSubPr>
              <m:e>
                <m:r>
                  <w:rPr>
                    <w:rFonts w:ascii="Cambria Math" w:hAnsi="Cambria Math"/>
                    <w:szCs w:val="24"/>
                  </w:rPr>
                  <m:t>ϕ</m:t>
                </m:r>
              </m:e>
              <m:sub>
                <m:r>
                  <w:rPr>
                    <w:rFonts w:ascii="Cambria Math" w:hAnsi="Cambria Math"/>
                    <w:szCs w:val="24"/>
                  </w:rPr>
                  <m:t>mn</m:t>
                </m:r>
              </m:sub>
            </m:sSub>
          </m:sub>
          <m:sup>
            <m:r>
              <w:rPr>
                <w:rFonts w:ascii="Cambria Math" w:hAnsi="Cambria Math"/>
                <w:szCs w:val="24"/>
              </w:rPr>
              <m:t>2</m:t>
            </m:r>
          </m:sup>
        </m:sSubSup>
      </m:oMath>
      <w:r w:rsidRPr="007742D2">
        <w:rPr>
          <w:szCs w:val="24"/>
        </w:rPr>
        <w:t xml:space="preserve"> </w:t>
      </w:r>
      <w:r w:rsidR="000B6C9D">
        <w:rPr>
          <w:szCs w:val="24"/>
        </w:rPr>
        <w:tab/>
      </w:r>
      <w:r w:rsidRPr="007742D2">
        <w:rPr>
          <w:szCs w:val="24"/>
        </w:rPr>
        <w:t xml:space="preserve">is the phase variance (in </w:t>
      </w:r>
      <w:r w:rsidRPr="000B6C9D">
        <w:t>radians</w:t>
      </w:r>
      <w:r w:rsidRPr="007742D2">
        <w:rPr>
          <w:szCs w:val="24"/>
        </w:rPr>
        <w:t xml:space="preserve">) between elements </w:t>
      </w:r>
      <w:r w:rsidRPr="007742D2">
        <w:rPr>
          <w:i/>
          <w:szCs w:val="24"/>
        </w:rPr>
        <w:t>m</w:t>
      </w:r>
      <w:r w:rsidRPr="007742D2">
        <w:rPr>
          <w:szCs w:val="24"/>
        </w:rPr>
        <w:t xml:space="preserve"> and </w:t>
      </w:r>
      <w:r w:rsidRPr="007742D2">
        <w:rPr>
          <w:i/>
          <w:szCs w:val="24"/>
        </w:rPr>
        <w:t>n</w:t>
      </w:r>
      <w:r w:rsidRPr="007742D2">
        <w:rPr>
          <w:szCs w:val="24"/>
        </w:rPr>
        <w:t xml:space="preserve"> in the array</w:t>
      </w:r>
      <w:r w:rsidR="000B6C9D">
        <w:rPr>
          <w:szCs w:val="24"/>
        </w:rPr>
        <w:t>.</w:t>
      </w:r>
    </w:p>
    <w:p w:rsidR="00E70BFD" w:rsidRPr="007742D2" w:rsidRDefault="00E70BFD" w:rsidP="00573694">
      <w:pPr>
        <w:pStyle w:val="FigureNo"/>
      </w:pPr>
      <w:r w:rsidRPr="007742D2">
        <w:lastRenderedPageBreak/>
        <w:t>Figure 1</w:t>
      </w:r>
    </w:p>
    <w:p w:rsidR="00E70BFD" w:rsidRPr="007742D2" w:rsidRDefault="00E70BFD" w:rsidP="000B6C9D">
      <w:pPr>
        <w:pStyle w:val="Figuretitle"/>
      </w:pPr>
      <w:r w:rsidRPr="000B6C9D">
        <w:t>Distortion</w:t>
      </w:r>
      <w:r w:rsidRPr="007742D2">
        <w:t xml:space="preserve"> of phase front of transmitted wave induced by variation in water </w:t>
      </w:r>
      <w:r w:rsidR="00654EA6">
        <w:t>vapour</w:t>
      </w:r>
      <w:r>
        <w:t xml:space="preserve"> content along the line of</w:t>
      </w:r>
      <w:r>
        <w:br/>
      </w:r>
      <w:r w:rsidRPr="007742D2">
        <w:t>sight path of each element of an antenna array.</w:t>
      </w:r>
    </w:p>
    <w:p w:rsidR="00E70BFD" w:rsidRPr="000B6C9D" w:rsidRDefault="00E70BFD" w:rsidP="000B6C9D">
      <w:pPr>
        <w:pStyle w:val="Figure"/>
      </w:pPr>
      <w:r w:rsidRPr="000B6C9D">
        <w:t xml:space="preserve"> </w:t>
      </w:r>
      <w:r w:rsidRPr="000B6C9D">
        <w:rPr>
          <w:noProof/>
          <w:lang w:eastAsia="zh-CN"/>
        </w:rPr>
        <w:drawing>
          <wp:inline distT="0" distB="0" distL="0" distR="0" wp14:anchorId="4711CF37" wp14:editId="11473E3C">
            <wp:extent cx="3124200" cy="3028738"/>
            <wp:effectExtent l="0" t="0" r="0" b="0"/>
            <wp:docPr id="33" name="Picture 1" descr="pathlength_distortion.png"/>
            <wp:cNvGraphicFramePr/>
            <a:graphic xmlns:a="http://schemas.openxmlformats.org/drawingml/2006/main">
              <a:graphicData uri="http://schemas.openxmlformats.org/drawingml/2006/picture">
                <pic:pic xmlns:pic="http://schemas.openxmlformats.org/drawingml/2006/picture">
                  <pic:nvPicPr>
                    <pic:cNvPr id="7" name="Picture 6" descr="pathlength_distortion.p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24200" cy="3028738"/>
                    </a:xfrm>
                    <a:prstGeom prst="rect">
                      <a:avLst/>
                    </a:prstGeom>
                  </pic:spPr>
                </pic:pic>
              </a:graphicData>
            </a:graphic>
          </wp:inline>
        </w:drawing>
      </w:r>
    </w:p>
    <w:p w:rsidR="00E70BFD" w:rsidRPr="007742D2" w:rsidRDefault="00E70BFD" w:rsidP="00573694">
      <w:r w:rsidRPr="007742D2">
        <w:t xml:space="preserve">Therefore, the primary parameter of interest for determining array loss in the presence of atmospheric turbulence is the phase variance term, </w:t>
      </w:r>
      <m:oMath>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mn</m:t>
            </m:r>
          </m:sub>
          <m:sup>
            <m:r>
              <w:rPr>
                <w:rFonts w:ascii="Cambria Math" w:hAnsi="Cambria Math"/>
                <w:szCs w:val="24"/>
              </w:rPr>
              <m:t>2</m:t>
            </m:r>
          </m:sup>
        </m:sSubSup>
      </m:oMath>
      <w:r w:rsidRPr="007742D2">
        <w:t>, which is a function of elevation angle, frequency, and separation distance between antenna elements</w:t>
      </w:r>
      <w:r>
        <w:t xml:space="preserve"> m and n</w:t>
      </w:r>
      <w:r w:rsidRPr="007742D2">
        <w:t xml:space="preserve">. </w:t>
      </w:r>
    </w:p>
    <w:p w:rsidR="00E70BFD" w:rsidRPr="007742D2" w:rsidRDefault="00E70BFD" w:rsidP="00CF4407">
      <w:r w:rsidRPr="007742D2">
        <w:t>For a given set of measured path length statistics, at a fixed elevation angle and separation distance, the phase variance (in radians) can be scaled to other frequencies, separation distances,</w:t>
      </w:r>
      <w:r>
        <w:br/>
      </w:r>
      <w:r w:rsidRPr="007742D2">
        <w:t>and elevation angles via,</w:t>
      </w:r>
    </w:p>
    <w:p w:rsidR="00E70BFD" w:rsidRPr="007742D2" w:rsidRDefault="000B6C9D" w:rsidP="000B6C9D">
      <w:pPr>
        <w:pStyle w:val="Equation"/>
      </w:pPr>
      <w:r>
        <w:tab/>
      </w:r>
      <w:r>
        <w:tab/>
      </w:r>
      <m:oMath>
        <m:sSubSup>
          <m:sSubSupPr>
            <m:ctrlPr>
              <w:rPr>
                <w:rFonts w:ascii="Cambria Math" w:eastAsia="MS Mincho" w:hAnsi="Cambria Math"/>
              </w:rPr>
            </m:ctrlPr>
          </m:sSubSupPr>
          <m:e>
            <m:r>
              <w:rPr>
                <w:rFonts w:ascii="Cambria Math" w:eastAsia="MS Mincho" w:hAnsi="Cambria Math"/>
              </w:rPr>
              <m:t>σ</m:t>
            </m:r>
          </m:e>
          <m:sub>
            <m:r>
              <w:rPr>
                <w:rFonts w:ascii="Cambria Math" w:eastAsia="MS Mincho" w:hAnsi="Cambria Math"/>
              </w:rPr>
              <m:t>ϕ</m:t>
            </m:r>
          </m:sub>
          <m:sup>
            <m:r>
              <m:rPr>
                <m:sty m:val="p"/>
              </m:rPr>
              <w:rPr>
                <w:rFonts w:ascii="Cambria Math" w:eastAsia="MS Mincho" w:hAnsi="Cambria Math"/>
              </w:rPr>
              <m:t>2</m:t>
            </m:r>
          </m:sup>
        </m:sSubSup>
        <m:d>
          <m:dPr>
            <m:ctrlPr>
              <w:rPr>
                <w:rFonts w:ascii="Cambria Math" w:eastAsia="MS Mincho" w:hAnsi="Cambria Math"/>
              </w:rPr>
            </m:ctrlPr>
          </m:dPr>
          <m:e>
            <m:r>
              <w:rPr>
                <w:rFonts w:ascii="Cambria Math" w:eastAsia="MS Mincho" w:hAnsi="Cambria Math"/>
              </w:rPr>
              <m:t>θ</m:t>
            </m:r>
            <m:r>
              <m:rPr>
                <m:sty m:val="p"/>
              </m:rPr>
              <w:rPr>
                <w:rFonts w:ascii="Cambria Math" w:eastAsia="MS Mincho" w:hAnsi="Cambria Math"/>
              </w:rPr>
              <m:t>,</m:t>
            </m:r>
            <m:r>
              <w:rPr>
                <w:rFonts w:ascii="Cambria Math" w:eastAsia="MS Mincho" w:hAnsi="Cambria Math"/>
              </w:rPr>
              <m:t>f</m:t>
            </m:r>
            <m:r>
              <m:rPr>
                <m:sty m:val="p"/>
              </m:rPr>
              <w:rPr>
                <w:rFonts w:ascii="Cambria Math" w:eastAsia="MS Mincho" w:hAnsi="Cambria Math"/>
              </w:rPr>
              <m:t>,</m:t>
            </m:r>
            <m:r>
              <w:rPr>
                <w:rFonts w:ascii="Cambria Math" w:eastAsia="MS Mincho" w:hAnsi="Cambria Math"/>
              </w:rPr>
              <m:t>r</m:t>
            </m:r>
          </m:e>
        </m:d>
        <m:r>
          <m:rPr>
            <m:sty m:val="p"/>
          </m:rPr>
          <w:rPr>
            <w:rFonts w:ascii="Cambria Math" w:eastAsia="MS Mincho" w:hAnsi="Cambria Math"/>
          </w:rPr>
          <m:t>=</m:t>
        </m:r>
        <m:sSubSup>
          <m:sSubSupPr>
            <m:ctrlPr>
              <w:rPr>
                <w:rFonts w:ascii="Cambria Math" w:eastAsia="MS Mincho" w:hAnsi="Cambria Math"/>
              </w:rPr>
            </m:ctrlPr>
          </m:sSubSupPr>
          <m:e>
            <m:r>
              <w:rPr>
                <w:rFonts w:ascii="Cambria Math" w:eastAsia="MS Mincho" w:hAnsi="Cambria Math"/>
              </w:rPr>
              <m:t>σ</m:t>
            </m:r>
          </m:e>
          <m:sub>
            <m:r>
              <w:rPr>
                <w:rFonts w:ascii="Cambria Math" w:eastAsia="MS Mincho" w:hAnsi="Cambria Math"/>
              </w:rPr>
              <m:t>l</m:t>
            </m:r>
          </m:sub>
          <m:sup>
            <m:r>
              <m:rPr>
                <m:sty m:val="p"/>
              </m:rPr>
              <w:rPr>
                <w:rFonts w:ascii="Cambria Math" w:eastAsia="MS Mincho" w:hAnsi="Cambria Math"/>
              </w:rPr>
              <m:t>2</m:t>
            </m:r>
          </m:sup>
        </m:sSubSup>
        <m:r>
          <m:rPr>
            <m:sty m:val="p"/>
          </m:rPr>
          <w:rPr>
            <w:rFonts w:ascii="Cambria Math" w:eastAsia="MS Mincho" w:hAnsi="Cambria Math"/>
          </w:rPr>
          <m:t>(</m:t>
        </m:r>
        <m:sSub>
          <m:sSubPr>
            <m:ctrlPr>
              <w:rPr>
                <w:rFonts w:ascii="Cambria Math" w:eastAsia="MS Mincho" w:hAnsi="Cambria Math"/>
              </w:rPr>
            </m:ctrlPr>
          </m:sSubPr>
          <m:e>
            <m:r>
              <w:rPr>
                <w:rFonts w:ascii="Cambria Math" w:eastAsia="MS Mincho" w:hAnsi="Cambria Math"/>
              </w:rPr>
              <m:t>θ</m:t>
            </m:r>
          </m:e>
          <m:sub>
            <m:r>
              <m:rPr>
                <m:sty m:val="p"/>
              </m:rPr>
              <w:rPr>
                <w:rFonts w:ascii="Cambria Math" w:eastAsia="MS Mincho" w:hAnsi="Cambria Math"/>
              </w:rPr>
              <m:t>0</m:t>
            </m:r>
          </m:sub>
        </m:sSub>
        <m:r>
          <m:rPr>
            <m:sty m:val="p"/>
          </m:rPr>
          <w:rPr>
            <w:rFonts w:ascii="Cambria Math" w:eastAsia="MS Mincho" w:hAnsi="Cambria Math"/>
          </w:rPr>
          <m:t>,</m:t>
        </m:r>
        <m:sSub>
          <m:sSubPr>
            <m:ctrlPr>
              <w:rPr>
                <w:rFonts w:ascii="Cambria Math" w:eastAsia="MS Mincho" w:hAnsi="Cambria Math"/>
              </w:rPr>
            </m:ctrlPr>
          </m:sSubPr>
          <m:e>
            <m:r>
              <w:rPr>
                <w:rFonts w:ascii="Cambria Math" w:eastAsia="MS Mincho" w:hAnsi="Cambria Math"/>
              </w:rPr>
              <m:t>f</m:t>
            </m:r>
          </m:e>
          <m:sub>
            <m:r>
              <m:rPr>
                <m:sty m:val="p"/>
              </m:rPr>
              <w:rPr>
                <w:rFonts w:ascii="Cambria Math" w:eastAsia="MS Mincho" w:hAnsi="Cambria Math"/>
              </w:rPr>
              <m:t>0</m:t>
            </m:r>
          </m:sub>
        </m:sSub>
        <m:r>
          <m:rPr>
            <m:sty m:val="p"/>
          </m:rPr>
          <w:rPr>
            <w:rFonts w:ascii="Cambria Math" w:eastAsia="MS Mincho" w:hAnsi="Cambria Math"/>
          </w:rPr>
          <m:t>,</m:t>
        </m:r>
        <m:sSub>
          <m:sSubPr>
            <m:ctrlPr>
              <w:rPr>
                <w:rFonts w:ascii="Cambria Math" w:eastAsia="MS Mincho" w:hAnsi="Cambria Math"/>
              </w:rPr>
            </m:ctrlPr>
          </m:sSubPr>
          <m:e>
            <m:r>
              <w:rPr>
                <w:rFonts w:ascii="Cambria Math" w:eastAsia="MS Mincho" w:hAnsi="Cambria Math"/>
              </w:rPr>
              <m:t>r</m:t>
            </m:r>
          </m:e>
          <m:sub>
            <m:r>
              <m:rPr>
                <m:sty m:val="p"/>
              </m:rPr>
              <w:rPr>
                <w:rFonts w:ascii="Cambria Math" w:eastAsia="MS Mincho" w:hAnsi="Cambria Math"/>
              </w:rPr>
              <m:t>0</m:t>
            </m:r>
          </m:sub>
        </m:sSub>
        <m:r>
          <m:rPr>
            <m:sty m:val="p"/>
          </m:rPr>
          <w:rPr>
            <w:rFonts w:ascii="Cambria Math" w:eastAsia="MS Mincho" w:hAnsi="Cambria Math"/>
          </w:rPr>
          <m:t>)</m:t>
        </m:r>
        <m:sSup>
          <m:sSupPr>
            <m:ctrlPr>
              <w:rPr>
                <w:rFonts w:ascii="Cambria Math" w:eastAsia="MS Mincho" w:hAnsi="Cambria Math"/>
              </w:rPr>
            </m:ctrlPr>
          </m:sSupPr>
          <m:e>
            <m:d>
              <m:dPr>
                <m:ctrlPr>
                  <w:rPr>
                    <w:rFonts w:ascii="Cambria Math" w:eastAsia="MS Mincho" w:hAnsi="Cambria Math"/>
                  </w:rPr>
                </m:ctrlPr>
              </m:dPr>
              <m:e>
                <m:r>
                  <m:rPr>
                    <m:sty m:val="p"/>
                  </m:rPr>
                  <w:rPr>
                    <w:rFonts w:ascii="Cambria Math" w:eastAsia="MS Mincho" w:hAnsi="Cambria Math"/>
                  </w:rPr>
                  <m:t>2</m:t>
                </m:r>
                <m:r>
                  <w:rPr>
                    <w:rFonts w:ascii="Cambria Math" w:eastAsia="MS Mincho" w:hAnsi="Cambria Math"/>
                  </w:rPr>
                  <m:t>π</m:t>
                </m:r>
                <m:f>
                  <m:fPr>
                    <m:ctrlPr>
                      <w:rPr>
                        <w:rFonts w:ascii="Cambria Math" w:eastAsia="MS Mincho" w:hAnsi="Cambria Math"/>
                      </w:rPr>
                    </m:ctrlPr>
                  </m:fPr>
                  <m:num>
                    <m:r>
                      <w:rPr>
                        <w:rFonts w:ascii="Cambria Math" w:eastAsia="MS Mincho" w:hAnsi="Cambria Math"/>
                      </w:rPr>
                      <m:t>f</m:t>
                    </m:r>
                  </m:num>
                  <m:den>
                    <m:r>
                      <w:rPr>
                        <w:rFonts w:ascii="Cambria Math" w:eastAsia="MS Mincho" w:hAnsi="Cambria Math"/>
                      </w:rPr>
                      <m:t>c</m:t>
                    </m:r>
                  </m:den>
                </m:f>
              </m:e>
            </m:d>
          </m:e>
          <m:sup>
            <m:r>
              <m:rPr>
                <m:sty m:val="p"/>
              </m:rPr>
              <w:rPr>
                <w:rFonts w:ascii="Cambria Math" w:eastAsia="MS Mincho" w:hAnsi="Cambria Math"/>
              </w:rPr>
              <m:t>2</m:t>
            </m:r>
          </m:sup>
        </m:sSup>
        <m:sSup>
          <m:sSupPr>
            <m:ctrlPr>
              <w:rPr>
                <w:rFonts w:ascii="Cambria Math" w:eastAsia="MS Mincho" w:hAnsi="Cambria Math"/>
              </w:rPr>
            </m:ctrlPr>
          </m:sSupPr>
          <m:e>
            <m:d>
              <m:dPr>
                <m:ctrlPr>
                  <w:rPr>
                    <w:rFonts w:ascii="Cambria Math" w:eastAsia="MS Mincho" w:hAnsi="Cambria Math"/>
                  </w:rPr>
                </m:ctrlPr>
              </m:dPr>
              <m:e>
                <m:f>
                  <m:fPr>
                    <m:ctrlPr>
                      <w:rPr>
                        <w:rFonts w:ascii="Cambria Math" w:eastAsia="MS Mincho" w:hAnsi="Cambria Math"/>
                      </w:rPr>
                    </m:ctrlPr>
                  </m:fPr>
                  <m:num>
                    <m:r>
                      <w:rPr>
                        <w:rFonts w:ascii="Cambria Math" w:eastAsia="MS Mincho" w:hAnsi="Cambria Math"/>
                      </w:rPr>
                      <m:t>r</m:t>
                    </m:r>
                  </m:num>
                  <m:den>
                    <m:sSub>
                      <m:sSubPr>
                        <m:ctrlPr>
                          <w:rPr>
                            <w:rFonts w:ascii="Cambria Math" w:eastAsia="MS Mincho" w:hAnsi="Cambria Math"/>
                          </w:rPr>
                        </m:ctrlPr>
                      </m:sSubPr>
                      <m:e>
                        <m:r>
                          <w:rPr>
                            <w:rFonts w:ascii="Cambria Math" w:eastAsia="MS Mincho" w:hAnsi="Cambria Math"/>
                          </w:rPr>
                          <m:t>r</m:t>
                        </m:r>
                      </m:e>
                      <m:sub>
                        <m:r>
                          <m:rPr>
                            <m:sty m:val="p"/>
                          </m:rPr>
                          <w:rPr>
                            <w:rFonts w:ascii="Cambria Math" w:eastAsia="MS Mincho" w:hAnsi="Cambria Math"/>
                          </w:rPr>
                          <m:t>0</m:t>
                        </m:r>
                      </m:sub>
                    </m:sSub>
                  </m:den>
                </m:f>
              </m:e>
            </m:d>
          </m:e>
          <m:sup>
            <m:r>
              <w:rPr>
                <w:rFonts w:ascii="Cambria Math" w:eastAsia="MS Mincho" w:hAnsi="Cambria Math"/>
              </w:rPr>
              <m:t>β</m:t>
            </m:r>
          </m:sup>
        </m:sSup>
        <m:sSup>
          <m:sSupPr>
            <m:ctrlPr>
              <w:rPr>
                <w:rFonts w:ascii="Cambria Math" w:eastAsia="MS Mincho" w:hAnsi="Cambria Math"/>
              </w:rPr>
            </m:ctrlPr>
          </m:sSupPr>
          <m:e>
            <m:d>
              <m:dPr>
                <m:ctrlPr>
                  <w:rPr>
                    <w:rFonts w:ascii="Cambria Math" w:eastAsia="MS Mincho" w:hAnsi="Cambria Math"/>
                  </w:rPr>
                </m:ctrlPr>
              </m:dPr>
              <m:e>
                <m:f>
                  <m:fPr>
                    <m:ctrlPr>
                      <w:rPr>
                        <w:rFonts w:ascii="Cambria Math" w:eastAsia="MS Mincho" w:hAnsi="Cambria Math"/>
                      </w:rPr>
                    </m:ctrlPr>
                  </m:fPr>
                  <m:num>
                    <m:func>
                      <m:funcPr>
                        <m:ctrlPr>
                          <w:rPr>
                            <w:rFonts w:ascii="Cambria Math" w:eastAsia="MS Mincho" w:hAnsi="Cambria Math"/>
                          </w:rPr>
                        </m:ctrlPr>
                      </m:funcPr>
                      <m:fName>
                        <m:r>
                          <m:rPr>
                            <m:sty m:val="p"/>
                          </m:rPr>
                          <w:rPr>
                            <w:rFonts w:ascii="Cambria Math" w:eastAsia="MS Mincho" w:hAnsi="Cambria Math"/>
                          </w:rPr>
                          <m:t>sin</m:t>
                        </m:r>
                      </m:fName>
                      <m:e>
                        <m:d>
                          <m:dPr>
                            <m:ctrlPr>
                              <w:rPr>
                                <w:rFonts w:ascii="Cambria Math" w:eastAsia="MS Mincho" w:hAnsi="Cambria Math"/>
                              </w:rPr>
                            </m:ctrlPr>
                          </m:dPr>
                          <m:e>
                            <m:sSub>
                              <m:sSubPr>
                                <m:ctrlPr>
                                  <w:rPr>
                                    <w:rFonts w:ascii="Cambria Math" w:eastAsia="MS Mincho" w:hAnsi="Cambria Math"/>
                                  </w:rPr>
                                </m:ctrlPr>
                              </m:sSubPr>
                              <m:e>
                                <m:r>
                                  <w:rPr>
                                    <w:rFonts w:ascii="Cambria Math" w:eastAsia="MS Mincho" w:hAnsi="Cambria Math"/>
                                  </w:rPr>
                                  <m:t>θ</m:t>
                                </m:r>
                              </m:e>
                              <m:sub>
                                <m:r>
                                  <m:rPr>
                                    <m:sty m:val="p"/>
                                  </m:rPr>
                                  <w:rPr>
                                    <w:rFonts w:ascii="Cambria Math" w:eastAsia="MS Mincho" w:hAnsi="Cambria Math"/>
                                  </w:rPr>
                                  <m:t>0</m:t>
                                </m:r>
                              </m:sub>
                            </m:sSub>
                          </m:e>
                        </m:d>
                      </m:e>
                    </m:func>
                  </m:num>
                  <m:den>
                    <m:func>
                      <m:funcPr>
                        <m:ctrlPr>
                          <w:rPr>
                            <w:rFonts w:ascii="Cambria Math" w:eastAsia="MS Mincho" w:hAnsi="Cambria Math"/>
                          </w:rPr>
                        </m:ctrlPr>
                      </m:funcPr>
                      <m:fName>
                        <m:r>
                          <m:rPr>
                            <m:sty m:val="p"/>
                          </m:rPr>
                          <w:rPr>
                            <w:rFonts w:ascii="Cambria Math" w:eastAsia="MS Mincho" w:hAnsi="Cambria Math"/>
                          </w:rPr>
                          <m:t>sin</m:t>
                        </m:r>
                      </m:fName>
                      <m:e>
                        <m:d>
                          <m:dPr>
                            <m:ctrlPr>
                              <w:rPr>
                                <w:rFonts w:ascii="Cambria Math" w:eastAsia="MS Mincho" w:hAnsi="Cambria Math"/>
                              </w:rPr>
                            </m:ctrlPr>
                          </m:dPr>
                          <m:e>
                            <m:r>
                              <w:rPr>
                                <w:rFonts w:ascii="Cambria Math" w:eastAsia="MS Mincho" w:hAnsi="Cambria Math"/>
                              </w:rPr>
                              <m:t>θ</m:t>
                            </m:r>
                          </m:e>
                        </m:d>
                      </m:e>
                    </m:func>
                  </m:den>
                </m:f>
              </m:e>
            </m:d>
          </m:e>
          <m:sup>
            <m:r>
              <w:rPr>
                <w:rFonts w:ascii="Cambria Math" w:eastAsia="MS Mincho" w:hAnsi="Cambria Math"/>
              </w:rPr>
              <m:t>γ</m:t>
            </m:r>
          </m:sup>
        </m:sSup>
        <m:r>
          <m:rPr>
            <m:sty m:val="p"/>
          </m:rPr>
          <w:rPr>
            <w:rFonts w:ascii="Cambria Math" w:eastAsia="MS Mincho" w:hAnsi="Cambria Math"/>
          </w:rPr>
          <m:t>×</m:t>
        </m:r>
        <m:sSup>
          <m:sSupPr>
            <m:ctrlPr>
              <w:rPr>
                <w:rFonts w:ascii="Cambria Math" w:eastAsia="MS Mincho" w:hAnsi="Cambria Math"/>
              </w:rPr>
            </m:ctrlPr>
          </m:sSupPr>
          <m:e>
            <m:r>
              <m:rPr>
                <m:sty m:val="p"/>
              </m:rPr>
              <w:rPr>
                <w:rFonts w:ascii="Cambria Math" w:eastAsia="MS Mincho" w:hAnsi="Cambria Math"/>
              </w:rPr>
              <m:t>10</m:t>
            </m:r>
          </m:e>
          <m:sup>
            <m:r>
              <m:rPr>
                <m:sty m:val="p"/>
              </m:rPr>
              <w:rPr>
                <w:rFonts w:ascii="Cambria Math" w:eastAsia="MS Mincho" w:hAnsi="Cambria Math"/>
              </w:rPr>
              <m:t>-6</m:t>
            </m:r>
          </m:sup>
        </m:sSup>
      </m:oMath>
    </w:p>
    <w:p w:rsidR="00E70BFD" w:rsidRPr="007742D2" w:rsidRDefault="00E70BFD" w:rsidP="00573694">
      <w:r w:rsidRPr="007742D2">
        <w:t>where,</w:t>
      </w:r>
    </w:p>
    <w:p w:rsidR="00E70BFD" w:rsidRPr="007742D2" w:rsidRDefault="00DE3133" w:rsidP="00DE3133">
      <w:pPr>
        <w:pStyle w:val="Equationlegend"/>
      </w:pPr>
      <w:r>
        <w:rPr>
          <w:szCs w:val="24"/>
        </w:rPr>
        <w:tab/>
      </w:r>
      <m:oMath>
        <m:sSubSup>
          <m:sSubSupPr>
            <m:ctrlPr>
              <w:rPr>
                <w:rFonts w:ascii="Cambria Math" w:eastAsia="MS Mincho" w:hAnsi="Cambria Math"/>
                <w:i/>
                <w:szCs w:val="24"/>
              </w:rPr>
            </m:ctrlPr>
          </m:sSubSupPr>
          <m:e>
            <m:r>
              <w:rPr>
                <w:rFonts w:ascii="Cambria Math" w:eastAsia="MS Mincho" w:hAnsi="Cambria Math"/>
                <w:szCs w:val="24"/>
              </w:rPr>
              <m:t>σ</m:t>
            </m:r>
          </m:e>
          <m:sub>
            <m:r>
              <w:rPr>
                <w:rFonts w:ascii="Cambria Math" w:eastAsia="MS Mincho" w:hAnsi="Cambria Math"/>
                <w:szCs w:val="24"/>
              </w:rPr>
              <m:t>l</m:t>
            </m:r>
          </m:sub>
          <m:sup>
            <m:r>
              <w:rPr>
                <w:rFonts w:ascii="Cambria Math" w:eastAsia="MS Mincho" w:hAnsi="Cambria Math"/>
                <w:szCs w:val="24"/>
              </w:rPr>
              <m:t>2</m:t>
            </m:r>
          </m:sup>
        </m:sSubSup>
      </m:oMath>
      <w:r w:rsidR="00E70BFD" w:rsidRPr="007742D2">
        <w:rPr>
          <w:szCs w:val="24"/>
        </w:rPr>
        <w:t xml:space="preserve"> </w:t>
      </w:r>
      <w:r w:rsidR="00E70BFD">
        <w:rPr>
          <w:szCs w:val="24"/>
        </w:rPr>
        <w:tab/>
      </w:r>
      <w:r w:rsidR="00E70BFD" w:rsidRPr="007742D2">
        <w:rPr>
          <w:szCs w:val="24"/>
        </w:rPr>
        <w:t xml:space="preserve">is the </w:t>
      </w:r>
      <w:r w:rsidR="00E70BFD">
        <w:rPr>
          <w:szCs w:val="24"/>
        </w:rPr>
        <w:t xml:space="preserve">square of the </w:t>
      </w:r>
      <w:r w:rsidR="00E70BFD" w:rsidRPr="007742D2">
        <w:rPr>
          <w:szCs w:val="24"/>
        </w:rPr>
        <w:t xml:space="preserve">path length </w:t>
      </w:r>
      <w:r w:rsidR="00E70BFD">
        <w:rPr>
          <w:szCs w:val="24"/>
        </w:rPr>
        <w:t>standard deviation</w:t>
      </w:r>
      <w:r w:rsidR="00E70BFD" w:rsidRPr="007742D2">
        <w:rPr>
          <w:szCs w:val="24"/>
        </w:rPr>
        <w:t xml:space="preserve"> provided in </w:t>
      </w:r>
      <w:r w:rsidR="00E70BFD">
        <w:rPr>
          <w:szCs w:val="24"/>
        </w:rPr>
        <w:t>Table II-11 of</w:t>
      </w:r>
      <w:r w:rsidR="00E70BFD" w:rsidRPr="007742D2">
        <w:rPr>
          <w:szCs w:val="24"/>
        </w:rPr>
        <w:t xml:space="preserve"> the </w:t>
      </w:r>
      <w:r w:rsidR="00E70BFD">
        <w:rPr>
          <w:szCs w:val="24"/>
        </w:rPr>
        <w:t xml:space="preserve">Recommendation </w:t>
      </w:r>
      <w:r w:rsidR="00E70BFD" w:rsidRPr="007742D2">
        <w:rPr>
          <w:szCs w:val="24"/>
        </w:rPr>
        <w:t>ITU-R P.311 databanks</w:t>
      </w:r>
      <w:r w:rsidR="00E70BFD">
        <w:rPr>
          <w:szCs w:val="24"/>
        </w:rPr>
        <w:t xml:space="preserve"> (in mm</w:t>
      </w:r>
      <w:r w:rsidR="00E70BFD" w:rsidRPr="00504A50">
        <w:rPr>
          <w:szCs w:val="24"/>
          <w:vertAlign w:val="superscript"/>
        </w:rPr>
        <w:t>2</w:t>
      </w:r>
      <w:r w:rsidR="00E70BFD">
        <w:rPr>
          <w:szCs w:val="24"/>
        </w:rPr>
        <w:t>)</w:t>
      </w:r>
      <w:r>
        <w:rPr>
          <w:szCs w:val="24"/>
        </w:rPr>
        <w:t>;</w:t>
      </w:r>
    </w:p>
    <w:p w:rsidR="00E70BFD" w:rsidRPr="007742D2" w:rsidRDefault="00DE3133" w:rsidP="00DE3133">
      <w:pPr>
        <w:pStyle w:val="Equationlegend"/>
        <w:rPr>
          <w:szCs w:val="24"/>
        </w:rPr>
      </w:pPr>
      <w:r>
        <w:rPr>
          <w:szCs w:val="24"/>
        </w:rPr>
        <w:tab/>
      </w:r>
      <m:oMath>
        <m:r>
          <w:rPr>
            <w:rFonts w:ascii="Cambria Math" w:hAnsi="Cambria Math"/>
            <w:szCs w:val="24"/>
          </w:rPr>
          <m:t>f,</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0</m:t>
            </m:r>
          </m:sub>
        </m:sSub>
      </m:oMath>
      <w:r w:rsidR="00E70BFD" w:rsidRPr="007742D2">
        <w:rPr>
          <w:szCs w:val="24"/>
        </w:rPr>
        <w:t xml:space="preserve"> </w:t>
      </w:r>
      <w:r>
        <w:rPr>
          <w:szCs w:val="24"/>
        </w:rPr>
        <w:tab/>
      </w:r>
      <w:r w:rsidR="00E70BFD" w:rsidRPr="007742D2">
        <w:rPr>
          <w:szCs w:val="24"/>
        </w:rPr>
        <w:t>is the desired frequency</w:t>
      </w:r>
      <w:r w:rsidR="00E70BFD">
        <w:rPr>
          <w:szCs w:val="24"/>
        </w:rPr>
        <w:t xml:space="preserve"> and the measurement frequency, respectively (in Hz)</w:t>
      </w:r>
      <w:r>
        <w:rPr>
          <w:szCs w:val="24"/>
        </w:rPr>
        <w:t>;</w:t>
      </w:r>
    </w:p>
    <w:p w:rsidR="00E70BFD" w:rsidRPr="00B00663" w:rsidRDefault="00DE3133" w:rsidP="00DE3133">
      <w:pPr>
        <w:pStyle w:val="Equationlegend"/>
        <w:rPr>
          <w:szCs w:val="24"/>
        </w:rPr>
      </w:pPr>
      <w:r>
        <w:rPr>
          <w:szCs w:val="24"/>
        </w:rPr>
        <w:tab/>
      </w:r>
      <m:oMath>
        <m:r>
          <w:rPr>
            <w:rFonts w:ascii="Cambria Math" w:hAnsi="Cambria Math"/>
            <w:szCs w:val="24"/>
          </w:rPr>
          <m:t>c</m:t>
        </m:r>
      </m:oMath>
      <w:r w:rsidR="00E70BFD">
        <w:rPr>
          <w:szCs w:val="24"/>
        </w:rPr>
        <w:t xml:space="preserve"> </w:t>
      </w:r>
      <w:r>
        <w:rPr>
          <w:szCs w:val="24"/>
        </w:rPr>
        <w:tab/>
      </w:r>
      <w:r w:rsidR="00E70BFD">
        <w:rPr>
          <w:szCs w:val="24"/>
        </w:rPr>
        <w:t>is the speed of light (m/s)</w:t>
      </w:r>
      <w:r>
        <w:rPr>
          <w:szCs w:val="24"/>
        </w:rPr>
        <w:t>;</w:t>
      </w:r>
    </w:p>
    <w:p w:rsidR="00E70BFD" w:rsidRPr="007742D2" w:rsidRDefault="00DE3133" w:rsidP="00DE3133">
      <w:pPr>
        <w:pStyle w:val="Equationlegend"/>
        <w:rPr>
          <w:szCs w:val="24"/>
        </w:rPr>
      </w:pPr>
      <w:r>
        <w:rPr>
          <w:szCs w:val="24"/>
        </w:rPr>
        <w:tab/>
      </w:r>
      <m:oMath>
        <m:r>
          <w:rPr>
            <w:rFonts w:ascii="Cambria Math" w:hAnsi="Cambria Math"/>
            <w:szCs w:val="24"/>
          </w:rPr>
          <m:t>θ,</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0</m:t>
            </m:r>
          </m:sub>
        </m:sSub>
      </m:oMath>
      <w:r>
        <w:rPr>
          <w:szCs w:val="24"/>
        </w:rPr>
        <w:tab/>
      </w:r>
      <w:r w:rsidR="00E70BFD" w:rsidRPr="007742D2">
        <w:rPr>
          <w:szCs w:val="24"/>
        </w:rPr>
        <w:t>is the desired elevation angle and the measurement elevation angle, respectively</w:t>
      </w:r>
      <w:r>
        <w:rPr>
          <w:szCs w:val="24"/>
        </w:rPr>
        <w:t>;</w:t>
      </w:r>
    </w:p>
    <w:p w:rsidR="00E70BFD" w:rsidRPr="007742D2" w:rsidRDefault="00DE3133" w:rsidP="00DE3133">
      <w:pPr>
        <w:pStyle w:val="Equationlegend"/>
        <w:rPr>
          <w:szCs w:val="24"/>
        </w:rPr>
      </w:pPr>
      <w:r>
        <w:rPr>
          <w:szCs w:val="24"/>
        </w:rPr>
        <w:tab/>
      </w:r>
      <m:oMath>
        <m:r>
          <w:rPr>
            <w:rFonts w:ascii="Cambria Math" w:hAnsi="Cambria Math"/>
            <w:szCs w:val="24"/>
          </w:rPr>
          <m:t>r,</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00E70BFD" w:rsidRPr="007742D2">
        <w:rPr>
          <w:szCs w:val="24"/>
        </w:rPr>
        <w:t xml:space="preserve"> </w:t>
      </w:r>
      <w:r w:rsidR="00E70BFD">
        <w:rPr>
          <w:szCs w:val="24"/>
        </w:rPr>
        <w:tab/>
      </w:r>
      <w:r w:rsidR="00E70BFD" w:rsidRPr="007742D2">
        <w:rPr>
          <w:szCs w:val="24"/>
        </w:rPr>
        <w:t>is the desired baseline and the measurement baseline, respectively</w:t>
      </w:r>
      <w:r>
        <w:rPr>
          <w:szCs w:val="24"/>
        </w:rPr>
        <w:t>;</w:t>
      </w:r>
    </w:p>
    <w:p w:rsidR="00E70BFD" w:rsidRPr="007742D2" w:rsidRDefault="00DE3133" w:rsidP="00DE3133">
      <w:pPr>
        <w:pStyle w:val="Equationlegend"/>
        <w:rPr>
          <w:szCs w:val="24"/>
        </w:rPr>
      </w:pPr>
      <w:r>
        <w:rPr>
          <w:szCs w:val="24"/>
        </w:rPr>
        <w:tab/>
      </w:r>
      <m:oMath>
        <m:r>
          <w:rPr>
            <w:rFonts w:ascii="Cambria Math" w:hAnsi="Cambria Math"/>
            <w:szCs w:val="24"/>
          </w:rPr>
          <m:t>β</m:t>
        </m:r>
      </m:oMath>
      <w:r>
        <w:rPr>
          <w:szCs w:val="24"/>
        </w:rPr>
        <w:t xml:space="preserve"> </w:t>
      </w:r>
      <w:r>
        <w:rPr>
          <w:szCs w:val="24"/>
        </w:rPr>
        <w:tab/>
      </w:r>
      <w:r w:rsidR="00E70BFD" w:rsidRPr="007742D2">
        <w:rPr>
          <w:szCs w:val="24"/>
        </w:rPr>
        <w:t>is the phase structure function exponent (given by Kolmogorov turbulence theory)</w:t>
      </w:r>
      <w:r>
        <w:rPr>
          <w:szCs w:val="24"/>
        </w:rPr>
        <w:t>;</w:t>
      </w:r>
    </w:p>
    <w:p w:rsidR="00E70BFD" w:rsidRPr="007742D2" w:rsidRDefault="00DE3133" w:rsidP="00DE3133">
      <w:pPr>
        <w:pStyle w:val="Equationlegend"/>
        <w:rPr>
          <w:szCs w:val="24"/>
        </w:rPr>
      </w:pPr>
      <w:r>
        <w:rPr>
          <w:szCs w:val="24"/>
        </w:rPr>
        <w:tab/>
      </w:r>
      <m:oMath>
        <m:r>
          <w:rPr>
            <w:rFonts w:ascii="Cambria Math" w:hAnsi="Cambria Math"/>
            <w:szCs w:val="24"/>
          </w:rPr>
          <m:t>γ</m:t>
        </m:r>
      </m:oMath>
      <w:r w:rsidR="00E70BFD" w:rsidRPr="007742D2">
        <w:rPr>
          <w:szCs w:val="24"/>
        </w:rPr>
        <w:t xml:space="preserve"> </w:t>
      </w:r>
      <w:r>
        <w:rPr>
          <w:szCs w:val="24"/>
        </w:rPr>
        <w:tab/>
      </w:r>
      <w:r w:rsidR="00E70BFD" w:rsidRPr="007742D2">
        <w:rPr>
          <w:szCs w:val="24"/>
        </w:rPr>
        <w:t>is an exponent equal to 1 for thick screen approximation and 2 for thin screen</w:t>
      </w:r>
      <w:r>
        <w:rPr>
          <w:szCs w:val="24"/>
        </w:rPr>
        <w:t>.</w:t>
      </w:r>
    </w:p>
    <w:p w:rsidR="00E70BFD" w:rsidRPr="007742D2" w:rsidRDefault="00E70BFD" w:rsidP="00492302">
      <w:r w:rsidRPr="007742D2">
        <w:t xml:space="preserve">The linear scaling parameter for the </w:t>
      </w:r>
      <w:proofErr w:type="spellStart"/>
      <w:r w:rsidRPr="007742D2">
        <w:t>rms</w:t>
      </w:r>
      <w:proofErr w:type="spellEnd"/>
      <w:r w:rsidRPr="007742D2">
        <w:t xml:space="preserve"> phase is due to the fact that the atmosphere can be considered as non-dispersive away from </w:t>
      </w:r>
      <w:r>
        <w:t xml:space="preserve">absorption line centres. </w:t>
      </w:r>
      <w:r w:rsidRPr="007742D2">
        <w:t xml:space="preserve">The exponents </w:t>
      </w:r>
      <m:oMath>
        <m:r>
          <w:rPr>
            <w:rFonts w:ascii="Cambria Math" w:hAnsi="Cambria Math"/>
          </w:rPr>
          <m:t>β</m:t>
        </m:r>
      </m:oMath>
      <w:r w:rsidRPr="007742D2">
        <w:t xml:space="preserve"> and </w:t>
      </w:r>
      <m:oMath>
        <m:r>
          <w:rPr>
            <w:rFonts w:ascii="Cambria Math" w:hAnsi="Cambria Math"/>
          </w:rPr>
          <m:t>γ</m:t>
        </m:r>
      </m:oMath>
      <w:r w:rsidRPr="007742D2">
        <w:t xml:space="preserve"> are necessary for scaling of the phase variance term to different baseline separations and elevation angles, respectively, and are dependent on the dimensionality and outer scale of the turbulence process occurring (and hence, the local site climatology). Typical theoretical values for </w:t>
      </w:r>
      <m:oMath>
        <m:r>
          <w:rPr>
            <w:rFonts w:ascii="Cambria Math" w:hAnsi="Cambria Math"/>
          </w:rPr>
          <m:t>β</m:t>
        </m:r>
      </m:oMath>
      <w:r w:rsidRPr="007742D2">
        <w:t xml:space="preserve"> and </w:t>
      </w:r>
      <m:oMath>
        <m:r>
          <w:rPr>
            <w:rFonts w:ascii="Cambria Math" w:hAnsi="Cambria Math"/>
          </w:rPr>
          <m:t>γ</m:t>
        </m:r>
      </m:oMath>
      <w:r w:rsidRPr="007742D2">
        <w:t xml:space="preserve"> are given by Kolmogorov turbulence theory, as described in Table 1, and are recommended for general </w:t>
      </w:r>
      <w:r w:rsidRPr="007742D2">
        <w:lastRenderedPageBreak/>
        <w:t>application of the phase statistics table. For baseline separation distances longer than the scale height of the turbulent layer</w:t>
      </w:r>
      <w:r>
        <w:t xml:space="preserve"> (defined as </w:t>
      </w:r>
      <w:r>
        <w:rPr>
          <w:i/>
        </w:rPr>
        <w:t>H</w:t>
      </w:r>
      <w:r>
        <w:t xml:space="preserve"> in Table 1)</w:t>
      </w:r>
      <w:r w:rsidRPr="007742D2">
        <w:t xml:space="preserve">, </w:t>
      </w:r>
      <m:oMath>
        <m:r>
          <w:rPr>
            <w:rFonts w:ascii="Cambria Math" w:hAnsi="Cambria Math"/>
          </w:rPr>
          <m:t>β</m:t>
        </m:r>
      </m:oMath>
      <w:r w:rsidRPr="007742D2">
        <w:t xml:space="preserve"> approaches a value of unity. In reality,</w:t>
      </w:r>
      <w:r>
        <w:br/>
      </w:r>
      <w:r w:rsidRPr="007742D2">
        <w:t>the true scaling parameters may lie between these extremes and may possess some seasonal variation for a given site. The inclusion of statistical site-dependent scaling parameters will be investigated in future work.</w:t>
      </w:r>
    </w:p>
    <w:p w:rsidR="00E70BFD" w:rsidRPr="007742D2" w:rsidRDefault="00E70BFD" w:rsidP="00573694">
      <w:pPr>
        <w:pStyle w:val="TableNo"/>
      </w:pPr>
      <w:r w:rsidRPr="007742D2">
        <w:t>Table 1</w:t>
      </w:r>
    </w:p>
    <w:p w:rsidR="00E70BFD" w:rsidRPr="007742D2" w:rsidRDefault="00E70BFD" w:rsidP="00573694">
      <w:pPr>
        <w:pStyle w:val="Tabletitle"/>
      </w:pPr>
      <w:r w:rsidRPr="007742D2">
        <w:t xml:space="preserve">Bounded values of </w:t>
      </w:r>
      <w:r>
        <w:sym w:font="Symbol" w:char="F062"/>
      </w:r>
      <w:r>
        <w:t xml:space="preserve"> </w:t>
      </w:r>
      <w:r w:rsidRPr="007742D2">
        <w:t xml:space="preserve">and </w:t>
      </w:r>
      <w:r w:rsidRPr="007742D2">
        <w:sym w:font="Symbol" w:char="F067"/>
      </w:r>
      <w:r w:rsidRPr="007742D2">
        <w:t xml:space="preserve"> for scaling of phase variance for array combining loss</w:t>
      </w:r>
    </w:p>
    <w:tbl>
      <w:tblPr>
        <w:tblStyle w:val="TableGrid"/>
        <w:tblW w:w="0" w:type="auto"/>
        <w:jc w:val="center"/>
        <w:tblLook w:val="04A0" w:firstRow="1" w:lastRow="0" w:firstColumn="1" w:lastColumn="0" w:noHBand="0" w:noVBand="1"/>
      </w:tblPr>
      <w:tblGrid>
        <w:gridCol w:w="1170"/>
        <w:gridCol w:w="2160"/>
        <w:gridCol w:w="2520"/>
      </w:tblGrid>
      <w:tr w:rsidR="00E70BFD" w:rsidRPr="007742D2" w:rsidTr="00EB5770">
        <w:trPr>
          <w:cantSplit/>
          <w:jc w:val="center"/>
        </w:trPr>
        <w:tc>
          <w:tcPr>
            <w:tcW w:w="1170" w:type="dxa"/>
          </w:tcPr>
          <w:p w:rsidR="00E70BFD" w:rsidRPr="007742D2" w:rsidRDefault="00E70BFD" w:rsidP="00EB5770">
            <w:pPr>
              <w:pStyle w:val="Tablehead"/>
            </w:pPr>
            <w:r w:rsidRPr="007742D2">
              <w:t>Parameter</w:t>
            </w:r>
          </w:p>
        </w:tc>
        <w:tc>
          <w:tcPr>
            <w:tcW w:w="2160" w:type="dxa"/>
          </w:tcPr>
          <w:p w:rsidR="00E70BFD" w:rsidRPr="007742D2" w:rsidRDefault="00E70BFD" w:rsidP="00EB5770">
            <w:pPr>
              <w:pStyle w:val="Tablehead"/>
            </w:pPr>
            <w:r w:rsidRPr="007742D2">
              <w:t>Thick Screen Model</w:t>
            </w:r>
            <w:r w:rsidR="00EB5770">
              <w:br/>
            </w:r>
            <w:r w:rsidRPr="007742D2">
              <w:t xml:space="preserve">(3D Turbulence – warm, humid climates) </w:t>
            </w:r>
          </w:p>
        </w:tc>
        <w:tc>
          <w:tcPr>
            <w:tcW w:w="2520" w:type="dxa"/>
          </w:tcPr>
          <w:p w:rsidR="00E70BFD" w:rsidRPr="007742D2" w:rsidRDefault="00E70BFD" w:rsidP="00EB5770">
            <w:pPr>
              <w:pStyle w:val="Tablehead"/>
            </w:pPr>
            <w:r w:rsidRPr="007742D2">
              <w:t>Thin Screen Model</w:t>
            </w:r>
            <w:r w:rsidR="00EB5770">
              <w:br/>
            </w:r>
            <w:r w:rsidRPr="007742D2">
              <w:t>(2D Turbulence – high altitude, dry climates)</w:t>
            </w:r>
          </w:p>
        </w:tc>
      </w:tr>
      <w:tr w:rsidR="00E70BFD" w:rsidRPr="007742D2" w:rsidTr="00EB5770">
        <w:trPr>
          <w:cantSplit/>
          <w:jc w:val="center"/>
        </w:trPr>
        <w:tc>
          <w:tcPr>
            <w:tcW w:w="1170" w:type="dxa"/>
          </w:tcPr>
          <w:p w:rsidR="00E70BFD" w:rsidRPr="007742D2" w:rsidRDefault="00E70BFD" w:rsidP="00EB5770">
            <w:pPr>
              <w:pStyle w:val="Tabletext"/>
              <w:jc w:val="center"/>
            </w:pPr>
            <w:r w:rsidRPr="007742D2">
              <w:sym w:font="Symbol" w:char="F062"/>
            </w:r>
          </w:p>
        </w:tc>
        <w:tc>
          <w:tcPr>
            <w:tcW w:w="2160" w:type="dxa"/>
          </w:tcPr>
          <w:p w:rsidR="00E70BFD" w:rsidRPr="007742D2" w:rsidRDefault="00E70BFD" w:rsidP="00EB5770">
            <w:pPr>
              <w:pStyle w:val="Tabletext"/>
              <w:jc w:val="center"/>
            </w:pPr>
            <w:r w:rsidRPr="007742D2">
              <w:t>5/3 (for</w:t>
            </w:r>
            <w:r w:rsidRPr="00EB5770">
              <w:rPr>
                <w:i/>
                <w:iCs/>
              </w:rPr>
              <w:t xml:space="preserve"> d</w:t>
            </w:r>
            <w:r w:rsidRPr="007742D2">
              <w:t xml:space="preserve"> &lt; </w:t>
            </w:r>
            <w:r w:rsidRPr="00EB5770">
              <w:rPr>
                <w:i/>
                <w:iCs/>
              </w:rPr>
              <w:t>H</w:t>
            </w:r>
            <w:r w:rsidRPr="007742D2">
              <w:t>)</w:t>
            </w:r>
          </w:p>
        </w:tc>
        <w:tc>
          <w:tcPr>
            <w:tcW w:w="2520" w:type="dxa"/>
          </w:tcPr>
          <w:p w:rsidR="00E70BFD" w:rsidRPr="007742D2" w:rsidRDefault="00E70BFD" w:rsidP="00EB5770">
            <w:pPr>
              <w:pStyle w:val="Tabletext"/>
              <w:jc w:val="center"/>
            </w:pPr>
            <w:r w:rsidRPr="007742D2">
              <w:t xml:space="preserve">2/3 (for </w:t>
            </w:r>
            <w:r w:rsidRPr="00EB5770">
              <w:rPr>
                <w:i/>
                <w:iCs/>
              </w:rPr>
              <w:t>d</w:t>
            </w:r>
            <w:r w:rsidRPr="007742D2">
              <w:t xml:space="preserve"> </w:t>
            </w:r>
            <w:r>
              <w:t xml:space="preserve"> &gt;</w:t>
            </w:r>
            <w:r w:rsidRPr="00EB5770">
              <w:rPr>
                <w:i/>
                <w:iCs/>
              </w:rPr>
              <w:t>H</w:t>
            </w:r>
            <w:r w:rsidRPr="007742D2">
              <w:t>)</w:t>
            </w:r>
          </w:p>
        </w:tc>
      </w:tr>
      <w:tr w:rsidR="00E70BFD" w:rsidRPr="007742D2" w:rsidTr="00EB5770">
        <w:trPr>
          <w:cantSplit/>
          <w:jc w:val="center"/>
        </w:trPr>
        <w:tc>
          <w:tcPr>
            <w:tcW w:w="1170" w:type="dxa"/>
          </w:tcPr>
          <w:p w:rsidR="00E70BFD" w:rsidRPr="007742D2" w:rsidRDefault="00E70BFD" w:rsidP="00EB5770">
            <w:pPr>
              <w:pStyle w:val="Tabletext"/>
              <w:jc w:val="center"/>
            </w:pPr>
            <w:r w:rsidRPr="007742D2">
              <w:sym w:font="Symbol" w:char="F067"/>
            </w:r>
          </w:p>
        </w:tc>
        <w:tc>
          <w:tcPr>
            <w:tcW w:w="2160" w:type="dxa"/>
          </w:tcPr>
          <w:p w:rsidR="00E70BFD" w:rsidRPr="007742D2" w:rsidRDefault="00E70BFD" w:rsidP="00EB5770">
            <w:pPr>
              <w:pStyle w:val="Tabletext"/>
              <w:jc w:val="center"/>
            </w:pPr>
            <w:r w:rsidRPr="007742D2">
              <w:t>1</w:t>
            </w:r>
          </w:p>
        </w:tc>
        <w:tc>
          <w:tcPr>
            <w:tcW w:w="2520" w:type="dxa"/>
          </w:tcPr>
          <w:p w:rsidR="00E70BFD" w:rsidRPr="007742D2" w:rsidRDefault="00E70BFD" w:rsidP="00EB5770">
            <w:pPr>
              <w:pStyle w:val="Tabletext"/>
              <w:jc w:val="center"/>
            </w:pPr>
            <w:r w:rsidRPr="007742D2">
              <w:t>2</w:t>
            </w:r>
          </w:p>
        </w:tc>
      </w:tr>
    </w:tbl>
    <w:p w:rsidR="00EB5770" w:rsidRPr="00EB5770" w:rsidRDefault="00EB5770" w:rsidP="00EB5770">
      <w:pPr>
        <w:pStyle w:val="Tablefin"/>
      </w:pPr>
      <w:bookmarkStart w:id="14" w:name="_Toc352245294"/>
    </w:p>
    <w:p w:rsidR="00E70BFD" w:rsidRPr="006829E1" w:rsidRDefault="00E70BFD" w:rsidP="006829E1">
      <w:pPr>
        <w:pStyle w:val="Heading1"/>
      </w:pPr>
      <w:bookmarkStart w:id="15" w:name="_Toc478543529"/>
      <w:r w:rsidRPr="006829E1">
        <w:t>3</w:t>
      </w:r>
      <w:r w:rsidRPr="006829E1">
        <w:tab/>
        <w:t>Validation of assumptions</w:t>
      </w:r>
      <w:bookmarkEnd w:id="14"/>
      <w:bookmarkEnd w:id="15"/>
    </w:p>
    <w:p w:rsidR="00E70BFD" w:rsidRPr="007742D2" w:rsidRDefault="00E70BFD" w:rsidP="00EB5770">
      <w:r w:rsidRPr="007742D2">
        <w:t xml:space="preserve">For application of interferometric-measured phase statistics </w:t>
      </w:r>
      <w:r w:rsidRPr="000552F5">
        <w:rPr>
          <w:color w:val="000000" w:themeColor="text1"/>
        </w:rPr>
        <w:t>converted</w:t>
      </w:r>
      <w:r w:rsidRPr="00504A50">
        <w:rPr>
          <w:color w:val="000000" w:themeColor="text1"/>
        </w:rPr>
        <w:t xml:space="preserve"> </w:t>
      </w:r>
      <w:r w:rsidRPr="007742D2">
        <w:t xml:space="preserve">to array loss prediction via the </w:t>
      </w:r>
      <w:proofErr w:type="spellStart"/>
      <w:r w:rsidRPr="007742D2">
        <w:t>Ruze</w:t>
      </w:r>
      <w:proofErr w:type="spellEnd"/>
      <w:r w:rsidRPr="007742D2">
        <w:t xml:space="preserve"> equation, it must be assumed that the phase statistics can be described by a zero-mean Gaussian process. Validation of this assumption is shown in the probability density function (PDF) of measured site test interferometer data at the Venus site located in Goldstone, CA, as shown in Figure 2. For various time scales, it is evident that this assumption holds. Slight deviations of this assumption at the shortest time scales is due to the reduced number of samples available.</w:t>
      </w:r>
    </w:p>
    <w:p w:rsidR="00E70BFD" w:rsidRPr="008C5ADE" w:rsidRDefault="00E70BFD" w:rsidP="00573694">
      <w:pPr>
        <w:pStyle w:val="FigureNo"/>
      </w:pPr>
      <w:r w:rsidRPr="008C5ADE">
        <w:t>Figure 2</w:t>
      </w:r>
    </w:p>
    <w:p w:rsidR="00E70BFD" w:rsidRPr="007742D2" w:rsidRDefault="00E70BFD" w:rsidP="000B6C9D">
      <w:pPr>
        <w:pStyle w:val="Figuretitle"/>
      </w:pPr>
      <w:r w:rsidRPr="007742D2">
        <w:t>PDF's of phase fluctuations for 1 hr (top left, 1), 30 mins (top right, 2),</w:t>
      </w:r>
      <w:r>
        <w:t xml:space="preserve"> and 10 mins (bottom centre, 6)</w:t>
      </w:r>
      <w:r>
        <w:br/>
      </w:r>
      <w:r w:rsidRPr="007742D2">
        <w:t xml:space="preserve">at (a) 02:00 - 03:00 GMT and </w:t>
      </w:r>
      <w:r>
        <w:t>(b) 12:00 - 13:00 GMT on 9/1/07</w:t>
      </w:r>
    </w:p>
    <w:p w:rsidR="00E70BFD" w:rsidRPr="007742D2" w:rsidRDefault="00E70BFD" w:rsidP="00EB5770">
      <w:pPr>
        <w:pStyle w:val="Figure"/>
        <w:spacing w:after="0"/>
      </w:pPr>
      <w:r w:rsidRPr="007742D2">
        <w:rPr>
          <w:noProof/>
          <w:lang w:eastAsia="zh-CN"/>
        </w:rPr>
        <w:drawing>
          <wp:inline distT="0" distB="0" distL="0" distR="0" wp14:anchorId="752B41AF" wp14:editId="1783D821">
            <wp:extent cx="3014297" cy="310896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3014297" cy="3108960"/>
                    </a:xfrm>
                    <a:prstGeom prst="rect">
                      <a:avLst/>
                    </a:prstGeom>
                    <a:noFill/>
                    <a:ln w="9525">
                      <a:noFill/>
                      <a:miter lim="800000"/>
                      <a:headEnd/>
                      <a:tailEnd/>
                    </a:ln>
                  </pic:spPr>
                </pic:pic>
              </a:graphicData>
            </a:graphic>
          </wp:inline>
        </w:drawing>
      </w:r>
      <w:r w:rsidRPr="007742D2">
        <w:rPr>
          <w:noProof/>
          <w:lang w:eastAsia="zh-CN"/>
        </w:rPr>
        <w:drawing>
          <wp:inline distT="0" distB="0" distL="0" distR="0" wp14:anchorId="38071FB6" wp14:editId="04586C07">
            <wp:extent cx="2980857" cy="3108960"/>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2980857" cy="3108960"/>
                    </a:xfrm>
                    <a:prstGeom prst="rect">
                      <a:avLst/>
                    </a:prstGeom>
                    <a:noFill/>
                    <a:ln w="9525">
                      <a:noFill/>
                      <a:miter lim="800000"/>
                      <a:headEnd/>
                      <a:tailEnd/>
                    </a:ln>
                  </pic:spPr>
                </pic:pic>
              </a:graphicData>
            </a:graphic>
          </wp:inline>
        </w:drawing>
      </w:r>
    </w:p>
    <w:p w:rsidR="00E70BFD" w:rsidRPr="007742D2" w:rsidRDefault="00E70BFD" w:rsidP="00F21B10">
      <w:pPr>
        <w:pStyle w:val="Figurelegend"/>
        <w:keepNext w:val="0"/>
        <w:keepLines w:val="0"/>
        <w:tabs>
          <w:tab w:val="clear" w:pos="1134"/>
          <w:tab w:val="clear" w:pos="1871"/>
          <w:tab w:val="clear" w:pos="2268"/>
          <w:tab w:val="center" w:pos="2552"/>
          <w:tab w:val="center" w:pos="7088"/>
        </w:tabs>
        <w:spacing w:after="240"/>
      </w:pPr>
      <w:r w:rsidRPr="007742D2">
        <w:tab/>
        <w:t>(a)</w:t>
      </w:r>
      <w:r w:rsidRPr="007742D2">
        <w:tab/>
        <w:t>(b)</w:t>
      </w:r>
    </w:p>
    <w:p w:rsidR="00E70BFD" w:rsidRPr="007742D2" w:rsidRDefault="00E70BFD" w:rsidP="006829E1">
      <w:r w:rsidRPr="007742D2">
        <w:lastRenderedPageBreak/>
        <w:t xml:space="preserve">The plot of Figure 3 shows the comparison between the predicted array loss for a given </w:t>
      </w:r>
      <w:proofErr w:type="spellStart"/>
      <w:r w:rsidRPr="007742D2">
        <w:t>rms</w:t>
      </w:r>
      <w:proofErr w:type="spellEnd"/>
      <w:r w:rsidRPr="007742D2">
        <w:t xml:space="preserve"> phase and the measured time-averaged array loss for the two-element array at Goldstone, CA, for an entire year. From the plot, we observe excellent agreement between the two curves, indicating the correctness of the theoretical derivation for array loss in the presence of atmospheric-induced phase fluctuations and the justification to utilize differential phase statistics to predict overall array performance for an arbitrary geometry. Deviations from the theoretical curve are likely due to the lack of resolution to effectively determine a normal distribution over the particular time scale.</w:t>
      </w:r>
    </w:p>
    <w:p w:rsidR="00E70BFD" w:rsidRPr="008C5ADE" w:rsidRDefault="00E70BFD" w:rsidP="00573694">
      <w:pPr>
        <w:pStyle w:val="FigureNo"/>
      </w:pPr>
      <w:r w:rsidRPr="008C5ADE">
        <w:t>Figure 3</w:t>
      </w:r>
    </w:p>
    <w:p w:rsidR="00E70BFD" w:rsidRPr="007742D2" w:rsidRDefault="00E70BFD" w:rsidP="000B6C9D">
      <w:pPr>
        <w:pStyle w:val="Figuretitle"/>
      </w:pPr>
      <w:r w:rsidRPr="007742D2">
        <w:t xml:space="preserve">Measured vs. theoretical array loss for varying </w:t>
      </w:r>
      <w:proofErr w:type="spellStart"/>
      <w:r w:rsidRPr="007742D2">
        <w:t>rms</w:t>
      </w:r>
      <w:proofErr w:type="spellEnd"/>
      <w:r w:rsidRPr="007742D2">
        <w:t xml:space="preserve"> phase as recorded from May 2007-May 2008 </w:t>
      </w:r>
      <w:r w:rsidRPr="007742D2">
        <w:br/>
        <w:t>at Goldstone, CA.</w:t>
      </w:r>
    </w:p>
    <w:p w:rsidR="00E70BFD" w:rsidRPr="007742D2" w:rsidRDefault="00E70BFD" w:rsidP="006829E1">
      <w:pPr>
        <w:pStyle w:val="Figure"/>
      </w:pPr>
      <w:r w:rsidRPr="00FC1379">
        <w:rPr>
          <w:noProof/>
          <w:lang w:eastAsia="zh-CN"/>
        </w:rPr>
        <w:drawing>
          <wp:inline distT="0" distB="0" distL="0" distR="0" wp14:anchorId="4F34F307" wp14:editId="3D5C2D02">
            <wp:extent cx="3709701" cy="3143250"/>
            <wp:effectExtent l="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11271" t="2749" r="13960"/>
                    <a:stretch>
                      <a:fillRect/>
                    </a:stretch>
                  </pic:blipFill>
                  <pic:spPr bwMode="auto">
                    <a:xfrm>
                      <a:off x="0" y="0"/>
                      <a:ext cx="3729348" cy="3159897"/>
                    </a:xfrm>
                    <a:prstGeom prst="rect">
                      <a:avLst/>
                    </a:prstGeom>
                    <a:noFill/>
                  </pic:spPr>
                </pic:pic>
              </a:graphicData>
            </a:graphic>
          </wp:inline>
        </w:drawing>
      </w:r>
    </w:p>
    <w:p w:rsidR="00E70BFD" w:rsidRPr="006829E1" w:rsidRDefault="00E70BFD" w:rsidP="006829E1">
      <w:pPr>
        <w:pStyle w:val="Heading1"/>
      </w:pPr>
      <w:bookmarkStart w:id="16" w:name="_Toc352245295"/>
      <w:bookmarkStart w:id="17" w:name="_Toc478543530"/>
      <w:r w:rsidRPr="006829E1">
        <w:t>4</w:t>
      </w:r>
      <w:r w:rsidRPr="006829E1">
        <w:tab/>
        <w:t>Experimental setup and data processing procedure</w:t>
      </w:r>
      <w:bookmarkEnd w:id="16"/>
      <w:bookmarkEnd w:id="17"/>
    </w:p>
    <w:p w:rsidR="00E70BFD" w:rsidRPr="007742D2" w:rsidRDefault="00E70BFD" w:rsidP="006829E1">
      <w:r w:rsidRPr="007742D2">
        <w:t xml:space="preserve">A typical method to measure path length turbulence statistics is through the use of a site test interferometer (STI). An example setup is the STI located at the Venus Site (35.248 </w:t>
      </w:r>
      <w:r w:rsidRPr="007742D2">
        <w:sym w:font="Symbol" w:char="F0B0"/>
      </w:r>
      <w:r>
        <w:t>N, 116.791 </w:t>
      </w:r>
      <w:r w:rsidRPr="007742D2">
        <w:sym w:font="Symbol" w:char="F0B0"/>
      </w:r>
      <w:r w:rsidRPr="007742D2">
        <w:t>W) of the Goldstone Deep Space Network Tracking Comp</w:t>
      </w:r>
      <w:r>
        <w:t>lex which is comprised of a two</w:t>
      </w:r>
      <w:r>
        <w:noBreakHyphen/>
      </w:r>
      <w:r w:rsidRPr="007742D2">
        <w:t xml:space="preserve">element beacon receiver separated on a 256-m E-W baseline and is shown in the photographs of Figure 4. The system utilizes two 1.2-m offset-fed reflector antennas to receive an unmodulated beacon signal broadcast from the geostationary satellite, </w:t>
      </w:r>
      <w:proofErr w:type="spellStart"/>
      <w:r w:rsidRPr="007742D2">
        <w:t>Anik</w:t>
      </w:r>
      <w:proofErr w:type="spellEnd"/>
      <w:r w:rsidRPr="007742D2">
        <w:t xml:space="preserve"> F2</w:t>
      </w:r>
      <w:r>
        <w:rPr>
          <w:color w:val="FF0000"/>
        </w:rPr>
        <w:t xml:space="preserve"> </w:t>
      </w:r>
      <w:r w:rsidRPr="000552F5">
        <w:rPr>
          <w:color w:val="000000" w:themeColor="text1"/>
        </w:rPr>
        <w:t>(longitude 248.9 E),</w:t>
      </w:r>
      <w:r w:rsidRPr="00504A50">
        <w:rPr>
          <w:color w:val="000000" w:themeColor="text1"/>
        </w:rPr>
        <w:t xml:space="preserve"> </w:t>
      </w:r>
      <w:r>
        <w:t>at 20.2 </w:t>
      </w:r>
      <w:r w:rsidRPr="007742D2">
        <w:t xml:space="preserve">GHz. The receivers perform time-synchronous Fast Fourier Transforms to measure the in-phase and quadrature (I/Q) components of the receive signal every second. From this information, the differential phase, between the two STI elements is derived in post-processing. The noise floor of this system was tested via a zero-baseline test and resulted in a phase (path length) </w:t>
      </w:r>
      <w:proofErr w:type="spellStart"/>
      <w:r w:rsidRPr="007742D2">
        <w:t>rms</w:t>
      </w:r>
      <w:proofErr w:type="spellEnd"/>
      <w:r w:rsidRPr="007742D2">
        <w:t xml:space="preserve"> noise floor of 1.8</w:t>
      </w:r>
      <w:r w:rsidRPr="007742D2">
        <w:sym w:font="Symbol" w:char="F0B0"/>
      </w:r>
      <w:r w:rsidRPr="007742D2">
        <w:t xml:space="preserve"> (</w:t>
      </w:r>
      <w:r>
        <w:t>0.074</w:t>
      </w:r>
      <w:r w:rsidRPr="007742D2">
        <w:t xml:space="preserve">2 </w:t>
      </w:r>
      <w:r>
        <w:t>m</w:t>
      </w:r>
      <w:r w:rsidRPr="007742D2">
        <w:t>m</w:t>
      </w:r>
      <w:r>
        <w:t xml:space="preserve"> </w:t>
      </w:r>
      <w:r w:rsidRPr="007742D2">
        <w:t>). A detailed description of the STI hardware and receiver operations can be found in [6].</w:t>
      </w:r>
    </w:p>
    <w:p w:rsidR="00E70BFD" w:rsidRPr="007742D2" w:rsidRDefault="00E70BFD" w:rsidP="00573694">
      <w:pPr>
        <w:pStyle w:val="FigureNo"/>
      </w:pPr>
      <w:r w:rsidRPr="007742D2">
        <w:lastRenderedPageBreak/>
        <w:t>FIGURE 4</w:t>
      </w:r>
    </w:p>
    <w:p w:rsidR="00E70BFD" w:rsidRPr="007742D2" w:rsidRDefault="00E70BFD" w:rsidP="000B6C9D">
      <w:pPr>
        <w:pStyle w:val="Figuretitle"/>
      </w:pPr>
      <w:r w:rsidRPr="007742D2">
        <w:t>Goldstone Venus Site STI layout (left) and close-up of individual receiver element of the STI (right)</w:t>
      </w:r>
    </w:p>
    <w:p w:rsidR="00E70BFD" w:rsidRPr="007742D2" w:rsidRDefault="00E70BFD" w:rsidP="002B0C28">
      <w:pPr>
        <w:pStyle w:val="Figure"/>
      </w:pPr>
      <w:r w:rsidRPr="007742D2">
        <w:rPr>
          <w:noProof/>
          <w:lang w:eastAsia="zh-CN"/>
        </w:rPr>
        <w:drawing>
          <wp:inline distT="0" distB="0" distL="0" distR="0" wp14:anchorId="14377AEC" wp14:editId="2F73775E">
            <wp:extent cx="3009900" cy="174281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8" b="4580"/>
                    <a:stretch/>
                  </pic:blipFill>
                  <pic:spPr bwMode="auto">
                    <a:xfrm>
                      <a:off x="0" y="0"/>
                      <a:ext cx="3011375" cy="17436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7742D2">
        <w:t xml:space="preserve"> </w:t>
      </w:r>
      <w:r w:rsidRPr="007742D2">
        <w:rPr>
          <w:noProof/>
          <w:lang w:eastAsia="zh-CN"/>
        </w:rPr>
        <w:drawing>
          <wp:inline distT="0" distB="0" distL="0" distR="0" wp14:anchorId="7BB71D7F" wp14:editId="3AF394DC">
            <wp:extent cx="2647950" cy="1798795"/>
            <wp:effectExtent l="19050" t="0" r="0" b="0"/>
            <wp:docPr id="54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 name="Picture 5"/>
                    <pic:cNvPicPr>
                      <a:picLocks noChangeAspect="1" noChangeArrowheads="1"/>
                    </pic:cNvPicPr>
                  </pic:nvPicPr>
                  <pic:blipFill>
                    <a:blip r:embed="rId14" cstate="print"/>
                    <a:srcRect/>
                    <a:stretch>
                      <a:fillRect/>
                    </a:stretch>
                  </pic:blipFill>
                  <pic:spPr bwMode="auto">
                    <a:xfrm>
                      <a:off x="0" y="0"/>
                      <a:ext cx="2645892" cy="1797397"/>
                    </a:xfrm>
                    <a:prstGeom prst="rect">
                      <a:avLst/>
                    </a:prstGeom>
                    <a:noFill/>
                    <a:ln w="9525">
                      <a:noFill/>
                      <a:miter lim="800000"/>
                      <a:headEnd/>
                      <a:tailEnd/>
                    </a:ln>
                    <a:effectLst/>
                  </pic:spPr>
                </pic:pic>
              </a:graphicData>
            </a:graphic>
          </wp:inline>
        </w:drawing>
      </w:r>
    </w:p>
    <w:p w:rsidR="00E70BFD" w:rsidRPr="007742D2" w:rsidRDefault="00E70BFD" w:rsidP="002B0C28">
      <w:r w:rsidRPr="007742D2">
        <w:t>Fundamentally, the measurement of differential phase as recorded by the STI includes the relative motion of the satellite, as well as slow-varying system effects (i.e., thermal variations, instrument drift), which are removed via a second order polynomial fit over 10-min blocks on the unwrapped phase. The calibration process has been validated and shown to have negligible impact in the processed data [7]. Once these effects are removed, only the dynamic variations due solely to the atmosphere remain. Over the 10-min blocks, the standard deviation of the phase variations is calculated. This process is shown pictorially in Figure 5 and described completely in [7-8].</w:t>
      </w:r>
    </w:p>
    <w:p w:rsidR="00E70BFD" w:rsidRPr="007742D2" w:rsidRDefault="00E70BFD" w:rsidP="00573694">
      <w:pPr>
        <w:pStyle w:val="FigureNo"/>
      </w:pPr>
      <w:r w:rsidRPr="007742D2">
        <w:t>Figure 5</w:t>
      </w:r>
    </w:p>
    <w:p w:rsidR="00E70BFD" w:rsidRPr="007742D2" w:rsidRDefault="00E70BFD" w:rsidP="000B6C9D">
      <w:pPr>
        <w:pStyle w:val="Figuretitle"/>
      </w:pPr>
      <w:r w:rsidRPr="007742D2">
        <w:t>Data calibration procedure</w:t>
      </w:r>
    </w:p>
    <w:p w:rsidR="00E70BFD" w:rsidRPr="007742D2" w:rsidRDefault="00E70BFD" w:rsidP="002B0C28">
      <w:pPr>
        <w:pStyle w:val="Figure"/>
      </w:pPr>
      <w:r w:rsidRPr="007742D2">
        <w:rPr>
          <w:noProof/>
          <w:lang w:eastAsia="zh-CN"/>
        </w:rPr>
        <w:drawing>
          <wp:inline distT="0" distB="0" distL="0" distR="0" wp14:anchorId="2DA2A25A" wp14:editId="533B15C9">
            <wp:extent cx="4725035" cy="1749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5035" cy="1749425"/>
                    </a:xfrm>
                    <a:prstGeom prst="rect">
                      <a:avLst/>
                    </a:prstGeom>
                    <a:noFill/>
                  </pic:spPr>
                </pic:pic>
              </a:graphicData>
            </a:graphic>
          </wp:inline>
        </w:drawing>
      </w:r>
    </w:p>
    <w:p w:rsidR="00E70BFD" w:rsidRPr="007742D2" w:rsidRDefault="00E70BFD" w:rsidP="002B0C28">
      <w:pPr>
        <w:pStyle w:val="Figure"/>
      </w:pPr>
      <w:r w:rsidRPr="007742D2">
        <w:rPr>
          <w:noProof/>
          <w:lang w:eastAsia="zh-CN"/>
        </w:rPr>
        <w:drawing>
          <wp:inline distT="0" distB="0" distL="0" distR="0" wp14:anchorId="1CBF979D" wp14:editId="7D282278">
            <wp:extent cx="4848225" cy="1762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863291" cy="176760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E70BFD" w:rsidRPr="007742D2" w:rsidRDefault="00E70BFD" w:rsidP="002B0C28">
      <w:pPr>
        <w:pStyle w:val="Figure"/>
      </w:pPr>
      <w:r w:rsidRPr="007742D2">
        <w:rPr>
          <w:noProof/>
          <w:lang w:eastAsia="zh-CN"/>
        </w:rPr>
        <w:lastRenderedPageBreak/>
        <w:drawing>
          <wp:inline distT="0" distB="0" distL="0" distR="0" wp14:anchorId="07BF5DE4" wp14:editId="5381B6E3">
            <wp:extent cx="6111920" cy="25905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9768" cy="2589610"/>
                    </a:xfrm>
                    <a:prstGeom prst="rect">
                      <a:avLst/>
                    </a:prstGeom>
                    <a:noFill/>
                  </pic:spPr>
                </pic:pic>
              </a:graphicData>
            </a:graphic>
          </wp:inline>
        </w:drawing>
      </w:r>
    </w:p>
    <w:p w:rsidR="00E70BFD" w:rsidRPr="007742D2" w:rsidRDefault="00E70BFD" w:rsidP="002B0C28">
      <w:r w:rsidRPr="007742D2">
        <w:t>Data is stored locally on a central site computer and bad data blocks are removed in post-processing utilizing the following conditions. For a given 10-min block of data,</w:t>
      </w:r>
    </w:p>
    <w:p w:rsidR="00E70BFD" w:rsidRPr="002B0C28" w:rsidRDefault="00E70BFD" w:rsidP="002B0C28">
      <w:pPr>
        <w:pStyle w:val="enumlev1"/>
      </w:pPr>
      <w:r w:rsidRPr="002B0C28">
        <w:t>–</w:t>
      </w:r>
      <w:r w:rsidRPr="002B0C28">
        <w:tab/>
        <w:t xml:space="preserve">Data is flagged and removed if the </w:t>
      </w:r>
      <w:proofErr w:type="spellStart"/>
      <w:r w:rsidRPr="002B0C28">
        <w:t>rms</w:t>
      </w:r>
      <w:proofErr w:type="spellEnd"/>
      <w:r w:rsidRPr="002B0C28">
        <w:t xml:space="preserve"> value over that block is less than or equal to the measured zero-baseline phase </w:t>
      </w:r>
      <w:proofErr w:type="spellStart"/>
      <w:r w:rsidRPr="002B0C28">
        <w:t>rms</w:t>
      </w:r>
      <w:proofErr w:type="spellEnd"/>
      <w:r w:rsidRPr="002B0C28">
        <w:t xml:space="preserve"> noise floor.</w:t>
      </w:r>
    </w:p>
    <w:p w:rsidR="00E70BFD" w:rsidRPr="002B0C28" w:rsidRDefault="00E70BFD" w:rsidP="002B0C28">
      <w:pPr>
        <w:pStyle w:val="enumlev1"/>
      </w:pPr>
      <w:r w:rsidRPr="002B0C28">
        <w:t>–</w:t>
      </w:r>
      <w:r w:rsidRPr="002B0C28">
        <w:tab/>
        <w:t xml:space="preserve">Phase </w:t>
      </w:r>
      <w:proofErr w:type="spellStart"/>
      <w:r w:rsidRPr="002B0C28">
        <w:t>rms</w:t>
      </w:r>
      <w:proofErr w:type="spellEnd"/>
      <w:r w:rsidRPr="002B0C28">
        <w:t xml:space="preserve"> values greater than 180</w:t>
      </w:r>
      <w:r w:rsidRPr="002B0C28">
        <w:sym w:font="Symbol" w:char="F0B0"/>
      </w:r>
      <w:r w:rsidRPr="002B0C28">
        <w:t xml:space="preserve"> are removed</w:t>
      </w:r>
    </w:p>
    <w:p w:rsidR="00E70BFD" w:rsidRPr="002B0C28" w:rsidRDefault="00E70BFD" w:rsidP="002B0C28">
      <w:pPr>
        <w:pStyle w:val="enumlev1"/>
      </w:pPr>
      <w:r w:rsidRPr="002B0C28">
        <w:t>–</w:t>
      </w:r>
      <w:r w:rsidRPr="002B0C28">
        <w:tab/>
        <w:t>During routine maintenance activities, data blocks are flagged and removed.</w:t>
      </w:r>
    </w:p>
    <w:p w:rsidR="00E70BFD" w:rsidRPr="002B0C28" w:rsidRDefault="00E70BFD" w:rsidP="002B0C28">
      <w:pPr>
        <w:pStyle w:val="enumlev1"/>
      </w:pPr>
      <w:r w:rsidRPr="002B0C28">
        <w:t>–</w:t>
      </w:r>
      <w:r w:rsidRPr="002B0C28">
        <w:tab/>
        <w:t>Blocks in which the individual receiver FFT bins differed from each other were recorded by the receivers are flagged and removed.</w:t>
      </w:r>
    </w:p>
    <w:p w:rsidR="00E70BFD" w:rsidRPr="002B0C28" w:rsidRDefault="00E70BFD" w:rsidP="002B0C28">
      <w:pPr>
        <w:pStyle w:val="Heading1"/>
      </w:pPr>
      <w:bookmarkStart w:id="18" w:name="_Toc352245296"/>
      <w:bookmarkStart w:id="19" w:name="_Toc478543531"/>
      <w:r w:rsidRPr="002B0C28">
        <w:t>5</w:t>
      </w:r>
      <w:r w:rsidRPr="002B0C28">
        <w:tab/>
        <w:t>Validation of measurements with collocated water vapour radiometers</w:t>
      </w:r>
      <w:bookmarkEnd w:id="18"/>
      <w:bookmarkEnd w:id="19"/>
    </w:p>
    <w:p w:rsidR="00E70BFD" w:rsidRDefault="00E70BFD" w:rsidP="002B0C28">
      <w:r>
        <w:t xml:space="preserve">In August 2008, two water vapour radiometers (WVRs) were collocated with the two-element site test interferometer (STI) located at the Venus site of the Goldstone Deep Space Communications Complex (GDSCC) described in Section 4. </w:t>
      </w:r>
      <w:r w:rsidRPr="00B23D2B">
        <w:t xml:space="preserve">The differenced path delay between the two WVR units forms an additional data type that can be used to validate the STI phase fluctuations and confirm the atmospheric nature of these fluctuations. </w:t>
      </w:r>
      <w:r>
        <w:t>T</w:t>
      </w:r>
      <w:r w:rsidRPr="00B23D2B">
        <w:t>he use of two WVRs allows estimation of their differenced path delay, which produces a data type that could be correlated directly against the STI</w:t>
      </w:r>
      <w:r>
        <w:t xml:space="preserve"> phase difference fluctuations</w:t>
      </w:r>
      <w:r w:rsidRPr="00B23D2B">
        <w:t>.</w:t>
      </w:r>
      <w:r>
        <w:t xml:space="preserve"> The details of this experiment are more fully described in [9]. </w:t>
      </w:r>
      <w:r>
        <w:br/>
        <w:t xml:space="preserve">A comparison of the </w:t>
      </w:r>
      <w:proofErr w:type="spellStart"/>
      <w:r>
        <w:t>rms</w:t>
      </w:r>
      <w:proofErr w:type="spellEnd"/>
      <w:r>
        <w:t xml:space="preserve"> temporal delay (which is directly related to the </w:t>
      </w:r>
      <w:proofErr w:type="spellStart"/>
      <w:r>
        <w:t>rms</w:t>
      </w:r>
      <w:proofErr w:type="spellEnd"/>
      <w:r>
        <w:t xml:space="preserve"> path delay) for the differenced WVRs and the STI on the same baseline for the month of August 2008 is shown in Figure 6 and a zoomed-in view for a one week period in August 2008 is shown in Figure 7.</w:t>
      </w:r>
    </w:p>
    <w:p w:rsidR="00E70BFD" w:rsidRPr="008C5ADE" w:rsidRDefault="00E70BFD" w:rsidP="00573694">
      <w:pPr>
        <w:pStyle w:val="FigureNo"/>
      </w:pPr>
      <w:r w:rsidRPr="008C5ADE">
        <w:lastRenderedPageBreak/>
        <w:t>Figure 6</w:t>
      </w:r>
    </w:p>
    <w:p w:rsidR="00E70BFD" w:rsidRPr="007742D2" w:rsidRDefault="00E70BFD" w:rsidP="000B6C9D">
      <w:pPr>
        <w:pStyle w:val="Figuretitle"/>
      </w:pPr>
      <w:r w:rsidRPr="00B23D2B">
        <w:rPr>
          <w:lang w:val="en-US"/>
        </w:rPr>
        <w:t>Goldstone Venus STI and DWVR zenith differenced path delay scatter (standard deviation in 1200-s blocks) for August 2008 (t</w:t>
      </w:r>
      <w:r>
        <w:rPr>
          <w:lang w:val="en-US"/>
        </w:rPr>
        <w:t>hermal noise estimates removed)</w:t>
      </w:r>
    </w:p>
    <w:p w:rsidR="00E70BFD" w:rsidRDefault="00E70BFD" w:rsidP="002B0C28">
      <w:pPr>
        <w:pStyle w:val="Figure"/>
      </w:pPr>
      <w:r w:rsidRPr="00B23D2B">
        <w:rPr>
          <w:noProof/>
          <w:lang w:eastAsia="zh-CN"/>
        </w:rPr>
        <w:drawing>
          <wp:inline distT="0" distB="0" distL="0" distR="0" wp14:anchorId="3252121C" wp14:editId="118D8861">
            <wp:extent cx="4572000" cy="32401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240123"/>
                    </a:xfrm>
                    <a:prstGeom prst="rect">
                      <a:avLst/>
                    </a:prstGeom>
                    <a:noFill/>
                    <a:ln>
                      <a:noFill/>
                    </a:ln>
                  </pic:spPr>
                </pic:pic>
              </a:graphicData>
            </a:graphic>
          </wp:inline>
        </w:drawing>
      </w:r>
    </w:p>
    <w:p w:rsidR="00E70BFD" w:rsidRPr="007742D2" w:rsidRDefault="00E70BFD" w:rsidP="00573694">
      <w:pPr>
        <w:pStyle w:val="FigureNo"/>
      </w:pPr>
      <w:r>
        <w:t>Figure 7</w:t>
      </w:r>
    </w:p>
    <w:p w:rsidR="00E70BFD" w:rsidRPr="00B23D2B" w:rsidRDefault="00E70BFD" w:rsidP="000B6C9D">
      <w:pPr>
        <w:pStyle w:val="Figuretitle"/>
      </w:pPr>
      <w:r w:rsidRPr="00B23D2B">
        <w:rPr>
          <w:lang w:val="en-US"/>
        </w:rPr>
        <w:t>Expanded view of STI and DWVR zenith differenced path delay standard deviation (in 1200-s blocks) time series for the selected several-d</w:t>
      </w:r>
      <w:r>
        <w:rPr>
          <w:lang w:val="en-US"/>
        </w:rPr>
        <w:t>ay period of August 17–25, 2008</w:t>
      </w:r>
    </w:p>
    <w:p w:rsidR="00E70BFD" w:rsidRDefault="00E70BFD" w:rsidP="002B0C28">
      <w:pPr>
        <w:pStyle w:val="Figure"/>
      </w:pPr>
      <w:r w:rsidRPr="00B23D2B">
        <w:rPr>
          <w:noProof/>
          <w:lang w:eastAsia="zh-CN"/>
        </w:rPr>
        <w:drawing>
          <wp:inline distT="0" distB="0" distL="0" distR="0" wp14:anchorId="34D22F95" wp14:editId="7E78453C">
            <wp:extent cx="4572000" cy="32454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245409"/>
                    </a:xfrm>
                    <a:prstGeom prst="rect">
                      <a:avLst/>
                    </a:prstGeom>
                    <a:noFill/>
                    <a:ln>
                      <a:noFill/>
                    </a:ln>
                  </pic:spPr>
                </pic:pic>
              </a:graphicData>
            </a:graphic>
          </wp:inline>
        </w:drawing>
      </w:r>
    </w:p>
    <w:p w:rsidR="00E70BFD" w:rsidRPr="002F7BAE" w:rsidRDefault="00E70BFD" w:rsidP="002B0C28">
      <w:pPr>
        <w:pStyle w:val="Heading1"/>
      </w:pPr>
      <w:bookmarkStart w:id="20" w:name="_Toc352245297"/>
      <w:bookmarkStart w:id="21" w:name="_Toc478543532"/>
      <w:r w:rsidRPr="002F7BAE">
        <w:lastRenderedPageBreak/>
        <w:t>6</w:t>
      </w:r>
      <w:r w:rsidRPr="002F7BAE">
        <w:tab/>
        <w:t>Validation of array loss model with separate interferometer measurements on different baselines</w:t>
      </w:r>
      <w:bookmarkEnd w:id="20"/>
      <w:bookmarkEnd w:id="21"/>
    </w:p>
    <w:p w:rsidR="00E70BFD" w:rsidRDefault="00E70BFD" w:rsidP="00573694">
      <w:r>
        <w:t>Considering that two independent measurements of atmospheric phase turbulence were collected at the Goldstone Deep Space Communications Complex at two different baselines and at two different physical locations, validation of the array loss model can be performed. The data utilized for this comparison are provided in Table II-11 in the Recommendation ITU-R P.311 Databanks.</w:t>
      </w:r>
    </w:p>
    <w:p w:rsidR="00E70BFD" w:rsidRDefault="00E70BFD" w:rsidP="002B0C28">
      <w:r>
        <w:t>The Venus STI (described in Section 4) utilizes a 250 m baseline and a measurement frequency of 20.2 GHz, while the Apollo STI has a baseline of 190 m and a measurement frequency of 12.45 GHz. The elevation angles of the two instruments are comparable. Following the scaling procedure of the STI-measured statistics and the array loss model described in this document, we can derive the expected attenuation for the two-element array on a common baseline and common frequency. Figure 8 shows a comparison of the derived monthly cumulative distribution curves for the Apollo and Venus STIs, scaled to 7.15 GHz (DSN operational frequency), 20 degree elevation angle, and 190-m baseline. The comparison of the curves implementing the scaling and array loss models show reasonably good agreement between the two separate STI instruments. Differences in the two curves are hypothesized to be due to differences in the relative altitudes of the two sites, which is not directly considered in the currently proposed phase statistics scaling model. Details of this study as well as description of models used to adjust the STI data can be found in [10].</w:t>
      </w:r>
    </w:p>
    <w:p w:rsidR="00E70BFD" w:rsidRPr="007742D2" w:rsidRDefault="00E70BFD" w:rsidP="00573694">
      <w:pPr>
        <w:pStyle w:val="FigureNo"/>
      </w:pPr>
      <w:r>
        <w:t>Figure 8</w:t>
      </w:r>
    </w:p>
    <w:p w:rsidR="00E70BFD" w:rsidRPr="00DF635A" w:rsidRDefault="00E70BFD" w:rsidP="000B6C9D">
      <w:pPr>
        <w:pStyle w:val="Figuretitle"/>
      </w:pPr>
      <w:r>
        <w:t xml:space="preserve">Monthly comparison of predicted two-element array loss from two STIs in operation at GDSCC scaled to a common 7.15 GHz frequency, 20 </w:t>
      </w:r>
      <w:proofErr w:type="spellStart"/>
      <w:r>
        <w:t>deg</w:t>
      </w:r>
      <w:proofErr w:type="spellEnd"/>
      <w:r>
        <w:t xml:space="preserve"> elevation angle, and 190-m separation distance</w:t>
      </w:r>
    </w:p>
    <w:p w:rsidR="00E70BFD" w:rsidRDefault="00E70BFD" w:rsidP="002B0C28">
      <w:pPr>
        <w:pStyle w:val="Figure"/>
      </w:pPr>
      <w:r w:rsidRPr="00DF635A">
        <w:rPr>
          <w:noProof/>
          <w:lang w:eastAsia="zh-CN"/>
        </w:rPr>
        <w:drawing>
          <wp:inline distT="0" distB="0" distL="0" distR="0" wp14:anchorId="3B5B7CD5" wp14:editId="3FD0BEDC">
            <wp:extent cx="4238625" cy="39287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3495" cy="3961073"/>
                    </a:xfrm>
                    <a:prstGeom prst="rect">
                      <a:avLst/>
                    </a:prstGeom>
                    <a:noFill/>
                    <a:ln>
                      <a:noFill/>
                    </a:ln>
                  </pic:spPr>
                </pic:pic>
              </a:graphicData>
            </a:graphic>
          </wp:inline>
        </w:drawing>
      </w:r>
    </w:p>
    <w:p w:rsidR="00E70BFD" w:rsidRPr="002F7BAE" w:rsidRDefault="00E70BFD" w:rsidP="002B0C28">
      <w:pPr>
        <w:pStyle w:val="Heading1"/>
      </w:pPr>
      <w:bookmarkStart w:id="22" w:name="_Toc478543533"/>
      <w:bookmarkStart w:id="23" w:name="_Toc352245298"/>
      <w:r>
        <w:lastRenderedPageBreak/>
        <w:t>7</w:t>
      </w:r>
      <w:r w:rsidRPr="002F7BAE">
        <w:tab/>
        <w:t xml:space="preserve">Validation of </w:t>
      </w:r>
      <w:r>
        <w:t xml:space="preserve">STI phase data </w:t>
      </w:r>
      <w:r w:rsidRPr="002F7BAE">
        <w:t xml:space="preserve">with </w:t>
      </w:r>
      <w:r w:rsidRPr="002B0C28">
        <w:t>concurrent</w:t>
      </w:r>
      <w:r w:rsidRPr="002F7BAE">
        <w:t xml:space="preserve"> </w:t>
      </w:r>
      <w:r>
        <w:t>NASA Deep Space Network array phase data of interplanetary spacecraft</w:t>
      </w:r>
      <w:bookmarkEnd w:id="22"/>
      <w:bookmarkEnd w:id="23"/>
    </w:p>
    <w:p w:rsidR="00E70BFD" w:rsidRDefault="00E70BFD" w:rsidP="002B0C28">
      <w:r>
        <w:t xml:space="preserve">This section summarizes published results showing good agreement between adjusted STI phase fluctuations (using the models described above) with those obtained from demonstrations of DSN arrays tracking interplanetary spacecraft over a wide range of elevation angles and baseline projections against spacecraft line-of-sight. Between 2012 and 2015, several downlink array demonstrations at 32 GHz </w:t>
      </w:r>
      <w:proofErr w:type="spellStart"/>
      <w:r>
        <w:t>Ka</w:t>
      </w:r>
      <w:proofErr w:type="spellEnd"/>
      <w:r>
        <w:t>-band frequencies were conducted using arrays consisting of pairs of 34-m diameter DSN antennas. These included demonstrations involving the Cassini spacecraft in orbit around Saturn [11] and the Kepler spacecraft in an Earth-trailing heliocentric orbit [12].</w:t>
      </w:r>
    </w:p>
    <w:p w:rsidR="00E70BFD" w:rsidRDefault="00E70BFD" w:rsidP="002B0C28">
      <w:r>
        <w:t xml:space="preserve">The top two plots of Figure 9 display a comparison of the phase residuals from two arrayed 34-m diameter antennas </w:t>
      </w:r>
      <w:r w:rsidRPr="007F7495">
        <w:t>DSS-25 and DSS-26</w:t>
      </w:r>
      <w:r>
        <w:t xml:space="preserve"> tracking the Kepler spacecraft (red) with those from adjusted STI phase residuals for two successive 1-h periods on December 27, 2015 [12]. </w:t>
      </w:r>
      <w:r w:rsidRPr="007F7495">
        <w:t xml:space="preserve">The STI data were processed to extract interferometer phase </w:t>
      </w:r>
      <w:r>
        <w:t xml:space="preserve">which were then </w:t>
      </w:r>
      <w:r w:rsidRPr="007F7495">
        <w:t xml:space="preserve">adjusted to </w:t>
      </w:r>
      <w:r>
        <w:t xml:space="preserve">the </w:t>
      </w:r>
      <w:r w:rsidRPr="007F7495">
        <w:t>conditions of the Kepler array</w:t>
      </w:r>
      <w:r>
        <w:t xml:space="preserve"> in frequency, elevation angle and baseline projection (black) for each data point. We see from the top panel of plots in Figure 9 that the phase excursions of the two instruments are of similar magnitude. </w:t>
      </w:r>
      <w:r w:rsidRPr="007F7495">
        <w:t>As can be seen in the respective plots in the bottom panel, the cumulative distribution of the array phase (red) agrees quite well with that of the adjusted STI phase (black).</w:t>
      </w:r>
    </w:p>
    <w:p w:rsidR="00E70BFD" w:rsidRPr="007742D2" w:rsidRDefault="00E70BFD" w:rsidP="00573694">
      <w:pPr>
        <w:pStyle w:val="FigureNo"/>
      </w:pPr>
      <w:r>
        <w:t>Figure 9</w:t>
      </w:r>
    </w:p>
    <w:p w:rsidR="00E70BFD" w:rsidRPr="00F0195E" w:rsidRDefault="00E70BFD" w:rsidP="000B6C9D">
      <w:pPr>
        <w:pStyle w:val="Figuretitle"/>
      </w:pPr>
      <w:r w:rsidRPr="00A52951">
        <w:t xml:space="preserve">The top two plots display the phase residuals from two arrayed 34-m diameter antennas DSS-25 and DSS-26 tracking the Kepler spacecraft (red) and from adjusted STI phase residuals </w:t>
      </w:r>
      <w:r>
        <w:t xml:space="preserve">(black) </w:t>
      </w:r>
      <w:r w:rsidRPr="00A52951">
        <w:t>for two successive 1-h periods</w:t>
      </w:r>
      <w:r>
        <w:t xml:space="preserve">: 02:00 – 03:00 UTC </w:t>
      </w:r>
      <w:r w:rsidRPr="00F0195E">
        <w:t>and 03:00 – 04:00 UTC.</w:t>
      </w:r>
      <w:r w:rsidRPr="00A52951">
        <w:t xml:space="preserve"> </w:t>
      </w:r>
      <w:r>
        <w:t xml:space="preserve">The corresponding plots in the bottom </w:t>
      </w:r>
      <w:r w:rsidRPr="00A52951">
        <w:t>panel,</w:t>
      </w:r>
      <w:r>
        <w:t xml:space="preserve"> display</w:t>
      </w:r>
      <w:r w:rsidRPr="00A52951">
        <w:t xml:space="preserve"> the cumulative distribution</w:t>
      </w:r>
      <w:r>
        <w:t>s</w:t>
      </w:r>
      <w:r w:rsidRPr="00A52951">
        <w:t xml:space="preserve"> of the array phase (red) </w:t>
      </w:r>
      <w:r>
        <w:t>and the adjusted STI phase (black) [12]</w:t>
      </w:r>
    </w:p>
    <w:p w:rsidR="00E70BFD" w:rsidRDefault="00E70BFD" w:rsidP="002B0C28">
      <w:pPr>
        <w:pStyle w:val="Figure"/>
      </w:pPr>
      <w:r>
        <w:rPr>
          <w:noProof/>
          <w:lang w:eastAsia="zh-CN"/>
        </w:rPr>
        <w:drawing>
          <wp:inline distT="0" distB="0" distL="0" distR="0" wp14:anchorId="4636E2B3" wp14:editId="42A3D2A1">
            <wp:extent cx="5760720" cy="3322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22320"/>
                    </a:xfrm>
                    <a:prstGeom prst="rect">
                      <a:avLst/>
                    </a:prstGeom>
                    <a:noFill/>
                  </pic:spPr>
                </pic:pic>
              </a:graphicData>
            </a:graphic>
          </wp:inline>
        </w:drawing>
      </w:r>
    </w:p>
    <w:p w:rsidR="00E70BFD" w:rsidRDefault="00E70BFD" w:rsidP="00573694">
      <w:r>
        <w:t>Another a</w:t>
      </w:r>
      <w:r w:rsidRPr="00343876">
        <w:t xml:space="preserve">rray demonstration </w:t>
      </w:r>
      <w:r>
        <w:t xml:space="preserve">conducted on </w:t>
      </w:r>
      <w:r w:rsidRPr="00343876">
        <w:t xml:space="preserve">December 27, 2015 was performed using two </w:t>
      </w:r>
      <w:proofErr w:type="spellStart"/>
      <w:r w:rsidRPr="00343876">
        <w:t>Ka</w:t>
      </w:r>
      <w:proofErr w:type="spellEnd"/>
      <w:r w:rsidRPr="00343876">
        <w:t>-band downlink capable 3</w:t>
      </w:r>
      <w:r>
        <w:t>4 m antennas DSS-54 and DSS-55 in Madrid, Spain. Figure 10 displays the phase residuals for a 10-minute period for the DSN array (red) and the adjusted STI (black). As one can see, t</w:t>
      </w:r>
      <w:r w:rsidRPr="00343876">
        <w:t>here is a very high degree of correlation between this STI baseline’s adjusted phase time series (black) and the array phase time series (red)</w:t>
      </w:r>
      <w:r>
        <w:t>.</w:t>
      </w:r>
    </w:p>
    <w:p w:rsidR="00E70BFD" w:rsidRPr="00343876" w:rsidRDefault="00E70BFD" w:rsidP="00573694">
      <w:r>
        <w:lastRenderedPageBreak/>
        <w:t xml:space="preserve">The data were taken from the Madrid STI baseline involving STI elements </w:t>
      </w:r>
      <w:r w:rsidRPr="00343876">
        <w:t xml:space="preserve">2 and 3 </w:t>
      </w:r>
      <w:r>
        <w:t>which are located very near the DSN antennas DSS-54 and DSS-55, respectively, as can be seen from the aerial image of the site in Figure 11. During this 10-minute period, t</w:t>
      </w:r>
      <w:r w:rsidRPr="00343876">
        <w:t>he line-of-sight of the Kepler spacecraft as viewed by the 54/55 array is only ~1</w:t>
      </w:r>
      <w:r>
        <w:t xml:space="preserve">deg </w:t>
      </w:r>
      <w:r w:rsidRPr="00343876">
        <w:t>from line-of-sight of the geostationary satellite as viewed by the STI.</w:t>
      </w:r>
      <w:r>
        <w:t xml:space="preserve"> The s</w:t>
      </w:r>
      <w:r w:rsidRPr="00656B32">
        <w:t xml:space="preserve">low features </w:t>
      </w:r>
      <w:r>
        <w:t xml:space="preserve">in Figure 10 </w:t>
      </w:r>
      <w:r w:rsidRPr="00656B32">
        <w:t>match we</w:t>
      </w:r>
      <w:r>
        <w:t xml:space="preserve">ll between the two instruments, and </w:t>
      </w:r>
      <w:r w:rsidRPr="00656B32">
        <w:t>correspond to large-scale irregularities in the turbulent flow moving across the antennas with the wind aloft</w:t>
      </w:r>
      <w:r>
        <w:t>. The f</w:t>
      </w:r>
      <w:r w:rsidRPr="00656B32">
        <w:t xml:space="preserve">ast features </w:t>
      </w:r>
      <w:r>
        <w:t xml:space="preserve">in Figure 10 </w:t>
      </w:r>
      <w:r w:rsidRPr="00656B32">
        <w:t>do not match as well as the slow ones</w:t>
      </w:r>
      <w:r>
        <w:t xml:space="preserve"> as they </w:t>
      </w:r>
      <w:r w:rsidRPr="00656B32">
        <w:t>correspond to smaller scale irregularities in turbulent flow</w:t>
      </w:r>
      <w:r>
        <w:t xml:space="preserve">. The </w:t>
      </w:r>
      <w:r w:rsidRPr="00656B32">
        <w:t xml:space="preserve">STI antennas, although adjacent to the DSN antennas, are not coincident as </w:t>
      </w:r>
      <w:r>
        <w:t xml:space="preserve">they are separated by ~ 21-35-m. </w:t>
      </w:r>
      <w:r w:rsidRPr="00656B32">
        <w:t>When looking in the same direction, the signal paths are parallel but separated by that same distanc</w:t>
      </w:r>
      <w:r>
        <w:t xml:space="preserve">e. </w:t>
      </w:r>
      <w:r w:rsidRPr="00656B32">
        <w:t xml:space="preserve">The two instruments </w:t>
      </w:r>
      <w:r>
        <w:t xml:space="preserve">thus </w:t>
      </w:r>
      <w:r w:rsidRPr="00656B32">
        <w:t>see the same large scale features but</w:t>
      </w:r>
      <w:r>
        <w:t xml:space="preserve"> different small scale features. </w:t>
      </w:r>
      <w:r w:rsidRPr="00656B32">
        <w:t xml:space="preserve">The several second delays inferred from the </w:t>
      </w:r>
      <w:r>
        <w:t xml:space="preserve">dominant feature in Figure 10 (near time 15.7 h) </w:t>
      </w:r>
      <w:r w:rsidRPr="00656B32">
        <w:t>are consistent with the element separations and the range of wind speeds/directions obtained from the surface met</w:t>
      </w:r>
      <w:r>
        <w:t>eorological</w:t>
      </w:r>
      <w:r w:rsidRPr="00656B32">
        <w:t xml:space="preserve"> data</w:t>
      </w:r>
      <w:r>
        <w:t xml:space="preserve">. </w:t>
      </w:r>
      <w:r w:rsidRPr="00343876">
        <w:t xml:space="preserve">The cumulative distribution for each of the two phase time series lie on top of each other. </w:t>
      </w:r>
    </w:p>
    <w:p w:rsidR="00E70BFD" w:rsidRPr="00343876" w:rsidRDefault="00E70BFD" w:rsidP="00573694">
      <w:r>
        <w:t xml:space="preserve">These array demonstrations provided </w:t>
      </w:r>
      <w:r w:rsidRPr="00343876">
        <w:t xml:space="preserve">significant additional evidence that the models used in the adjustments </w:t>
      </w:r>
      <w:r>
        <w:t xml:space="preserve">of the STI data </w:t>
      </w:r>
      <w:r w:rsidRPr="00343876">
        <w:t>are v</w:t>
      </w:r>
      <w:r>
        <w:t>alid, as well as evidence that the phase observations from which the STI statistics are packaged are valid.</w:t>
      </w:r>
    </w:p>
    <w:p w:rsidR="00E70BFD" w:rsidRPr="007742D2" w:rsidRDefault="00E70BFD" w:rsidP="00573694">
      <w:pPr>
        <w:pStyle w:val="FigureNo"/>
      </w:pPr>
      <w:r>
        <w:t>Figure 10</w:t>
      </w:r>
    </w:p>
    <w:p w:rsidR="00E70BFD" w:rsidRPr="00DF635A" w:rsidRDefault="00E70BFD" w:rsidP="000B6C9D">
      <w:pPr>
        <w:pStyle w:val="Figuretitle"/>
      </w:pPr>
      <w:r w:rsidRPr="00E60919">
        <w:t xml:space="preserve">Madrid DSS-54 and DSS-55 array phase time series (red) and adjusted STI phase time series (black) for </w:t>
      </w:r>
      <w:r>
        <w:t>10-min segment from</w:t>
      </w:r>
      <w:r w:rsidRPr="00E60919">
        <w:t xml:space="preserve"> </w:t>
      </w:r>
      <w:r>
        <w:t xml:space="preserve">December 27, 2015 </w:t>
      </w:r>
      <w:r w:rsidRPr="00E60919">
        <w:t>pass occurring between 15:40 and 15:50 UTC</w:t>
      </w:r>
      <w:r>
        <w:t xml:space="preserve"> [12]</w:t>
      </w:r>
    </w:p>
    <w:p w:rsidR="00E70BFD" w:rsidRDefault="00E70BFD" w:rsidP="002B0C28">
      <w:pPr>
        <w:pStyle w:val="Figure"/>
      </w:pPr>
      <w:r>
        <w:rPr>
          <w:noProof/>
          <w:lang w:eastAsia="zh-CN"/>
        </w:rPr>
        <w:drawing>
          <wp:inline distT="0" distB="0" distL="0" distR="0" wp14:anchorId="21D45005" wp14:editId="690E8803">
            <wp:extent cx="3954462" cy="227101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1292" cy="2274932"/>
                    </a:xfrm>
                    <a:prstGeom prst="rect">
                      <a:avLst/>
                    </a:prstGeom>
                    <a:noFill/>
                  </pic:spPr>
                </pic:pic>
              </a:graphicData>
            </a:graphic>
          </wp:inline>
        </w:drawing>
      </w:r>
    </w:p>
    <w:p w:rsidR="00E70BFD" w:rsidRPr="007742D2" w:rsidRDefault="00E70BFD" w:rsidP="00573694">
      <w:pPr>
        <w:pStyle w:val="FigureNo"/>
      </w:pPr>
      <w:r>
        <w:lastRenderedPageBreak/>
        <w:t>Figure 11</w:t>
      </w:r>
    </w:p>
    <w:p w:rsidR="00E70BFD" w:rsidRPr="00492302" w:rsidRDefault="00E70BFD" w:rsidP="000B6C9D">
      <w:pPr>
        <w:pStyle w:val="Figuretitle"/>
      </w:pPr>
      <w:r w:rsidRPr="00492302">
        <w:t>Aerial view of the Madrid tracking site showing the locations of the 34-m diameter antennas DSS-54 and DSS-55 and the locations of the site test interferometer (STI) elements [12]</w:t>
      </w:r>
    </w:p>
    <w:p w:rsidR="00E70BFD" w:rsidRDefault="00E70BFD" w:rsidP="002B0C28">
      <w:pPr>
        <w:pStyle w:val="Figure"/>
      </w:pPr>
      <w:r>
        <w:rPr>
          <w:noProof/>
          <w:lang w:eastAsia="zh-CN"/>
        </w:rPr>
        <w:drawing>
          <wp:inline distT="0" distB="0" distL="0" distR="0" wp14:anchorId="6D84BDC5" wp14:editId="187110E0">
            <wp:extent cx="3293868" cy="1922571"/>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9397" cy="1931635"/>
                    </a:xfrm>
                    <a:prstGeom prst="rect">
                      <a:avLst/>
                    </a:prstGeom>
                    <a:noFill/>
                  </pic:spPr>
                </pic:pic>
              </a:graphicData>
            </a:graphic>
          </wp:inline>
        </w:drawing>
      </w:r>
    </w:p>
    <w:p w:rsidR="00E70BFD" w:rsidRPr="007742D2" w:rsidRDefault="00E70BFD" w:rsidP="002B0C28">
      <w:pPr>
        <w:pStyle w:val="Heading1"/>
      </w:pPr>
      <w:bookmarkStart w:id="24" w:name="_Toc352245299"/>
      <w:bookmarkStart w:id="25" w:name="_Toc478543534"/>
      <w:r>
        <w:t>8</w:t>
      </w:r>
      <w:r w:rsidRPr="007742D2">
        <w:tab/>
      </w:r>
      <w:r w:rsidRPr="002F7BAE">
        <w:t>Example</w:t>
      </w:r>
      <w:r>
        <w:t xml:space="preserve"> predicted a</w:t>
      </w:r>
      <w:r w:rsidRPr="007742D2">
        <w:t>rray loss due to atmospheric t</w:t>
      </w:r>
      <w:r>
        <w:t>urbulence statistics</w:t>
      </w:r>
      <w:bookmarkEnd w:id="24"/>
      <w:bookmarkEnd w:id="25"/>
    </w:p>
    <w:p w:rsidR="00E70BFD" w:rsidRPr="007742D2" w:rsidRDefault="00E70BFD" w:rsidP="00573694">
      <w:r w:rsidRPr="007742D2">
        <w:t xml:space="preserve">The annual cumulative distribution function (CDF) for the path length </w:t>
      </w:r>
      <w:proofErr w:type="spellStart"/>
      <w:r w:rsidRPr="007742D2">
        <w:t>rms</w:t>
      </w:r>
      <w:proofErr w:type="spellEnd"/>
      <w:r w:rsidRPr="007742D2">
        <w:t xml:space="preserve"> </w:t>
      </w:r>
      <w:r>
        <w:t xml:space="preserve">as measured by the GDSCC Venus site </w:t>
      </w:r>
      <w:r w:rsidRPr="007742D2">
        <w:t xml:space="preserve">data </w:t>
      </w:r>
      <w:r>
        <w:t>from Table II-11</w:t>
      </w:r>
      <w:r w:rsidRPr="007742D2">
        <w:t xml:space="preserve"> is plotted in Figure </w:t>
      </w:r>
      <w:r>
        <w:t>12</w:t>
      </w:r>
      <w:r w:rsidRPr="007742D2">
        <w:t>, with the statistics of the mean year</w:t>
      </w:r>
      <w:r>
        <w:t>, and an example</w:t>
      </w:r>
      <w:r w:rsidRPr="007742D2">
        <w:t xml:space="preserve"> monthly </w:t>
      </w:r>
      <w:r>
        <w:t>CDF</w:t>
      </w:r>
      <w:r w:rsidRPr="007742D2">
        <w:t xml:space="preserve"> for 2009</w:t>
      </w:r>
      <w:r>
        <w:noBreakHyphen/>
      </w:r>
      <w:r w:rsidRPr="007742D2">
        <w:t xml:space="preserve"> plotted </w:t>
      </w:r>
      <w:r>
        <w:t xml:space="preserve">in </w:t>
      </w:r>
      <w:r w:rsidRPr="007742D2">
        <w:t>Figure 1</w:t>
      </w:r>
      <w:r>
        <w:t>3</w:t>
      </w:r>
      <w:r w:rsidRPr="007742D2">
        <w:t>.</w:t>
      </w:r>
      <w:r>
        <w:t xml:space="preserve"> We observe that, on a yearly basis, the statistics appear to be very well behaved and agree with expectations based on our knowledge of the physics governing atmospheric turbulence. Furthermore, on a monthly basis, we observe that summer months possess higher path length variability than winter months, which agrees precisely with expectations</w:t>
      </w:r>
      <w:r w:rsidRPr="007742D2">
        <w:t>.</w:t>
      </w:r>
    </w:p>
    <w:p w:rsidR="00E70BFD" w:rsidRDefault="00E70BFD" w:rsidP="002B0C28">
      <w:r>
        <w:t>The geometry of the 3-element array at the Goldstone Deep Space Communications Complex is shown in the aerial photograph of Figure 14. Figure 15 shows the predicted array loss employing the proposed array loss model for two specific frequencies as a function of elevation angle for the 3-element array shown in Figure 14.</w:t>
      </w:r>
    </w:p>
    <w:p w:rsidR="00E70BFD" w:rsidRDefault="00E70BFD" w:rsidP="00573694">
      <w:pPr>
        <w:pStyle w:val="FigureNo"/>
      </w:pPr>
      <w:r>
        <w:lastRenderedPageBreak/>
        <w:t>Figure 12</w:t>
      </w:r>
    </w:p>
    <w:p w:rsidR="00E70BFD" w:rsidRPr="007742D2" w:rsidRDefault="00E70BFD" w:rsidP="000B6C9D">
      <w:pPr>
        <w:pStyle w:val="Figuretitle"/>
      </w:pPr>
      <w:r w:rsidRPr="007742D2">
        <w:t xml:space="preserve">Plot of annual path length </w:t>
      </w:r>
      <w:proofErr w:type="spellStart"/>
      <w:r w:rsidRPr="007742D2">
        <w:t>rms</w:t>
      </w:r>
      <w:proofErr w:type="spellEnd"/>
      <w:r w:rsidRPr="007742D2">
        <w:t xml:space="preserve"> CDF for Goldstone, CA</w:t>
      </w:r>
    </w:p>
    <w:p w:rsidR="00E70BFD" w:rsidRPr="007742D2" w:rsidRDefault="00E70BFD" w:rsidP="002B0C28">
      <w:pPr>
        <w:pStyle w:val="Figure"/>
      </w:pPr>
      <w:r w:rsidRPr="007742D2">
        <w:rPr>
          <w:noProof/>
          <w:lang w:eastAsia="zh-CN"/>
        </w:rPr>
        <w:drawing>
          <wp:inline distT="0" distB="0" distL="0" distR="0" wp14:anchorId="44A120D7" wp14:editId="7475AC2C">
            <wp:extent cx="4572000" cy="334308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572000" cy="3343088"/>
                    </a:xfrm>
                    <a:prstGeom prst="rect">
                      <a:avLst/>
                    </a:prstGeom>
                    <a:noFill/>
                    <a:ln w="9525">
                      <a:noFill/>
                      <a:miter lim="800000"/>
                      <a:headEnd/>
                      <a:tailEnd/>
                    </a:ln>
                  </pic:spPr>
                </pic:pic>
              </a:graphicData>
            </a:graphic>
          </wp:inline>
        </w:drawing>
      </w:r>
    </w:p>
    <w:p w:rsidR="00E70BFD" w:rsidRPr="007742D2" w:rsidRDefault="00E70BFD" w:rsidP="00573694">
      <w:pPr>
        <w:pStyle w:val="FigureNo"/>
      </w:pPr>
      <w:r w:rsidRPr="007742D2">
        <w:t xml:space="preserve">Figure </w:t>
      </w:r>
      <w:r>
        <w:t>13</w:t>
      </w:r>
    </w:p>
    <w:p w:rsidR="00E70BFD" w:rsidRPr="007742D2" w:rsidRDefault="00E70BFD" w:rsidP="000B6C9D">
      <w:pPr>
        <w:pStyle w:val="Figuretitle"/>
      </w:pPr>
      <w:r w:rsidRPr="007742D2">
        <w:t xml:space="preserve">Plot of monthly path length </w:t>
      </w:r>
      <w:proofErr w:type="spellStart"/>
      <w:r w:rsidRPr="007742D2">
        <w:t>rms</w:t>
      </w:r>
      <w:proofErr w:type="spellEnd"/>
      <w:r w:rsidRPr="007742D2">
        <w:t xml:space="preserve"> CDFs for Goldstone, CA for 2009</w:t>
      </w:r>
    </w:p>
    <w:p w:rsidR="00E70BFD" w:rsidRPr="007742D2" w:rsidRDefault="00E70BFD" w:rsidP="002B0C28">
      <w:pPr>
        <w:pStyle w:val="Figure"/>
      </w:pPr>
      <w:r w:rsidRPr="00654EA6">
        <w:rPr>
          <w:noProof/>
          <w:lang w:eastAsia="zh-CN"/>
        </w:rPr>
        <w:drawing>
          <wp:inline distT="0" distB="0" distL="0" distR="0" wp14:anchorId="615B0C8B" wp14:editId="7CFD145F">
            <wp:extent cx="4572000" cy="334308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572000" cy="3343088"/>
                    </a:xfrm>
                    <a:prstGeom prst="rect">
                      <a:avLst/>
                    </a:prstGeom>
                    <a:noFill/>
                    <a:ln w="9525">
                      <a:noFill/>
                      <a:miter lim="800000"/>
                      <a:headEnd/>
                      <a:tailEnd/>
                    </a:ln>
                  </pic:spPr>
                </pic:pic>
              </a:graphicData>
            </a:graphic>
          </wp:inline>
        </w:drawing>
      </w:r>
    </w:p>
    <w:p w:rsidR="00E70BFD" w:rsidRPr="007742D2" w:rsidRDefault="00E70BFD" w:rsidP="00573694">
      <w:pPr>
        <w:pStyle w:val="FigureNo"/>
      </w:pPr>
      <w:r w:rsidRPr="007742D2">
        <w:lastRenderedPageBreak/>
        <w:t>Figure 1</w:t>
      </w:r>
      <w:r>
        <w:t>4</w:t>
      </w:r>
    </w:p>
    <w:p w:rsidR="00E70BFD" w:rsidRPr="007742D2" w:rsidRDefault="00E70BFD" w:rsidP="000B6C9D">
      <w:pPr>
        <w:pStyle w:val="Figuretitle"/>
      </w:pPr>
      <w:r>
        <w:t>Geometry</w:t>
      </w:r>
      <w:r w:rsidRPr="007742D2">
        <w:t xml:space="preserve"> of </w:t>
      </w:r>
      <w:r>
        <w:t xml:space="preserve">the 3-element array at the </w:t>
      </w:r>
      <w:r w:rsidRPr="007742D2">
        <w:t>Goldstone</w:t>
      </w:r>
      <w:r>
        <w:t xml:space="preserve"> Deep Space Communications Complex</w:t>
      </w:r>
    </w:p>
    <w:p w:rsidR="00E70BFD" w:rsidRDefault="00E70BFD" w:rsidP="002B0C28">
      <w:pPr>
        <w:pStyle w:val="Figure"/>
      </w:pPr>
      <w:r w:rsidRPr="00DF635A">
        <w:rPr>
          <w:noProof/>
          <w:lang w:eastAsia="zh-CN"/>
        </w:rPr>
        <w:drawing>
          <wp:inline distT="0" distB="0" distL="0" distR="0" wp14:anchorId="14038596" wp14:editId="662895BE">
            <wp:extent cx="2786319" cy="36576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6319" cy="3657600"/>
                    </a:xfrm>
                    <a:prstGeom prst="rect">
                      <a:avLst/>
                    </a:prstGeom>
                    <a:noFill/>
                    <a:ln>
                      <a:noFill/>
                    </a:ln>
                    <a:effectLst/>
                    <a:extLst/>
                  </pic:spPr>
                </pic:pic>
              </a:graphicData>
            </a:graphic>
          </wp:inline>
        </w:drawing>
      </w:r>
    </w:p>
    <w:p w:rsidR="00E70BFD" w:rsidRPr="008C5ADE" w:rsidRDefault="00E70BFD" w:rsidP="00573694">
      <w:pPr>
        <w:pStyle w:val="FigureNo"/>
      </w:pPr>
      <w:r w:rsidRPr="008C5ADE">
        <w:lastRenderedPageBreak/>
        <w:t>Figure 1</w:t>
      </w:r>
      <w:r>
        <w:t>5</w:t>
      </w:r>
    </w:p>
    <w:p w:rsidR="00E70BFD" w:rsidRPr="00DF635A" w:rsidRDefault="00E70BFD" w:rsidP="000B6C9D">
      <w:pPr>
        <w:pStyle w:val="Figuretitle"/>
      </w:pPr>
      <w:r>
        <w:t xml:space="preserve">Predicted average array loss as a function of elevation angle for two operational frequencies for 90% (1 mm </w:t>
      </w:r>
      <w:proofErr w:type="spellStart"/>
      <w:r>
        <w:t>rms</w:t>
      </w:r>
      <w:proofErr w:type="spellEnd"/>
      <w:r>
        <w:t xml:space="preserve">) and 99% (2 mm </w:t>
      </w:r>
      <w:proofErr w:type="spellStart"/>
      <w:r>
        <w:t>rms</w:t>
      </w:r>
      <w:proofErr w:type="spellEnd"/>
      <w:r>
        <w:t>) average annual phase statistics from the Venus STI measured data for</w:t>
      </w:r>
      <w:r>
        <w:br/>
        <w:t>the 3-element array geometry shown in Figure 14</w:t>
      </w:r>
    </w:p>
    <w:p w:rsidR="00E70BFD" w:rsidRDefault="00E70BFD" w:rsidP="002B0C28">
      <w:pPr>
        <w:pStyle w:val="Figure"/>
        <w:rPr>
          <w:noProof/>
          <w:lang w:val="en-US"/>
        </w:rPr>
      </w:pPr>
      <w:r>
        <w:rPr>
          <w:noProof/>
          <w:lang w:eastAsia="zh-CN"/>
        </w:rPr>
        <w:drawing>
          <wp:inline distT="0" distB="0" distL="0" distR="0" wp14:anchorId="479BAF57" wp14:editId="3AA2722D">
            <wp:extent cx="3695700" cy="44071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1020" cy="4437388"/>
                    </a:xfrm>
                    <a:prstGeom prst="rect">
                      <a:avLst/>
                    </a:prstGeom>
                    <a:noFill/>
                  </pic:spPr>
                </pic:pic>
              </a:graphicData>
            </a:graphic>
          </wp:inline>
        </w:drawing>
      </w:r>
    </w:p>
    <w:p w:rsidR="00E70BFD" w:rsidRDefault="00E70BFD" w:rsidP="00573694">
      <w:pPr>
        <w:pStyle w:val="Heading1"/>
      </w:pPr>
      <w:bookmarkStart w:id="26" w:name="_Toc478543535"/>
      <w:bookmarkStart w:id="27" w:name="_Toc352245300"/>
      <w:r>
        <w:t>9</w:t>
      </w:r>
      <w:r w:rsidRPr="007742D2">
        <w:tab/>
      </w:r>
      <w:r w:rsidRPr="002F7BAE">
        <w:t>References</w:t>
      </w:r>
      <w:bookmarkEnd w:id="26"/>
      <w:bookmarkEnd w:id="27"/>
    </w:p>
    <w:p w:rsidR="00E70BFD" w:rsidRPr="007742D2" w:rsidRDefault="00E70BFD" w:rsidP="00573694">
      <w:pPr>
        <w:pStyle w:val="Reftext"/>
      </w:pPr>
      <w:r w:rsidRPr="007742D2">
        <w:t>[1]</w:t>
      </w:r>
      <w:r w:rsidRPr="007742D2">
        <w:tab/>
        <w:t xml:space="preserve">D. </w:t>
      </w:r>
      <w:proofErr w:type="spellStart"/>
      <w:r w:rsidRPr="007742D2">
        <w:t>Morabito</w:t>
      </w:r>
      <w:proofErr w:type="spellEnd"/>
      <w:r w:rsidRPr="007742D2">
        <w:t xml:space="preserve">, L. </w:t>
      </w:r>
      <w:proofErr w:type="spellStart"/>
      <w:r w:rsidRPr="007742D2">
        <w:t>D’Addario</w:t>
      </w:r>
      <w:proofErr w:type="spellEnd"/>
      <w:r w:rsidRPr="007742D2">
        <w:t>, “Atmospheric Array Loss Statistics for the Goldstone and Canberra DSN Sites Derived from Site Test Interferometer Data,” IPN Progress Report 42-196, February 15, 2014.</w:t>
      </w:r>
    </w:p>
    <w:p w:rsidR="00E70BFD" w:rsidRPr="007742D2" w:rsidRDefault="00E70BFD" w:rsidP="00573694">
      <w:pPr>
        <w:pStyle w:val="Reftext"/>
      </w:pPr>
      <w:r w:rsidRPr="007742D2">
        <w:t>[2]</w:t>
      </w:r>
      <w:r w:rsidRPr="007742D2">
        <w:tab/>
        <w:t xml:space="preserve">J. </w:t>
      </w:r>
      <w:proofErr w:type="spellStart"/>
      <w:r w:rsidRPr="007742D2">
        <w:t>Nessel</w:t>
      </w:r>
      <w:proofErr w:type="spellEnd"/>
      <w:r w:rsidRPr="007742D2">
        <w:t>, R. Acosta, “Predicting Sparse Array Performance from Two-Element Interferometer Data,” IEEE Transactions on Antennas and Propagation, Vol. 60, No. 2, p. 886-894, February 2012.</w:t>
      </w:r>
    </w:p>
    <w:p w:rsidR="00E70BFD" w:rsidRPr="007742D2" w:rsidRDefault="00E70BFD" w:rsidP="00573694">
      <w:pPr>
        <w:pStyle w:val="Reftext"/>
      </w:pPr>
      <w:r w:rsidRPr="007742D2">
        <w:t>[3]</w:t>
      </w:r>
      <w:r w:rsidRPr="007742D2">
        <w:tab/>
        <w:t xml:space="preserve">L. </w:t>
      </w:r>
      <w:proofErr w:type="spellStart"/>
      <w:r w:rsidRPr="007742D2">
        <w:t>D’Addario</w:t>
      </w:r>
      <w:proofErr w:type="spellEnd"/>
      <w:r w:rsidRPr="007742D2">
        <w:t>, “Combining Loss of a Transmitting Array due to Phase Errors,” IPN Progress Report 42-175, November 15, 2008.</w:t>
      </w:r>
    </w:p>
    <w:p w:rsidR="00E70BFD" w:rsidRPr="007742D2" w:rsidRDefault="00E70BFD" w:rsidP="00573694">
      <w:pPr>
        <w:pStyle w:val="Reftext"/>
      </w:pPr>
      <w:r w:rsidRPr="007742D2">
        <w:t>[4]</w:t>
      </w:r>
      <w:r w:rsidRPr="007742D2">
        <w:tab/>
        <w:t xml:space="preserve">D. </w:t>
      </w:r>
      <w:proofErr w:type="spellStart"/>
      <w:r w:rsidRPr="007742D2">
        <w:t>Morabito</w:t>
      </w:r>
      <w:proofErr w:type="spellEnd"/>
      <w:r w:rsidRPr="007742D2">
        <w:t xml:space="preserve">, L. </w:t>
      </w:r>
      <w:proofErr w:type="spellStart"/>
      <w:r w:rsidRPr="007742D2">
        <w:t>D’Addario</w:t>
      </w:r>
      <w:proofErr w:type="spellEnd"/>
      <w:r w:rsidRPr="007742D2">
        <w:t xml:space="preserve">, R. Acosta, and J. </w:t>
      </w:r>
      <w:proofErr w:type="spellStart"/>
      <w:r w:rsidRPr="007742D2">
        <w:t>Nessel</w:t>
      </w:r>
      <w:proofErr w:type="spellEnd"/>
      <w:r w:rsidRPr="007742D2">
        <w:t xml:space="preserve">, “Goldstone Site Test Interferometer Atmospheric Decorrelation Statistics Use in Spacecraft Link Budgets: First year of STI Data,” Proceedings of 14th </w:t>
      </w:r>
      <w:proofErr w:type="spellStart"/>
      <w:r w:rsidRPr="007742D2">
        <w:t>Ka</w:t>
      </w:r>
      <w:proofErr w:type="spellEnd"/>
      <w:r w:rsidRPr="007742D2">
        <w:t xml:space="preserve"> and Broadband Communications Conference, Matera, Italy, September 24-26, 2008.</w:t>
      </w:r>
    </w:p>
    <w:p w:rsidR="00E70BFD" w:rsidRPr="007742D2" w:rsidRDefault="00E70BFD" w:rsidP="00573694">
      <w:pPr>
        <w:pStyle w:val="Reftext"/>
      </w:pPr>
      <w:r w:rsidRPr="007742D2">
        <w:t>[5]</w:t>
      </w:r>
      <w:r w:rsidRPr="007742D2">
        <w:tab/>
        <w:t xml:space="preserve">L, </w:t>
      </w:r>
      <w:proofErr w:type="spellStart"/>
      <w:r w:rsidRPr="007742D2">
        <w:t>D’Addario</w:t>
      </w:r>
      <w:proofErr w:type="spellEnd"/>
      <w:r w:rsidRPr="007742D2">
        <w:t>, “Estimates of Atmosphere-Induced Gain Loss for the Deep Space Network Array,” IPN Progress Report 42-160, February 15, 2005.</w:t>
      </w:r>
    </w:p>
    <w:p w:rsidR="00E70BFD" w:rsidRPr="007742D2" w:rsidRDefault="00E70BFD" w:rsidP="00573694">
      <w:pPr>
        <w:pStyle w:val="Reftext"/>
      </w:pPr>
      <w:r w:rsidRPr="007742D2">
        <w:lastRenderedPageBreak/>
        <w:t>[6]</w:t>
      </w:r>
      <w:r w:rsidRPr="007742D2">
        <w:tab/>
        <w:t xml:space="preserve">R. Acosta, B. Frantz, J. </w:t>
      </w:r>
      <w:proofErr w:type="spellStart"/>
      <w:r w:rsidRPr="007742D2">
        <w:t>Nessel</w:t>
      </w:r>
      <w:proofErr w:type="spellEnd"/>
      <w:r w:rsidRPr="007742D2">
        <w:t xml:space="preserve">, D. </w:t>
      </w:r>
      <w:proofErr w:type="spellStart"/>
      <w:r w:rsidRPr="007742D2">
        <w:t>Morabito</w:t>
      </w:r>
      <w:proofErr w:type="spellEnd"/>
      <w:r w:rsidRPr="007742D2">
        <w:t xml:space="preserve">, "Goldstone </w:t>
      </w:r>
      <w:r>
        <w:t>Site Test Interferometer", 13th </w:t>
      </w:r>
      <w:proofErr w:type="spellStart"/>
      <w:r w:rsidRPr="007742D2">
        <w:t>Ka</w:t>
      </w:r>
      <w:proofErr w:type="spellEnd"/>
      <w:r w:rsidRPr="007742D2">
        <w:t xml:space="preserve"> and Broadband Communications Conference, Turin, Italy, September 24-26, 2007.</w:t>
      </w:r>
    </w:p>
    <w:p w:rsidR="00E70BFD" w:rsidRPr="007742D2" w:rsidRDefault="00E70BFD" w:rsidP="00573694">
      <w:pPr>
        <w:pStyle w:val="Reftext"/>
      </w:pPr>
      <w:r w:rsidRPr="007742D2">
        <w:t>[7]</w:t>
      </w:r>
      <w:r w:rsidRPr="007742D2">
        <w:tab/>
        <w:t xml:space="preserve">J. </w:t>
      </w:r>
      <w:proofErr w:type="spellStart"/>
      <w:r w:rsidRPr="007742D2">
        <w:t>Nessel</w:t>
      </w:r>
      <w:proofErr w:type="spellEnd"/>
      <w:r w:rsidRPr="007742D2">
        <w:t xml:space="preserve">, R. Acosta, D. </w:t>
      </w:r>
      <w:proofErr w:type="spellStart"/>
      <w:r w:rsidRPr="007742D2">
        <w:t>Morabito</w:t>
      </w:r>
      <w:proofErr w:type="spellEnd"/>
      <w:r w:rsidRPr="007742D2">
        <w:t xml:space="preserve">, “Goldstone Site Test Interferometer Phase Stability Analysis,” 13th </w:t>
      </w:r>
      <w:proofErr w:type="spellStart"/>
      <w:r w:rsidRPr="007742D2">
        <w:t>Ka</w:t>
      </w:r>
      <w:proofErr w:type="spellEnd"/>
      <w:r w:rsidRPr="007742D2">
        <w:t xml:space="preserve"> and Broadband Communications Conference, Turin, Italy, September 24-26, 2007.</w:t>
      </w:r>
    </w:p>
    <w:p w:rsidR="00E70BFD" w:rsidRDefault="00E70BFD" w:rsidP="006A2E7A">
      <w:pPr>
        <w:pStyle w:val="Reftext"/>
      </w:pPr>
      <w:r w:rsidRPr="007742D2">
        <w:t>[8]</w:t>
      </w:r>
      <w:r w:rsidRPr="007742D2">
        <w:tab/>
        <w:t xml:space="preserve">J. </w:t>
      </w:r>
      <w:proofErr w:type="spellStart"/>
      <w:r w:rsidRPr="007742D2">
        <w:t>Nessel</w:t>
      </w:r>
      <w:proofErr w:type="spellEnd"/>
      <w:r w:rsidRPr="007742D2">
        <w:t xml:space="preserve">, R. Acosta, D. </w:t>
      </w:r>
      <w:proofErr w:type="spellStart"/>
      <w:r w:rsidRPr="007742D2">
        <w:t>Morabito</w:t>
      </w:r>
      <w:proofErr w:type="spellEnd"/>
      <w:r w:rsidRPr="007742D2">
        <w:t>, “Phase Fluctuations at Goldstone Derived from</w:t>
      </w:r>
      <w:r>
        <w:br/>
      </w:r>
      <w:r w:rsidRPr="007742D2">
        <w:t xml:space="preserve">One-Year Site Testing Interferometer Data,” 14th </w:t>
      </w:r>
      <w:proofErr w:type="spellStart"/>
      <w:r w:rsidRPr="007742D2">
        <w:t>Ka</w:t>
      </w:r>
      <w:proofErr w:type="spellEnd"/>
      <w:r w:rsidRPr="007742D2">
        <w:t xml:space="preserve"> and Broadband Communications Conference, Matera, Italy, September 24-26, 2008.</w:t>
      </w:r>
    </w:p>
    <w:p w:rsidR="00E70BFD" w:rsidRDefault="00E70BFD" w:rsidP="00573694">
      <w:pPr>
        <w:pStyle w:val="Reftext"/>
      </w:pPr>
      <w:r>
        <w:t>[9]</w:t>
      </w:r>
      <w:r>
        <w:tab/>
        <w:t xml:space="preserve">D. </w:t>
      </w:r>
      <w:proofErr w:type="spellStart"/>
      <w:r>
        <w:t>Morabito</w:t>
      </w:r>
      <w:proofErr w:type="spellEnd"/>
      <w:r>
        <w:t xml:space="preserve">, L. </w:t>
      </w:r>
      <w:proofErr w:type="spellStart"/>
      <w:r>
        <w:t>D’Addario</w:t>
      </w:r>
      <w:proofErr w:type="spellEnd"/>
      <w:r>
        <w:t xml:space="preserve">, S. </w:t>
      </w:r>
      <w:proofErr w:type="spellStart"/>
      <w:r>
        <w:t>Keihm</w:t>
      </w:r>
      <w:proofErr w:type="spellEnd"/>
      <w:r>
        <w:t xml:space="preserve">, S. </w:t>
      </w:r>
      <w:proofErr w:type="spellStart"/>
      <w:r>
        <w:t>Shambayati</w:t>
      </w:r>
      <w:proofErr w:type="spellEnd"/>
      <w:r>
        <w:t xml:space="preserve">, “Comparison of Dual Water </w:t>
      </w:r>
      <w:proofErr w:type="spellStart"/>
      <w:r>
        <w:t>Vapor</w:t>
      </w:r>
      <w:proofErr w:type="spellEnd"/>
      <w:r>
        <w:t xml:space="preserve"> Radiometer Differenced Path Delay Fluctuations and Site Test Interferometer Phase Delay Fluctuations Over a Shared 250-Meter Baseline,” IPN Progress </w:t>
      </w:r>
      <w:r>
        <w:br/>
        <w:t>Report 42-188, February 15. 2012.</w:t>
      </w:r>
    </w:p>
    <w:p w:rsidR="00E70BFD" w:rsidRDefault="00E70BFD" w:rsidP="00573694">
      <w:pPr>
        <w:pStyle w:val="Reftext"/>
      </w:pPr>
      <w:r>
        <w:t>[10]</w:t>
      </w:r>
      <w:r>
        <w:tab/>
        <w:t xml:space="preserve">D. </w:t>
      </w:r>
      <w:proofErr w:type="spellStart"/>
      <w:r w:rsidRPr="004A40AC">
        <w:t>Morabito</w:t>
      </w:r>
      <w:proofErr w:type="spellEnd"/>
      <w:r w:rsidRPr="004A40AC">
        <w:t xml:space="preserve">, L. R. </w:t>
      </w:r>
      <w:proofErr w:type="spellStart"/>
      <w:r w:rsidRPr="004A40AC">
        <w:t>D'Addario</w:t>
      </w:r>
      <w:proofErr w:type="spellEnd"/>
      <w:r w:rsidRPr="004A40AC">
        <w:t xml:space="preserve">, R. J. Acosta, and J. A. </w:t>
      </w:r>
      <w:proofErr w:type="spellStart"/>
      <w:r w:rsidRPr="004A40AC">
        <w:t>Nessel</w:t>
      </w:r>
      <w:proofErr w:type="spellEnd"/>
      <w:r w:rsidRPr="004A40AC">
        <w:t xml:space="preserve"> (2013), Tropospheric delay statistics measured by two site test interferometers at Goldstone, California, Radio Sci., 48, doi:10.1002/2013RS005268.</w:t>
      </w:r>
    </w:p>
    <w:p w:rsidR="00E70BFD" w:rsidRDefault="00E70BFD" w:rsidP="00573694">
      <w:pPr>
        <w:pStyle w:val="Reftext"/>
      </w:pPr>
      <w:r>
        <w:t>[11]</w:t>
      </w:r>
      <w:r>
        <w:tab/>
        <w:t xml:space="preserve">D. </w:t>
      </w:r>
      <w:proofErr w:type="spellStart"/>
      <w:r w:rsidRPr="000529A2">
        <w:t>Morabito</w:t>
      </w:r>
      <w:proofErr w:type="spellEnd"/>
      <w:r w:rsidRPr="000529A2">
        <w:t xml:space="preserve">, L. </w:t>
      </w:r>
      <w:proofErr w:type="spellStart"/>
      <w:r w:rsidRPr="000529A2">
        <w:t>D’Addario</w:t>
      </w:r>
      <w:proofErr w:type="spellEnd"/>
      <w:r w:rsidRPr="000529A2">
        <w:t>, and S. Finley (2016), A comparison of atmospheric effects on differential phase for a two-element antenna array and nearby site test interferometer, Radio Sci., 51, doi:10.1002/2015RS005763.</w:t>
      </w:r>
    </w:p>
    <w:p w:rsidR="00E70BFD" w:rsidRDefault="00E70BFD" w:rsidP="00CF4407">
      <w:pPr>
        <w:pStyle w:val="Reftext"/>
      </w:pPr>
      <w:r>
        <w:t>[12]</w:t>
      </w:r>
      <w:r>
        <w:tab/>
        <w:t xml:space="preserve">D. </w:t>
      </w:r>
      <w:proofErr w:type="spellStart"/>
      <w:r w:rsidRPr="000529A2">
        <w:t>Morabito</w:t>
      </w:r>
      <w:proofErr w:type="spellEnd"/>
      <w:r w:rsidRPr="000529A2">
        <w:t xml:space="preserve">, L. </w:t>
      </w:r>
      <w:proofErr w:type="spellStart"/>
      <w:r w:rsidRPr="000529A2">
        <w:t>D’Addario</w:t>
      </w:r>
      <w:proofErr w:type="spellEnd"/>
      <w:r w:rsidRPr="000529A2">
        <w:t xml:space="preserve">, and S. Finley, “Comparison of Atmospheric Delay Statistics from Deep Space Network Arrays and nearby Site Test Interferometers”, Proceedings of 22nd </w:t>
      </w:r>
      <w:proofErr w:type="spellStart"/>
      <w:r w:rsidRPr="000529A2">
        <w:t>Ka</w:t>
      </w:r>
      <w:proofErr w:type="spellEnd"/>
      <w:r w:rsidRPr="000529A2">
        <w:t>- and Broadband Conference, Cleveland, Ohio, October</w:t>
      </w:r>
      <w:r>
        <w:br/>
      </w:r>
      <w:r w:rsidRPr="000529A2">
        <w:t>17-20, 2016.</w:t>
      </w:r>
    </w:p>
    <w:p w:rsidR="00E70BFD" w:rsidRDefault="00E70BFD" w:rsidP="00573694">
      <w:pPr>
        <w:pStyle w:val="Reasons"/>
      </w:pPr>
    </w:p>
    <w:p w:rsidR="000069D4" w:rsidRPr="00537119" w:rsidRDefault="00E70BFD" w:rsidP="00537119">
      <w:pPr>
        <w:jc w:val="center"/>
      </w:pPr>
      <w:r>
        <w:t>______________</w:t>
      </w:r>
    </w:p>
    <w:sectPr w:rsidR="000069D4" w:rsidRPr="00537119" w:rsidSect="00D02712">
      <w:headerReference w:type="default" r:id="rId2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098" w:rsidRDefault="007B1098">
      <w:r>
        <w:separator/>
      </w:r>
    </w:p>
  </w:endnote>
  <w:endnote w:type="continuationSeparator" w:id="0">
    <w:p w:rsidR="007B1098" w:rsidRDefault="007B1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0"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098" w:rsidRDefault="007B1098">
      <w:r>
        <w:t>____________________</w:t>
      </w:r>
    </w:p>
  </w:footnote>
  <w:footnote w:type="continuationSeparator" w:id="0">
    <w:p w:rsidR="007B1098" w:rsidRDefault="007B1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D22CF5" w:rsidRDefault="00FA124A" w:rsidP="00330567">
    <w:pPr>
      <w:pStyle w:val="Header"/>
      <w:rPr>
        <w:rStyle w:val="PageNumber"/>
        <w:lang w:val="de-DE"/>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C756BB">
      <w:rPr>
        <w:rStyle w:val="PageNumber"/>
        <w:noProof/>
      </w:rPr>
      <w:t>3</w:t>
    </w:r>
    <w:r w:rsidR="00D02712">
      <w:rPr>
        <w:rStyle w:val="PageNumber"/>
      </w:rPr>
      <w:fldChar w:fldCharType="end"/>
    </w:r>
    <w:r w:rsidRPr="00D22CF5">
      <w:rPr>
        <w:rStyle w:val="PageNumber"/>
        <w:lang w:val="de-DE"/>
      </w:rPr>
      <w:t xml:space="preserve"> -</w:t>
    </w:r>
  </w:p>
  <w:p w:rsidR="00FA124A" w:rsidRPr="00D22CF5" w:rsidRDefault="00E70BFD" w:rsidP="00D22CF5">
    <w:pPr>
      <w:pStyle w:val="Header"/>
      <w:rPr>
        <w:lang w:val="de-DE"/>
      </w:rPr>
    </w:pPr>
    <w:r w:rsidRPr="00D22CF5">
      <w:rPr>
        <w:lang w:val="de-DE"/>
      </w:rPr>
      <w:t>3M/</w:t>
    </w:r>
    <w:r w:rsidR="00D22CF5" w:rsidRPr="00D22CF5">
      <w:rPr>
        <w:lang w:val="de-DE"/>
      </w:rPr>
      <w:t>FAS</w:t>
    </w:r>
    <w:r w:rsidRPr="00D22CF5">
      <w:rPr>
        <w:lang w:val="de-DE"/>
      </w:rPr>
      <w:t>/</w:t>
    </w:r>
    <w:r w:rsidR="00D22CF5" w:rsidRPr="00D22CF5">
      <w:rPr>
        <w:lang w:val="de-DE"/>
      </w:rPr>
      <w:t>6(Rev.</w:t>
    </w:r>
    <w:r w:rsidR="00D22CF5">
      <w:rPr>
        <w:lang w:val="de-DE"/>
      </w:rPr>
      <w:t>1)</w:t>
    </w:r>
    <w:r w:rsidRPr="00D22CF5">
      <w:rPr>
        <w:lang w:val="de-DE"/>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4A8FF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2CE2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AE5F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A67D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5C46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2B3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4AD5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2A19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F850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BA0BB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BFD"/>
    <w:rsid w:val="000069D4"/>
    <w:rsid w:val="000174AD"/>
    <w:rsid w:val="00047A1D"/>
    <w:rsid w:val="000604B9"/>
    <w:rsid w:val="000A7D55"/>
    <w:rsid w:val="000B6C9D"/>
    <w:rsid w:val="000C12C8"/>
    <w:rsid w:val="000C2E8E"/>
    <w:rsid w:val="000E0E7C"/>
    <w:rsid w:val="000F0449"/>
    <w:rsid w:val="000F1B4B"/>
    <w:rsid w:val="0012744F"/>
    <w:rsid w:val="00131178"/>
    <w:rsid w:val="00156F66"/>
    <w:rsid w:val="00163271"/>
    <w:rsid w:val="00182528"/>
    <w:rsid w:val="0018500B"/>
    <w:rsid w:val="00196A19"/>
    <w:rsid w:val="00202DC1"/>
    <w:rsid w:val="002116EE"/>
    <w:rsid w:val="002309D8"/>
    <w:rsid w:val="00236012"/>
    <w:rsid w:val="002A7FE2"/>
    <w:rsid w:val="002B0C28"/>
    <w:rsid w:val="002E1B4F"/>
    <w:rsid w:val="002F2E67"/>
    <w:rsid w:val="002F7CB3"/>
    <w:rsid w:val="00315546"/>
    <w:rsid w:val="0032126A"/>
    <w:rsid w:val="00330567"/>
    <w:rsid w:val="00386A9D"/>
    <w:rsid w:val="00391081"/>
    <w:rsid w:val="003B2789"/>
    <w:rsid w:val="003C13CE"/>
    <w:rsid w:val="003E2518"/>
    <w:rsid w:val="003E7CEF"/>
    <w:rsid w:val="00492298"/>
    <w:rsid w:val="004B1EF7"/>
    <w:rsid w:val="004B3FAD"/>
    <w:rsid w:val="004C5749"/>
    <w:rsid w:val="00501DCA"/>
    <w:rsid w:val="00513A47"/>
    <w:rsid w:val="00537119"/>
    <w:rsid w:val="005408DF"/>
    <w:rsid w:val="00573344"/>
    <w:rsid w:val="00583F9B"/>
    <w:rsid w:val="005E5C10"/>
    <w:rsid w:val="005F2C78"/>
    <w:rsid w:val="006144E4"/>
    <w:rsid w:val="00650299"/>
    <w:rsid w:val="00654EA6"/>
    <w:rsid w:val="00655FC5"/>
    <w:rsid w:val="006829E1"/>
    <w:rsid w:val="007B1098"/>
    <w:rsid w:val="00814E0A"/>
    <w:rsid w:val="00822581"/>
    <w:rsid w:val="008309DD"/>
    <w:rsid w:val="0083227A"/>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77397"/>
    <w:rsid w:val="00B81138"/>
    <w:rsid w:val="00BC7CCF"/>
    <w:rsid w:val="00BE470B"/>
    <w:rsid w:val="00C57A91"/>
    <w:rsid w:val="00C756BB"/>
    <w:rsid w:val="00CC01C2"/>
    <w:rsid w:val="00CD17D6"/>
    <w:rsid w:val="00CF21F2"/>
    <w:rsid w:val="00D02712"/>
    <w:rsid w:val="00D046A7"/>
    <w:rsid w:val="00D214D0"/>
    <w:rsid w:val="00D22CF5"/>
    <w:rsid w:val="00D56D0B"/>
    <w:rsid w:val="00D6546B"/>
    <w:rsid w:val="00DA1A0E"/>
    <w:rsid w:val="00DB178B"/>
    <w:rsid w:val="00DC17D3"/>
    <w:rsid w:val="00DD4BED"/>
    <w:rsid w:val="00DE3133"/>
    <w:rsid w:val="00DE39F0"/>
    <w:rsid w:val="00DF0AF3"/>
    <w:rsid w:val="00DF7E9F"/>
    <w:rsid w:val="00E27D7E"/>
    <w:rsid w:val="00E42E13"/>
    <w:rsid w:val="00E56D5C"/>
    <w:rsid w:val="00E6257C"/>
    <w:rsid w:val="00E63C59"/>
    <w:rsid w:val="00E70BFD"/>
    <w:rsid w:val="00EB5770"/>
    <w:rsid w:val="00F21B10"/>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4F54D27-D830-4905-84E4-A282D007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장 제목,1,h1,l1,1st level,título 1,Normal + Font: Helvetica,Bold,Space Before 12 pt,Not Bold,Titre 1b,H1,AboutDocument,H1-TS,h11,h12,h13,h14,h15,h16,h17,h111,h121,h131,h141,h151,h161,h18,h112,h122,h132,h142,h152,h162,h19,h113,h123,h133,h143,h153"/>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0B6C9D"/>
    <w:pPr>
      <w:spacing w:after="240"/>
      <w:jc w:val="center"/>
    </w:pPr>
    <w:rPr>
      <w:rFonts w:ascii="Times New Roman Bold" w:hAnsi="Times New Roman Bold"/>
      <w:b/>
      <w:sz w:val="20"/>
    </w:rPr>
  </w:style>
  <w:style w:type="character" w:styleId="PageNumber">
    <w:name w:val="page number"/>
    <w:basedOn w:val="DefaultParagraphFont"/>
    <w:rsid w:val="00E63C59"/>
  </w:style>
  <w:style w:type="paragraph" w:customStyle="1" w:styleId="Figuretitle">
    <w:name w:val="Figure_title"/>
    <w:basedOn w:val="Normal"/>
    <w:next w:val="Normal"/>
    <w:rsid w:val="000B6C9D"/>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0"/>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eading1Char">
    <w:name w:val="Heading 1 Char"/>
    <w:aliases w:val="장 제목 Char,1 Char,h1 Char,l1 Char,1st level Char,título 1 Char,Normal + Font: Helvetica Char,Bold Char,Space Before 12 pt Char,Not Bold Char,Titre 1b Char,H1 Char,AboutDocument Char,H1-TS Char,h11 Char,h12 Char,h13 Char,h14 Char,h15 Char"/>
    <w:basedOn w:val="DefaultParagraphFont"/>
    <w:link w:val="Heading1"/>
    <w:rsid w:val="00E70BFD"/>
    <w:rPr>
      <w:rFonts w:ascii="Times New Roman" w:hAnsi="Times New Roman"/>
      <w:b/>
      <w:sz w:val="28"/>
      <w:lang w:val="en-GB" w:eastAsia="en-US"/>
    </w:rPr>
  </w:style>
  <w:style w:type="character" w:customStyle="1" w:styleId="enumlev1Char">
    <w:name w:val="enumlev1 Char"/>
    <w:basedOn w:val="DefaultParagraphFont"/>
    <w:link w:val="enumlev1"/>
    <w:locked/>
    <w:rsid w:val="00E70BFD"/>
    <w:rPr>
      <w:rFonts w:ascii="Times New Roman" w:hAnsi="Times New Roman"/>
      <w:sz w:val="24"/>
      <w:lang w:val="en-GB" w:eastAsia="en-US"/>
    </w:rPr>
  </w:style>
  <w:style w:type="character" w:customStyle="1" w:styleId="FigureNo0">
    <w:name w:val="Figure_No (文字)"/>
    <w:basedOn w:val="DefaultParagraphFont"/>
    <w:link w:val="FigureNo"/>
    <w:rsid w:val="00E70BFD"/>
    <w:rPr>
      <w:rFonts w:ascii="Times New Roman" w:hAnsi="Times New Roman"/>
      <w:caps/>
      <w:lang w:val="en-GB" w:eastAsia="en-US"/>
    </w:rPr>
  </w:style>
  <w:style w:type="table" w:styleId="TableGrid">
    <w:name w:val="Table Grid"/>
    <w:basedOn w:val="TableNormal"/>
    <w:uiPriority w:val="59"/>
    <w:rsid w:val="00E70BFD"/>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70BFD"/>
    <w:pPr>
      <w:tabs>
        <w:tab w:val="clear" w:pos="1134"/>
        <w:tab w:val="clear" w:pos="1871"/>
        <w:tab w:val="clear" w:pos="2268"/>
      </w:tabs>
      <w:overflowPunct/>
      <w:autoSpaceDE/>
      <w:autoSpaceDN/>
      <w:adjustRightInd/>
      <w:spacing w:before="100" w:after="100" w:line="240" w:lineRule="atLeast"/>
      <w:textAlignment w:val="auto"/>
    </w:pPr>
    <w:rPr>
      <w:rFonts w:ascii="Verdana" w:hAnsi="Verdana"/>
      <w:color w:val="000000"/>
      <w:sz w:val="18"/>
      <w:szCs w:val="18"/>
      <w:lang w:val="en-US"/>
    </w:rPr>
  </w:style>
  <w:style w:type="character" w:customStyle="1" w:styleId="NormalaftertitleChar">
    <w:name w:val="Normal_after_title Char"/>
    <w:link w:val="Normalaftertitle"/>
    <w:locked/>
    <w:rsid w:val="00E70BFD"/>
    <w:rPr>
      <w:rFonts w:ascii="Times New Roman" w:hAnsi="Times New Roman"/>
      <w:sz w:val="24"/>
      <w:lang w:val="en-GB" w:eastAsia="en-US"/>
    </w:rPr>
  </w:style>
  <w:style w:type="character" w:customStyle="1" w:styleId="SourceChar">
    <w:name w:val="Source Char"/>
    <w:basedOn w:val="DefaultParagraphFont"/>
    <w:link w:val="Source"/>
    <w:rsid w:val="00E70BFD"/>
    <w:rPr>
      <w:rFonts w:ascii="Times New Roman" w:hAnsi="Times New Roman"/>
      <w:b/>
      <w:sz w:val="28"/>
      <w:lang w:val="en-GB" w:eastAsia="en-US"/>
    </w:rPr>
  </w:style>
  <w:style w:type="character" w:customStyle="1" w:styleId="Title1Char">
    <w:name w:val="Title 1 Char"/>
    <w:link w:val="Title1"/>
    <w:locked/>
    <w:rsid w:val="00E70BFD"/>
    <w:rPr>
      <w:rFonts w:ascii="Times New Roman" w:hAnsi="Times New Roman"/>
      <w:caps/>
      <w:sz w:val="28"/>
      <w:lang w:val="en-GB" w:eastAsia="en-US"/>
    </w:rPr>
  </w:style>
  <w:style w:type="character" w:styleId="Hyperlink">
    <w:name w:val="Hyperlink"/>
    <w:basedOn w:val="DefaultParagraphFont"/>
    <w:uiPriority w:val="99"/>
    <w:unhideWhenUsed/>
    <w:rsid w:val="00B77397"/>
    <w:rPr>
      <w:color w:val="0000FF" w:themeColor="hyperlink"/>
      <w:u w:val="single"/>
    </w:rPr>
  </w:style>
  <w:style w:type="paragraph" w:customStyle="1" w:styleId="Tablefin">
    <w:name w:val="Table_fin"/>
    <w:basedOn w:val="Normal"/>
    <w:rsid w:val="00EB5770"/>
    <w:pPr>
      <w:spacing w:before="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_9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E6B28-4A2F-4215-89C5-7C96360C3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PE_BR_90.dotm</Template>
  <TotalTime>2</TotalTime>
  <Pages>16</Pages>
  <Words>3500</Words>
  <Characters>19893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dc:creator>
  <cp:lastModifiedBy>ITU</cp:lastModifiedBy>
  <cp:revision>3</cp:revision>
  <cp:lastPrinted>2008-02-21T14:04:00Z</cp:lastPrinted>
  <dcterms:created xsi:type="dcterms:W3CDTF">2017-04-03T14:29:00Z</dcterms:created>
  <dcterms:modified xsi:type="dcterms:W3CDTF">2017-04-04T12:27:00Z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