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101E" w:rsidRPr="00423A6E" w:rsidRDefault="0071101E">
      <w:pPr>
        <w:spacing w:before="0" w:line="276" w:lineRule="auto"/>
        <w:rPr>
          <w:rFonts w:ascii="Arial" w:eastAsia="Arial" w:hAnsi="Arial" w:cs="Arial"/>
          <w:sz w:val="22"/>
          <w:szCs w:val="22"/>
          <w:lang w:val="en-US"/>
        </w:rPr>
      </w:pPr>
    </w:p>
    <w:tbl>
      <w:tblPr>
        <w:tblStyle w:val="a3"/>
        <w:tblW w:w="10031" w:type="dxa"/>
        <w:jc w:val="center"/>
        <w:tblLayout w:type="fixed"/>
        <w:tblLook w:val="0000" w:firstRow="0" w:lastRow="0" w:firstColumn="0" w:lastColumn="0" w:noHBand="0" w:noVBand="0"/>
      </w:tblPr>
      <w:tblGrid>
        <w:gridCol w:w="10031"/>
      </w:tblGrid>
      <w:tr w:rsidR="0071101E" w:rsidTr="005B37D6">
        <w:trPr>
          <w:jc w:val="center"/>
        </w:trPr>
        <w:tc>
          <w:tcPr>
            <w:tcW w:w="10031" w:type="dxa"/>
          </w:tcPr>
          <w:p w:rsidR="0071101E" w:rsidRDefault="00E136AE" w:rsidP="005B37D6">
            <w:pPr>
              <w:tabs>
                <w:tab w:val="left" w:pos="567"/>
                <w:tab w:val="left" w:pos="1701"/>
                <w:tab w:val="left" w:pos="2835"/>
              </w:tabs>
              <w:spacing w:before="240"/>
              <w:jc w:val="center"/>
              <w:rPr>
                <w:b/>
                <w:smallCaps/>
              </w:rPr>
            </w:pPr>
            <w:bookmarkStart w:id="0" w:name="gjdgxs" w:colFirst="0" w:colLast="0"/>
            <w:bookmarkEnd w:id="0"/>
            <w:r>
              <w:rPr>
                <w:b/>
                <w:smallCaps/>
              </w:rPr>
              <w:t xml:space="preserve">POSITION OF THE RCC COMMUNICATIONS ADMINISTRATIONS ON AGENDA ITEMS FOR </w:t>
            </w:r>
            <w:proofErr w:type="spellStart"/>
            <w:r>
              <w:rPr>
                <w:b/>
                <w:smallCaps/>
              </w:rPr>
              <w:t>tHE</w:t>
            </w:r>
            <w:proofErr w:type="spellEnd"/>
            <w:r>
              <w:rPr>
                <w:b/>
                <w:smallCaps/>
              </w:rPr>
              <w:t xml:space="preserve"> 2019 WORLD RADIOCOMMUNICATION CONFERENCE</w:t>
            </w:r>
          </w:p>
        </w:tc>
      </w:tr>
    </w:tbl>
    <w:p w:rsidR="0071101E" w:rsidRDefault="00E136AE">
      <w:pPr>
        <w:ind w:firstLine="567"/>
        <w:jc w:val="center"/>
        <w:rPr>
          <w:b/>
          <w:i/>
        </w:rPr>
      </w:pPr>
      <w:bookmarkStart w:id="1" w:name="_GoBack"/>
      <w:bookmarkEnd w:id="1"/>
      <w:r>
        <w:rPr>
          <w:b/>
          <w:i/>
        </w:rPr>
        <w:t>(</w:t>
      </w:r>
      <w:proofErr w:type="gramStart"/>
      <w:r>
        <w:rPr>
          <w:b/>
          <w:i/>
        </w:rPr>
        <w:t>version</w:t>
      </w:r>
      <w:proofErr w:type="gramEnd"/>
      <w:r>
        <w:rPr>
          <w:b/>
          <w:i/>
        </w:rPr>
        <w:t xml:space="preserve"> of September 12, 2019) </w:t>
      </w:r>
    </w:p>
    <w:p w:rsidR="0071101E" w:rsidRDefault="00B53A75">
      <w:pPr>
        <w:ind w:firstLine="567"/>
        <w:jc w:val="center"/>
        <w:rPr>
          <w:b/>
          <w:i/>
        </w:rPr>
      </w:pPr>
      <w:hyperlink w:anchor="_3znysh7">
        <w:r w:rsidR="00E136AE">
          <w:rPr>
            <w:b/>
            <w:i/>
            <w:color w:val="0000FF"/>
            <w:u w:val="single"/>
          </w:rPr>
          <w:t>1.1</w:t>
        </w:r>
      </w:hyperlink>
      <w:r w:rsidR="00E136AE">
        <w:rPr>
          <w:b/>
          <w:i/>
        </w:rPr>
        <w:t xml:space="preserve">, </w:t>
      </w:r>
      <w:hyperlink w:anchor="_2et92p0">
        <w:r w:rsidR="00E136AE">
          <w:rPr>
            <w:b/>
            <w:i/>
            <w:color w:val="0000FF"/>
            <w:u w:val="single"/>
          </w:rPr>
          <w:t>1.2</w:t>
        </w:r>
      </w:hyperlink>
      <w:r w:rsidR="00E136AE">
        <w:rPr>
          <w:b/>
          <w:i/>
        </w:rPr>
        <w:t xml:space="preserve">, </w:t>
      </w:r>
      <w:hyperlink w:anchor="_tyjcwt">
        <w:r w:rsidR="00E136AE">
          <w:rPr>
            <w:b/>
            <w:i/>
            <w:color w:val="0000FF"/>
            <w:u w:val="single"/>
          </w:rPr>
          <w:t>1.3</w:t>
        </w:r>
      </w:hyperlink>
      <w:r w:rsidR="00E136AE">
        <w:rPr>
          <w:b/>
          <w:i/>
        </w:rPr>
        <w:t xml:space="preserve">, </w:t>
      </w:r>
      <w:hyperlink w:anchor="_3dy6vkm">
        <w:r w:rsidR="00E136AE">
          <w:rPr>
            <w:b/>
            <w:i/>
            <w:color w:val="0000FF"/>
            <w:u w:val="single"/>
          </w:rPr>
          <w:t>1.4</w:t>
        </w:r>
      </w:hyperlink>
      <w:r w:rsidR="00E136AE">
        <w:rPr>
          <w:b/>
          <w:i/>
        </w:rPr>
        <w:t xml:space="preserve">, </w:t>
      </w:r>
      <w:hyperlink w:anchor="_1t3h5sf">
        <w:r w:rsidR="00E136AE">
          <w:rPr>
            <w:b/>
            <w:i/>
            <w:color w:val="0000FF"/>
            <w:u w:val="single"/>
          </w:rPr>
          <w:t>1.5</w:t>
        </w:r>
      </w:hyperlink>
      <w:r w:rsidR="00E136AE">
        <w:rPr>
          <w:b/>
          <w:i/>
        </w:rPr>
        <w:t xml:space="preserve">, </w:t>
      </w:r>
      <w:hyperlink w:anchor="_4d34og8">
        <w:r w:rsidR="00E136AE">
          <w:rPr>
            <w:b/>
            <w:i/>
            <w:color w:val="0000FF"/>
            <w:u w:val="single"/>
          </w:rPr>
          <w:t>1.6</w:t>
        </w:r>
      </w:hyperlink>
      <w:r w:rsidR="00E136AE">
        <w:rPr>
          <w:b/>
          <w:i/>
        </w:rPr>
        <w:t xml:space="preserve">, </w:t>
      </w:r>
      <w:hyperlink w:anchor="_2s8eyo1">
        <w:r w:rsidR="00E136AE">
          <w:rPr>
            <w:b/>
            <w:i/>
            <w:color w:val="0000FF"/>
            <w:u w:val="single"/>
          </w:rPr>
          <w:t>1.7</w:t>
        </w:r>
      </w:hyperlink>
      <w:r w:rsidR="00E136AE">
        <w:rPr>
          <w:b/>
          <w:i/>
        </w:rPr>
        <w:t xml:space="preserve">, </w:t>
      </w:r>
      <w:hyperlink w:anchor="_17dp8vu">
        <w:r w:rsidR="00E136AE">
          <w:rPr>
            <w:b/>
            <w:i/>
            <w:color w:val="0000FF"/>
            <w:u w:val="single"/>
          </w:rPr>
          <w:t>1.8</w:t>
        </w:r>
      </w:hyperlink>
      <w:r w:rsidR="00E136AE">
        <w:rPr>
          <w:b/>
          <w:i/>
        </w:rPr>
        <w:t xml:space="preserve">, </w:t>
      </w:r>
      <w:hyperlink w:anchor="_3rdcrjn">
        <w:r w:rsidR="00E136AE">
          <w:rPr>
            <w:b/>
            <w:i/>
            <w:color w:val="0000FF"/>
            <w:u w:val="single"/>
          </w:rPr>
          <w:t>1.9.1</w:t>
        </w:r>
      </w:hyperlink>
      <w:r w:rsidR="00E136AE">
        <w:rPr>
          <w:b/>
          <w:i/>
        </w:rPr>
        <w:t xml:space="preserve">, </w:t>
      </w:r>
      <w:hyperlink w:anchor="_26in1rg">
        <w:r w:rsidR="00E136AE">
          <w:rPr>
            <w:b/>
            <w:i/>
            <w:color w:val="0000FF"/>
            <w:u w:val="single"/>
          </w:rPr>
          <w:t>1.9.2</w:t>
        </w:r>
      </w:hyperlink>
      <w:r w:rsidR="00E136AE">
        <w:rPr>
          <w:b/>
          <w:i/>
        </w:rPr>
        <w:t xml:space="preserve">, </w:t>
      </w:r>
      <w:hyperlink w:anchor="_lnxbz9">
        <w:r w:rsidR="00E136AE">
          <w:rPr>
            <w:b/>
            <w:i/>
            <w:color w:val="0000FF"/>
            <w:u w:val="single"/>
          </w:rPr>
          <w:t>1.10</w:t>
        </w:r>
      </w:hyperlink>
      <w:r w:rsidR="00E136AE">
        <w:rPr>
          <w:b/>
          <w:i/>
        </w:rPr>
        <w:t xml:space="preserve">, </w:t>
      </w:r>
      <w:hyperlink w:anchor="_35nkun2">
        <w:r w:rsidR="00E136AE">
          <w:rPr>
            <w:b/>
            <w:i/>
            <w:color w:val="0000FF"/>
            <w:u w:val="single"/>
          </w:rPr>
          <w:t>1.11</w:t>
        </w:r>
      </w:hyperlink>
      <w:r w:rsidR="00E136AE">
        <w:rPr>
          <w:b/>
          <w:i/>
        </w:rPr>
        <w:t xml:space="preserve">, </w:t>
      </w:r>
      <w:hyperlink w:anchor="_1ksv4uv">
        <w:r w:rsidR="00E136AE">
          <w:rPr>
            <w:b/>
            <w:i/>
            <w:color w:val="0000FF"/>
            <w:u w:val="single"/>
          </w:rPr>
          <w:t>1.12</w:t>
        </w:r>
      </w:hyperlink>
      <w:r w:rsidR="00E136AE">
        <w:rPr>
          <w:b/>
          <w:i/>
        </w:rPr>
        <w:t xml:space="preserve">, </w:t>
      </w:r>
      <w:hyperlink w:anchor="_44sinio">
        <w:r w:rsidR="00E136AE">
          <w:rPr>
            <w:b/>
            <w:i/>
            <w:color w:val="0000FF"/>
            <w:u w:val="single"/>
          </w:rPr>
          <w:t>1.13</w:t>
        </w:r>
      </w:hyperlink>
      <w:r w:rsidR="00E136AE">
        <w:rPr>
          <w:b/>
          <w:i/>
        </w:rPr>
        <w:t xml:space="preserve">, </w:t>
      </w:r>
      <w:hyperlink w:anchor="_2jxsxqh">
        <w:r w:rsidR="00E136AE">
          <w:rPr>
            <w:b/>
            <w:i/>
            <w:color w:val="0000FF"/>
            <w:u w:val="single"/>
          </w:rPr>
          <w:t>1.14</w:t>
        </w:r>
      </w:hyperlink>
      <w:r w:rsidR="00E136AE">
        <w:rPr>
          <w:b/>
          <w:i/>
        </w:rPr>
        <w:t xml:space="preserve">, </w:t>
      </w:r>
      <w:hyperlink w:anchor="_z337ya">
        <w:r w:rsidR="00E136AE">
          <w:rPr>
            <w:b/>
            <w:i/>
            <w:color w:val="0000FF"/>
            <w:u w:val="single"/>
          </w:rPr>
          <w:t>1.15</w:t>
        </w:r>
      </w:hyperlink>
      <w:r w:rsidR="00E136AE">
        <w:rPr>
          <w:b/>
          <w:i/>
        </w:rPr>
        <w:t xml:space="preserve">, </w:t>
      </w:r>
      <w:hyperlink w:anchor="_3j2qqm3">
        <w:r w:rsidR="00E136AE">
          <w:rPr>
            <w:b/>
            <w:i/>
            <w:color w:val="0000FF"/>
            <w:u w:val="single"/>
          </w:rPr>
          <w:t>1.16</w:t>
        </w:r>
      </w:hyperlink>
      <w:r w:rsidR="00E136AE">
        <w:rPr>
          <w:b/>
          <w:i/>
        </w:rPr>
        <w:t xml:space="preserve">, </w:t>
      </w:r>
      <w:hyperlink w:anchor="_1y810tw">
        <w:r w:rsidR="00E136AE">
          <w:rPr>
            <w:b/>
            <w:i/>
            <w:color w:val="0000FF"/>
            <w:u w:val="single"/>
          </w:rPr>
          <w:t>2</w:t>
        </w:r>
      </w:hyperlink>
      <w:r w:rsidR="00E136AE">
        <w:rPr>
          <w:b/>
          <w:i/>
        </w:rPr>
        <w:t xml:space="preserve">, </w:t>
      </w:r>
      <w:hyperlink w:anchor="_4i7ojhp">
        <w:r w:rsidR="00E136AE">
          <w:rPr>
            <w:b/>
            <w:i/>
            <w:color w:val="0000FF"/>
            <w:u w:val="single"/>
          </w:rPr>
          <w:t>4</w:t>
        </w:r>
      </w:hyperlink>
      <w:r w:rsidR="00E136AE">
        <w:rPr>
          <w:b/>
          <w:i/>
        </w:rPr>
        <w:t xml:space="preserve">, </w:t>
      </w:r>
      <w:hyperlink w:anchor="_2xcytpi">
        <w:r w:rsidR="00E136AE">
          <w:rPr>
            <w:b/>
            <w:i/>
            <w:color w:val="0000FF"/>
            <w:u w:val="single"/>
          </w:rPr>
          <w:t>7</w:t>
        </w:r>
      </w:hyperlink>
      <w:r w:rsidR="00E136AE">
        <w:rPr>
          <w:b/>
          <w:i/>
        </w:rPr>
        <w:t xml:space="preserve">, </w:t>
      </w:r>
      <w:hyperlink w:anchor="_1fob9te">
        <w:r w:rsidR="00E136AE">
          <w:rPr>
            <w:b/>
            <w:i/>
            <w:color w:val="0000FF"/>
            <w:u w:val="single"/>
          </w:rPr>
          <w:t>8</w:t>
        </w:r>
      </w:hyperlink>
      <w:r w:rsidR="00E136AE">
        <w:rPr>
          <w:b/>
          <w:i/>
        </w:rPr>
        <w:t xml:space="preserve">, </w:t>
      </w:r>
      <w:hyperlink w:anchor="_1ci93xb">
        <w:r w:rsidR="00E136AE">
          <w:rPr>
            <w:b/>
            <w:i/>
            <w:color w:val="0000FF"/>
            <w:u w:val="single"/>
          </w:rPr>
          <w:t>9.1.1</w:t>
        </w:r>
      </w:hyperlink>
      <w:r w:rsidR="00E136AE">
        <w:rPr>
          <w:b/>
          <w:i/>
        </w:rPr>
        <w:t xml:space="preserve">, </w:t>
      </w:r>
      <w:hyperlink w:anchor="_3whwml4">
        <w:r w:rsidR="00E136AE">
          <w:rPr>
            <w:b/>
            <w:i/>
            <w:color w:val="0000FF"/>
            <w:u w:val="single"/>
          </w:rPr>
          <w:t>9.1.2</w:t>
        </w:r>
      </w:hyperlink>
      <w:r w:rsidR="00E136AE">
        <w:rPr>
          <w:b/>
          <w:i/>
        </w:rPr>
        <w:t xml:space="preserve">, </w:t>
      </w:r>
      <w:hyperlink w:anchor="_2bn6wsx">
        <w:r w:rsidR="00E136AE">
          <w:rPr>
            <w:b/>
            <w:i/>
            <w:color w:val="0000FF"/>
            <w:u w:val="single"/>
          </w:rPr>
          <w:t>9.1.3</w:t>
        </w:r>
      </w:hyperlink>
      <w:r w:rsidR="00E136AE">
        <w:rPr>
          <w:b/>
          <w:i/>
        </w:rPr>
        <w:t xml:space="preserve">, </w:t>
      </w:r>
      <w:hyperlink w:anchor="_qsh70q">
        <w:r w:rsidR="00E136AE">
          <w:rPr>
            <w:b/>
            <w:i/>
            <w:color w:val="0000FF"/>
            <w:u w:val="single"/>
          </w:rPr>
          <w:t>9.1.4</w:t>
        </w:r>
      </w:hyperlink>
      <w:r w:rsidR="00E136AE">
        <w:rPr>
          <w:b/>
          <w:i/>
        </w:rPr>
        <w:t xml:space="preserve">, </w:t>
      </w:r>
      <w:hyperlink w:anchor="_3as4poj">
        <w:r w:rsidR="00E136AE">
          <w:rPr>
            <w:b/>
            <w:i/>
            <w:color w:val="0000FF"/>
            <w:u w:val="single"/>
          </w:rPr>
          <w:t>9.1.5</w:t>
        </w:r>
      </w:hyperlink>
      <w:r w:rsidR="00E136AE">
        <w:rPr>
          <w:b/>
          <w:i/>
        </w:rPr>
        <w:t xml:space="preserve">, </w:t>
      </w:r>
      <w:hyperlink w:anchor="_1pxezwc">
        <w:r w:rsidR="00E136AE">
          <w:rPr>
            <w:b/>
            <w:i/>
            <w:color w:val="0000FF"/>
            <w:u w:val="single"/>
          </w:rPr>
          <w:t>9.1.6</w:t>
        </w:r>
      </w:hyperlink>
      <w:r w:rsidR="00E136AE">
        <w:rPr>
          <w:b/>
          <w:i/>
        </w:rPr>
        <w:t xml:space="preserve">, </w:t>
      </w:r>
      <w:hyperlink w:anchor="_49x2ik5">
        <w:r w:rsidR="00E136AE">
          <w:rPr>
            <w:b/>
            <w:i/>
            <w:color w:val="0000FF"/>
            <w:u w:val="single"/>
          </w:rPr>
          <w:t>9.1.7</w:t>
        </w:r>
      </w:hyperlink>
      <w:r w:rsidR="00E136AE">
        <w:rPr>
          <w:b/>
          <w:i/>
        </w:rPr>
        <w:t xml:space="preserve">, </w:t>
      </w:r>
      <w:hyperlink w:anchor="_2p2csry">
        <w:r w:rsidR="00E136AE">
          <w:rPr>
            <w:b/>
            <w:i/>
            <w:color w:val="0000FF"/>
            <w:u w:val="single"/>
          </w:rPr>
          <w:t>9.1.8</w:t>
        </w:r>
      </w:hyperlink>
      <w:r w:rsidR="00E136AE">
        <w:rPr>
          <w:b/>
          <w:i/>
        </w:rPr>
        <w:t xml:space="preserve">, </w:t>
      </w:r>
      <w:hyperlink w:anchor="_147n2zr">
        <w:r w:rsidR="00E136AE">
          <w:rPr>
            <w:b/>
            <w:i/>
            <w:color w:val="0000FF"/>
            <w:u w:val="single"/>
          </w:rPr>
          <w:t>9.1.9</w:t>
        </w:r>
      </w:hyperlink>
      <w:r w:rsidR="00E136AE">
        <w:rPr>
          <w:b/>
          <w:i/>
        </w:rPr>
        <w:t xml:space="preserve">, </w:t>
      </w:r>
      <w:hyperlink w:anchor="_3o7alnk">
        <w:r w:rsidR="00E136AE">
          <w:rPr>
            <w:b/>
            <w:i/>
            <w:color w:val="0000FF"/>
            <w:u w:val="single"/>
          </w:rPr>
          <w:t>9.2</w:t>
        </w:r>
      </w:hyperlink>
      <w:r w:rsidR="00E136AE">
        <w:rPr>
          <w:b/>
          <w:i/>
        </w:rPr>
        <w:t xml:space="preserve">, </w:t>
      </w:r>
      <w:hyperlink w:anchor="_23ckvvd">
        <w:r w:rsidR="00E136AE">
          <w:rPr>
            <w:b/>
            <w:i/>
            <w:color w:val="0000FF"/>
            <w:u w:val="single"/>
          </w:rPr>
          <w:t>9.3</w:t>
        </w:r>
      </w:hyperlink>
      <w:r w:rsidR="00E136AE">
        <w:rPr>
          <w:b/>
          <w:i/>
        </w:rPr>
        <w:t xml:space="preserve">, </w:t>
      </w:r>
      <w:hyperlink w:anchor="_ihv636">
        <w:r w:rsidR="00E136AE">
          <w:rPr>
            <w:b/>
            <w:i/>
            <w:color w:val="0000FF"/>
            <w:u w:val="single"/>
          </w:rPr>
          <w:t>10</w:t>
        </w:r>
      </w:hyperlink>
    </w:p>
    <w:p w:rsidR="0071101E" w:rsidRDefault="0071101E">
      <w:pPr>
        <w:spacing w:before="0" w:after="120"/>
      </w:pPr>
      <w:bookmarkStart w:id="2" w:name="30j0zll" w:colFirst="0" w:colLast="0"/>
      <w:bookmarkEnd w:id="2"/>
    </w:p>
    <w:p w:rsidR="0071101E" w:rsidRDefault="00E136AE">
      <w:bookmarkStart w:id="3" w:name="_1fob9te" w:colFirst="0" w:colLast="0"/>
      <w:bookmarkEnd w:id="3"/>
      <w:r>
        <w:t xml:space="preserve">Administrations of the participant countries of the Regional Commonwealth in the field of Communications (RCC), </w:t>
      </w:r>
    </w:p>
    <w:p w:rsidR="0071101E" w:rsidRDefault="00E136AE">
      <w:pPr>
        <w:keepNext/>
        <w:keepLines/>
        <w:spacing w:before="160"/>
        <w:ind w:left="1134"/>
        <w:rPr>
          <w:i/>
        </w:rPr>
      </w:pPr>
      <w:proofErr w:type="gramStart"/>
      <w:r>
        <w:rPr>
          <w:i/>
        </w:rPr>
        <w:t>recognizing</w:t>
      </w:r>
      <w:proofErr w:type="gramEnd"/>
      <w:r>
        <w:rPr>
          <w:i/>
        </w:rPr>
        <w:t xml:space="preserve"> the need</w:t>
      </w:r>
    </w:p>
    <w:p w:rsidR="0071101E" w:rsidRDefault="00E136AE">
      <w:pPr>
        <w:tabs>
          <w:tab w:val="left" w:pos="2608"/>
          <w:tab w:val="left" w:pos="3345"/>
        </w:tabs>
        <w:spacing w:before="80"/>
        <w:ind w:left="1134" w:hanging="1134"/>
      </w:pPr>
      <w:r>
        <w:t>−</w:t>
      </w:r>
      <w:r>
        <w:tab/>
      </w:r>
      <w:proofErr w:type="gramStart"/>
      <w:r>
        <w:t>to</w:t>
      </w:r>
      <w:proofErr w:type="gramEnd"/>
      <w:r>
        <w:t xml:space="preserve"> improve regulation and increase efficiency of radio spectrum and satellite orbits;</w:t>
      </w:r>
    </w:p>
    <w:p w:rsidR="0071101E" w:rsidRDefault="00E136AE">
      <w:pPr>
        <w:tabs>
          <w:tab w:val="left" w:pos="2608"/>
          <w:tab w:val="left" w:pos="3345"/>
        </w:tabs>
        <w:spacing w:before="80"/>
        <w:ind w:left="1134" w:hanging="1134"/>
      </w:pPr>
      <w:r>
        <w:t>−</w:t>
      </w:r>
      <w:r>
        <w:tab/>
      </w:r>
      <w:proofErr w:type="gramStart"/>
      <w:r>
        <w:t>to</w:t>
      </w:r>
      <w:proofErr w:type="gramEnd"/>
      <w:r>
        <w:t xml:space="preserve"> establish conditions for the development of </w:t>
      </w:r>
      <w:proofErr w:type="spellStart"/>
      <w:r>
        <w:t>radiocommunications</w:t>
      </w:r>
      <w:proofErr w:type="spellEnd"/>
      <w:r>
        <w:t xml:space="preserve"> and introduction of new radio technologies;</w:t>
      </w:r>
    </w:p>
    <w:p w:rsidR="0071101E" w:rsidRDefault="00E136AE">
      <w:pPr>
        <w:tabs>
          <w:tab w:val="left" w:pos="2608"/>
          <w:tab w:val="left" w:pos="3345"/>
        </w:tabs>
        <w:spacing w:before="80"/>
        <w:ind w:left="1134" w:hanging="1134"/>
      </w:pPr>
      <w:r>
        <w:t>−</w:t>
      </w:r>
      <w:r>
        <w:tab/>
      </w:r>
      <w:proofErr w:type="gramStart"/>
      <w:r>
        <w:t>to</w:t>
      </w:r>
      <w:proofErr w:type="gramEnd"/>
      <w:r>
        <w:t xml:space="preserve"> maintain the balance of interests between existing and new allocations to different </w:t>
      </w:r>
      <w:proofErr w:type="spellStart"/>
      <w:r>
        <w:t>radiocommunication</w:t>
      </w:r>
      <w:proofErr w:type="spellEnd"/>
      <w:r>
        <w:t xml:space="preserve"> services;</w:t>
      </w:r>
    </w:p>
    <w:p w:rsidR="0071101E" w:rsidRDefault="00E136AE">
      <w:pPr>
        <w:tabs>
          <w:tab w:val="left" w:pos="2608"/>
          <w:tab w:val="left" w:pos="3345"/>
        </w:tabs>
        <w:spacing w:before="80"/>
        <w:ind w:left="1134" w:hanging="1134"/>
      </w:pPr>
      <w:r>
        <w:t>−</w:t>
      </w:r>
      <w:r>
        <w:tab/>
      </w:r>
      <w:proofErr w:type="gramStart"/>
      <w:r>
        <w:t>to</w:t>
      </w:r>
      <w:proofErr w:type="gramEnd"/>
      <w:r>
        <w:t xml:space="preserve"> take into account technical and economic opportunities in the development of </w:t>
      </w:r>
      <w:proofErr w:type="spellStart"/>
      <w:r>
        <w:t>radiocommunications</w:t>
      </w:r>
      <w:proofErr w:type="spellEnd"/>
      <w:r>
        <w:t xml:space="preserve"> within the ITU Member States;</w:t>
      </w:r>
    </w:p>
    <w:p w:rsidR="0071101E" w:rsidRDefault="00E136AE">
      <w:pPr>
        <w:tabs>
          <w:tab w:val="left" w:pos="2608"/>
          <w:tab w:val="left" w:pos="3345"/>
        </w:tabs>
        <w:spacing w:before="80"/>
        <w:ind w:left="1134" w:hanging="1134"/>
      </w:pPr>
      <w:r>
        <w:t>−</w:t>
      </w:r>
      <w:r>
        <w:tab/>
      </w:r>
      <w:proofErr w:type="gramStart"/>
      <w:r>
        <w:t>to</w:t>
      </w:r>
      <w:proofErr w:type="gramEnd"/>
      <w:r>
        <w:t xml:space="preserve"> strengthen regional and international cooperation in the development of </w:t>
      </w:r>
      <w:proofErr w:type="spellStart"/>
      <w:r>
        <w:t>radiocommunication</w:t>
      </w:r>
      <w:proofErr w:type="spellEnd"/>
      <w:r>
        <w:t xml:space="preserve"> equipment and systems,</w:t>
      </w:r>
    </w:p>
    <w:p w:rsidR="0071101E" w:rsidRDefault="00E136AE">
      <w:pPr>
        <w:tabs>
          <w:tab w:val="left" w:pos="2608"/>
          <w:tab w:val="left" w:pos="3345"/>
        </w:tabs>
        <w:spacing w:before="80"/>
        <w:ind w:left="1134" w:hanging="1134"/>
        <w:rPr>
          <w:i/>
        </w:rPr>
      </w:pPr>
      <w:r>
        <w:tab/>
      </w:r>
      <w:proofErr w:type="gramStart"/>
      <w:r>
        <w:rPr>
          <w:i/>
        </w:rPr>
        <w:t>noting</w:t>
      </w:r>
      <w:proofErr w:type="gramEnd"/>
    </w:p>
    <w:p w:rsidR="0071101E" w:rsidRDefault="00E136AE">
      <w:pPr>
        <w:tabs>
          <w:tab w:val="left" w:pos="2608"/>
          <w:tab w:val="left" w:pos="3345"/>
        </w:tabs>
        <w:spacing w:before="80"/>
        <w:ind w:left="1134" w:hanging="1134"/>
      </w:pPr>
      <w:r>
        <w:tab/>
        <w:t>that Member States agree with how several agenda items or issues for WRC-19 are addressed by the Conference, the RCC Administrations propose WRC-19 to address such agenda items or issues at the first Plenary meeting and take appropriate decision without their consideration at Committee meetings,</w:t>
      </w:r>
    </w:p>
    <w:p w:rsidR="0071101E" w:rsidRDefault="00E136AE">
      <w:pPr>
        <w:keepNext/>
        <w:keepLines/>
        <w:spacing w:before="160"/>
        <w:ind w:left="1134"/>
        <w:rPr>
          <w:i/>
        </w:rPr>
      </w:pPr>
      <w:proofErr w:type="gramStart"/>
      <w:r>
        <w:rPr>
          <w:i/>
        </w:rPr>
        <w:t>considering</w:t>
      </w:r>
      <w:proofErr w:type="gramEnd"/>
      <w:r>
        <w:rPr>
          <w:i/>
        </w:rPr>
        <w:t xml:space="preserve"> </w:t>
      </w:r>
    </w:p>
    <w:p w:rsidR="0071101E" w:rsidRDefault="00E136AE">
      <w:pPr>
        <w:tabs>
          <w:tab w:val="left" w:pos="794"/>
          <w:tab w:val="left" w:pos="1191"/>
          <w:tab w:val="left" w:pos="1588"/>
          <w:tab w:val="left" w:pos="1985"/>
        </w:tabs>
        <w:ind w:firstLine="709"/>
        <w:jc w:val="both"/>
        <w:rPr>
          <w:color w:val="00000A"/>
        </w:rPr>
      </w:pPr>
      <w:proofErr w:type="gramStart"/>
      <w:r>
        <w:rPr>
          <w:color w:val="00000A"/>
        </w:rPr>
        <w:t>that</w:t>
      </w:r>
      <w:proofErr w:type="gramEnd"/>
      <w:r>
        <w:rPr>
          <w:color w:val="00000A"/>
        </w:rPr>
        <w:t xml:space="preserve"> during studies on agenda items 1.6 (non-GSO FSS), 1.13 (IMT), 1.14 (HAPS) and 9.1 (Issue 9.1.9, Resolution </w:t>
      </w:r>
      <w:r>
        <w:rPr>
          <w:b/>
          <w:color w:val="00000A"/>
        </w:rPr>
        <w:t>162 (WRC-15))</w:t>
      </w:r>
      <w:r>
        <w:rPr>
          <w:color w:val="00000A"/>
        </w:rPr>
        <w:t>, it would be reasonable to identify priority and non-overlapping frequency bands for each of these items,</w:t>
      </w:r>
    </w:p>
    <w:p w:rsidR="0071101E" w:rsidRDefault="00E136AE">
      <w:pPr>
        <w:tabs>
          <w:tab w:val="left" w:pos="794"/>
          <w:tab w:val="left" w:pos="1191"/>
          <w:tab w:val="left" w:pos="1588"/>
          <w:tab w:val="left" w:pos="1985"/>
        </w:tabs>
        <w:jc w:val="both"/>
      </w:pPr>
      <w:proofErr w:type="gramStart"/>
      <w:r>
        <w:rPr>
          <w:color w:val="00000A"/>
        </w:rPr>
        <w:t>have</w:t>
      </w:r>
      <w:proofErr w:type="gramEnd"/>
      <w:r>
        <w:rPr>
          <w:color w:val="00000A"/>
        </w:rPr>
        <w:t xml:space="preserve"> developed the following position on agenda items for the 2019 World Radiocommunication Conference (WRC-</w:t>
      </w:r>
      <w:r>
        <w:t>19):</w:t>
      </w:r>
    </w:p>
    <w:p w:rsidR="0071101E" w:rsidRDefault="00E136AE">
      <w:pPr>
        <w:keepNext/>
        <w:keepLines/>
        <w:numPr>
          <w:ilvl w:val="1"/>
          <w:numId w:val="1"/>
        </w:numPr>
        <w:spacing w:before="200"/>
        <w:ind w:hanging="1128"/>
        <w:jc w:val="both"/>
        <w:rPr>
          <w:i/>
        </w:rPr>
      </w:pPr>
      <w:bookmarkStart w:id="4" w:name="_3znysh7" w:colFirst="0" w:colLast="0"/>
      <w:bookmarkEnd w:id="4"/>
      <w:r>
        <w:br w:type="page"/>
      </w:r>
      <w:r>
        <w:rPr>
          <w:i/>
        </w:rPr>
        <w:lastRenderedPageBreak/>
        <w:t xml:space="preserve">to consider an allocation of the frequency band 50-54 MHz to the amateur service in Region 1, in accordance with Resolution </w:t>
      </w:r>
      <w:r>
        <w:rPr>
          <w:b/>
          <w:i/>
        </w:rPr>
        <w:t>658 (WRC-15)</w:t>
      </w:r>
      <w:r>
        <w:rPr>
          <w:i/>
        </w:rPr>
        <w:t>;</w:t>
      </w:r>
    </w:p>
    <w:p w:rsidR="0071101E" w:rsidRDefault="00E136AE">
      <w:pPr>
        <w:ind w:firstLine="851"/>
        <w:jc w:val="both"/>
        <w:rPr>
          <w:color w:val="00000A"/>
        </w:rPr>
      </w:pPr>
      <w:r>
        <w:rPr>
          <w:color w:val="00000A"/>
        </w:rPr>
        <w:t xml:space="preserve">The RCC Administrations consider that 200 kHz is sufficient to meet the spectrum requirements for the amateur service in 50 </w:t>
      </w:r>
      <w:proofErr w:type="spellStart"/>
      <w:r>
        <w:rPr>
          <w:color w:val="00000A"/>
        </w:rPr>
        <w:t>MHz.</w:t>
      </w:r>
      <w:proofErr w:type="spellEnd"/>
    </w:p>
    <w:p w:rsidR="0071101E" w:rsidRDefault="00E136AE">
      <w:pPr>
        <w:tabs>
          <w:tab w:val="left" w:pos="794"/>
          <w:tab w:val="left" w:pos="1191"/>
          <w:tab w:val="left" w:pos="1588"/>
          <w:tab w:val="left" w:pos="1985"/>
        </w:tabs>
        <w:ind w:firstLine="709"/>
        <w:jc w:val="both"/>
        <w:rPr>
          <w:color w:val="00000A"/>
        </w:rPr>
      </w:pPr>
      <w:r>
        <w:rPr>
          <w:color w:val="00000A"/>
        </w:rPr>
        <w:t xml:space="preserve">The RCC Administrations support allocation of the band 50.080-50.280 MHz to the amateur service on a secondary basis provided that additional measures will be introduced to protect broadcasting service on the border of an administration using broadcasting service. </w:t>
      </w:r>
      <w:r>
        <w:rPr>
          <w:color w:val="00000A"/>
        </w:rPr>
        <w:tab/>
        <w:t>The RCC Administrations oppose allocation of the bands 50.00-50.080 MHz and 50.280-54.00 MHz to the amateur service.</w:t>
      </w:r>
    </w:p>
    <w:p w:rsidR="0071101E" w:rsidRDefault="00E136AE">
      <w:pPr>
        <w:tabs>
          <w:tab w:val="left" w:pos="794"/>
          <w:tab w:val="left" w:pos="1191"/>
          <w:tab w:val="left" w:pos="1588"/>
          <w:tab w:val="left" w:pos="1985"/>
        </w:tabs>
        <w:ind w:firstLine="709"/>
        <w:jc w:val="both"/>
        <w:rPr>
          <w:color w:val="00000A"/>
        </w:rPr>
      </w:pPr>
      <w:r>
        <w:rPr>
          <w:color w:val="00000A"/>
        </w:rPr>
        <w:t>The RCC Administrations consider that, when identifying technical and regulatory conditions for such allocation, protection shall be ensured to the broadcasting service to which this frequency band is allocated on a primary basis, including stations of the broadcasting service in the frequency band 50-54 MHz, regulated by Stockholm-61 and Geneva-89.</w:t>
      </w:r>
    </w:p>
    <w:p w:rsidR="0071101E" w:rsidRDefault="00E136AE">
      <w:pPr>
        <w:keepNext/>
        <w:keepLines/>
        <w:spacing w:before="200"/>
        <w:jc w:val="both"/>
        <w:rPr>
          <w:i/>
        </w:rPr>
      </w:pPr>
      <w:bookmarkStart w:id="5" w:name="_2et92p0" w:colFirst="0" w:colLast="0"/>
      <w:bookmarkEnd w:id="5"/>
      <w:r>
        <w:rPr>
          <w:i/>
        </w:rPr>
        <w:t>1.2</w:t>
      </w:r>
      <w:r>
        <w:rPr>
          <w:i/>
        </w:rPr>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Pr>
          <w:b/>
          <w:i/>
        </w:rPr>
        <w:t>765 (WRC-15)</w:t>
      </w:r>
      <w:r>
        <w:rPr>
          <w:i/>
        </w:rPr>
        <w:t>;</w:t>
      </w:r>
    </w:p>
    <w:p w:rsidR="0071101E" w:rsidRDefault="00E136AE">
      <w:pPr>
        <w:tabs>
          <w:tab w:val="left" w:pos="794"/>
          <w:tab w:val="left" w:pos="1191"/>
          <w:tab w:val="left" w:pos="1588"/>
          <w:tab w:val="left" w:pos="1985"/>
        </w:tabs>
        <w:ind w:firstLine="709"/>
        <w:jc w:val="both"/>
        <w:rPr>
          <w:color w:val="00000A"/>
        </w:rPr>
      </w:pPr>
      <w:r>
        <w:rPr>
          <w:color w:val="00000A"/>
        </w:rPr>
        <w:t>The RCC Administrations support establishing equivalent isotropic radiated power (EIRP)  limit in any reference band</w:t>
      </w:r>
      <w:r>
        <w:t xml:space="preserve"> of 4 kHz as well as the limit for cumulative EIRP throughout the allocated band for a notified earth station to avoid potential power aggregation of closely spaced carriers </w:t>
      </w:r>
      <w:r>
        <w:rPr>
          <w:color w:val="00000A"/>
        </w:rPr>
        <w:t>for earth stations in the mobile satellite service in the frequency band 399.9−400.05 MHz, as well as for earth stations in the meteorological-satellite service and the Earth exploration-satellite service in the frequency band 401−403 MHz, to avoid interference to data collection systems based on the results of studies provided in  the Report ITU-R SA 2430.</w:t>
      </w:r>
    </w:p>
    <w:p w:rsidR="0071101E" w:rsidRDefault="00E136AE">
      <w:pPr>
        <w:tabs>
          <w:tab w:val="left" w:pos="794"/>
          <w:tab w:val="left" w:pos="1191"/>
          <w:tab w:val="left" w:pos="1588"/>
          <w:tab w:val="left" w:pos="1985"/>
        </w:tabs>
        <w:ind w:firstLine="709"/>
        <w:jc w:val="both"/>
        <w:rPr>
          <w:color w:val="00000A"/>
        </w:rPr>
      </w:pPr>
      <w:r>
        <w:rPr>
          <w:color w:val="00000A"/>
        </w:rPr>
        <w:t xml:space="preserve">The RCC Administrations consider that specified limits shall not cover the frequency assignments to satellite systems registered in MIFR before 22 November 2019 in frequency bands 399.9-400.05 MHz and 401-403 MHz during the transition period spanning not less than 5 years following WRC-19. At the same time, equivalent </w:t>
      </w:r>
      <w:proofErr w:type="spellStart"/>
      <w:r>
        <w:rPr>
          <w:color w:val="00000A"/>
        </w:rPr>
        <w:t>isotropically</w:t>
      </w:r>
      <w:proofErr w:type="spellEnd"/>
      <w:r>
        <w:rPr>
          <w:color w:val="00000A"/>
        </w:rPr>
        <w:t xml:space="preserve"> radiated power limit for earth stations of the existing satellite data collection systems operating in the frequency band 401.898 – 402.522 MHz, for which complete notification information has been received by the Radiocommunication Bureau by 28 April 2007, can be increased to 12 </w:t>
      </w:r>
      <w:proofErr w:type="spellStart"/>
      <w:r>
        <w:rPr>
          <w:color w:val="00000A"/>
        </w:rPr>
        <w:t>dBW</w:t>
      </w:r>
      <w:proofErr w:type="spellEnd"/>
      <w:r>
        <w:rPr>
          <w:color w:val="00000A"/>
        </w:rPr>
        <w:t>.</w:t>
      </w:r>
    </w:p>
    <w:p w:rsidR="0071101E" w:rsidRDefault="00E136AE">
      <w:pPr>
        <w:keepNext/>
        <w:keepLines/>
        <w:spacing w:before="200"/>
        <w:jc w:val="both"/>
        <w:rPr>
          <w:i/>
        </w:rPr>
      </w:pPr>
      <w:bookmarkStart w:id="6" w:name="_tyjcwt" w:colFirst="0" w:colLast="0"/>
      <w:bookmarkEnd w:id="6"/>
      <w:r>
        <w:rPr>
          <w:i/>
        </w:rPr>
        <w:t>1.3</w:t>
      </w:r>
      <w:r>
        <w:rPr>
          <w:i/>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Pr>
          <w:b/>
          <w:i/>
        </w:rPr>
        <w:t>766 (WRC-15)</w:t>
      </w:r>
      <w:r>
        <w:rPr>
          <w:i/>
        </w:rPr>
        <w:t>;</w:t>
      </w:r>
    </w:p>
    <w:p w:rsidR="0071101E" w:rsidRDefault="00E136AE">
      <w:pPr>
        <w:tabs>
          <w:tab w:val="left" w:pos="794"/>
          <w:tab w:val="left" w:pos="1191"/>
          <w:tab w:val="left" w:pos="1588"/>
          <w:tab w:val="left" w:pos="1985"/>
        </w:tabs>
        <w:ind w:firstLine="709"/>
        <w:jc w:val="both"/>
        <w:rPr>
          <w:color w:val="00000A"/>
        </w:rPr>
      </w:pPr>
      <w:r>
        <w:rPr>
          <w:color w:val="00000A"/>
        </w:rPr>
        <w:t>The RCC Administrations support upgrading the secondary allocation to the meteorological-satellite service (space-to-Earth) to a primary status as well as a primary allocation to the Earth exploration-satellite service (space-to-Earth) in the frequency band 460-470 MHz under the following conditions:</w:t>
      </w:r>
    </w:p>
    <w:p w:rsidR="0071101E" w:rsidRDefault="00E136AE">
      <w:pPr>
        <w:tabs>
          <w:tab w:val="left" w:pos="794"/>
          <w:tab w:val="left" w:pos="1191"/>
          <w:tab w:val="left" w:pos="1588"/>
          <w:tab w:val="left" w:pos="1985"/>
        </w:tabs>
        <w:ind w:firstLine="709"/>
        <w:jc w:val="both"/>
        <w:rPr>
          <w:color w:val="00000A"/>
        </w:rPr>
      </w:pPr>
      <w:r>
        <w:rPr>
          <w:b/>
          <w:color w:val="00000A"/>
        </w:rPr>
        <w:t>-</w:t>
      </w:r>
      <w:r>
        <w:rPr>
          <w:color w:val="00000A"/>
        </w:rPr>
        <w:t xml:space="preserve"> upgrading the status of allocations of the frequency bands to the meteorological-satellite service and the Earth exploration-satellite service shall be applied both for future systems as well as existing systems of these radio services;</w:t>
      </w:r>
    </w:p>
    <w:p w:rsidR="0071101E" w:rsidRDefault="00E136AE">
      <w:pPr>
        <w:tabs>
          <w:tab w:val="left" w:pos="794"/>
          <w:tab w:val="left" w:pos="1191"/>
          <w:tab w:val="left" w:pos="1588"/>
          <w:tab w:val="left" w:pos="1985"/>
        </w:tabs>
        <w:ind w:firstLine="709"/>
        <w:jc w:val="both"/>
        <w:rPr>
          <w:color w:val="00000A"/>
        </w:rPr>
      </w:pPr>
      <w:r>
        <w:rPr>
          <w:b/>
          <w:color w:val="00000A"/>
        </w:rPr>
        <w:lastRenderedPageBreak/>
        <w:t>-</w:t>
      </w:r>
      <w:r>
        <w:rPr>
          <w:color w:val="00000A"/>
        </w:rPr>
        <w:t xml:space="preserve"> for the protection of the terrestrial services to which the frequency band 460-470 MHz is allocated on a primary basis, which ensure acceptable interference level, </w:t>
      </w:r>
      <w:proofErr w:type="spellStart"/>
      <w:r>
        <w:rPr>
          <w:color w:val="00000A"/>
        </w:rPr>
        <w:t>pfd</w:t>
      </w:r>
      <w:proofErr w:type="spellEnd"/>
      <w:r>
        <w:rPr>
          <w:color w:val="00000A"/>
        </w:rPr>
        <w:t xml:space="preserve"> limits for the specified satellite services shall be established to ensure acceptable interference level. In case of non-compliance with these limits, existing satellite systems of specified services can be used on the primary basis provided that no interference is caused to stations in terrestrial services, and they do not claim protection from stations in terrestrial services;</w:t>
      </w:r>
    </w:p>
    <w:p w:rsidR="0071101E" w:rsidRDefault="00E136AE">
      <w:pPr>
        <w:tabs>
          <w:tab w:val="left" w:pos="794"/>
          <w:tab w:val="left" w:pos="1191"/>
          <w:tab w:val="left" w:pos="1588"/>
          <w:tab w:val="left" w:pos="1985"/>
        </w:tabs>
        <w:ind w:firstLine="709"/>
        <w:jc w:val="both"/>
        <w:rPr>
          <w:color w:val="00000A"/>
        </w:rPr>
      </w:pPr>
      <w:r>
        <w:rPr>
          <w:b/>
          <w:color w:val="00000A"/>
        </w:rPr>
        <w:t>-</w:t>
      </w:r>
      <w:r>
        <w:rPr>
          <w:color w:val="00000A"/>
        </w:rPr>
        <w:t xml:space="preserve"> maintaining priority of the meteorological-satellite service over the Earth exploration-satellite service should be ensured. </w:t>
      </w:r>
    </w:p>
    <w:p w:rsidR="0071101E" w:rsidRDefault="00E136AE">
      <w:pPr>
        <w:tabs>
          <w:tab w:val="left" w:pos="794"/>
          <w:tab w:val="left" w:pos="1191"/>
          <w:tab w:val="left" w:pos="1588"/>
          <w:tab w:val="left" w:pos="1985"/>
        </w:tabs>
        <w:ind w:firstLine="709"/>
        <w:jc w:val="both"/>
      </w:pPr>
      <w:r>
        <w:rPr>
          <w:color w:val="00000A"/>
        </w:rPr>
        <w:t>The RCC Administrations do not support segmentation of the frequency band 460-470 MHz for geostationary and non-geostationary satellite systems</w:t>
      </w:r>
      <w:r>
        <w:t>.</w:t>
      </w:r>
    </w:p>
    <w:p w:rsidR="0071101E" w:rsidRDefault="00E136AE">
      <w:pPr>
        <w:keepNext/>
        <w:keepLines/>
        <w:spacing w:before="200"/>
        <w:jc w:val="both"/>
        <w:rPr>
          <w:i/>
        </w:rPr>
      </w:pPr>
      <w:bookmarkStart w:id="7" w:name="_3dy6vkm" w:colFirst="0" w:colLast="0"/>
      <w:bookmarkEnd w:id="7"/>
      <w:r>
        <w:rPr>
          <w:i/>
        </w:rPr>
        <w:t>1.4</w:t>
      </w:r>
      <w:r>
        <w:rPr>
          <w:i/>
        </w:rPr>
        <w:tab/>
        <w:t xml:space="preserve">to consider the results of studies in accordance with Resolution </w:t>
      </w:r>
      <w:r>
        <w:rPr>
          <w:b/>
          <w:i/>
        </w:rPr>
        <w:t>557 (WRC-15)</w:t>
      </w:r>
      <w:r>
        <w:rPr>
          <w:i/>
        </w:rPr>
        <w:t xml:space="preserve">, and review, and revise if necessary, the limitations mentioned in Annex 7 to Appendix </w:t>
      </w:r>
      <w:r>
        <w:rPr>
          <w:b/>
          <w:i/>
        </w:rPr>
        <w:t>30 (Rev. WRC-12)</w:t>
      </w:r>
      <w:r>
        <w:rPr>
          <w:i/>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71101E" w:rsidRDefault="00E136AE">
      <w:pPr>
        <w:ind w:firstLine="709"/>
        <w:jc w:val="both"/>
      </w:pPr>
      <w:r>
        <w:t xml:space="preserve">1. The RCC Administrations do not oppose the deletion of the following limitations (Atlantic Region): </w:t>
      </w:r>
    </w:p>
    <w:p w:rsidR="0071101E" w:rsidRDefault="00E136AE">
      <w:pPr>
        <w:spacing w:before="80"/>
        <w:ind w:firstLine="720"/>
        <w:jc w:val="both"/>
      </w:pPr>
      <w:r>
        <w:t>- Limitation A1a (No assignments in the Region 1 List in the frequency band 11.7-12.2 GHz further west than 37.2°W); and</w:t>
      </w:r>
    </w:p>
    <w:p w:rsidR="0071101E" w:rsidRDefault="00E136AE">
      <w:pPr>
        <w:spacing w:before="40"/>
        <w:ind w:firstLine="709"/>
        <w:jc w:val="both"/>
      </w:pPr>
      <w:r>
        <w:t>- Limitation A2a (No modification in the Region 2 Plan in the frequency band 12.5-12.7 GHz further east than 54°W), accompanied by the use of the new Resolution, and</w:t>
      </w:r>
    </w:p>
    <w:p w:rsidR="0071101E" w:rsidRDefault="00E136AE">
      <w:pPr>
        <w:spacing w:before="80"/>
        <w:ind w:firstLine="720"/>
        <w:jc w:val="both"/>
      </w:pPr>
      <w:r>
        <w:t>- Limitation A2b (No modification in the Region 2 Plan in the frequency band 12.2-12.5 GHz further east than 44°W).</w:t>
      </w:r>
    </w:p>
    <w:p w:rsidR="0071101E" w:rsidRDefault="00E136AE">
      <w:pPr>
        <w:ind w:firstLine="720"/>
        <w:jc w:val="both"/>
      </w:pPr>
      <w:r>
        <w:t>2. The RCC Administrations do not oppose maintaining the following limitation (Pacific Region):</w:t>
      </w:r>
    </w:p>
    <w:p w:rsidR="0071101E" w:rsidRDefault="00E136AE">
      <w:pPr>
        <w:spacing w:before="80"/>
        <w:ind w:firstLine="720"/>
        <w:jc w:val="both"/>
      </w:pPr>
      <w:r>
        <w:t>- Limitation A1b (No assignments in the Region 1 List in the frequency band 11.7-12.2 GHz further east than 146°E).</w:t>
      </w:r>
    </w:p>
    <w:p w:rsidR="0071101E" w:rsidRDefault="00E136AE">
      <w:pPr>
        <w:ind w:firstLine="709"/>
        <w:jc w:val="both"/>
      </w:pPr>
      <w:r>
        <w:t xml:space="preserve">3. The RCC </w:t>
      </w:r>
      <w:proofErr w:type="gramStart"/>
      <w:r>
        <w:t>Administrations  support</w:t>
      </w:r>
      <w:proofErr w:type="gramEnd"/>
      <w:r>
        <w:t xml:space="preserve"> the deletion of the following limitations:</w:t>
      </w:r>
    </w:p>
    <w:p w:rsidR="0071101E" w:rsidRDefault="00E136AE">
      <w:pPr>
        <w:spacing w:before="80"/>
        <w:ind w:firstLine="720"/>
        <w:jc w:val="both"/>
      </w:pPr>
      <w:r>
        <w:t>- Limitation А3а (No assignments in the Regions 1 &amp; 3 List outside specific allowable portions of the orbital arc between 37.2°W and 10°E) provided the existing protection criteria from Annex 1 to RR Appendix 30 are maintained for implemented frequency assignments with an antenna diameter of 40 and 45 cm, accompanied by the use of the new Resolution;</w:t>
      </w:r>
    </w:p>
    <w:p w:rsidR="0071101E" w:rsidRDefault="00E136AE">
      <w:pPr>
        <w:spacing w:before="80"/>
        <w:ind w:firstLine="720"/>
        <w:jc w:val="both"/>
      </w:pPr>
      <w:r>
        <w:t xml:space="preserve">- Limitation A3b (Max. </w:t>
      </w:r>
      <w:proofErr w:type="spellStart"/>
      <w:r>
        <w:t>e.i.r.p</w:t>
      </w:r>
      <w:proofErr w:type="spellEnd"/>
      <w:r>
        <w:t xml:space="preserve">. of 56 </w:t>
      </w:r>
      <w:proofErr w:type="spellStart"/>
      <w:r>
        <w:t>dBW</w:t>
      </w:r>
      <w:proofErr w:type="spellEnd"/>
      <w:r>
        <w:t xml:space="preserve"> for assignments in the Regions 1 &amp; 3 List at specific allowable portions of the orbital arc between 37.2°W and 10°E),</w:t>
      </w:r>
    </w:p>
    <w:p w:rsidR="0071101E" w:rsidRDefault="00E136AE">
      <w:pPr>
        <w:spacing w:before="80"/>
        <w:ind w:firstLine="720"/>
        <w:jc w:val="both"/>
      </w:pPr>
      <w:r>
        <w:t xml:space="preserve">- Limitation A3c (Max. power flux density of -138 dB(W/(m2∙27 MHz)) at any point in Region 2 by assignments in List located at 4°W and 9°E), </w:t>
      </w:r>
    </w:p>
    <w:p w:rsidR="0071101E" w:rsidRDefault="00E136AE">
      <w:pPr>
        <w:ind w:firstLine="709"/>
        <w:jc w:val="both"/>
      </w:pPr>
      <w:r>
        <w:t>4. The RCC Administrations support maintaining</w:t>
      </w:r>
      <w:r>
        <w:rPr>
          <w:rFonts w:ascii="Arial" w:eastAsia="Arial" w:hAnsi="Arial" w:cs="Arial"/>
          <w:sz w:val="20"/>
          <w:szCs w:val="20"/>
        </w:rPr>
        <w:t xml:space="preserve"> </w:t>
      </w:r>
      <w:r>
        <w:t>the following limitation (Pacific Region):</w:t>
      </w:r>
    </w:p>
    <w:p w:rsidR="0071101E" w:rsidRDefault="00E136AE">
      <w:pPr>
        <w:spacing w:before="80"/>
        <w:ind w:firstLine="709"/>
        <w:jc w:val="both"/>
      </w:pPr>
      <w:r>
        <w:t>- Limitation A2c (No modification in the Region 2 Plan in the frequency band 12.2-12.7 GHz further west than 175.2°W).</w:t>
      </w:r>
    </w:p>
    <w:p w:rsidR="0071101E" w:rsidRDefault="00E136AE">
      <w:pPr>
        <w:ind w:firstLine="709"/>
        <w:jc w:val="both"/>
      </w:pPr>
      <w:r>
        <w:lastRenderedPageBreak/>
        <w:t>5. The RCC Administrations do not oppose maintaining the limitation B associated with the concept of the space stations grouping which the Region 2 Plan is based on.</w:t>
      </w:r>
    </w:p>
    <w:p w:rsidR="0071101E" w:rsidRDefault="00E136AE">
      <w:pPr>
        <w:ind w:firstLine="709"/>
        <w:jc w:val="both"/>
      </w:pPr>
      <w:r>
        <w:t>6. In case of deletion of appropriate limitations, the RCC Administrations support the application of the specific procedure  during a limited period of time within which the priority right to submit applications for new orbital positions is provided to the administrations of Regions 1 &amp; 3, national assignments of which have a negative equivalent protection margin on the downlink.</w:t>
      </w:r>
    </w:p>
    <w:p w:rsidR="0071101E" w:rsidRDefault="00E136AE">
      <w:pPr>
        <w:ind w:firstLine="709"/>
        <w:jc w:val="both"/>
      </w:pPr>
      <w:r>
        <w:t xml:space="preserve">7. The RCC Administrations consider that the proposals on revisions of criteria and provisions of Appendix </w:t>
      </w:r>
      <w:r>
        <w:rPr>
          <w:b/>
        </w:rPr>
        <w:t>30 (Rev. WRC-15),</w:t>
      </w:r>
      <w:r>
        <w:t xml:space="preserve"> other than of Annex 7, are beyond the scope of the studies in accordance with Resolution </w:t>
      </w:r>
      <w:r>
        <w:rPr>
          <w:b/>
        </w:rPr>
        <w:t>557 (WRC-15)</w:t>
      </w:r>
      <w:r>
        <w:t>.</w:t>
      </w:r>
    </w:p>
    <w:p w:rsidR="0071101E" w:rsidRDefault="00E136AE">
      <w:pPr>
        <w:keepNext/>
        <w:keepLines/>
        <w:spacing w:before="200"/>
        <w:jc w:val="both"/>
        <w:rPr>
          <w:i/>
        </w:rPr>
      </w:pPr>
      <w:bookmarkStart w:id="8" w:name="_1t3h5sf" w:colFirst="0" w:colLast="0"/>
      <w:bookmarkEnd w:id="8"/>
      <w:r>
        <w:rPr>
          <w:i/>
        </w:rPr>
        <w:t>1.5</w:t>
      </w:r>
      <w:r>
        <w:rPr>
          <w:i/>
        </w:rPr>
        <w:tab/>
        <w:t xml:space="preserve">to consider the use of the frequency bands 17.7-19.7 GHz (space-to-Earth) and 27.5-29.5 GHz (Earth-to-space) by earth stations in motion communicating with geostationary space stations in the fixed-satellite service and take appropriate action, in accordance with Resolution </w:t>
      </w:r>
      <w:r>
        <w:rPr>
          <w:b/>
          <w:i/>
        </w:rPr>
        <w:t>158 (WRC-15)</w:t>
      </w:r>
      <w:r>
        <w:rPr>
          <w:i/>
        </w:rPr>
        <w:t>;</w:t>
      </w:r>
    </w:p>
    <w:p w:rsidR="0071101E" w:rsidRDefault="00E136AE">
      <w:pPr>
        <w:ind w:firstLine="709"/>
        <w:jc w:val="both"/>
      </w:pPr>
      <w:r>
        <w:t>1. The RCC Administrations support a draft new Resolution [</w:t>
      </w:r>
      <w:r>
        <w:rPr>
          <w:b/>
        </w:rPr>
        <w:t>A15</w:t>
      </w:r>
      <w:r>
        <w:t xml:space="preserve">] </w:t>
      </w:r>
      <w:r>
        <w:rPr>
          <w:b/>
        </w:rPr>
        <w:t>(WRC-19)</w:t>
      </w:r>
      <w:r>
        <w:t xml:space="preserve"> which</w:t>
      </w:r>
      <w:r>
        <w:rPr>
          <w:b/>
        </w:rPr>
        <w:t>,</w:t>
      </w:r>
      <w:r>
        <w:t xml:space="preserve"> as a method of addressing WRC-19 agenda item 1.5,  shall contain technical conditions and regulatory provisions with regard to operation of earth stations in motion (ESIM) communicating with geostationary space stations in the fixed-satellite service in the frequency bands 17.7-19.7 GHz (space-to-Earth) and 27.5-29.5 GHz (Earth-to-space), to provide protection, based on existing criteria, of services having allocations in these (and adjacent) frequency bands, including EESS (passive) in the frequency band 18.6-18.8 GHz and future use of EESS (Earth-to-space) in the frequency band 28.5-29.5 GHz and also use of terrestrial services in the frequency bands 25.25-27.5 GHz and 27.5-29.5 GHz ( Method В in  the CPM Report).</w:t>
      </w:r>
    </w:p>
    <w:p w:rsidR="0071101E" w:rsidRDefault="00E136AE">
      <w:pPr>
        <w:tabs>
          <w:tab w:val="left" w:pos="794"/>
          <w:tab w:val="left" w:pos="1191"/>
          <w:tab w:val="left" w:pos="1588"/>
          <w:tab w:val="left" w:pos="1985"/>
        </w:tabs>
        <w:spacing w:before="60"/>
        <w:ind w:firstLine="709"/>
        <w:jc w:val="both"/>
      </w:pPr>
      <w:r>
        <w:t xml:space="preserve">2. The RCC Administrations consider that with regard to satellite networks or systems in space services of other administrations in the frequency bands 17.7-19.7 </w:t>
      </w:r>
      <w:proofErr w:type="gramStart"/>
      <w:r>
        <w:t>GHz  and</w:t>
      </w:r>
      <w:proofErr w:type="gramEnd"/>
      <w:r>
        <w:t xml:space="preserve"> 27.5-29.5 GHz  ESIM shall comply with the following conditions:</w:t>
      </w:r>
    </w:p>
    <w:p w:rsidR="0071101E" w:rsidRDefault="00E136AE">
      <w:pPr>
        <w:tabs>
          <w:tab w:val="left" w:pos="794"/>
          <w:tab w:val="left" w:pos="1191"/>
          <w:tab w:val="left" w:pos="1588"/>
          <w:tab w:val="left" w:pos="1985"/>
        </w:tabs>
        <w:spacing w:before="60"/>
        <w:ind w:firstLine="709"/>
        <w:jc w:val="both"/>
      </w:pPr>
      <w:r>
        <w:t xml:space="preserve">a) </w:t>
      </w:r>
      <w:proofErr w:type="gramStart"/>
      <w:r>
        <w:t>using</w:t>
      </w:r>
      <w:proofErr w:type="gramEnd"/>
      <w:r>
        <w:t xml:space="preserve"> ESIM within earlier-registered frequency assignment to typical earth station of GSO FSS satellite network, the appropriate information on such a use shall be recorded in MIFR. If frequency assignment to a typical earth station was recorded under No. </w:t>
      </w:r>
      <w:r>
        <w:rPr>
          <w:b/>
        </w:rPr>
        <w:t>11.38</w:t>
      </w:r>
      <w:r>
        <w:t xml:space="preserve">, ESIM can use this frequency assignment provided that ESIM shall not cause more interference, nor claim more protection than registered frequency assignment to the typical earth station. If frequency assignment to a typical earth station was recorded under No. </w:t>
      </w:r>
      <w:r>
        <w:rPr>
          <w:b/>
        </w:rPr>
        <w:t>11.41</w:t>
      </w:r>
      <w:r>
        <w:t xml:space="preserve">, ESIM shall not cause unacceptable interference, nor claim protection from interference, with regard to recorded frequency assignment which was the basis for the registration of the frequency assignment to a typical earth station under No. </w:t>
      </w:r>
      <w:r>
        <w:rPr>
          <w:b/>
        </w:rPr>
        <w:t>11.41</w:t>
      </w:r>
      <w:r>
        <w:t>;</w:t>
      </w:r>
    </w:p>
    <w:p w:rsidR="0071101E" w:rsidRDefault="00E136AE">
      <w:pPr>
        <w:tabs>
          <w:tab w:val="left" w:pos="794"/>
          <w:tab w:val="left" w:pos="1191"/>
          <w:tab w:val="left" w:pos="1588"/>
          <w:tab w:val="left" w:pos="1985"/>
        </w:tabs>
        <w:spacing w:before="60"/>
        <w:ind w:firstLine="709"/>
        <w:jc w:val="both"/>
      </w:pPr>
      <w:r>
        <w:t xml:space="preserve">b) using ESIM within a new frequency assignment to GSO FSS satellite network requires notifying administration to provide information to the Bureau, according to RR Appendix 4, on the characteristics of ESIM, intended to communicate with the space station of this GSO FSS network, in order to be verified by the Bureau and to publish the results in specific section of BR IFIC. In this case such a frequency assignment to ESIM needs to be coordinated and registered, according to procedures of RR Articles </w:t>
      </w:r>
      <w:r>
        <w:rPr>
          <w:b/>
        </w:rPr>
        <w:t>9</w:t>
      </w:r>
      <w:r>
        <w:t xml:space="preserve"> and </w:t>
      </w:r>
      <w:r>
        <w:rPr>
          <w:b/>
        </w:rPr>
        <w:t>11</w:t>
      </w:r>
      <w:r>
        <w:t xml:space="preserve"> in the relevant GSO FSS satellite network before  using ESIM;</w:t>
      </w:r>
    </w:p>
    <w:p w:rsidR="0071101E" w:rsidRDefault="00E136AE">
      <w:pPr>
        <w:tabs>
          <w:tab w:val="left" w:pos="794"/>
          <w:tab w:val="left" w:pos="1191"/>
          <w:tab w:val="left" w:pos="1588"/>
          <w:tab w:val="left" w:pos="1985"/>
        </w:tabs>
        <w:spacing w:before="60"/>
        <w:ind w:firstLine="709"/>
        <w:jc w:val="both"/>
      </w:pPr>
      <w:r>
        <w:t xml:space="preserve">c) the administration authorizing the use of ESIM on the territory under its jurisdiction has the right to require that ESIM only use those frequency assignments to GSO FSS network which have been successfully coordinated, notified, brought into use and recorded in the MIFR with </w:t>
      </w:r>
      <w:r>
        <w:lastRenderedPageBreak/>
        <w:t xml:space="preserve">a favourable finding under RR Article </w:t>
      </w:r>
      <w:r>
        <w:rPr>
          <w:b/>
        </w:rPr>
        <w:t>11</w:t>
      </w:r>
      <w:r>
        <w:t>;</w:t>
      </w:r>
    </w:p>
    <w:p w:rsidR="0071101E" w:rsidRDefault="00E136AE">
      <w:pPr>
        <w:tabs>
          <w:tab w:val="left" w:pos="794"/>
          <w:tab w:val="left" w:pos="1191"/>
          <w:tab w:val="left" w:pos="1588"/>
          <w:tab w:val="left" w:pos="1985"/>
        </w:tabs>
        <w:spacing w:before="60"/>
        <w:ind w:firstLine="709"/>
        <w:jc w:val="both"/>
      </w:pPr>
      <w:r>
        <w:t>3. The RCC Administrations consider that, with respect to terrestrial services operating in the frequency bands 17.7−19.7 GHz and 27.5−29.5 GHz, ESIM shall comply with the following conditions:</w:t>
      </w:r>
    </w:p>
    <w:p w:rsidR="0071101E" w:rsidRDefault="00E136AE">
      <w:pPr>
        <w:tabs>
          <w:tab w:val="left" w:pos="794"/>
          <w:tab w:val="left" w:pos="1191"/>
          <w:tab w:val="left" w:pos="1588"/>
          <w:tab w:val="left" w:pos="1985"/>
        </w:tabs>
        <w:spacing w:before="60"/>
        <w:ind w:firstLine="709"/>
        <w:jc w:val="both"/>
      </w:pPr>
      <w:r>
        <w:t>a) transmitting ESIMs in the frequency band 27.5−29.5 GHz shall not cause unacceptable interference to stations of terrestrial services in this band, operating in accordance with the Radio Regulations, or impose constraints on future development of these services;</w:t>
      </w:r>
    </w:p>
    <w:p w:rsidR="0071101E" w:rsidRDefault="00E136AE">
      <w:pPr>
        <w:tabs>
          <w:tab w:val="left" w:pos="794"/>
          <w:tab w:val="left" w:pos="1191"/>
          <w:tab w:val="left" w:pos="1588"/>
          <w:tab w:val="left" w:pos="1985"/>
        </w:tabs>
        <w:spacing w:before="60"/>
        <w:ind w:firstLine="709"/>
        <w:jc w:val="both"/>
      </w:pPr>
      <w:r>
        <w:t xml:space="preserve">b) </w:t>
      </w:r>
      <w:proofErr w:type="gramStart"/>
      <w:r>
        <w:t>receiving</w:t>
      </w:r>
      <w:proofErr w:type="gramEnd"/>
      <w:r>
        <w:t xml:space="preserve"> ESIMs in the frequency band 17.7−19.7 GHz shall not claim protection from stations of terrestrial services in this band, operating in accordance with the Radio Regulations, or impose constraints on future development of these services;</w:t>
      </w:r>
    </w:p>
    <w:p w:rsidR="0071101E" w:rsidRDefault="00E136AE">
      <w:pPr>
        <w:tabs>
          <w:tab w:val="left" w:pos="794"/>
          <w:tab w:val="left" w:pos="1191"/>
          <w:tab w:val="left" w:pos="1588"/>
          <w:tab w:val="left" w:pos="1985"/>
        </w:tabs>
        <w:spacing w:before="60"/>
        <w:ind w:firstLine="709"/>
        <w:jc w:val="both"/>
      </w:pPr>
      <w:r>
        <w:t xml:space="preserve">c) </w:t>
      </w:r>
      <w:proofErr w:type="gramStart"/>
      <w:r>
        <w:t>the</w:t>
      </w:r>
      <w:proofErr w:type="gramEnd"/>
      <w:r>
        <w:t xml:space="preserve"> notifying administration responsible for the GSO FSS satellite network with which ESIMs communicate shall submit to the Bureau a commitment that, in case of unacceptable interference, upon receipt of a report of such an interference, will take appropriate action to immediately cease or reduce the interference to the acceptable level.</w:t>
      </w:r>
    </w:p>
    <w:p w:rsidR="0071101E" w:rsidRDefault="00E136AE">
      <w:pPr>
        <w:tabs>
          <w:tab w:val="left" w:pos="794"/>
          <w:tab w:val="left" w:pos="1191"/>
          <w:tab w:val="left" w:pos="1588"/>
          <w:tab w:val="left" w:pos="1985"/>
        </w:tabs>
        <w:spacing w:before="60"/>
        <w:ind w:firstLine="709"/>
        <w:jc w:val="both"/>
      </w:pPr>
      <w:r>
        <w:t xml:space="preserve">4. The RCC Administrations consider that in the draft new Resolution </w:t>
      </w:r>
      <w:r>
        <w:rPr>
          <w:b/>
        </w:rPr>
        <w:t>[A15] (WRC-19)</w:t>
      </w:r>
      <w:r>
        <w:t xml:space="preserve"> special measures shall be envisaged to exclude unauthorized use of ESIM on the territory of States that have not granted relevant authorizations (licenses). Regulations applicable to ESIM, which would be defined under the issue 9.1.7 of WRC-19 agenda item 9.1, shall be taken into account when developing regulations within the frameworks of WRC-19 agenda item 1.5.</w:t>
      </w:r>
    </w:p>
    <w:p w:rsidR="0071101E" w:rsidRDefault="00E136AE">
      <w:pPr>
        <w:keepNext/>
        <w:keepLines/>
        <w:spacing w:before="200"/>
        <w:jc w:val="both"/>
        <w:rPr>
          <w:i/>
        </w:rPr>
      </w:pPr>
      <w:bookmarkStart w:id="9" w:name="_4d34og8" w:colFirst="0" w:colLast="0"/>
      <w:bookmarkEnd w:id="9"/>
      <w:r>
        <w:rPr>
          <w:i/>
        </w:rPr>
        <w:t>1.6</w:t>
      </w:r>
      <w:r>
        <w:rPr>
          <w:i/>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Pr>
          <w:b/>
          <w:i/>
        </w:rPr>
        <w:t>159 (WRC-15)</w:t>
      </w:r>
      <w:r>
        <w:rPr>
          <w:i/>
        </w:rPr>
        <w:t>;</w:t>
      </w:r>
    </w:p>
    <w:p w:rsidR="0071101E" w:rsidRDefault="00E136AE">
      <w:pPr>
        <w:tabs>
          <w:tab w:val="left" w:pos="794"/>
          <w:tab w:val="left" w:pos="1191"/>
          <w:tab w:val="left" w:pos="1588"/>
          <w:tab w:val="left" w:pos="1985"/>
        </w:tabs>
        <w:spacing w:before="60"/>
        <w:ind w:firstLine="709"/>
        <w:jc w:val="both"/>
      </w:pPr>
      <w:r>
        <w:t>The RCC Administrations support the introduction of regulatory provisions to ensure operation of non-GSO FSS satellite systems in the frequency bands 37.5-42.5 GHz (space-to-Earth), 47.2-48.9 GHz (limited to feeder links), 48.9-50.2 GHz (Earth-to-space) and 50.4-51.4 GHz (Earth-to-space) ensuring protection for GSO satellite networks in FSS, MSS and BSS, and also for stations of other existing services in the same and adjacent frequency bands (Method A in CPM Report).</w:t>
      </w:r>
    </w:p>
    <w:p w:rsidR="0071101E" w:rsidRDefault="00E136AE">
      <w:pPr>
        <w:tabs>
          <w:tab w:val="left" w:pos="794"/>
          <w:tab w:val="left" w:pos="1191"/>
          <w:tab w:val="left" w:pos="1588"/>
          <w:tab w:val="left" w:pos="1985"/>
        </w:tabs>
        <w:spacing w:before="60"/>
        <w:ind w:firstLine="709"/>
        <w:jc w:val="both"/>
      </w:pPr>
      <w:r>
        <w:t xml:space="preserve">The RCC Administrations consider that technical and regulatory provisions shall be adopted to define the conditions for sharing of the considered frequency bands between several non-GSO FSS systems. </w:t>
      </w:r>
    </w:p>
    <w:p w:rsidR="0071101E" w:rsidRDefault="00E136AE">
      <w:pPr>
        <w:tabs>
          <w:tab w:val="left" w:pos="794"/>
          <w:tab w:val="left" w:pos="1191"/>
          <w:tab w:val="left" w:pos="1588"/>
          <w:tab w:val="left" w:pos="1985"/>
        </w:tabs>
        <w:spacing w:before="60"/>
        <w:ind w:firstLine="709"/>
        <w:jc w:val="both"/>
      </w:pPr>
      <w:r>
        <w:t xml:space="preserve">The RCC Administrations support the revision of </w:t>
      </w:r>
      <w:r>
        <w:rPr>
          <w:b/>
        </w:rPr>
        <w:t>Resolution 750 (Rev. WRC-15)</w:t>
      </w:r>
      <w:r>
        <w:t xml:space="preserve"> and establishment of appropriate unwanted emission limits for non-GSO FSS earth stations operated in the frequency bands 49.7-50.2 GHz and 50.4-50.9 GHz to protect EESS (passive) in the frequency band 50.2-50.4 GHz taking into account aggregate interference effect caused by existing radio services’ systems in adjacent frequency bands.</w:t>
      </w:r>
    </w:p>
    <w:p w:rsidR="0071101E" w:rsidRDefault="00E136AE">
      <w:pPr>
        <w:ind w:firstLine="708"/>
        <w:jc w:val="both"/>
      </w:pPr>
      <w:r>
        <w:t>The RCC Administrations consider it appropriate to review Resolution 750 (Rev.WRC-15) in terms of mandatory limits for unwanted emissions in the band 50.2-50.4 GHz for earth stations in GSO FSS networks notified after WRC-19 in the frequency bands 49.7-50.2 GHz and 50.4-50.9 GHz.</w:t>
      </w:r>
    </w:p>
    <w:p w:rsidR="0071101E" w:rsidRDefault="00E136AE">
      <w:pPr>
        <w:tabs>
          <w:tab w:val="left" w:pos="794"/>
          <w:tab w:val="left" w:pos="1191"/>
          <w:tab w:val="left" w:pos="1588"/>
          <w:tab w:val="left" w:pos="1985"/>
        </w:tabs>
        <w:spacing w:before="60"/>
        <w:ind w:firstLine="709"/>
        <w:jc w:val="both"/>
      </w:pPr>
      <w:r>
        <w:t xml:space="preserve">The RCC Administrations consider that the mandatory limits for unwanted emission power of GSO and NGSO FSS stations in the frequency bands 47.2-50.2 GHz and 50.4-51.4 GHz shall be added (included) in Resolution 750 (Rev. WRC-15) to ensure the proper protection of EESS </w:t>
      </w:r>
      <w:r>
        <w:lastRenderedPageBreak/>
        <w:t>(passive) in the frequency band 50.2-50.4 GHz.</w:t>
      </w:r>
    </w:p>
    <w:p w:rsidR="0071101E" w:rsidRDefault="00E136AE">
      <w:pPr>
        <w:tabs>
          <w:tab w:val="left" w:pos="794"/>
          <w:tab w:val="left" w:pos="1191"/>
          <w:tab w:val="left" w:pos="1588"/>
          <w:tab w:val="left" w:pos="1985"/>
        </w:tabs>
        <w:spacing w:before="60"/>
        <w:ind w:firstLine="709"/>
        <w:jc w:val="both"/>
      </w:pPr>
      <w:r>
        <w:t xml:space="preserve">The RCC Administrations consider that Article 22 of the Radio Regulations shall establish the limitations for non-GSO FSS systems in order to ensure proper protection of GSO FSS and BSS systems in the frequency bands concerned. </w:t>
      </w:r>
    </w:p>
    <w:p w:rsidR="0071101E" w:rsidRDefault="00E136AE">
      <w:pPr>
        <w:keepNext/>
        <w:keepLines/>
        <w:spacing w:before="200"/>
        <w:jc w:val="both"/>
        <w:rPr>
          <w:i/>
        </w:rPr>
      </w:pPr>
      <w:bookmarkStart w:id="10" w:name="_2s8eyo1" w:colFirst="0" w:colLast="0"/>
      <w:bookmarkEnd w:id="10"/>
      <w:r>
        <w:rPr>
          <w:i/>
        </w:rPr>
        <w:t>1.7</w:t>
      </w:r>
      <w:r>
        <w:rPr>
          <w:i/>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 </w:t>
      </w:r>
      <w:r>
        <w:rPr>
          <w:b/>
          <w:i/>
        </w:rPr>
        <w:t>659 (WRC-15)</w:t>
      </w:r>
      <w:r>
        <w:rPr>
          <w:i/>
        </w:rPr>
        <w:t>;</w:t>
      </w:r>
    </w:p>
    <w:p w:rsidR="0071101E" w:rsidRDefault="00E136AE">
      <w:pPr>
        <w:tabs>
          <w:tab w:val="left" w:pos="794"/>
          <w:tab w:val="left" w:pos="1191"/>
          <w:tab w:val="left" w:pos="1588"/>
          <w:tab w:val="left" w:pos="1985"/>
        </w:tabs>
        <w:spacing w:before="60"/>
        <w:ind w:firstLine="709"/>
        <w:jc w:val="both"/>
      </w:pPr>
      <w:r>
        <w:t>The RCC Administrations consider that when using existing or new frequency allocations to the space operation service below 1 GHz for telemetry links, tracking and command non-GSO satellites with short duration missions, the protection shall be ensured to the incumbent services in the same and adjacent frequency bands.</w:t>
      </w:r>
    </w:p>
    <w:p w:rsidR="0071101E" w:rsidRDefault="00E136AE">
      <w:pPr>
        <w:tabs>
          <w:tab w:val="left" w:pos="794"/>
          <w:tab w:val="left" w:pos="1191"/>
          <w:tab w:val="left" w:pos="1588"/>
          <w:tab w:val="left" w:pos="1985"/>
        </w:tabs>
        <w:spacing w:before="60"/>
        <w:ind w:firstLine="709"/>
        <w:jc w:val="both"/>
      </w:pPr>
      <w:r>
        <w:t>The RCC Administrations oppose using the frequency bands 148-174.0 MHz and 405.9-410 MHz for telemetry links, tracking and command non-GSO satellites with short duration missions, since:</w:t>
      </w:r>
    </w:p>
    <w:p w:rsidR="0071101E" w:rsidRDefault="00E136AE">
      <w:pPr>
        <w:tabs>
          <w:tab w:val="left" w:pos="794"/>
          <w:tab w:val="left" w:pos="1191"/>
          <w:tab w:val="left" w:pos="1588"/>
          <w:tab w:val="left" w:pos="1985"/>
        </w:tabs>
        <w:spacing w:before="60"/>
        <w:ind w:firstLine="709"/>
        <w:jc w:val="both"/>
      </w:pPr>
      <w:r>
        <w:rPr>
          <w:b/>
        </w:rPr>
        <w:t>-</w:t>
      </w:r>
      <w:r>
        <w:t xml:space="preserve"> </w:t>
      </w:r>
      <w:proofErr w:type="gramStart"/>
      <w:r>
        <w:t>separate</w:t>
      </w:r>
      <w:proofErr w:type="gramEnd"/>
      <w:r>
        <w:t xml:space="preserve"> parts of the frequency band 148-174.0 MHz are actively used within the territory of RCC Administrations for fixed and mobile services</w:t>
      </w:r>
    </w:p>
    <w:p w:rsidR="0071101E" w:rsidRDefault="00E136AE">
      <w:pPr>
        <w:tabs>
          <w:tab w:val="left" w:pos="794"/>
          <w:tab w:val="left" w:pos="1191"/>
          <w:tab w:val="left" w:pos="1588"/>
          <w:tab w:val="left" w:pos="1985"/>
        </w:tabs>
        <w:spacing w:before="60"/>
        <w:ind w:firstLine="709"/>
        <w:jc w:val="both"/>
      </w:pPr>
      <w:r>
        <w:rPr>
          <w:b/>
        </w:rPr>
        <w:t>-</w:t>
      </w:r>
      <w:r>
        <w:t xml:space="preserve"> </w:t>
      </w:r>
      <w:proofErr w:type="gramStart"/>
      <w:r>
        <w:t>frequency</w:t>
      </w:r>
      <w:proofErr w:type="gramEnd"/>
      <w:r>
        <w:t xml:space="preserve"> band 154-156 MHz is used for the radiolocation service on a primary basis according to No. 5.225А in some countries of Region 1;</w:t>
      </w:r>
    </w:p>
    <w:p w:rsidR="0071101E" w:rsidRDefault="00E136AE">
      <w:pPr>
        <w:tabs>
          <w:tab w:val="left" w:pos="794"/>
          <w:tab w:val="left" w:pos="1191"/>
          <w:tab w:val="left" w:pos="1588"/>
          <w:tab w:val="left" w:pos="1985"/>
        </w:tabs>
        <w:spacing w:before="60"/>
        <w:ind w:firstLine="709"/>
        <w:jc w:val="both"/>
      </w:pPr>
      <w:r>
        <w:rPr>
          <w:b/>
        </w:rPr>
        <w:t>-</w:t>
      </w:r>
      <w:r>
        <w:t xml:space="preserve"> separate parts of the frequency band 156-162.05 MHz, as well as frequency band 405.9-406.2 MHz, are used by GMDSS</w:t>
      </w:r>
    </w:p>
    <w:p w:rsidR="0071101E" w:rsidRDefault="00E136AE">
      <w:pPr>
        <w:tabs>
          <w:tab w:val="left" w:pos="794"/>
          <w:tab w:val="left" w:pos="1191"/>
          <w:tab w:val="left" w:pos="1588"/>
          <w:tab w:val="left" w:pos="1985"/>
        </w:tabs>
        <w:spacing w:before="60"/>
        <w:ind w:firstLine="709"/>
        <w:jc w:val="both"/>
      </w:pPr>
      <w:r>
        <w:rPr>
          <w:b/>
        </w:rPr>
        <w:t>-</w:t>
      </w:r>
      <w:r>
        <w:t xml:space="preserve"> frequency bands 150.05-153.0 MHz and 406.1-410.0 MHz are allocated to the radio astronomy service on a primary basis, and the conducted ITU-R studies have shown the difficulties of sharing between the space operation service and the above mentioned radio services. </w:t>
      </w:r>
    </w:p>
    <w:p w:rsidR="0071101E" w:rsidRDefault="00E136AE">
      <w:pPr>
        <w:ind w:firstLine="709"/>
        <w:jc w:val="both"/>
      </w:pPr>
      <w:r>
        <w:t xml:space="preserve">The RCC Administrations do not oppose using existing allocations to SOS in the frequency band 137−138 MHz (space-to-Earth) for telemetry links of non-GSO satellites with short duration missions without application of RR No. 9.11А subject to the application for SOS the </w:t>
      </w:r>
      <w:proofErr w:type="spellStart"/>
      <w:r>
        <w:t>pfd</w:t>
      </w:r>
      <w:proofErr w:type="spellEnd"/>
      <w:r>
        <w:t xml:space="preserve"> limit specified for MSS in this band in RR Appendix 5. In case of implementation of the said limit application of RR No. 9.11А for SOS is not required.</w:t>
      </w:r>
    </w:p>
    <w:p w:rsidR="0071101E" w:rsidRDefault="00E136AE">
      <w:pPr>
        <w:keepNext/>
        <w:keepLines/>
        <w:spacing w:before="200"/>
        <w:jc w:val="both"/>
        <w:rPr>
          <w:i/>
        </w:rPr>
      </w:pPr>
      <w:bookmarkStart w:id="11" w:name="_17dp8vu" w:colFirst="0" w:colLast="0"/>
      <w:bookmarkEnd w:id="11"/>
      <w:r>
        <w:rPr>
          <w:i/>
        </w:rPr>
        <w:t>1.8</w:t>
      </w:r>
      <w:r>
        <w:rPr>
          <w:i/>
        </w:rPr>
        <w:tab/>
      </w:r>
      <w:proofErr w:type="gramStart"/>
      <w:r>
        <w:rPr>
          <w:i/>
        </w:rPr>
        <w:t>to</w:t>
      </w:r>
      <w:proofErr w:type="gramEnd"/>
      <w:r>
        <w:rPr>
          <w:i/>
        </w:rPr>
        <w:t xml:space="preserve"> consider possible regulatory actions to support Global Maritime Distress Safety Systems (GMDSS) modernization and to support the introduction of additional satellite systems into the GMDSS, in accordance with Resolution </w:t>
      </w:r>
      <w:r>
        <w:rPr>
          <w:b/>
          <w:i/>
        </w:rPr>
        <w:t>359 (Rev. WRC 15)</w:t>
      </w:r>
      <w:r>
        <w:rPr>
          <w:i/>
        </w:rPr>
        <w:t>;</w:t>
      </w:r>
    </w:p>
    <w:p w:rsidR="0071101E" w:rsidRDefault="00E136AE">
      <w:pPr>
        <w:tabs>
          <w:tab w:val="left" w:pos="794"/>
          <w:tab w:val="left" w:pos="1191"/>
          <w:tab w:val="left" w:pos="1588"/>
          <w:tab w:val="left" w:pos="1985"/>
        </w:tabs>
        <w:spacing w:before="60"/>
        <w:ind w:firstLine="709"/>
        <w:jc w:val="both"/>
      </w:pPr>
      <w:r>
        <w:t>The RCC Administrations consider that the IMO position should be taken into account in regard to the GMDSS modernization, including the introduction of the IMO-recognized additional satellite systems, when developing relevant regulatory actions to support such modernization considering protection of existing services and systems.</w:t>
      </w:r>
    </w:p>
    <w:p w:rsidR="0071101E" w:rsidRDefault="00E136AE">
      <w:pPr>
        <w:tabs>
          <w:tab w:val="left" w:pos="794"/>
          <w:tab w:val="left" w:pos="1191"/>
          <w:tab w:val="left" w:pos="1588"/>
          <w:tab w:val="left" w:pos="1985"/>
        </w:tabs>
        <w:spacing w:before="60"/>
        <w:ind w:firstLine="709"/>
        <w:jc w:val="both"/>
      </w:pPr>
      <w:r>
        <w:t>On issue A (GMDSS modernization)</w:t>
      </w:r>
    </w:p>
    <w:p w:rsidR="0071101E" w:rsidRDefault="00E136AE">
      <w:pPr>
        <w:tabs>
          <w:tab w:val="left" w:pos="794"/>
          <w:tab w:val="left" w:pos="1191"/>
          <w:tab w:val="left" w:pos="1588"/>
          <w:tab w:val="left" w:pos="1985"/>
        </w:tabs>
        <w:spacing w:before="60"/>
        <w:ind w:firstLine="709"/>
        <w:jc w:val="both"/>
      </w:pPr>
      <w:r>
        <w:t>The RCC Administrations do not oppose using the frequency band 495-505 kHz for digital broadcasting of maritime safety and security related information (NAVDAT LF system).</w:t>
      </w:r>
    </w:p>
    <w:p w:rsidR="0071101E" w:rsidRDefault="00E136AE">
      <w:pPr>
        <w:tabs>
          <w:tab w:val="left" w:pos="794"/>
          <w:tab w:val="left" w:pos="1191"/>
          <w:tab w:val="left" w:pos="1588"/>
          <w:tab w:val="left" w:pos="1985"/>
        </w:tabs>
        <w:spacing w:before="60"/>
        <w:ind w:firstLine="709"/>
        <w:jc w:val="both"/>
      </w:pPr>
      <w:r>
        <w:lastRenderedPageBreak/>
        <w:t>The RCC Administrations do not oppose using the frequency bands: 4 221–4 231 kHz, 6 332.5–6 342.5 kHz, 8 438–8 448 kHz, 12 658.5–12 668.5 kHz, 16 904.5–16 914.5 kHz, 22 445.5–22 455.5 kHz to digital broadcasting of maritime safety and security related information (NAVDAT HF system) provided that the existing conditions for their allocation to radio services are maintained.</w:t>
      </w:r>
    </w:p>
    <w:p w:rsidR="0071101E" w:rsidRDefault="00E136AE">
      <w:pPr>
        <w:tabs>
          <w:tab w:val="left" w:pos="794"/>
          <w:tab w:val="left" w:pos="1191"/>
          <w:tab w:val="left" w:pos="1588"/>
          <w:tab w:val="left" w:pos="1985"/>
        </w:tabs>
        <w:spacing w:before="0"/>
        <w:ind w:firstLine="567"/>
        <w:jc w:val="both"/>
      </w:pPr>
      <w:r>
        <w:t>The RCC Administrations are in favour of retaining RR Nos. 5.128 and 5.137.</w:t>
      </w:r>
    </w:p>
    <w:p w:rsidR="0071101E" w:rsidRDefault="00E136AE">
      <w:pPr>
        <w:tabs>
          <w:tab w:val="left" w:pos="794"/>
          <w:tab w:val="left" w:pos="1191"/>
          <w:tab w:val="left" w:pos="1588"/>
          <w:tab w:val="left" w:pos="1985"/>
        </w:tabs>
        <w:spacing w:before="0"/>
        <w:ind w:firstLine="567"/>
        <w:jc w:val="both"/>
      </w:pPr>
      <w:r>
        <w:t>The RCC Administrations oppose including the frequency bands mentioned above into RR Appendix 15, seeing as NAVDAT system is not approved by IMO as a part of GMDSS.</w:t>
      </w:r>
    </w:p>
    <w:p w:rsidR="0071101E" w:rsidRDefault="00E136AE">
      <w:pPr>
        <w:spacing w:before="0"/>
        <w:ind w:firstLine="567"/>
        <w:jc w:val="both"/>
      </w:pPr>
      <w:r>
        <w:t>The RCC Administrations support Method А3 for the solution of Issue А.</w:t>
      </w:r>
      <w:r>
        <w:tab/>
      </w:r>
    </w:p>
    <w:p w:rsidR="0071101E" w:rsidRDefault="00E136AE">
      <w:pPr>
        <w:tabs>
          <w:tab w:val="left" w:pos="794"/>
          <w:tab w:val="left" w:pos="1191"/>
          <w:tab w:val="left" w:pos="1588"/>
          <w:tab w:val="left" w:pos="1985"/>
        </w:tabs>
        <w:spacing w:before="60"/>
        <w:ind w:firstLine="709"/>
        <w:jc w:val="both"/>
      </w:pPr>
      <w:r>
        <w:t xml:space="preserve">On issue B (Introduction of additional satellite systems in GMDSS): </w:t>
      </w:r>
    </w:p>
    <w:p w:rsidR="0071101E" w:rsidRDefault="00E136AE">
      <w:pPr>
        <w:tabs>
          <w:tab w:val="left" w:pos="794"/>
          <w:tab w:val="left" w:pos="1191"/>
          <w:tab w:val="left" w:pos="1588"/>
          <w:tab w:val="left" w:pos="1985"/>
        </w:tabs>
        <w:spacing w:before="60"/>
        <w:ind w:firstLine="709"/>
        <w:jc w:val="both"/>
      </w:pPr>
      <w:r>
        <w:t>The RCC Administrations support introducing additional non-geostationary MSS satellite networks in GMDSS, subject to their approval by IMO.</w:t>
      </w:r>
    </w:p>
    <w:p w:rsidR="0071101E" w:rsidRDefault="00E136AE">
      <w:pPr>
        <w:keepNext/>
        <w:keepLines/>
        <w:spacing w:before="200"/>
        <w:ind w:left="1134" w:hanging="1134"/>
        <w:jc w:val="both"/>
        <w:rPr>
          <w:i/>
        </w:rPr>
      </w:pPr>
      <w:r>
        <w:rPr>
          <w:i/>
        </w:rPr>
        <w:t>1.9</w:t>
      </w:r>
      <w:r>
        <w:rPr>
          <w:i/>
        </w:rPr>
        <w:tab/>
        <w:t xml:space="preserve">to consider, based on the results of ITU R studies: </w:t>
      </w:r>
    </w:p>
    <w:p w:rsidR="0071101E" w:rsidRDefault="00E136AE">
      <w:pPr>
        <w:keepNext/>
        <w:keepLines/>
        <w:spacing w:before="200"/>
        <w:jc w:val="both"/>
        <w:rPr>
          <w:i/>
        </w:rPr>
      </w:pPr>
      <w:bookmarkStart w:id="12" w:name="_3rdcrjn" w:colFirst="0" w:colLast="0"/>
      <w:bookmarkEnd w:id="12"/>
      <w:r>
        <w:rPr>
          <w:i/>
        </w:rPr>
        <w:t>1.9.1</w:t>
      </w:r>
      <w:r>
        <w:rPr>
          <w:i/>
        </w:rPr>
        <w:tab/>
      </w:r>
      <w:proofErr w:type="gramStart"/>
      <w:r>
        <w:rPr>
          <w:i/>
        </w:rPr>
        <w:t>regulatory</w:t>
      </w:r>
      <w:proofErr w:type="gramEnd"/>
      <w:r>
        <w:rPr>
          <w:i/>
        </w:rPr>
        <w:t xml:space="preserve"> actions within the frequency band 156-162.05 MHz for autonomous maritime radio devices to protect the GMDSS and automatic identifications system (AIS), in accordance with Res. </w:t>
      </w:r>
      <w:r>
        <w:rPr>
          <w:b/>
          <w:i/>
        </w:rPr>
        <w:t>362 (WRC 15)</w:t>
      </w:r>
      <w:r>
        <w:rPr>
          <w:i/>
        </w:rPr>
        <w:t>;</w:t>
      </w:r>
    </w:p>
    <w:p w:rsidR="0071101E" w:rsidRDefault="00E136AE">
      <w:pPr>
        <w:tabs>
          <w:tab w:val="left" w:pos="794"/>
          <w:tab w:val="left" w:pos="1191"/>
          <w:tab w:val="left" w:pos="1588"/>
          <w:tab w:val="left" w:pos="1985"/>
        </w:tabs>
        <w:spacing w:before="60"/>
        <w:ind w:firstLine="709"/>
        <w:jc w:val="both"/>
      </w:pPr>
      <w:r>
        <w:t>The RCC Administrations consider it reasonable to identify categories (types), technical and operational characteristics of autonomous maritime radio devices in order to develop regulatory actions in the frequency band 156−162.05 MHz for the autonomous maritime radio devices to protect GMDSS and AIS. At the same time, results of studies on the compatibility between autonomous maritime radio devices and existing radio systems having allocations in the concerned frequency bands shall be taken into account.</w:t>
      </w:r>
    </w:p>
    <w:p w:rsidR="0071101E" w:rsidRDefault="00E136AE">
      <w:pPr>
        <w:tabs>
          <w:tab w:val="left" w:pos="794"/>
          <w:tab w:val="left" w:pos="1191"/>
          <w:tab w:val="left" w:pos="1588"/>
          <w:tab w:val="left" w:pos="1985"/>
        </w:tabs>
        <w:spacing w:before="60"/>
        <w:ind w:firstLine="709"/>
        <w:jc w:val="both"/>
      </w:pPr>
      <w:r>
        <w:t xml:space="preserve">The RCC Administrations do not oppose using frequency bands of RR Appendix 18 for Group </w:t>
      </w:r>
      <w:proofErr w:type="gramStart"/>
      <w:r>
        <w:t>A</w:t>
      </w:r>
      <w:proofErr w:type="gramEnd"/>
      <w:r>
        <w:t xml:space="preserve"> autonomous maritime radio devices intended for maritime safety (frequency bands: 156.5125-156.5375 (channel 70 for DSC), 161.9625-161.9875 (AIS1 channel), 162.0125-162.0375 (AIS2 channel)). Such use should comply with the latest version of Recommendation ITU-R M</w:t>
      </w:r>
      <w:proofErr w:type="gramStart"/>
      <w:r>
        <w:t>.[</w:t>
      </w:r>
      <w:proofErr w:type="gramEnd"/>
      <w:r>
        <w:t>AMRD] (Method А).</w:t>
      </w:r>
    </w:p>
    <w:p w:rsidR="0071101E" w:rsidRDefault="00E136AE">
      <w:pPr>
        <w:tabs>
          <w:tab w:val="left" w:pos="794"/>
          <w:tab w:val="left" w:pos="1191"/>
          <w:tab w:val="left" w:pos="1588"/>
          <w:tab w:val="left" w:pos="1985"/>
        </w:tabs>
        <w:spacing w:before="60"/>
        <w:ind w:firstLine="709"/>
        <w:jc w:val="both"/>
      </w:pPr>
      <w:r>
        <w:t xml:space="preserve">The RCC Administrations do not oppose using frequency bands of RR Appendix 18 for Group B autonomous maritime radio devices not intended for maritime safety (frequency band 160.8875-160.9125 MHz for AIS technology (channel 2006)) subject to limitation of </w:t>
      </w:r>
      <w:proofErr w:type="spellStart"/>
      <w:r>
        <w:t>e.i.r.p</w:t>
      </w:r>
      <w:proofErr w:type="spellEnd"/>
      <w:r>
        <w:t xml:space="preserve">. of autonomous maritime radio devices’ transmitters by 100 </w:t>
      </w:r>
      <w:proofErr w:type="spellStart"/>
      <w:r>
        <w:t>mW</w:t>
      </w:r>
      <w:proofErr w:type="spellEnd"/>
      <w:r>
        <w:t>. Such use should comply with the latest version of Recommendation ITU-R M</w:t>
      </w:r>
      <w:proofErr w:type="gramStart"/>
      <w:r>
        <w:t>.[</w:t>
      </w:r>
      <w:proofErr w:type="gramEnd"/>
      <w:r>
        <w:t>AMRD] .</w:t>
      </w:r>
    </w:p>
    <w:p w:rsidR="0071101E" w:rsidRDefault="00E136AE">
      <w:pPr>
        <w:tabs>
          <w:tab w:val="left" w:pos="794"/>
          <w:tab w:val="left" w:pos="1191"/>
          <w:tab w:val="left" w:pos="1588"/>
          <w:tab w:val="left" w:pos="1985"/>
        </w:tabs>
        <w:spacing w:before="60"/>
        <w:ind w:firstLine="709"/>
        <w:jc w:val="both"/>
      </w:pPr>
      <w:r>
        <w:t xml:space="preserve">The RCC Administrations do not oppose using frequency bands of RR Appendix 18 for Group B autonomous maritime radio devices not intended for maritime safety (frequency bands 161.5125-161.5375 MHz (channel 2078), 161.5375-161.5625 MHz (channel 2019), 161.5625-161.5875 MHz (channel 2079) for technologies other than AIS) subject to limitation of </w:t>
      </w:r>
      <w:proofErr w:type="spellStart"/>
      <w:r>
        <w:t>e.i.r.p</w:t>
      </w:r>
      <w:proofErr w:type="spellEnd"/>
      <w:r>
        <w:t xml:space="preserve">. of autonomous maritime radio devices’ transmitters by 100 </w:t>
      </w:r>
      <w:proofErr w:type="spellStart"/>
      <w:r>
        <w:t>mW</w:t>
      </w:r>
      <w:proofErr w:type="spellEnd"/>
      <w:r>
        <w:t>. Such use should comply with the latest version of Recommendation ITU-R M</w:t>
      </w:r>
      <w:proofErr w:type="gramStart"/>
      <w:r>
        <w:t>.[</w:t>
      </w:r>
      <w:proofErr w:type="gramEnd"/>
      <w:r>
        <w:t xml:space="preserve">AMRD] (Method B3). </w:t>
      </w:r>
    </w:p>
    <w:p w:rsidR="0071101E" w:rsidRDefault="00E136AE">
      <w:pPr>
        <w:keepNext/>
        <w:keepLines/>
        <w:spacing w:before="200"/>
        <w:jc w:val="both"/>
        <w:rPr>
          <w:i/>
        </w:rPr>
      </w:pPr>
      <w:bookmarkStart w:id="13" w:name="_26in1rg" w:colFirst="0" w:colLast="0"/>
      <w:bookmarkEnd w:id="13"/>
      <w:r>
        <w:rPr>
          <w:i/>
        </w:rPr>
        <w:lastRenderedPageBreak/>
        <w:t>1.9.2</w:t>
      </w:r>
      <w:r>
        <w:rPr>
          <w:i/>
        </w:rPr>
        <w:tab/>
        <w:t xml:space="preserve">modifications of the Radio Regulations, including new spectrum allocations to the maritime mobile-satellite service (Earth to space and space-to-Earth), preferably within the frequency bands 156.0125-157.4375 MHz and 160.6125-162.0375 MHz of Appendix </w:t>
      </w:r>
      <w:r>
        <w:rPr>
          <w:b/>
          <w:i/>
        </w:rPr>
        <w:t>18</w:t>
      </w:r>
      <w:r>
        <w:rPr>
          <w:i/>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w:t>
      </w:r>
      <w:r>
        <w:rPr>
          <w:b/>
          <w:i/>
        </w:rPr>
        <w:t>360 (Rev. WRC 15)</w:t>
      </w:r>
      <w:r>
        <w:rPr>
          <w:i/>
        </w:rPr>
        <w:t>;</w:t>
      </w:r>
    </w:p>
    <w:p w:rsidR="0071101E" w:rsidRDefault="00E136AE">
      <w:pPr>
        <w:tabs>
          <w:tab w:val="left" w:pos="794"/>
          <w:tab w:val="left" w:pos="1191"/>
          <w:tab w:val="left" w:pos="1588"/>
          <w:tab w:val="left" w:pos="1985"/>
        </w:tabs>
        <w:spacing w:before="60"/>
        <w:ind w:firstLine="709"/>
        <w:jc w:val="both"/>
      </w:pPr>
      <w:r>
        <w:t>The RCC Administrations consider that introduction of the VDES satellite component shall not result in imposing constraints on existing and planned systems of services which have allocations in the common and adjacent frequency bands.</w:t>
      </w:r>
    </w:p>
    <w:p w:rsidR="0071101E" w:rsidRDefault="00E136AE">
      <w:pPr>
        <w:tabs>
          <w:tab w:val="left" w:pos="794"/>
          <w:tab w:val="left" w:pos="1191"/>
          <w:tab w:val="left" w:pos="1588"/>
          <w:tab w:val="left" w:pos="1985"/>
        </w:tabs>
        <w:spacing w:before="60"/>
        <w:ind w:firstLine="709"/>
        <w:jc w:val="both"/>
      </w:pPr>
      <w:r>
        <w:t xml:space="preserve">The RCC Administrations oppose new allocations to the maritime mobile-satellite service (MMSS) for VDES satellite component in the frequency bands within 156-162 MHz, since the studies conducted on the basis of ITU-R Recommendations have shown that within a shared service area VDES space stations are not compatible with stations of fixed and mobile services, allocated on a primary basis. Moreover, no ITU-R study has been conducted and no regulatory action has been proposed to ensure compatibility of VDES satellite component of one Administration with VDES, ASM, AIS earth components of another Administration, as required by Resolution 360 (Rev. WRC-15). </w:t>
      </w:r>
    </w:p>
    <w:p w:rsidR="0071101E" w:rsidRDefault="00E136AE">
      <w:pPr>
        <w:keepNext/>
        <w:keepLines/>
        <w:spacing w:before="200"/>
        <w:jc w:val="both"/>
        <w:rPr>
          <w:i/>
        </w:rPr>
      </w:pPr>
      <w:bookmarkStart w:id="14" w:name="_lnxbz9" w:colFirst="0" w:colLast="0"/>
      <w:bookmarkEnd w:id="14"/>
      <w:r>
        <w:rPr>
          <w:i/>
        </w:rPr>
        <w:t>1.10</w:t>
      </w:r>
      <w:r>
        <w:rPr>
          <w:i/>
        </w:rPr>
        <w:tab/>
        <w:t xml:space="preserve">to consider spectrum needs and regulatory provisions for the introduction and use of the Global Aeronautical Distress and Safety System (GADSS), in accordance with Resolution </w:t>
      </w:r>
      <w:r>
        <w:rPr>
          <w:b/>
          <w:i/>
        </w:rPr>
        <w:t>426 (WRC-15)</w:t>
      </w:r>
      <w:r>
        <w:rPr>
          <w:i/>
        </w:rPr>
        <w:t>;</w:t>
      </w:r>
    </w:p>
    <w:p w:rsidR="0071101E" w:rsidRDefault="00E136AE">
      <w:pPr>
        <w:tabs>
          <w:tab w:val="left" w:pos="794"/>
          <w:tab w:val="left" w:pos="1191"/>
          <w:tab w:val="left" w:pos="1588"/>
          <w:tab w:val="left" w:pos="1985"/>
        </w:tabs>
        <w:spacing w:before="60"/>
        <w:ind w:firstLine="709"/>
        <w:jc w:val="both"/>
      </w:pPr>
      <w:r>
        <w:t>The RCC Administrations support the need in the development of the Global Aeronautical Distress and Safety System (GADSS).</w:t>
      </w:r>
    </w:p>
    <w:p w:rsidR="0071101E" w:rsidRDefault="00E136AE">
      <w:pPr>
        <w:tabs>
          <w:tab w:val="left" w:pos="794"/>
          <w:tab w:val="left" w:pos="1191"/>
          <w:tab w:val="left" w:pos="1588"/>
          <w:tab w:val="left" w:pos="1985"/>
        </w:tabs>
        <w:spacing w:before="60"/>
        <w:ind w:firstLine="709"/>
        <w:jc w:val="both"/>
      </w:pPr>
      <w:r>
        <w:t>The RCC Administrations support the identification of frequency bands and aircraft on-board systems to implement GADSS system, as well as developing the proposals for modifying RR Articles of Chapter VII – Distress and safety communications and Chapter VIII – Aeronautical services.</w:t>
      </w:r>
    </w:p>
    <w:p w:rsidR="0071101E" w:rsidRDefault="00E136AE">
      <w:pPr>
        <w:tabs>
          <w:tab w:val="left" w:pos="794"/>
          <w:tab w:val="left" w:pos="1191"/>
          <w:tab w:val="left" w:pos="1588"/>
          <w:tab w:val="left" w:pos="1985"/>
        </w:tabs>
        <w:spacing w:before="60"/>
        <w:ind w:firstLine="709"/>
        <w:jc w:val="both"/>
      </w:pPr>
      <w:bookmarkStart w:id="15" w:name="_35nkun2" w:colFirst="0" w:colLast="0"/>
      <w:bookmarkEnd w:id="15"/>
      <w:r>
        <w:t xml:space="preserve">The RCC Administrations consider that if the existing frequency allocations to aeronautical services are intended to be used for GADSS system, in this case the list of aircraft systems in GADSS, technical characteristics and protection criteria as well as frequency bands they use, should be included in relevant ITU-R Recommendations. Such use of frequency bands for GADSS should be restricted to the systems which operate in accordance with recognized international aeronautical standards, and should not preclude the use of these frequency bands by any applications of the services to which they are allocated and should not establish priority for GADSS in the Radio Regulations, that corresponds to Method В in CPM Report. </w:t>
      </w:r>
    </w:p>
    <w:p w:rsidR="0071101E" w:rsidRDefault="00E136AE">
      <w:pPr>
        <w:tabs>
          <w:tab w:val="left" w:pos="794"/>
          <w:tab w:val="left" w:pos="1191"/>
          <w:tab w:val="left" w:pos="1588"/>
          <w:tab w:val="left" w:pos="1985"/>
        </w:tabs>
        <w:spacing w:before="60" w:after="240"/>
        <w:ind w:firstLine="709"/>
        <w:jc w:val="both"/>
        <w:rPr>
          <w:i/>
        </w:rPr>
      </w:pPr>
      <w:r>
        <w:t xml:space="preserve">The RCC Administrations consider that if the system elements of the GADSS, including their operating frequency bands, are not specified, </w:t>
      </w:r>
      <w:proofErr w:type="gramStart"/>
      <w:r>
        <w:t>then  Method</w:t>
      </w:r>
      <w:proofErr w:type="gramEnd"/>
      <w:r>
        <w:t xml:space="preserve"> C in CPM Report "No change to the Radio Regulations" should apply to satisfy WRC-19 agenda item 1.10.</w:t>
      </w:r>
    </w:p>
    <w:p w:rsidR="0071101E" w:rsidRDefault="00E136AE">
      <w:pPr>
        <w:tabs>
          <w:tab w:val="left" w:pos="794"/>
          <w:tab w:val="left" w:pos="1191"/>
          <w:tab w:val="left" w:pos="1588"/>
          <w:tab w:val="left" w:pos="1985"/>
        </w:tabs>
        <w:spacing w:before="60"/>
        <w:jc w:val="both"/>
      </w:pPr>
      <w:r>
        <w:rPr>
          <w:i/>
        </w:rPr>
        <w:t>1.11</w:t>
      </w:r>
      <w:r>
        <w:rPr>
          <w:i/>
        </w:rPr>
        <w:tab/>
        <w:t xml:space="preserve">to take necessary actions, as appropriate, to facilitate global or regional harmonized frequency bands to support railway </w:t>
      </w:r>
      <w:proofErr w:type="spellStart"/>
      <w:r>
        <w:rPr>
          <w:i/>
        </w:rPr>
        <w:t>radiocommunication</w:t>
      </w:r>
      <w:proofErr w:type="spellEnd"/>
      <w:r>
        <w:rPr>
          <w:i/>
        </w:rPr>
        <w:t xml:space="preserve"> systems between train and trackside within existing mobile service allocations, in accordance with Resolution</w:t>
      </w:r>
      <w:r>
        <w:t xml:space="preserve"> </w:t>
      </w:r>
      <w:r>
        <w:rPr>
          <w:b/>
        </w:rPr>
        <w:t>236 (WRC-15)</w:t>
      </w:r>
      <w:r>
        <w:t>;</w:t>
      </w:r>
    </w:p>
    <w:p w:rsidR="0071101E" w:rsidRDefault="00E136AE">
      <w:pPr>
        <w:tabs>
          <w:tab w:val="left" w:pos="794"/>
          <w:tab w:val="left" w:pos="1191"/>
          <w:tab w:val="left" w:pos="1588"/>
          <w:tab w:val="left" w:pos="1985"/>
        </w:tabs>
        <w:spacing w:before="60"/>
        <w:ind w:firstLine="709"/>
        <w:jc w:val="both"/>
      </w:pPr>
      <w:r>
        <w:t>The RCC Administrations consider that no changes to the Radio Regulations are necessary under WRC-19 agenda item 1.11 (Method A in CPM Report).</w:t>
      </w:r>
    </w:p>
    <w:p w:rsidR="0071101E" w:rsidRDefault="00E136AE">
      <w:pPr>
        <w:tabs>
          <w:tab w:val="left" w:pos="794"/>
          <w:tab w:val="left" w:pos="1191"/>
          <w:tab w:val="left" w:pos="1588"/>
          <w:tab w:val="left" w:pos="1985"/>
        </w:tabs>
        <w:spacing w:before="60"/>
        <w:ind w:firstLine="709"/>
        <w:jc w:val="both"/>
      </w:pPr>
      <w:r>
        <w:lastRenderedPageBreak/>
        <w:t xml:space="preserve">The RCC Administrations consider it reasonable to harmonize frequency bands within existing mobile service allocations at global or regional level through the development of ITU-R Recommendations and Reports. </w:t>
      </w:r>
    </w:p>
    <w:p w:rsidR="0071101E" w:rsidRDefault="00E136AE">
      <w:pPr>
        <w:tabs>
          <w:tab w:val="left" w:pos="794"/>
          <w:tab w:val="left" w:pos="1191"/>
          <w:tab w:val="left" w:pos="1588"/>
          <w:tab w:val="left" w:pos="1985"/>
        </w:tabs>
        <w:spacing w:before="60"/>
        <w:ind w:firstLine="709"/>
        <w:jc w:val="both"/>
      </w:pPr>
      <w:r>
        <w:t>The RCC Administrations are of the view that harmonized use of frequency bands by railway transportation systems shall not impose additional constraints on services to which these frequency bands are already allocated, and provided interference to systems for government communication is avoided.</w:t>
      </w:r>
    </w:p>
    <w:p w:rsidR="0071101E" w:rsidRDefault="00E136AE">
      <w:pPr>
        <w:keepNext/>
        <w:keepLines/>
        <w:spacing w:before="200"/>
        <w:jc w:val="both"/>
        <w:rPr>
          <w:i/>
        </w:rPr>
      </w:pPr>
      <w:bookmarkStart w:id="16" w:name="_1ksv4uv" w:colFirst="0" w:colLast="0"/>
      <w:bookmarkEnd w:id="16"/>
      <w:r>
        <w:rPr>
          <w:i/>
        </w:rPr>
        <w:t>1.12</w:t>
      </w:r>
      <w:r>
        <w:rPr>
          <w:i/>
        </w:rPr>
        <w:tab/>
        <w:t xml:space="preserve">to consider possible global or regional harmonized frequency bands, to the maximum extent, for the implementation of evolving Intelligent Transport Systems (ITS) under existing mobile-service allocations , in accordance with </w:t>
      </w:r>
      <w:r>
        <w:rPr>
          <w:b/>
          <w:i/>
        </w:rPr>
        <w:t>Resolution 237 (WRC-15)</w:t>
      </w:r>
      <w:r>
        <w:rPr>
          <w:i/>
        </w:rPr>
        <w:t>;</w:t>
      </w:r>
    </w:p>
    <w:p w:rsidR="0071101E" w:rsidRDefault="00E136AE">
      <w:pPr>
        <w:tabs>
          <w:tab w:val="left" w:pos="794"/>
          <w:tab w:val="left" w:pos="1191"/>
          <w:tab w:val="left" w:pos="1588"/>
          <w:tab w:val="left" w:pos="1985"/>
        </w:tabs>
        <w:spacing w:before="60"/>
        <w:ind w:firstLine="709"/>
        <w:jc w:val="both"/>
      </w:pPr>
      <w:r>
        <w:t xml:space="preserve">The RCC Administrations consider that there is no need to modify RR within this Agenda Item (Method A in CPM Report). </w:t>
      </w:r>
    </w:p>
    <w:p w:rsidR="0071101E" w:rsidRDefault="00E136AE">
      <w:pPr>
        <w:tabs>
          <w:tab w:val="left" w:pos="794"/>
          <w:tab w:val="left" w:pos="1191"/>
          <w:tab w:val="left" w:pos="1588"/>
          <w:tab w:val="left" w:pos="1985"/>
        </w:tabs>
        <w:spacing w:before="60"/>
        <w:ind w:firstLine="709"/>
        <w:jc w:val="both"/>
      </w:pPr>
      <w:r>
        <w:t>The RCC Administrations support harmonization of frequency bands for evolving Intelligent Transport Systems (ITS) at global and regional levels within existing mobile service allocations through the development of ITU-R Recommendations and Reports</w:t>
      </w:r>
    </w:p>
    <w:p w:rsidR="0071101E" w:rsidRDefault="00E136AE">
      <w:pPr>
        <w:tabs>
          <w:tab w:val="left" w:pos="794"/>
          <w:tab w:val="left" w:pos="1191"/>
          <w:tab w:val="left" w:pos="1588"/>
          <w:tab w:val="left" w:pos="1985"/>
        </w:tabs>
        <w:spacing w:before="60"/>
        <w:ind w:firstLine="709"/>
        <w:jc w:val="both"/>
      </w:pPr>
      <w:r>
        <w:t xml:space="preserve">The RCC Administrations are of the view that harmonizing the use of frequency bands for evolving </w:t>
      </w:r>
      <w:proofErr w:type="gramStart"/>
      <w:r>
        <w:t>ITS shall</w:t>
      </w:r>
      <w:proofErr w:type="gramEnd"/>
      <w:r>
        <w:t xml:space="preserve"> not impose additional constraints on services to which these frequency bands are allocated.</w:t>
      </w:r>
    </w:p>
    <w:p w:rsidR="0071101E" w:rsidRDefault="00E136AE">
      <w:pPr>
        <w:keepNext/>
        <w:keepLines/>
        <w:spacing w:before="200"/>
        <w:jc w:val="both"/>
        <w:rPr>
          <w:i/>
        </w:rPr>
      </w:pPr>
      <w:bookmarkStart w:id="17" w:name="_44sinio" w:colFirst="0" w:colLast="0"/>
      <w:bookmarkEnd w:id="17"/>
      <w:r>
        <w:rPr>
          <w:i/>
        </w:rPr>
        <w:t>1.13</w:t>
      </w:r>
      <w:r>
        <w:rPr>
          <w:i/>
        </w:rPr>
        <w:tab/>
      </w:r>
      <w:proofErr w:type="gramStart"/>
      <w:r>
        <w:rPr>
          <w:i/>
        </w:rPr>
        <w:t>to</w:t>
      </w:r>
      <w:proofErr w:type="gramEnd"/>
      <w:r>
        <w:rPr>
          <w:i/>
        </w:rPr>
        <w:t xml:space="preserve"> consider identification of frequency bands for future development of International Mobile Telecommunications (IMT),including possible additional allocations to the mobile service on a primary basis, in accordance with Resolution </w:t>
      </w:r>
      <w:r>
        <w:rPr>
          <w:b/>
          <w:i/>
        </w:rPr>
        <w:t>238 (WRC-15)</w:t>
      </w:r>
      <w:r>
        <w:rPr>
          <w:i/>
        </w:rPr>
        <w:t>;</w:t>
      </w:r>
    </w:p>
    <w:p w:rsidR="0071101E" w:rsidRDefault="00E136AE">
      <w:pPr>
        <w:tabs>
          <w:tab w:val="left" w:pos="794"/>
          <w:tab w:val="left" w:pos="1191"/>
          <w:tab w:val="left" w:pos="1588"/>
          <w:tab w:val="left" w:pos="1985"/>
        </w:tabs>
        <w:spacing w:before="60"/>
        <w:ind w:firstLine="709"/>
        <w:jc w:val="both"/>
      </w:pPr>
      <w:r>
        <w:t>The RCC Administrations consider that when developing technical conditions and regulatory provisions for the allocation of frequency bands to the MS and their identification for IMT it is necessary to ensure protection of other services having allocation in the considered and adjacent frequency bands taking into account the need in their development, first of all for existing systems or those planned to be used by RCC Administrations.</w:t>
      </w:r>
    </w:p>
    <w:p w:rsidR="0071101E" w:rsidRDefault="00E136AE">
      <w:pPr>
        <w:tabs>
          <w:tab w:val="left" w:pos="794"/>
          <w:tab w:val="left" w:pos="1191"/>
          <w:tab w:val="left" w:pos="1588"/>
          <w:tab w:val="left" w:pos="1985"/>
        </w:tabs>
        <w:spacing w:before="60"/>
        <w:ind w:firstLine="709"/>
        <w:jc w:val="both"/>
      </w:pPr>
      <w:r>
        <w:t>The RCC Administrations do not oppose the allocation of the frequency band 24.25-25.25 GHz to mobile, excluding aeronautical mobile, service on a primary global basis, as well as the identification of the frequency band 24.25-27.5 GHz for IMT within land mobile service subject to incorporating the conditions in the Radio Regulations for IMT stations to protect:</w:t>
      </w:r>
    </w:p>
    <w:p w:rsidR="0071101E" w:rsidRDefault="00E136AE">
      <w:pPr>
        <w:tabs>
          <w:tab w:val="left" w:pos="794"/>
          <w:tab w:val="left" w:pos="1191"/>
          <w:tab w:val="left" w:pos="1588"/>
          <w:tab w:val="left" w:pos="1985"/>
        </w:tabs>
        <w:spacing w:before="60"/>
        <w:ind w:firstLine="709"/>
        <w:jc w:val="both"/>
      </w:pPr>
      <w:r>
        <w:t>- space stations in the Earth exploration-satellite service (EESS) (passive) in the frequency bands 23.6-24 GHz, 50.2-50.4 GHz and 52.6-54.25 GHz from unwanted emissions of IMT stations;</w:t>
      </w:r>
    </w:p>
    <w:p w:rsidR="0071101E" w:rsidRDefault="00E136AE">
      <w:pPr>
        <w:tabs>
          <w:tab w:val="left" w:pos="794"/>
          <w:tab w:val="left" w:pos="1191"/>
          <w:tab w:val="left" w:pos="1588"/>
          <w:tab w:val="left" w:pos="1985"/>
        </w:tabs>
        <w:spacing w:before="60"/>
        <w:ind w:firstLine="709"/>
        <w:jc w:val="both"/>
      </w:pPr>
      <w:r>
        <w:t xml:space="preserve">- </w:t>
      </w:r>
      <w:proofErr w:type="gramStart"/>
      <w:r>
        <w:t>space</w:t>
      </w:r>
      <w:proofErr w:type="gramEnd"/>
      <w:r>
        <w:t xml:space="preserve"> stations in the fixed-satellite service and inter-satellite service. </w:t>
      </w:r>
    </w:p>
    <w:p w:rsidR="0071101E" w:rsidRDefault="00E136AE">
      <w:pPr>
        <w:tabs>
          <w:tab w:val="left" w:pos="794"/>
          <w:tab w:val="left" w:pos="1191"/>
          <w:tab w:val="left" w:pos="1588"/>
          <w:tab w:val="left" w:pos="1985"/>
        </w:tabs>
        <w:spacing w:before="60"/>
        <w:ind w:firstLine="709"/>
        <w:jc w:val="both"/>
      </w:pPr>
      <w:r>
        <w:t xml:space="preserve">In order to ensure this protection it is necessary to limit the emission from IMT base stations in upper hemisphere, as well as to limit unwanted emissions of IMT stations in frequency bands 23.6−24.0 GHz, 50.2−50.4 GHz and 52.6−54.25 GHz allocated to EESS (passive). </w:t>
      </w:r>
    </w:p>
    <w:p w:rsidR="0071101E" w:rsidRDefault="00E136AE">
      <w:pPr>
        <w:ind w:firstLine="709"/>
        <w:jc w:val="both"/>
      </w:pPr>
      <w:r>
        <w:t xml:space="preserve">The RCC Administrations do not oppose allocation of the frequency band 40.5-42.5 GHz to mobile service on the primary basis and its identification for IMT provided that the IMT operation in the frequency band 40.5−42.5 GHz shall ensure protection for: </w:t>
      </w:r>
    </w:p>
    <w:p w:rsidR="0071101E" w:rsidRDefault="00E136AE">
      <w:pPr>
        <w:jc w:val="both"/>
      </w:pPr>
      <w:r>
        <w:rPr>
          <w:i/>
        </w:rPr>
        <w:tab/>
        <w:t>-</w:t>
      </w:r>
      <w:r>
        <w:t xml:space="preserve"> </w:t>
      </w:r>
      <w:proofErr w:type="gramStart"/>
      <w:r>
        <w:t>existing</w:t>
      </w:r>
      <w:proofErr w:type="gramEnd"/>
      <w:r>
        <w:t xml:space="preserve"> and future receiving stations in FSS at unspecified points as well as those used for gateways;</w:t>
      </w:r>
    </w:p>
    <w:p w:rsidR="0071101E" w:rsidRDefault="00E136AE">
      <w:pPr>
        <w:jc w:val="both"/>
      </w:pPr>
      <w:r>
        <w:rPr>
          <w:i/>
        </w:rPr>
        <w:lastRenderedPageBreak/>
        <w:tab/>
        <w:t xml:space="preserve">- </w:t>
      </w:r>
      <w:proofErr w:type="gramStart"/>
      <w:r>
        <w:t>existing</w:t>
      </w:r>
      <w:proofErr w:type="gramEnd"/>
      <w:r>
        <w:t xml:space="preserve"> and future RAS in the frequency band 42.5−43.5 GHz based on coordination measures for RAS stations in the frequency band 42.5−43.5 GHz.</w:t>
      </w:r>
      <w:bookmarkStart w:id="18" w:name="32hioqz" w:colFirst="0" w:colLast="0"/>
      <w:bookmarkEnd w:id="18"/>
    </w:p>
    <w:p w:rsidR="0071101E" w:rsidRDefault="00E136AE">
      <w:pPr>
        <w:ind w:firstLine="709"/>
        <w:jc w:val="both"/>
      </w:pPr>
      <w:r>
        <w:t>The RCC Administrations do not support identification for IMT systems and modification of the conditions of the use of the frequency band 37.0−40.5 GHz in Region 1 since this band is actively used and will continue to be used by systems in the fixed service. In case of identification of this frequency band for IMT in Region 2 or 3, it is necessary to adopt regulatory provisions ensuring protection in Region 1 of EESS/SRS (passive) in the band below 37 GHz and EESS/SRS in the band 40-40.5 GHz.</w:t>
      </w:r>
    </w:p>
    <w:p w:rsidR="0071101E" w:rsidRDefault="00E136AE">
      <w:pPr>
        <w:ind w:firstLine="709"/>
        <w:jc w:val="both"/>
      </w:pPr>
      <w:r>
        <w:t>The RCC Administrations do not support the identification of the frequency bands 45.5−47.0 GHz, 47.02-47.2 GHz and 66−71 GHz for IMT systems until ITU-R concludes the compatibility studies with existing primary radio services.</w:t>
      </w:r>
    </w:p>
    <w:p w:rsidR="0071101E" w:rsidRDefault="00E136AE">
      <w:pPr>
        <w:ind w:firstLine="709"/>
        <w:jc w:val="both"/>
      </w:pPr>
      <w:r>
        <w:t>The RCC Administrations do not support the identification of the frequency bands 47.2−50.2 GHz and 50.4−52.6 GHz for IMT taking into account difficulties in ensuring compatibility of IMT stations with passive services in adjacent frequency band 50.2-50.4 GHz.</w:t>
      </w:r>
    </w:p>
    <w:p w:rsidR="0071101E" w:rsidRDefault="00E136AE">
      <w:pPr>
        <w:tabs>
          <w:tab w:val="left" w:pos="794"/>
          <w:tab w:val="left" w:pos="1191"/>
          <w:tab w:val="left" w:pos="1588"/>
          <w:tab w:val="left" w:pos="1985"/>
        </w:tabs>
        <w:spacing w:before="60"/>
        <w:ind w:firstLine="709"/>
        <w:jc w:val="both"/>
      </w:pPr>
      <w:r>
        <w:t>The RCC Administrations oppose allocation of the frequency band 31.8-33.4 GHz to mobile service on a primary basis and identification of the frequency bands 31.8-33.4 GHz and 42.5-43.5 GHz, 71−76 GHz and 81−86 GHz for IMT systems, as the results of ITU-R studies in these bands have concluded that IMT systems are incompatible with the stations of the incumbent services.</w:t>
      </w:r>
    </w:p>
    <w:p w:rsidR="0071101E" w:rsidRDefault="00E136AE">
      <w:pPr>
        <w:tabs>
          <w:tab w:val="left" w:pos="794"/>
          <w:tab w:val="left" w:pos="1191"/>
          <w:tab w:val="left" w:pos="1588"/>
          <w:tab w:val="left" w:pos="1985"/>
        </w:tabs>
        <w:spacing w:before="60"/>
        <w:ind w:firstLine="709"/>
        <w:jc w:val="both"/>
      </w:pPr>
      <w:r>
        <w:t xml:space="preserve">The RCC Administrations oppose the consideration of frequency bands not specified in Resolution </w:t>
      </w:r>
      <w:r>
        <w:rPr>
          <w:b/>
        </w:rPr>
        <w:t>238 (WRC-15)</w:t>
      </w:r>
      <w:r>
        <w:t xml:space="preserve"> for IMT systems in this WRC-19 agenda item.</w:t>
      </w:r>
    </w:p>
    <w:p w:rsidR="0071101E" w:rsidRDefault="00E136AE">
      <w:pPr>
        <w:keepNext/>
        <w:keepLines/>
        <w:spacing w:before="200"/>
        <w:jc w:val="both"/>
        <w:rPr>
          <w:i/>
        </w:rPr>
      </w:pPr>
      <w:bookmarkStart w:id="19" w:name="_2jxsxqh" w:colFirst="0" w:colLast="0"/>
      <w:bookmarkEnd w:id="19"/>
      <w:r>
        <w:rPr>
          <w:i/>
        </w:rPr>
        <w:t>1.14</w:t>
      </w:r>
      <w:r>
        <w:rPr>
          <w:i/>
        </w:rPr>
        <w:tab/>
        <w:t xml:space="preserve">to consider, on the basis of ITU-R studies in accordance with Resolution </w:t>
      </w:r>
      <w:r>
        <w:rPr>
          <w:b/>
          <w:i/>
        </w:rPr>
        <w:t>160 (WRC-15)</w:t>
      </w:r>
      <w:r>
        <w:rPr>
          <w:i/>
        </w:rPr>
        <w:t>, appropriate regulatory actions for high-altitude platform stations (HAPS), within existing fixed-service allocations;</w:t>
      </w:r>
    </w:p>
    <w:p w:rsidR="0071101E" w:rsidRDefault="00E136AE">
      <w:pPr>
        <w:tabs>
          <w:tab w:val="left" w:pos="794"/>
          <w:tab w:val="left" w:pos="1191"/>
          <w:tab w:val="left" w:pos="1588"/>
          <w:tab w:val="left" w:pos="1985"/>
        </w:tabs>
        <w:spacing w:before="60"/>
        <w:ind w:firstLine="709"/>
        <w:jc w:val="both"/>
      </w:pPr>
      <w:r>
        <w:t>The RCC Administrations support necessary modifications to existing RR Article 5 footnotes and related WRC Resolutions as well as the development of the new Radio Regulations Article 5 footnotes and related WRC Resolutions to ensure the protection and the possibility of further development for existing services, including other applications of fixed service, having allocations in these and adjacent frequency bands, as well as to facilitate HAPS development.</w:t>
      </w:r>
    </w:p>
    <w:p w:rsidR="0071101E" w:rsidRDefault="00E136AE">
      <w:pPr>
        <w:tabs>
          <w:tab w:val="left" w:pos="794"/>
          <w:tab w:val="left" w:pos="1191"/>
          <w:tab w:val="left" w:pos="1588"/>
          <w:tab w:val="left" w:pos="1985"/>
        </w:tabs>
        <w:spacing w:before="60"/>
        <w:ind w:firstLine="709"/>
        <w:jc w:val="both"/>
      </w:pPr>
      <w:bookmarkStart w:id="20" w:name="_z337ya" w:colFirst="0" w:colLast="0"/>
      <w:bookmarkEnd w:id="20"/>
      <w:r>
        <w:t xml:space="preserve">The RCC Administrations consider that HAPS should not claim more protection from other stations of existing services than that provided in the Radio Regulations for the terrestrial stations in the fixed service, while not exceeding the interference level to stations of the existing services as the stations on the Earth’s surface in the fixed service do. </w:t>
      </w:r>
    </w:p>
    <w:p w:rsidR="0071101E" w:rsidRDefault="00E136AE">
      <w:pPr>
        <w:keepNext/>
        <w:keepLines/>
        <w:spacing w:before="200"/>
        <w:jc w:val="both"/>
        <w:rPr>
          <w:i/>
        </w:rPr>
      </w:pPr>
      <w:r>
        <w:rPr>
          <w:i/>
        </w:rPr>
        <w:t>1.15</w:t>
      </w:r>
      <w:r>
        <w:rPr>
          <w:i/>
        </w:rPr>
        <w:tab/>
        <w:t xml:space="preserve">to consider identification of frequency bands for use by administrations for the land-mobile and fixed services applications operating in the frequency band 275−450 GHz, in accordance with Resolution </w:t>
      </w:r>
      <w:r>
        <w:rPr>
          <w:b/>
          <w:i/>
        </w:rPr>
        <w:t>767 (WRC-15)</w:t>
      </w:r>
      <w:r>
        <w:rPr>
          <w:i/>
        </w:rPr>
        <w:t>;</w:t>
      </w:r>
    </w:p>
    <w:p w:rsidR="0071101E" w:rsidRDefault="00E136AE">
      <w:pPr>
        <w:tabs>
          <w:tab w:val="left" w:pos="794"/>
          <w:tab w:val="left" w:pos="1191"/>
          <w:tab w:val="left" w:pos="1588"/>
          <w:tab w:val="left" w:pos="1985"/>
        </w:tabs>
        <w:spacing w:before="60"/>
        <w:ind w:firstLine="709"/>
        <w:jc w:val="both"/>
      </w:pPr>
      <w:r>
        <w:t>The RCC Administrations consider it reasonable that identification of frequency bands for land-mobile and fixed service applications in 275-450 GHz band in the RR No. 5.565 will facilitate global harmonization of radio frequencies for development and introduction of land mobile and fixed service applications above 275 GHz.</w:t>
      </w:r>
    </w:p>
    <w:p w:rsidR="0071101E" w:rsidRDefault="00E136AE">
      <w:pPr>
        <w:tabs>
          <w:tab w:val="left" w:pos="794"/>
          <w:tab w:val="left" w:pos="1191"/>
          <w:tab w:val="left" w:pos="1588"/>
          <w:tab w:val="left" w:pos="1985"/>
        </w:tabs>
        <w:spacing w:before="60"/>
        <w:ind w:firstLine="709"/>
        <w:jc w:val="both"/>
      </w:pPr>
      <w:r>
        <w:t xml:space="preserve">The RCC Administrations consider that when identifying frequency bands for active services in 275-450 GHz range, a balance of interests </w:t>
      </w:r>
      <w:r>
        <w:lastRenderedPageBreak/>
        <w:t>has to be observed in the use of this frequency range by both active and passive services, ensuring possibility for future development of new active service applications while excluding interferences to the passive services in the frequency bands already identified in No. 5.565 of the Radio Regulations. The RCC Administrations support inclusion in the new RR footnote of the frequency bands 275−296 GHz, 306−313 GHz, 318−333 GHz and 356−450 GHz to be used by applications in the land mobile and fixed services and the related modifications to RR No. 5.565 . This corresponds to Method E in CPM Report.</w:t>
      </w:r>
    </w:p>
    <w:p w:rsidR="0071101E" w:rsidRDefault="00E136AE">
      <w:pPr>
        <w:keepNext/>
        <w:keepLines/>
        <w:spacing w:before="200"/>
        <w:jc w:val="both"/>
        <w:rPr>
          <w:i/>
        </w:rPr>
      </w:pPr>
      <w:bookmarkStart w:id="21" w:name="_3j2qqm3" w:colFirst="0" w:colLast="0"/>
      <w:bookmarkEnd w:id="21"/>
      <w:r>
        <w:rPr>
          <w:i/>
        </w:rPr>
        <w:t>1.16</w:t>
      </w:r>
      <w:r>
        <w:rPr>
          <w:i/>
        </w:rPr>
        <w:tab/>
        <w:t xml:space="preserve">to consider issues related to wireless access systems, including radio local networks (WAS/RLAN), in the frequency bands between 5 150 MHz and 5 925 MHz, and take the appropriate regulatory actions, including additional spectrum allocations to the mobile service, in accordance with Resolution </w:t>
      </w:r>
      <w:r>
        <w:rPr>
          <w:b/>
          <w:i/>
        </w:rPr>
        <w:t>239 (WRC-15)</w:t>
      </w:r>
      <w:r>
        <w:rPr>
          <w:i/>
        </w:rPr>
        <w:t>;</w:t>
      </w:r>
    </w:p>
    <w:p w:rsidR="0071101E" w:rsidRDefault="00E136AE">
      <w:pPr>
        <w:tabs>
          <w:tab w:val="left" w:pos="794"/>
          <w:tab w:val="left" w:pos="1191"/>
          <w:tab w:val="left" w:pos="1588"/>
          <w:tab w:val="left" w:pos="1985"/>
        </w:tabs>
        <w:spacing w:before="60"/>
        <w:ind w:firstLine="709"/>
        <w:jc w:val="both"/>
      </w:pPr>
      <w:r>
        <w:t xml:space="preserve">The RCC Administrations are in favour of necessary protection from potential WAS/RLAN interference for all the services having allocations in the considered frequency bands, first of all for systems in radiolocation and aeronautical </w:t>
      </w:r>
      <w:proofErr w:type="spellStart"/>
      <w:r>
        <w:t>radionavigation</w:t>
      </w:r>
      <w:proofErr w:type="spellEnd"/>
      <w:r>
        <w:t xml:space="preserve"> services used for the safety of flights.</w:t>
      </w:r>
    </w:p>
    <w:p w:rsidR="0071101E" w:rsidRDefault="00E136AE">
      <w:pPr>
        <w:tabs>
          <w:tab w:val="left" w:pos="794"/>
          <w:tab w:val="left" w:pos="1191"/>
          <w:tab w:val="left" w:pos="1588"/>
          <w:tab w:val="left" w:pos="1985"/>
        </w:tabs>
        <w:spacing w:before="60"/>
        <w:ind w:firstLine="709"/>
        <w:jc w:val="both"/>
      </w:pPr>
      <w:r>
        <w:t>The RCC Administrations oppose reduction of restrictions for the use of WAS/RLAN in the frequency bands 5 150-5 250 MHz and 5 250-5 350 MHz , since the conducted ITU-R studies did not reveal mitigation methods ensuring sharing between outdoor WAS/RLAN and the systems in existing services in the considered frequency bands.</w:t>
      </w:r>
    </w:p>
    <w:p w:rsidR="0071101E" w:rsidRDefault="00E136AE">
      <w:pPr>
        <w:tabs>
          <w:tab w:val="left" w:pos="794"/>
          <w:tab w:val="left" w:pos="1191"/>
          <w:tab w:val="left" w:pos="1588"/>
          <w:tab w:val="left" w:pos="1985"/>
        </w:tabs>
        <w:spacing w:before="60"/>
        <w:ind w:firstLine="709"/>
        <w:jc w:val="both"/>
      </w:pPr>
      <w:r>
        <w:t>The RCC Administrations oppose the use of WAS/RLAN in the frequency bands 5 350−5 470 MHz, 5 725−5 850 MHz and 5 850−5 925 MHz, since the studies conducted by ITU-R , showed that sharing between WAS/RLAN and the systems in existing services in the considered frequency bands is not ensured.</w:t>
      </w:r>
    </w:p>
    <w:p w:rsidR="0071101E" w:rsidRDefault="00E136AE">
      <w:pPr>
        <w:ind w:firstLine="709"/>
        <w:jc w:val="both"/>
      </w:pPr>
      <w:r>
        <w:t>The RCC Administrations are in favour of the application of the following solution Methods in the frequency bands considered according to WRC-19 agenda item 1.16:</w:t>
      </w:r>
    </w:p>
    <w:p w:rsidR="0071101E" w:rsidRDefault="00E136AE">
      <w:pPr>
        <w:ind w:firstLine="709"/>
        <w:jc w:val="both"/>
      </w:pPr>
      <w:r>
        <w:t xml:space="preserve">- </w:t>
      </w:r>
      <w:proofErr w:type="gramStart"/>
      <w:r>
        <w:t>in</w:t>
      </w:r>
      <w:proofErr w:type="gramEnd"/>
      <w:r>
        <w:t xml:space="preserve"> the frequency band 5150-5250 MHz – Method А1;</w:t>
      </w:r>
    </w:p>
    <w:p w:rsidR="0071101E" w:rsidRDefault="00E136AE">
      <w:pPr>
        <w:ind w:firstLine="709"/>
        <w:jc w:val="both"/>
      </w:pPr>
      <w:r>
        <w:t xml:space="preserve">- </w:t>
      </w:r>
      <w:proofErr w:type="gramStart"/>
      <w:r>
        <w:t>in</w:t>
      </w:r>
      <w:proofErr w:type="gramEnd"/>
      <w:r>
        <w:t xml:space="preserve"> the frequency band 5250-5350 MHz – Method В1;</w:t>
      </w:r>
    </w:p>
    <w:p w:rsidR="0071101E" w:rsidRDefault="00E136AE">
      <w:pPr>
        <w:ind w:firstLine="709"/>
        <w:jc w:val="both"/>
      </w:pPr>
      <w:r>
        <w:t xml:space="preserve">- </w:t>
      </w:r>
      <w:proofErr w:type="gramStart"/>
      <w:r>
        <w:t>in</w:t>
      </w:r>
      <w:proofErr w:type="gramEnd"/>
      <w:r>
        <w:t xml:space="preserve"> the frequency band 5350-5470 MHz – Method С1;</w:t>
      </w:r>
    </w:p>
    <w:p w:rsidR="0071101E" w:rsidRDefault="00E136AE">
      <w:pPr>
        <w:ind w:firstLine="709"/>
        <w:jc w:val="both"/>
      </w:pPr>
      <w:r>
        <w:t xml:space="preserve">- </w:t>
      </w:r>
      <w:proofErr w:type="gramStart"/>
      <w:r>
        <w:t>in</w:t>
      </w:r>
      <w:proofErr w:type="gramEnd"/>
      <w:r>
        <w:t xml:space="preserve"> the frequency band 5725-5850 MHz – Method D1;</w:t>
      </w:r>
    </w:p>
    <w:p w:rsidR="0071101E" w:rsidRDefault="00E136AE">
      <w:pPr>
        <w:ind w:firstLine="709"/>
        <w:jc w:val="both"/>
      </w:pPr>
      <w:r>
        <w:t xml:space="preserve">- </w:t>
      </w:r>
      <w:proofErr w:type="gramStart"/>
      <w:r>
        <w:t>in</w:t>
      </w:r>
      <w:proofErr w:type="gramEnd"/>
      <w:r>
        <w:t xml:space="preserve"> the frequency band 5850-5925 MHz – Method Е1.</w:t>
      </w:r>
    </w:p>
    <w:p w:rsidR="0071101E" w:rsidRDefault="0071101E">
      <w:pPr>
        <w:tabs>
          <w:tab w:val="left" w:pos="794"/>
          <w:tab w:val="left" w:pos="1191"/>
          <w:tab w:val="left" w:pos="1588"/>
          <w:tab w:val="left" w:pos="1985"/>
        </w:tabs>
        <w:spacing w:before="60"/>
        <w:ind w:firstLine="709"/>
        <w:jc w:val="both"/>
      </w:pPr>
    </w:p>
    <w:p w:rsidR="0071101E" w:rsidRDefault="00E136AE">
      <w:pPr>
        <w:keepNext/>
        <w:keepLines/>
        <w:spacing w:before="200"/>
        <w:jc w:val="both"/>
        <w:rPr>
          <w:i/>
        </w:rPr>
      </w:pPr>
      <w:bookmarkStart w:id="22" w:name="_1y810tw" w:colFirst="0" w:colLast="0"/>
      <w:bookmarkEnd w:id="22"/>
      <w:r>
        <w:rPr>
          <w:i/>
        </w:rPr>
        <w:t>2</w:t>
      </w:r>
      <w:r>
        <w:rPr>
          <w:i/>
        </w:rPr>
        <w:tab/>
        <w:t xml:space="preserve">to examine the revised ITU-R Recommendations incorporated by reference in the Radio Regulations communicated by the Radiocommunication Assembly, in accordance with Resolution </w:t>
      </w:r>
      <w:r>
        <w:rPr>
          <w:b/>
          <w:i/>
        </w:rPr>
        <w:t>28 (Rev. WRC-15)</w:t>
      </w:r>
      <w:r>
        <w:rPr>
          <w:i/>
        </w:rPr>
        <w:t xml:space="preserve">, and to decide whether or not to update the corresponding references in the Radio Regulations, in accordance with the principles contained in Annex 1 to Resolution </w:t>
      </w:r>
      <w:r>
        <w:rPr>
          <w:b/>
          <w:i/>
        </w:rPr>
        <w:t>27 (Rev.WRC-12)</w:t>
      </w:r>
      <w:r>
        <w:rPr>
          <w:i/>
        </w:rPr>
        <w:t>;</w:t>
      </w:r>
    </w:p>
    <w:p w:rsidR="0071101E" w:rsidRDefault="00E136AE">
      <w:pPr>
        <w:tabs>
          <w:tab w:val="left" w:pos="794"/>
          <w:tab w:val="left" w:pos="1191"/>
          <w:tab w:val="left" w:pos="1588"/>
          <w:tab w:val="left" w:pos="1985"/>
        </w:tabs>
        <w:spacing w:before="60"/>
        <w:ind w:firstLine="709"/>
        <w:jc w:val="both"/>
      </w:pPr>
      <w:r>
        <w:t xml:space="preserve">The RCC Administrations support the principles of incorporation of texts in the Radio Regulations by reference and propose changes into </w:t>
      </w:r>
      <w:r>
        <w:lastRenderedPageBreak/>
        <w:t xml:space="preserve">the Radio Regulations with regard to Recommendations ITU-R P.525-2, P.526-13 and RS.1260-1 according to general RCC proposals under this WRC-19 agenda item. </w:t>
      </w:r>
    </w:p>
    <w:p w:rsidR="0071101E" w:rsidRDefault="00E136AE">
      <w:pPr>
        <w:tabs>
          <w:tab w:val="left" w:pos="794"/>
          <w:tab w:val="left" w:pos="1191"/>
          <w:tab w:val="left" w:pos="1588"/>
          <w:tab w:val="left" w:pos="1985"/>
        </w:tabs>
        <w:spacing w:before="60"/>
        <w:ind w:firstLine="709"/>
        <w:jc w:val="both"/>
      </w:pPr>
      <w:r>
        <w:t xml:space="preserve">The RCC Administrations consider that updating the reference to Recommendation ITU-R M.1638-0 "Characteristics of and protection criteria for sharing studies for radiolocation, aeronautical </w:t>
      </w:r>
      <w:proofErr w:type="spellStart"/>
      <w:r>
        <w:t>radionavigation</w:t>
      </w:r>
      <w:proofErr w:type="spellEnd"/>
      <w:r>
        <w:t xml:space="preserve"> and meteorological radars operating in the frequency bands between 5 250 and 5 850 MHz" in Nos. 5.447F, 5.450A RR shall be considered within WRC-19 issue 9.1.5.</w:t>
      </w:r>
    </w:p>
    <w:p w:rsidR="0071101E" w:rsidRDefault="00E136AE">
      <w:pPr>
        <w:tabs>
          <w:tab w:val="left" w:pos="794"/>
          <w:tab w:val="left" w:pos="1191"/>
          <w:tab w:val="left" w:pos="1588"/>
          <w:tab w:val="left" w:pos="1985"/>
        </w:tabs>
        <w:spacing w:before="60"/>
        <w:ind w:firstLine="709"/>
      </w:pPr>
      <w:r>
        <w:t xml:space="preserve">The RCC Administrations consider that it is possible to merge Resolution 27 (Rev. WRC-12) and 28 (Rev. WRC-15) without losing the necessary elements of the two existing Resolutions and without adding new separate elements. </w:t>
      </w:r>
    </w:p>
    <w:p w:rsidR="0071101E" w:rsidRDefault="00E136AE">
      <w:pPr>
        <w:keepNext/>
        <w:keepLines/>
        <w:spacing w:before="200"/>
        <w:jc w:val="both"/>
        <w:rPr>
          <w:i/>
        </w:rPr>
      </w:pPr>
      <w:bookmarkStart w:id="23" w:name="_4i7ojhp" w:colFirst="0" w:colLast="0"/>
      <w:bookmarkEnd w:id="23"/>
      <w:r>
        <w:rPr>
          <w:i/>
        </w:rPr>
        <w:t>4</w:t>
      </w:r>
      <w:r>
        <w:rPr>
          <w:i/>
        </w:rPr>
        <w:tab/>
        <w:t xml:space="preserve">in accordance with Resolution </w:t>
      </w:r>
      <w:r>
        <w:rPr>
          <w:b/>
          <w:i/>
        </w:rPr>
        <w:t>95 (Rev. WRC-07)</w:t>
      </w:r>
      <w:r>
        <w:rPr>
          <w:i/>
        </w:rPr>
        <w:t>, to review the resolutions and recommendations of previous conferences with a view to their possible revision, replacement and abrogation;</w:t>
      </w:r>
    </w:p>
    <w:p w:rsidR="0071101E" w:rsidRDefault="00E136AE">
      <w:pPr>
        <w:tabs>
          <w:tab w:val="left" w:pos="794"/>
          <w:tab w:val="left" w:pos="1191"/>
          <w:tab w:val="left" w:pos="1588"/>
          <w:tab w:val="left" w:pos="1985"/>
        </w:tabs>
        <w:spacing w:before="60"/>
        <w:ind w:firstLine="709"/>
        <w:jc w:val="both"/>
      </w:pPr>
      <w:r>
        <w:t>The RCC Administrations are of the view that this agenda item shall not address Resolutions and Recommendations that are addressed within other WRC-19 agenda items.</w:t>
      </w:r>
    </w:p>
    <w:p w:rsidR="0071101E" w:rsidRDefault="00E136AE">
      <w:pPr>
        <w:ind w:firstLine="709"/>
        <w:jc w:val="both"/>
      </w:pPr>
      <w:r>
        <w:t xml:space="preserve">The RCC Administrations are in favour of maintaining the following WRC Resolutions unchanged: 18, 20, 205, 207, 217, 344, 354, 356, 417, 422, 424, 612, 749, </w:t>
      </w:r>
      <w:proofErr w:type="gramStart"/>
      <w:r>
        <w:t>760</w:t>
      </w:r>
      <w:proofErr w:type="gramEnd"/>
      <w:r>
        <w:t>.</w:t>
      </w:r>
    </w:p>
    <w:p w:rsidR="0071101E" w:rsidRDefault="00E136AE">
      <w:pPr>
        <w:spacing w:after="120"/>
        <w:ind w:firstLine="709"/>
        <w:jc w:val="both"/>
      </w:pPr>
      <w:r>
        <w:t>The RCC Administrations are in favour of suppressing Resolution 641 (Rev. HFBC-87).</w:t>
      </w:r>
    </w:p>
    <w:p w:rsidR="0071101E" w:rsidRDefault="00E136AE">
      <w:pPr>
        <w:spacing w:after="120"/>
        <w:ind w:firstLine="709"/>
        <w:jc w:val="both"/>
      </w:pPr>
      <w:r>
        <w:t>The RCC Administrations are in favour of amending Recommendation 316 (Rev. Mob-87).</w:t>
      </w:r>
    </w:p>
    <w:p w:rsidR="0071101E" w:rsidRDefault="00E136AE">
      <w:pPr>
        <w:keepNext/>
        <w:keepLines/>
        <w:spacing w:before="200"/>
        <w:jc w:val="both"/>
        <w:rPr>
          <w:i/>
        </w:rPr>
      </w:pPr>
      <w:bookmarkStart w:id="24" w:name="_2xcytpi" w:colFirst="0" w:colLast="0"/>
      <w:bookmarkEnd w:id="24"/>
      <w:r>
        <w:rPr>
          <w:i/>
        </w:rPr>
        <w:t>7</w:t>
      </w:r>
      <w:r>
        <w:rPr>
          <w:i/>
        </w:rPr>
        <w:tab/>
        <w:t xml:space="preserve">to consider possible changes and other options, in response to Resolution </w:t>
      </w:r>
      <w:r>
        <w:rPr>
          <w:b/>
          <w:i/>
        </w:rPr>
        <w:t>86 (Rev. Marrakesh, 2002)</w:t>
      </w:r>
      <w:r>
        <w:rPr>
          <w:i/>
        </w:rPr>
        <w:t xml:space="preserve"> of the Plenipotentiary Conference, an advance publication, coordination, notification and recording procedures for frequency assignments pertaining to satellite networks, in accordance with Resolution </w:t>
      </w:r>
      <w:r>
        <w:rPr>
          <w:b/>
          <w:i/>
        </w:rPr>
        <w:t>86 (Rev. WRC-07)</w:t>
      </w:r>
      <w:r>
        <w:rPr>
          <w:i/>
        </w:rPr>
        <w:t>, in order to facilitate rational, efficient and economical use of radio frequencies and any associated orbits, including the geostationary satellite orbit;</w:t>
      </w:r>
    </w:p>
    <w:p w:rsidR="0071101E" w:rsidRDefault="00E136AE">
      <w:pPr>
        <w:tabs>
          <w:tab w:val="left" w:pos="794"/>
          <w:tab w:val="left" w:pos="1191"/>
          <w:tab w:val="left" w:pos="1588"/>
          <w:tab w:val="left" w:pos="1985"/>
        </w:tabs>
        <w:spacing w:before="60"/>
        <w:ind w:firstLine="709"/>
        <w:jc w:val="both"/>
      </w:pPr>
      <w:r>
        <w:t>The RCC Administrations consider it necessary further improvements in the notification, coordination and recording procedures for frequency assignments to satellite networks in different services in order to ensure equitable access of ITU Member States to orbital and frequency resource.</w:t>
      </w:r>
    </w:p>
    <w:p w:rsidR="0071101E" w:rsidRDefault="00E136AE">
      <w:pPr>
        <w:spacing w:after="120"/>
        <w:jc w:val="both"/>
        <w:rPr>
          <w:b/>
          <w:i/>
        </w:rPr>
      </w:pPr>
      <w:r>
        <w:rPr>
          <w:b/>
          <w:i/>
        </w:rPr>
        <w:t>Issue А –</w:t>
      </w:r>
      <w:r>
        <w:t xml:space="preserve"> </w:t>
      </w:r>
      <w:r>
        <w:rPr>
          <w:b/>
          <w:i/>
        </w:rPr>
        <w:t>Bringing into use of frequency assignments to all non-GSO systems, and consideration of a milestone-based approach for the deployment of non-GSO systems in specific frequency bands and services.</w:t>
      </w:r>
    </w:p>
    <w:p w:rsidR="0071101E" w:rsidRDefault="00E136AE">
      <w:pPr>
        <w:tabs>
          <w:tab w:val="left" w:pos="794"/>
          <w:tab w:val="left" w:pos="1191"/>
          <w:tab w:val="left" w:pos="1588"/>
          <w:tab w:val="left" w:pos="1985"/>
        </w:tabs>
        <w:spacing w:before="60"/>
        <w:ind w:firstLine="709"/>
        <w:jc w:val="both"/>
        <w:rPr>
          <w:b/>
        </w:rPr>
      </w:pPr>
      <w:r>
        <w:rPr>
          <w:b/>
        </w:rPr>
        <w:t>Bringing into use</w:t>
      </w:r>
    </w:p>
    <w:p w:rsidR="0071101E" w:rsidRDefault="00E136AE">
      <w:pPr>
        <w:tabs>
          <w:tab w:val="left" w:pos="794"/>
          <w:tab w:val="left" w:pos="1191"/>
          <w:tab w:val="left" w:pos="1588"/>
          <w:tab w:val="left" w:pos="1985"/>
        </w:tabs>
        <w:spacing w:before="60"/>
        <w:ind w:firstLine="709"/>
        <w:jc w:val="both"/>
      </w:pPr>
      <w:r>
        <w:t xml:space="preserve">With regard to bringing into use of non-GSO systems, the RCC Administrations support that frequency assignment to space station of non-GSO satellite systems shall be considered as having been brought into use, when notifying administration informed the Bureau that at least one space station with the confirmed capability of transmitting or receiving, has been deployed on one of the notified orbital planes of the non-GSO satellite system, irrespective of the notified number of orbital planes and satellites per orbital plane in the system. The RCC Administrations do not </w:t>
      </w:r>
      <w:r>
        <w:lastRenderedPageBreak/>
        <w:t>support identification in the Radio Regulations a continuous period of 90 or less days of deployment of a satellite, when bringing into use frequency assignments to non-GSO system.</w:t>
      </w:r>
    </w:p>
    <w:p w:rsidR="0071101E" w:rsidRDefault="00E136AE">
      <w:pPr>
        <w:tabs>
          <w:tab w:val="left" w:pos="794"/>
          <w:tab w:val="left" w:pos="1191"/>
          <w:tab w:val="left" w:pos="1588"/>
          <w:tab w:val="left" w:pos="1985"/>
        </w:tabs>
        <w:spacing w:before="60"/>
        <w:ind w:firstLine="709"/>
        <w:jc w:val="both"/>
      </w:pPr>
      <w:r>
        <w:t>Further research by ITU-R is required to determine acceptable discrepancy between the notified characteristics of the orbital planes and those with deployed space stations in non-GSO systems.</w:t>
      </w:r>
    </w:p>
    <w:p w:rsidR="0071101E" w:rsidRDefault="00E136AE">
      <w:pPr>
        <w:tabs>
          <w:tab w:val="left" w:pos="794"/>
          <w:tab w:val="left" w:pos="1191"/>
          <w:tab w:val="left" w:pos="1588"/>
          <w:tab w:val="left" w:pos="1985"/>
        </w:tabs>
        <w:spacing w:before="60"/>
        <w:ind w:firstLine="709"/>
        <w:jc w:val="both"/>
        <w:rPr>
          <w:b/>
        </w:rPr>
      </w:pPr>
      <w:r>
        <w:rPr>
          <w:b/>
        </w:rPr>
        <w:t>The procedure of the milestone-based deployment approach</w:t>
      </w:r>
    </w:p>
    <w:p w:rsidR="0071101E" w:rsidRDefault="00E136AE">
      <w:pPr>
        <w:tabs>
          <w:tab w:val="left" w:pos="794"/>
          <w:tab w:val="left" w:pos="1191"/>
          <w:tab w:val="left" w:pos="1588"/>
          <w:tab w:val="left" w:pos="1985"/>
        </w:tabs>
        <w:spacing w:before="60"/>
        <w:ind w:firstLine="709"/>
        <w:jc w:val="both"/>
      </w:pPr>
      <w:r>
        <w:t xml:space="preserve">With regard to milestone-based approach to the deployment of multi-satellite non-GSO system, the RCC Administrations support adoption of new WRC-19 Resolution only in specific frequency bands (Ku-, </w:t>
      </w:r>
      <w:proofErr w:type="spellStart"/>
      <w:r>
        <w:t>Ka</w:t>
      </w:r>
      <w:proofErr w:type="spellEnd"/>
      <w:r>
        <w:t>-, Q/V-bands) for fixed-satellite service (FSS),  mobile-satellite service (MSS), and broadcasting satellite service (BSS). This Resolution shall identify the requirements applied to systems failed to meet the milestone (appropriate reduction in number of system satellites notified in the MIFR).</w:t>
      </w:r>
    </w:p>
    <w:p w:rsidR="0071101E" w:rsidRDefault="00E136AE">
      <w:pPr>
        <w:tabs>
          <w:tab w:val="left" w:pos="794"/>
          <w:tab w:val="left" w:pos="1191"/>
          <w:tab w:val="left" w:pos="1588"/>
          <w:tab w:val="left" w:pos="1985"/>
        </w:tabs>
        <w:spacing w:before="60"/>
        <w:ind w:firstLine="709"/>
        <w:jc w:val="both"/>
      </w:pPr>
      <w:r>
        <w:t xml:space="preserve">The RCC Administrations support the following requirements for the implementation of each milestone of </w:t>
      </w:r>
      <w:proofErr w:type="gramStart"/>
      <w:r>
        <w:t>deployment(</w:t>
      </w:r>
      <w:proofErr w:type="gramEnd"/>
      <w:r>
        <w:t xml:space="preserve"> time period and per cent of satellites deployed):</w:t>
      </w:r>
    </w:p>
    <w:p w:rsidR="0071101E" w:rsidRDefault="00E136AE">
      <w:pPr>
        <w:tabs>
          <w:tab w:val="left" w:pos="3686"/>
        </w:tabs>
        <w:ind w:firstLine="709"/>
        <w:jc w:val="both"/>
      </w:pPr>
      <w:r>
        <w:t xml:space="preserve">1 milestone – 2 years since the introduction of the system with the deployment of no less than 10% of the satellites notified, </w:t>
      </w:r>
    </w:p>
    <w:p w:rsidR="0071101E" w:rsidRDefault="00E136AE">
      <w:pPr>
        <w:tabs>
          <w:tab w:val="left" w:pos="3686"/>
        </w:tabs>
        <w:ind w:firstLine="709"/>
        <w:jc w:val="both"/>
      </w:pPr>
      <w:r>
        <w:t xml:space="preserve">2 milestone – 4 years since the introduction of the system with the deployment of no less than 30% of the satellites notified, </w:t>
      </w:r>
    </w:p>
    <w:p w:rsidR="0071101E" w:rsidRDefault="00E136AE">
      <w:pPr>
        <w:tabs>
          <w:tab w:val="left" w:pos="3686"/>
        </w:tabs>
        <w:ind w:firstLine="709"/>
        <w:jc w:val="both"/>
      </w:pPr>
      <w:r>
        <w:t xml:space="preserve">3 milestone – 7 years since the introduction of the system. </w:t>
      </w:r>
    </w:p>
    <w:p w:rsidR="0071101E" w:rsidRDefault="00E136AE">
      <w:pPr>
        <w:tabs>
          <w:tab w:val="left" w:pos="3686"/>
        </w:tabs>
        <w:ind w:firstLine="709"/>
        <w:jc w:val="both"/>
      </w:pPr>
      <w:r>
        <w:t>After the conclusion of the third milestone, the number of satellites deployed in the grouping shall be no less than 75% of the number of the satellites notified.</w:t>
      </w:r>
    </w:p>
    <w:p w:rsidR="0071101E" w:rsidRDefault="00E136AE">
      <w:pPr>
        <w:tabs>
          <w:tab w:val="left" w:pos="794"/>
          <w:tab w:val="left" w:pos="1191"/>
          <w:tab w:val="left" w:pos="1588"/>
          <w:tab w:val="left" w:pos="1985"/>
        </w:tabs>
        <w:spacing w:before="60"/>
        <w:ind w:firstLine="709"/>
        <w:jc w:val="both"/>
      </w:pPr>
      <w:r>
        <w:t>RCC Administrations consider that the procedure for the milestone-based approach for the deployment shall not be applied to frequency assignments of non-GSO satellite systems/networks used for safety of human life.</w:t>
      </w:r>
    </w:p>
    <w:p w:rsidR="0071101E" w:rsidRDefault="0071101E">
      <w:pPr>
        <w:tabs>
          <w:tab w:val="left" w:pos="794"/>
          <w:tab w:val="left" w:pos="1191"/>
          <w:tab w:val="left" w:pos="1588"/>
          <w:tab w:val="left" w:pos="1985"/>
        </w:tabs>
        <w:spacing w:before="60"/>
        <w:ind w:firstLine="709"/>
        <w:jc w:val="both"/>
      </w:pPr>
    </w:p>
    <w:p w:rsidR="0071101E" w:rsidRDefault="00E136AE">
      <w:pPr>
        <w:jc w:val="both"/>
        <w:rPr>
          <w:b/>
          <w:i/>
        </w:rPr>
      </w:pPr>
      <w:r>
        <w:rPr>
          <w:b/>
          <w:i/>
        </w:rPr>
        <w:t xml:space="preserve">Issue В - Application of coordination arc in the </w:t>
      </w:r>
      <w:proofErr w:type="spellStart"/>
      <w:r>
        <w:rPr>
          <w:b/>
          <w:i/>
        </w:rPr>
        <w:t>Ka</w:t>
      </w:r>
      <w:proofErr w:type="spellEnd"/>
      <w:r>
        <w:rPr>
          <w:b/>
          <w:i/>
        </w:rPr>
        <w:t>-band, to determine coordination requirements between the FSS and other satellite services</w:t>
      </w:r>
    </w:p>
    <w:p w:rsidR="0071101E" w:rsidRDefault="00E136AE">
      <w:pPr>
        <w:tabs>
          <w:tab w:val="left" w:pos="794"/>
          <w:tab w:val="left" w:pos="1191"/>
          <w:tab w:val="left" w:pos="1588"/>
          <w:tab w:val="left" w:pos="1985"/>
        </w:tabs>
        <w:spacing w:before="60"/>
        <w:ind w:firstLine="709"/>
        <w:jc w:val="both"/>
      </w:pPr>
      <w:r>
        <w:t xml:space="preserve">The RCC Administrations support introducing the coordination arc mechanism in </w:t>
      </w:r>
      <w:proofErr w:type="spellStart"/>
      <w:r>
        <w:t>Ka</w:t>
      </w:r>
      <w:proofErr w:type="spellEnd"/>
      <w:r>
        <w:t>-band to identify the need in the coordination between MSS and FSS geostationary satellite networks, as well as between MSS geostationary satellite networks, while maintaining the possibility of applying RR No. 9.41, according to the only Method in CPM Report.</w:t>
      </w:r>
    </w:p>
    <w:p w:rsidR="0071101E" w:rsidRDefault="00E136AE">
      <w:pPr>
        <w:jc w:val="both"/>
        <w:rPr>
          <w:b/>
          <w:i/>
        </w:rPr>
      </w:pPr>
      <w:r>
        <w:rPr>
          <w:b/>
          <w:i/>
        </w:rPr>
        <w:t>Issue С – Issues for which consensus was achieved in ITU-R and a single method has been identified</w:t>
      </w:r>
    </w:p>
    <w:p w:rsidR="0071101E" w:rsidRDefault="00E136AE">
      <w:pPr>
        <w:jc w:val="both"/>
        <w:rPr>
          <w:b/>
          <w:i/>
        </w:rPr>
      </w:pPr>
      <w:r>
        <w:rPr>
          <w:b/>
          <w:i/>
        </w:rPr>
        <w:t>Issue С1 - Discrepancy and/or inconsistency between the regulatory provisions dealing with any changes to the characteristics of an assignment.</w:t>
      </w:r>
    </w:p>
    <w:p w:rsidR="0071101E" w:rsidRDefault="00E136AE">
      <w:pPr>
        <w:tabs>
          <w:tab w:val="left" w:pos="794"/>
          <w:tab w:val="left" w:pos="1191"/>
          <w:tab w:val="left" w:pos="1588"/>
          <w:tab w:val="left" w:pos="1985"/>
        </w:tabs>
        <w:spacing w:before="60"/>
        <w:ind w:firstLine="709"/>
        <w:jc w:val="both"/>
      </w:pPr>
      <w:r>
        <w:t>The RCC Administrations consider that the existing discrepancy between provisions of Articles in RR Appendices 30, 30А and 30В and the terminology of RR Article 11 provisions do not lead to complications when applying the relevant provisions of the Radio Regulations.</w:t>
      </w:r>
    </w:p>
    <w:p w:rsidR="0071101E" w:rsidRDefault="00E136AE">
      <w:pPr>
        <w:jc w:val="both"/>
        <w:rPr>
          <w:b/>
          <w:i/>
        </w:rPr>
      </w:pPr>
      <w:r>
        <w:rPr>
          <w:b/>
          <w:i/>
        </w:rPr>
        <w:t>Issue С2 – Using a part of the Appendix 30B frequency band.</w:t>
      </w:r>
    </w:p>
    <w:p w:rsidR="0071101E" w:rsidRDefault="00E136AE">
      <w:pPr>
        <w:tabs>
          <w:tab w:val="left" w:pos="794"/>
          <w:tab w:val="left" w:pos="1191"/>
          <w:tab w:val="left" w:pos="1588"/>
          <w:tab w:val="left" w:pos="1985"/>
        </w:tabs>
        <w:spacing w:before="60"/>
        <w:ind w:firstLine="709"/>
        <w:jc w:val="both"/>
      </w:pPr>
      <w:r>
        <w:lastRenderedPageBreak/>
        <w:t>The RCC Administrations support the proposal on possible notification of frequency assignments blocks with bandwidth of 250 MHz each for additional systems in Ku-band within Appendix 30B.</w:t>
      </w:r>
    </w:p>
    <w:p w:rsidR="0071101E" w:rsidRDefault="00E136AE">
      <w:pPr>
        <w:jc w:val="both"/>
        <w:rPr>
          <w:b/>
          <w:i/>
        </w:rPr>
      </w:pPr>
      <w:r>
        <w:rPr>
          <w:b/>
          <w:i/>
        </w:rPr>
        <w:t>Issue С3 – Modification of Article 6 Appendix 30B §§ 6.13 and 6.15.</w:t>
      </w:r>
    </w:p>
    <w:p w:rsidR="0071101E" w:rsidRDefault="00E136AE">
      <w:pPr>
        <w:tabs>
          <w:tab w:val="left" w:pos="794"/>
          <w:tab w:val="left" w:pos="1191"/>
          <w:tab w:val="left" w:pos="1588"/>
          <w:tab w:val="left" w:pos="1985"/>
        </w:tabs>
        <w:spacing w:before="60"/>
        <w:ind w:firstLine="709"/>
        <w:jc w:val="both"/>
      </w:pPr>
      <w:r>
        <w:t>The RCC Administrations support the modification of RR Article 6 §§ 6.13 and 6.15 of Appendix 30B taking into account the Rules of Procedure under RR § 6.6 of Appendix 30B.</w:t>
      </w:r>
    </w:p>
    <w:p w:rsidR="0071101E" w:rsidRDefault="00E136AE">
      <w:pPr>
        <w:jc w:val="both"/>
        <w:rPr>
          <w:b/>
          <w:i/>
        </w:rPr>
      </w:pPr>
      <w:r>
        <w:rPr>
          <w:b/>
          <w:i/>
        </w:rPr>
        <w:t>Issue С4 – Submission of a single notice for inclusion into the List and Notification under Appendices 30/30A.</w:t>
      </w:r>
    </w:p>
    <w:p w:rsidR="0071101E" w:rsidRDefault="00E136AE">
      <w:pPr>
        <w:tabs>
          <w:tab w:val="left" w:pos="794"/>
          <w:tab w:val="left" w:pos="1191"/>
          <w:tab w:val="left" w:pos="1588"/>
          <w:tab w:val="left" w:pos="1985"/>
        </w:tabs>
        <w:spacing w:before="60"/>
        <w:ind w:firstLine="709"/>
        <w:jc w:val="both"/>
      </w:pPr>
      <w:r>
        <w:t>The RCC Administrations support the proposal on submitting and processing a single notice for a new assignment to be included into the List under § 4.1.12 and recorded under §§ 5.1.1 and 5.1.2 for the networks in the RR Appendices 30/30А in Regions 1 and 3.</w:t>
      </w:r>
    </w:p>
    <w:p w:rsidR="0071101E" w:rsidRDefault="00E136AE">
      <w:pPr>
        <w:jc w:val="both"/>
        <w:rPr>
          <w:b/>
          <w:i/>
        </w:rPr>
      </w:pPr>
      <w:r>
        <w:rPr>
          <w:b/>
          <w:i/>
        </w:rPr>
        <w:t>Issue С5 – Timely notification of an administration that the 6-month period under RR No. 11.46 has expired.</w:t>
      </w:r>
    </w:p>
    <w:p w:rsidR="0071101E" w:rsidRDefault="00E136AE">
      <w:pPr>
        <w:tabs>
          <w:tab w:val="left" w:pos="794"/>
          <w:tab w:val="left" w:pos="1191"/>
          <w:tab w:val="left" w:pos="1588"/>
          <w:tab w:val="left" w:pos="1985"/>
        </w:tabs>
        <w:spacing w:before="60"/>
        <w:ind w:firstLine="709"/>
        <w:jc w:val="both"/>
      </w:pPr>
      <w:r>
        <w:t xml:space="preserve">The RCC Administrations support the proposal that the Bureau should timely notify the administration on expiration of the 6-month deadline after the </w:t>
      </w:r>
      <w:proofErr w:type="spellStart"/>
      <w:r>
        <w:t>unfavorable</w:t>
      </w:r>
      <w:proofErr w:type="spellEnd"/>
      <w:r>
        <w:t xml:space="preserve"> finding was sent under RR No. 11.37 or No. 11.38.</w:t>
      </w:r>
    </w:p>
    <w:p w:rsidR="0071101E" w:rsidRDefault="00E136AE">
      <w:pPr>
        <w:jc w:val="both"/>
        <w:rPr>
          <w:b/>
          <w:i/>
        </w:rPr>
      </w:pPr>
      <w:r>
        <w:rPr>
          <w:b/>
          <w:i/>
        </w:rPr>
        <w:t>Issue С6 – Submission of a single notice for an assignment to be included into the List and recorded under Appendix 30B.</w:t>
      </w:r>
    </w:p>
    <w:p w:rsidR="0071101E" w:rsidRDefault="00E136AE">
      <w:pPr>
        <w:tabs>
          <w:tab w:val="left" w:pos="794"/>
          <w:tab w:val="left" w:pos="1191"/>
          <w:tab w:val="left" w:pos="1588"/>
          <w:tab w:val="left" w:pos="1985"/>
        </w:tabs>
        <w:spacing w:before="60"/>
        <w:ind w:firstLine="709"/>
        <w:jc w:val="both"/>
      </w:pPr>
      <w:r>
        <w:t>The RCC Administrations support the proposal that for satellite networks in the RR Appendix 30B administrations would submit a single notice for a new assignment to be included into the List and recorded.</w:t>
      </w:r>
    </w:p>
    <w:p w:rsidR="0071101E" w:rsidRDefault="00E136AE">
      <w:pPr>
        <w:jc w:val="both"/>
        <w:rPr>
          <w:b/>
          <w:i/>
        </w:rPr>
      </w:pPr>
      <w:r>
        <w:rPr>
          <w:b/>
          <w:i/>
        </w:rPr>
        <w:t>Issue С7 – The agreements concluded within the Appendix 30B for a specific period of time.</w:t>
      </w:r>
    </w:p>
    <w:p w:rsidR="0071101E" w:rsidRDefault="00E136AE">
      <w:pPr>
        <w:tabs>
          <w:tab w:val="left" w:pos="794"/>
          <w:tab w:val="left" w:pos="1191"/>
          <w:tab w:val="left" w:pos="1588"/>
          <w:tab w:val="left" w:pos="1985"/>
        </w:tabs>
        <w:spacing w:before="60"/>
        <w:ind w:firstLine="709"/>
        <w:jc w:val="both"/>
      </w:pPr>
      <w:r>
        <w:t>The RCC Administrations support proposal on the modification of RR Appendix 30B, allowing administrations to conclude agreements among themselves for a specific period of time.</w:t>
      </w:r>
    </w:p>
    <w:p w:rsidR="0071101E" w:rsidRDefault="00E136AE">
      <w:pPr>
        <w:jc w:val="both"/>
        <w:rPr>
          <w:b/>
          <w:i/>
        </w:rPr>
      </w:pPr>
      <w:r>
        <w:rPr>
          <w:b/>
          <w:i/>
        </w:rPr>
        <w:t>Issue D - Identification of those specific satellite networks and systems with which coordination needs to be effected under RR Nos. 9.12, 9.12A and 9.13</w:t>
      </w:r>
    </w:p>
    <w:p w:rsidR="0071101E" w:rsidRDefault="00E136AE">
      <w:pPr>
        <w:tabs>
          <w:tab w:val="left" w:pos="794"/>
          <w:tab w:val="left" w:pos="1191"/>
          <w:tab w:val="left" w:pos="1588"/>
          <w:tab w:val="left" w:pos="1985"/>
        </w:tabs>
        <w:spacing w:before="60"/>
        <w:ind w:firstLine="709"/>
        <w:jc w:val="both"/>
      </w:pPr>
      <w:r>
        <w:t>The RCC Administrations support the identification of specific GSO or non-GSO satellite networks which need coordination only according to RR Nos. 9.12, 9.12А or 9.13 as well as modification of relevant RR provisions (Method D1).</w:t>
      </w:r>
    </w:p>
    <w:p w:rsidR="0071101E" w:rsidRDefault="00E136AE">
      <w:pPr>
        <w:jc w:val="both"/>
        <w:rPr>
          <w:b/>
          <w:i/>
        </w:rPr>
      </w:pPr>
      <w:r>
        <w:rPr>
          <w:b/>
          <w:i/>
        </w:rPr>
        <w:t>Issue E – Resolution related to RR Appendix 30В</w:t>
      </w:r>
    </w:p>
    <w:p w:rsidR="0071101E" w:rsidRDefault="00E136AE">
      <w:pPr>
        <w:ind w:firstLine="709"/>
        <w:jc w:val="both"/>
      </w:pPr>
      <w:r>
        <w:t xml:space="preserve">The RCC Administrations support the draft Resolution </w:t>
      </w:r>
      <w:r>
        <w:rPr>
          <w:b/>
        </w:rPr>
        <w:t xml:space="preserve">[AP30B] (WRC-19) </w:t>
      </w:r>
      <w:r>
        <w:t>with the most favourable procedure for converting the national allotment into assignment with modified characteristics within national borders of the notifying administration(s) or for entering additional system to the List of frequency assignments, with a service area(s) restricted to a national territory(</w:t>
      </w:r>
      <w:proofErr w:type="spellStart"/>
      <w:r>
        <w:t>ies</w:t>
      </w:r>
      <w:proofErr w:type="spellEnd"/>
      <w:r>
        <w:t>), for administrations without any assignments in the List.</w:t>
      </w:r>
    </w:p>
    <w:p w:rsidR="0071101E" w:rsidRDefault="00E136AE">
      <w:pPr>
        <w:jc w:val="both"/>
        <w:rPr>
          <w:b/>
          <w:i/>
        </w:rPr>
      </w:pPr>
      <w:r>
        <w:rPr>
          <w:b/>
          <w:i/>
        </w:rPr>
        <w:t>Issue F – Measures to facilitate entering new assignments into the RR Appendix 30B List</w:t>
      </w:r>
    </w:p>
    <w:p w:rsidR="0071101E" w:rsidRDefault="00E136AE">
      <w:pPr>
        <w:ind w:firstLine="709"/>
        <w:jc w:val="both"/>
      </w:pPr>
      <w:r>
        <w:t xml:space="preserve">The RCC Administrations support modifications of existing criteria of Annex 4 to RR Appendix 30B for determining affected allotments </w:t>
      </w:r>
      <w:r>
        <w:lastRenderedPageBreak/>
        <w:t>or assignments, provided  the level of protection for frequency assignments of RR Appendix 30B List of RR Appendix 30B (Methods F2 and F3) is maintained.</w:t>
      </w:r>
    </w:p>
    <w:p w:rsidR="0071101E" w:rsidRDefault="00E136AE">
      <w:pPr>
        <w:jc w:val="both"/>
        <w:rPr>
          <w:b/>
          <w:i/>
        </w:rPr>
      </w:pPr>
      <w:r>
        <w:rPr>
          <w:b/>
          <w:i/>
        </w:rPr>
        <w:t xml:space="preserve">Issue G - Updating the reference situation for Regions 1 and 3 networks under RR Appendices 30 and 30A when provisionally recorded assignments are converted into definitive recorded assignments. </w:t>
      </w:r>
    </w:p>
    <w:p w:rsidR="0071101E" w:rsidRDefault="00E136AE">
      <w:pPr>
        <w:ind w:firstLine="709"/>
        <w:jc w:val="both"/>
      </w:pPr>
      <w:r>
        <w:t>The RCC Administrations consider it unreasonable to modify § 4.1.18 of RR Appendices 30 and 30A, where the reference situation of the victim satellite network would be updated only after the agreement is reached between the Administration notifying the network and the Administration notifying interfering new network. (Method G3).</w:t>
      </w:r>
    </w:p>
    <w:p w:rsidR="0071101E" w:rsidRDefault="00E136AE">
      <w:pPr>
        <w:jc w:val="both"/>
        <w:rPr>
          <w:b/>
          <w:i/>
        </w:rPr>
      </w:pPr>
      <w:r>
        <w:rPr>
          <w:b/>
          <w:i/>
        </w:rPr>
        <w:t xml:space="preserve">Issue H – Modifications to RR Appendix 4 items to be provided for non-geostationary satellite systems (non-GSO). </w:t>
      </w:r>
    </w:p>
    <w:p w:rsidR="0071101E" w:rsidRDefault="00E136AE">
      <w:pPr>
        <w:ind w:firstLine="709"/>
        <w:jc w:val="both"/>
      </w:pPr>
      <w:r>
        <w:t>The RCC Administrations support modification of data of the RR Appendix 4 submitted for new non-GSO systems.</w:t>
      </w:r>
    </w:p>
    <w:p w:rsidR="0071101E" w:rsidRDefault="0071101E">
      <w:pPr>
        <w:ind w:firstLine="709"/>
        <w:jc w:val="both"/>
      </w:pPr>
    </w:p>
    <w:p w:rsidR="0071101E" w:rsidRDefault="00E136AE">
      <w:pPr>
        <w:jc w:val="both"/>
        <w:rPr>
          <w:b/>
          <w:i/>
        </w:rPr>
      </w:pPr>
      <w:r>
        <w:rPr>
          <w:b/>
          <w:i/>
        </w:rPr>
        <w:t xml:space="preserve">Issue </w:t>
      </w:r>
      <w:proofErr w:type="gramStart"/>
      <w:r>
        <w:rPr>
          <w:b/>
          <w:i/>
        </w:rPr>
        <w:t>I</w:t>
      </w:r>
      <w:proofErr w:type="gramEnd"/>
      <w:r>
        <w:rPr>
          <w:b/>
          <w:i/>
        </w:rPr>
        <w:t xml:space="preserve"> – Modified regulatory procedure for satellite systems with short-duration missions.</w:t>
      </w:r>
    </w:p>
    <w:p w:rsidR="0071101E" w:rsidRDefault="00E136AE">
      <w:pPr>
        <w:ind w:firstLine="709"/>
        <w:jc w:val="both"/>
      </w:pPr>
      <w:r>
        <w:t>The RCC Administrations consider that the simplified procedure of submitting data to the Bureau concerning non-GSO systems with short-duration missions (less than 3 years), not subject to the coordination procedure under Section II of RR Article 9 shall contain possible measures to prevent possible interference to existing and planned assignments. Such systems shall be operated in accordance with the allocation conditions of those satellite services they are notified for.</w:t>
      </w:r>
    </w:p>
    <w:p w:rsidR="0071101E" w:rsidRDefault="00E136AE">
      <w:pPr>
        <w:ind w:firstLine="709"/>
        <w:jc w:val="both"/>
      </w:pPr>
      <w:r>
        <w:t>The RCC Administrations are in favour of maintaining 4-month period for comments by administrations after publishing API for simplified regulatory regime for non-GSO systems.</w:t>
      </w:r>
    </w:p>
    <w:p w:rsidR="0071101E" w:rsidRDefault="00E136AE">
      <w:pPr>
        <w:jc w:val="both"/>
        <w:rPr>
          <w:b/>
          <w:i/>
        </w:rPr>
      </w:pPr>
      <w:r>
        <w:rPr>
          <w:b/>
          <w:i/>
        </w:rPr>
        <w:t xml:space="preserve">Issue J – </w:t>
      </w:r>
      <w:proofErr w:type="spellStart"/>
      <w:r>
        <w:rPr>
          <w:b/>
          <w:i/>
        </w:rPr>
        <w:t>Pfd</w:t>
      </w:r>
      <w:proofErr w:type="spellEnd"/>
      <w:r>
        <w:rPr>
          <w:b/>
          <w:i/>
        </w:rPr>
        <w:t xml:space="preserve"> limit in Section 1, Annex 1 of RR Appendix 30.</w:t>
      </w:r>
    </w:p>
    <w:p w:rsidR="0071101E" w:rsidRDefault="00E136AE">
      <w:pPr>
        <w:ind w:firstLine="709"/>
        <w:jc w:val="both"/>
      </w:pPr>
      <w:r>
        <w:t xml:space="preserve">The RCC Administrations do not support modification of a hard </w:t>
      </w:r>
      <w:proofErr w:type="spellStart"/>
      <w:r>
        <w:t>pfd</w:t>
      </w:r>
      <w:proofErr w:type="spellEnd"/>
      <w:r>
        <w:t xml:space="preserve"> limit (−103.6 dB(W/(m</w:t>
      </w:r>
      <w:r>
        <w:rPr>
          <w:vertAlign w:val="superscript"/>
        </w:rPr>
        <w:t>2</w:t>
      </w:r>
      <w:r>
        <w:t xml:space="preserve">· 27 MHz), identified in Annex 1 to RR Appendix 30, and consider that to ensure protection of assignments to systems in the broadcasting-satellite service from interference caused by networks in the broadcasting-satellite service located outside of the coordination arc, hard </w:t>
      </w:r>
      <w:proofErr w:type="spellStart"/>
      <w:r>
        <w:t>pfd</w:t>
      </w:r>
      <w:proofErr w:type="spellEnd"/>
      <w:r>
        <w:t xml:space="preserve"> limit identified in Section 1, Annex 1 to RR Appendix 30 shall be observed, even if a test point is located in the territory of a notifying administration (Method J2).</w:t>
      </w:r>
    </w:p>
    <w:p w:rsidR="0071101E" w:rsidRDefault="00E136AE">
      <w:pPr>
        <w:jc w:val="both"/>
        <w:rPr>
          <w:b/>
          <w:i/>
        </w:rPr>
      </w:pPr>
      <w:r>
        <w:rPr>
          <w:b/>
          <w:i/>
        </w:rPr>
        <w:t>Issue K – Difficulties for Part B examinations under § 4.1.12 or 4.2.16 of RR Appendices 30 and 30A and § 6.21 c) of RR Appendix 30B.</w:t>
      </w:r>
    </w:p>
    <w:p w:rsidR="0071101E" w:rsidRDefault="00E136AE">
      <w:pPr>
        <w:ind w:firstLine="709"/>
        <w:jc w:val="both"/>
      </w:pPr>
      <w:r>
        <w:t>The RCC Administrations support re-examination of notices under §§ 4.1.12 or 4.2.16 of Appendices 30 and 30А and § 6.21 с) of RR Appendix 30B at the stage of publication relating to IFIC Part B in the case when networks which were the basis for the unfavourable finding were included in the List with decreased by results of coordination characteristics.</w:t>
      </w:r>
    </w:p>
    <w:p w:rsidR="0071101E" w:rsidRDefault="00E136AE">
      <w:pPr>
        <w:pStyle w:val="Heading2"/>
        <w:ind w:left="0" w:firstLine="0"/>
        <w:jc w:val="both"/>
        <w:rPr>
          <w:b w:val="0"/>
          <w:i/>
        </w:rPr>
      </w:pPr>
      <w:r>
        <w:rPr>
          <w:b w:val="0"/>
          <w:i/>
        </w:rPr>
        <w:lastRenderedPageBreak/>
        <w:t>8</w:t>
      </w:r>
      <w:r>
        <w:rPr>
          <w:b w:val="0"/>
          <w:i/>
        </w:rPr>
        <w:tab/>
        <w:t xml:space="preserve">to consider and take appropriate action on requests from administrations to delete their country footnotes or to have their country name deleted from footnotes, if no longer required, taking into account Resolution </w:t>
      </w:r>
      <w:r>
        <w:rPr>
          <w:i/>
        </w:rPr>
        <w:t>26 (Rev. WRC-07)</w:t>
      </w:r>
      <w:r>
        <w:rPr>
          <w:b w:val="0"/>
          <w:i/>
        </w:rPr>
        <w:t>;</w:t>
      </w:r>
    </w:p>
    <w:p w:rsidR="0071101E" w:rsidRDefault="00E136AE">
      <w:pPr>
        <w:ind w:firstLine="709"/>
        <w:jc w:val="both"/>
      </w:pPr>
      <w:r>
        <w:t>The RCC Administrations support the ITU-R activity towards global harmonization of radio spectrum use through the deletion of country footnotes or country names from footnotes in the RR Article 5.</w:t>
      </w:r>
    </w:p>
    <w:p w:rsidR="0071101E" w:rsidRDefault="00E136AE">
      <w:pPr>
        <w:ind w:firstLine="709"/>
        <w:jc w:val="both"/>
      </w:pPr>
      <w:r>
        <w:t>The RCC Administrations consider that this agenda item is not intended for addition of country names into footnotes as well as for creating new footnotes.</w:t>
      </w:r>
    </w:p>
    <w:p w:rsidR="0071101E" w:rsidRDefault="00E136AE">
      <w:pPr>
        <w:ind w:firstLine="709"/>
        <w:jc w:val="both"/>
      </w:pPr>
      <w:r>
        <w:t xml:space="preserve">The RCC Administrations do not see any need for the modification of Resolution </w:t>
      </w:r>
      <w:r>
        <w:rPr>
          <w:b/>
        </w:rPr>
        <w:t>26</w:t>
      </w:r>
      <w:r>
        <w:t xml:space="preserve"> </w:t>
      </w:r>
      <w:r>
        <w:rPr>
          <w:b/>
          <w:i/>
        </w:rPr>
        <w:t>(Rev. WRC-07)</w:t>
      </w:r>
      <w:r>
        <w:t xml:space="preserve"> and wording of the relevant WRC agenda item.</w:t>
      </w:r>
    </w:p>
    <w:p w:rsidR="0071101E" w:rsidRDefault="00E136AE">
      <w:pPr>
        <w:pStyle w:val="Heading2"/>
        <w:ind w:left="0" w:firstLine="0"/>
        <w:jc w:val="both"/>
        <w:rPr>
          <w:b w:val="0"/>
          <w:i/>
        </w:rPr>
      </w:pPr>
      <w:r>
        <w:rPr>
          <w:b w:val="0"/>
          <w:i/>
        </w:rPr>
        <w:t>9</w:t>
      </w:r>
      <w:r>
        <w:rPr>
          <w:b w:val="0"/>
          <w:i/>
        </w:rPr>
        <w:tab/>
        <w:t>to consider and approve the Report of the Director of the Radiocommunication Bureau, in accordance with Article 7 of the Convention:</w:t>
      </w:r>
    </w:p>
    <w:p w:rsidR="0071101E" w:rsidRDefault="00E136AE">
      <w:pPr>
        <w:pStyle w:val="Heading2"/>
        <w:ind w:left="0" w:firstLine="0"/>
        <w:jc w:val="both"/>
        <w:rPr>
          <w:b w:val="0"/>
          <w:i/>
        </w:rPr>
      </w:pPr>
      <w:r>
        <w:rPr>
          <w:b w:val="0"/>
          <w:i/>
        </w:rPr>
        <w:t>9.1</w:t>
      </w:r>
      <w:r>
        <w:rPr>
          <w:b w:val="0"/>
          <w:i/>
        </w:rPr>
        <w:tab/>
      </w:r>
      <w:proofErr w:type="gramStart"/>
      <w:r>
        <w:rPr>
          <w:b w:val="0"/>
          <w:i/>
        </w:rPr>
        <w:t>on</w:t>
      </w:r>
      <w:proofErr w:type="gramEnd"/>
      <w:r>
        <w:rPr>
          <w:b w:val="0"/>
          <w:i/>
        </w:rPr>
        <w:t xml:space="preserve"> the activities of the Radiocommunication Sector since WRC-15:</w:t>
      </w:r>
    </w:p>
    <w:p w:rsidR="0071101E" w:rsidRDefault="00E136AE">
      <w:pPr>
        <w:pStyle w:val="Heading2"/>
        <w:jc w:val="both"/>
        <w:rPr>
          <w:i/>
        </w:rPr>
      </w:pPr>
      <w:bookmarkStart w:id="25" w:name="_1ci93xb" w:colFirst="0" w:colLast="0"/>
      <w:bookmarkEnd w:id="25"/>
      <w:r>
        <w:rPr>
          <w:i/>
        </w:rPr>
        <w:t>Issue 9.1.1:</w:t>
      </w:r>
    </w:p>
    <w:p w:rsidR="0071101E" w:rsidRDefault="00E136AE">
      <w:pPr>
        <w:pStyle w:val="Heading2"/>
        <w:ind w:left="0" w:firstLine="0"/>
        <w:jc w:val="both"/>
        <w:rPr>
          <w:b w:val="0"/>
          <w:i/>
        </w:rPr>
      </w:pPr>
      <w:r>
        <w:rPr>
          <w:b w:val="0"/>
          <w:i/>
        </w:rPr>
        <w:t xml:space="preserve">Resolution </w:t>
      </w:r>
      <w:r>
        <w:rPr>
          <w:i/>
        </w:rPr>
        <w:t>212 (Rev. WRC-15)</w:t>
      </w:r>
      <w:r>
        <w:rPr>
          <w:b w:val="0"/>
          <w:i/>
        </w:rPr>
        <w:t xml:space="preserve"> "Implementation of International Mobile Telecommunications in the frequency bands 1 885-2 025 MHz and 2 110-2 200 MHz"</w:t>
      </w:r>
    </w:p>
    <w:p w:rsidR="0071101E" w:rsidRDefault="00E136AE">
      <w:pPr>
        <w:ind w:firstLine="709"/>
        <w:jc w:val="both"/>
      </w:pPr>
      <w:r>
        <w:t>To facilitate compatibility between IMT terrestrial component (in mobile service) and IMT satellite component (in mobile-satellite service) in the frequency bands 1 980-2 010 MHz and 2 170-2 200 MHz, the RCC Administrations support adoption of relevant ITU-R Recommendations and Reports and also relevant RR provisions facilitating such compatibility.</w:t>
      </w:r>
    </w:p>
    <w:p w:rsidR="0071101E" w:rsidRDefault="00E136AE">
      <w:pPr>
        <w:ind w:firstLine="709"/>
        <w:jc w:val="both"/>
      </w:pPr>
      <w:r>
        <w:t>The RCC Administrations are of view that compatibility between IMT terrestrial component (in mobile service) and IMT satellite component (in mobile-satellite service) may be achieved through application of existing provisions of RR Article 9 and introduction of appropriate modifications to RR Appendices 5 and 7 to identify coordination thresholds between stations in mobile and mobile-satellite services in the frequency bands under consideration.</w:t>
      </w:r>
    </w:p>
    <w:p w:rsidR="0071101E" w:rsidRDefault="00E136AE">
      <w:pPr>
        <w:ind w:firstLine="709"/>
        <w:jc w:val="both"/>
      </w:pPr>
      <w:r>
        <w:t>The RCC Administrations support adoption of relevant modifications of RR Appendices 5 and 7, based on the materials of Report ITU-R M.2292.</w:t>
      </w:r>
    </w:p>
    <w:p w:rsidR="0071101E" w:rsidRDefault="00E136AE">
      <w:pPr>
        <w:pStyle w:val="Heading2"/>
        <w:jc w:val="both"/>
        <w:rPr>
          <w:i/>
        </w:rPr>
      </w:pPr>
      <w:bookmarkStart w:id="26" w:name="_3whwml4" w:colFirst="0" w:colLast="0"/>
      <w:bookmarkEnd w:id="26"/>
      <w:r>
        <w:rPr>
          <w:i/>
        </w:rPr>
        <w:t>Issue 9.1.2:</w:t>
      </w:r>
    </w:p>
    <w:p w:rsidR="0071101E" w:rsidRDefault="00E136AE">
      <w:pPr>
        <w:pStyle w:val="Heading2"/>
        <w:ind w:left="0" w:firstLine="0"/>
        <w:jc w:val="both"/>
        <w:rPr>
          <w:b w:val="0"/>
          <w:i/>
        </w:rPr>
      </w:pPr>
      <w:r>
        <w:rPr>
          <w:b w:val="0"/>
          <w:i/>
        </w:rPr>
        <w:t xml:space="preserve">Resolution </w:t>
      </w:r>
      <w:r>
        <w:rPr>
          <w:i/>
        </w:rPr>
        <w:t>761 (WRC-15)</w:t>
      </w:r>
      <w:r>
        <w:rPr>
          <w:b w:val="0"/>
          <w:i/>
        </w:rPr>
        <w:t xml:space="preserve"> "Compatibility of International Mobile Telecommunications and broadcasting satellite service (sound) in the frequency band 1 452-1 492 MHz in Regions 1 and 3"</w:t>
      </w:r>
    </w:p>
    <w:p w:rsidR="0071101E" w:rsidRDefault="00E136AE">
      <w:pPr>
        <w:ind w:firstLine="709"/>
        <w:jc w:val="both"/>
      </w:pPr>
      <w:r>
        <w:t>The RCC Administrations consider that the existing RR provisions are sufficient for ensuring compatibility between IMT and broadcasting-</w:t>
      </w:r>
      <w:r>
        <w:lastRenderedPageBreak/>
        <w:t xml:space="preserve">satellite service (sound) in the frequency band 1 452-1 492 MHz in Regions 1 and 3, therefore they require no modification. </w:t>
      </w:r>
    </w:p>
    <w:p w:rsidR="0071101E" w:rsidRDefault="00E136AE">
      <w:pPr>
        <w:pStyle w:val="Heading2"/>
        <w:jc w:val="both"/>
        <w:rPr>
          <w:i/>
        </w:rPr>
      </w:pPr>
      <w:bookmarkStart w:id="27" w:name="_2bn6wsx" w:colFirst="0" w:colLast="0"/>
      <w:bookmarkEnd w:id="27"/>
      <w:r>
        <w:rPr>
          <w:i/>
        </w:rPr>
        <w:t>Issue 9.1.3:</w:t>
      </w:r>
    </w:p>
    <w:p w:rsidR="0071101E" w:rsidRDefault="00E136AE">
      <w:pPr>
        <w:pStyle w:val="Heading2"/>
        <w:ind w:left="0" w:firstLine="0"/>
        <w:jc w:val="both"/>
        <w:rPr>
          <w:b w:val="0"/>
          <w:i/>
        </w:rPr>
      </w:pPr>
      <w:r>
        <w:rPr>
          <w:b w:val="0"/>
          <w:i/>
        </w:rPr>
        <w:t>Resolution</w:t>
      </w:r>
      <w:r>
        <w:rPr>
          <w:rFonts w:ascii="Verdana" w:eastAsia="Verdana" w:hAnsi="Verdana" w:cs="Verdana"/>
          <w:b w:val="0"/>
          <w:i/>
          <w:sz w:val="18"/>
          <w:szCs w:val="18"/>
        </w:rPr>
        <w:t xml:space="preserve"> </w:t>
      </w:r>
      <w:r>
        <w:rPr>
          <w:i/>
        </w:rPr>
        <w:t>157 (WRC-15)</w:t>
      </w:r>
      <w:r>
        <w:rPr>
          <w:b w:val="0"/>
          <w:i/>
        </w:rPr>
        <w:t xml:space="preserve"> "Study of technical and operational issues and regulatory provisions for new non-geostationary-satellite orbit systems in the 3 700-4 200 MHz, 4 500-4 800 MHz, 5 925-6 425 MHz and 6 725-7 025 MHz frequency bands allocated to the fixed-satellite service"</w:t>
      </w:r>
    </w:p>
    <w:p w:rsidR="0071101E" w:rsidRDefault="00E136AE">
      <w:pPr>
        <w:ind w:firstLine="709"/>
        <w:jc w:val="both"/>
      </w:pPr>
      <w:r>
        <w:t>The RCC Administrations oppose modifications to provisions of the RR Articles 21 and 22 for new non-geostationary-satellite orbit systems in the 3 700−4 200 MHz, 4 500−4 800 MHz, 5 925−6 425 MHz and 6 725−7 025 MHz frequency bands allocated to the fixed-satellite service, as the studies carried out by ITU-R have concluded that the compatibility of these systems with stations of the incumbent services is unachievable.</w:t>
      </w:r>
    </w:p>
    <w:p w:rsidR="0071101E" w:rsidRDefault="00E136AE">
      <w:pPr>
        <w:ind w:firstLine="709"/>
        <w:jc w:val="both"/>
      </w:pPr>
      <w:r>
        <w:t>The RCC Administrations are in favour of adopting the conditions ensuring the compatibility for new non-geostationary-satellite orbit systems in 3 700−4 200 MHz and 5 925−6 425 MHz frequency bands by applying the coordination procedure under No. 9.12 RR between non-GSO FSS systems in the specified frequency bands.</w:t>
      </w:r>
    </w:p>
    <w:p w:rsidR="0071101E" w:rsidRDefault="00E136AE">
      <w:pPr>
        <w:pStyle w:val="Heading2"/>
        <w:jc w:val="both"/>
        <w:rPr>
          <w:i/>
        </w:rPr>
      </w:pPr>
      <w:bookmarkStart w:id="28" w:name="_qsh70q" w:colFirst="0" w:colLast="0"/>
      <w:bookmarkEnd w:id="28"/>
      <w:r>
        <w:rPr>
          <w:i/>
        </w:rPr>
        <w:t>Issue 9.1.4:</w:t>
      </w:r>
    </w:p>
    <w:p w:rsidR="0071101E" w:rsidRDefault="00E136AE">
      <w:pPr>
        <w:pStyle w:val="Heading2"/>
        <w:jc w:val="both"/>
        <w:rPr>
          <w:b w:val="0"/>
          <w:i/>
        </w:rPr>
      </w:pPr>
      <w:r>
        <w:rPr>
          <w:b w:val="0"/>
          <w:i/>
        </w:rPr>
        <w:t xml:space="preserve">Resolution </w:t>
      </w:r>
      <w:r>
        <w:rPr>
          <w:i/>
        </w:rPr>
        <w:t>763 (WRC-15)</w:t>
      </w:r>
      <w:r>
        <w:rPr>
          <w:b w:val="0"/>
          <w:i/>
        </w:rPr>
        <w:t xml:space="preserve"> "Stations on board sub-orbital vehicles"</w:t>
      </w:r>
    </w:p>
    <w:p w:rsidR="0071101E" w:rsidRDefault="00E136AE">
      <w:pPr>
        <w:ind w:firstLine="709"/>
        <w:jc w:val="both"/>
      </w:pPr>
      <w:r>
        <w:t>The RCC Administrations consider that stations ensuring sub-orbital flights shall be operated within the frameworks of existing radio services and these stations shall be subject to regulatory, technical and procedural provisions currently in force for these radio services.</w:t>
      </w:r>
    </w:p>
    <w:p w:rsidR="0071101E" w:rsidRDefault="00E136AE">
      <w:pPr>
        <w:ind w:firstLine="709"/>
        <w:jc w:val="both"/>
      </w:pPr>
      <w:r>
        <w:t>The RCC Administrations consider that any modifications to the Radio Regulations provisions related to regulation of using stations on board sub-orbital vehicles at this stage are not necessary.</w:t>
      </w:r>
    </w:p>
    <w:p w:rsidR="0071101E" w:rsidRDefault="00E136AE">
      <w:pPr>
        <w:ind w:firstLine="709"/>
        <w:jc w:val="both"/>
      </w:pPr>
      <w:r>
        <w:t xml:space="preserve">The RCC Administrations also consider it necessary to develop additional technical and operational measures which would help to avoid harmful interference to </w:t>
      </w:r>
      <w:proofErr w:type="spellStart"/>
      <w:r>
        <w:t>radiocommunication</w:t>
      </w:r>
      <w:proofErr w:type="spellEnd"/>
      <w:r>
        <w:t xml:space="preserve"> services from stations ensuring sub-orbital flights when existing measures will be insufficient. The developed technical and operational measures shall be specified in the new ITU-R Recommendation and shall not impose additional constraints on the operation of stations used during spacecraft launch and delivery in orbit.</w:t>
      </w:r>
    </w:p>
    <w:p w:rsidR="0071101E" w:rsidRDefault="00E136AE">
      <w:pPr>
        <w:pStyle w:val="Heading2"/>
        <w:jc w:val="both"/>
        <w:rPr>
          <w:i/>
        </w:rPr>
      </w:pPr>
      <w:bookmarkStart w:id="29" w:name="_3as4poj" w:colFirst="0" w:colLast="0"/>
      <w:bookmarkEnd w:id="29"/>
      <w:r>
        <w:rPr>
          <w:i/>
        </w:rPr>
        <w:t>Issue 9.1.5:</w:t>
      </w:r>
    </w:p>
    <w:p w:rsidR="0071101E" w:rsidRDefault="00E136AE">
      <w:pPr>
        <w:pStyle w:val="Heading2"/>
        <w:ind w:left="0" w:firstLine="0"/>
        <w:jc w:val="both"/>
        <w:rPr>
          <w:b w:val="0"/>
          <w:i/>
        </w:rPr>
      </w:pPr>
      <w:r>
        <w:rPr>
          <w:b w:val="0"/>
          <w:i/>
        </w:rPr>
        <w:t xml:space="preserve">Resolution </w:t>
      </w:r>
      <w:r>
        <w:rPr>
          <w:i/>
        </w:rPr>
        <w:t xml:space="preserve">764 (WRC-15) </w:t>
      </w:r>
      <w:r>
        <w:rPr>
          <w:b w:val="0"/>
          <w:i/>
        </w:rPr>
        <w:t xml:space="preserve">"Consideration of the technical and regulatory impacts of referencing Recommendations ITU R M.1638-1 and ITU R M.1849-1 in Nos. </w:t>
      </w:r>
      <w:r>
        <w:rPr>
          <w:i/>
        </w:rPr>
        <w:t>5.447F</w:t>
      </w:r>
      <w:r>
        <w:rPr>
          <w:b w:val="0"/>
          <w:i/>
        </w:rPr>
        <w:t xml:space="preserve"> and </w:t>
      </w:r>
      <w:r>
        <w:rPr>
          <w:i/>
        </w:rPr>
        <w:t>5.450A</w:t>
      </w:r>
      <w:r>
        <w:rPr>
          <w:b w:val="0"/>
          <w:i/>
        </w:rPr>
        <w:t xml:space="preserve"> of the Radio Regulations"</w:t>
      </w:r>
    </w:p>
    <w:p w:rsidR="0071101E" w:rsidRDefault="00E136AE">
      <w:pPr>
        <w:ind w:firstLine="709"/>
        <w:jc w:val="both"/>
      </w:pPr>
      <w:r>
        <w:t xml:space="preserve">The RCC Administrations are in favour of maintaining the conditions for the allocation of the frequency bands 5 250–5 350 MHz and 5 470–5 725 MHz by </w:t>
      </w:r>
      <w:proofErr w:type="spellStart"/>
      <w:r>
        <w:t>radiodetermination</w:t>
      </w:r>
      <w:proofErr w:type="spellEnd"/>
      <w:r>
        <w:t xml:space="preserve"> services.</w:t>
      </w:r>
    </w:p>
    <w:p w:rsidR="0071101E" w:rsidRDefault="00E136AE">
      <w:pPr>
        <w:ind w:firstLine="709"/>
        <w:jc w:val="both"/>
      </w:pPr>
      <w:r>
        <w:t xml:space="preserve">The RCC Administrations oppose reference to Recommendation ITU-R M.1849-1 in No. 5.447F as this would result in changing conditions </w:t>
      </w:r>
      <w:r>
        <w:lastRenderedPageBreak/>
        <w:t xml:space="preserve">for systems of the mobile (excluding the aeronautical mobile) service in the frequency band 5 250-5 350 </w:t>
      </w:r>
      <w:proofErr w:type="spellStart"/>
      <w:r>
        <w:t>MHz.</w:t>
      </w:r>
      <w:proofErr w:type="spellEnd"/>
      <w:r>
        <w:t xml:space="preserve"> </w:t>
      </w:r>
    </w:p>
    <w:p w:rsidR="0071101E" w:rsidRDefault="00E136AE">
      <w:pPr>
        <w:ind w:firstLine="709"/>
        <w:jc w:val="both"/>
      </w:pPr>
      <w:r>
        <w:t xml:space="preserve">The RCC Administrations are in favour of maintaining reference to Recommendation ITU-R M.1638-0 in Nos. 5.450A and 5.447F or replacing the reference by a reference to Resolution </w:t>
      </w:r>
      <w:r>
        <w:rPr>
          <w:b/>
        </w:rPr>
        <w:t>229 (Rev. WRC-12)</w:t>
      </w:r>
      <w:r>
        <w:t>.</w:t>
      </w:r>
    </w:p>
    <w:p w:rsidR="0071101E" w:rsidRDefault="00E136AE">
      <w:pPr>
        <w:ind w:firstLine="709"/>
        <w:jc w:val="both"/>
      </w:pPr>
      <w:r>
        <w:t xml:space="preserve">The RCC Administrations are in favour of the application of Approach </w:t>
      </w:r>
      <w:proofErr w:type="gramStart"/>
      <w:r>
        <w:t>A</w:t>
      </w:r>
      <w:proofErr w:type="gramEnd"/>
      <w:r>
        <w:t xml:space="preserve"> stipulated in the CPM Report to WRC-19 Agenda item 9.1., issue 9.1.5.</w:t>
      </w:r>
    </w:p>
    <w:p w:rsidR="0071101E" w:rsidRDefault="00E136AE">
      <w:pPr>
        <w:jc w:val="both"/>
        <w:rPr>
          <w:b/>
          <w:i/>
          <w:sz w:val="22"/>
          <w:szCs w:val="22"/>
        </w:rPr>
      </w:pPr>
      <w:r>
        <w:rPr>
          <w:b/>
          <w:i/>
        </w:rPr>
        <w:t xml:space="preserve">Resolution 958 (WRC-15) </w:t>
      </w:r>
      <w:r>
        <w:rPr>
          <w:b/>
          <w:i/>
          <w:sz w:val="22"/>
          <w:szCs w:val="22"/>
        </w:rPr>
        <w:t>"</w:t>
      </w:r>
      <w:r>
        <w:rPr>
          <w:b/>
          <w:i/>
        </w:rPr>
        <w:t>Urgent studies required in preparation for the 2019 World Radiocommunication Conference</w:t>
      </w:r>
      <w:r>
        <w:rPr>
          <w:b/>
          <w:i/>
          <w:sz w:val="22"/>
          <w:szCs w:val="22"/>
        </w:rPr>
        <w:t>"</w:t>
      </w:r>
    </w:p>
    <w:p w:rsidR="0071101E" w:rsidRDefault="00E136AE">
      <w:pPr>
        <w:pStyle w:val="Heading2"/>
        <w:jc w:val="both"/>
        <w:rPr>
          <w:i/>
        </w:rPr>
      </w:pPr>
      <w:bookmarkStart w:id="30" w:name="_1pxezwc" w:colFirst="0" w:colLast="0"/>
      <w:bookmarkEnd w:id="30"/>
      <w:r>
        <w:rPr>
          <w:i/>
        </w:rPr>
        <w:t>Issue 9.1.6:</w:t>
      </w:r>
    </w:p>
    <w:p w:rsidR="0071101E" w:rsidRDefault="00E136AE">
      <w:pPr>
        <w:pStyle w:val="Heading2"/>
        <w:jc w:val="both"/>
        <w:rPr>
          <w:b w:val="0"/>
          <w:i/>
        </w:rPr>
      </w:pPr>
      <w:r>
        <w:rPr>
          <w:b w:val="0"/>
          <w:i/>
        </w:rPr>
        <w:t xml:space="preserve">Issue 1) in the Annex to Resolution </w:t>
      </w:r>
      <w:r>
        <w:rPr>
          <w:i/>
        </w:rPr>
        <w:t>958 (WRC-15)</w:t>
      </w:r>
    </w:p>
    <w:p w:rsidR="0071101E" w:rsidRDefault="00E136AE">
      <w:pPr>
        <w:tabs>
          <w:tab w:val="left" w:pos="426"/>
        </w:tabs>
        <w:spacing w:after="120"/>
        <w:jc w:val="both"/>
        <w:rPr>
          <w:i/>
        </w:rPr>
      </w:pPr>
      <w:r>
        <w:rPr>
          <w:i/>
        </w:rPr>
        <w:t>1)</w:t>
      </w:r>
      <w:r>
        <w:rPr>
          <w:i/>
        </w:rPr>
        <w:tab/>
        <w:t>Studies concerning Wireless Power Transmission (WPT) for electric vehicles:</w:t>
      </w:r>
    </w:p>
    <w:p w:rsidR="0071101E" w:rsidRDefault="00E136AE">
      <w:pPr>
        <w:tabs>
          <w:tab w:val="left" w:pos="426"/>
          <w:tab w:val="left" w:pos="1276"/>
        </w:tabs>
        <w:spacing w:before="80"/>
        <w:ind w:left="426"/>
        <w:jc w:val="both"/>
        <w:rPr>
          <w:i/>
        </w:rPr>
      </w:pPr>
      <w:r>
        <w:rPr>
          <w:i/>
        </w:rPr>
        <w:t>a)</w:t>
      </w:r>
      <w:r>
        <w:rPr>
          <w:i/>
        </w:rPr>
        <w:tab/>
      </w:r>
      <w:proofErr w:type="gramStart"/>
      <w:r>
        <w:rPr>
          <w:i/>
        </w:rPr>
        <w:t>to</w:t>
      </w:r>
      <w:proofErr w:type="gramEnd"/>
      <w:r>
        <w:rPr>
          <w:i/>
        </w:rPr>
        <w:t xml:space="preserve"> assess the impact of WPT for electric vehicles on </w:t>
      </w:r>
      <w:proofErr w:type="spellStart"/>
      <w:r>
        <w:rPr>
          <w:i/>
        </w:rPr>
        <w:t>radiocommunication</w:t>
      </w:r>
      <w:proofErr w:type="spellEnd"/>
      <w:r>
        <w:rPr>
          <w:i/>
        </w:rPr>
        <w:t xml:space="preserve"> services;</w:t>
      </w:r>
    </w:p>
    <w:p w:rsidR="0071101E" w:rsidRDefault="00E136AE">
      <w:pPr>
        <w:tabs>
          <w:tab w:val="left" w:pos="426"/>
          <w:tab w:val="left" w:pos="1276"/>
        </w:tabs>
        <w:spacing w:before="80"/>
        <w:ind w:left="426"/>
        <w:jc w:val="both"/>
        <w:rPr>
          <w:i/>
        </w:rPr>
      </w:pPr>
      <w:r>
        <w:rPr>
          <w:i/>
        </w:rPr>
        <w:t>b)</w:t>
      </w:r>
      <w:r>
        <w:rPr>
          <w:i/>
        </w:rPr>
        <w:tab/>
      </w:r>
      <w:proofErr w:type="gramStart"/>
      <w:r>
        <w:rPr>
          <w:i/>
        </w:rPr>
        <w:t>to</w:t>
      </w:r>
      <w:proofErr w:type="gramEnd"/>
      <w:r>
        <w:rPr>
          <w:i/>
        </w:rPr>
        <w:t xml:space="preserve"> study suitable harmonized frequency ranges which would minimize the impact on </w:t>
      </w:r>
      <w:proofErr w:type="spellStart"/>
      <w:r>
        <w:rPr>
          <w:i/>
        </w:rPr>
        <w:t>radiocommunication</w:t>
      </w:r>
      <w:proofErr w:type="spellEnd"/>
      <w:r>
        <w:rPr>
          <w:i/>
        </w:rPr>
        <w:t xml:space="preserve"> services from WPT for electrical vehicles. These studies should take into account that the International </w:t>
      </w:r>
      <w:proofErr w:type="spellStart"/>
      <w:r>
        <w:rPr>
          <w:i/>
        </w:rPr>
        <w:t>Electrotechnical</w:t>
      </w:r>
      <w:proofErr w:type="spellEnd"/>
      <w:r>
        <w:rPr>
          <w:i/>
        </w:rPr>
        <w:t xml:space="preserve"> Commission (IEC), the International Organization for Standardization (ISO) and the Society of Automotive Engineers (SAE) are in the process of approving standards intended for global and regional harmonization of WPT technologies for electric vehicles; </w:t>
      </w:r>
    </w:p>
    <w:p w:rsidR="0071101E" w:rsidRDefault="00E136AE">
      <w:pPr>
        <w:ind w:firstLine="709"/>
        <w:jc w:val="both"/>
      </w:pPr>
      <w:r>
        <w:t>The RCC Administrations consider that any modifications to the Radio Regulations provisions related to regulation of using wireless power transmission devices are not necessary.</w:t>
      </w:r>
    </w:p>
    <w:p w:rsidR="0071101E" w:rsidRDefault="00E136AE">
      <w:pPr>
        <w:ind w:firstLine="709"/>
        <w:jc w:val="both"/>
      </w:pPr>
      <w:r>
        <w:t>The RCC Administrations are in favour of harmonizing frequency bands to be used for Wireless Power Transmission (WPT) for electric vehicles, which could be implemented by the development of relevant Recommendation ITU-R.</w:t>
      </w:r>
    </w:p>
    <w:p w:rsidR="0071101E" w:rsidRDefault="00E136AE">
      <w:pPr>
        <w:ind w:firstLine="709"/>
        <w:jc w:val="both"/>
      </w:pPr>
      <w:r>
        <w:t xml:space="preserve">The RCC Administrations support the development of conditions for use of the frequency band 79-90 kHz by WPT devices, which would provide protection to stations of </w:t>
      </w:r>
      <w:proofErr w:type="spellStart"/>
      <w:r>
        <w:t>radiocommunication</w:t>
      </w:r>
      <w:proofErr w:type="spellEnd"/>
      <w:r>
        <w:t xml:space="preserve"> services from possible interference, and which have relevant allocations in the Radio Regulations on a primary or secondary basis.</w:t>
      </w:r>
    </w:p>
    <w:p w:rsidR="0071101E" w:rsidRDefault="00E136AE">
      <w:pPr>
        <w:pStyle w:val="Heading2"/>
        <w:jc w:val="both"/>
        <w:rPr>
          <w:i/>
        </w:rPr>
      </w:pPr>
      <w:bookmarkStart w:id="31" w:name="_49x2ik5" w:colFirst="0" w:colLast="0"/>
      <w:bookmarkEnd w:id="31"/>
      <w:r>
        <w:rPr>
          <w:i/>
        </w:rPr>
        <w:t>Issue 9.1.7:</w:t>
      </w:r>
    </w:p>
    <w:p w:rsidR="0071101E" w:rsidRDefault="00E136AE">
      <w:pPr>
        <w:pStyle w:val="Heading2"/>
        <w:jc w:val="both"/>
        <w:rPr>
          <w:b w:val="0"/>
        </w:rPr>
      </w:pPr>
      <w:r>
        <w:rPr>
          <w:b w:val="0"/>
        </w:rPr>
        <w:t xml:space="preserve">Issue 2) the Annex to Resolution </w:t>
      </w:r>
      <w:r>
        <w:t>958 (WRC-15)</w:t>
      </w:r>
    </w:p>
    <w:p w:rsidR="0071101E" w:rsidRDefault="00E136AE">
      <w:pPr>
        <w:tabs>
          <w:tab w:val="left" w:pos="426"/>
        </w:tabs>
        <w:spacing w:before="280"/>
        <w:jc w:val="both"/>
        <w:rPr>
          <w:i/>
        </w:rPr>
      </w:pPr>
      <w:r>
        <w:rPr>
          <w:i/>
        </w:rPr>
        <w:t>2)</w:t>
      </w:r>
      <w:r>
        <w:rPr>
          <w:i/>
        </w:rPr>
        <w:tab/>
      </w:r>
      <w:proofErr w:type="gramStart"/>
      <w:r>
        <w:rPr>
          <w:i/>
        </w:rPr>
        <w:t>studies</w:t>
      </w:r>
      <w:proofErr w:type="gramEnd"/>
      <w:r>
        <w:rPr>
          <w:i/>
        </w:rPr>
        <w:t xml:space="preserve"> to examine:</w:t>
      </w:r>
    </w:p>
    <w:p w:rsidR="0071101E" w:rsidRDefault="00E136AE">
      <w:pPr>
        <w:tabs>
          <w:tab w:val="left" w:pos="1276"/>
        </w:tabs>
        <w:spacing w:before="80"/>
        <w:ind w:left="1134" w:hanging="708"/>
        <w:jc w:val="both"/>
        <w:rPr>
          <w:i/>
        </w:rPr>
      </w:pPr>
      <w:r>
        <w:rPr>
          <w:i/>
        </w:rPr>
        <w:t>а)</w:t>
      </w:r>
      <w:r>
        <w:rPr>
          <w:i/>
        </w:rPr>
        <w:tab/>
        <w:t xml:space="preserve">whether there is a need for possible additional measures in order to limit uplink transmissions of terminals to those authorized terminals in accordance with No. </w:t>
      </w:r>
      <w:r>
        <w:rPr>
          <w:b/>
          <w:i/>
        </w:rPr>
        <w:t>18.1</w:t>
      </w:r>
      <w:r>
        <w:rPr>
          <w:i/>
        </w:rPr>
        <w:t>; and</w:t>
      </w:r>
    </w:p>
    <w:p w:rsidR="0071101E" w:rsidRDefault="00E136AE">
      <w:pPr>
        <w:tabs>
          <w:tab w:val="left" w:pos="1276"/>
        </w:tabs>
        <w:spacing w:before="80"/>
        <w:ind w:left="1134" w:hanging="708"/>
        <w:jc w:val="both"/>
        <w:rPr>
          <w:i/>
        </w:rPr>
      </w:pPr>
      <w:r>
        <w:rPr>
          <w:i/>
        </w:rPr>
        <w:lastRenderedPageBreak/>
        <w:t>b)</w:t>
      </w:r>
      <w:r>
        <w:rPr>
          <w:i/>
        </w:rPr>
        <w:tab/>
      </w:r>
      <w:r>
        <w:rPr>
          <w:i/>
        </w:rPr>
        <w:tab/>
      </w:r>
      <w:proofErr w:type="gramStart"/>
      <w:r>
        <w:rPr>
          <w:i/>
        </w:rPr>
        <w:t>the</w:t>
      </w:r>
      <w:proofErr w:type="gramEnd"/>
      <w:r>
        <w:rPr>
          <w:i/>
        </w:rPr>
        <w:t xml:space="preserve"> possible methods that will assist administrations in managing the unauthorized operation of earth station terminals deployed within its territory, as a tool to guide their national spectrum management programme, in accordance with Resolution ITU-R </w:t>
      </w:r>
      <w:r>
        <w:rPr>
          <w:b/>
          <w:i/>
        </w:rPr>
        <w:t>64 (RA-15)</w:t>
      </w:r>
      <w:r>
        <w:rPr>
          <w:i/>
        </w:rPr>
        <w:t>;</w:t>
      </w:r>
    </w:p>
    <w:p w:rsidR="0071101E" w:rsidRDefault="00E136AE">
      <w:pPr>
        <w:ind w:firstLine="709"/>
        <w:jc w:val="both"/>
      </w:pPr>
      <w:r>
        <w:t xml:space="preserve">The RCC Administrations support the development and inclusion into the Radio Regulations additional provisions binding the administrations to ensure during licensing the implementation of appropriate technical measures in the satellite networks, such as measures that are specified in Resolution </w:t>
      </w:r>
      <w:r>
        <w:rPr>
          <w:b/>
        </w:rPr>
        <w:t>156 (WRC-15)</w:t>
      </w:r>
      <w:r>
        <w:t xml:space="preserve"> (Earth stations in motion (ESIMs) shall be subject to permanent monitoring and control by the Network Control and Monitoring Centre (NCMC), be capable of receiving and acting upon at least “enable transmission” and “disable transmission” commands from the NCMC depending on their geographical position) which would facilitate elimination of unauthorized operation of earth station terminals in global/regional satellite networks, when these terminals are outside the territory of States which administrations granted the appropriate authorization (the license).</w:t>
      </w:r>
    </w:p>
    <w:p w:rsidR="0071101E" w:rsidRDefault="00E136AE">
      <w:pPr>
        <w:ind w:firstLine="709"/>
        <w:jc w:val="both"/>
      </w:pPr>
      <w:r>
        <w:t>The RCC Administrations consider that no one transmitting mobile earth station or ESIM shall be operated in the territory of any state without the appropriate license (authorization) from the State, issued by the government of that state or on behalf of that government in appropriate form and according with the provisions of the Radio Regulations.</w:t>
      </w:r>
    </w:p>
    <w:p w:rsidR="0071101E" w:rsidRDefault="00E136AE">
      <w:pPr>
        <w:ind w:firstLine="709"/>
        <w:jc w:val="both"/>
      </w:pPr>
      <w:r>
        <w:t>The RCC Administrations consider that the issue of preventing the unauthorized operation of earth stations terminals is considered both under the WRC-19 Agenda item 9.1, issue 9.1.7 which covers all frequency bands and all types of ubiquitous FSS earth stations, and WRC-19 Agenda item 1.5 relating to operations of ESIM in the frequency band 27.5–29.5 GHz (Earth-to-space).</w:t>
      </w:r>
    </w:p>
    <w:p w:rsidR="0071101E" w:rsidRDefault="00E136AE">
      <w:pPr>
        <w:pStyle w:val="Heading2"/>
        <w:spacing w:before="120" w:after="120"/>
        <w:jc w:val="both"/>
        <w:rPr>
          <w:i/>
        </w:rPr>
      </w:pPr>
      <w:bookmarkStart w:id="32" w:name="_2p2csry" w:colFirst="0" w:colLast="0"/>
      <w:bookmarkEnd w:id="32"/>
      <w:r>
        <w:rPr>
          <w:i/>
        </w:rPr>
        <w:t>Issue 9.1.8:</w:t>
      </w:r>
    </w:p>
    <w:p w:rsidR="0071101E" w:rsidRDefault="00E136AE">
      <w:pPr>
        <w:pStyle w:val="Heading2"/>
        <w:spacing w:before="40" w:after="120"/>
        <w:jc w:val="both"/>
        <w:rPr>
          <w:b w:val="0"/>
          <w:i/>
        </w:rPr>
      </w:pPr>
      <w:r>
        <w:rPr>
          <w:b w:val="0"/>
          <w:i/>
        </w:rPr>
        <w:t xml:space="preserve">Issue 3) in the Annex to Resolution </w:t>
      </w:r>
      <w:r>
        <w:rPr>
          <w:i/>
        </w:rPr>
        <w:t>958 (WRC-15)</w:t>
      </w:r>
    </w:p>
    <w:p w:rsidR="0071101E" w:rsidRDefault="00E136AE">
      <w:pPr>
        <w:tabs>
          <w:tab w:val="left" w:pos="426"/>
        </w:tabs>
        <w:spacing w:after="120"/>
        <w:jc w:val="both"/>
        <w:rPr>
          <w:i/>
        </w:rPr>
      </w:pPr>
      <w:r>
        <w:rPr>
          <w:i/>
        </w:rPr>
        <w:t>3)</w:t>
      </w:r>
      <w:r>
        <w:rPr>
          <w:i/>
        </w:rPr>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p>
    <w:p w:rsidR="0071101E" w:rsidRDefault="00E136AE">
      <w:pPr>
        <w:ind w:firstLine="709"/>
        <w:jc w:val="both"/>
      </w:pPr>
      <w:r>
        <w:t>The RCC Administrations consider that any modifications to the Radio Regulations provisions related to regulation of using narrowband and broadband machine-type communication applications are not necessary.</w:t>
      </w:r>
    </w:p>
    <w:p w:rsidR="0071101E" w:rsidRDefault="00E136AE">
      <w:pPr>
        <w:ind w:firstLine="709"/>
        <w:jc w:val="both"/>
      </w:pPr>
      <w:r>
        <w:t>The RCC Administrations support the development of ITU-R Recommendations, Reports and/or Handbooks on technical and operational aspects of using different radio systems and technologies, as well as on spectrum needed and experience in spectrum use, to support the implementation of narrowband and broadband machine-type communication infrastructures.</w:t>
      </w:r>
    </w:p>
    <w:p w:rsidR="0071101E" w:rsidRDefault="00E136AE">
      <w:pPr>
        <w:pStyle w:val="Heading2"/>
        <w:spacing w:before="120" w:after="120"/>
        <w:jc w:val="both"/>
        <w:rPr>
          <w:i/>
        </w:rPr>
      </w:pPr>
      <w:bookmarkStart w:id="33" w:name="_147n2zr" w:colFirst="0" w:colLast="0"/>
      <w:bookmarkEnd w:id="33"/>
      <w:r>
        <w:rPr>
          <w:i/>
        </w:rPr>
        <w:t>Issue 9.1.9:</w:t>
      </w:r>
    </w:p>
    <w:p w:rsidR="0071101E" w:rsidRDefault="00E136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120"/>
        <w:jc w:val="both"/>
        <w:rPr>
          <w:i/>
        </w:rPr>
      </w:pPr>
      <w:r>
        <w:rPr>
          <w:i/>
        </w:rPr>
        <w:t xml:space="preserve">Resolution </w:t>
      </w:r>
      <w:r>
        <w:rPr>
          <w:b/>
          <w:i/>
        </w:rPr>
        <w:t>162 (WRC-15) -</w:t>
      </w:r>
      <w:r>
        <w:rPr>
          <w:i/>
        </w:rPr>
        <w:t xml:space="preserve"> "Studies relating to spectrum needs and possible allocation of the frequency band 51.4-52.4 GHz to the fixed-satellite </w:t>
      </w:r>
      <w:r>
        <w:rPr>
          <w:i/>
        </w:rPr>
        <w:lastRenderedPageBreak/>
        <w:t>service (Earth-to-space)"</w:t>
      </w:r>
    </w:p>
    <w:p w:rsidR="0071101E" w:rsidRDefault="00E136AE">
      <w:pPr>
        <w:ind w:firstLine="709"/>
        <w:jc w:val="both"/>
      </w:pPr>
      <w:r>
        <w:t>1.</w:t>
      </w:r>
      <w:r>
        <w:tab/>
        <w:t>The RCC Administrations support the new allocation of the frequency band 51.4-52.4 GHz on the primary basis to the GSO FSS (Earth-to-space), limited to gateway earth stations’ communication links provided the mandatory protection is granted to existing services and systems in the considered and adjacent frequency bands based on the Example 1 in the CPM Report.</w:t>
      </w:r>
    </w:p>
    <w:p w:rsidR="0071101E" w:rsidRDefault="00E136AE">
      <w:pPr>
        <w:ind w:firstLine="709"/>
        <w:jc w:val="both"/>
      </w:pPr>
      <w:r>
        <w:t>2</w:t>
      </w:r>
      <w:r>
        <w:tab/>
        <w:t xml:space="preserve">The RCC Administrations consider that the technical conditions and regulatory provisions for use of the new allocation to the FSS (Earth-to-space) in the frequency band 51.4-52.4 GHz shall ensure protection of existing services and systems in the considered and adjacent frequency bands while applying possible regulatory measures, including revision of Resolution </w:t>
      </w:r>
      <w:r>
        <w:rPr>
          <w:b/>
        </w:rPr>
        <w:t>750 (Rev. WRC-15)</w:t>
      </w:r>
      <w:r>
        <w:t>, based on the relevant EESS (passive) protection criteria in the frequency band 52.6-54.25 GHz.</w:t>
      </w:r>
    </w:p>
    <w:p w:rsidR="0071101E" w:rsidRDefault="00E136AE">
      <w:pPr>
        <w:spacing w:before="0"/>
        <w:jc w:val="both"/>
      </w:pPr>
      <w:r>
        <w:tab/>
        <w:t>- FSS earth stations in this frequency band shall have a minimum antenna diameter of 2.4 meters and shall be notified at known locations on land;</w:t>
      </w:r>
    </w:p>
    <w:p w:rsidR="0071101E" w:rsidRDefault="00E136AE">
      <w:pPr>
        <w:spacing w:before="0"/>
        <w:jc w:val="both"/>
      </w:pPr>
      <w:r>
        <w:tab/>
        <w:t xml:space="preserve">- FSS earth stations shall not exceed the unwanted emission power limit in the EESS (passive) frequency band 52.6-54.25 GHz of –37 </w:t>
      </w:r>
      <w:proofErr w:type="spellStart"/>
      <w:r>
        <w:t>dBW</w:t>
      </w:r>
      <w:proofErr w:type="spellEnd"/>
      <w:r>
        <w:t xml:space="preserve">/100 MHz for maximum FSS earth station antenna elevation angles less than 75°. For antenna elevation angles greater or equal to 75° FSS earth stations shall not exceed the unwanted emission power limit of –52 </w:t>
      </w:r>
      <w:proofErr w:type="spellStart"/>
      <w:r>
        <w:t>dBW</w:t>
      </w:r>
      <w:proofErr w:type="spellEnd"/>
      <w:r>
        <w:t>/100 MHz;</w:t>
      </w:r>
    </w:p>
    <w:p w:rsidR="0071101E" w:rsidRDefault="00E136AE">
      <w:pPr>
        <w:spacing w:before="0"/>
        <w:jc w:val="both"/>
      </w:pPr>
      <w:r>
        <w:tab/>
        <w:t>- Unwanted emission power limits shall be specified in the revised Resolution 750 (Rev. WRC-19);</w:t>
      </w:r>
    </w:p>
    <w:p w:rsidR="0071101E" w:rsidRDefault="00E136AE">
      <w:pPr>
        <w:spacing w:before="0"/>
        <w:jc w:val="both"/>
      </w:pPr>
      <w:r>
        <w:tab/>
        <w:t>- The RCC Administrations consider that FSS earth stations operating in the frequency band 51.4−52.4 GHz shall not cause harmful interfere to the GSO EESS (passive) sensors in the frequency band 52.6–54.25 GHz. The protection of GSO EESS (passive) sensors shall be implemented based on the CPM Report Option 2 by limiting the level of unwanted emission of FSS earth stations operating with GSO FSS space stations to be specified in the revised Resolution 750 (Rev. WRC-19).</w:t>
      </w:r>
    </w:p>
    <w:p w:rsidR="0071101E" w:rsidRDefault="00E136AE">
      <w:pPr>
        <w:tabs>
          <w:tab w:val="left" w:pos="794"/>
          <w:tab w:val="left" w:pos="1191"/>
          <w:tab w:val="left" w:pos="1588"/>
          <w:tab w:val="left" w:pos="1985"/>
        </w:tabs>
        <w:spacing w:before="0"/>
        <w:jc w:val="both"/>
      </w:pPr>
      <w:r>
        <w:t xml:space="preserve">FSS earth stations operating with GSO FSS space stations within the 3.2° separation from orbital positions of the future GSO EESS (passive) sensors shall not exceed the unwanted emission limits from –84 </w:t>
      </w:r>
      <w:proofErr w:type="spellStart"/>
      <w:r>
        <w:t>dBW</w:t>
      </w:r>
      <w:proofErr w:type="spellEnd"/>
      <w:r>
        <w:t xml:space="preserve">/100 MHz to –34.2 </w:t>
      </w:r>
      <w:proofErr w:type="spellStart"/>
      <w:r>
        <w:t>dBW</w:t>
      </w:r>
      <w:proofErr w:type="spellEnd"/>
      <w:r>
        <w:t>/100 MHz, depending on the orbital separation between GSO FSS space stations and GSO EESS. Protection is needed for the following orbital positions of newly notified EESS (passive) sensors on board GSO satellites: 0º, 3.5ºE, 9.5ºE, 41.5ºE, 76ºE, 79ºE, 86.5ºE, 99.5ºE, 105ºE, 112ºE, 123.5ºE, 133ºE, 165.8ºE, 3.2ºW, 14.5ºW, 75ºW, and 137ºW.</w:t>
      </w:r>
    </w:p>
    <w:p w:rsidR="0071101E" w:rsidRDefault="00E136AE">
      <w:pPr>
        <w:ind w:firstLine="709"/>
        <w:jc w:val="both"/>
      </w:pPr>
      <w:r>
        <w:t>4.</w:t>
      </w:r>
      <w:r>
        <w:tab/>
        <w:t>The RCC Administrations consider that the permissible aggregate out-of-band interference level from all active services, stated in</w:t>
      </w:r>
      <w:r>
        <w:rPr>
          <w:rFonts w:ascii="Quattrocento Sans" w:eastAsia="Quattrocento Sans" w:hAnsi="Quattrocento Sans" w:cs="Quattrocento Sans"/>
          <w:sz w:val="20"/>
          <w:szCs w:val="20"/>
          <w:highlight w:val="white"/>
        </w:rPr>
        <w:t xml:space="preserve"> </w:t>
      </w:r>
      <w:r>
        <w:t>the most recent version of Recommendation ITU-R RS.2017, should be distributed between the active services which could be the potential interferers to EESS (passive) sensors in the frequency band 52.6-54.25 GHz.</w:t>
      </w:r>
    </w:p>
    <w:p w:rsidR="0071101E" w:rsidRDefault="00E136AE">
      <w:pPr>
        <w:ind w:firstLine="709"/>
        <w:jc w:val="both"/>
        <w:rPr>
          <w:b/>
          <w:i/>
        </w:rPr>
      </w:pPr>
      <w:r>
        <w:rPr>
          <w:b/>
          <w:i/>
        </w:rPr>
        <w:t>Issue: No. 5.441B Revision of RR Article 5 footnote No. 5.441B</w:t>
      </w:r>
    </w:p>
    <w:p w:rsidR="0071101E" w:rsidRDefault="00E136AE">
      <w:pPr>
        <w:ind w:firstLine="709"/>
        <w:jc w:val="both"/>
      </w:pPr>
      <w:r>
        <w:t>The RCC Administrations propose to revise RR Article 5 footnote No. 5.441B at WRC-19 in order to improve conditions of IMT system application in the frequency band 4800-4990 MHz, while ensuring due protection to applications in the aeronautical mobile service (AMS).</w:t>
      </w:r>
    </w:p>
    <w:p w:rsidR="0071101E" w:rsidRDefault="00E136AE">
      <w:pPr>
        <w:ind w:firstLine="709"/>
        <w:jc w:val="both"/>
      </w:pPr>
      <w:r>
        <w:t xml:space="preserve">The RCC Administrations consider that the application of </w:t>
      </w:r>
      <w:proofErr w:type="spellStart"/>
      <w:r>
        <w:t>pfd</w:t>
      </w:r>
      <w:proofErr w:type="spellEnd"/>
      <w:r>
        <w:t xml:space="preserve"> level in addition to RR No. 9.21. for the protection of the aeronautical mobile service (AMS) is redundant, and is not in accordance with the basic provisions stipulated in RR Article 8 defining the need for protection of only </w:t>
      </w:r>
      <w:r>
        <w:lastRenderedPageBreak/>
        <w:t xml:space="preserve">registered AMS stations or frequency assignments in the corresponding frequency assignment plan, as well as regulatory practice of protection for the same AMS stations, </w:t>
      </w:r>
      <w:r>
        <w:rPr>
          <w:i/>
        </w:rPr>
        <w:t>inter alia</w:t>
      </w:r>
      <w:r>
        <w:t xml:space="preserve">, from IMT interference in other frequency bands. Therefore, it is proposed to exclude the </w:t>
      </w:r>
      <w:proofErr w:type="spellStart"/>
      <w:r>
        <w:t>pfd</w:t>
      </w:r>
      <w:proofErr w:type="spellEnd"/>
      <w:r>
        <w:t xml:space="preserve"> level from RR footnote No. 5.441B.</w:t>
      </w:r>
    </w:p>
    <w:p w:rsidR="0071101E" w:rsidRDefault="00E136AE">
      <w:pPr>
        <w:ind w:firstLine="709"/>
        <w:jc w:val="both"/>
      </w:pPr>
      <w:r>
        <w:t>The RCC Administrations also consider that RR footnote No. 5.441B shall be corrected in order to take into account the status of allocation and conditions of application of the frequency band 4800-4990 MHz for AMS applications under RR footnote No. 5.442.</w:t>
      </w:r>
    </w:p>
    <w:p w:rsidR="0071101E" w:rsidRDefault="00E136AE">
      <w:pPr>
        <w:ind w:firstLine="709"/>
        <w:jc w:val="both"/>
      </w:pPr>
      <w:r>
        <w:t>The RCC Administrations consider that during IMT station implementation, protection of primary services in the frequency band 4800-4990 shall be ensured, provided agreement of the concerned administrations has been obtained according to No. 9.21.</w:t>
      </w:r>
    </w:p>
    <w:p w:rsidR="0071101E" w:rsidRDefault="00E136AE">
      <w:pPr>
        <w:ind w:firstLine="709"/>
        <w:jc w:val="both"/>
      </w:pPr>
      <w:r>
        <w:t>However, taking into account No. 5.440A and Resolution 416 (WRC-07), to protect AMS, the agreement for application of IMT stations under No. 9.21 shall be obtained only from those countries with frequency assignments and using receiving stations aboard aircraft for aeronautical data links (ADLs) in the frequency bands under No. 5.442.</w:t>
      </w:r>
    </w:p>
    <w:p w:rsidR="0071101E" w:rsidRDefault="00E136AE">
      <w:pPr>
        <w:pStyle w:val="Heading2"/>
        <w:ind w:left="0" w:firstLine="0"/>
        <w:jc w:val="both"/>
        <w:rPr>
          <w:b w:val="0"/>
          <w:i/>
        </w:rPr>
      </w:pPr>
      <w:bookmarkStart w:id="34" w:name="_3o7alnk" w:colFirst="0" w:colLast="0"/>
      <w:bookmarkEnd w:id="34"/>
      <w:r>
        <w:rPr>
          <w:b w:val="0"/>
          <w:i/>
        </w:rPr>
        <w:t>9.2</w:t>
      </w:r>
      <w:r>
        <w:rPr>
          <w:b w:val="0"/>
          <w:i/>
        </w:rPr>
        <w:tab/>
        <w:t>on any difficulties or inconsistencies encountered in the application of the Radio Regulations;</w:t>
      </w:r>
    </w:p>
    <w:p w:rsidR="0071101E" w:rsidRDefault="00E136AE">
      <w:pPr>
        <w:ind w:firstLine="709"/>
        <w:jc w:val="both"/>
      </w:pPr>
      <w:r>
        <w:t>The RCC Administrations support measures to eliminate any difficulties or inconsistencies encountered in the application of the Radio Regulations.</w:t>
      </w:r>
    </w:p>
    <w:p w:rsidR="0071101E" w:rsidRDefault="00E136AE">
      <w:pPr>
        <w:ind w:firstLine="709"/>
        <w:jc w:val="both"/>
      </w:pPr>
      <w:r>
        <w:t>In order to improve preparation to WRC-19, the RCC Administrations propose early mandatory consideration by Radio Regulations Board, the Radiocommunication Advisory Group, as well as the relevant ITU-R Working parties of the information submitted to Radiocommunication Bureau on difficulties or inconsistencies encountered in the application of the Radio Regulations.</w:t>
      </w:r>
    </w:p>
    <w:p w:rsidR="0071101E" w:rsidRDefault="00E136AE">
      <w:pPr>
        <w:ind w:firstLine="709"/>
        <w:jc w:val="both"/>
      </w:pPr>
      <w:r>
        <w:t>The RCC Administrations review issues identified in the Report of the Director of the Radiocommunication Bureau, which positions are to be defined further.</w:t>
      </w:r>
    </w:p>
    <w:p w:rsidR="0071101E" w:rsidRDefault="00E136AE">
      <w:pPr>
        <w:keepNext/>
        <w:keepLines/>
        <w:spacing w:before="200"/>
        <w:ind w:left="794" w:hanging="794"/>
        <w:jc w:val="both"/>
        <w:rPr>
          <w:i/>
        </w:rPr>
      </w:pPr>
      <w:bookmarkStart w:id="35" w:name="_23ckvvd" w:colFirst="0" w:colLast="0"/>
      <w:bookmarkEnd w:id="35"/>
      <w:r>
        <w:rPr>
          <w:i/>
        </w:rPr>
        <w:t>9.3</w:t>
      </w:r>
      <w:r>
        <w:rPr>
          <w:i/>
        </w:rPr>
        <w:tab/>
      </w:r>
      <w:proofErr w:type="gramStart"/>
      <w:r>
        <w:rPr>
          <w:i/>
        </w:rPr>
        <w:t>on</w:t>
      </w:r>
      <w:proofErr w:type="gramEnd"/>
      <w:r>
        <w:rPr>
          <w:i/>
        </w:rPr>
        <w:t xml:space="preserve"> actions in response to Resolution</w:t>
      </w:r>
      <w:r>
        <w:rPr>
          <w:b/>
          <w:i/>
        </w:rPr>
        <w:t xml:space="preserve"> </w:t>
      </w:r>
      <w:r>
        <w:rPr>
          <w:b/>
        </w:rPr>
        <w:t>80 (Rev.WRC-07);</w:t>
      </w:r>
    </w:p>
    <w:p w:rsidR="0071101E" w:rsidRDefault="00E136AE">
      <w:pPr>
        <w:ind w:firstLine="709"/>
        <w:jc w:val="both"/>
      </w:pPr>
      <w:r>
        <w:t xml:space="preserve">Proposals from the RCC Administrations are provided in Annex 3. </w:t>
      </w:r>
    </w:p>
    <w:p w:rsidR="0071101E" w:rsidRDefault="00E136AE">
      <w:pPr>
        <w:keepNext/>
        <w:keepLines/>
        <w:spacing w:before="200"/>
        <w:jc w:val="both"/>
        <w:rPr>
          <w:i/>
        </w:rPr>
      </w:pPr>
      <w:bookmarkStart w:id="36" w:name="_ihv636" w:colFirst="0" w:colLast="0"/>
      <w:bookmarkEnd w:id="36"/>
      <w:r>
        <w:rPr>
          <w:i/>
        </w:rPr>
        <w:t>10</w:t>
      </w:r>
      <w:r>
        <w:rPr>
          <w:i/>
        </w:rPr>
        <w:tab/>
        <w:t>to recommend to the Council items for inclusion in the agenda for the next WRC, and to give its views on the preliminary agenda for the subsequent conference and on possible agenda items for future conferences, taking into account Article 7 of Convention.</w:t>
      </w:r>
    </w:p>
    <w:p w:rsidR="0071101E" w:rsidRDefault="00E136AE">
      <w:pPr>
        <w:ind w:firstLine="709"/>
        <w:jc w:val="both"/>
      </w:pPr>
      <w:r>
        <w:t>The RCC Administrations are in favour of including the following items into the WRC-23 agenda:</w:t>
      </w:r>
    </w:p>
    <w:p w:rsidR="0071101E" w:rsidRDefault="00E136AE">
      <w:pPr>
        <w:numPr>
          <w:ilvl w:val="0"/>
          <w:numId w:val="2"/>
        </w:numPr>
        <w:tabs>
          <w:tab w:val="left" w:pos="794"/>
          <w:tab w:val="left" w:pos="1191"/>
          <w:tab w:val="left" w:pos="1588"/>
          <w:tab w:val="left" w:pos="1985"/>
        </w:tabs>
        <w:ind w:hanging="360"/>
        <w:jc w:val="both"/>
      </w:pPr>
      <w:r>
        <w:t>upgrading the allocation of the frequency band 14.8-15.35 GHz for the SRS;</w:t>
      </w:r>
    </w:p>
    <w:p w:rsidR="0071101E" w:rsidRDefault="00E136AE">
      <w:pPr>
        <w:numPr>
          <w:ilvl w:val="0"/>
          <w:numId w:val="2"/>
        </w:numPr>
        <w:tabs>
          <w:tab w:val="left" w:pos="794"/>
          <w:tab w:val="left" w:pos="1191"/>
          <w:tab w:val="left" w:pos="1588"/>
          <w:tab w:val="left" w:pos="1985"/>
        </w:tabs>
        <w:ind w:hanging="360"/>
        <w:jc w:val="both"/>
      </w:pPr>
      <w:proofErr w:type="gramStart"/>
      <w:r>
        <w:t>identifying</w:t>
      </w:r>
      <w:proofErr w:type="gramEnd"/>
      <w:r>
        <w:t xml:space="preserve"> the frequency bands 4400-4990 MHz and 6527-7100 MHz for IMT systems.</w:t>
      </w:r>
    </w:p>
    <w:p w:rsidR="0071101E" w:rsidRDefault="00E136AE">
      <w:pPr>
        <w:ind w:firstLine="709"/>
        <w:jc w:val="both"/>
      </w:pPr>
      <w:r>
        <w:t xml:space="preserve">The RCC Administrations are in favour of improving WRC-23 standing agenda items 7, 9.1 and 9.2 activities according to principles and proposals of the document RAG18/7-R "Proposals towards drawing up issues under individual World Radiocommunication Conferences agenda </w:t>
      </w:r>
      <w:r>
        <w:lastRenderedPageBreak/>
        <w:t>items" and propose the following changes into the Resolution 804 (WRC-12).</w:t>
      </w:r>
    </w:p>
    <w:p w:rsidR="0071101E" w:rsidRDefault="00E136AE">
      <w:pPr>
        <w:ind w:firstLine="709"/>
        <w:jc w:val="both"/>
      </w:pPr>
      <w:r>
        <w:t xml:space="preserve">The RCC Administrations do not oppose including into WRC-23 agenda </w:t>
      </w:r>
      <w:r>
        <w:rPr>
          <w:i/>
        </w:rPr>
        <w:t>resolves to give the view</w:t>
      </w:r>
      <w:r>
        <w:t xml:space="preserve"> 2.2 and 2.3 of Resolution </w:t>
      </w:r>
      <w:r>
        <w:rPr>
          <w:b/>
        </w:rPr>
        <w:t>810 (WRC-15)</w:t>
      </w:r>
    </w:p>
    <w:p w:rsidR="0071101E" w:rsidRDefault="00E136AE">
      <w:pPr>
        <w:tabs>
          <w:tab w:val="left" w:pos="0"/>
          <w:tab w:val="left" w:pos="1191"/>
          <w:tab w:val="left" w:pos="1588"/>
          <w:tab w:val="left" w:pos="1985"/>
        </w:tabs>
        <w:spacing w:before="80"/>
        <w:ind w:firstLine="709"/>
        <w:jc w:val="both"/>
      </w:pPr>
      <w:r>
        <w:t xml:space="preserve">The RCC Administrations oppose including into WRC-23 agenda </w:t>
      </w:r>
      <w:r>
        <w:rPr>
          <w:i/>
        </w:rPr>
        <w:t>resolves to give the view</w:t>
      </w:r>
      <w:r>
        <w:t xml:space="preserve"> 2.5 of Resolution </w:t>
      </w:r>
      <w:r>
        <w:rPr>
          <w:b/>
        </w:rPr>
        <w:t>810</w:t>
      </w:r>
      <w:r>
        <w:t xml:space="preserve"> (</w:t>
      </w:r>
      <w:r>
        <w:rPr>
          <w:b/>
        </w:rPr>
        <w:t>WRC-15</w:t>
      </w:r>
      <w:r>
        <w:t xml:space="preserve">). </w:t>
      </w:r>
    </w:p>
    <w:p w:rsidR="0071101E" w:rsidRDefault="0071101E">
      <w:pPr>
        <w:tabs>
          <w:tab w:val="left" w:pos="0"/>
          <w:tab w:val="left" w:pos="1191"/>
          <w:tab w:val="left" w:pos="1588"/>
          <w:tab w:val="left" w:pos="1985"/>
        </w:tabs>
        <w:spacing w:before="80"/>
        <w:ind w:firstLine="709"/>
        <w:jc w:val="both"/>
      </w:pPr>
    </w:p>
    <w:p w:rsidR="0071101E" w:rsidRDefault="0071101E">
      <w:pPr>
        <w:jc w:val="both"/>
      </w:pPr>
    </w:p>
    <w:p w:rsidR="0071101E" w:rsidRDefault="00E136AE">
      <w:pPr>
        <w:spacing w:before="0" w:line="276" w:lineRule="auto"/>
        <w:sectPr w:rsidR="0071101E">
          <w:headerReference w:type="default" r:id="rId7"/>
          <w:pgSz w:w="16834" w:h="11907"/>
          <w:pgMar w:top="1134" w:right="1418" w:bottom="1134" w:left="1418" w:header="0" w:footer="720" w:gutter="0"/>
          <w:pgNumType w:start="1"/>
          <w:cols w:space="720"/>
        </w:sectPr>
      </w:pPr>
      <w:r>
        <w:br w:type="page"/>
      </w:r>
    </w:p>
    <w:p w:rsidR="0071101E" w:rsidRDefault="0071101E">
      <w:pPr>
        <w:jc w:val="both"/>
      </w:pPr>
    </w:p>
    <w:p w:rsidR="0071101E" w:rsidRDefault="00E136AE">
      <w:pPr>
        <w:tabs>
          <w:tab w:val="left" w:pos="1588"/>
          <w:tab w:val="left" w:pos="1985"/>
        </w:tabs>
        <w:jc w:val="right"/>
      </w:pPr>
      <w:r>
        <w:t>Annex 1</w:t>
      </w:r>
    </w:p>
    <w:p w:rsidR="0071101E" w:rsidRDefault="00E136AE">
      <w:pPr>
        <w:tabs>
          <w:tab w:val="left" w:pos="794"/>
          <w:tab w:val="left" w:pos="1191"/>
          <w:tab w:val="left" w:pos="1588"/>
          <w:tab w:val="left" w:pos="1985"/>
        </w:tabs>
        <w:jc w:val="center"/>
        <w:rPr>
          <w:b/>
          <w:sz w:val="22"/>
          <w:szCs w:val="22"/>
        </w:rPr>
      </w:pPr>
      <w:r>
        <w:rPr>
          <w:b/>
          <w:sz w:val="22"/>
          <w:szCs w:val="22"/>
        </w:rPr>
        <w:t>Analysis of the Draft Report by the Radio Regulations Board to WRC-19 on Resolution 80 (Rev. WRC-07)</w:t>
      </w:r>
    </w:p>
    <w:p w:rsidR="0071101E" w:rsidRDefault="0071101E">
      <w:pPr>
        <w:tabs>
          <w:tab w:val="left" w:pos="794"/>
          <w:tab w:val="left" w:pos="1191"/>
          <w:tab w:val="left" w:pos="1588"/>
          <w:tab w:val="left" w:pos="1985"/>
        </w:tabs>
        <w:jc w:val="center"/>
        <w:rPr>
          <w:b/>
          <w:sz w:val="22"/>
          <w:szCs w:val="22"/>
        </w:rPr>
      </w:pPr>
    </w:p>
    <w:tbl>
      <w:tblPr>
        <w:tblStyle w:val="a4"/>
        <w:tblW w:w="15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173"/>
        <w:gridCol w:w="6804"/>
        <w:gridCol w:w="4271"/>
      </w:tblGrid>
      <w:tr w:rsidR="0071101E">
        <w:trPr>
          <w:jc w:val="center"/>
        </w:trPr>
        <w:tc>
          <w:tcPr>
            <w:tcW w:w="993" w:type="dxa"/>
            <w:shd w:val="clear" w:color="auto" w:fill="FFFFFF"/>
          </w:tcPr>
          <w:p w:rsidR="0071101E" w:rsidRDefault="00E136AE">
            <w:pPr>
              <w:tabs>
                <w:tab w:val="left" w:pos="794"/>
                <w:tab w:val="left" w:pos="1191"/>
                <w:tab w:val="left" w:pos="1588"/>
                <w:tab w:val="left" w:pos="1985"/>
              </w:tabs>
              <w:jc w:val="center"/>
              <w:rPr>
                <w:b/>
                <w:sz w:val="20"/>
                <w:szCs w:val="20"/>
              </w:rPr>
            </w:pPr>
            <w:r>
              <w:rPr>
                <w:b/>
                <w:sz w:val="20"/>
                <w:szCs w:val="20"/>
              </w:rPr>
              <w:t>Section number in the RRB Report</w:t>
            </w:r>
          </w:p>
        </w:tc>
        <w:tc>
          <w:tcPr>
            <w:tcW w:w="3173" w:type="dxa"/>
            <w:shd w:val="clear" w:color="auto" w:fill="FFFFFF"/>
            <w:vAlign w:val="center"/>
          </w:tcPr>
          <w:p w:rsidR="0071101E" w:rsidRDefault="00E136AE">
            <w:pPr>
              <w:tabs>
                <w:tab w:val="left" w:pos="794"/>
                <w:tab w:val="left" w:pos="1191"/>
                <w:tab w:val="left" w:pos="1588"/>
                <w:tab w:val="left" w:pos="1985"/>
              </w:tabs>
              <w:jc w:val="center"/>
              <w:rPr>
                <w:b/>
                <w:sz w:val="20"/>
                <w:szCs w:val="20"/>
              </w:rPr>
            </w:pPr>
            <w:r>
              <w:rPr>
                <w:b/>
                <w:sz w:val="20"/>
                <w:szCs w:val="20"/>
              </w:rPr>
              <w:t>Section description in the RRB Report</w:t>
            </w:r>
          </w:p>
        </w:tc>
        <w:tc>
          <w:tcPr>
            <w:tcW w:w="6804" w:type="dxa"/>
            <w:shd w:val="clear" w:color="auto" w:fill="FFFFFF"/>
            <w:vAlign w:val="center"/>
          </w:tcPr>
          <w:p w:rsidR="0071101E" w:rsidRDefault="00E136AE">
            <w:pPr>
              <w:tabs>
                <w:tab w:val="left" w:pos="794"/>
                <w:tab w:val="left" w:pos="1191"/>
                <w:tab w:val="left" w:pos="1588"/>
                <w:tab w:val="left" w:pos="1985"/>
              </w:tabs>
              <w:jc w:val="center"/>
              <w:rPr>
                <w:b/>
                <w:sz w:val="20"/>
                <w:szCs w:val="20"/>
              </w:rPr>
            </w:pPr>
            <w:r>
              <w:rPr>
                <w:b/>
                <w:sz w:val="20"/>
                <w:szCs w:val="20"/>
              </w:rPr>
              <w:t>Proposals in the RRB Report</w:t>
            </w:r>
          </w:p>
        </w:tc>
        <w:tc>
          <w:tcPr>
            <w:tcW w:w="4271" w:type="dxa"/>
          </w:tcPr>
          <w:p w:rsidR="0071101E" w:rsidRDefault="00E136AE">
            <w:pPr>
              <w:tabs>
                <w:tab w:val="left" w:pos="794"/>
                <w:tab w:val="left" w:pos="1191"/>
                <w:tab w:val="left" w:pos="1588"/>
                <w:tab w:val="left" w:pos="1985"/>
              </w:tabs>
              <w:jc w:val="center"/>
              <w:rPr>
                <w:b/>
                <w:sz w:val="20"/>
                <w:szCs w:val="20"/>
              </w:rPr>
            </w:pPr>
            <w:r>
              <w:rPr>
                <w:b/>
                <w:sz w:val="20"/>
                <w:szCs w:val="20"/>
              </w:rPr>
              <w:t>Preliminary proposals to the position</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4.1</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Suspending the use of a recorded assignment to a space station (RR No.11.49)</w:t>
            </w:r>
          </w:p>
        </w:tc>
        <w:tc>
          <w:tcPr>
            <w:tcW w:w="6804" w:type="dxa"/>
            <w:shd w:val="clear" w:color="auto" w:fill="FFFFFF"/>
          </w:tcPr>
          <w:p w:rsidR="0071101E" w:rsidRDefault="00E136AE">
            <w:pPr>
              <w:tabs>
                <w:tab w:val="left" w:pos="794"/>
                <w:tab w:val="left" w:pos="1191"/>
                <w:tab w:val="left" w:pos="1588"/>
                <w:tab w:val="left" w:pos="1985"/>
              </w:tabs>
              <w:spacing w:after="120"/>
              <w:jc w:val="both"/>
              <w:rPr>
                <w:i/>
              </w:rPr>
            </w:pPr>
            <w:r>
              <w:rPr>
                <w:i/>
                <w:sz w:val="20"/>
                <w:szCs w:val="20"/>
              </w:rPr>
              <w:t>The Board did not considered any cases under RR No. 11.49 since January 1, 2017 when the revised regulation entered in force.</w:t>
            </w:r>
            <w:r>
              <w:rPr>
                <w:i/>
              </w:rPr>
              <w:t xml:space="preserve"> </w:t>
            </w:r>
          </w:p>
          <w:p w:rsidR="0071101E" w:rsidRDefault="00E136AE">
            <w:pPr>
              <w:tabs>
                <w:tab w:val="left" w:pos="794"/>
                <w:tab w:val="left" w:pos="1191"/>
                <w:tab w:val="left" w:pos="1588"/>
                <w:tab w:val="left" w:pos="1985"/>
              </w:tabs>
              <w:jc w:val="both"/>
              <w:rPr>
                <w:sz w:val="20"/>
                <w:szCs w:val="20"/>
              </w:rPr>
            </w:pPr>
            <w:r>
              <w:rPr>
                <w:sz w:val="20"/>
                <w:szCs w:val="20"/>
              </w:rPr>
              <w:t>No proposals.</w:t>
            </w:r>
          </w:p>
        </w:tc>
        <w:tc>
          <w:tcPr>
            <w:tcW w:w="4271" w:type="dxa"/>
          </w:tcPr>
          <w:p w:rsidR="0071101E" w:rsidRDefault="00E136AE">
            <w:pPr>
              <w:tabs>
                <w:tab w:val="left" w:pos="794"/>
                <w:tab w:val="left" w:pos="1191"/>
                <w:tab w:val="left" w:pos="1588"/>
                <w:tab w:val="left" w:pos="1985"/>
              </w:tabs>
              <w:rPr>
                <w:sz w:val="20"/>
                <w:szCs w:val="20"/>
              </w:rPr>
            </w:pPr>
            <w:r>
              <w:rPr>
                <w:sz w:val="20"/>
                <w:szCs w:val="20"/>
              </w:rPr>
              <w:t>The RCC Administrations support existing regulatory procedures under RR No.11.49.</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4.2</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 xml:space="preserve">Linkage between bringing into use and notification for recording in the MIFR </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WRC-19 is invited to consider whether the bringing into use of frequency assignments in Appendices 30, 30A and 30B with a satellite that is subsequently relocated prior to the notification submission should be permitted, noting (1) that § 4.1.18 of Appendices 30 and 30A does not apply with respect to an assignment in the Regions  1 and  3 Plan, or in the Region 2 Plan, or for which the procedure of § 4.2 of Appendices 30 and 30A has been initiated, (2) that § 4.2.21A of Appendices 30 and 30A does not apply with respect to an assignment in the Region 2 Plan, or in the Regions 1 and 3 Plan or List, or for which the procedure of § 4.1 or 4.2 has been initiated, and (3) that § 6.25 of Article 6 of Appendix 30B does not apply with respect to allotments in the Plan.</w:t>
            </w:r>
          </w:p>
        </w:tc>
        <w:tc>
          <w:tcPr>
            <w:tcW w:w="4271" w:type="dxa"/>
          </w:tcPr>
          <w:p w:rsidR="0071101E" w:rsidRDefault="00E136AE">
            <w:pPr>
              <w:tabs>
                <w:tab w:val="left" w:pos="794"/>
                <w:tab w:val="left" w:pos="1191"/>
                <w:tab w:val="left" w:pos="1588"/>
                <w:tab w:val="left" w:pos="1985"/>
              </w:tabs>
              <w:rPr>
                <w:sz w:val="20"/>
                <w:szCs w:val="20"/>
              </w:rPr>
            </w:pPr>
            <w:r>
              <w:rPr>
                <w:sz w:val="20"/>
                <w:szCs w:val="20"/>
              </w:rPr>
              <w:t>-</w:t>
            </w:r>
          </w:p>
          <w:p w:rsidR="0071101E" w:rsidRDefault="0071101E">
            <w:pPr>
              <w:tabs>
                <w:tab w:val="left" w:pos="794"/>
                <w:tab w:val="left" w:pos="1191"/>
                <w:tab w:val="left" w:pos="1588"/>
                <w:tab w:val="left" w:pos="1985"/>
              </w:tabs>
              <w:rPr>
                <w:sz w:val="20"/>
                <w:szCs w:val="20"/>
              </w:rPr>
            </w:pP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4.3</w:t>
            </w:r>
          </w:p>
        </w:tc>
        <w:tc>
          <w:tcPr>
            <w:tcW w:w="3173" w:type="dxa"/>
            <w:shd w:val="clear" w:color="auto" w:fill="FFFFFF"/>
          </w:tcPr>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Issues related to the extension of time-</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limits for bringing into use or bringing</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 xml:space="preserve">back into use a frequency assignment </w:t>
            </w:r>
          </w:p>
          <w:p w:rsidR="0071101E" w:rsidRDefault="0071101E">
            <w:pPr>
              <w:tabs>
                <w:tab w:val="left" w:pos="794"/>
                <w:tab w:val="left" w:pos="1191"/>
                <w:tab w:val="left" w:pos="1588"/>
                <w:tab w:val="left" w:pos="1985"/>
              </w:tabs>
              <w:rPr>
                <w:sz w:val="20"/>
                <w:szCs w:val="20"/>
              </w:rPr>
            </w:pP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No proposals.</w:t>
            </w:r>
          </w:p>
        </w:tc>
        <w:tc>
          <w:tcPr>
            <w:tcW w:w="4271" w:type="dxa"/>
          </w:tcPr>
          <w:p w:rsidR="0071101E" w:rsidRDefault="0071101E">
            <w:pPr>
              <w:tabs>
                <w:tab w:val="left" w:pos="794"/>
                <w:tab w:val="left" w:pos="1191"/>
                <w:tab w:val="left" w:pos="1588"/>
                <w:tab w:val="left" w:pos="1985"/>
              </w:tabs>
              <w:rPr>
                <w:sz w:val="20"/>
                <w:szCs w:val="20"/>
              </w:rPr>
            </w:pP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4.3.1</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 xml:space="preserve">Situations of </w:t>
            </w:r>
            <w:r>
              <w:rPr>
                <w:i/>
                <w:sz w:val="20"/>
                <w:szCs w:val="20"/>
              </w:rPr>
              <w:t>force majeure</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No proposals.</w:t>
            </w:r>
          </w:p>
        </w:tc>
        <w:tc>
          <w:tcPr>
            <w:tcW w:w="4271" w:type="dxa"/>
          </w:tcPr>
          <w:p w:rsidR="0071101E" w:rsidRDefault="00E136AE">
            <w:pPr>
              <w:tabs>
                <w:tab w:val="left" w:pos="794"/>
                <w:tab w:val="left" w:pos="1191"/>
                <w:tab w:val="left" w:pos="1588"/>
                <w:tab w:val="left" w:pos="1985"/>
              </w:tabs>
              <w:rPr>
                <w:sz w:val="20"/>
                <w:szCs w:val="20"/>
              </w:rPr>
            </w:pPr>
            <w:r>
              <w:rPr>
                <w:sz w:val="20"/>
                <w:szCs w:val="20"/>
              </w:rPr>
              <w:t>The RCC Administrations consider that the Board efficiently executes its authority when addressing requests from administrations in force majeure</w:t>
            </w:r>
            <w:r>
              <w:rPr>
                <w:i/>
                <w:sz w:val="20"/>
                <w:szCs w:val="20"/>
              </w:rPr>
              <w:t xml:space="preserve"> </w:t>
            </w:r>
            <w:r>
              <w:rPr>
                <w:sz w:val="20"/>
                <w:szCs w:val="20"/>
              </w:rPr>
              <w:t xml:space="preserve">situations, in this connection no decisions is required from WRC-19 on this issue. </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4.3.2</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 xml:space="preserve">Consideration of a satellite failure </w:t>
            </w:r>
            <w:r>
              <w:rPr>
                <w:sz w:val="20"/>
                <w:szCs w:val="20"/>
              </w:rPr>
              <w:lastRenderedPageBreak/>
              <w:t>during the ninety-day bringing into use period</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lastRenderedPageBreak/>
              <w:t>No proposals.</w:t>
            </w:r>
          </w:p>
        </w:tc>
        <w:tc>
          <w:tcPr>
            <w:tcW w:w="4271" w:type="dxa"/>
          </w:tcPr>
          <w:p w:rsidR="0071101E" w:rsidRDefault="00E136AE">
            <w:pPr>
              <w:tabs>
                <w:tab w:val="left" w:pos="794"/>
                <w:tab w:val="left" w:pos="1191"/>
                <w:tab w:val="left" w:pos="1588"/>
                <w:tab w:val="left" w:pos="1985"/>
              </w:tabs>
              <w:rPr>
                <w:sz w:val="20"/>
                <w:szCs w:val="20"/>
              </w:rPr>
            </w:pPr>
            <w:r>
              <w:rPr>
                <w:sz w:val="20"/>
                <w:szCs w:val="20"/>
              </w:rPr>
              <w:t xml:space="preserve">The RCC Administrations support existing </w:t>
            </w:r>
            <w:r>
              <w:rPr>
                <w:sz w:val="20"/>
                <w:szCs w:val="20"/>
              </w:rPr>
              <w:lastRenderedPageBreak/>
              <w:t xml:space="preserve">practice of addressing satellite failure issues during ninety-day bringing into use period on the basis of their compliance with the procedure criteria in the case of force majeure. </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lastRenderedPageBreak/>
              <w:t>4.3.3</w:t>
            </w:r>
          </w:p>
        </w:tc>
        <w:tc>
          <w:tcPr>
            <w:tcW w:w="3173" w:type="dxa"/>
            <w:shd w:val="clear" w:color="auto" w:fill="FFFFFF"/>
          </w:tcPr>
          <w:p w:rsidR="0071101E" w:rsidRDefault="00E136AE">
            <w:pPr>
              <w:keepNext/>
              <w:keepLines/>
              <w:tabs>
                <w:tab w:val="left" w:pos="0"/>
                <w:tab w:val="left" w:pos="1588"/>
                <w:tab w:val="left" w:pos="1985"/>
              </w:tabs>
              <w:spacing w:before="0"/>
              <w:jc w:val="both"/>
              <w:rPr>
                <w:sz w:val="20"/>
                <w:szCs w:val="20"/>
              </w:rPr>
            </w:pPr>
            <w:r>
              <w:rPr>
                <w:sz w:val="20"/>
                <w:szCs w:val="20"/>
              </w:rPr>
              <w:t xml:space="preserve">Extension of the regulatory time limit to bring back into use suspended frequency assignments in the case of force majeure </w:t>
            </w:r>
          </w:p>
          <w:p w:rsidR="0071101E" w:rsidRDefault="0071101E">
            <w:pPr>
              <w:tabs>
                <w:tab w:val="left" w:pos="794"/>
                <w:tab w:val="left" w:pos="1191"/>
                <w:tab w:val="left" w:pos="1588"/>
                <w:tab w:val="left" w:pos="1985"/>
              </w:tabs>
              <w:rPr>
                <w:sz w:val="20"/>
                <w:szCs w:val="20"/>
              </w:rPr>
            </w:pP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The Board recommends no modification to the suspension period in No. 11.49 to address an unexpected satellite failure recognizing that it can consider a request to extend this period if the case satisfies all the conditions for force majeure.</w:t>
            </w:r>
          </w:p>
        </w:tc>
        <w:tc>
          <w:tcPr>
            <w:tcW w:w="4271" w:type="dxa"/>
          </w:tcPr>
          <w:p w:rsidR="0071101E" w:rsidRDefault="00E136AE">
            <w:pPr>
              <w:tabs>
                <w:tab w:val="left" w:pos="794"/>
                <w:tab w:val="left" w:pos="1191"/>
                <w:tab w:val="left" w:pos="1588"/>
                <w:tab w:val="left" w:pos="1985"/>
              </w:tabs>
              <w:rPr>
                <w:sz w:val="20"/>
                <w:szCs w:val="20"/>
              </w:rPr>
            </w:pPr>
            <w:r>
              <w:rPr>
                <w:sz w:val="20"/>
                <w:szCs w:val="20"/>
              </w:rPr>
              <w:t xml:space="preserve">The RCC Administrations support the recommendation of the Board not to modify the suspension period in No. 11.49 to address unexpected satellite failure cases, taking into account that it can consider a request to extend this period if the case satisfies all the conditions for force majeure. </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4.3.4</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Situations of co-passenger delay</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The Board is inviting administrations to provide sufficient detail to justify the length of the requested extension period in order to avoid a request for further clarifications and delaying the treatment of the case.</w:t>
            </w:r>
          </w:p>
        </w:tc>
        <w:tc>
          <w:tcPr>
            <w:tcW w:w="4271" w:type="dxa"/>
          </w:tcPr>
          <w:p w:rsidR="0071101E" w:rsidRDefault="00E136AE">
            <w:pPr>
              <w:tabs>
                <w:tab w:val="left" w:pos="794"/>
                <w:tab w:val="left" w:pos="1191"/>
                <w:tab w:val="left" w:pos="1588"/>
                <w:tab w:val="left" w:pos="1985"/>
              </w:tabs>
              <w:rPr>
                <w:sz w:val="20"/>
                <w:szCs w:val="20"/>
              </w:rPr>
            </w:pPr>
            <w:r>
              <w:rPr>
                <w:sz w:val="20"/>
                <w:szCs w:val="20"/>
              </w:rPr>
              <w:t xml:space="preserve">The RCC Administrations support the Board’s recommendation to provide sufficient detail to justify the length of the requested extension period in order to avoid a request for further clarifications and delaying the treatment of the case. </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4.3.5</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Compliance with the regulatory time limits for space stations using electric propulsion</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The Board encourages administrations when using satellite energy-efficient propulsion systems to take into account the extra time needed for orbit raising to ensure compliance with the regulatory deadlines for bringing into use, or back into use, frequency assignments</w:t>
            </w:r>
          </w:p>
          <w:p w:rsidR="0071101E" w:rsidRDefault="0071101E">
            <w:pPr>
              <w:tabs>
                <w:tab w:val="left" w:pos="794"/>
                <w:tab w:val="left" w:pos="1191"/>
                <w:tab w:val="left" w:pos="1588"/>
                <w:tab w:val="left" w:pos="1985"/>
              </w:tabs>
              <w:jc w:val="both"/>
              <w:rPr>
                <w:sz w:val="20"/>
                <w:szCs w:val="20"/>
              </w:rPr>
            </w:pPr>
          </w:p>
        </w:tc>
        <w:tc>
          <w:tcPr>
            <w:tcW w:w="4271" w:type="dxa"/>
          </w:tcPr>
          <w:p w:rsidR="0071101E" w:rsidRDefault="00E136AE">
            <w:pPr>
              <w:tabs>
                <w:tab w:val="left" w:pos="794"/>
                <w:tab w:val="left" w:pos="1191"/>
                <w:tab w:val="left" w:pos="1588"/>
                <w:tab w:val="left" w:pos="1985"/>
              </w:tabs>
              <w:rPr>
                <w:sz w:val="20"/>
                <w:szCs w:val="20"/>
              </w:rPr>
            </w:pPr>
            <w:r>
              <w:rPr>
                <w:sz w:val="20"/>
                <w:szCs w:val="20"/>
              </w:rPr>
              <w:t xml:space="preserve">The RCC Administrations support the Board’s recommendations and considered it necessary to comply with the regulatory deadlines for bringing into use independently of the type of propulsion systems until the conclusion of the relevant studies by ITU-R. </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4.4</w:t>
            </w:r>
          </w:p>
        </w:tc>
        <w:tc>
          <w:tcPr>
            <w:tcW w:w="317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Requests for a transfer or change of the “notifying administration” from one to the other</w:t>
            </w: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The WRC may wish (1) to confirm the approach so far used by the Board or provide guidance for treating the change of notifying administration acting on behalf of an intergovernmental satellite telecommunication organization for a satellite network of that intergovernmental organization, to an administration acting on its own behalf; (2) to provide guidance on the circumstances, if any, whereby it would be acceptable to change the notifying administration, acting on its own behalf, of a satellite network or system to another notifying administration acting on its own behalf; (3) or to change the notifying administration acting on behalf of a group of named administrations which are not members of an intergovernmental satellite telecommunication organization to another administration of that group.</w:t>
            </w:r>
          </w:p>
        </w:tc>
        <w:tc>
          <w:tcPr>
            <w:tcW w:w="4271" w:type="dxa"/>
          </w:tcPr>
          <w:p w:rsidR="0071101E" w:rsidRDefault="00E136AE">
            <w:pPr>
              <w:tabs>
                <w:tab w:val="left" w:pos="794"/>
                <w:tab w:val="left" w:pos="1191"/>
                <w:tab w:val="left" w:pos="1588"/>
                <w:tab w:val="left" w:pos="1985"/>
              </w:tabs>
              <w:rPr>
                <w:sz w:val="20"/>
                <w:szCs w:val="20"/>
              </w:rPr>
            </w:pPr>
            <w:r>
              <w:rPr>
                <w:sz w:val="20"/>
                <w:szCs w:val="20"/>
              </w:rPr>
              <w:t>1. The RCC Administrations support an approach so far used by the Board in addressing the change of notifying administration acting on behalf of an intergovernmental satellite telecommunication organization for a satellite network of that intergovernmental organization, to an administration acting on its own behalf.</w:t>
            </w:r>
          </w:p>
          <w:p w:rsidR="0071101E" w:rsidRDefault="00E136AE">
            <w:pPr>
              <w:tabs>
                <w:tab w:val="left" w:pos="794"/>
                <w:tab w:val="left" w:pos="1191"/>
                <w:tab w:val="left" w:pos="1588"/>
                <w:tab w:val="left" w:pos="1985"/>
              </w:tabs>
              <w:rPr>
                <w:sz w:val="20"/>
                <w:szCs w:val="20"/>
              </w:rPr>
            </w:pPr>
            <w:r>
              <w:rPr>
                <w:sz w:val="20"/>
                <w:szCs w:val="20"/>
              </w:rPr>
              <w:t>2. The RCC Administrations deemed it unacceptable to change the notifying administration, acting on its own behalf, of a satellite network or system to another notifying administration acting on its own behalf.</w:t>
            </w:r>
          </w:p>
          <w:p w:rsidR="0071101E" w:rsidRDefault="00E136AE">
            <w:pPr>
              <w:tabs>
                <w:tab w:val="left" w:pos="794"/>
                <w:tab w:val="left" w:pos="1191"/>
                <w:tab w:val="left" w:pos="1588"/>
                <w:tab w:val="left" w:pos="1985"/>
              </w:tabs>
              <w:rPr>
                <w:sz w:val="20"/>
                <w:szCs w:val="20"/>
              </w:rPr>
            </w:pPr>
            <w:r>
              <w:rPr>
                <w:sz w:val="20"/>
                <w:szCs w:val="20"/>
              </w:rPr>
              <w:t xml:space="preserve">3. The RCC Administration are of the view that when changing the notifying administration acting </w:t>
            </w:r>
            <w:r>
              <w:rPr>
                <w:sz w:val="20"/>
                <w:szCs w:val="20"/>
              </w:rPr>
              <w:lastRenderedPageBreak/>
              <w:t>on behalf of a group of named administrations which are not members of an intergovernmental satellite telecommunication organization to another administration of that group, risk arises to transfer satellite network from an administration to another one, in the event of subsequent exclusion of administrations from the group of named administrations. In this connection the RCC Administrations oppose to this practice.</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spacing w:before="0"/>
              <w:rPr>
                <w:sz w:val="20"/>
                <w:szCs w:val="20"/>
              </w:rPr>
            </w:pPr>
            <w:r>
              <w:rPr>
                <w:sz w:val="20"/>
                <w:szCs w:val="20"/>
              </w:rPr>
              <w:lastRenderedPageBreak/>
              <w:t>4.5</w:t>
            </w:r>
          </w:p>
        </w:tc>
        <w:tc>
          <w:tcPr>
            <w:tcW w:w="3173" w:type="dxa"/>
            <w:shd w:val="clear" w:color="auto" w:fill="FFFFFF"/>
          </w:tcPr>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Interpretation of the definition of</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“satellite network” in RR No. 1.112 and</w:t>
            </w:r>
          </w:p>
          <w:p w:rsidR="0071101E" w:rsidRDefault="00E136AE">
            <w:pPr>
              <w:keepNext/>
              <w:keepLines/>
              <w:tabs>
                <w:tab w:val="left" w:pos="794"/>
                <w:tab w:val="left" w:pos="1191"/>
                <w:tab w:val="left" w:pos="1588"/>
                <w:tab w:val="left" w:pos="1985"/>
              </w:tabs>
              <w:spacing w:before="0"/>
              <w:ind w:left="794" w:hanging="794"/>
              <w:jc w:val="both"/>
              <w:rPr>
                <w:sz w:val="20"/>
                <w:szCs w:val="20"/>
              </w:rPr>
            </w:pPr>
            <w:proofErr w:type="spellStart"/>
            <w:r>
              <w:rPr>
                <w:sz w:val="20"/>
                <w:szCs w:val="20"/>
              </w:rPr>
              <w:t>RoP</w:t>
            </w:r>
            <w:proofErr w:type="spellEnd"/>
            <w:r>
              <w:rPr>
                <w:sz w:val="20"/>
                <w:szCs w:val="20"/>
              </w:rPr>
              <w:t xml:space="preserve"> No. 1.112.</w:t>
            </w:r>
          </w:p>
          <w:p w:rsidR="0071101E" w:rsidRDefault="0071101E">
            <w:pPr>
              <w:tabs>
                <w:tab w:val="left" w:pos="794"/>
                <w:tab w:val="left" w:pos="1191"/>
                <w:tab w:val="left" w:pos="1588"/>
                <w:tab w:val="left" w:pos="1985"/>
              </w:tabs>
              <w:spacing w:before="0"/>
              <w:rPr>
                <w:sz w:val="20"/>
                <w:szCs w:val="20"/>
              </w:rPr>
            </w:pPr>
          </w:p>
        </w:tc>
        <w:tc>
          <w:tcPr>
            <w:tcW w:w="6804" w:type="dxa"/>
            <w:shd w:val="clear" w:color="auto" w:fill="FFFFFF"/>
          </w:tcPr>
          <w:p w:rsidR="0071101E" w:rsidRDefault="00E136AE">
            <w:pPr>
              <w:spacing w:before="0" w:after="120"/>
              <w:jc w:val="both"/>
              <w:rPr>
                <w:i/>
                <w:sz w:val="20"/>
                <w:szCs w:val="20"/>
              </w:rPr>
            </w:pPr>
            <w:r>
              <w:rPr>
                <w:i/>
                <w:sz w:val="20"/>
                <w:szCs w:val="20"/>
              </w:rPr>
              <w:t xml:space="preserve">Table A in Annex 2 of Appendix </w:t>
            </w:r>
            <w:r>
              <w:rPr>
                <w:b/>
                <w:i/>
                <w:sz w:val="20"/>
                <w:szCs w:val="20"/>
              </w:rPr>
              <w:t>4</w:t>
            </w:r>
            <w:r>
              <w:rPr>
                <w:i/>
                <w:sz w:val="20"/>
                <w:szCs w:val="20"/>
              </w:rPr>
              <w:t xml:space="preserve"> provides the general characteristics of the satellite network, earth station or radio astronomy stations, wherein Section A.4.b provides the list of characteristics for space station(s) on board non-geostationary satellite(s)(non-GSO). However, Table A indicates that in filing a notice for a non-GSO satellite network, the information to be provided includes the number of orbital planes, the number of satellites per orbital plane, etc. This is inconsistent with RR No. </w:t>
            </w:r>
            <w:r>
              <w:rPr>
                <w:b/>
                <w:i/>
                <w:sz w:val="20"/>
                <w:szCs w:val="20"/>
              </w:rPr>
              <w:t>1.112</w:t>
            </w:r>
            <w:r>
              <w:rPr>
                <w:i/>
                <w:sz w:val="20"/>
                <w:szCs w:val="20"/>
              </w:rPr>
              <w:t xml:space="preserve"> which says that a satellite network consists of only one satellite and its cooperating earth stations.</w:t>
            </w:r>
          </w:p>
          <w:p w:rsidR="0071101E" w:rsidRDefault="00E136AE">
            <w:pPr>
              <w:tabs>
                <w:tab w:val="left" w:pos="794"/>
                <w:tab w:val="left" w:pos="1191"/>
                <w:tab w:val="left" w:pos="1588"/>
                <w:tab w:val="left" w:pos="1985"/>
              </w:tabs>
              <w:spacing w:before="0"/>
              <w:jc w:val="both"/>
              <w:rPr>
                <w:sz w:val="20"/>
                <w:szCs w:val="20"/>
              </w:rPr>
            </w:pPr>
            <w:r>
              <w:rPr>
                <w:sz w:val="20"/>
                <w:szCs w:val="20"/>
              </w:rPr>
              <w:t>This or a future WRC may wish to consider how to resolve the inherent inconsistencies between RR No. 1.112 on the definition of “satellite network” and related provisions of Appendix 4 of the Radio Regulations.</w:t>
            </w:r>
          </w:p>
        </w:tc>
        <w:tc>
          <w:tcPr>
            <w:tcW w:w="4271" w:type="dxa"/>
          </w:tcPr>
          <w:p w:rsidR="0071101E" w:rsidRDefault="00E136AE">
            <w:pPr>
              <w:tabs>
                <w:tab w:val="left" w:pos="794"/>
                <w:tab w:val="left" w:pos="1191"/>
                <w:tab w:val="left" w:pos="1588"/>
                <w:tab w:val="left" w:pos="1985"/>
              </w:tabs>
              <w:spacing w:before="0"/>
              <w:rPr>
                <w:sz w:val="20"/>
                <w:szCs w:val="20"/>
              </w:rPr>
            </w:pPr>
            <w:r>
              <w:rPr>
                <w:sz w:val="20"/>
                <w:szCs w:val="20"/>
              </w:rPr>
              <w:t>The RCC Administrations support elimination of inconsistencies in interpretation of the definition of “satellite network”.</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spacing w:before="0"/>
              <w:rPr>
                <w:sz w:val="20"/>
                <w:szCs w:val="20"/>
              </w:rPr>
            </w:pPr>
            <w:r>
              <w:rPr>
                <w:sz w:val="20"/>
                <w:szCs w:val="20"/>
              </w:rPr>
              <w:t>4.6</w:t>
            </w:r>
          </w:p>
        </w:tc>
        <w:tc>
          <w:tcPr>
            <w:tcW w:w="3173" w:type="dxa"/>
            <w:shd w:val="clear" w:color="auto" w:fill="FFFFFF"/>
          </w:tcPr>
          <w:p w:rsidR="0071101E" w:rsidRDefault="00E136AE">
            <w:pPr>
              <w:keepNext/>
              <w:keepLines/>
              <w:tabs>
                <w:tab w:val="left" w:pos="794"/>
                <w:tab w:val="left" w:pos="1191"/>
                <w:tab w:val="left" w:pos="1588"/>
                <w:tab w:val="left" w:pos="1985"/>
              </w:tabs>
              <w:spacing w:before="0"/>
              <w:ind w:left="794" w:hanging="794"/>
              <w:jc w:val="both"/>
              <w:rPr>
                <w:sz w:val="20"/>
                <w:szCs w:val="20"/>
              </w:rPr>
            </w:pPr>
            <w:proofErr w:type="spellStart"/>
            <w:r>
              <w:rPr>
                <w:sz w:val="20"/>
                <w:szCs w:val="20"/>
              </w:rPr>
              <w:t>Receivability</w:t>
            </w:r>
            <w:proofErr w:type="spellEnd"/>
            <w:r>
              <w:rPr>
                <w:sz w:val="20"/>
                <w:szCs w:val="20"/>
              </w:rPr>
              <w:t xml:space="preserve"> of requests for</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coordination or notification of satellite</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networks prior to the entry into force of</w:t>
            </w:r>
          </w:p>
          <w:p w:rsidR="0071101E" w:rsidRDefault="00E136AE">
            <w:pPr>
              <w:keepNext/>
              <w:keepLines/>
              <w:tabs>
                <w:tab w:val="left" w:pos="794"/>
                <w:tab w:val="left" w:pos="1191"/>
                <w:tab w:val="left" w:pos="1588"/>
                <w:tab w:val="left" w:pos="1985"/>
              </w:tabs>
              <w:spacing w:before="0"/>
              <w:ind w:left="794" w:hanging="794"/>
              <w:jc w:val="both"/>
              <w:rPr>
                <w:sz w:val="20"/>
                <w:szCs w:val="20"/>
              </w:rPr>
            </w:pPr>
            <w:r>
              <w:rPr>
                <w:sz w:val="20"/>
                <w:szCs w:val="20"/>
              </w:rPr>
              <w:t>WRC decisions</w:t>
            </w:r>
          </w:p>
          <w:p w:rsidR="0071101E" w:rsidRDefault="0071101E">
            <w:pPr>
              <w:tabs>
                <w:tab w:val="left" w:pos="794"/>
                <w:tab w:val="left" w:pos="1191"/>
                <w:tab w:val="left" w:pos="1588"/>
                <w:tab w:val="left" w:pos="1985"/>
              </w:tabs>
              <w:spacing w:before="0"/>
              <w:rPr>
                <w:sz w:val="20"/>
                <w:szCs w:val="20"/>
              </w:rPr>
            </w:pPr>
          </w:p>
        </w:tc>
        <w:tc>
          <w:tcPr>
            <w:tcW w:w="6804" w:type="dxa"/>
            <w:shd w:val="clear" w:color="auto" w:fill="FFFFFF"/>
          </w:tcPr>
          <w:p w:rsidR="0071101E" w:rsidRDefault="00E136AE">
            <w:pPr>
              <w:jc w:val="both"/>
              <w:rPr>
                <w:i/>
                <w:sz w:val="20"/>
                <w:szCs w:val="20"/>
              </w:rPr>
            </w:pPr>
            <w:r>
              <w:rPr>
                <w:i/>
                <w:sz w:val="20"/>
                <w:szCs w:val="20"/>
              </w:rPr>
              <w:t xml:space="preserve">The WRC-15 instructed the Board to undertake a detailed study of the question of the </w:t>
            </w:r>
            <w:proofErr w:type="spellStart"/>
            <w:r>
              <w:rPr>
                <w:i/>
                <w:sz w:val="20"/>
                <w:szCs w:val="20"/>
              </w:rPr>
              <w:t>receivability</w:t>
            </w:r>
            <w:proofErr w:type="spellEnd"/>
            <w:r>
              <w:rPr>
                <w:i/>
                <w:sz w:val="20"/>
                <w:szCs w:val="20"/>
              </w:rPr>
              <w:t xml:space="preserve"> of coordination requests for the new FSS allocation in the band 13.4-13.65 GHz prior to the date when the allocation enters into force. In the Bureau’s submission to the Board, they noted that this issue was not unique to the new FSS allocation and that there were numerous new allocations that would be affected by a decision to depart from the current practice, which would be for the Bureau to grant “qualified favourable” findings to coordination requests (CR/Cs) that are received prior to the entry into force of the new allocation. </w:t>
            </w:r>
          </w:p>
          <w:p w:rsidR="0071101E" w:rsidRDefault="00E136AE">
            <w:pPr>
              <w:tabs>
                <w:tab w:val="left" w:pos="794"/>
                <w:tab w:val="left" w:pos="1191"/>
                <w:tab w:val="left" w:pos="1588"/>
                <w:tab w:val="left" w:pos="1985"/>
              </w:tabs>
              <w:jc w:val="both"/>
            </w:pPr>
            <w:r>
              <w:rPr>
                <w:i/>
                <w:sz w:val="20"/>
                <w:szCs w:val="20"/>
              </w:rPr>
              <w:t xml:space="preserve">The Board found that the current practice was fully consistent with the Radio Regulations and should be both retained and codified. The Bureau developed and circulated this draft </w:t>
            </w:r>
            <w:proofErr w:type="spellStart"/>
            <w:r>
              <w:rPr>
                <w:i/>
                <w:sz w:val="20"/>
                <w:szCs w:val="20"/>
              </w:rPr>
              <w:t>RoP</w:t>
            </w:r>
            <w:proofErr w:type="spellEnd"/>
            <w:r>
              <w:rPr>
                <w:i/>
                <w:sz w:val="20"/>
                <w:szCs w:val="20"/>
              </w:rPr>
              <w:t xml:space="preserve"> in CCRR/55. The Board adopted the draft Rule of procedure as distributed in Circular Letter. The Board decided on that this </w:t>
            </w:r>
            <w:proofErr w:type="spellStart"/>
            <w:r>
              <w:rPr>
                <w:i/>
                <w:sz w:val="20"/>
                <w:szCs w:val="20"/>
              </w:rPr>
              <w:t>RoP</w:t>
            </w:r>
            <w:proofErr w:type="spellEnd"/>
            <w:r>
              <w:rPr>
                <w:i/>
                <w:sz w:val="20"/>
                <w:szCs w:val="20"/>
              </w:rPr>
              <w:t xml:space="preserve"> would have an effective date of application of 28 November</w:t>
            </w:r>
            <w:r>
              <w:t xml:space="preserve"> </w:t>
            </w:r>
            <w:r>
              <w:rPr>
                <w:sz w:val="20"/>
                <w:szCs w:val="20"/>
              </w:rPr>
              <w:t>2015</w:t>
            </w:r>
            <w:r>
              <w:t>.</w:t>
            </w:r>
          </w:p>
          <w:p w:rsidR="0071101E" w:rsidRDefault="00E136AE">
            <w:pPr>
              <w:tabs>
                <w:tab w:val="left" w:pos="794"/>
                <w:tab w:val="left" w:pos="1191"/>
                <w:tab w:val="left" w:pos="1588"/>
                <w:tab w:val="left" w:pos="1985"/>
              </w:tabs>
              <w:spacing w:before="0"/>
              <w:jc w:val="both"/>
              <w:rPr>
                <w:sz w:val="20"/>
                <w:szCs w:val="20"/>
              </w:rPr>
            </w:pPr>
            <w:r>
              <w:rPr>
                <w:sz w:val="20"/>
                <w:szCs w:val="20"/>
              </w:rPr>
              <w:t>No proposals.</w:t>
            </w:r>
          </w:p>
        </w:tc>
        <w:tc>
          <w:tcPr>
            <w:tcW w:w="4271" w:type="dxa"/>
          </w:tcPr>
          <w:p w:rsidR="0071101E" w:rsidRDefault="00E136AE">
            <w:pPr>
              <w:tabs>
                <w:tab w:val="left" w:pos="794"/>
                <w:tab w:val="left" w:pos="1191"/>
                <w:tab w:val="left" w:pos="1588"/>
                <w:tab w:val="left" w:pos="1985"/>
              </w:tabs>
              <w:spacing w:before="0"/>
              <w:rPr>
                <w:sz w:val="20"/>
                <w:szCs w:val="20"/>
              </w:rPr>
            </w:pPr>
            <w:r>
              <w:rPr>
                <w:sz w:val="20"/>
                <w:szCs w:val="20"/>
              </w:rPr>
              <w:t>The RCC Administrations support existing procedures.</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t>4.7</w:t>
            </w:r>
          </w:p>
        </w:tc>
        <w:tc>
          <w:tcPr>
            <w:tcW w:w="3173" w:type="dxa"/>
            <w:shd w:val="clear" w:color="auto" w:fill="FFFFFF"/>
          </w:tcPr>
          <w:p w:rsidR="0071101E" w:rsidRDefault="00E136AE">
            <w:pPr>
              <w:keepNext/>
              <w:keepLines/>
              <w:tabs>
                <w:tab w:val="left" w:pos="794"/>
                <w:tab w:val="left" w:pos="1191"/>
                <w:tab w:val="left" w:pos="1588"/>
                <w:tab w:val="left" w:pos="1985"/>
              </w:tabs>
              <w:spacing w:before="240"/>
              <w:ind w:left="794" w:hanging="794"/>
              <w:jc w:val="both"/>
              <w:rPr>
                <w:sz w:val="20"/>
                <w:szCs w:val="20"/>
              </w:rPr>
            </w:pPr>
            <w:r>
              <w:rPr>
                <w:sz w:val="20"/>
                <w:szCs w:val="20"/>
              </w:rPr>
              <w:t>The Application of RR No. 13.6</w:t>
            </w:r>
          </w:p>
          <w:p w:rsidR="0071101E" w:rsidRDefault="0071101E">
            <w:pPr>
              <w:tabs>
                <w:tab w:val="left" w:pos="794"/>
                <w:tab w:val="left" w:pos="1191"/>
                <w:tab w:val="left" w:pos="1588"/>
                <w:tab w:val="left" w:pos="1985"/>
              </w:tabs>
              <w:jc w:val="both"/>
              <w:rPr>
                <w:sz w:val="20"/>
                <w:szCs w:val="20"/>
              </w:rPr>
            </w:pPr>
          </w:p>
        </w:tc>
        <w:tc>
          <w:tcPr>
            <w:tcW w:w="6804" w:type="dxa"/>
            <w:shd w:val="clear" w:color="auto" w:fill="FFFFFF"/>
          </w:tcPr>
          <w:p w:rsidR="0071101E" w:rsidRDefault="00E136AE">
            <w:pPr>
              <w:tabs>
                <w:tab w:val="left" w:pos="794"/>
                <w:tab w:val="left" w:pos="1191"/>
                <w:tab w:val="left" w:pos="1588"/>
                <w:tab w:val="left" w:pos="1985"/>
              </w:tabs>
              <w:jc w:val="both"/>
              <w:rPr>
                <w:sz w:val="20"/>
                <w:szCs w:val="20"/>
              </w:rPr>
            </w:pPr>
            <w:r>
              <w:rPr>
                <w:sz w:val="20"/>
                <w:szCs w:val="20"/>
              </w:rPr>
              <w:t>While RR No. 13.6 is quite explicit about how it is to be implemented, the Conference may wish to issue guidelines on how far back in time it should investigate.</w:t>
            </w:r>
          </w:p>
        </w:tc>
        <w:tc>
          <w:tcPr>
            <w:tcW w:w="4271" w:type="dxa"/>
          </w:tcPr>
          <w:p w:rsidR="0071101E" w:rsidRDefault="00E136AE">
            <w:pPr>
              <w:tabs>
                <w:tab w:val="left" w:pos="794"/>
                <w:tab w:val="left" w:pos="1191"/>
                <w:tab w:val="left" w:pos="1588"/>
                <w:tab w:val="left" w:pos="1985"/>
              </w:tabs>
              <w:rPr>
                <w:sz w:val="20"/>
                <w:szCs w:val="20"/>
              </w:rPr>
            </w:pPr>
            <w:r>
              <w:rPr>
                <w:sz w:val="20"/>
                <w:szCs w:val="20"/>
              </w:rPr>
              <w:t xml:space="preserve">The RCC Administrations are of the view the limitation is necessary for how far back in time the RR No. 13.6 should be applied following the request of an administration by the period during </w:t>
            </w:r>
            <w:r>
              <w:rPr>
                <w:sz w:val="20"/>
                <w:szCs w:val="20"/>
              </w:rPr>
              <w:lastRenderedPageBreak/>
              <w:t>which administrations may not notify the Bureau on the suspension of the use of the frequency assignments according to the six-month period, specified in RR No. 11.49. Provided that the majority of systems have already been verified by the Bureau in bringing them into use.</w:t>
            </w:r>
          </w:p>
        </w:tc>
      </w:tr>
      <w:tr w:rsidR="0071101E">
        <w:trPr>
          <w:jc w:val="center"/>
        </w:trPr>
        <w:tc>
          <w:tcPr>
            <w:tcW w:w="993" w:type="dxa"/>
            <w:shd w:val="clear" w:color="auto" w:fill="FFFFFF"/>
          </w:tcPr>
          <w:p w:rsidR="0071101E" w:rsidRDefault="00E136AE">
            <w:pPr>
              <w:tabs>
                <w:tab w:val="left" w:pos="794"/>
                <w:tab w:val="left" w:pos="1191"/>
                <w:tab w:val="left" w:pos="1588"/>
                <w:tab w:val="left" w:pos="1985"/>
              </w:tabs>
              <w:rPr>
                <w:sz w:val="20"/>
                <w:szCs w:val="20"/>
              </w:rPr>
            </w:pPr>
            <w:r>
              <w:rPr>
                <w:sz w:val="20"/>
                <w:szCs w:val="20"/>
              </w:rPr>
              <w:lastRenderedPageBreak/>
              <w:t>4.8</w:t>
            </w:r>
          </w:p>
        </w:tc>
        <w:tc>
          <w:tcPr>
            <w:tcW w:w="3173" w:type="dxa"/>
            <w:shd w:val="clear" w:color="auto" w:fill="FFFFFF"/>
          </w:tcPr>
          <w:p w:rsidR="0071101E" w:rsidRDefault="00E136AE">
            <w:pPr>
              <w:keepNext/>
              <w:keepLines/>
              <w:tabs>
                <w:tab w:val="left" w:pos="794"/>
                <w:tab w:val="left" w:pos="1191"/>
                <w:tab w:val="left" w:pos="1588"/>
                <w:tab w:val="left" w:pos="1985"/>
              </w:tabs>
              <w:spacing w:before="240"/>
              <w:ind w:left="794" w:hanging="794"/>
              <w:rPr>
                <w:sz w:val="20"/>
                <w:szCs w:val="20"/>
              </w:rPr>
            </w:pPr>
            <w:r>
              <w:rPr>
                <w:sz w:val="20"/>
                <w:szCs w:val="20"/>
              </w:rPr>
              <w:t>Application of CS Article 48</w:t>
            </w:r>
          </w:p>
          <w:p w:rsidR="0071101E" w:rsidRDefault="0071101E">
            <w:pPr>
              <w:tabs>
                <w:tab w:val="left" w:pos="794"/>
                <w:tab w:val="left" w:pos="1191"/>
                <w:tab w:val="left" w:pos="1588"/>
                <w:tab w:val="left" w:pos="1985"/>
              </w:tabs>
              <w:jc w:val="both"/>
              <w:rPr>
                <w:sz w:val="20"/>
                <w:szCs w:val="20"/>
              </w:rPr>
            </w:pPr>
          </w:p>
        </w:tc>
        <w:tc>
          <w:tcPr>
            <w:tcW w:w="6804" w:type="dxa"/>
            <w:shd w:val="clear" w:color="auto" w:fill="FFFFFF"/>
          </w:tcPr>
          <w:p w:rsidR="0071101E" w:rsidRDefault="00E136AE">
            <w:pPr>
              <w:tabs>
                <w:tab w:val="left" w:pos="794"/>
                <w:tab w:val="left" w:pos="1191"/>
                <w:tab w:val="left" w:pos="1588"/>
                <w:tab w:val="left" w:pos="1985"/>
              </w:tabs>
              <w:spacing w:after="120"/>
              <w:jc w:val="both"/>
              <w:rPr>
                <w:i/>
                <w:sz w:val="20"/>
                <w:szCs w:val="20"/>
              </w:rPr>
            </w:pPr>
            <w:bookmarkStart w:id="37" w:name="_1hmsyys" w:colFirst="0" w:colLast="0"/>
            <w:bookmarkEnd w:id="37"/>
            <w:r>
              <w:rPr>
                <w:i/>
                <w:sz w:val="20"/>
                <w:szCs w:val="20"/>
              </w:rPr>
              <w:t>Considering the legitimate sensitivity of matters related to national defence, the Board recognizes that once administrations have invoked CS Article 48 explicitly, information to confirm as to whether the assignment was brought into use or brought back into use in accordance with the notified characteristics or continues to be in use in accordance with the notified characteristics of an entry in the MIFR can no longer be requested by the Bureau. However, the Board considers that it is within its mandate to discuss how it should be applied, to provide clarity to administrations and avoid abuse in its application. The Board seeks further clarifications from WRC-19 on the scope of its mandate and the framework it could use to address cases under CS Article 48.</w:t>
            </w:r>
          </w:p>
          <w:p w:rsidR="0071101E" w:rsidRDefault="00E136AE">
            <w:pPr>
              <w:tabs>
                <w:tab w:val="left" w:pos="794"/>
                <w:tab w:val="left" w:pos="1191"/>
                <w:tab w:val="left" w:pos="1588"/>
                <w:tab w:val="left" w:pos="1985"/>
              </w:tabs>
              <w:jc w:val="both"/>
              <w:rPr>
                <w:sz w:val="20"/>
                <w:szCs w:val="20"/>
              </w:rPr>
            </w:pPr>
            <w:r>
              <w:rPr>
                <w:sz w:val="20"/>
                <w:szCs w:val="20"/>
              </w:rPr>
              <w:t>WRC-19 is invited to provide further guidance on the scope of Board’s mandate and the framework it could use to address cases under CS Article 48.</w:t>
            </w:r>
          </w:p>
        </w:tc>
        <w:tc>
          <w:tcPr>
            <w:tcW w:w="4271" w:type="dxa"/>
          </w:tcPr>
          <w:p w:rsidR="0071101E" w:rsidRDefault="00E136AE">
            <w:pPr>
              <w:tabs>
                <w:tab w:val="left" w:pos="794"/>
                <w:tab w:val="left" w:pos="1191"/>
                <w:tab w:val="left" w:pos="1588"/>
                <w:tab w:val="left" w:pos="1985"/>
              </w:tabs>
              <w:rPr>
                <w:sz w:val="20"/>
                <w:szCs w:val="20"/>
              </w:rPr>
            </w:pPr>
            <w:r>
              <w:rPr>
                <w:sz w:val="20"/>
                <w:szCs w:val="20"/>
              </w:rPr>
              <w:t>The RCC Administrations are of the view that with regard to the issue of application of CS Article 48 provisions the Board should be guided by the specifically indicated article of the Constitution.</w:t>
            </w:r>
          </w:p>
        </w:tc>
      </w:tr>
    </w:tbl>
    <w:p w:rsidR="0071101E" w:rsidRDefault="0071101E">
      <w:pPr>
        <w:tabs>
          <w:tab w:val="left" w:pos="794"/>
          <w:tab w:val="left" w:pos="1191"/>
          <w:tab w:val="left" w:pos="1588"/>
          <w:tab w:val="left" w:pos="1985"/>
        </w:tabs>
        <w:jc w:val="center"/>
        <w:rPr>
          <w:sz w:val="22"/>
          <w:szCs w:val="22"/>
        </w:rPr>
      </w:pPr>
    </w:p>
    <w:p w:rsidR="0071101E" w:rsidRDefault="00E136AE">
      <w:pPr>
        <w:tabs>
          <w:tab w:val="left" w:pos="794"/>
          <w:tab w:val="left" w:pos="1191"/>
          <w:tab w:val="left" w:pos="1588"/>
          <w:tab w:val="left" w:pos="1985"/>
        </w:tabs>
        <w:jc w:val="center"/>
      </w:pPr>
      <w:r>
        <w:rPr>
          <w:b/>
          <w:sz w:val="22"/>
          <w:szCs w:val="22"/>
        </w:rPr>
        <w:t>_______________________________</w:t>
      </w:r>
    </w:p>
    <w:sectPr w:rsidR="0071101E">
      <w:type w:val="continuous"/>
      <w:pgSz w:w="16834" w:h="11907"/>
      <w:pgMar w:top="1134" w:right="1418" w:bottom="1134" w:left="141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75" w:rsidRDefault="00B53A75">
      <w:pPr>
        <w:spacing w:before="0"/>
      </w:pPr>
      <w:r>
        <w:separator/>
      </w:r>
    </w:p>
  </w:endnote>
  <w:endnote w:type="continuationSeparator" w:id="0">
    <w:p w:rsidR="00B53A75" w:rsidRDefault="00B53A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75" w:rsidRDefault="00B53A75">
      <w:pPr>
        <w:spacing w:before="0"/>
      </w:pPr>
      <w:r>
        <w:separator/>
      </w:r>
    </w:p>
  </w:footnote>
  <w:footnote w:type="continuationSeparator" w:id="0">
    <w:p w:rsidR="00B53A75" w:rsidRDefault="00B53A7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1E" w:rsidRDefault="00E136AE">
    <w:pPr>
      <w:spacing w:before="720"/>
      <w:jc w:val="center"/>
      <w:rPr>
        <w:sz w:val="18"/>
        <w:szCs w:val="18"/>
      </w:rPr>
    </w:pPr>
    <w:r>
      <w:rPr>
        <w:sz w:val="18"/>
        <w:szCs w:val="18"/>
      </w:rPr>
      <w:t xml:space="preserve">- </w:t>
    </w:r>
    <w:r>
      <w:rPr>
        <w:sz w:val="18"/>
        <w:szCs w:val="18"/>
      </w:rPr>
      <w:fldChar w:fldCharType="begin"/>
    </w:r>
    <w:r>
      <w:rPr>
        <w:sz w:val="18"/>
        <w:szCs w:val="18"/>
      </w:rPr>
      <w:instrText>PAGE</w:instrText>
    </w:r>
    <w:r>
      <w:rPr>
        <w:sz w:val="18"/>
        <w:szCs w:val="18"/>
      </w:rPr>
      <w:fldChar w:fldCharType="separate"/>
    </w:r>
    <w:r w:rsidR="005B37D6">
      <w:rPr>
        <w:noProof/>
        <w:sz w:val="18"/>
        <w:szCs w:val="18"/>
      </w:rPr>
      <w:t>21</w:t>
    </w:r>
    <w:r>
      <w:rPr>
        <w:sz w:val="18"/>
        <w:szCs w:val="18"/>
      </w:rPr>
      <w:fldChar w:fldCharType="end"/>
    </w:r>
    <w:r>
      <w:rPr>
        <w:sz w:val="18"/>
        <w:szCs w:val="18"/>
      </w:rPr>
      <w:t xml:space="preserve"> -</w:t>
    </w:r>
  </w:p>
  <w:p w:rsidR="0071101E" w:rsidRDefault="00E136AE">
    <w:pPr>
      <w:spacing w:before="0"/>
      <w:jc w:val="center"/>
      <w:rPr>
        <w:b/>
        <w:i/>
        <w:sz w:val="18"/>
        <w:szCs w:val="18"/>
      </w:rPr>
    </w:pPr>
    <w:proofErr w:type="gramStart"/>
    <w:r>
      <w:rPr>
        <w:b/>
        <w:i/>
        <w:sz w:val="18"/>
        <w:szCs w:val="18"/>
      </w:rPr>
      <w:t>version</w:t>
    </w:r>
    <w:proofErr w:type="gramEnd"/>
    <w:r>
      <w:rPr>
        <w:b/>
        <w:i/>
        <w:sz w:val="18"/>
        <w:szCs w:val="18"/>
      </w:rPr>
      <w:t xml:space="preserve"> of September 12, 2019</w:t>
    </w:r>
  </w:p>
  <w:p w:rsidR="0071101E" w:rsidRDefault="0071101E">
    <w:pPr>
      <w:spacing w:before="0"/>
      <w:jc w:val="center"/>
      <w:rPr>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60783"/>
    <w:multiLevelType w:val="multilevel"/>
    <w:tmpl w:val="D4820CFE"/>
    <w:lvl w:ilvl="0">
      <w:start w:val="4"/>
      <w:numFmt w:val="bullet"/>
      <w:lvlText w:val="-"/>
      <w:lvlJc w:val="left"/>
      <w:pPr>
        <w:ind w:left="1154" w:firstLine="794"/>
      </w:pPr>
      <w:rPr>
        <w:rFonts w:ascii="Arial" w:eastAsia="Arial" w:hAnsi="Arial" w:cs="Arial"/>
      </w:rPr>
    </w:lvl>
    <w:lvl w:ilvl="1">
      <w:start w:val="1"/>
      <w:numFmt w:val="bullet"/>
      <w:lvlText w:val="o"/>
      <w:lvlJc w:val="left"/>
      <w:pPr>
        <w:ind w:left="1874" w:firstLine="1514"/>
      </w:pPr>
      <w:rPr>
        <w:rFonts w:ascii="Arial" w:eastAsia="Arial" w:hAnsi="Arial" w:cs="Arial"/>
      </w:rPr>
    </w:lvl>
    <w:lvl w:ilvl="2">
      <w:start w:val="1"/>
      <w:numFmt w:val="bullet"/>
      <w:lvlText w:val="▪"/>
      <w:lvlJc w:val="left"/>
      <w:pPr>
        <w:ind w:left="2594" w:firstLine="2234"/>
      </w:pPr>
      <w:rPr>
        <w:rFonts w:ascii="Arial" w:eastAsia="Arial" w:hAnsi="Arial" w:cs="Arial"/>
      </w:rPr>
    </w:lvl>
    <w:lvl w:ilvl="3">
      <w:start w:val="1"/>
      <w:numFmt w:val="bullet"/>
      <w:lvlText w:val="●"/>
      <w:lvlJc w:val="left"/>
      <w:pPr>
        <w:ind w:left="3314" w:firstLine="2954"/>
      </w:pPr>
      <w:rPr>
        <w:rFonts w:ascii="Arial" w:eastAsia="Arial" w:hAnsi="Arial" w:cs="Arial"/>
      </w:rPr>
    </w:lvl>
    <w:lvl w:ilvl="4">
      <w:start w:val="1"/>
      <w:numFmt w:val="bullet"/>
      <w:lvlText w:val="o"/>
      <w:lvlJc w:val="left"/>
      <w:pPr>
        <w:ind w:left="4034" w:firstLine="3674"/>
      </w:pPr>
      <w:rPr>
        <w:rFonts w:ascii="Arial" w:eastAsia="Arial" w:hAnsi="Arial" w:cs="Arial"/>
      </w:rPr>
    </w:lvl>
    <w:lvl w:ilvl="5">
      <w:start w:val="1"/>
      <w:numFmt w:val="bullet"/>
      <w:lvlText w:val="▪"/>
      <w:lvlJc w:val="left"/>
      <w:pPr>
        <w:ind w:left="4754" w:firstLine="4394"/>
      </w:pPr>
      <w:rPr>
        <w:rFonts w:ascii="Arial" w:eastAsia="Arial" w:hAnsi="Arial" w:cs="Arial"/>
      </w:rPr>
    </w:lvl>
    <w:lvl w:ilvl="6">
      <w:start w:val="1"/>
      <w:numFmt w:val="bullet"/>
      <w:lvlText w:val="●"/>
      <w:lvlJc w:val="left"/>
      <w:pPr>
        <w:ind w:left="5474" w:firstLine="5114"/>
      </w:pPr>
      <w:rPr>
        <w:rFonts w:ascii="Arial" w:eastAsia="Arial" w:hAnsi="Arial" w:cs="Arial"/>
      </w:rPr>
    </w:lvl>
    <w:lvl w:ilvl="7">
      <w:start w:val="1"/>
      <w:numFmt w:val="bullet"/>
      <w:lvlText w:val="o"/>
      <w:lvlJc w:val="left"/>
      <w:pPr>
        <w:ind w:left="6194" w:firstLine="5834"/>
      </w:pPr>
      <w:rPr>
        <w:rFonts w:ascii="Arial" w:eastAsia="Arial" w:hAnsi="Arial" w:cs="Arial"/>
      </w:rPr>
    </w:lvl>
    <w:lvl w:ilvl="8">
      <w:start w:val="1"/>
      <w:numFmt w:val="bullet"/>
      <w:lvlText w:val="▪"/>
      <w:lvlJc w:val="left"/>
      <w:pPr>
        <w:ind w:left="6914" w:firstLine="6554"/>
      </w:pPr>
      <w:rPr>
        <w:rFonts w:ascii="Arial" w:eastAsia="Arial" w:hAnsi="Arial" w:cs="Arial"/>
      </w:rPr>
    </w:lvl>
  </w:abstractNum>
  <w:abstractNum w:abstractNumId="1" w15:restartNumberingAfterBreak="0">
    <w:nsid w:val="755F0D29"/>
    <w:multiLevelType w:val="multilevel"/>
    <w:tmpl w:val="33BAE7D6"/>
    <w:lvl w:ilvl="0">
      <w:start w:val="1"/>
      <w:numFmt w:val="decimal"/>
      <w:pStyle w:val="ECCParBulleted"/>
      <w:lvlText w:val="%1"/>
      <w:lvlJc w:val="left"/>
      <w:pPr>
        <w:ind w:left="1128" w:firstLine="0"/>
      </w:pPr>
    </w:lvl>
    <w:lvl w:ilvl="1">
      <w:start w:val="1"/>
      <w:numFmt w:val="decimal"/>
      <w:lvlText w:val="%1.%2"/>
      <w:lvlJc w:val="left"/>
      <w:pPr>
        <w:ind w:left="1128" w:firstLine="0"/>
      </w:pPr>
    </w:lvl>
    <w:lvl w:ilvl="2">
      <w:start w:val="1"/>
      <w:numFmt w:val="decimal"/>
      <w:lvlText w:val="%1.%2.%3"/>
      <w:lvlJc w:val="left"/>
      <w:pPr>
        <w:ind w:left="1128" w:firstLine="0"/>
      </w:pPr>
    </w:lvl>
    <w:lvl w:ilvl="3">
      <w:start w:val="1"/>
      <w:numFmt w:val="decimal"/>
      <w:lvlText w:val="%1.%2.%3.%4"/>
      <w:lvlJc w:val="left"/>
      <w:pPr>
        <w:ind w:left="1128" w:firstLine="0"/>
      </w:pPr>
    </w:lvl>
    <w:lvl w:ilvl="4">
      <w:start w:val="1"/>
      <w:numFmt w:val="decimal"/>
      <w:lvlText w:val="%1.%2.%3.%4.%5"/>
      <w:lvlJc w:val="left"/>
      <w:pPr>
        <w:ind w:left="1128" w:firstLine="0"/>
      </w:pPr>
    </w:lvl>
    <w:lvl w:ilvl="5">
      <w:start w:val="1"/>
      <w:numFmt w:val="decimal"/>
      <w:lvlText w:val="%1.%2.%3.%4.%5.%6"/>
      <w:lvlJc w:val="left"/>
      <w:pPr>
        <w:ind w:left="1128"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1E"/>
    <w:rsid w:val="00423A6E"/>
    <w:rsid w:val="005B37D6"/>
    <w:rsid w:val="0071101E"/>
    <w:rsid w:val="00B53A75"/>
    <w:rsid w:val="00E136A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63311-B2ED-4698-AE6F-3B5CE511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tabs>
          <w:tab w:val="left" w:pos="1134"/>
          <w:tab w:val="left" w:pos="1871"/>
          <w:tab w:val="left" w:pos="2268"/>
        </w:tabs>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rsid w:val="0052739D"/>
    <w:rPr>
      <w:color w:val="0000FF"/>
      <w:u w:val="single"/>
    </w:rPr>
  </w:style>
  <w:style w:type="paragraph" w:customStyle="1" w:styleId="AnnexNoTitle">
    <w:name w:val="Annex_NoTitle"/>
    <w:basedOn w:val="Normal"/>
    <w:next w:val="Normalaftertitle"/>
    <w:rsid w:val="0052739D"/>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52739D"/>
  </w:style>
  <w:style w:type="paragraph" w:styleId="BodyTextIndent">
    <w:name w:val="Body Text Indent"/>
    <w:basedOn w:val="Normal"/>
    <w:link w:val="BodyTextIndentChar"/>
    <w:rsid w:val="0052739D"/>
    <w:pPr>
      <w:tabs>
        <w:tab w:val="clear" w:pos="1134"/>
        <w:tab w:val="clear" w:pos="1871"/>
        <w:tab w:val="clear" w:pos="2268"/>
        <w:tab w:val="left" w:pos="794"/>
        <w:tab w:val="left" w:pos="1191"/>
        <w:tab w:val="left" w:pos="1588"/>
        <w:tab w:val="left" w:pos="1985"/>
      </w:tabs>
      <w:spacing w:after="120"/>
      <w:ind w:left="283"/>
    </w:pPr>
  </w:style>
  <w:style w:type="character" w:customStyle="1" w:styleId="BodyTextIndentChar">
    <w:name w:val="Body Text Indent Char"/>
    <w:basedOn w:val="DefaultParagraphFont"/>
    <w:link w:val="BodyTextIndent"/>
    <w:rsid w:val="0052739D"/>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href">
    <w:name w:val="href"/>
    <w:basedOn w:val="DefaultParagraphFont"/>
    <w:rsid w:val="0052739D"/>
  </w:style>
  <w:style w:type="paragraph" w:customStyle="1" w:styleId="CharChar">
    <w:name w:val="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
    <w:name w:val="Body Text"/>
    <w:basedOn w:val="Normal"/>
    <w:link w:val="BodyTextChar"/>
    <w:rsid w:val="0052739D"/>
    <w:pPr>
      <w:tabs>
        <w:tab w:val="clear" w:pos="1134"/>
        <w:tab w:val="clear" w:pos="1871"/>
        <w:tab w:val="clear" w:pos="2268"/>
      </w:tabs>
      <w:overflowPunct/>
      <w:autoSpaceDE/>
      <w:autoSpaceDN/>
      <w:adjustRightInd/>
      <w:spacing w:before="0"/>
      <w:jc w:val="both"/>
      <w:textAlignment w:val="auto"/>
    </w:pPr>
    <w:rPr>
      <w:i/>
      <w:iCs/>
      <w:lang w:val="ru-RU" w:eastAsia="ru-RU"/>
    </w:rPr>
  </w:style>
  <w:style w:type="character" w:customStyle="1" w:styleId="BodyTextChar">
    <w:name w:val="Body Text Char"/>
    <w:basedOn w:val="DefaultParagraphFont"/>
    <w:link w:val="BodyText"/>
    <w:rsid w:val="0052739D"/>
    <w:rPr>
      <w:rFonts w:ascii="Times New Roman" w:hAnsi="Times New Roman"/>
      <w:i/>
      <w:iCs/>
      <w:sz w:val="24"/>
      <w:szCs w:val="24"/>
      <w:lang w:val="ru-RU" w:eastAsia="ru-RU"/>
    </w:rPr>
  </w:style>
  <w:style w:type="paragraph" w:customStyle="1" w:styleId="a">
    <w:name w:val="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0">
    <w:name w:val="Char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0">
    <w:name w:val="Весь текст резолюций"/>
    <w:basedOn w:val="BodyText"/>
    <w:rsid w:val="0052739D"/>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2">
    <w:name w:val="Char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1">
    <w:name w:val="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0">
    <w:name w:val="Char Знак Знак Знак Знак Знак Знак1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0">
    <w:name w:val="Char Char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
    <w:name w:val="Char Char Знак Знак Знак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3">
    <w:name w:val="Char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1">
    <w:name w:val="Char Char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
    <w:name w:val="Char Знак Знак Знак Знак Знак Знак1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2">
    <w:name w:val="Char Знак Знак Знак Знак Знак Знак Знак Знак1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umlev1Char">
    <w:name w:val="enumlev1 Char"/>
    <w:link w:val="enumlev1"/>
    <w:rsid w:val="0052739D"/>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3">
    <w:name w:val="Char Знак Знак Знак Знак Знак Знак Знак Знак1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NormalaftertitleChar">
    <w:name w:val="Normal after title Char"/>
    <w:link w:val="Normalaftertitle0"/>
    <w:rsid w:val="0052739D"/>
    <w:rPr>
      <w:rFonts w:ascii="Times New Roman" w:hAnsi="Times New Roman"/>
      <w:sz w:val="24"/>
      <w:lang w:val="en-GB" w:eastAsia="en-US"/>
    </w:rPr>
  </w:style>
  <w:style w:type="character" w:customStyle="1" w:styleId="ArttitleCar">
    <w:name w:val="Art_title Car"/>
    <w:link w:val="Arttitle"/>
    <w:rsid w:val="0052739D"/>
    <w:rPr>
      <w:rFonts w:ascii="Times New Roman" w:hAnsi="Times New Roman"/>
      <w:b/>
      <w:sz w:val="28"/>
      <w:lang w:val="en-GB" w:eastAsia="en-US"/>
    </w:rPr>
  </w:style>
  <w:style w:type="character" w:customStyle="1" w:styleId="ArtNoChar">
    <w:name w:val="Art_No Char"/>
    <w:link w:val="ArtNo"/>
    <w:rsid w:val="0052739D"/>
    <w:rPr>
      <w:rFonts w:ascii="Times New Roman" w:hAnsi="Times New Roman"/>
      <w:caps/>
      <w:sz w:val="28"/>
      <w:lang w:val="en-GB" w:eastAsia="en-US"/>
    </w:rPr>
  </w:style>
  <w:style w:type="character" w:styleId="Emphasis">
    <w:name w:val="Emphasis"/>
    <w:qFormat/>
    <w:rsid w:val="0052739D"/>
    <w:rPr>
      <w:b/>
      <w:iCs/>
    </w:rPr>
  </w:style>
  <w:style w:type="paragraph" w:customStyle="1" w:styleId="Head">
    <w:name w:val="Head"/>
    <w:basedOn w:val="Normal"/>
    <w:rsid w:val="0052739D"/>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52739D"/>
    <w:pPr>
      <w:tabs>
        <w:tab w:val="clear" w:pos="1134"/>
        <w:tab w:val="clear" w:pos="1871"/>
        <w:tab w:val="clear" w:pos="2268"/>
        <w:tab w:val="left" w:pos="794"/>
        <w:tab w:val="left" w:pos="1191"/>
        <w:tab w:val="left" w:pos="1588"/>
        <w:tab w:val="left" w:pos="1985"/>
      </w:tabs>
      <w:spacing w:after="120" w:line="480" w:lineRule="auto"/>
      <w:ind w:left="283"/>
    </w:pPr>
  </w:style>
  <w:style w:type="character" w:customStyle="1" w:styleId="BodyTextIndent2Char">
    <w:name w:val="Body Text Indent 2 Char"/>
    <w:basedOn w:val="DefaultParagraphFont"/>
    <w:link w:val="BodyTextIndent2"/>
    <w:rsid w:val="0052739D"/>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RectitleChar">
    <w:name w:val="Rec_title Char"/>
    <w:link w:val="Rectitle"/>
    <w:rsid w:val="0052739D"/>
    <w:rPr>
      <w:rFonts w:ascii="Times New Roman Bold" w:hAnsi="Times New Roman Bold"/>
      <w:b/>
      <w:sz w:val="28"/>
      <w:lang w:val="en-GB" w:eastAsia="en-US"/>
    </w:rPr>
  </w:style>
  <w:style w:type="paragraph" w:customStyle="1" w:styleId="CharChar10">
    <w:name w:val="Char Char1"/>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0">
    <w:name w:val="Char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52739D"/>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2">
    <w:name w:val="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2">
    <w:name w:val="Body Text 2"/>
    <w:basedOn w:val="Normal"/>
    <w:link w:val="BodyText2Char"/>
    <w:rsid w:val="0052739D"/>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52739D"/>
    <w:rPr>
      <w:rFonts w:ascii="Times New Roman" w:hAnsi="Times New Roman"/>
      <w:sz w:val="24"/>
      <w:szCs w:val="24"/>
      <w:lang w:val="en-GB" w:eastAsia="en-US"/>
    </w:rPr>
  </w:style>
  <w:style w:type="paragraph" w:styleId="BalloonText">
    <w:name w:val="Balloon Text"/>
    <w:basedOn w:val="Normal"/>
    <w:link w:val="BalloonTextChar"/>
    <w:rsid w:val="0052739D"/>
    <w:pPr>
      <w:tabs>
        <w:tab w:val="clear" w:pos="1134"/>
        <w:tab w:val="clear" w:pos="1871"/>
        <w:tab w:val="clear" w:pos="2268"/>
        <w:tab w:val="left" w:pos="794"/>
        <w:tab w:val="left" w:pos="1191"/>
        <w:tab w:val="left" w:pos="1588"/>
        <w:tab w:val="left" w:pos="1985"/>
      </w:tabs>
      <w:spacing w:before="0"/>
    </w:pPr>
    <w:rPr>
      <w:rFonts w:ascii="Tahoma" w:hAnsi="Tahoma"/>
      <w:sz w:val="16"/>
      <w:szCs w:val="16"/>
    </w:rPr>
  </w:style>
  <w:style w:type="character" w:customStyle="1" w:styleId="BalloonTextChar">
    <w:name w:val="Balloon Text Char"/>
    <w:basedOn w:val="DefaultParagraphFont"/>
    <w:link w:val="BalloonText"/>
    <w:rsid w:val="0052739D"/>
    <w:rPr>
      <w:rFonts w:ascii="Tahoma" w:hAnsi="Tahoma"/>
      <w:sz w:val="16"/>
      <w:szCs w:val="16"/>
      <w:lang w:val="en-GB" w:eastAsia="en-US"/>
    </w:rPr>
  </w:style>
  <w:style w:type="paragraph" w:styleId="Revision">
    <w:name w:val="Revision"/>
    <w:hidden/>
    <w:uiPriority w:val="99"/>
    <w:semiHidden/>
    <w:rsid w:val="0052739D"/>
    <w:rPr>
      <w:lang w:val="en-GB" w:eastAsia="en-US"/>
    </w:rPr>
  </w:style>
  <w:style w:type="character" w:customStyle="1" w:styleId="Section1Char">
    <w:name w:val="Section_1 Char"/>
    <w:link w:val="Section1"/>
    <w:uiPriority w:val="99"/>
    <w:locked/>
    <w:rsid w:val="0052739D"/>
    <w:rPr>
      <w:rFonts w:ascii="Times New Roman" w:hAnsi="Times New Roman"/>
      <w:b/>
      <w:sz w:val="24"/>
      <w:lang w:val="en-GB" w:eastAsia="en-US"/>
    </w:rPr>
  </w:style>
  <w:style w:type="paragraph" w:styleId="BodyTextIndent3">
    <w:name w:val="Body Text Indent 3"/>
    <w:basedOn w:val="Normal"/>
    <w:link w:val="BodyTextIndent3Char"/>
    <w:rsid w:val="0052739D"/>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52739D"/>
    <w:rPr>
      <w:rFonts w:ascii="Times New Roman" w:hAnsi="Times New Roman"/>
      <w:sz w:val="16"/>
      <w:szCs w:val="16"/>
      <w:lang w:val="en-GB" w:eastAsia="en-US"/>
    </w:rPr>
  </w:style>
  <w:style w:type="character" w:styleId="Strong">
    <w:name w:val="Strong"/>
    <w:uiPriority w:val="99"/>
    <w:qFormat/>
    <w:rsid w:val="0052739D"/>
    <w:rPr>
      <w:b/>
      <w:bCs/>
    </w:rPr>
  </w:style>
  <w:style w:type="character" w:customStyle="1" w:styleId="ProposalChar">
    <w:name w:val="Proposal Char"/>
    <w:link w:val="Proposal"/>
    <w:locked/>
    <w:rsid w:val="0052739D"/>
    <w:rPr>
      <w:rFonts w:ascii="Times New Roman" w:hAnsi="Times New Roman Bold"/>
      <w:b/>
      <w:sz w:val="24"/>
      <w:lang w:val="en-GB" w:eastAsia="en-US"/>
    </w:rPr>
  </w:style>
  <w:style w:type="paragraph" w:customStyle="1" w:styleId="ECCParBulleted">
    <w:name w:val="ECC Par Bulleted"/>
    <w:basedOn w:val="Normal"/>
    <w:rsid w:val="0052739D"/>
    <w:pPr>
      <w:numPr>
        <w:numId w:val="1"/>
      </w:numPr>
      <w:tabs>
        <w:tab w:val="clear" w:pos="1134"/>
        <w:tab w:val="clear" w:pos="1871"/>
        <w:tab w:val="clear" w:pos="2268"/>
      </w:tabs>
      <w:overflowPunct/>
      <w:autoSpaceDE/>
      <w:autoSpaceDN/>
      <w:adjustRightInd/>
      <w:spacing w:before="0"/>
      <w:jc w:val="both"/>
      <w:textAlignment w:val="auto"/>
    </w:pPr>
    <w:rPr>
      <w:rFonts w:ascii="Arial" w:hAnsi="Arial"/>
      <w:sz w:val="20"/>
    </w:rPr>
  </w:style>
  <w:style w:type="character" w:customStyle="1" w:styleId="apple-converted-space">
    <w:name w:val="apple-converted-space"/>
    <w:basedOn w:val="DefaultParagraphFont"/>
    <w:rsid w:val="0052739D"/>
  </w:style>
  <w:style w:type="character" w:customStyle="1" w:styleId="RestitleChar">
    <w:name w:val="Res_title Char"/>
    <w:link w:val="Restitle"/>
    <w:locked/>
    <w:rsid w:val="0052739D"/>
    <w:rPr>
      <w:rFonts w:ascii="Times New Roman Bold" w:hAnsi="Times New Roman Bold"/>
      <w:b/>
      <w:sz w:val="28"/>
      <w:lang w:val="en-GB" w:eastAsia="en-US"/>
    </w:rPr>
  </w:style>
  <w:style w:type="character" w:styleId="FollowedHyperlink">
    <w:name w:val="FollowedHyperlink"/>
    <w:rsid w:val="0052739D"/>
    <w:rPr>
      <w:color w:val="800080"/>
      <w:u w:val="single"/>
    </w:rPr>
  </w:style>
  <w:style w:type="paragraph" w:styleId="ListParagraph">
    <w:name w:val="List Paragraph"/>
    <w:basedOn w:val="Normal"/>
    <w:link w:val="ListParagraphChar"/>
    <w:uiPriority w:val="34"/>
    <w:qFormat/>
    <w:rsid w:val="0052739D"/>
    <w:pPr>
      <w:tabs>
        <w:tab w:val="clear" w:pos="1134"/>
        <w:tab w:val="clear" w:pos="1871"/>
        <w:tab w:val="clear" w:pos="2268"/>
        <w:tab w:val="left" w:pos="794"/>
        <w:tab w:val="left" w:pos="1191"/>
        <w:tab w:val="left" w:pos="1588"/>
        <w:tab w:val="left" w:pos="1985"/>
      </w:tabs>
      <w:ind w:left="708"/>
    </w:pPr>
  </w:style>
  <w:style w:type="character" w:customStyle="1" w:styleId="TabletextChar">
    <w:name w:val="Table_text Char"/>
    <w:link w:val="Tabletext"/>
    <w:locked/>
    <w:rsid w:val="0052739D"/>
    <w:rPr>
      <w:rFonts w:ascii="Times New Roman" w:hAnsi="Times New Roman"/>
      <w:lang w:val="en-GB" w:eastAsia="en-US"/>
    </w:rPr>
  </w:style>
  <w:style w:type="character" w:customStyle="1" w:styleId="TableheadChar">
    <w:name w:val="Table_head Char"/>
    <w:link w:val="Tablehead"/>
    <w:uiPriority w:val="99"/>
    <w:locked/>
    <w:rsid w:val="0052739D"/>
    <w:rPr>
      <w:rFonts w:ascii="Times New Roman Bold" w:hAnsi="Times New Roman Bold" w:cs="Times New Roman Bold"/>
      <w:b/>
      <w:lang w:val="en-GB" w:eastAsia="en-US"/>
    </w:rPr>
  </w:style>
  <w:style w:type="table" w:styleId="TableGrid">
    <w:name w:val="Table Grid"/>
    <w:basedOn w:val="TableNormal"/>
    <w:uiPriority w:val="59"/>
    <w:rsid w:val="00527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2739D"/>
    <w:pPr>
      <w:tabs>
        <w:tab w:val="clear" w:pos="1134"/>
        <w:tab w:val="clear" w:pos="1871"/>
        <w:tab w:val="clear" w:pos="2268"/>
      </w:tabs>
      <w:overflowPunct/>
      <w:autoSpaceDE/>
      <w:autoSpaceDN/>
      <w:adjustRightInd/>
      <w:spacing w:before="100" w:beforeAutospacing="1" w:after="100" w:afterAutospacing="1"/>
      <w:textAlignment w:val="auto"/>
    </w:pPr>
    <w:rPr>
      <w:rFonts w:eastAsia="SimSun"/>
      <w:lang w:val="en-US" w:eastAsia="zh-CN"/>
    </w:rPr>
  </w:style>
  <w:style w:type="character" w:customStyle="1" w:styleId="HeadingbChar">
    <w:name w:val="Heading_b Char"/>
    <w:link w:val="Headingb"/>
    <w:locked/>
    <w:rsid w:val="0052739D"/>
    <w:rPr>
      <w:rFonts w:ascii="Times New Roman Bold" w:hAnsi="Times New Roman Bold" w:cs="Times New Roman Bold"/>
      <w:b/>
      <w:sz w:val="24"/>
      <w:lang w:val="fr-CH" w:eastAsia="en-US"/>
    </w:rPr>
  </w:style>
  <w:style w:type="character" w:customStyle="1" w:styleId="BRNormal">
    <w:name w:val="BR_Normal"/>
    <w:basedOn w:val="DefaultParagraphFont"/>
    <w:uiPriority w:val="1"/>
    <w:qFormat/>
    <w:rsid w:val="0052739D"/>
  </w:style>
  <w:style w:type="character" w:customStyle="1" w:styleId="ListParagraphChar">
    <w:name w:val="List Paragraph Char"/>
    <w:link w:val="ListParagraph"/>
    <w:uiPriority w:val="34"/>
    <w:locked/>
    <w:rsid w:val="0052739D"/>
    <w:rPr>
      <w:rFonts w:ascii="Times New Roman" w:hAnsi="Times New Roman"/>
      <w:sz w:val="24"/>
      <w:lang w:val="en-GB" w:eastAsia="en-US"/>
    </w:rPr>
  </w:style>
  <w:style w:type="character" w:customStyle="1" w:styleId="ECCParagraph">
    <w:name w:val="ECC Paragraph"/>
    <w:uiPriority w:val="1"/>
    <w:qFormat/>
    <w:rsid w:val="0052739D"/>
    <w:rPr>
      <w:rFonts w:ascii="Arial" w:hAnsi="Arial" w:cs="Arial" w:hint="default"/>
      <w:noProof w:val="0"/>
      <w:sz w:val="20"/>
      <w:bdr w:val="none" w:sz="0" w:space="0" w:color="auto" w:frame="1"/>
      <w:lang w:val="en-GB"/>
    </w:rPr>
  </w:style>
  <w:style w:type="character" w:customStyle="1" w:styleId="ECCHLsuperscript">
    <w:name w:val="ECC HL superscript"/>
    <w:uiPriority w:val="1"/>
    <w:rsid w:val="0052739D"/>
    <w:rPr>
      <w:vertAlign w:val="superscript"/>
    </w:rPr>
  </w:style>
  <w:style w:type="character" w:styleId="CommentReference">
    <w:name w:val="annotation reference"/>
    <w:uiPriority w:val="99"/>
    <w:semiHidden/>
    <w:unhideWhenUsed/>
    <w:rsid w:val="0052739D"/>
    <w:rPr>
      <w:sz w:val="16"/>
      <w:szCs w:val="16"/>
    </w:rPr>
  </w:style>
  <w:style w:type="paragraph" w:styleId="CommentText">
    <w:name w:val="annotation text"/>
    <w:basedOn w:val="Normal"/>
    <w:link w:val="CommentTextChar"/>
    <w:uiPriority w:val="99"/>
    <w:semiHidden/>
    <w:unhideWhenUsed/>
    <w:rsid w:val="0052739D"/>
    <w:pPr>
      <w:tabs>
        <w:tab w:val="clear" w:pos="1134"/>
        <w:tab w:val="clear" w:pos="1871"/>
        <w:tab w:val="clear" w:pos="2268"/>
      </w:tabs>
      <w:overflowPunct/>
      <w:autoSpaceDE/>
      <w:autoSpaceDN/>
      <w:adjustRightInd/>
      <w:spacing w:before="0" w:after="200"/>
      <w:textAlignment w:val="auto"/>
    </w:pPr>
    <w:rPr>
      <w:rFonts w:ascii="Calibri" w:eastAsia="Calibri" w:hAnsi="Calibri"/>
      <w:sz w:val="20"/>
    </w:rPr>
  </w:style>
  <w:style w:type="character" w:customStyle="1" w:styleId="CommentTextChar">
    <w:name w:val="Comment Text Char"/>
    <w:basedOn w:val="DefaultParagraphFont"/>
    <w:link w:val="CommentText"/>
    <w:uiPriority w:val="99"/>
    <w:semiHidden/>
    <w:rsid w:val="0052739D"/>
    <w:rPr>
      <w:rFonts w:ascii="Calibri" w:eastAsia="Calibri" w:hAnsi="Calibri"/>
      <w:lang w:val="en-GB" w:eastAsia="en-US"/>
    </w:rPr>
  </w:style>
  <w:style w:type="paragraph" w:customStyle="1" w:styleId="AnnexNotitle0">
    <w:name w:val="Annex_No &amp; title"/>
    <w:basedOn w:val="Normal"/>
    <w:next w:val="Normal"/>
    <w:rsid w:val="0052739D"/>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hps">
    <w:name w:val="hps"/>
    <w:rsid w:val="0052739D"/>
  </w:style>
  <w:style w:type="character" w:customStyle="1" w:styleId="enumlev10">
    <w:name w:val="enumlev1 Знак"/>
    <w:rsid w:val="0052739D"/>
    <w:rPr>
      <w:rFonts w:ascii="Times New Roman" w:hAnsi="Times New Roman"/>
      <w:sz w:val="24"/>
      <w:lang w:val="en-GB" w:eastAsia="en-US"/>
    </w:rPr>
  </w:style>
  <w:style w:type="paragraph" w:styleId="EndnoteText">
    <w:name w:val="endnote text"/>
    <w:basedOn w:val="Normal"/>
    <w:link w:val="EndnoteTextChar"/>
    <w:uiPriority w:val="99"/>
    <w:semiHidden/>
    <w:unhideWhenUsed/>
    <w:rsid w:val="0052739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uiPriority w:val="99"/>
    <w:semiHidden/>
    <w:rsid w:val="005273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723A9"/>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B723A9"/>
    <w:rPr>
      <w:rFonts w:ascii="Times New Roman" w:eastAsia="Calibri" w:hAnsi="Times New Roman"/>
      <w:b/>
      <w:bCs/>
      <w:lang w:val="en-GB" w:eastAsia="en-US"/>
    </w:rPr>
  </w:style>
  <w:style w:type="numbering" w:customStyle="1" w:styleId="10">
    <w:name w:val="Нет списка1"/>
    <w:next w:val="NoList"/>
    <w:uiPriority w:val="99"/>
    <w:semiHidden/>
    <w:unhideWhenUsed/>
    <w:rsid w:val="00DC4CC2"/>
  </w:style>
  <w:style w:type="table" w:customStyle="1" w:styleId="11">
    <w:name w:val="Сетка таблицы1"/>
    <w:basedOn w:val="TableNormal"/>
    <w:next w:val="TableGrid"/>
    <w:uiPriority w:val="59"/>
    <w:rsid w:val="00DC4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10981</Words>
  <Characters>62594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Fernandez Jimenez, Virginia</cp:lastModifiedBy>
  <cp:revision>3</cp:revision>
  <dcterms:created xsi:type="dcterms:W3CDTF">2019-09-29T08:56:00Z</dcterms:created>
  <dcterms:modified xsi:type="dcterms:W3CDTF">2019-10-03T09:36:00Z</dcterms:modified>
</cp:coreProperties>
</file>