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9B" w:rsidRDefault="00D52D9B" w:rsidP="00A80CF9">
      <w:pPr>
        <w:pStyle w:val="AppendixNoTitle"/>
        <w:spacing w:after="480"/>
        <w:rPr>
          <w:lang w:eastAsia="ja-JP"/>
        </w:rPr>
      </w:pPr>
      <w:bookmarkStart w:id="0" w:name="_GoBack"/>
      <w:bookmarkEnd w:id="0"/>
      <w:r w:rsidRPr="00AE5B00">
        <w:rPr>
          <w:rFonts w:hint="eastAsia"/>
          <w:lang w:eastAsia="ja-JP"/>
        </w:rPr>
        <w:t xml:space="preserve">Draft </w:t>
      </w:r>
      <w:r w:rsidRPr="00AE5B00">
        <w:rPr>
          <w:lang w:eastAsia="ja-JP"/>
        </w:rPr>
        <w:t xml:space="preserve">analytical </w:t>
      </w:r>
      <w:r w:rsidRPr="00AE5B00">
        <w:rPr>
          <w:rFonts w:hint="eastAsia"/>
          <w:lang w:eastAsia="ja-JP"/>
        </w:rPr>
        <w:t xml:space="preserve">list of </w:t>
      </w:r>
      <w:r>
        <w:rPr>
          <w:lang w:eastAsia="ja-JP"/>
        </w:rPr>
        <w:t xml:space="preserve">the </w:t>
      </w:r>
      <w:r w:rsidR="000E245E">
        <w:rPr>
          <w:rFonts w:hint="eastAsia"/>
          <w:lang w:eastAsia="ja-JP"/>
        </w:rPr>
        <w:t xml:space="preserve">Recommendations </w:t>
      </w:r>
      <w:r w:rsidR="00A80CF9">
        <w:rPr>
          <w:lang w:eastAsia="ja-JP"/>
        </w:rPr>
        <w:t>(</w:t>
      </w:r>
      <w:r w:rsidR="000E245E">
        <w:rPr>
          <w:lang w:eastAsia="ja-JP"/>
        </w:rPr>
        <w:t>SF</w:t>
      </w:r>
      <w:r w:rsidR="005D5762">
        <w:rPr>
          <w:rFonts w:hint="eastAsia"/>
          <w:lang w:eastAsia="ja-JP"/>
        </w:rPr>
        <w:t>-series)</w:t>
      </w:r>
    </w:p>
    <w:p w:rsidR="002D6F4A" w:rsidRPr="002D6F4A" w:rsidRDefault="002D6F4A" w:rsidP="002D6F4A">
      <w:pPr>
        <w:pStyle w:val="AppendixNoTitle"/>
        <w:rPr>
          <w:sz w:val="24"/>
          <w:szCs w:val="24"/>
        </w:rPr>
      </w:pPr>
      <w:r w:rsidRPr="002D6F4A">
        <w:rPr>
          <w:rStyle w:val="Strong"/>
          <w:b/>
          <w:bCs w:val="0"/>
          <w:sz w:val="24"/>
          <w:szCs w:val="24"/>
        </w:rPr>
        <w:t>Frequency sharing and coordination between fixed-satellite and fixed service systems</w:t>
      </w:r>
    </w:p>
    <w:p w:rsidR="000E245E" w:rsidRPr="00E32E5C" w:rsidRDefault="000E245E" w:rsidP="00004ACA">
      <w:pPr>
        <w:spacing w:before="240" w:after="120" w:line="320" w:lineRule="exact"/>
        <w:rPr>
          <w:b/>
          <w:lang w:eastAsia="ja-JP"/>
        </w:rPr>
      </w:pPr>
      <w:r w:rsidRPr="00E32E5C">
        <w:rPr>
          <w:b/>
        </w:rPr>
        <w:t xml:space="preserve">Section </w:t>
      </w:r>
      <w:r w:rsidR="00004ACA">
        <w:rPr>
          <w:b/>
        </w:rPr>
        <w:t>1</w:t>
      </w:r>
      <w:r w:rsidRPr="00E32E5C">
        <w:rPr>
          <w:b/>
        </w:rPr>
        <w:t>A</w:t>
      </w:r>
      <w:r w:rsidRPr="00E32E5C">
        <w:rPr>
          <w:b/>
        </w:rPr>
        <w:tab/>
      </w:r>
      <w:r w:rsidR="00004ACA">
        <w:rPr>
          <w:b/>
        </w:rPr>
        <w:tab/>
      </w:r>
      <w:r w:rsidRPr="00E32E5C">
        <w:rPr>
          <w:b/>
        </w:rPr>
        <w:t>Sharing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D52D9B" w:rsidTr="00567A45">
        <w:trPr>
          <w:cantSplit/>
          <w:tblHeader/>
        </w:trPr>
        <w:tc>
          <w:tcPr>
            <w:tcW w:w="1188" w:type="dxa"/>
          </w:tcPr>
          <w:p w:rsidR="00D52D9B" w:rsidRPr="00D52D9B" w:rsidRDefault="00D52D9B" w:rsidP="003D3D90">
            <w:pPr>
              <w:pStyle w:val="Tablehead"/>
            </w:pPr>
            <w:r w:rsidRPr="00D52D9B">
              <w:t>No</w:t>
            </w:r>
          </w:p>
        </w:tc>
        <w:tc>
          <w:tcPr>
            <w:tcW w:w="4500" w:type="dxa"/>
          </w:tcPr>
          <w:p w:rsidR="00D52D9B" w:rsidRPr="00D52D9B" w:rsidRDefault="00D52D9B" w:rsidP="003D3D90">
            <w:pPr>
              <w:pStyle w:val="Tablehead"/>
            </w:pPr>
            <w:r w:rsidRPr="00D52D9B">
              <w:t>Title</w:t>
            </w:r>
          </w:p>
        </w:tc>
        <w:tc>
          <w:tcPr>
            <w:tcW w:w="4161" w:type="dxa"/>
          </w:tcPr>
          <w:p w:rsidR="00D52D9B" w:rsidRPr="000073A0" w:rsidRDefault="00D52D9B" w:rsidP="003D3D90">
            <w:pPr>
              <w:pStyle w:val="Tablehead"/>
            </w:pPr>
            <w:r w:rsidRPr="000073A0">
              <w:t>Scope</w:t>
            </w:r>
          </w:p>
        </w:tc>
      </w:tr>
      <w:tr w:rsidR="00D52D9B" w:rsidTr="00567A45">
        <w:trPr>
          <w:cantSplit/>
        </w:trPr>
        <w:tc>
          <w:tcPr>
            <w:tcW w:w="1188" w:type="dxa"/>
          </w:tcPr>
          <w:p w:rsidR="00D52D9B" w:rsidRDefault="00A36FBB" w:rsidP="003D3D90">
            <w:pPr>
              <w:pStyle w:val="Tabletext"/>
            </w:pPr>
            <w:r w:rsidRPr="00567A45">
              <w:rPr>
                <w:rFonts w:hint="eastAsia"/>
                <w:lang w:val="en-US" w:eastAsia="ja-JP"/>
              </w:rPr>
              <w:t>SF</w:t>
            </w:r>
            <w:r w:rsidRPr="00567A45">
              <w:rPr>
                <w:lang w:val="en-US"/>
              </w:rPr>
              <w:t>.</w:t>
            </w:r>
            <w:r w:rsidRPr="00567A45">
              <w:rPr>
                <w:rFonts w:hint="eastAsia"/>
                <w:lang w:val="en-US" w:eastAsia="ja-JP"/>
              </w:rPr>
              <w:t>356-4</w:t>
            </w:r>
          </w:p>
        </w:tc>
        <w:tc>
          <w:tcPr>
            <w:tcW w:w="4500" w:type="dxa"/>
          </w:tcPr>
          <w:p w:rsidR="00D52D9B" w:rsidRDefault="00A36FBB" w:rsidP="003D3D90">
            <w:pPr>
              <w:pStyle w:val="Tabletext"/>
            </w:pPr>
            <w:r w:rsidRPr="003A6A51">
              <w:t>Maximum allowable values of interference from line-of-sight radio-relay systems in a telephone channel of a system in the fixed-satellite service employing frequency modulation, when the same frequency bands are shared by both systems</w:t>
            </w:r>
            <w:r w:rsidRPr="00567A45">
              <w:rPr>
                <w:sz w:val="20"/>
              </w:rPr>
              <w:t xml:space="preserve">   </w:t>
            </w:r>
            <w:r>
              <w:rPr>
                <w:rFonts w:hint="eastAsia"/>
                <w:lang w:eastAsia="ja-JP"/>
              </w:rPr>
              <w:t>(07/1978)</w:t>
            </w:r>
          </w:p>
        </w:tc>
        <w:tc>
          <w:tcPr>
            <w:tcW w:w="4161" w:type="dxa"/>
          </w:tcPr>
          <w:p w:rsidR="00D52D9B" w:rsidRPr="000073A0" w:rsidRDefault="00004ACA" w:rsidP="003D3D90">
            <w:pPr>
              <w:pStyle w:val="Tabletext"/>
            </w:pPr>
            <w:r>
              <w:t>None</w:t>
            </w:r>
          </w:p>
        </w:tc>
      </w:tr>
      <w:tr w:rsidR="00D52D9B" w:rsidTr="00567A45">
        <w:trPr>
          <w:cantSplit/>
        </w:trPr>
        <w:tc>
          <w:tcPr>
            <w:tcW w:w="1188" w:type="dxa"/>
          </w:tcPr>
          <w:p w:rsidR="00D52D9B" w:rsidRDefault="00A36FBB" w:rsidP="003D3D90">
            <w:pPr>
              <w:pStyle w:val="Tabletext"/>
            </w:pPr>
            <w:r w:rsidRPr="00567A45">
              <w:rPr>
                <w:rFonts w:hint="eastAsia"/>
                <w:lang w:val="en-US" w:eastAsia="ja-JP"/>
              </w:rPr>
              <w:t>S</w:t>
            </w:r>
            <w:r w:rsidRPr="00567A45">
              <w:rPr>
                <w:lang w:val="en-US"/>
              </w:rPr>
              <w:t>F.</w:t>
            </w:r>
            <w:r w:rsidRPr="00567A45">
              <w:rPr>
                <w:rFonts w:hint="eastAsia"/>
                <w:lang w:val="en-US" w:eastAsia="ja-JP"/>
              </w:rPr>
              <w:t>357-4</w:t>
            </w:r>
          </w:p>
        </w:tc>
        <w:tc>
          <w:tcPr>
            <w:tcW w:w="4500" w:type="dxa"/>
          </w:tcPr>
          <w:p w:rsidR="00D52D9B" w:rsidRDefault="00A36FBB" w:rsidP="003D3D90">
            <w:pPr>
              <w:pStyle w:val="Tabletext"/>
            </w:pPr>
            <w:r w:rsidRPr="003A6A51">
              <w:t xml:space="preserve">Maximum allowable values of interference in a telephone channel of an analogue angle-modulated radio-relay system sharing the same frequency bands as systems in the fixed-satellite service </w:t>
            </w:r>
            <w:r>
              <w:rPr>
                <w:rFonts w:hint="eastAsia"/>
                <w:lang w:eastAsia="ja-JP"/>
              </w:rPr>
              <w:t>(05/1997)</w:t>
            </w:r>
          </w:p>
        </w:tc>
        <w:tc>
          <w:tcPr>
            <w:tcW w:w="4161" w:type="dxa"/>
          </w:tcPr>
          <w:p w:rsidR="00D52D9B" w:rsidRPr="000073A0" w:rsidRDefault="00004ACA" w:rsidP="003D3D90">
            <w:pPr>
              <w:pStyle w:val="Tabletext"/>
            </w:pPr>
            <w:r>
              <w:t>None</w:t>
            </w:r>
          </w:p>
        </w:tc>
      </w:tr>
      <w:tr w:rsidR="00D52D9B" w:rsidTr="00567A45">
        <w:trPr>
          <w:cantSplit/>
        </w:trPr>
        <w:tc>
          <w:tcPr>
            <w:tcW w:w="1188" w:type="dxa"/>
          </w:tcPr>
          <w:p w:rsidR="00D52D9B" w:rsidRDefault="00062398" w:rsidP="003D3D90">
            <w:pPr>
              <w:pStyle w:val="Tabletext"/>
            </w:pPr>
            <w:r w:rsidRPr="00567A45">
              <w:rPr>
                <w:rFonts w:hint="eastAsia"/>
                <w:lang w:val="en-US" w:eastAsia="ja-JP"/>
              </w:rPr>
              <w:t>S</w:t>
            </w:r>
            <w:r w:rsidRPr="00567A45">
              <w:rPr>
                <w:lang w:val="en-US"/>
              </w:rPr>
              <w:t>F.6</w:t>
            </w:r>
            <w:r w:rsidRPr="00567A45">
              <w:rPr>
                <w:rFonts w:hint="eastAsia"/>
                <w:lang w:val="en-US" w:eastAsia="ja-JP"/>
              </w:rPr>
              <w:t>74-2</w:t>
            </w:r>
          </w:p>
        </w:tc>
        <w:tc>
          <w:tcPr>
            <w:tcW w:w="4500" w:type="dxa"/>
          </w:tcPr>
          <w:p w:rsidR="00D52D9B" w:rsidRDefault="00062398" w:rsidP="003D3D90">
            <w:pPr>
              <w:pStyle w:val="Tabletext"/>
            </w:pPr>
            <w:r w:rsidRPr="003A6A51">
              <w:t>Determination of the impact on the fixed service operating in the 11.7-12.2 GHz band when geostationary fixed-satellite service networks in Region 2 exceed power flux-density thresholds in Resolution 77 (WRC-2000)</w:t>
            </w:r>
            <w:r w:rsidRPr="00567A45">
              <w:rPr>
                <w:rFonts w:hint="eastAsia"/>
                <w:sz w:val="20"/>
                <w:lang w:eastAsia="ja-JP"/>
              </w:rPr>
              <w:t xml:space="preserve"> </w:t>
            </w:r>
            <w:r w:rsidRPr="00FA53DE">
              <w:rPr>
                <w:rFonts w:hint="eastAsia"/>
                <w:lang w:eastAsia="ja-JP"/>
              </w:rPr>
              <w:t>(05/2002)</w:t>
            </w:r>
          </w:p>
        </w:tc>
        <w:tc>
          <w:tcPr>
            <w:tcW w:w="4161" w:type="dxa"/>
          </w:tcPr>
          <w:p w:rsidR="00D52D9B" w:rsidRPr="007F2522" w:rsidRDefault="00BB2708" w:rsidP="007F2522">
            <w:pPr>
              <w:pStyle w:val="Tabletext"/>
            </w:pPr>
            <w:r w:rsidRPr="007F2522">
              <w:t xml:space="preserve">This Recommendation provides a methodology that can be used to determine the interference levels that would be caused to fixed service systems by GSO fixed-satellite service systems operating at power flux-density levels above the threshold levels </w:t>
            </w:r>
            <w:r w:rsidR="00A80CF9">
              <w:t>specified in Resolution 77 (WRC</w:t>
            </w:r>
            <w:r w:rsidR="00A80CF9">
              <w:noBreakHyphen/>
            </w:r>
            <w:r w:rsidRPr="007F2522">
              <w:t>2000)</w:t>
            </w:r>
            <w:r w:rsidR="00F430EA" w:rsidRPr="007F2522">
              <w:t>.</w:t>
            </w:r>
          </w:p>
        </w:tc>
      </w:tr>
      <w:tr w:rsidR="00D52D9B" w:rsidTr="00567A45">
        <w:trPr>
          <w:cantSplit/>
        </w:trPr>
        <w:tc>
          <w:tcPr>
            <w:tcW w:w="1188" w:type="dxa"/>
          </w:tcPr>
          <w:p w:rsidR="00D52D9B" w:rsidRDefault="00511B29" w:rsidP="003D3D90">
            <w:pPr>
              <w:pStyle w:val="Tabletext"/>
            </w:pPr>
            <w:r w:rsidRPr="00567A45">
              <w:rPr>
                <w:rFonts w:hint="eastAsia"/>
                <w:lang w:val="en-US" w:eastAsia="ja-JP"/>
              </w:rPr>
              <w:t>S</w:t>
            </w:r>
            <w:r w:rsidRPr="00567A45">
              <w:rPr>
                <w:lang w:val="en-US"/>
              </w:rPr>
              <w:t>F.</w:t>
            </w:r>
            <w:r w:rsidRPr="00567A45">
              <w:rPr>
                <w:rFonts w:hint="eastAsia"/>
                <w:lang w:val="en-US" w:eastAsia="ja-JP"/>
              </w:rPr>
              <w:t>765</w:t>
            </w:r>
            <w:r w:rsidRPr="00567A45">
              <w:rPr>
                <w:lang w:val="en-US"/>
              </w:rPr>
              <w:noBreakHyphen/>
            </w:r>
            <w:r w:rsidRPr="00567A45">
              <w:rPr>
                <w:rFonts w:hint="eastAsia"/>
                <w:lang w:val="en-US" w:eastAsia="ja-JP"/>
              </w:rPr>
              <w:t>1</w:t>
            </w:r>
          </w:p>
        </w:tc>
        <w:tc>
          <w:tcPr>
            <w:tcW w:w="4500" w:type="dxa"/>
          </w:tcPr>
          <w:p w:rsidR="00D52D9B" w:rsidRDefault="00511B29" w:rsidP="003D3D90">
            <w:pPr>
              <w:pStyle w:val="Tabletext"/>
            </w:pPr>
            <w:r w:rsidRPr="007B32CA">
              <w:t>Intersection of radio-relay antenna beams with orbits used by space stations in the fixed-satellite service</w:t>
            </w:r>
            <w:r w:rsidR="00585D11">
              <w:t xml:space="preserve"> (02/2003)</w:t>
            </w:r>
          </w:p>
        </w:tc>
        <w:tc>
          <w:tcPr>
            <w:tcW w:w="4161" w:type="dxa"/>
          </w:tcPr>
          <w:p w:rsidR="00D52D9B" w:rsidRPr="007F2522" w:rsidRDefault="00511B29" w:rsidP="007F2522">
            <w:pPr>
              <w:pStyle w:val="Tabletext"/>
            </w:pPr>
            <w:r w:rsidRPr="007F2522">
              <w:rPr>
                <w:rFonts w:hint="eastAsia"/>
              </w:rPr>
              <w:t xml:space="preserve">This Recommendation discusses various aspects of </w:t>
            </w:r>
            <w:r w:rsidRPr="007F2522">
              <w:t xml:space="preserve">the </w:t>
            </w:r>
            <w:r w:rsidRPr="007F2522">
              <w:rPr>
                <w:rFonts w:hint="eastAsia"/>
              </w:rPr>
              <w:t xml:space="preserve">intersection of radio-relay antenna beams with orbits used by space stations in the fixed-satellite service and, in particular, Annex 2 presents an analytical method for calculating separation angles between radio-relay antenna beams and the geostationary-satellite orbit. This revised Recommendation expands the applicability of Annex 2 so that it becomes applicable also to radio-relay antennas with very high elevation angles. Appendix 1 to Annex 2 </w:t>
            </w:r>
            <w:r w:rsidR="00107A8B" w:rsidRPr="00567A45">
              <w:rPr>
                <w:rFonts w:eastAsia="MS Mincho" w:hint="eastAsia"/>
                <w:lang w:eastAsia="ja-JP"/>
              </w:rPr>
              <w:t>provides</w:t>
            </w:r>
            <w:r w:rsidR="00107A8B" w:rsidRPr="007F2522">
              <w:rPr>
                <w:rFonts w:hint="eastAsia"/>
              </w:rPr>
              <w:t xml:space="preserve"> </w:t>
            </w:r>
            <w:r w:rsidRPr="007F2522">
              <w:rPr>
                <w:rFonts w:hint="eastAsia"/>
              </w:rPr>
              <w:t>a computer program written in C language.</w:t>
            </w:r>
          </w:p>
        </w:tc>
      </w:tr>
      <w:tr w:rsidR="00A36FBB" w:rsidRPr="000073A0" w:rsidTr="00567A45">
        <w:trPr>
          <w:cantSplit/>
        </w:trPr>
        <w:tc>
          <w:tcPr>
            <w:tcW w:w="1188" w:type="dxa"/>
          </w:tcPr>
          <w:p w:rsidR="00A36FBB" w:rsidRDefault="00BD6CEF" w:rsidP="00FE1AD2">
            <w:pPr>
              <w:pStyle w:val="Tabletext"/>
            </w:pPr>
            <w:r w:rsidRPr="00567A45">
              <w:rPr>
                <w:rFonts w:hint="eastAsia"/>
                <w:lang w:val="en-US" w:eastAsia="ja-JP"/>
              </w:rPr>
              <w:t>SF</w:t>
            </w:r>
            <w:r w:rsidRPr="004E40F2">
              <w:rPr>
                <w:lang w:eastAsia="ja-JP"/>
              </w:rPr>
              <w:t>.1</w:t>
            </w:r>
            <w:r>
              <w:rPr>
                <w:rFonts w:hint="eastAsia"/>
                <w:lang w:eastAsia="ja-JP"/>
              </w:rPr>
              <w:t>482</w:t>
            </w:r>
          </w:p>
        </w:tc>
        <w:tc>
          <w:tcPr>
            <w:tcW w:w="4500" w:type="dxa"/>
          </w:tcPr>
          <w:p w:rsidR="00A36FBB" w:rsidRDefault="00BD6CEF" w:rsidP="00FE1AD2">
            <w:pPr>
              <w:pStyle w:val="Tabletext"/>
            </w:pPr>
            <w:r w:rsidRPr="000C6650">
              <w:t>Maximum allowable values of power flux-density (</w:t>
            </w:r>
            <w:proofErr w:type="spellStart"/>
            <w:r w:rsidRPr="000C6650">
              <w:t>pfd</w:t>
            </w:r>
            <w:proofErr w:type="spellEnd"/>
            <w:r w:rsidRPr="000C6650">
              <w:t>) produced at the Earth's surface by non-GSO satellites in the fixed-satellite service (FSS) operating in the 10.7</w:t>
            </w:r>
            <w:r w:rsidRPr="000C6650">
              <w:noBreakHyphen/>
              <w:t xml:space="preserve">12.75 GHz band </w:t>
            </w:r>
            <w:r>
              <w:rPr>
                <w:rFonts w:hint="eastAsia"/>
                <w:lang w:eastAsia="ja-JP"/>
              </w:rPr>
              <w:t>(05/2000)</w:t>
            </w:r>
          </w:p>
        </w:tc>
        <w:tc>
          <w:tcPr>
            <w:tcW w:w="4161" w:type="dxa"/>
          </w:tcPr>
          <w:p w:rsidR="00A36FBB" w:rsidRPr="00567A45" w:rsidRDefault="00BD6CEF" w:rsidP="007F2522">
            <w:pPr>
              <w:pStyle w:val="Tabletext"/>
              <w:rPr>
                <w:color w:val="0000FF"/>
              </w:rPr>
            </w:pPr>
            <w:r w:rsidRPr="00567A45">
              <w:rPr>
                <w:lang w:val="en-US"/>
              </w:rPr>
              <w:t xml:space="preserve">This </w:t>
            </w:r>
            <w:r>
              <w:t>Recommendation</w:t>
            </w:r>
            <w:r w:rsidRPr="00567A45">
              <w:rPr>
                <w:lang w:val="en-US"/>
              </w:rPr>
              <w:t xml:space="preserve"> </w:t>
            </w:r>
            <w:r>
              <w:t>provides</w:t>
            </w:r>
            <w:r w:rsidRPr="00567A45">
              <w:rPr>
                <w:lang w:val="en-US"/>
              </w:rPr>
              <w:t xml:space="preserve"> values of power flux-</w:t>
            </w:r>
            <w:r>
              <w:t>density</w:t>
            </w:r>
            <w:r w:rsidRPr="00567A45">
              <w:rPr>
                <w:lang w:val="en-US"/>
              </w:rPr>
              <w:t xml:space="preserve"> to </w:t>
            </w:r>
            <w:r>
              <w:t>protect</w:t>
            </w:r>
            <w:r w:rsidRPr="00567A45">
              <w:rPr>
                <w:lang w:val="en-US"/>
              </w:rPr>
              <w:t xml:space="preserve"> </w:t>
            </w:r>
            <w:r>
              <w:t>fixed</w:t>
            </w:r>
            <w:r w:rsidRPr="00567A45">
              <w:rPr>
                <w:lang w:val="en-US"/>
              </w:rPr>
              <w:t xml:space="preserve"> service (FS) </w:t>
            </w:r>
            <w:r>
              <w:t>receivers</w:t>
            </w:r>
            <w:r w:rsidRPr="00567A45">
              <w:rPr>
                <w:lang w:val="en-US"/>
              </w:rPr>
              <w:t xml:space="preserve"> </w:t>
            </w:r>
            <w:r>
              <w:t>from</w:t>
            </w:r>
            <w:r w:rsidRPr="00567A45">
              <w:rPr>
                <w:lang w:val="en-US"/>
              </w:rPr>
              <w:t xml:space="preserve"> </w:t>
            </w:r>
            <w:r>
              <w:t>emissions</w:t>
            </w:r>
            <w:r w:rsidRPr="00567A45">
              <w:rPr>
                <w:lang w:val="en-US"/>
              </w:rPr>
              <w:t xml:space="preserve"> of non-</w:t>
            </w:r>
            <w:r>
              <w:t>geostationary</w:t>
            </w:r>
            <w:r w:rsidRPr="00567A45">
              <w:rPr>
                <w:lang w:val="en-US"/>
              </w:rPr>
              <w:t xml:space="preserve"> </w:t>
            </w:r>
            <w:r>
              <w:t>orbit</w:t>
            </w:r>
            <w:r w:rsidRPr="00567A45">
              <w:rPr>
                <w:lang w:val="en-US"/>
              </w:rPr>
              <w:t xml:space="preserve"> (GSO) satellites in the 10.7-12.75 GHz band.  An </w:t>
            </w:r>
            <w:r>
              <w:t>Annex</w:t>
            </w:r>
            <w:r w:rsidRPr="00567A45">
              <w:rPr>
                <w:lang w:val="en-US"/>
              </w:rPr>
              <w:t xml:space="preserve"> </w:t>
            </w:r>
            <w:r>
              <w:t>provides</w:t>
            </w:r>
            <w:r w:rsidRPr="00567A45">
              <w:rPr>
                <w:lang w:val="en-US"/>
              </w:rPr>
              <w:t xml:space="preserve"> the FS </w:t>
            </w:r>
            <w:r>
              <w:t>characteristics</w:t>
            </w:r>
            <w:r w:rsidRPr="00567A45">
              <w:rPr>
                <w:lang w:val="en-US"/>
              </w:rPr>
              <w:t xml:space="preserve"> and protection </w:t>
            </w:r>
            <w:r>
              <w:t xml:space="preserve">criteria along with </w:t>
            </w:r>
            <w:r w:rsidRPr="00567A45">
              <w:rPr>
                <w:lang w:val="en-US"/>
              </w:rPr>
              <w:t xml:space="preserve">the </w:t>
            </w:r>
            <w:r>
              <w:t xml:space="preserve">methodologies used </w:t>
            </w:r>
            <w:r w:rsidRPr="00567A45">
              <w:rPr>
                <w:lang w:val="en-US"/>
              </w:rPr>
              <w:t xml:space="preserve">to </w:t>
            </w:r>
            <w:r>
              <w:t>assess</w:t>
            </w:r>
            <w:r w:rsidRPr="00567A45">
              <w:rPr>
                <w:lang w:val="en-US"/>
              </w:rPr>
              <w:t xml:space="preserve"> the </w:t>
            </w:r>
            <w:r>
              <w:t>adequacy</w:t>
            </w:r>
            <w:r w:rsidRPr="00567A45">
              <w:rPr>
                <w:lang w:val="en-US"/>
              </w:rPr>
              <w:t xml:space="preserve"> of </w:t>
            </w:r>
            <w:r>
              <w:t>these</w:t>
            </w:r>
            <w:r w:rsidRPr="00567A45">
              <w:rPr>
                <w:lang w:val="en-US"/>
              </w:rPr>
              <w:t xml:space="preserve"> </w:t>
            </w:r>
            <w:r>
              <w:t>limits</w:t>
            </w:r>
            <w:r w:rsidRPr="00567A45">
              <w:rPr>
                <w:lang w:val="en-US"/>
              </w:rPr>
              <w:t xml:space="preserve"> to </w:t>
            </w:r>
            <w:r>
              <w:t>protect</w:t>
            </w:r>
            <w:r w:rsidRPr="00567A45">
              <w:rPr>
                <w:lang w:val="en-US"/>
              </w:rPr>
              <w:t xml:space="preserve"> the FS.</w:t>
            </w:r>
          </w:p>
        </w:tc>
      </w:tr>
      <w:tr w:rsidR="00A36FBB" w:rsidRPr="000073A0" w:rsidTr="00567A45">
        <w:trPr>
          <w:cantSplit/>
        </w:trPr>
        <w:tc>
          <w:tcPr>
            <w:tcW w:w="1188" w:type="dxa"/>
          </w:tcPr>
          <w:p w:rsidR="00A36FBB" w:rsidRPr="007F2522" w:rsidRDefault="00BD6CEF" w:rsidP="007F2522">
            <w:pPr>
              <w:pStyle w:val="Tabletext"/>
            </w:pPr>
            <w:r w:rsidRPr="007F2522">
              <w:lastRenderedPageBreak/>
              <w:t>SF.1483</w:t>
            </w:r>
          </w:p>
        </w:tc>
        <w:tc>
          <w:tcPr>
            <w:tcW w:w="4500" w:type="dxa"/>
          </w:tcPr>
          <w:p w:rsidR="00A36FBB" w:rsidRPr="007F2522" w:rsidRDefault="00BD6CEF" w:rsidP="007F2522">
            <w:pPr>
              <w:pStyle w:val="Tabletext"/>
            </w:pPr>
            <w:r w:rsidRPr="007F2522">
              <w:t>Maximum allowable values of power flux-density (</w:t>
            </w:r>
            <w:proofErr w:type="spellStart"/>
            <w:r w:rsidRPr="007F2522">
              <w:t>pfd</w:t>
            </w:r>
            <w:proofErr w:type="spellEnd"/>
            <w:r w:rsidRPr="007F2522">
              <w:t>) produced at the Earth's surface by non-GSO satellites in the fixed-satellite service (FSS) operating in the 17.7</w:t>
            </w:r>
            <w:r w:rsidRPr="007F2522">
              <w:noBreakHyphen/>
              <w:t xml:space="preserve">19.3 GHz band </w:t>
            </w:r>
            <w:r w:rsidRPr="007F2522">
              <w:rPr>
                <w:rFonts w:hint="eastAsia"/>
              </w:rPr>
              <w:t>(05/2000)</w:t>
            </w:r>
          </w:p>
        </w:tc>
        <w:tc>
          <w:tcPr>
            <w:tcW w:w="4161" w:type="dxa"/>
          </w:tcPr>
          <w:p w:rsidR="00A36FBB" w:rsidRPr="000073A0" w:rsidRDefault="00BD6CEF" w:rsidP="007F2522">
            <w:pPr>
              <w:pStyle w:val="Tabletext"/>
            </w:pPr>
            <w:r w:rsidRPr="00004350">
              <w:t xml:space="preserve">This </w:t>
            </w:r>
            <w:r>
              <w:t xml:space="preserve">Recommendation provides </w:t>
            </w:r>
            <w:r w:rsidRPr="00004350">
              <w:t>values of power flux-</w:t>
            </w:r>
            <w:r>
              <w:t>density</w:t>
            </w:r>
            <w:r w:rsidRPr="00004350">
              <w:t xml:space="preserve"> to </w:t>
            </w:r>
            <w:r>
              <w:t xml:space="preserve">protect fixed </w:t>
            </w:r>
            <w:r w:rsidRPr="00004350">
              <w:t xml:space="preserve">service </w:t>
            </w:r>
            <w:r>
              <w:t>receivers</w:t>
            </w:r>
            <w:r w:rsidRPr="00004350">
              <w:t xml:space="preserve"> </w:t>
            </w:r>
            <w:r>
              <w:t>from</w:t>
            </w:r>
            <w:r w:rsidRPr="00004350">
              <w:t xml:space="preserve"> </w:t>
            </w:r>
            <w:r>
              <w:t>emissions</w:t>
            </w:r>
            <w:r w:rsidRPr="00004350">
              <w:t xml:space="preserve"> of non-GSO satellites in the </w:t>
            </w:r>
            <w:r>
              <w:t>fixed-</w:t>
            </w:r>
            <w:r w:rsidRPr="00004350">
              <w:t>satellite service operating in the</w:t>
            </w:r>
            <w:r>
              <w:t xml:space="preserve"> 17.7</w:t>
            </w:r>
            <w:r>
              <w:noBreakHyphen/>
            </w:r>
            <w:r w:rsidRPr="00004350">
              <w:t xml:space="preserve">19.3 GHz band.  An </w:t>
            </w:r>
            <w:r>
              <w:t>Annex</w:t>
            </w:r>
            <w:r w:rsidRPr="00004350">
              <w:t xml:space="preserve"> </w:t>
            </w:r>
            <w:r>
              <w:t>provides</w:t>
            </w:r>
            <w:r w:rsidRPr="00004350">
              <w:t xml:space="preserve"> the FS </w:t>
            </w:r>
            <w:r>
              <w:t>characteristics</w:t>
            </w:r>
            <w:r w:rsidRPr="00004350">
              <w:t xml:space="preserve"> and protection </w:t>
            </w:r>
            <w:r>
              <w:t xml:space="preserve">criteria along with </w:t>
            </w:r>
            <w:r w:rsidRPr="00004350">
              <w:t xml:space="preserve">the </w:t>
            </w:r>
            <w:r>
              <w:t xml:space="preserve">methodologies used </w:t>
            </w:r>
            <w:r w:rsidRPr="00004350">
              <w:t xml:space="preserve">to </w:t>
            </w:r>
            <w:r>
              <w:t>assess</w:t>
            </w:r>
            <w:r w:rsidRPr="00004350">
              <w:t xml:space="preserve"> the </w:t>
            </w:r>
            <w:r>
              <w:t>adequacy</w:t>
            </w:r>
            <w:r w:rsidRPr="00004350">
              <w:t xml:space="preserve"> of </w:t>
            </w:r>
            <w:r>
              <w:t>these</w:t>
            </w:r>
            <w:r w:rsidRPr="00004350">
              <w:t xml:space="preserve"> </w:t>
            </w:r>
            <w:r>
              <w:t>limits</w:t>
            </w:r>
            <w:r w:rsidRPr="00004350">
              <w:t xml:space="preserve"> to </w:t>
            </w:r>
            <w:r>
              <w:t>protect</w:t>
            </w:r>
            <w:r w:rsidRPr="00004350">
              <w:t xml:space="preserve"> the FS</w:t>
            </w:r>
            <w:r w:rsidR="00F430EA">
              <w:t>.</w:t>
            </w:r>
          </w:p>
        </w:tc>
      </w:tr>
      <w:tr w:rsidR="00A36FBB" w:rsidRPr="000073A0" w:rsidTr="00567A45">
        <w:trPr>
          <w:cantSplit/>
        </w:trPr>
        <w:tc>
          <w:tcPr>
            <w:tcW w:w="1188" w:type="dxa"/>
          </w:tcPr>
          <w:p w:rsidR="00A36FBB" w:rsidRDefault="00A36FBB" w:rsidP="00FE1AD2">
            <w:pPr>
              <w:pStyle w:val="Tabletext"/>
            </w:pPr>
          </w:p>
        </w:tc>
        <w:tc>
          <w:tcPr>
            <w:tcW w:w="4500" w:type="dxa"/>
          </w:tcPr>
          <w:p w:rsidR="00A36FBB" w:rsidRDefault="00A36FBB" w:rsidP="00FE1AD2">
            <w:pPr>
              <w:pStyle w:val="Tabletext"/>
            </w:pPr>
          </w:p>
        </w:tc>
        <w:tc>
          <w:tcPr>
            <w:tcW w:w="4161" w:type="dxa"/>
          </w:tcPr>
          <w:p w:rsidR="00A36FBB" w:rsidRPr="00567A45" w:rsidRDefault="00A36FBB" w:rsidP="007F2522">
            <w:pPr>
              <w:pStyle w:val="Tabletext"/>
              <w:rPr>
                <w:b/>
                <w:color w:val="0000FF"/>
                <w:lang w:eastAsia="ja-JP"/>
              </w:rPr>
            </w:pPr>
          </w:p>
        </w:tc>
      </w:tr>
      <w:tr w:rsidR="00A36FBB" w:rsidRPr="000073A0" w:rsidTr="00567A45">
        <w:trPr>
          <w:cantSplit/>
        </w:trPr>
        <w:tc>
          <w:tcPr>
            <w:tcW w:w="1188" w:type="dxa"/>
          </w:tcPr>
          <w:p w:rsidR="00A36FBB" w:rsidRDefault="00A36FBB" w:rsidP="00FE1AD2">
            <w:pPr>
              <w:pStyle w:val="Tabletext"/>
            </w:pPr>
          </w:p>
        </w:tc>
        <w:tc>
          <w:tcPr>
            <w:tcW w:w="4500" w:type="dxa"/>
          </w:tcPr>
          <w:p w:rsidR="00A36FBB" w:rsidRDefault="00A36FBB" w:rsidP="00FE1AD2">
            <w:pPr>
              <w:pStyle w:val="Tabletext"/>
            </w:pPr>
          </w:p>
        </w:tc>
        <w:tc>
          <w:tcPr>
            <w:tcW w:w="4161" w:type="dxa"/>
          </w:tcPr>
          <w:p w:rsidR="00A36FBB" w:rsidRPr="007F2522" w:rsidRDefault="00A36FBB" w:rsidP="007F2522">
            <w:pPr>
              <w:pStyle w:val="Tabletext"/>
            </w:pPr>
          </w:p>
        </w:tc>
      </w:tr>
      <w:tr w:rsidR="00A80CF9" w:rsidRPr="000073A0" w:rsidTr="00567A45">
        <w:trPr>
          <w:cantSplit/>
        </w:trPr>
        <w:tc>
          <w:tcPr>
            <w:tcW w:w="1188" w:type="dxa"/>
          </w:tcPr>
          <w:p w:rsidR="00A80CF9" w:rsidRDefault="00A80CF9" w:rsidP="00FE1AD2">
            <w:pPr>
              <w:pStyle w:val="Tabletext"/>
            </w:pPr>
            <w:r w:rsidRPr="00567A45">
              <w:rPr>
                <w:rFonts w:hint="eastAsia"/>
                <w:lang w:val="en-US" w:eastAsia="ja-JP"/>
              </w:rPr>
              <w:t>S</w:t>
            </w:r>
            <w:r w:rsidRPr="00567A45">
              <w:rPr>
                <w:lang w:val="en-US"/>
              </w:rPr>
              <w:t>F.</w:t>
            </w:r>
            <w:r w:rsidRPr="004E40F2">
              <w:rPr>
                <w:lang w:eastAsia="ja-JP"/>
              </w:rPr>
              <w:t>1</w:t>
            </w:r>
            <w:r>
              <w:rPr>
                <w:lang w:eastAsia="ja-JP"/>
              </w:rPr>
              <w:t>719</w:t>
            </w:r>
          </w:p>
        </w:tc>
        <w:tc>
          <w:tcPr>
            <w:tcW w:w="4500" w:type="dxa"/>
          </w:tcPr>
          <w:p w:rsidR="00A80CF9" w:rsidRDefault="00A80CF9" w:rsidP="00FE1AD2">
            <w:pPr>
              <w:pStyle w:val="Tabletext"/>
            </w:pPr>
            <w:r>
              <w:t xml:space="preserve">Sharing between point-to-point and point-to-multipoint fixed service and transmitting earth stations of GSO and non-GSO FSS systems in the 27.5-29.5 GHz band </w:t>
            </w:r>
          </w:p>
        </w:tc>
        <w:tc>
          <w:tcPr>
            <w:tcW w:w="4161" w:type="dxa"/>
          </w:tcPr>
          <w:p w:rsidR="00A80CF9" w:rsidRPr="00A80CF9" w:rsidRDefault="00A80CF9" w:rsidP="00A80CF9">
            <w:pPr>
              <w:pStyle w:val="Tabletext"/>
            </w:pPr>
            <w:r w:rsidRPr="00A80CF9">
              <w:t>This Recommendation examines sharing as described in the title. The Annex provides various methodologies of interference analysis to support the recommends that administrations avoid the deployment of FS receiver stations and large numbers of FSS transmitting earth stations with overlapping frequencies within the band 27.5-29.5 GHz in the same geographical area.</w:t>
            </w:r>
          </w:p>
        </w:tc>
      </w:tr>
    </w:tbl>
    <w:p w:rsidR="007F2522" w:rsidRDefault="007F2522" w:rsidP="000E245E">
      <w:pPr>
        <w:pStyle w:val="Headingb"/>
      </w:pPr>
    </w:p>
    <w:p w:rsidR="000E245E" w:rsidRPr="00AD4FF5" w:rsidRDefault="007F2522" w:rsidP="00AD4FF5">
      <w:pPr>
        <w:spacing w:before="240" w:after="120" w:line="320" w:lineRule="exact"/>
        <w:rPr>
          <w:b/>
        </w:rPr>
      </w:pPr>
      <w:r>
        <w:br w:type="page"/>
      </w:r>
      <w:r w:rsidR="00004ACA">
        <w:rPr>
          <w:b/>
        </w:rPr>
        <w:lastRenderedPageBreak/>
        <w:t>Section 1</w:t>
      </w:r>
      <w:r w:rsidR="000E245E" w:rsidRPr="00AD4FF5">
        <w:rPr>
          <w:b/>
        </w:rPr>
        <w:t>B</w:t>
      </w:r>
      <w:r w:rsidR="000E245E" w:rsidRPr="00AD4FF5">
        <w:rPr>
          <w:b/>
        </w:rPr>
        <w:tab/>
      </w:r>
      <w:r w:rsidR="00004ACA">
        <w:rPr>
          <w:b/>
        </w:rPr>
        <w:tab/>
      </w:r>
      <w:r w:rsidR="000E245E" w:rsidRPr="00AD4FF5">
        <w:rPr>
          <w:b/>
        </w:rPr>
        <w:t>Coordination and interference 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3D3D90" w:rsidTr="00567A45">
        <w:tc>
          <w:tcPr>
            <w:tcW w:w="1188" w:type="dxa"/>
          </w:tcPr>
          <w:p w:rsidR="003D3D90" w:rsidRPr="00D52D9B" w:rsidRDefault="003D3D90" w:rsidP="007E20A7">
            <w:pPr>
              <w:pStyle w:val="Tablehead"/>
            </w:pPr>
            <w:r w:rsidRPr="00D52D9B">
              <w:t>No</w:t>
            </w:r>
          </w:p>
        </w:tc>
        <w:tc>
          <w:tcPr>
            <w:tcW w:w="4500" w:type="dxa"/>
          </w:tcPr>
          <w:p w:rsidR="003D3D90" w:rsidRPr="00D52D9B" w:rsidRDefault="003D3D90" w:rsidP="007E20A7">
            <w:pPr>
              <w:pStyle w:val="Tablehead"/>
            </w:pPr>
            <w:r w:rsidRPr="00D52D9B">
              <w:t>Title</w:t>
            </w:r>
          </w:p>
        </w:tc>
        <w:tc>
          <w:tcPr>
            <w:tcW w:w="4161" w:type="dxa"/>
          </w:tcPr>
          <w:p w:rsidR="003D3D90" w:rsidRPr="000073A0" w:rsidRDefault="003D3D90" w:rsidP="007E20A7">
            <w:pPr>
              <w:pStyle w:val="Tablehead"/>
            </w:pPr>
            <w:r w:rsidRPr="000073A0">
              <w:t>Scope</w:t>
            </w:r>
          </w:p>
        </w:tc>
      </w:tr>
      <w:tr w:rsidR="00D52D9B" w:rsidRPr="00546CFA" w:rsidTr="00567A45">
        <w:tc>
          <w:tcPr>
            <w:tcW w:w="1188" w:type="dxa"/>
          </w:tcPr>
          <w:p w:rsidR="00D52D9B" w:rsidRPr="00E85C66" w:rsidRDefault="00E0038F" w:rsidP="003D3D90">
            <w:pPr>
              <w:pStyle w:val="Tabletext"/>
              <w:rPr>
                <w:rFonts w:eastAsia="MS Mincho"/>
              </w:rPr>
            </w:pPr>
            <w:r w:rsidRPr="00567A45">
              <w:rPr>
                <w:rFonts w:hint="eastAsia"/>
                <w:lang w:val="en-US" w:eastAsia="ja-JP"/>
              </w:rPr>
              <w:t>S</w:t>
            </w:r>
            <w:r w:rsidRPr="004E40F2">
              <w:rPr>
                <w:lang w:eastAsia="ja-JP"/>
              </w:rPr>
              <w:t>F.</w:t>
            </w:r>
            <w:r>
              <w:rPr>
                <w:rFonts w:hint="eastAsia"/>
                <w:lang w:eastAsia="ja-JP"/>
              </w:rPr>
              <w:t>675</w:t>
            </w:r>
            <w:r w:rsidRPr="004E40F2">
              <w:rPr>
                <w:lang w:eastAsia="ja-JP"/>
              </w:rPr>
              <w:t>-</w:t>
            </w:r>
            <w:r w:rsidR="00105033">
              <w:rPr>
                <w:rFonts w:eastAsia="MS Mincho" w:hint="eastAsia"/>
                <w:lang w:eastAsia="ja-JP"/>
              </w:rPr>
              <w:t>4</w:t>
            </w:r>
          </w:p>
        </w:tc>
        <w:tc>
          <w:tcPr>
            <w:tcW w:w="4500" w:type="dxa"/>
          </w:tcPr>
          <w:p w:rsidR="00D52D9B" w:rsidRPr="00546CFA" w:rsidRDefault="00E0038F">
            <w:pPr>
              <w:pStyle w:val="Tabletext"/>
            </w:pPr>
            <w:r w:rsidRPr="00B14C74">
              <w:t>Calculation of the maximum power density (a</w:t>
            </w:r>
            <w:r>
              <w:t>veraged over 4 kHz) of an angle</w:t>
            </w:r>
            <w:r>
              <w:noBreakHyphen/>
            </w:r>
            <w:r w:rsidRPr="00B14C74">
              <w:t xml:space="preserve">modulated carrier </w:t>
            </w:r>
            <w:r>
              <w:rPr>
                <w:rFonts w:hint="eastAsia"/>
                <w:lang w:eastAsia="ja-JP"/>
              </w:rPr>
              <w:t>(0</w:t>
            </w:r>
            <w:r w:rsidR="008078F5">
              <w:rPr>
                <w:rFonts w:eastAsia="MS Mincho" w:hint="eastAsia"/>
                <w:lang w:eastAsia="ja-JP"/>
              </w:rPr>
              <w:t>1</w:t>
            </w:r>
            <w:r>
              <w:rPr>
                <w:rFonts w:hint="eastAsia"/>
                <w:lang w:eastAsia="ja-JP"/>
              </w:rPr>
              <w:t>/</w:t>
            </w:r>
            <w:r w:rsidR="00105033">
              <w:rPr>
                <w:rFonts w:eastAsia="MS Mincho" w:hint="eastAsia"/>
                <w:lang w:eastAsia="ja-JP"/>
              </w:rPr>
              <w:t>2012</w:t>
            </w:r>
            <w:r>
              <w:rPr>
                <w:rFonts w:hint="eastAsia"/>
                <w:lang w:eastAsia="ja-JP"/>
              </w:rPr>
              <w:t>)</w:t>
            </w:r>
          </w:p>
        </w:tc>
        <w:tc>
          <w:tcPr>
            <w:tcW w:w="4161" w:type="dxa"/>
          </w:tcPr>
          <w:p w:rsidR="00D52D9B" w:rsidRPr="00E85C66" w:rsidRDefault="00105033" w:rsidP="003D3D90">
            <w:pPr>
              <w:pStyle w:val="Tabletext"/>
              <w:rPr>
                <w:rFonts w:eastAsia="MS Mincho"/>
                <w:lang w:eastAsia="ja-JP"/>
              </w:rPr>
            </w:pPr>
            <w:r w:rsidRPr="00AE0BE7">
              <w:rPr>
                <w:szCs w:val="22"/>
              </w:rPr>
              <w:t xml:space="preserve"> This Recommendation provides methods for calculating the maximum power density of various types of carriers averaged over 4 kHz or 1 </w:t>
            </w:r>
            <w:proofErr w:type="spellStart"/>
            <w:r w:rsidRPr="00AE0BE7">
              <w:rPr>
                <w:szCs w:val="22"/>
              </w:rPr>
              <w:t>MHz.</w:t>
            </w:r>
            <w:proofErr w:type="spellEnd"/>
          </w:p>
        </w:tc>
      </w:tr>
      <w:tr w:rsidR="00D52D9B" w:rsidRPr="00546CFA" w:rsidTr="00567A45">
        <w:tc>
          <w:tcPr>
            <w:tcW w:w="1188" w:type="dxa"/>
          </w:tcPr>
          <w:p w:rsidR="00D52D9B" w:rsidRPr="00546CFA" w:rsidRDefault="00E0038F" w:rsidP="003D3D90">
            <w:pPr>
              <w:pStyle w:val="Tabletext"/>
            </w:pPr>
            <w:r w:rsidRPr="00567A45">
              <w:rPr>
                <w:rFonts w:hint="eastAsia"/>
                <w:lang w:val="en-US" w:eastAsia="ja-JP"/>
              </w:rPr>
              <w:t>SF</w:t>
            </w:r>
            <w:r w:rsidRPr="004E40F2">
              <w:rPr>
                <w:lang w:eastAsia="ja-JP"/>
              </w:rPr>
              <w:t>.</w:t>
            </w:r>
            <w:r>
              <w:rPr>
                <w:rFonts w:hint="eastAsia"/>
                <w:lang w:eastAsia="ja-JP"/>
              </w:rPr>
              <w:t>766</w:t>
            </w:r>
          </w:p>
        </w:tc>
        <w:tc>
          <w:tcPr>
            <w:tcW w:w="4500" w:type="dxa"/>
          </w:tcPr>
          <w:p w:rsidR="00D52D9B" w:rsidRPr="00546CFA" w:rsidRDefault="00E0038F" w:rsidP="003D3D90">
            <w:pPr>
              <w:pStyle w:val="Tabletext"/>
            </w:pPr>
            <w:r w:rsidRPr="00A55D5E">
              <w:t>Methods for determining the effects of interference on the performance and the availability of terrestrial radio-relay systems and systems in the fixed-satellite service</w:t>
            </w:r>
            <w:r>
              <w:rPr>
                <w:rFonts w:hint="eastAsia"/>
                <w:lang w:eastAsia="ja-JP"/>
              </w:rPr>
              <w:t xml:space="preserve"> (03/1992)</w:t>
            </w:r>
          </w:p>
        </w:tc>
        <w:tc>
          <w:tcPr>
            <w:tcW w:w="4161" w:type="dxa"/>
          </w:tcPr>
          <w:p w:rsidR="00D52D9B" w:rsidRPr="00567A45" w:rsidRDefault="00004ACA" w:rsidP="003D3D90">
            <w:pPr>
              <w:pStyle w:val="Tabletext"/>
              <w:rPr>
                <w:szCs w:val="24"/>
              </w:rPr>
            </w:pPr>
            <w:r w:rsidRPr="00567A45">
              <w:rPr>
                <w:szCs w:val="24"/>
              </w:rPr>
              <w:t>None</w:t>
            </w:r>
          </w:p>
        </w:tc>
      </w:tr>
      <w:tr w:rsidR="00D52D9B" w:rsidRPr="00546CFA" w:rsidTr="00567A45">
        <w:tc>
          <w:tcPr>
            <w:tcW w:w="1188" w:type="dxa"/>
          </w:tcPr>
          <w:p w:rsidR="00D52D9B" w:rsidRPr="00546CFA" w:rsidRDefault="00E0038F" w:rsidP="003D3D90">
            <w:pPr>
              <w:pStyle w:val="Tabletext"/>
            </w:pPr>
            <w:r w:rsidRPr="00567A45">
              <w:rPr>
                <w:rFonts w:hint="eastAsia"/>
                <w:lang w:val="en-US" w:eastAsia="ja-JP"/>
              </w:rPr>
              <w:t>SF</w:t>
            </w:r>
            <w:r w:rsidRPr="004E40F2">
              <w:rPr>
                <w:lang w:eastAsia="ja-JP"/>
              </w:rPr>
              <w:t>.</w:t>
            </w:r>
            <w:r>
              <w:rPr>
                <w:rFonts w:hint="eastAsia"/>
                <w:lang w:eastAsia="ja-JP"/>
              </w:rPr>
              <w:t>1006</w:t>
            </w:r>
          </w:p>
        </w:tc>
        <w:tc>
          <w:tcPr>
            <w:tcW w:w="4500" w:type="dxa"/>
          </w:tcPr>
          <w:p w:rsidR="00D52D9B" w:rsidRPr="00546CFA" w:rsidRDefault="00E0038F" w:rsidP="003D3D90">
            <w:pPr>
              <w:pStyle w:val="Tabletext"/>
            </w:pPr>
            <w:r w:rsidRPr="00A12F0B">
              <w:t>Determination of the interference potential between earth stations of the fixed-satellite service and stations in the fixed service</w:t>
            </w:r>
            <w:r>
              <w:rPr>
                <w:rFonts w:hint="eastAsia"/>
                <w:lang w:eastAsia="ja-JP"/>
              </w:rPr>
              <w:t xml:space="preserve"> (04/1993)</w:t>
            </w:r>
          </w:p>
        </w:tc>
        <w:tc>
          <w:tcPr>
            <w:tcW w:w="4161" w:type="dxa"/>
          </w:tcPr>
          <w:p w:rsidR="00D52D9B" w:rsidRPr="00546CFA" w:rsidRDefault="00004ACA" w:rsidP="003D3D90">
            <w:pPr>
              <w:pStyle w:val="Tabletext"/>
            </w:pPr>
            <w:r>
              <w:t>None</w:t>
            </w:r>
          </w:p>
        </w:tc>
      </w:tr>
      <w:tr w:rsidR="00A36FBB" w:rsidRPr="000073A0" w:rsidTr="00567A45">
        <w:tc>
          <w:tcPr>
            <w:tcW w:w="1188" w:type="dxa"/>
          </w:tcPr>
          <w:p w:rsidR="00A36FBB" w:rsidRDefault="00E909D6" w:rsidP="00FE1AD2">
            <w:pPr>
              <w:pStyle w:val="Tabletext"/>
            </w:pPr>
            <w:r w:rsidRPr="00567A45">
              <w:rPr>
                <w:rFonts w:hint="eastAsia"/>
                <w:lang w:val="en-US" w:eastAsia="ja-JP"/>
              </w:rPr>
              <w:t>SF</w:t>
            </w:r>
            <w:r w:rsidRPr="004E40F2">
              <w:rPr>
                <w:lang w:eastAsia="ja-JP"/>
              </w:rPr>
              <w:t>.</w:t>
            </w:r>
            <w:r>
              <w:rPr>
                <w:rFonts w:hint="eastAsia"/>
                <w:lang w:eastAsia="ja-JP"/>
              </w:rPr>
              <w:t>1</w:t>
            </w:r>
            <w:r w:rsidRPr="004E40F2">
              <w:rPr>
                <w:lang w:eastAsia="ja-JP"/>
              </w:rPr>
              <w:t>3</w:t>
            </w:r>
            <w:r>
              <w:rPr>
                <w:rFonts w:hint="eastAsia"/>
                <w:lang w:eastAsia="ja-JP"/>
              </w:rPr>
              <w:t>95</w:t>
            </w:r>
          </w:p>
        </w:tc>
        <w:tc>
          <w:tcPr>
            <w:tcW w:w="4500" w:type="dxa"/>
          </w:tcPr>
          <w:p w:rsidR="00A36FBB" w:rsidRDefault="00E909D6" w:rsidP="00FE1AD2">
            <w:pPr>
              <w:pStyle w:val="Tabletext"/>
            </w:pPr>
            <w:r w:rsidRPr="00D57DB1">
              <w:t>Minimum propagation attenuation due to atmospheric gases for use in frequency sharing studies between the fixed-satellite service and the fixed service</w:t>
            </w:r>
            <w:r>
              <w:rPr>
                <w:rFonts w:hint="eastAsia"/>
                <w:lang w:eastAsia="ja-JP"/>
              </w:rPr>
              <w:t xml:space="preserve"> (03/1993)</w:t>
            </w:r>
          </w:p>
        </w:tc>
        <w:tc>
          <w:tcPr>
            <w:tcW w:w="4161" w:type="dxa"/>
          </w:tcPr>
          <w:p w:rsidR="00A36FBB" w:rsidRPr="007F2522" w:rsidRDefault="00E909D6" w:rsidP="007F2522">
            <w:pPr>
              <w:pStyle w:val="Tabletext"/>
            </w:pPr>
            <w:r w:rsidRPr="007F2522">
              <w:t>This Recommendation gives approximate formulae of minimum propagation attenuation in the Earth-to-space link due to atmospheric gases for use in frequency sharing studies between the fixed</w:t>
            </w:r>
            <w:r w:rsidRPr="007F2522">
              <w:noBreakHyphen/>
              <w:t>satellite service and the fixed service. Three formulae are presented for each of thirteen frequency bands in the 10 </w:t>
            </w:r>
            <w:r w:rsidRPr="007F2522">
              <w:noBreakHyphen/>
              <w:t> 50 GHz range, corresponding to the low-latitude, mid-latitude and high</w:t>
            </w:r>
            <w:r w:rsidRPr="007F2522">
              <w:noBreakHyphen/>
              <w:t>latitude areas. The information in this Recommendation is based on Recommendation ITU-R P.676-3 (</w:t>
            </w:r>
            <w:smartTag w:uri="urn:schemas-microsoft-com:office:smarttags" w:element="City">
              <w:r w:rsidRPr="007F2522">
                <w:t>Geneva</w:t>
              </w:r>
            </w:smartTag>
            <w:r w:rsidR="001E4341">
              <w:t>, 1997) and Recommendation ITU</w:t>
            </w:r>
            <w:r w:rsidR="001E4341">
              <w:noBreakHyphen/>
            </w:r>
            <w:r w:rsidRPr="007F2522">
              <w:t>R P.835-2 (</w:t>
            </w:r>
            <w:smartTag w:uri="urn:schemas-microsoft-com:office:smarttags" w:element="City">
              <w:smartTag w:uri="urn:schemas-microsoft-com:office:smarttags" w:element="place">
                <w:r w:rsidRPr="007F2522">
                  <w:t>Geneva</w:t>
                </w:r>
              </w:smartTag>
            </w:smartTag>
            <w:r w:rsidRPr="007F2522">
              <w:t>, 1997).</w:t>
            </w:r>
          </w:p>
        </w:tc>
      </w:tr>
      <w:tr w:rsidR="00A36FBB" w:rsidRPr="000073A0" w:rsidTr="00567A45">
        <w:tc>
          <w:tcPr>
            <w:tcW w:w="1188" w:type="dxa"/>
          </w:tcPr>
          <w:p w:rsidR="00A36FBB" w:rsidRDefault="00E909D6" w:rsidP="00FE1AD2">
            <w:pPr>
              <w:pStyle w:val="Tabletext"/>
            </w:pPr>
            <w:r w:rsidRPr="00567A45">
              <w:rPr>
                <w:rFonts w:hint="eastAsia"/>
                <w:lang w:val="en-US" w:eastAsia="ja-JP"/>
              </w:rPr>
              <w:t>SF</w:t>
            </w:r>
            <w:r w:rsidRPr="004E40F2">
              <w:rPr>
                <w:lang w:eastAsia="ja-JP"/>
              </w:rPr>
              <w:t>.</w:t>
            </w:r>
            <w:r>
              <w:rPr>
                <w:rFonts w:hint="eastAsia"/>
                <w:lang w:eastAsia="ja-JP"/>
              </w:rPr>
              <w:t>1485</w:t>
            </w:r>
          </w:p>
        </w:tc>
        <w:tc>
          <w:tcPr>
            <w:tcW w:w="4500" w:type="dxa"/>
          </w:tcPr>
          <w:p w:rsidR="00A36FBB" w:rsidRDefault="00E909D6" w:rsidP="00FE1AD2">
            <w:pPr>
              <w:pStyle w:val="Tabletext"/>
            </w:pPr>
            <w:r w:rsidRPr="00D57DB1">
              <w:t>Determination of the coordination area for earth stations operating with non-geostationary space stations in the fixed</w:t>
            </w:r>
            <w:r w:rsidRPr="00D57DB1">
              <w:noBreakHyphen/>
              <w:t>satellite service in frequency bands shared with the fixed service</w:t>
            </w:r>
            <w:r>
              <w:rPr>
                <w:rFonts w:hint="eastAsia"/>
                <w:lang w:eastAsia="ja-JP"/>
              </w:rPr>
              <w:t xml:space="preserve"> (05/2000)</w:t>
            </w:r>
          </w:p>
        </w:tc>
        <w:tc>
          <w:tcPr>
            <w:tcW w:w="4161" w:type="dxa"/>
          </w:tcPr>
          <w:p w:rsidR="00A36FBB" w:rsidRPr="007F2522" w:rsidRDefault="00E909D6" w:rsidP="007F2522">
            <w:pPr>
              <w:pStyle w:val="Tabletext"/>
            </w:pPr>
            <w:r w:rsidRPr="007F2522">
              <w:t>This Recommendation addresses the determination of coordination area for earth stations operating with non-geostationary satellites in the fixed-satellite service in frequency bands shared with the fixed service.  Annex 1 describes the determination using a method sometimes called the time-varying gain (TVG) method and provides examples of its application in the Appendices to Annex 1 (See also Recommendation ITU-R SM.1448, Annex 1, § 2.2.2).  Annex 2 provides a description of the determination of coordination area using a method sometimes called the composite method.</w:t>
            </w:r>
          </w:p>
        </w:tc>
      </w:tr>
    </w:tbl>
    <w:p w:rsidR="007F2522" w:rsidRDefault="007F2522"/>
    <w:p w:rsidR="00004ACA" w:rsidRDefault="007F252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004ACA" w:rsidRPr="000073A0" w:rsidTr="00567A45">
        <w:tc>
          <w:tcPr>
            <w:tcW w:w="1188" w:type="dxa"/>
          </w:tcPr>
          <w:p w:rsidR="00004ACA" w:rsidRPr="00D52D9B" w:rsidRDefault="00004ACA" w:rsidP="00F410E9">
            <w:pPr>
              <w:pStyle w:val="Tablehead"/>
            </w:pPr>
            <w:r w:rsidRPr="00D52D9B">
              <w:lastRenderedPageBreak/>
              <w:t>No</w:t>
            </w:r>
          </w:p>
        </w:tc>
        <w:tc>
          <w:tcPr>
            <w:tcW w:w="4500" w:type="dxa"/>
          </w:tcPr>
          <w:p w:rsidR="00004ACA" w:rsidRPr="00D52D9B" w:rsidRDefault="00004ACA" w:rsidP="00F410E9">
            <w:pPr>
              <w:pStyle w:val="Tablehead"/>
            </w:pPr>
            <w:r w:rsidRPr="00D52D9B">
              <w:t>Title</w:t>
            </w:r>
          </w:p>
        </w:tc>
        <w:tc>
          <w:tcPr>
            <w:tcW w:w="4161" w:type="dxa"/>
          </w:tcPr>
          <w:p w:rsidR="00004ACA" w:rsidRPr="000073A0" w:rsidRDefault="00004ACA" w:rsidP="00F410E9">
            <w:pPr>
              <w:pStyle w:val="Tablehead"/>
            </w:pPr>
            <w:r w:rsidRPr="000073A0">
              <w:t>Scope</w:t>
            </w:r>
          </w:p>
        </w:tc>
      </w:tr>
      <w:tr w:rsidR="00A36FBB" w:rsidRPr="000073A0" w:rsidTr="00567A45">
        <w:tc>
          <w:tcPr>
            <w:tcW w:w="1188" w:type="dxa"/>
          </w:tcPr>
          <w:p w:rsidR="00A36FBB" w:rsidRDefault="00E909D6" w:rsidP="00FE1AD2">
            <w:pPr>
              <w:pStyle w:val="Tabletext"/>
            </w:pPr>
            <w:r w:rsidRPr="00567A45">
              <w:rPr>
                <w:rFonts w:hint="eastAsia"/>
                <w:lang w:val="en-US" w:eastAsia="ja-JP"/>
              </w:rPr>
              <w:t>SF</w:t>
            </w:r>
            <w:r w:rsidRPr="004E40F2">
              <w:rPr>
                <w:lang w:eastAsia="ja-JP"/>
              </w:rPr>
              <w:t>.</w:t>
            </w:r>
            <w:r>
              <w:rPr>
                <w:rFonts w:hint="eastAsia"/>
                <w:lang w:eastAsia="ja-JP"/>
              </w:rPr>
              <w:t>1486</w:t>
            </w:r>
          </w:p>
        </w:tc>
        <w:tc>
          <w:tcPr>
            <w:tcW w:w="4500" w:type="dxa"/>
          </w:tcPr>
          <w:p w:rsidR="00A36FBB" w:rsidRDefault="00E909D6" w:rsidP="00FE1AD2">
            <w:pPr>
              <w:pStyle w:val="Tabletext"/>
            </w:pPr>
            <w:r w:rsidRPr="007C3457">
              <w:t xml:space="preserve">Sharing methodology between fixed wireless access systems in the fixed service and very small aperture terminals in the fixed-satellite service in the 3 400-3 700 MHz band </w:t>
            </w:r>
            <w:r>
              <w:rPr>
                <w:rFonts w:hint="eastAsia"/>
                <w:lang w:eastAsia="ja-JP"/>
              </w:rPr>
              <w:t>(05/2000)</w:t>
            </w:r>
          </w:p>
        </w:tc>
        <w:tc>
          <w:tcPr>
            <w:tcW w:w="4161" w:type="dxa"/>
          </w:tcPr>
          <w:p w:rsidR="00A36FBB" w:rsidRPr="007F2522" w:rsidRDefault="00E909D6" w:rsidP="007F2522">
            <w:pPr>
              <w:pStyle w:val="Tabletext"/>
            </w:pPr>
            <w:r w:rsidRPr="007F2522">
              <w:t>This Recommendation provides a methodology to facilitate the sharing between fixed wireless access (FWA) systems in the fixed service (FS) and very small aperture terminals (VSATs) in the fixed-satellite service (FSS) in the band 3400-3700 GHz. In particular, Annex 1 provides a methodology for calculating separation distances between FSS VSATs and point-to-multipoint (P</w:t>
            </w:r>
            <w:r w:rsidRPr="007F2522">
              <w:noBreakHyphen/>
              <w:t>MP) FWA systems, and Annex 2 provides interference mitigation methods for the shared deployment of FSS VSATs and FWA terrestrial systems.</w:t>
            </w:r>
          </w:p>
        </w:tc>
      </w:tr>
      <w:tr w:rsidR="00A36FBB" w:rsidRPr="000073A0" w:rsidTr="00567A45">
        <w:tc>
          <w:tcPr>
            <w:tcW w:w="1188" w:type="dxa"/>
          </w:tcPr>
          <w:p w:rsidR="00A36FBB" w:rsidRDefault="00E909D6" w:rsidP="00FE1AD2">
            <w:pPr>
              <w:pStyle w:val="Tabletext"/>
            </w:pPr>
            <w:r w:rsidRPr="00567A45">
              <w:rPr>
                <w:rFonts w:hint="eastAsia"/>
                <w:lang w:val="en-US" w:eastAsia="ja-JP"/>
              </w:rPr>
              <w:t>SF</w:t>
            </w:r>
            <w:r w:rsidRPr="004E40F2">
              <w:rPr>
                <w:lang w:eastAsia="ja-JP"/>
              </w:rPr>
              <w:t>.</w:t>
            </w:r>
            <w:r>
              <w:rPr>
                <w:rFonts w:hint="eastAsia"/>
                <w:lang w:eastAsia="ja-JP"/>
              </w:rPr>
              <w:t>1</w:t>
            </w:r>
            <w:r w:rsidRPr="004E40F2">
              <w:rPr>
                <w:lang w:eastAsia="ja-JP"/>
              </w:rPr>
              <w:t>5</w:t>
            </w:r>
            <w:r>
              <w:rPr>
                <w:rFonts w:hint="eastAsia"/>
                <w:lang w:eastAsia="ja-JP"/>
              </w:rPr>
              <w:t>72</w:t>
            </w:r>
          </w:p>
        </w:tc>
        <w:tc>
          <w:tcPr>
            <w:tcW w:w="4500" w:type="dxa"/>
          </w:tcPr>
          <w:p w:rsidR="00A36FBB" w:rsidRDefault="00E909D6" w:rsidP="00FE1AD2">
            <w:pPr>
              <w:pStyle w:val="Tabletext"/>
            </w:pPr>
            <w:r w:rsidRPr="000051AB">
              <w:t>Methodology to evaluate the impact of space-to-Ea</w:t>
            </w:r>
            <w:r>
              <w:t>rth interference from the fixed</w:t>
            </w:r>
            <w:r>
              <w:noBreakHyphen/>
            </w:r>
            <w:r w:rsidRPr="000051AB">
              <w:t xml:space="preserve">satellite service to the fixed service in frequency bands where precipitation is the predominant fade mechanism </w:t>
            </w:r>
            <w:r>
              <w:rPr>
                <w:rFonts w:hint="eastAsia"/>
                <w:lang w:eastAsia="ja-JP"/>
              </w:rPr>
              <w:t>(05/2002)</w:t>
            </w:r>
          </w:p>
        </w:tc>
        <w:tc>
          <w:tcPr>
            <w:tcW w:w="4161" w:type="dxa"/>
          </w:tcPr>
          <w:p w:rsidR="00A36FBB" w:rsidRPr="007F2522" w:rsidRDefault="00E909D6" w:rsidP="007F2522">
            <w:pPr>
              <w:pStyle w:val="Tabletext"/>
            </w:pPr>
            <w:r w:rsidRPr="007F2522">
              <w:t>This Recommendation provides a methodology for assessing the effect of interference from GSO fixed-satellite service satellites on the availability of fixed service systems in frequency bands where precipitation fading limits the availability of fixed service systems. The methodology is based on a carrier to noise-plus-interference power ratio criterion as it applies to the availability of fixed service systems, both point-to-point and point-to-multipoint, with parameters specified on a statistical basis. Flexibility in the specification of constant and/or statistically variable input parameters allows the consideration of many different examples of fixed service systems.</w:t>
            </w:r>
          </w:p>
        </w:tc>
      </w:tr>
      <w:tr w:rsidR="00A36FBB" w:rsidRPr="000073A0" w:rsidTr="00567A45">
        <w:tc>
          <w:tcPr>
            <w:tcW w:w="1188" w:type="dxa"/>
          </w:tcPr>
          <w:p w:rsidR="00A36FBB" w:rsidRDefault="00E909D6" w:rsidP="00FE1AD2">
            <w:pPr>
              <w:pStyle w:val="Tabletext"/>
            </w:pPr>
            <w:r w:rsidRPr="00567A45">
              <w:rPr>
                <w:rFonts w:hint="eastAsia"/>
                <w:lang w:val="en-US" w:eastAsia="ja-JP"/>
              </w:rPr>
              <w:t>SF</w:t>
            </w:r>
            <w:r w:rsidRPr="004E40F2">
              <w:rPr>
                <w:lang w:eastAsia="ja-JP"/>
              </w:rPr>
              <w:t>.</w:t>
            </w:r>
            <w:r>
              <w:rPr>
                <w:rFonts w:hint="eastAsia"/>
                <w:lang w:eastAsia="ja-JP"/>
              </w:rPr>
              <w:t>1602</w:t>
            </w:r>
          </w:p>
        </w:tc>
        <w:tc>
          <w:tcPr>
            <w:tcW w:w="4500" w:type="dxa"/>
          </w:tcPr>
          <w:p w:rsidR="00A36FBB" w:rsidRDefault="00E909D6" w:rsidP="00FE1AD2">
            <w:pPr>
              <w:pStyle w:val="Tabletext"/>
            </w:pPr>
            <w:r w:rsidRPr="000E3CCF">
              <w:t xml:space="preserve">Methodology for determining power flux-density statistics for use in sharing studies between fixed wireless systems and multiple fixed-satellite service satellites </w:t>
            </w:r>
            <w:r>
              <w:rPr>
                <w:rFonts w:hint="eastAsia"/>
                <w:lang w:eastAsia="ja-JP"/>
              </w:rPr>
              <w:t>(02/2003)</w:t>
            </w:r>
          </w:p>
        </w:tc>
        <w:tc>
          <w:tcPr>
            <w:tcW w:w="4161" w:type="dxa"/>
          </w:tcPr>
          <w:p w:rsidR="00A36FBB" w:rsidRPr="007F2522" w:rsidRDefault="00E909D6" w:rsidP="007F2522">
            <w:pPr>
              <w:pStyle w:val="Tabletext"/>
            </w:pPr>
            <w:r w:rsidRPr="00567A45">
              <w:rPr>
                <w:szCs w:val="24"/>
              </w:rPr>
              <w:t xml:space="preserve">At some elevation angles on the surface of the earth, the power flux-density produced by a satellite may be smaller than the limiting values required by conformance to a given </w:t>
            </w:r>
            <w:proofErr w:type="spellStart"/>
            <w:r w:rsidRPr="00567A45">
              <w:rPr>
                <w:szCs w:val="24"/>
              </w:rPr>
              <w:t>pfd</w:t>
            </w:r>
            <w:proofErr w:type="spellEnd"/>
            <w:r w:rsidRPr="00567A45">
              <w:rPr>
                <w:szCs w:val="24"/>
              </w:rPr>
              <w:t xml:space="preserve"> mask because of the limitations of real antenna gain patterns and the need to avoid </w:t>
            </w:r>
            <w:proofErr w:type="spellStart"/>
            <w:r w:rsidRPr="00567A45">
              <w:rPr>
                <w:szCs w:val="24"/>
              </w:rPr>
              <w:t>self interference</w:t>
            </w:r>
            <w:proofErr w:type="spellEnd"/>
            <w:r w:rsidRPr="00567A45">
              <w:rPr>
                <w:szCs w:val="24"/>
              </w:rPr>
              <w:t>. This Recommendation provides a methodology for determining the statistics of the power flux-density produced at the surface of the earth by satellites in GSO or non-GSO orbits.</w:t>
            </w:r>
          </w:p>
        </w:tc>
      </w:tr>
    </w:tbl>
    <w:p w:rsidR="007F2522" w:rsidRDefault="007F2522"/>
    <w:p w:rsidR="00004ACA" w:rsidRDefault="007F252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004ACA" w:rsidRPr="000073A0" w:rsidTr="00567A45">
        <w:tc>
          <w:tcPr>
            <w:tcW w:w="1188" w:type="dxa"/>
          </w:tcPr>
          <w:p w:rsidR="00004ACA" w:rsidRPr="00D52D9B" w:rsidRDefault="00004ACA" w:rsidP="00F410E9">
            <w:pPr>
              <w:pStyle w:val="Tablehead"/>
            </w:pPr>
            <w:r w:rsidRPr="00D52D9B">
              <w:lastRenderedPageBreak/>
              <w:t>No</w:t>
            </w:r>
          </w:p>
        </w:tc>
        <w:tc>
          <w:tcPr>
            <w:tcW w:w="4500" w:type="dxa"/>
          </w:tcPr>
          <w:p w:rsidR="00004ACA" w:rsidRPr="00D52D9B" w:rsidRDefault="00004ACA" w:rsidP="00F410E9">
            <w:pPr>
              <w:pStyle w:val="Tablehead"/>
            </w:pPr>
            <w:r w:rsidRPr="00D52D9B">
              <w:t>Title</w:t>
            </w:r>
          </w:p>
        </w:tc>
        <w:tc>
          <w:tcPr>
            <w:tcW w:w="4161" w:type="dxa"/>
          </w:tcPr>
          <w:p w:rsidR="00004ACA" w:rsidRPr="000073A0" w:rsidRDefault="00004ACA" w:rsidP="00F410E9">
            <w:pPr>
              <w:pStyle w:val="Tablehead"/>
            </w:pPr>
            <w:r w:rsidRPr="000073A0">
              <w:t>Scope</w:t>
            </w:r>
          </w:p>
        </w:tc>
      </w:tr>
      <w:tr w:rsidR="00A36FBB" w:rsidRPr="000073A0" w:rsidTr="00567A45">
        <w:tc>
          <w:tcPr>
            <w:tcW w:w="1188" w:type="dxa"/>
          </w:tcPr>
          <w:p w:rsidR="00A36FBB" w:rsidRDefault="00E909D6" w:rsidP="00FE1AD2">
            <w:pPr>
              <w:pStyle w:val="Tabletext"/>
            </w:pPr>
            <w:r w:rsidRPr="00567A45">
              <w:rPr>
                <w:rFonts w:hint="eastAsia"/>
                <w:lang w:val="en-US" w:eastAsia="ja-JP"/>
              </w:rPr>
              <w:t>SF</w:t>
            </w:r>
            <w:r w:rsidRPr="004E40F2">
              <w:rPr>
                <w:lang w:eastAsia="ja-JP"/>
              </w:rPr>
              <w:t>.</w:t>
            </w:r>
            <w:r>
              <w:rPr>
                <w:rFonts w:hint="eastAsia"/>
                <w:lang w:eastAsia="ja-JP"/>
              </w:rPr>
              <w:t>1707</w:t>
            </w:r>
          </w:p>
        </w:tc>
        <w:tc>
          <w:tcPr>
            <w:tcW w:w="4500" w:type="dxa"/>
          </w:tcPr>
          <w:p w:rsidR="00A36FBB" w:rsidRDefault="00E909D6" w:rsidP="00FE1AD2">
            <w:pPr>
              <w:pStyle w:val="Tabletext"/>
            </w:pPr>
            <w:r w:rsidRPr="00920AB2">
              <w:t>Methods to facilitate the implementation of large numbers of earth stations in the FSS in areas where terrestrial services are also deployed</w:t>
            </w:r>
            <w:r>
              <w:rPr>
                <w:rFonts w:hint="eastAsia"/>
                <w:lang w:eastAsia="ja-JP"/>
              </w:rPr>
              <w:t xml:space="preserve"> (04/2005)</w:t>
            </w:r>
          </w:p>
        </w:tc>
        <w:tc>
          <w:tcPr>
            <w:tcW w:w="4161" w:type="dxa"/>
          </w:tcPr>
          <w:p w:rsidR="00A36FBB" w:rsidRPr="007F2522" w:rsidRDefault="00E909D6" w:rsidP="007F2522">
            <w:pPr>
              <w:pStyle w:val="Tabletext"/>
            </w:pPr>
            <w:r w:rsidRPr="007F2522">
              <w:t>This Recommendation provides methods and means to facilitate the implementation of large numbers of earth statio</w:t>
            </w:r>
            <w:r w:rsidR="00585D11">
              <w:t>ns operating in the fixed-satel</w:t>
            </w:r>
            <w:r w:rsidRPr="007F2522">
              <w:t>lite service (FSS) in areas where terrestrial services are also deployed. It includes examples for the deployment of a large number of FSS earth stations, guidance for an agreed interference calculation to facilitate implementation of such large numbers of earth stations, and an example of how to develop a single transmit and a single receive coordination distance for consideration as a means to ease bilateral agreements for a given geographical area.</w:t>
            </w:r>
          </w:p>
        </w:tc>
      </w:tr>
    </w:tbl>
    <w:p w:rsidR="007F2522" w:rsidRDefault="007F2522" w:rsidP="000E245E">
      <w:pPr>
        <w:pStyle w:val="Headingb"/>
      </w:pPr>
    </w:p>
    <w:p w:rsidR="000E245E" w:rsidRPr="00AD4FF5" w:rsidRDefault="007F2522" w:rsidP="00004ACA">
      <w:pPr>
        <w:spacing w:before="240" w:after="120" w:line="320" w:lineRule="exact"/>
        <w:rPr>
          <w:b/>
        </w:rPr>
      </w:pPr>
      <w:r>
        <w:br w:type="page"/>
      </w:r>
      <w:r w:rsidR="000E245E" w:rsidRPr="00AD4FF5">
        <w:rPr>
          <w:b/>
        </w:rPr>
        <w:lastRenderedPageBreak/>
        <w:t xml:space="preserve">Section </w:t>
      </w:r>
      <w:r w:rsidR="00004ACA">
        <w:rPr>
          <w:b/>
        </w:rPr>
        <w:t>1</w:t>
      </w:r>
      <w:r w:rsidR="000E245E" w:rsidRPr="00AD4FF5">
        <w:rPr>
          <w:b/>
        </w:rPr>
        <w:t>C</w:t>
      </w:r>
      <w:r w:rsidR="000E245E" w:rsidRPr="00AD4FF5">
        <w:rPr>
          <w:b/>
        </w:rPr>
        <w:tab/>
      </w:r>
      <w:r w:rsidR="00004ACA">
        <w:rPr>
          <w:b/>
        </w:rPr>
        <w:tab/>
      </w:r>
      <w:r w:rsidR="000E245E" w:rsidRPr="00AD4FF5">
        <w:rPr>
          <w:b/>
        </w:rPr>
        <w:t xml:space="preserve">High </w:t>
      </w:r>
      <w:r w:rsidR="000E245E" w:rsidRPr="00AD4FF5">
        <w:rPr>
          <w:rFonts w:hint="eastAsia"/>
          <w:b/>
        </w:rPr>
        <w:t>a</w:t>
      </w:r>
      <w:r w:rsidR="000E245E" w:rsidRPr="00AD4FF5">
        <w:rPr>
          <w:b/>
        </w:rPr>
        <w:t xml:space="preserve">ltitude </w:t>
      </w:r>
      <w:r w:rsidR="000E245E" w:rsidRPr="00AD4FF5">
        <w:rPr>
          <w:rFonts w:hint="eastAsia"/>
          <w:b/>
        </w:rPr>
        <w:t>p</w:t>
      </w:r>
      <w:r w:rsidR="000E245E" w:rsidRPr="00AD4FF5">
        <w:rPr>
          <w:b/>
        </w:rPr>
        <w:t xml:space="preserve">latform </w:t>
      </w:r>
      <w:r w:rsidR="000E245E" w:rsidRPr="00AD4FF5">
        <w:rPr>
          <w:rFonts w:hint="eastAsia"/>
          <w:b/>
        </w:rPr>
        <w:t>s</w:t>
      </w:r>
      <w:r w:rsidR="000E245E" w:rsidRPr="00AD4FF5">
        <w:rPr>
          <w:b/>
        </w:rPr>
        <w:t>tations (HAPS)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500"/>
        <w:gridCol w:w="4161"/>
      </w:tblGrid>
      <w:tr w:rsidR="003D3D90" w:rsidTr="00567A45">
        <w:tc>
          <w:tcPr>
            <w:tcW w:w="1260" w:type="dxa"/>
          </w:tcPr>
          <w:p w:rsidR="003D3D90" w:rsidRPr="00D52D9B" w:rsidRDefault="003D3D90" w:rsidP="007E20A7">
            <w:pPr>
              <w:pStyle w:val="Tablehead"/>
            </w:pPr>
            <w:r w:rsidRPr="00D52D9B">
              <w:t>No</w:t>
            </w:r>
          </w:p>
        </w:tc>
        <w:tc>
          <w:tcPr>
            <w:tcW w:w="4500" w:type="dxa"/>
          </w:tcPr>
          <w:p w:rsidR="003D3D90" w:rsidRPr="00D52D9B" w:rsidRDefault="003D3D90" w:rsidP="007E20A7">
            <w:pPr>
              <w:pStyle w:val="Tablehead"/>
            </w:pPr>
            <w:r w:rsidRPr="00D52D9B">
              <w:t>Title</w:t>
            </w:r>
          </w:p>
        </w:tc>
        <w:tc>
          <w:tcPr>
            <w:tcW w:w="4161" w:type="dxa"/>
          </w:tcPr>
          <w:p w:rsidR="003D3D90" w:rsidRPr="000073A0" w:rsidRDefault="003D3D90" w:rsidP="007E20A7">
            <w:pPr>
              <w:pStyle w:val="Tablehead"/>
            </w:pPr>
            <w:r w:rsidRPr="000073A0">
              <w:t>Scope</w:t>
            </w:r>
          </w:p>
        </w:tc>
      </w:tr>
      <w:tr w:rsidR="00D52D9B" w:rsidRPr="00546CFA" w:rsidTr="00567A45">
        <w:tc>
          <w:tcPr>
            <w:tcW w:w="1260" w:type="dxa"/>
          </w:tcPr>
          <w:p w:rsidR="00D52D9B" w:rsidRPr="00546CFA" w:rsidRDefault="00D52D9B" w:rsidP="003D3D90">
            <w:pPr>
              <w:pStyle w:val="Tabletext"/>
            </w:pPr>
          </w:p>
        </w:tc>
        <w:tc>
          <w:tcPr>
            <w:tcW w:w="4500" w:type="dxa"/>
          </w:tcPr>
          <w:p w:rsidR="00D52D9B" w:rsidRPr="00546CFA" w:rsidRDefault="00D52D9B" w:rsidP="003D3D90">
            <w:pPr>
              <w:pStyle w:val="Tabletext"/>
            </w:pPr>
          </w:p>
        </w:tc>
        <w:tc>
          <w:tcPr>
            <w:tcW w:w="4161" w:type="dxa"/>
          </w:tcPr>
          <w:p w:rsidR="00D52D9B" w:rsidRPr="007F2522" w:rsidRDefault="00D52D9B" w:rsidP="007F2522">
            <w:pPr>
              <w:pStyle w:val="Tabletext"/>
            </w:pPr>
          </w:p>
        </w:tc>
      </w:tr>
      <w:tr w:rsidR="00D52D9B" w:rsidRPr="00546CFA" w:rsidTr="00567A45">
        <w:tc>
          <w:tcPr>
            <w:tcW w:w="1260" w:type="dxa"/>
          </w:tcPr>
          <w:p w:rsidR="00D52D9B" w:rsidRPr="00546CFA" w:rsidRDefault="00E909D6" w:rsidP="003D3D90">
            <w:pPr>
              <w:pStyle w:val="Tabletext"/>
            </w:pPr>
            <w:r w:rsidRPr="00567A45">
              <w:rPr>
                <w:rFonts w:hint="eastAsia"/>
                <w:lang w:val="en-US" w:eastAsia="ja-JP"/>
              </w:rPr>
              <w:t>SF</w:t>
            </w:r>
            <w:r w:rsidRPr="004E40F2">
              <w:rPr>
                <w:lang w:eastAsia="ja-JP"/>
              </w:rPr>
              <w:t>.</w:t>
            </w:r>
            <w:r>
              <w:rPr>
                <w:rFonts w:hint="eastAsia"/>
                <w:lang w:eastAsia="ja-JP"/>
              </w:rPr>
              <w:t>1601</w:t>
            </w:r>
            <w:r w:rsidRPr="004E40F2">
              <w:rPr>
                <w:lang w:eastAsia="ja-JP"/>
              </w:rPr>
              <w:t>-</w:t>
            </w:r>
            <w:r>
              <w:rPr>
                <w:rFonts w:hint="eastAsia"/>
                <w:lang w:eastAsia="ja-JP"/>
              </w:rPr>
              <w:t>2</w:t>
            </w:r>
            <w:r w:rsidRPr="004E40F2">
              <w:rPr>
                <w:lang w:eastAsia="ja-JP"/>
              </w:rPr>
              <w:t>:</w:t>
            </w:r>
          </w:p>
        </w:tc>
        <w:tc>
          <w:tcPr>
            <w:tcW w:w="4500" w:type="dxa"/>
          </w:tcPr>
          <w:p w:rsidR="00D52D9B" w:rsidRPr="00546CFA" w:rsidRDefault="00E909D6" w:rsidP="003D3D90">
            <w:pPr>
              <w:pStyle w:val="Tabletext"/>
            </w:pPr>
            <w:r w:rsidRPr="00F871E1">
              <w:t>Methodologies for interference evaluation from the downlink of the fixed service using high altitude platform stations to the uplink of the fixed-satellite service using the geostationary satellites within the band 27.5-28.35 GHz</w:t>
            </w:r>
            <w:r w:rsidRPr="004E40F2">
              <w:rPr>
                <w:lang w:eastAsia="ja-JP"/>
              </w:rPr>
              <w:t xml:space="preserve"> </w:t>
            </w:r>
            <w:r>
              <w:rPr>
                <w:rFonts w:hint="eastAsia"/>
                <w:lang w:eastAsia="ja-JP"/>
              </w:rPr>
              <w:t>(04/2005)</w:t>
            </w:r>
          </w:p>
        </w:tc>
        <w:tc>
          <w:tcPr>
            <w:tcW w:w="4161" w:type="dxa"/>
          </w:tcPr>
          <w:p w:rsidR="00D52D9B" w:rsidRPr="007F2522" w:rsidRDefault="00E909D6" w:rsidP="007F2522">
            <w:pPr>
              <w:pStyle w:val="Tabletext"/>
            </w:pPr>
            <w:r w:rsidRPr="00567A45">
              <w:rPr>
                <w:szCs w:val="24"/>
              </w:rPr>
              <w:t xml:space="preserve">This Recommendation provides </w:t>
            </w:r>
            <w:r w:rsidRPr="00567A45">
              <w:rPr>
                <w:rFonts w:hint="eastAsia"/>
                <w:szCs w:val="24"/>
              </w:rPr>
              <w:t xml:space="preserve">methodologies for </w:t>
            </w:r>
            <w:r w:rsidRPr="00567A45">
              <w:rPr>
                <w:szCs w:val="24"/>
              </w:rPr>
              <w:t>the interference</w:t>
            </w:r>
            <w:r w:rsidRPr="00567A45">
              <w:rPr>
                <w:rFonts w:hint="eastAsia"/>
                <w:szCs w:val="24"/>
              </w:rPr>
              <w:t xml:space="preserve"> evaluation from the </w:t>
            </w:r>
            <w:r w:rsidRPr="00567A45">
              <w:rPr>
                <w:szCs w:val="24"/>
              </w:rPr>
              <w:t xml:space="preserve">HAPS-to-ground transmission </w:t>
            </w:r>
            <w:r w:rsidRPr="00567A45">
              <w:rPr>
                <w:rFonts w:hint="eastAsia"/>
                <w:szCs w:val="24"/>
              </w:rPr>
              <w:t xml:space="preserve">downlink of the fixed service </w:t>
            </w:r>
            <w:r w:rsidRPr="00567A45">
              <w:rPr>
                <w:szCs w:val="24"/>
              </w:rPr>
              <w:t xml:space="preserve">(FS) </w:t>
            </w:r>
            <w:r w:rsidRPr="00567A45">
              <w:rPr>
                <w:rFonts w:hint="eastAsia"/>
                <w:szCs w:val="24"/>
              </w:rPr>
              <w:t xml:space="preserve">using high altitude platform stations to the uplink of </w:t>
            </w:r>
            <w:r w:rsidRPr="00567A45">
              <w:rPr>
                <w:szCs w:val="24"/>
              </w:rPr>
              <w:t>the</w:t>
            </w:r>
            <w:r w:rsidRPr="00567A45">
              <w:rPr>
                <w:rFonts w:hint="eastAsia"/>
                <w:szCs w:val="24"/>
              </w:rPr>
              <w:t xml:space="preserve"> fixed-satellite service using the geostationary satellites within the band</w:t>
            </w:r>
            <w:r w:rsidRPr="00567A45">
              <w:rPr>
                <w:szCs w:val="24"/>
              </w:rPr>
              <w:t>s</w:t>
            </w:r>
            <w:r w:rsidRPr="00567A45">
              <w:rPr>
                <w:rFonts w:hint="eastAsia"/>
                <w:szCs w:val="24"/>
              </w:rPr>
              <w:t xml:space="preserve"> 27.5-28.35</w:t>
            </w:r>
            <w:r w:rsidRPr="00567A45">
              <w:rPr>
                <w:szCs w:val="24"/>
              </w:rPr>
              <w:t> </w:t>
            </w:r>
            <w:r w:rsidRPr="00567A45">
              <w:rPr>
                <w:rFonts w:hint="eastAsia"/>
                <w:szCs w:val="24"/>
              </w:rPr>
              <w:t>G</w:t>
            </w:r>
            <w:r w:rsidRPr="00567A45">
              <w:rPr>
                <w:szCs w:val="24"/>
              </w:rPr>
              <w:t>H</w:t>
            </w:r>
            <w:r w:rsidRPr="00567A45">
              <w:rPr>
                <w:rFonts w:hint="eastAsia"/>
                <w:szCs w:val="24"/>
              </w:rPr>
              <w:t>z.</w:t>
            </w:r>
            <w:r w:rsidRPr="00567A45">
              <w:rPr>
                <w:szCs w:val="24"/>
              </w:rPr>
              <w:t xml:space="preserve"> This Recommendation contains three Annexes that provide methodologies for interference calculation, calculation of the </w:t>
            </w:r>
            <w:proofErr w:type="spellStart"/>
            <w:r w:rsidRPr="00567A45">
              <w:rPr>
                <w:szCs w:val="24"/>
              </w:rPr>
              <w:t>e.i.r.p</w:t>
            </w:r>
            <w:proofErr w:type="spellEnd"/>
            <w:r w:rsidRPr="00567A45">
              <w:rPr>
                <w:szCs w:val="24"/>
              </w:rPr>
              <w:t>. of transmission from HAPS, interference evaluation in terms of C/I and examples of applications of the methodologies in the Appendix</w:t>
            </w:r>
            <w:r w:rsidR="007F2522" w:rsidRPr="00567A45">
              <w:rPr>
                <w:szCs w:val="24"/>
              </w:rPr>
              <w:t>.</w:t>
            </w:r>
          </w:p>
        </w:tc>
      </w:tr>
      <w:tr w:rsidR="00D52D9B" w:rsidRPr="00546CFA" w:rsidTr="00567A45">
        <w:tc>
          <w:tcPr>
            <w:tcW w:w="1260" w:type="dxa"/>
          </w:tcPr>
          <w:p w:rsidR="00D52D9B" w:rsidRPr="00546CFA" w:rsidRDefault="00E909D6" w:rsidP="003D3D90">
            <w:pPr>
              <w:pStyle w:val="Tabletext"/>
            </w:pPr>
            <w:r w:rsidRPr="00567A45">
              <w:rPr>
                <w:rFonts w:hint="eastAsia"/>
                <w:lang w:val="en-US" w:eastAsia="ja-JP"/>
              </w:rPr>
              <w:t>SF</w:t>
            </w:r>
            <w:r w:rsidRPr="004E40F2">
              <w:rPr>
                <w:lang w:eastAsia="ja-JP"/>
              </w:rPr>
              <w:t>.</w:t>
            </w:r>
            <w:r>
              <w:rPr>
                <w:rFonts w:hint="eastAsia"/>
                <w:lang w:eastAsia="ja-JP"/>
              </w:rPr>
              <w:t>1843</w:t>
            </w:r>
          </w:p>
        </w:tc>
        <w:tc>
          <w:tcPr>
            <w:tcW w:w="4500" w:type="dxa"/>
          </w:tcPr>
          <w:p w:rsidR="00D52D9B" w:rsidRPr="00546CFA" w:rsidRDefault="00E909D6" w:rsidP="003D3D90">
            <w:pPr>
              <w:pStyle w:val="Tabletext"/>
            </w:pPr>
            <w:r w:rsidRPr="004D3D99">
              <w:t>Methodology for determining the power level for HAPS user terminals to facilitate sharing with space station receivers in the bands 47.2-47.5 GHz and 47.9-48.2 GHz</w:t>
            </w:r>
            <w:r>
              <w:rPr>
                <w:rFonts w:hint="eastAsia"/>
                <w:lang w:eastAsia="ja-JP"/>
              </w:rPr>
              <w:t xml:space="preserve"> (10/2007)</w:t>
            </w:r>
          </w:p>
        </w:tc>
        <w:tc>
          <w:tcPr>
            <w:tcW w:w="4161" w:type="dxa"/>
          </w:tcPr>
          <w:p w:rsidR="00D52D9B" w:rsidRPr="007F2522" w:rsidRDefault="00E909D6" w:rsidP="007F2522">
            <w:pPr>
              <w:pStyle w:val="Tabletext"/>
            </w:pPr>
            <w:r w:rsidRPr="007F2522">
              <w:t>This Recommendation presents a methodology and its applications to determine the power level for the ground terminals of HAPS to promote frequency sharing with an FSS space station receiver in the bands 47.2-47.5 GHz and 47.9-48.2 GHz.</w:t>
            </w:r>
          </w:p>
        </w:tc>
      </w:tr>
    </w:tbl>
    <w:p w:rsidR="00700489" w:rsidRDefault="00700489" w:rsidP="003D3D90">
      <w:pPr>
        <w:pStyle w:val="Tabletext"/>
      </w:pPr>
    </w:p>
    <w:p w:rsidR="000E245E" w:rsidRPr="00AD4FF5" w:rsidRDefault="00700489" w:rsidP="00AD4FF5">
      <w:pPr>
        <w:spacing w:before="240" w:after="120" w:line="320" w:lineRule="exact"/>
        <w:rPr>
          <w:b/>
        </w:rPr>
      </w:pPr>
      <w:r>
        <w:rPr>
          <w:szCs w:val="24"/>
        </w:rPr>
        <w:br w:type="page"/>
      </w:r>
      <w:r w:rsidR="00004ACA">
        <w:rPr>
          <w:b/>
        </w:rPr>
        <w:lastRenderedPageBreak/>
        <w:t>Section 1</w:t>
      </w:r>
      <w:r w:rsidR="000E245E" w:rsidRPr="00AD4FF5">
        <w:rPr>
          <w:rFonts w:hint="eastAsia"/>
          <w:b/>
        </w:rPr>
        <w:t>D</w:t>
      </w:r>
      <w:r w:rsidR="000E245E" w:rsidRPr="00AD4FF5">
        <w:rPr>
          <w:b/>
        </w:rPr>
        <w:tab/>
      </w:r>
      <w:r w:rsidR="00004ACA">
        <w:rPr>
          <w:b/>
        </w:rPr>
        <w:tab/>
      </w:r>
      <w:r w:rsidR="000E245E" w:rsidRPr="00AD4FF5">
        <w:rPr>
          <w:rFonts w:hint="eastAsia"/>
          <w:b/>
        </w:rPr>
        <w:t>Earth stations on board vessels (ESV)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4161"/>
      </w:tblGrid>
      <w:tr w:rsidR="003D3D90" w:rsidTr="00567A45">
        <w:tc>
          <w:tcPr>
            <w:tcW w:w="1188" w:type="dxa"/>
          </w:tcPr>
          <w:p w:rsidR="003D3D90" w:rsidRPr="00D52D9B" w:rsidRDefault="003D3D90" w:rsidP="007E20A7">
            <w:pPr>
              <w:pStyle w:val="Tablehead"/>
            </w:pPr>
            <w:r w:rsidRPr="00D52D9B">
              <w:t>No</w:t>
            </w:r>
          </w:p>
        </w:tc>
        <w:tc>
          <w:tcPr>
            <w:tcW w:w="4500" w:type="dxa"/>
          </w:tcPr>
          <w:p w:rsidR="003D3D90" w:rsidRPr="00D52D9B" w:rsidRDefault="003D3D90" w:rsidP="007E20A7">
            <w:pPr>
              <w:pStyle w:val="Tablehead"/>
            </w:pPr>
            <w:r w:rsidRPr="00D52D9B">
              <w:t>Title</w:t>
            </w:r>
          </w:p>
        </w:tc>
        <w:tc>
          <w:tcPr>
            <w:tcW w:w="4161" w:type="dxa"/>
          </w:tcPr>
          <w:p w:rsidR="003D3D90" w:rsidRPr="000073A0" w:rsidRDefault="003D3D90" w:rsidP="007E20A7">
            <w:pPr>
              <w:pStyle w:val="Tablehead"/>
            </w:pPr>
            <w:r w:rsidRPr="000073A0">
              <w:t>Scope</w:t>
            </w:r>
          </w:p>
        </w:tc>
      </w:tr>
      <w:tr w:rsidR="00D52D9B" w:rsidRPr="00546CFA" w:rsidTr="00567A45">
        <w:tc>
          <w:tcPr>
            <w:tcW w:w="1188" w:type="dxa"/>
          </w:tcPr>
          <w:p w:rsidR="00D52D9B" w:rsidRPr="00546CFA" w:rsidRDefault="00E909D6" w:rsidP="003D3D90">
            <w:pPr>
              <w:pStyle w:val="Tabletext"/>
            </w:pPr>
            <w:r w:rsidRPr="00567A45">
              <w:rPr>
                <w:rFonts w:hint="eastAsia"/>
                <w:lang w:val="en-US" w:eastAsia="ja-JP"/>
              </w:rPr>
              <w:t>SF</w:t>
            </w:r>
            <w:r w:rsidRPr="004E40F2">
              <w:rPr>
                <w:lang w:eastAsia="ja-JP"/>
              </w:rPr>
              <w:t>.</w:t>
            </w:r>
            <w:r>
              <w:rPr>
                <w:rFonts w:hint="eastAsia"/>
                <w:lang w:eastAsia="ja-JP"/>
              </w:rPr>
              <w:t>158</w:t>
            </w:r>
            <w:r w:rsidRPr="004E40F2">
              <w:rPr>
                <w:lang w:eastAsia="ja-JP"/>
              </w:rPr>
              <w:t>5</w:t>
            </w:r>
          </w:p>
        </w:tc>
        <w:tc>
          <w:tcPr>
            <w:tcW w:w="4500" w:type="dxa"/>
          </w:tcPr>
          <w:p w:rsidR="00D52D9B" w:rsidRPr="007F2522" w:rsidRDefault="00E909D6" w:rsidP="007F2522">
            <w:pPr>
              <w:pStyle w:val="Tabletext"/>
            </w:pPr>
            <w:r w:rsidRPr="007F2522">
              <w:t>Example approach for determination of the composite area within which interference to fixed service stations from earth stations on board vessels when operating in motion near a coastline would need to be evaluated</w:t>
            </w:r>
            <w:r w:rsidRPr="007F2522">
              <w:rPr>
                <w:rFonts w:hint="eastAsia"/>
              </w:rPr>
              <w:t xml:space="preserve"> (09/2002)</w:t>
            </w:r>
          </w:p>
        </w:tc>
        <w:tc>
          <w:tcPr>
            <w:tcW w:w="4161" w:type="dxa"/>
          </w:tcPr>
          <w:p w:rsidR="00D52D9B" w:rsidRPr="007F2522" w:rsidRDefault="00E909D6" w:rsidP="007F2522">
            <w:pPr>
              <w:pStyle w:val="Tabletext"/>
            </w:pPr>
            <w:r w:rsidRPr="007F2522">
              <w:t>This Recommendation provides an example approach to be used to determine the composite area within which interference to fixed stations from proposed operations near a coastline by in-motion earth stations on board vessels should be evaluated.</w:t>
            </w:r>
          </w:p>
        </w:tc>
      </w:tr>
      <w:tr w:rsidR="00D52D9B" w:rsidRPr="00546CFA" w:rsidTr="00567A45">
        <w:tc>
          <w:tcPr>
            <w:tcW w:w="1188" w:type="dxa"/>
          </w:tcPr>
          <w:p w:rsidR="00D52D9B" w:rsidRPr="00546CFA" w:rsidRDefault="00E909D6" w:rsidP="003D3D90">
            <w:pPr>
              <w:pStyle w:val="Tabletext"/>
            </w:pPr>
            <w:r w:rsidRPr="00567A45">
              <w:rPr>
                <w:rFonts w:hint="eastAsia"/>
                <w:lang w:val="en-US" w:eastAsia="ja-JP"/>
              </w:rPr>
              <w:t>SF</w:t>
            </w:r>
            <w:r w:rsidRPr="004E40F2">
              <w:rPr>
                <w:lang w:eastAsia="ja-JP"/>
              </w:rPr>
              <w:t>.</w:t>
            </w:r>
            <w:r>
              <w:rPr>
                <w:rFonts w:hint="eastAsia"/>
                <w:lang w:eastAsia="ja-JP"/>
              </w:rPr>
              <w:t>1648</w:t>
            </w:r>
          </w:p>
        </w:tc>
        <w:tc>
          <w:tcPr>
            <w:tcW w:w="4500" w:type="dxa"/>
          </w:tcPr>
          <w:p w:rsidR="00D52D9B" w:rsidRPr="007F2522" w:rsidRDefault="00E909D6" w:rsidP="007F2522">
            <w:pPr>
              <w:pStyle w:val="Tabletext"/>
            </w:pPr>
            <w:r w:rsidRPr="007F2522">
              <w:t>Use of frequencies by earth stations on board vessels transmitting in certain bands allocated to the fixed-satellite service</w:t>
            </w:r>
            <w:r w:rsidRPr="007F2522">
              <w:rPr>
                <w:rFonts w:hint="eastAsia"/>
              </w:rPr>
              <w:t xml:space="preserve"> (06/2003)</w:t>
            </w:r>
          </w:p>
        </w:tc>
        <w:tc>
          <w:tcPr>
            <w:tcW w:w="4161" w:type="dxa"/>
          </w:tcPr>
          <w:p w:rsidR="00D52D9B" w:rsidRPr="007F2522" w:rsidRDefault="00E909D6" w:rsidP="007F2522">
            <w:pPr>
              <w:pStyle w:val="Tabletext"/>
            </w:pPr>
            <w:r w:rsidRPr="00567A45">
              <w:rPr>
                <w:szCs w:val="24"/>
              </w:rPr>
              <w:t>This Recommendation provides guidance on the choice of a frequency band for the operation of earth stations on board vessels when considering the possibility of operations within the minimum distance from the coast beyond which such stations would not cause unacceptable interference to the fixed service.</w:t>
            </w:r>
          </w:p>
        </w:tc>
      </w:tr>
      <w:tr w:rsidR="00D52D9B" w:rsidRPr="00546CFA" w:rsidTr="00567A45">
        <w:tc>
          <w:tcPr>
            <w:tcW w:w="1188" w:type="dxa"/>
          </w:tcPr>
          <w:p w:rsidR="00D52D9B" w:rsidRPr="00567A45" w:rsidRDefault="00E909D6" w:rsidP="003D3D90">
            <w:pPr>
              <w:pStyle w:val="Tabletext"/>
              <w:rPr>
                <w:bCs/>
              </w:rPr>
            </w:pPr>
            <w:r w:rsidRPr="00567A45">
              <w:rPr>
                <w:rFonts w:hint="eastAsia"/>
                <w:bCs/>
                <w:szCs w:val="24"/>
                <w:lang w:val="en-US" w:eastAsia="ja-JP"/>
              </w:rPr>
              <w:t>S</w:t>
            </w:r>
            <w:r w:rsidRPr="00567A45">
              <w:rPr>
                <w:bCs/>
                <w:szCs w:val="24"/>
                <w:lang w:val="en-US"/>
              </w:rPr>
              <w:t>F.</w:t>
            </w:r>
            <w:r w:rsidRPr="00567A45">
              <w:rPr>
                <w:rFonts w:hint="eastAsia"/>
                <w:bCs/>
                <w:szCs w:val="24"/>
                <w:lang w:val="en-US" w:eastAsia="ja-JP"/>
              </w:rPr>
              <w:t>1649-1</w:t>
            </w:r>
          </w:p>
        </w:tc>
        <w:tc>
          <w:tcPr>
            <w:tcW w:w="4500" w:type="dxa"/>
          </w:tcPr>
          <w:p w:rsidR="00D52D9B" w:rsidRPr="007F2522" w:rsidRDefault="00E909D6" w:rsidP="007F2522">
            <w:pPr>
              <w:pStyle w:val="Tabletext"/>
            </w:pPr>
            <w:r w:rsidRPr="007F2522">
              <w:t>Guidance for determination of interference from earth stations on board vessels to stations in the fixed service when the earth station on board vessels is within the minimum distance</w:t>
            </w:r>
            <w:r w:rsidRPr="007F2522">
              <w:rPr>
                <w:rFonts w:hint="eastAsia"/>
              </w:rPr>
              <w:t xml:space="preserve"> (08/2008)</w:t>
            </w:r>
          </w:p>
        </w:tc>
        <w:tc>
          <w:tcPr>
            <w:tcW w:w="4161" w:type="dxa"/>
          </w:tcPr>
          <w:p w:rsidR="00D52D9B" w:rsidRPr="007F2522" w:rsidRDefault="00E909D6" w:rsidP="007F2522">
            <w:pPr>
              <w:pStyle w:val="Tabletext"/>
            </w:pPr>
            <w:r w:rsidRPr="007F2522">
              <w:t>This Recommendation provides guidance to administrations for the determination of the interference potential of earth stations on board vessels (ESVs) to stations in the fixed service.  Annex 1 provides general considerations for this determination. Annex 2 provides a description of the most basic approach to such a determination. Annex 3 provides several alternative approaches based on simulations. Annex 4 contains material that may be considered in bilateral and multilateral discussion when administrations authorize antennas smaller than 1.2 m in the 14.0-14.5 GHz band to ensure that these smaller antennas are in compliance with the requirements of Resolution 902 (WRC-03)</w:t>
            </w:r>
            <w:r w:rsidR="007F2522">
              <w:t>.</w:t>
            </w:r>
          </w:p>
        </w:tc>
      </w:tr>
      <w:tr w:rsidR="003332BB" w:rsidRPr="00546CFA" w:rsidTr="00567A45">
        <w:tc>
          <w:tcPr>
            <w:tcW w:w="1188" w:type="dxa"/>
          </w:tcPr>
          <w:p w:rsidR="003332BB" w:rsidRPr="00546CFA" w:rsidRDefault="00E909D6" w:rsidP="003D3D90">
            <w:pPr>
              <w:pStyle w:val="Tabletext"/>
            </w:pPr>
            <w:r w:rsidRPr="00567A45">
              <w:rPr>
                <w:rFonts w:hint="eastAsia"/>
                <w:lang w:val="en-US" w:eastAsia="ja-JP"/>
              </w:rPr>
              <w:t>SF</w:t>
            </w:r>
            <w:r w:rsidRPr="004E40F2">
              <w:rPr>
                <w:lang w:eastAsia="ja-JP"/>
              </w:rPr>
              <w:t>.1</w:t>
            </w:r>
            <w:r>
              <w:rPr>
                <w:rFonts w:hint="eastAsia"/>
                <w:lang w:eastAsia="ja-JP"/>
              </w:rPr>
              <w:t>650</w:t>
            </w:r>
            <w:r w:rsidRPr="004E40F2">
              <w:rPr>
                <w:lang w:eastAsia="ja-JP"/>
              </w:rPr>
              <w:t>-</w:t>
            </w:r>
            <w:r>
              <w:rPr>
                <w:rFonts w:hint="eastAsia"/>
                <w:lang w:eastAsia="ja-JP"/>
              </w:rPr>
              <w:t>1</w:t>
            </w:r>
          </w:p>
        </w:tc>
        <w:tc>
          <w:tcPr>
            <w:tcW w:w="4500" w:type="dxa"/>
          </w:tcPr>
          <w:p w:rsidR="003332BB" w:rsidRPr="00546CFA" w:rsidRDefault="00E909D6" w:rsidP="003D3D90">
            <w:pPr>
              <w:pStyle w:val="Tabletext"/>
            </w:pPr>
            <w:r w:rsidRPr="00974F76">
              <w:t>The minimum distance from the baseline beyond which in-motion earth stations located on board vessels would not cause unacceptable interference to the terrestrial service in the bands 5 925-6 425 MHz and 14-14.5 GHz</w:t>
            </w:r>
            <w:r w:rsidRPr="00974F76">
              <w:rPr>
                <w:rFonts w:hint="eastAsia"/>
                <w:lang w:eastAsia="ja-JP"/>
              </w:rPr>
              <w:t xml:space="preserve"> (02/2005)</w:t>
            </w:r>
          </w:p>
        </w:tc>
        <w:tc>
          <w:tcPr>
            <w:tcW w:w="4161" w:type="dxa"/>
          </w:tcPr>
          <w:p w:rsidR="003332BB" w:rsidRPr="00546CFA" w:rsidRDefault="00E909D6" w:rsidP="003D3D90">
            <w:pPr>
              <w:pStyle w:val="Tabletext"/>
            </w:pPr>
            <w:r w:rsidRPr="00567A45">
              <w:rPr>
                <w:lang w:val="en-US"/>
              </w:rPr>
              <w:t>This Recommendation provides the offshore distance beyond which earth stations on board vessels (ESVs) will not interfere with fixed service systems. The Annex provides the assumptions and methodology used in determining these distances in the frequency bands 5 925</w:t>
            </w:r>
            <w:r w:rsidRPr="00567A45">
              <w:rPr>
                <w:lang w:val="en-US"/>
              </w:rPr>
              <w:noBreakHyphen/>
              <w:t>6 425 MHz and 14-14.5 GHz.</w:t>
            </w:r>
          </w:p>
        </w:tc>
      </w:tr>
    </w:tbl>
    <w:p w:rsidR="00D52D9B" w:rsidRDefault="00D52D9B" w:rsidP="007F2522"/>
    <w:p w:rsidR="00572A99" w:rsidRDefault="00572A99" w:rsidP="007F2522"/>
    <w:p w:rsidR="00585D11" w:rsidRDefault="00585D11" w:rsidP="00585D11">
      <w:pPr>
        <w:jc w:val="center"/>
      </w:pPr>
      <w:r>
        <w:t>__________________</w:t>
      </w:r>
    </w:p>
    <w:sectPr w:rsidR="00585D11" w:rsidSect="00B462AF">
      <w:headerReference w:type="even" r:id="rId8"/>
      <w:headerReference w:type="default" r:id="rId9"/>
      <w:footerReference w:type="default" r:id="rId10"/>
      <w:footerReference w:type="first" r:id="rId11"/>
      <w:pgSz w:w="11901" w:h="16840" w:code="9"/>
      <w:pgMar w:top="1134" w:right="1134" w:bottom="1134" w:left="1134" w:header="720" w:footer="720" w:gutter="0"/>
      <w:paperSrc w:first="15" w:other="15"/>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4A" w:rsidRDefault="00D1294A">
      <w:r>
        <w:separator/>
      </w:r>
    </w:p>
  </w:endnote>
  <w:endnote w:type="continuationSeparator" w:id="0">
    <w:p w:rsidR="00D1294A" w:rsidRDefault="00D1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A6" w:rsidRPr="009076F1" w:rsidRDefault="00D1294A" w:rsidP="009076F1">
    <w:pPr>
      <w:pStyle w:val="Footer"/>
    </w:pPr>
    <w:r>
      <w:fldChar w:fldCharType="begin"/>
    </w:r>
    <w:r>
      <w:instrText xml:space="preserve"> FILENAME \p \* MERGEFORMAT </w:instrText>
    </w:r>
    <w:r>
      <w:fldChar w:fldCharType="separate"/>
    </w:r>
    <w:r w:rsidR="00F940D6">
      <w:rPr>
        <w:noProof/>
        <w:sz w:val="16"/>
      </w:rPr>
      <w:t>M:\BRSGD\STAFF\ADRIENNE\A-List SF-series.doc</w:t>
    </w:r>
    <w:r>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A6" w:rsidRPr="009076F1" w:rsidRDefault="00D1294A" w:rsidP="009076F1">
    <w:pPr>
      <w:pStyle w:val="Footer"/>
    </w:pPr>
    <w:r>
      <w:fldChar w:fldCharType="begin"/>
    </w:r>
    <w:r>
      <w:instrText xml:space="preserve"> FILENAME \p \* MERGEFORMAT </w:instrText>
    </w:r>
    <w:r>
      <w:fldChar w:fldCharType="separate"/>
    </w:r>
    <w:r w:rsidR="00F940D6">
      <w:rPr>
        <w:noProof/>
        <w:sz w:val="16"/>
      </w:rPr>
      <w:t>M:\BRSGD\STAFF\ADRIENNE\A-List SF-series.doc</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4A" w:rsidRDefault="00D1294A">
      <w:r>
        <w:separator/>
      </w:r>
    </w:p>
  </w:footnote>
  <w:footnote w:type="continuationSeparator" w:id="0">
    <w:p w:rsidR="00D1294A" w:rsidRDefault="00D12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A6" w:rsidRDefault="001225A6" w:rsidP="00DC47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40D6">
      <w:rPr>
        <w:rStyle w:val="PageNumber"/>
        <w:noProof/>
      </w:rPr>
      <w:t>- 7 -</w:t>
    </w:r>
    <w:r>
      <w:rPr>
        <w:rStyle w:val="PageNumber"/>
      </w:rPr>
      <w:fldChar w:fldCharType="end"/>
    </w:r>
  </w:p>
  <w:p w:rsidR="001225A6" w:rsidRDefault="00122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A6" w:rsidRPr="00B462AF" w:rsidRDefault="001225A6" w:rsidP="00DC4703">
    <w:pPr>
      <w:pStyle w:val="Header"/>
      <w:framePr w:wrap="around" w:vAnchor="text" w:hAnchor="margin" w:xAlign="center" w:y="1"/>
      <w:rPr>
        <w:rStyle w:val="PageNumber"/>
        <w:sz w:val="18"/>
      </w:rPr>
    </w:pPr>
    <w:r w:rsidRPr="00B462AF">
      <w:rPr>
        <w:rStyle w:val="PageNumber"/>
        <w:sz w:val="18"/>
      </w:rPr>
      <w:fldChar w:fldCharType="begin"/>
    </w:r>
    <w:r w:rsidRPr="00B462AF">
      <w:rPr>
        <w:rStyle w:val="PageNumber"/>
        <w:sz w:val="18"/>
      </w:rPr>
      <w:instrText xml:space="preserve">PAGE  </w:instrText>
    </w:r>
    <w:r w:rsidRPr="00B462AF">
      <w:rPr>
        <w:rStyle w:val="PageNumber"/>
        <w:sz w:val="18"/>
      </w:rPr>
      <w:fldChar w:fldCharType="separate"/>
    </w:r>
    <w:r w:rsidR="00E85C66">
      <w:rPr>
        <w:rStyle w:val="PageNumber"/>
        <w:noProof/>
        <w:sz w:val="18"/>
      </w:rPr>
      <w:t>- 7 -</w:t>
    </w:r>
    <w:r w:rsidRPr="00B462AF">
      <w:rPr>
        <w:rStyle w:val="PageNumber"/>
        <w:sz w:val="18"/>
      </w:rPr>
      <w:fldChar w:fldCharType="end"/>
    </w:r>
  </w:p>
  <w:p w:rsidR="001225A6" w:rsidRDefault="00122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F4272"/>
    <w:multiLevelType w:val="hybridMultilevel"/>
    <w:tmpl w:val="D3E20F88"/>
    <w:lvl w:ilvl="0" w:tplc="91DC0DE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57B05"/>
    <w:rsid w:val="00004ACA"/>
    <w:rsid w:val="000073A0"/>
    <w:rsid w:val="00007791"/>
    <w:rsid w:val="00030BEF"/>
    <w:rsid w:val="0004115F"/>
    <w:rsid w:val="00050934"/>
    <w:rsid w:val="0005776E"/>
    <w:rsid w:val="00062398"/>
    <w:rsid w:val="00063FD6"/>
    <w:rsid w:val="000A5071"/>
    <w:rsid w:val="000E245E"/>
    <w:rsid w:val="00105033"/>
    <w:rsid w:val="00107A8B"/>
    <w:rsid w:val="001147D9"/>
    <w:rsid w:val="001225A6"/>
    <w:rsid w:val="001E4341"/>
    <w:rsid w:val="00201C0E"/>
    <w:rsid w:val="00207123"/>
    <w:rsid w:val="00257005"/>
    <w:rsid w:val="00277C74"/>
    <w:rsid w:val="002C513A"/>
    <w:rsid w:val="002D6F4A"/>
    <w:rsid w:val="002F0225"/>
    <w:rsid w:val="0030191B"/>
    <w:rsid w:val="00321680"/>
    <w:rsid w:val="003332BB"/>
    <w:rsid w:val="00357B05"/>
    <w:rsid w:val="003623F7"/>
    <w:rsid w:val="003B2CCF"/>
    <w:rsid w:val="003C3CC3"/>
    <w:rsid w:val="003D3D90"/>
    <w:rsid w:val="00511B29"/>
    <w:rsid w:val="00546CFA"/>
    <w:rsid w:val="0056793B"/>
    <w:rsid w:val="00567A45"/>
    <w:rsid w:val="00572A99"/>
    <w:rsid w:val="0057653D"/>
    <w:rsid w:val="00585D11"/>
    <w:rsid w:val="005A1A55"/>
    <w:rsid w:val="005A5445"/>
    <w:rsid w:val="005D5762"/>
    <w:rsid w:val="006A2F0C"/>
    <w:rsid w:val="006E4CED"/>
    <w:rsid w:val="00700489"/>
    <w:rsid w:val="00775A12"/>
    <w:rsid w:val="007C18DB"/>
    <w:rsid w:val="007C26FF"/>
    <w:rsid w:val="007E20A7"/>
    <w:rsid w:val="007E33CE"/>
    <w:rsid w:val="007F2522"/>
    <w:rsid w:val="008078F5"/>
    <w:rsid w:val="00854973"/>
    <w:rsid w:val="008747E7"/>
    <w:rsid w:val="008C3E28"/>
    <w:rsid w:val="009076F1"/>
    <w:rsid w:val="009F6474"/>
    <w:rsid w:val="00A36FBB"/>
    <w:rsid w:val="00A37145"/>
    <w:rsid w:val="00A545CD"/>
    <w:rsid w:val="00A70CB6"/>
    <w:rsid w:val="00A80CF9"/>
    <w:rsid w:val="00AD4FF5"/>
    <w:rsid w:val="00B462AF"/>
    <w:rsid w:val="00BB2708"/>
    <w:rsid w:val="00BD6CEF"/>
    <w:rsid w:val="00BF3EF6"/>
    <w:rsid w:val="00BF5AA7"/>
    <w:rsid w:val="00C26675"/>
    <w:rsid w:val="00D1294A"/>
    <w:rsid w:val="00D52D9B"/>
    <w:rsid w:val="00D55B01"/>
    <w:rsid w:val="00D67FAE"/>
    <w:rsid w:val="00D76408"/>
    <w:rsid w:val="00DC4703"/>
    <w:rsid w:val="00DF157D"/>
    <w:rsid w:val="00E0038F"/>
    <w:rsid w:val="00E023F8"/>
    <w:rsid w:val="00E25D1A"/>
    <w:rsid w:val="00E85C66"/>
    <w:rsid w:val="00E909D6"/>
    <w:rsid w:val="00F25906"/>
    <w:rsid w:val="00F410E9"/>
    <w:rsid w:val="00F430EA"/>
    <w:rsid w:val="00F91073"/>
    <w:rsid w:val="00F940D6"/>
    <w:rsid w:val="00FE1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D9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styleId="Heading1">
    <w:name w:val="heading 1"/>
    <w:basedOn w:val="Normal"/>
    <w:next w:val="Normal"/>
    <w:qFormat/>
    <w:rsid w:val="00D52D9B"/>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qFormat/>
    <w:rsid w:val="00D52D9B"/>
    <w:pPr>
      <w:keepLines/>
      <w:spacing w:after="0"/>
      <w:ind w:left="794" w:hanging="794"/>
      <w:outlineLvl w:val="1"/>
    </w:pPr>
    <w:rPr>
      <w:rFonts w:ascii="Times New Roman" w:hAnsi="Times New Roman" w:cs="Times New Roman"/>
      <w:bCs w:val="0"/>
      <w:kern w:val="0"/>
      <w:sz w:val="24"/>
      <w:szCs w:val="20"/>
    </w:rPr>
  </w:style>
  <w:style w:type="paragraph" w:styleId="Heading6">
    <w:name w:val="heading 6"/>
    <w:basedOn w:val="Normal"/>
    <w:next w:val="Normal"/>
    <w:qFormat/>
    <w:rsid w:val="00D52D9B"/>
    <w:pPr>
      <w:spacing w:before="240" w:after="60"/>
      <w:outlineLvl w:val="5"/>
    </w:pPr>
    <w:rPr>
      <w:b/>
      <w:bCs/>
      <w:sz w:val="22"/>
      <w:szCs w:val="22"/>
    </w:rPr>
  </w:style>
  <w:style w:type="paragraph" w:styleId="Heading9">
    <w:name w:val="heading 9"/>
    <w:basedOn w:val="Heading6"/>
    <w:next w:val="Normal"/>
    <w:link w:val="Heading9Char"/>
    <w:qFormat/>
    <w:rsid w:val="00D52D9B"/>
    <w:pPr>
      <w:keepNext/>
      <w:keepLines/>
      <w:tabs>
        <w:tab w:val="clear" w:pos="794"/>
        <w:tab w:val="clear" w:pos="1191"/>
      </w:tabs>
      <w:spacing w:before="160" w:after="0"/>
      <w:ind w:left="1588" w:hanging="1588"/>
      <w:outlineLvl w:val="8"/>
    </w:pPr>
    <w:rPr>
      <w:bCs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link w:val="Tabletext0"/>
    <w:rsid w:val="00D52D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FootnoteReference">
    <w:name w:val="footnote reference"/>
    <w:aliases w:val="Appel note de bas de p,Footnote Reference/"/>
    <w:basedOn w:val="DefaultParagraphFont"/>
    <w:semiHidden/>
    <w:rsid w:val="00D52D9B"/>
    <w:rPr>
      <w:position w:val="6"/>
      <w:sz w:val="18"/>
    </w:rPr>
  </w:style>
  <w:style w:type="paragraph" w:customStyle="1" w:styleId="AppendixNoTitle">
    <w:name w:val="Appendix_NoTitle"/>
    <w:basedOn w:val="Normal"/>
    <w:next w:val="Normal"/>
    <w:rsid w:val="00D52D9B"/>
    <w:pPr>
      <w:keepNext/>
      <w:keepLines/>
      <w:spacing w:before="480"/>
      <w:jc w:val="center"/>
    </w:pPr>
    <w:rPr>
      <w:b/>
      <w:sz w:val="28"/>
    </w:rPr>
  </w:style>
  <w:style w:type="paragraph" w:customStyle="1" w:styleId="Headingb">
    <w:name w:val="Heading_b"/>
    <w:basedOn w:val="Normal"/>
    <w:next w:val="Normal"/>
    <w:rsid w:val="00D52D9B"/>
    <w:pPr>
      <w:keepNext/>
      <w:spacing w:before="160"/>
    </w:pPr>
    <w:rPr>
      <w:b/>
    </w:rPr>
  </w:style>
  <w:style w:type="character" w:styleId="Hyperlink">
    <w:name w:val="Hyperlink"/>
    <w:basedOn w:val="DefaultParagraphFont"/>
    <w:rsid w:val="00D52D9B"/>
    <w:rPr>
      <w:rFonts w:ascii="Trebuchet MS" w:hAnsi="Trebuchet MS" w:hint="default"/>
      <w:strike w:val="0"/>
      <w:dstrike w:val="0"/>
      <w:color w:val="000066"/>
      <w:u w:val="single"/>
      <w:effect w:val="none"/>
    </w:rPr>
  </w:style>
  <w:style w:type="character" w:customStyle="1" w:styleId="Heading2Char">
    <w:name w:val="Heading 2 Char"/>
    <w:basedOn w:val="DefaultParagraphFont"/>
    <w:link w:val="Heading2"/>
    <w:rsid w:val="00D52D9B"/>
    <w:rPr>
      <w:b/>
      <w:sz w:val="24"/>
      <w:lang w:val="en-GB" w:eastAsia="en-US" w:bidi="ar-SA"/>
    </w:rPr>
  </w:style>
  <w:style w:type="paragraph" w:customStyle="1" w:styleId="Summary">
    <w:name w:val="Summary"/>
    <w:basedOn w:val="Normal"/>
    <w:next w:val="Normal"/>
    <w:link w:val="SummaryChar"/>
    <w:rsid w:val="00D52D9B"/>
    <w:pPr>
      <w:spacing w:after="480"/>
      <w:jc w:val="both"/>
    </w:pPr>
    <w:rPr>
      <w:rFonts w:eastAsia="MS Mincho"/>
      <w:sz w:val="22"/>
      <w:lang w:val="es-ES_tradnl"/>
    </w:rPr>
  </w:style>
  <w:style w:type="character" w:customStyle="1" w:styleId="SummaryChar">
    <w:name w:val="Summary Char"/>
    <w:basedOn w:val="DefaultParagraphFont"/>
    <w:link w:val="Summary"/>
    <w:rsid w:val="00D52D9B"/>
    <w:rPr>
      <w:rFonts w:eastAsia="MS Mincho"/>
      <w:sz w:val="22"/>
      <w:lang w:val="es-ES_tradnl" w:eastAsia="en-US" w:bidi="ar-SA"/>
    </w:rPr>
  </w:style>
  <w:style w:type="character" w:customStyle="1" w:styleId="Heading9Char">
    <w:name w:val="Heading 9 Char"/>
    <w:basedOn w:val="DefaultParagraphFont"/>
    <w:link w:val="Heading9"/>
    <w:rsid w:val="00D52D9B"/>
    <w:rPr>
      <w:b/>
      <w:sz w:val="24"/>
      <w:lang w:val="en-GB" w:eastAsia="en-US" w:bidi="ar-SA"/>
    </w:rPr>
  </w:style>
  <w:style w:type="character" w:customStyle="1" w:styleId="Tabletext0">
    <w:name w:val="Table_text (文字)"/>
    <w:basedOn w:val="DefaultParagraphFont"/>
    <w:link w:val="Tabletext"/>
    <w:rsid w:val="00D52D9B"/>
    <w:rPr>
      <w:sz w:val="22"/>
      <w:lang w:val="en-GB" w:eastAsia="en-US" w:bidi="ar-SA"/>
    </w:rPr>
  </w:style>
  <w:style w:type="character" w:styleId="FollowedHyperlink">
    <w:name w:val="FollowedHyperlink"/>
    <w:basedOn w:val="DefaultParagraphFont"/>
    <w:rsid w:val="00D52D9B"/>
    <w:rPr>
      <w:color w:val="800080"/>
      <w:u w:val="single"/>
    </w:rPr>
  </w:style>
  <w:style w:type="table" w:styleId="TableGrid">
    <w:name w:val="Table Grid"/>
    <w:basedOn w:val="TableNormal"/>
    <w:rsid w:val="00D52D9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25906"/>
  </w:style>
  <w:style w:type="paragraph" w:customStyle="1" w:styleId="Tablehead">
    <w:name w:val="Table_head"/>
    <w:basedOn w:val="Normal"/>
    <w:next w:val="Tabletext"/>
    <w:rsid w:val="003D3D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Strong">
    <w:name w:val="Strong"/>
    <w:basedOn w:val="DefaultParagraphFont"/>
    <w:qFormat/>
    <w:rsid w:val="002D6F4A"/>
    <w:rPr>
      <w:b/>
      <w:bCs/>
    </w:rPr>
  </w:style>
  <w:style w:type="paragraph" w:styleId="BalloonText">
    <w:name w:val="Balloon Text"/>
    <w:basedOn w:val="Normal"/>
    <w:link w:val="BalloonTextChar"/>
    <w:rsid w:val="00105033"/>
    <w:pPr>
      <w:spacing w:before="0"/>
    </w:pPr>
    <w:rPr>
      <w:rFonts w:ascii="Arial" w:eastAsia="MS Gothic" w:hAnsi="Arial"/>
      <w:sz w:val="18"/>
      <w:szCs w:val="18"/>
    </w:rPr>
  </w:style>
  <w:style w:type="character" w:customStyle="1" w:styleId="BalloonTextChar">
    <w:name w:val="Balloon Text Char"/>
    <w:basedOn w:val="DefaultParagraphFont"/>
    <w:link w:val="BalloonText"/>
    <w:rsid w:val="00105033"/>
    <w:rPr>
      <w:rFonts w:ascii="Arial" w:eastAsia="MS Gothic" w:hAnsi="Arial" w:cs="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10590</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ITU Normal.dot</vt:lpstr>
      <vt:lpstr>ITU Normal.dot</vt:lpstr>
    </vt:vector>
  </TitlesOfParts>
  <Company>ITU</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bonnici</dc:creator>
  <cp:keywords/>
  <dc:description/>
  <cp:lastModifiedBy>El Faydy, Sara</cp:lastModifiedBy>
  <cp:revision>3</cp:revision>
  <cp:lastPrinted>2010-08-23T03:01:00Z</cp:lastPrinted>
  <dcterms:created xsi:type="dcterms:W3CDTF">2012-07-10T05:06:00Z</dcterms:created>
  <dcterms:modified xsi:type="dcterms:W3CDTF">2012-07-11T09:02:00Z</dcterms:modified>
</cp:coreProperties>
</file>