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91" w:rsidRPr="002D0A91" w:rsidRDefault="002D0A91" w:rsidP="002D0A91">
      <w:pPr>
        <w:pStyle w:val="ResNo"/>
        <w:rPr>
          <w:lang w:val="es-ES"/>
        </w:rPr>
      </w:pPr>
      <w:r w:rsidRPr="008712E2">
        <w:rPr>
          <w:lang w:val="es-ES"/>
        </w:rPr>
        <w:t xml:space="preserve">RESOLUCIÓN UIT-R </w:t>
      </w:r>
      <w:r w:rsidRPr="002D0A91">
        <w:rPr>
          <w:lang w:val="es-ES"/>
        </w:rPr>
        <w:t>9</w:t>
      </w:r>
      <w:r w:rsidRPr="008712E2">
        <w:rPr>
          <w:lang w:val="es-ES"/>
        </w:rPr>
        <w:t>-</w:t>
      </w:r>
      <w:r>
        <w:rPr>
          <w:lang w:val="es-ES"/>
        </w:rPr>
        <w:t>5</w:t>
      </w:r>
      <w:r w:rsidRPr="002D0A91">
        <w:rPr>
          <w:lang w:val="es-ES"/>
        </w:rPr>
        <w:footnoteReference w:customMarkFollows="1" w:id="1"/>
        <w:t>*</w:t>
      </w:r>
    </w:p>
    <w:p w:rsidR="00F03846" w:rsidRPr="002D0A91" w:rsidRDefault="002D0A91" w:rsidP="009F2375">
      <w:pPr>
        <w:pStyle w:val="Restitle"/>
      </w:pPr>
      <w:r w:rsidRPr="002D0A91">
        <w:t xml:space="preserve">Coordinación y colaboración con otras organizaciones interesadas, </w:t>
      </w:r>
      <w:r w:rsidR="009F2375">
        <w:br/>
      </w:r>
      <w:r w:rsidRPr="002D0A91">
        <w:t>en particular la ISO, la CEI y el CISPR</w:t>
      </w:r>
    </w:p>
    <w:p w:rsidR="002D0A91" w:rsidRPr="00AC22BF" w:rsidRDefault="002D0A91" w:rsidP="002D0A91">
      <w:pPr>
        <w:pStyle w:val="Resdate"/>
        <w:rPr>
          <w:lang w:val="es-ES"/>
        </w:rPr>
      </w:pPr>
      <w:bookmarkStart w:id="0" w:name="c2tope"/>
      <w:bookmarkStart w:id="1" w:name="irecnoe"/>
      <w:bookmarkStart w:id="2" w:name="p1rectexte"/>
      <w:bookmarkStart w:id="3" w:name="c3tope"/>
      <w:bookmarkStart w:id="4" w:name="cov4top"/>
      <w:bookmarkEnd w:id="0"/>
      <w:bookmarkEnd w:id="1"/>
      <w:bookmarkEnd w:id="2"/>
      <w:bookmarkEnd w:id="3"/>
      <w:bookmarkEnd w:id="4"/>
      <w:r>
        <w:rPr>
          <w:lang w:val="es-ES"/>
        </w:rPr>
        <w:t>(</w:t>
      </w:r>
      <w:r w:rsidRPr="00AC22BF">
        <w:rPr>
          <w:lang w:val="es-ES"/>
        </w:rPr>
        <w:t>1993-2000-</w:t>
      </w:r>
      <w:r>
        <w:rPr>
          <w:lang w:val="es-ES"/>
        </w:rPr>
        <w:t>2003-</w:t>
      </w:r>
      <w:r w:rsidRPr="00AC22BF">
        <w:rPr>
          <w:lang w:val="es-ES"/>
        </w:rPr>
        <w:t>2007-2012</w:t>
      </w:r>
      <w:r>
        <w:rPr>
          <w:lang w:val="es-ES"/>
        </w:rPr>
        <w:t>-2015</w:t>
      </w:r>
      <w:r w:rsidRPr="00AC22BF">
        <w:rPr>
          <w:lang w:val="es-ES"/>
        </w:rPr>
        <w:t>)</w:t>
      </w:r>
    </w:p>
    <w:p w:rsidR="00F03846" w:rsidRPr="004B6217" w:rsidRDefault="00F03846" w:rsidP="00F03846">
      <w:pPr>
        <w:pStyle w:val="Normalaftertitle"/>
      </w:pPr>
      <w:r w:rsidRPr="004B6217">
        <w:t>La Asamblea de Radiocomunicaciones de la UIT,</w:t>
      </w:r>
    </w:p>
    <w:p w:rsidR="00F03846" w:rsidRPr="004B6217" w:rsidRDefault="00F03846" w:rsidP="00F03846">
      <w:pPr>
        <w:pStyle w:val="Call"/>
      </w:pPr>
      <w:proofErr w:type="gramStart"/>
      <w:r w:rsidRPr="004B6217">
        <w:t>teniendo</w:t>
      </w:r>
      <w:proofErr w:type="gramEnd"/>
      <w:r w:rsidRPr="004B6217">
        <w:t xml:space="preserve"> presente</w:t>
      </w:r>
    </w:p>
    <w:p w:rsidR="00F03846" w:rsidRPr="004B6217" w:rsidRDefault="00F03846" w:rsidP="00F03846">
      <w:proofErr w:type="gramStart"/>
      <w:r w:rsidRPr="004B6217">
        <w:t>el</w:t>
      </w:r>
      <w:proofErr w:type="gramEnd"/>
      <w:r w:rsidRPr="004B6217">
        <w:t xml:space="preserve"> Artículo 50 de la Constitución de la UIT,</w:t>
      </w:r>
    </w:p>
    <w:p w:rsidR="00F03846" w:rsidRPr="004B6217" w:rsidRDefault="00F03846" w:rsidP="00F03846">
      <w:pPr>
        <w:pStyle w:val="Call"/>
      </w:pPr>
      <w:proofErr w:type="gramStart"/>
      <w:r w:rsidRPr="004B6217">
        <w:t>considerando</w:t>
      </w:r>
      <w:proofErr w:type="gramEnd"/>
    </w:p>
    <w:p w:rsidR="00F03846" w:rsidRPr="004B6217" w:rsidRDefault="00F03846" w:rsidP="00F03846">
      <w:r w:rsidRPr="004B6217">
        <w:rPr>
          <w:i/>
          <w:iCs/>
        </w:rPr>
        <w:t>a)</w:t>
      </w:r>
      <w:r w:rsidRPr="004B6217">
        <w:tab/>
        <w:t xml:space="preserve">la Resolución 71 (Rev. </w:t>
      </w:r>
      <w:proofErr w:type="spellStart"/>
      <w:r w:rsidRPr="004B6217">
        <w:t>Busán</w:t>
      </w:r>
      <w:proofErr w:type="spellEnd"/>
      <w:r w:rsidRPr="004B6217">
        <w:t>, 2014) de la Conferencia de Plenipotenciarios relativa al Plan Estratégico de la Unión para2016-2019;</w:t>
      </w:r>
    </w:p>
    <w:p w:rsidR="00F03846" w:rsidRPr="004B6217" w:rsidRDefault="00F03846" w:rsidP="006F40C1">
      <w:r w:rsidRPr="004B6217">
        <w:rPr>
          <w:i/>
          <w:iCs/>
        </w:rPr>
        <w:t>b)</w:t>
      </w:r>
      <w:r w:rsidRPr="004B6217">
        <w:tab/>
        <w:t>que existen algunas organizaciones, incluida</w:t>
      </w:r>
      <w:r w:rsidR="006F40C1">
        <w:t>s</w:t>
      </w:r>
      <w:r w:rsidRPr="004B6217">
        <w:t xml:space="preserve"> la ISO y </w:t>
      </w:r>
      <w:r w:rsidR="006F40C1">
        <w:t>la</w:t>
      </w:r>
      <w:r w:rsidRPr="004B6217">
        <w:t xml:space="preserve"> CEI, y sus comités y subcomités pertinentes, que se ocupan de normalización de radiocomunicaciones;</w:t>
      </w:r>
    </w:p>
    <w:p w:rsidR="00F03846" w:rsidRPr="004B6217" w:rsidRDefault="00C95B2B" w:rsidP="00C95B2B">
      <w:r>
        <w:rPr>
          <w:i/>
          <w:iCs/>
        </w:rPr>
        <w:t>c</w:t>
      </w:r>
      <w:r w:rsidR="00F03846" w:rsidRPr="004B6217">
        <w:rPr>
          <w:i/>
          <w:iCs/>
        </w:rPr>
        <w:t>)</w:t>
      </w:r>
      <w:r w:rsidR="00F03846" w:rsidRPr="004B6217">
        <w:tab/>
        <w:t xml:space="preserve">que, en lo que respecta a la interferencia radioeléctrica, en 1950 se restableció el Comité Internacional Especial de Perturbaciones Radioeléctricas (CISPR) como un Comité Especial bajo el patrocinio de la CEI a fin de garantizar una mayor uniformidad metodológica a la hora de medir y </w:t>
      </w:r>
      <w:r w:rsidR="00977BB4">
        <w:t xml:space="preserve">de </w:t>
      </w:r>
      <w:r w:rsidR="00F03846" w:rsidRPr="004B6217">
        <w:t xml:space="preserve">prescribir límites con el objetivo de evitar dificultades en el intercambio de bienes y servicios, reconociendo al mismo tiempo que el CISPR no tiene la misma categoría que los demás Comités Técnicos de la CEI, pues el CISPR cuenta entre sus Órganos Miembros no sólo a los Comités Nacionales de la CEI, sino también a diversas organizaciones internacionales, incluida la OACI y las </w:t>
      </w:r>
      <w:r w:rsidR="00977BB4" w:rsidRPr="004B6217">
        <w:t xml:space="preserve">uniones </w:t>
      </w:r>
      <w:r w:rsidR="00F03846" w:rsidRPr="004B6217">
        <w:t xml:space="preserve">de </w:t>
      </w:r>
      <w:r w:rsidR="00977BB4" w:rsidRPr="004B6217">
        <w:t>radiodifusión</w:t>
      </w:r>
      <w:r w:rsidR="00F03846" w:rsidRPr="004B6217">
        <w:t>, interesadas en la reducción de la interferencia radioeléctrica;</w:t>
      </w:r>
    </w:p>
    <w:p w:rsidR="00F03846" w:rsidRDefault="00C95B2B" w:rsidP="00F03846">
      <w:r>
        <w:rPr>
          <w:i/>
          <w:iCs/>
        </w:rPr>
        <w:t>d</w:t>
      </w:r>
      <w:r w:rsidR="00F03846" w:rsidRPr="004B6217">
        <w:rPr>
          <w:i/>
          <w:iCs/>
        </w:rPr>
        <w:t>)</w:t>
      </w:r>
      <w:r w:rsidR="00F03846" w:rsidRPr="004B6217">
        <w:tab/>
        <w:t>que dichas organizaciones pueden identificar, definir y proponer soluciones de problemas específicos que interesan a las Comisiones de Estudio de Radiocomunicaciones así como asumir la responsabilidad del mantenimiento de normas de tales sistemas;</w:t>
      </w:r>
    </w:p>
    <w:p w:rsidR="00F03846" w:rsidRPr="004B6217" w:rsidRDefault="00C95B2B" w:rsidP="00C95B2B">
      <w:r>
        <w:rPr>
          <w:i/>
          <w:iCs/>
        </w:rPr>
        <w:t>e</w:t>
      </w:r>
      <w:r w:rsidR="00F03846" w:rsidRPr="004B6217">
        <w:rPr>
          <w:i/>
          <w:iCs/>
        </w:rPr>
        <w:t>)</w:t>
      </w:r>
      <w:r w:rsidR="00F03846" w:rsidRPr="004B6217">
        <w:tab/>
        <w:t xml:space="preserve">que en el Reglamento de Radiocomunicaciones y en diversas Recomendaciones </w:t>
      </w:r>
      <w:r w:rsidR="00F03846" w:rsidRPr="00977BB4">
        <w:t>e Informes</w:t>
      </w:r>
      <w:r w:rsidR="00F03846">
        <w:t> </w:t>
      </w:r>
      <w:r w:rsidR="00F03846" w:rsidRPr="004B6217">
        <w:t>UIT-R ya se tienen en cuenta las Normas y Prácticas Recomendadas de la OACI y las Normas de Funcionamiento de la OMI pertinentes a los fines de la Unión</w:t>
      </w:r>
      <w:r w:rsidR="00932B10">
        <w:t>,</w:t>
      </w:r>
      <w:r w:rsidR="00F03846" w:rsidRPr="004B6217">
        <w:t xml:space="preserve"> que han entrado en vigor como resultado de la cooperación de la OACI y la OMI con la ISO y la CEI, incluidos sus comités y subcomités pertinentes;</w:t>
      </w:r>
    </w:p>
    <w:p w:rsidR="00F03846" w:rsidRPr="004B6217" w:rsidRDefault="00C95B2B" w:rsidP="00C95B2B">
      <w:r>
        <w:rPr>
          <w:i/>
          <w:iCs/>
        </w:rPr>
        <w:t>f</w:t>
      </w:r>
      <w:r w:rsidR="00F03846" w:rsidRPr="004B6217">
        <w:rPr>
          <w:i/>
          <w:iCs/>
        </w:rPr>
        <w:t>)</w:t>
      </w:r>
      <w:r w:rsidR="00F03846" w:rsidRPr="004B6217">
        <w:tab/>
        <w:t>que la cooperación entre la ISO y la CEI y el UIT-T ya está bien asentada gracias a la Resolución UIT-T</w:t>
      </w:r>
      <w:r w:rsidR="00F03846">
        <w:t> </w:t>
      </w:r>
      <w:r w:rsidR="00F03846" w:rsidRPr="004B6217">
        <w:t>7;</w:t>
      </w:r>
    </w:p>
    <w:p w:rsidR="00F03846" w:rsidRPr="004B6217" w:rsidRDefault="00C95B2B" w:rsidP="00F03846">
      <w:r>
        <w:rPr>
          <w:i/>
          <w:iCs/>
        </w:rPr>
        <w:t>g</w:t>
      </w:r>
      <w:r w:rsidR="00F03846" w:rsidRPr="004B6217">
        <w:rPr>
          <w:i/>
          <w:iCs/>
        </w:rPr>
        <w:t>)</w:t>
      </w:r>
      <w:r w:rsidR="00F03846" w:rsidRPr="004B6217">
        <w:tab/>
        <w:t>que uno de los objetivos de las Comisiones de Estudio de Radiocomunicaciones consiste en armonizar el trabajo en el campo de las radiocomunicaciones con el de los organismos regionales/nacionales y otros organismos internacionales;</w:t>
      </w:r>
    </w:p>
    <w:p w:rsidR="00F03846" w:rsidRPr="004B6217" w:rsidRDefault="00C95B2B" w:rsidP="00D4328E">
      <w:r>
        <w:rPr>
          <w:i/>
          <w:iCs/>
        </w:rPr>
        <w:t>h</w:t>
      </w:r>
      <w:r w:rsidR="00F03846" w:rsidRPr="004B6217">
        <w:rPr>
          <w:i/>
          <w:iCs/>
        </w:rPr>
        <w:t>)</w:t>
      </w:r>
      <w:r w:rsidR="00F03846" w:rsidRPr="004B6217">
        <w:tab/>
        <w:t>que haciendo referencia en las Recomendaciones</w:t>
      </w:r>
      <w:r w:rsidR="00932B10">
        <w:t xml:space="preserve"> y los Informes del</w:t>
      </w:r>
      <w:r w:rsidR="00F03846" w:rsidRPr="004B6217">
        <w:t xml:space="preserve"> UIT-R a organizaciones que tratan cuestiones relativas a las radiocomunicaciones pueden minimizarse los costes de publicación y traducción en la UIT, teniendo en cuenta que podría incrementarse el coste </w:t>
      </w:r>
      <w:r w:rsidR="00F03846" w:rsidRPr="004B6217">
        <w:lastRenderedPageBreak/>
        <w:t>total de adquisición por el cliente de tales Recomendaciones</w:t>
      </w:r>
      <w:r w:rsidR="00D4328E">
        <w:t xml:space="preserve"> e Informes del</w:t>
      </w:r>
      <w:r w:rsidR="00F03846" w:rsidRPr="004B6217">
        <w:t xml:space="preserve"> UIT-R cuando también se incluyen los costes de los documentos de referencia ajenos a la UIT;</w:t>
      </w:r>
    </w:p>
    <w:p w:rsidR="00F03846" w:rsidRPr="004B6217" w:rsidRDefault="00C95B2B" w:rsidP="00F03846">
      <w:r>
        <w:rPr>
          <w:i/>
          <w:iCs/>
        </w:rPr>
        <w:t>i</w:t>
      </w:r>
      <w:r w:rsidR="00F03846" w:rsidRPr="004B6217">
        <w:rPr>
          <w:i/>
          <w:iCs/>
        </w:rPr>
        <w:t>)</w:t>
      </w:r>
      <w:r w:rsidR="00F03846" w:rsidRPr="004B6217">
        <w:tab/>
        <w:t>que dichas organizaciones pueden ofrecer medios para mejorar la difusión y la eficacia de las Recomendaciones</w:t>
      </w:r>
      <w:r w:rsidR="00D4328E">
        <w:t xml:space="preserve"> y los Informes del</w:t>
      </w:r>
      <w:r w:rsidR="00F03846">
        <w:t> </w:t>
      </w:r>
      <w:r w:rsidR="00F03846" w:rsidRPr="004B6217">
        <w:t>UIT-R;</w:t>
      </w:r>
    </w:p>
    <w:p w:rsidR="00F03846" w:rsidRPr="004B6217" w:rsidRDefault="00C95B2B" w:rsidP="00F03846">
      <w:r>
        <w:rPr>
          <w:i/>
          <w:iCs/>
        </w:rPr>
        <w:t>j</w:t>
      </w:r>
      <w:r w:rsidR="00F03846" w:rsidRPr="004B6217">
        <w:rPr>
          <w:i/>
          <w:iCs/>
        </w:rPr>
        <w:t>)</w:t>
      </w:r>
      <w:r w:rsidR="00F03846" w:rsidRPr="004B6217">
        <w:tab/>
        <w:t>que es recomendable establecer disposiciones adecuadas con respecto a las cuestiones de derechos de autor con otras organizaciones;</w:t>
      </w:r>
    </w:p>
    <w:p w:rsidR="00F03846" w:rsidRPr="004B6217" w:rsidRDefault="00C95B2B" w:rsidP="00F03846">
      <w:pPr>
        <w:rPr>
          <w:lang w:eastAsia="ja-JP"/>
        </w:rPr>
      </w:pPr>
      <w:r>
        <w:rPr>
          <w:i/>
          <w:iCs/>
          <w:lang w:eastAsia="ja-JP"/>
        </w:rPr>
        <w:t>k</w:t>
      </w:r>
      <w:r w:rsidR="00F03846" w:rsidRPr="004B6217">
        <w:rPr>
          <w:i/>
          <w:iCs/>
          <w:lang w:eastAsia="ja-JP"/>
        </w:rPr>
        <w:t>)</w:t>
      </w:r>
      <w:r w:rsidR="00F03846" w:rsidRPr="004B6217">
        <w:rPr>
          <w:lang w:eastAsia="ja-JP"/>
        </w:rPr>
        <w:tab/>
        <w:t>que el cometido de la Cooperación Mundial para la Normalización (WSC) es fortalecer y promover los sistemas de normas internacionales voluntarios del UIT-R, UIT-T, ISO y CEI, incluidos sus comités y subcomités pertinentes, basados en el consenso,</w:t>
      </w:r>
    </w:p>
    <w:p w:rsidR="00F03846" w:rsidRPr="004B6217" w:rsidRDefault="00F03846" w:rsidP="00F03846">
      <w:pPr>
        <w:pStyle w:val="Call"/>
      </w:pPr>
      <w:proofErr w:type="gramStart"/>
      <w:r w:rsidRPr="004B6217">
        <w:t>observando</w:t>
      </w:r>
      <w:proofErr w:type="gramEnd"/>
    </w:p>
    <w:p w:rsidR="00F03846" w:rsidRPr="004B6217" w:rsidRDefault="00F03846" w:rsidP="00F03846">
      <w:r w:rsidRPr="004B6217">
        <w:rPr>
          <w:i/>
          <w:iCs/>
        </w:rPr>
        <w:t>a)</w:t>
      </w:r>
      <w:r w:rsidRPr="004B6217">
        <w:tab/>
        <w:t>que las referencias a normas publicadas fuera del UIT</w:t>
      </w:r>
      <w:r w:rsidRPr="004B6217">
        <w:noBreakHyphen/>
        <w:t>R no son a</w:t>
      </w:r>
      <w:r>
        <w:t>decuadas en las Recomendaciones </w:t>
      </w:r>
      <w:r w:rsidRPr="004B6217">
        <w:t>UIT</w:t>
      </w:r>
      <w:r w:rsidRPr="004B6217">
        <w:noBreakHyphen/>
        <w:t>R que pueden incorporarse por referencia al Reglamento de Radiocomunicaciones;</w:t>
      </w:r>
      <w:bookmarkStart w:id="5" w:name="_GoBack"/>
      <w:bookmarkEnd w:id="5"/>
    </w:p>
    <w:p w:rsidR="00F03846" w:rsidRPr="004B6217" w:rsidRDefault="00F03846" w:rsidP="00F03846">
      <w:r w:rsidRPr="004B6217">
        <w:rPr>
          <w:i/>
          <w:iCs/>
        </w:rPr>
        <w:t>b)</w:t>
      </w:r>
      <w:r w:rsidRPr="004B6217">
        <w:tab/>
        <w:t>que se han constituido a nivel internacional, grupos (por ejemplo, la reunión anual de organizaciones de normalización), para intercambiar información sobre normalización, facilitar la armonización de las normas y completar los procedimientos oficiales de los organismos de normalización en particular la UIT, en el proceso de elaboración de normas internacionales;</w:t>
      </w:r>
    </w:p>
    <w:p w:rsidR="00F03846" w:rsidRPr="004B6217" w:rsidRDefault="00F03846" w:rsidP="00D4328E">
      <w:r w:rsidRPr="004B6217">
        <w:rPr>
          <w:i/>
          <w:iCs/>
        </w:rPr>
        <w:t>c)</w:t>
      </w:r>
      <w:r w:rsidRPr="004B6217">
        <w:tab/>
        <w:t>que desde 1999 existen procedimientos elaborados por las Comisiones de Estudio en conjunto con el Director de la Oficina de Radiocomunicaciones, que abordan la colaboración con otras organizaciones con objeto de elaborar Recomendaciones</w:t>
      </w:r>
      <w:r w:rsidR="00D4328E">
        <w:t xml:space="preserve"> e Informes</w:t>
      </w:r>
      <w:r w:rsidRPr="004B6217">
        <w:t xml:space="preserve"> específic</w:t>
      </w:r>
      <w:r w:rsidR="00D4328E">
        <w:t>o</w:t>
      </w:r>
      <w:r w:rsidRPr="004B6217">
        <w:t>s, en particular la utilización de referencias; y que estos procedimientos funcionan muy bien;</w:t>
      </w:r>
    </w:p>
    <w:p w:rsidR="00F03846" w:rsidRPr="004B6217" w:rsidRDefault="00F03846" w:rsidP="00F03846">
      <w:r w:rsidRPr="004B6217">
        <w:rPr>
          <w:i/>
          <w:iCs/>
        </w:rPr>
        <w:t>d)</w:t>
      </w:r>
      <w:r w:rsidRPr="004B6217">
        <w:tab/>
        <w:t>que de conformidad con las decisiones de la Asamblea de Radiocomunicaciones (Estambul, 2000), el Director de la Oficina de Radiocomunicaciones también estableció en 2001 acuerdos entre la UIT y otras organizaciones</w:t>
      </w:r>
      <w:r w:rsidRPr="004B6217">
        <w:rPr>
          <w:rStyle w:val="FootnoteReference"/>
        </w:rPr>
        <w:footnoteReference w:id="2"/>
      </w:r>
      <w:r w:rsidRPr="004B6217">
        <w:t xml:space="preserve"> en los que se abordaron de manera satisfactoria las cuestiones relativas a la colaboración, el intercambio de documentación y los derechos de propiedad intelectual;</w:t>
      </w:r>
    </w:p>
    <w:p w:rsidR="00F03846" w:rsidRPr="004B6217" w:rsidRDefault="00F03846" w:rsidP="000D61F3">
      <w:r w:rsidRPr="004B6217">
        <w:rPr>
          <w:i/>
          <w:iCs/>
        </w:rPr>
        <w:t>e)</w:t>
      </w:r>
      <w:r w:rsidRPr="004B6217">
        <w:tab/>
        <w:t>que, desde hace años, la colabora</w:t>
      </w:r>
      <w:r w:rsidR="006F40C1">
        <w:t xml:space="preserve">ción entre el UIT-T y la ISO y </w:t>
      </w:r>
      <w:r w:rsidRPr="004B6217">
        <w:t>l</w:t>
      </w:r>
      <w:r w:rsidR="006F40C1">
        <w:t>a</w:t>
      </w:r>
      <w:r w:rsidRPr="004B6217">
        <w:t xml:space="preserve"> CEI, incluidos sus comités y subcomités pertinentes, para la elaboración de textos comunes, incluid</w:t>
      </w:r>
      <w:r w:rsidR="000D61F3">
        <w:t>o</w:t>
      </w:r>
      <w:r w:rsidRPr="004B6217">
        <w:t>s</w:t>
      </w:r>
      <w:r w:rsidR="000D61F3">
        <w:t xml:space="preserve"> Informes y</w:t>
      </w:r>
      <w:r w:rsidRPr="004B6217">
        <w:t xml:space="preserve"> Recomendaciones, es una práctica habitual,</w:t>
      </w:r>
    </w:p>
    <w:p w:rsidR="00F03846" w:rsidRPr="004B6217" w:rsidRDefault="00F03846" w:rsidP="00F03846">
      <w:pPr>
        <w:pStyle w:val="Call"/>
      </w:pPr>
      <w:proofErr w:type="gramStart"/>
      <w:r w:rsidRPr="004B6217">
        <w:t>reconociendo</w:t>
      </w:r>
      <w:proofErr w:type="gramEnd"/>
    </w:p>
    <w:p w:rsidR="00F03846" w:rsidRPr="004B6217" w:rsidRDefault="00F03846" w:rsidP="00F03846">
      <w:r w:rsidRPr="004B6217">
        <w:rPr>
          <w:i/>
          <w:iCs/>
        </w:rPr>
        <w:t>a)</w:t>
      </w:r>
      <w:r w:rsidRPr="004B6217">
        <w:tab/>
        <w:t>que la</w:t>
      </w:r>
      <w:r>
        <w:t xml:space="preserve"> Constitución de la UIT (número 145A) y el Convenio de la </w:t>
      </w:r>
      <w:r w:rsidRPr="004B6217">
        <w:t>UIT (número 129A) se modificaron en la Conferencia de Plenipotenciarios (Marrakech, 2002) para asignar explícitamente a la Asamblea de Radiocomunicaciones la responsabilidad de adoptar métodos y procedimientos de trabajo para la gestión de las actividades del Sector;</w:t>
      </w:r>
    </w:p>
    <w:p w:rsidR="00F03846" w:rsidRPr="004B6217" w:rsidRDefault="00F03846" w:rsidP="00F03846">
      <w:r w:rsidRPr="004B6217">
        <w:rPr>
          <w:i/>
          <w:iCs/>
        </w:rPr>
        <w:t>b)</w:t>
      </w:r>
      <w:r w:rsidRPr="004B6217">
        <w:tab/>
        <w:t>qu</w:t>
      </w:r>
      <w:r>
        <w:t>e, de conformidad con el número </w:t>
      </w:r>
      <w:r w:rsidRPr="004B6217">
        <w:t>248A del Convenio de la UIT y siguiendo el procedimiento establecido por el Sector, el Director de la Oficina, en consulta con el Presidente de la Comisión de Estudio interesada, podrá invitar a una organización ajena al Sector a que envíe representantes para que participen en los estudios sobre un tema específico en la Comisión de Estudio correspondiente o en sus grupos subordinados;</w:t>
      </w:r>
    </w:p>
    <w:p w:rsidR="00F03846" w:rsidRPr="004B6217" w:rsidRDefault="00F03846" w:rsidP="00F03846">
      <w:r w:rsidRPr="004B6217">
        <w:rPr>
          <w:i/>
          <w:iCs/>
        </w:rPr>
        <w:lastRenderedPageBreak/>
        <w:t>c)</w:t>
      </w:r>
      <w:r w:rsidRPr="004B6217">
        <w:tab/>
        <w:t>que en el Ruego UIT-R</w:t>
      </w:r>
      <w:r>
        <w:t> </w:t>
      </w:r>
      <w:r w:rsidRPr="004B6217">
        <w:t>100 se indica la necesidad de garantizar la compatibilidad en la utilización de las frecuencias radioeléctricas para fines no contemplados en el Reglamento de Radiocomunicaciones o en otras publicaciones de la UIT pertinentes,</w:t>
      </w:r>
    </w:p>
    <w:p w:rsidR="00F03846" w:rsidRPr="004B6217" w:rsidRDefault="00F03846" w:rsidP="00F03846">
      <w:pPr>
        <w:pStyle w:val="Call"/>
      </w:pPr>
      <w:proofErr w:type="gramStart"/>
      <w:r w:rsidRPr="004B6217">
        <w:t>resuelve</w:t>
      </w:r>
      <w:proofErr w:type="gramEnd"/>
    </w:p>
    <w:p w:rsidR="00F03846" w:rsidRPr="004B6217" w:rsidRDefault="00F03846" w:rsidP="00F03846">
      <w:r w:rsidRPr="004B6217">
        <w:rPr>
          <w:bCs/>
        </w:rPr>
        <w:t>1</w:t>
      </w:r>
      <w:r w:rsidRPr="004B6217">
        <w:tab/>
        <w:t>que las administraciones alienten a las organizaciones que se ocupan de asuntos relacionados con las radiocomunicaciones a tener en cuenta las actividades mundiales de las Comisiones de Estudio de Radiocomunicaciones y la continua necesidad de cooperación en lo que respecta a las medidas para evitar la interferencia radioeléctrica;</w:t>
      </w:r>
    </w:p>
    <w:p w:rsidR="00F03846" w:rsidRPr="004B6217" w:rsidRDefault="00F03846" w:rsidP="00D4328E">
      <w:r w:rsidRPr="004B6217">
        <w:t>2</w:t>
      </w:r>
      <w:r w:rsidRPr="004B6217">
        <w:tab/>
        <w:t>que las Recomendaciones</w:t>
      </w:r>
      <w:r w:rsidR="00D4328E">
        <w:t xml:space="preserve"> y los Informes del</w:t>
      </w:r>
      <w:r w:rsidRPr="004B6217">
        <w:t> UIT</w:t>
      </w:r>
      <w:r w:rsidRPr="004B6217">
        <w:noBreakHyphen/>
        <w:t>R, determinad</w:t>
      </w:r>
      <w:r w:rsidR="00D4328E">
        <w:t>o</w:t>
      </w:r>
      <w:r w:rsidRPr="004B6217">
        <w:t>s por la Comisión de Estudio, hagan referencia a las normas aprobadas de cuyo mantenimiento se encargan otras organizaciones;</w:t>
      </w:r>
    </w:p>
    <w:p w:rsidR="00F03846" w:rsidRPr="004B6217" w:rsidRDefault="00F03846" w:rsidP="00F03846">
      <w:r w:rsidRPr="004B6217">
        <w:t>3</w:t>
      </w:r>
      <w:r w:rsidRPr="004B6217">
        <w:rPr>
          <w:b/>
          <w:bCs/>
        </w:rPr>
        <w:tab/>
      </w:r>
      <w:r w:rsidRPr="004B6217">
        <w:t>que las Comisiones de Estudio de Radiocomunicaciones o los Grupos establecidos por éstas puedan establecer enlaces, colaborar e intercambiar información, de conformidad con los principios establecidos (véase el Anexo 1), con otras organizaciones tales como organizaciones de normalización, universidades y organizaciones industriales y con proyectos en asociación, foros, consorcios, mecanismos de colaboración para la investigación;</w:t>
      </w:r>
    </w:p>
    <w:p w:rsidR="00F03846" w:rsidRPr="004B6217" w:rsidRDefault="00F03846" w:rsidP="00F03846">
      <w:r w:rsidRPr="004B6217">
        <w:t>4</w:t>
      </w:r>
      <w:r w:rsidRPr="004B6217">
        <w:tab/>
        <w:t>que el Anexo</w:t>
      </w:r>
      <w:r>
        <w:t> </w:t>
      </w:r>
      <w:r w:rsidRPr="004B6217">
        <w:t>1, titulado «Pri</w:t>
      </w:r>
      <w:r>
        <w:t>ncipios para la interacción del </w:t>
      </w:r>
      <w:r w:rsidRPr="004B6217">
        <w:t>UIT</w:t>
      </w:r>
      <w:r w:rsidRPr="004B6217">
        <w:noBreakHyphen/>
        <w:t>R con otras organizaciones» se utilice a título orientativo para las actividades de enlace y colaboración con otras organizaciones,</w:t>
      </w:r>
    </w:p>
    <w:p w:rsidR="00F03846" w:rsidRPr="004B6217" w:rsidRDefault="00F03846" w:rsidP="00F03846">
      <w:pPr>
        <w:pStyle w:val="Call"/>
      </w:pPr>
      <w:proofErr w:type="gramStart"/>
      <w:r w:rsidRPr="004B6217">
        <w:t>encarga</w:t>
      </w:r>
      <w:proofErr w:type="gramEnd"/>
      <w:r w:rsidRPr="004B6217">
        <w:t xml:space="preserve"> al Director que,</w:t>
      </w:r>
      <w:r w:rsidRPr="004B6217">
        <w:rPr>
          <w:i w:val="0"/>
          <w:iCs/>
        </w:rPr>
        <w:t xml:space="preserve"> en el contexto del Anexo</w:t>
      </w:r>
      <w:r>
        <w:rPr>
          <w:i w:val="0"/>
          <w:iCs/>
        </w:rPr>
        <w:t> </w:t>
      </w:r>
      <w:r w:rsidRPr="004B6217">
        <w:rPr>
          <w:i w:val="0"/>
          <w:iCs/>
        </w:rPr>
        <w:t>1</w:t>
      </w:r>
    </w:p>
    <w:p w:rsidR="00F03846" w:rsidRPr="004B6217" w:rsidRDefault="00F03846" w:rsidP="00F03846">
      <w:r w:rsidRPr="004B6217">
        <w:t>1</w:t>
      </w:r>
      <w:r w:rsidRPr="004B6217">
        <w:tab/>
        <w:t>elabore directrices sobre los procedimientos relativos a la incorporación de material de otras organizaciones para los trabajos de las Comisiones de Estudio o los Grupos establecidos por éstas, incluyendo referencias a los documentos de dichas organi</w:t>
      </w:r>
      <w:r>
        <w:t>zaciones en las Recomendaciones</w:t>
      </w:r>
      <w:r w:rsidR="00D4328E">
        <w:t xml:space="preserve"> y los Informes del</w:t>
      </w:r>
      <w:r>
        <w:t> </w:t>
      </w:r>
      <w:r w:rsidRPr="004B6217">
        <w:t>UIT</w:t>
      </w:r>
      <w:r w:rsidRPr="004B6217">
        <w:noBreakHyphen/>
        <w:t>R;</w:t>
      </w:r>
    </w:p>
    <w:p w:rsidR="00F03846" w:rsidRPr="004B6217" w:rsidRDefault="00F03846" w:rsidP="00F03846">
      <w:r w:rsidRPr="004B6217">
        <w:t>2</w:t>
      </w:r>
      <w:r w:rsidRPr="004B6217">
        <w:tab/>
        <w:t>que elabor</w:t>
      </w:r>
      <w:r>
        <w:t>e, de conformidad con el número </w:t>
      </w:r>
      <w:r w:rsidRPr="004B6217">
        <w:t>248A del Convenio de la UIT, un procedimiento para invitar a organizaciones que no participan en el Sector a colaborar en el estudio de asuntos específicos,</w:t>
      </w:r>
    </w:p>
    <w:p w:rsidR="00F03846" w:rsidRPr="004B6217" w:rsidRDefault="00F03846" w:rsidP="00F03846">
      <w:pPr>
        <w:pStyle w:val="Call"/>
      </w:pPr>
      <w:proofErr w:type="gramStart"/>
      <w:r w:rsidRPr="004B6217">
        <w:t>encarga</w:t>
      </w:r>
      <w:proofErr w:type="gramEnd"/>
      <w:r w:rsidRPr="004B6217">
        <w:t xml:space="preserve"> además al Director que, en consonan</w:t>
      </w:r>
      <w:r>
        <w:t>cia con los encarga al Director 1 y </w:t>
      </w:r>
      <w:r w:rsidRPr="004B6217">
        <w:t>2</w:t>
      </w:r>
    </w:p>
    <w:p w:rsidR="00F03846" w:rsidRPr="004B6217" w:rsidRDefault="00F03846" w:rsidP="00F03846">
      <w:r w:rsidRPr="004B6217">
        <w:t>3</w:t>
      </w:r>
      <w:r w:rsidRPr="004B6217">
        <w:tab/>
        <w:t>establezca, cuando sea necesario, acuerdos con otras organizaciones que no sean parte en las disposiciones acordadas con la ISO y el CEI, en particular las relativas al derecho de propiedad intelectual, con objeto de:</w:t>
      </w:r>
    </w:p>
    <w:p w:rsidR="00F03846" w:rsidRPr="004B6217" w:rsidRDefault="00F03846" w:rsidP="00F03846">
      <w:pPr>
        <w:pStyle w:val="enumlev1"/>
      </w:pPr>
      <w:r w:rsidRPr="004B6217">
        <w:rPr>
          <w:i/>
          <w:iCs/>
        </w:rPr>
        <w:t>a)</w:t>
      </w:r>
      <w:r w:rsidRPr="004B6217">
        <w:tab/>
        <w:t xml:space="preserve">poder hacer referencia a documentos de otras organizaciones en las Recomendaciones </w:t>
      </w:r>
      <w:r w:rsidR="00D4328E">
        <w:t xml:space="preserve">y los Informes </w:t>
      </w:r>
      <w:r w:rsidRPr="004B6217">
        <w:t>del UIT</w:t>
      </w:r>
      <w:r w:rsidRPr="004B6217">
        <w:noBreakHyphen/>
        <w:t>R; y</w:t>
      </w:r>
    </w:p>
    <w:p w:rsidR="00F03846" w:rsidRPr="004B6217" w:rsidRDefault="00F03846" w:rsidP="00F03846">
      <w:pPr>
        <w:pStyle w:val="enumlev1"/>
      </w:pPr>
      <w:r w:rsidRPr="004B6217">
        <w:rPr>
          <w:i/>
          <w:iCs/>
        </w:rPr>
        <w:t>b)</w:t>
      </w:r>
      <w:r w:rsidRPr="004B6217">
        <w:tab/>
        <w:t>facilitar la colaboración y coordinación con otras organizaciones en las reuniones de las Comisiones de Estudio o los Grupos establecidos por éstas y la aportación de material a esas reuniones,</w:t>
      </w:r>
    </w:p>
    <w:p w:rsidR="00F03846" w:rsidRPr="004B6217" w:rsidRDefault="00F03846" w:rsidP="00F03846">
      <w:pPr>
        <w:pStyle w:val="Call"/>
      </w:pPr>
      <w:proofErr w:type="gramStart"/>
      <w:r w:rsidRPr="004B6217">
        <w:t>encarga</w:t>
      </w:r>
      <w:proofErr w:type="gramEnd"/>
      <w:r w:rsidRPr="004B6217">
        <w:t xml:space="preserve"> al Grupo Asesor de Radiocomunicaciones</w:t>
      </w:r>
    </w:p>
    <w:p w:rsidR="00F03846" w:rsidRPr="004B6217" w:rsidRDefault="00F03846" w:rsidP="00F03846">
      <w:proofErr w:type="gramStart"/>
      <w:r w:rsidRPr="004B6217">
        <w:t>que</w:t>
      </w:r>
      <w:proofErr w:type="gramEnd"/>
      <w:r w:rsidRPr="004B6217">
        <w:t xml:space="preserve"> examine estas directrices.</w:t>
      </w:r>
    </w:p>
    <w:p w:rsidR="000D61F3" w:rsidRPr="004B6217" w:rsidRDefault="000D61F3" w:rsidP="000D61F3">
      <w:pPr>
        <w:pStyle w:val="AnnexNo"/>
        <w:rPr>
          <w:b/>
        </w:rPr>
      </w:pPr>
      <w:r w:rsidRPr="004B6217">
        <w:lastRenderedPageBreak/>
        <w:t>Anexo 1</w:t>
      </w:r>
    </w:p>
    <w:p w:rsidR="000D61F3" w:rsidRPr="004B6217" w:rsidRDefault="000D61F3" w:rsidP="000D61F3">
      <w:pPr>
        <w:pStyle w:val="Annextitle"/>
      </w:pPr>
      <w:r w:rsidRPr="004B6217">
        <w:t xml:space="preserve">Principios para la interacción del UIT-R con otras organizaciones </w:t>
      </w:r>
    </w:p>
    <w:p w:rsidR="000D61F3" w:rsidRPr="004B6217" w:rsidRDefault="000D61F3" w:rsidP="000D61F3">
      <w:pPr>
        <w:pStyle w:val="Normalaftertitle0"/>
      </w:pPr>
      <w:r w:rsidRPr="004B6217">
        <w:t>1</w:t>
      </w:r>
      <w:r w:rsidRPr="004B6217">
        <w:tab/>
        <w:t>La interacción de las Comisiones de Estudio de Radiocomunicaciones o los Grupos establecidos por éstas (a los que, en conjunto, denominaremos Comisiones de Estudio) con otras organizaciones tiene lugar en dos ámbitos fundamentales; a saber:</w:t>
      </w:r>
    </w:p>
    <w:p w:rsidR="000D61F3" w:rsidRPr="004B6217" w:rsidRDefault="000D61F3" w:rsidP="000D61F3">
      <w:pPr>
        <w:pStyle w:val="enumlev1"/>
      </w:pPr>
      <w:r w:rsidRPr="004B6217">
        <w:rPr>
          <w:i/>
          <w:iCs/>
        </w:rPr>
        <w:t>a)</w:t>
      </w:r>
      <w:r w:rsidRPr="004B6217">
        <w:tab/>
        <w:t>referencias a documentos de otras organizaci</w:t>
      </w:r>
      <w:r>
        <w:t>ones en las Recomendaciones y los Informes del </w:t>
      </w:r>
      <w:r w:rsidRPr="004B6217">
        <w:t>UIT-R;</w:t>
      </w:r>
    </w:p>
    <w:p w:rsidR="000D61F3" w:rsidRPr="004B6217" w:rsidRDefault="000D61F3" w:rsidP="000D61F3">
      <w:pPr>
        <w:pStyle w:val="enumlev1"/>
      </w:pPr>
      <w:r w:rsidRPr="004B6217">
        <w:rPr>
          <w:i/>
          <w:iCs/>
        </w:rPr>
        <w:t>b)</w:t>
      </w:r>
      <w:r w:rsidRPr="004B6217">
        <w:tab/>
        <w:t>cooperación y coordinación con otras organizaciones en las reuniones de las Comisiones de Estudio y aportación de contribuciones a las mismas, y posible preparación de textos comunes, incluid</w:t>
      </w:r>
      <w:r>
        <w:t>o</w:t>
      </w:r>
      <w:r w:rsidRPr="004B6217">
        <w:t>s</w:t>
      </w:r>
      <w:r>
        <w:t xml:space="preserve"> Informes y</w:t>
      </w:r>
      <w:r w:rsidRPr="004B6217">
        <w:t xml:space="preserve"> Recomendaciones.</w:t>
      </w:r>
    </w:p>
    <w:p w:rsidR="000D61F3" w:rsidRPr="004B6217" w:rsidRDefault="000D61F3" w:rsidP="000D61F3">
      <w:r w:rsidRPr="004B6217">
        <w:t>2</w:t>
      </w:r>
      <w:r w:rsidRPr="004B6217">
        <w:tab/>
        <w:t>Las organizaciones que interactuarán con el UIT</w:t>
      </w:r>
      <w:r w:rsidRPr="004B6217">
        <w:noBreakHyphen/>
        <w:t>R serán aquellas cuyas actividades sean directamente pertinentes a la labor de las Comisiones de Estudio y que se consideren competentes en la esfera de trabajo. Estas otras organizaciones pueden ser, aunque no exclusivamente, entidades tales como organizaciones de normalización, universidades y organizaciones industriales y con proyectos en asociación, foros, consorcios, mecanismos de colaboración para la investigación.</w:t>
      </w:r>
    </w:p>
    <w:p w:rsidR="000D61F3" w:rsidRPr="004B6217" w:rsidRDefault="000D61F3" w:rsidP="000D61F3">
      <w:r w:rsidRPr="004B6217">
        <w:t>3</w:t>
      </w:r>
      <w:r w:rsidRPr="004B6217">
        <w:tab/>
        <w:t>La interacción de las Comisiones de Estudio con otras organizaciones debería estar directamente relacionada con los trabajos de las Comisiones de Estudio.</w:t>
      </w:r>
    </w:p>
    <w:p w:rsidR="000D61F3" w:rsidRPr="004B6217" w:rsidRDefault="000D61F3" w:rsidP="000D61F3">
      <w:r w:rsidRPr="004B6217">
        <w:t>4</w:t>
      </w:r>
      <w:r w:rsidRPr="004B6217">
        <w:tab/>
        <w:t>Un arreglo de colaboración entre otras organizaciones y el UIT</w:t>
      </w:r>
      <w:r w:rsidRPr="004B6217">
        <w:noBreakHyphen/>
        <w:t>R no debería considerarse como un sustituto de la calidad de</w:t>
      </w:r>
      <w:r>
        <w:t xml:space="preserve"> miembro del </w:t>
      </w:r>
      <w:r w:rsidRPr="004B6217">
        <w:t>UIT-R. La adopción de la condición de miembro debería alentarse en todos los casos, siempre y cuando ello resulte apropiado. Sin embargo, se reconoce que existen casos en que esto no es posible y en los que podría ser conveniente recurrir a dichos arreglos de colaboración. La participació</w:t>
      </w:r>
      <w:r>
        <w:t>n de otras organizaciones en el </w:t>
      </w:r>
      <w:r w:rsidRPr="004B6217">
        <w:t>UIT-R por medio de arreglos de colaboración no debería tener consecuencias negativas para los derechos y privilegios de los miembros.</w:t>
      </w:r>
    </w:p>
    <w:p w:rsidR="000D61F3" w:rsidRPr="004B6217" w:rsidRDefault="000D61F3" w:rsidP="000D61F3">
      <w:r w:rsidRPr="004B6217">
        <w:t>5</w:t>
      </w:r>
      <w:r w:rsidRPr="004B6217">
        <w:tab/>
        <w:t>Deberían establecerse arreglos de colaboración, según convenga, tomando en consideración el carácter de la interacción. Estos arreglos de colaboración no deberían ser complejos, salvo si fuera necesario. Por ejemplo, una directriz y un procedimiento «generales» pueden resultar más apropiados para la interacción a corto plazo y más informal, que los acuerdos de carácter individual.</w:t>
      </w:r>
    </w:p>
    <w:p w:rsidR="000D61F3" w:rsidRPr="004B6217" w:rsidRDefault="000D61F3" w:rsidP="000D61F3">
      <w:r w:rsidRPr="004B6217">
        <w:t>6</w:t>
      </w:r>
      <w:r w:rsidRPr="004B6217">
        <w:tab/>
        <w:t>Los intercambios de información entre las Comisiones de Estudio y otras organizaciones deberían realizarse, oficialmente, a nivel de la Oficina de Radiocomunicaciones. Ello proporciona un punto de contacto uniforme con el UIT-R y permite a dicho Sector gestionar, mantener, examinar, supervisar y realizar verificaciones de estos intercambios de información.</w:t>
      </w:r>
    </w:p>
    <w:p w:rsidR="000D61F3" w:rsidRPr="004B6217" w:rsidRDefault="000D61F3" w:rsidP="000D61F3">
      <w:r w:rsidRPr="004B6217">
        <w:t>7</w:t>
      </w:r>
      <w:r w:rsidRPr="004B6217">
        <w:tab/>
        <w:t>Sería prudente que los arreglos de colaboración suscritos con otras organizaciones tuvieran un periodo de validez definido y que el Director los examinara periódicamente, y que se presenten a la Comisión de Estudio y el Grupo Asesor de Radiocomunicaciones Informes apropiados sobre la interacción del UIT-R con otras organizaciones.</w:t>
      </w:r>
    </w:p>
    <w:p w:rsidR="000D61F3" w:rsidRPr="004B6217" w:rsidRDefault="000D61F3" w:rsidP="000D61F3">
      <w:r w:rsidRPr="004B6217">
        <w:t>8</w:t>
      </w:r>
      <w:r w:rsidRPr="004B6217">
        <w:tab/>
      </w:r>
      <w:r w:rsidRPr="00F930F8">
        <w:t>Con respecto a la utilización</w:t>
      </w:r>
      <w:r w:rsidRPr="004B6217">
        <w:t xml:space="preserve"> de referencias, las directrices y procedimientos también deben tratar los aspectos tales como cuándo es adecuado utilizar ref</w:t>
      </w:r>
      <w:r>
        <w:t xml:space="preserve">erencias en las Recomendaciones y los Informes del </w:t>
      </w:r>
      <w:r w:rsidRPr="004B6217">
        <w:t>UIT</w:t>
      </w:r>
      <w:r w:rsidRPr="004B6217">
        <w:noBreakHyphen/>
        <w:t>R, cómo deben utilizarse las referencias de carácter normativo o informativo y la forma de documentar y mantener estas referencias.</w:t>
      </w:r>
    </w:p>
    <w:p w:rsidR="000D61F3" w:rsidRPr="004B6217" w:rsidRDefault="000D61F3" w:rsidP="000D61F3">
      <w:r w:rsidRPr="004B6217">
        <w:t>9</w:t>
      </w:r>
      <w:r w:rsidRPr="004B6217">
        <w:tab/>
        <w:t xml:space="preserve">Las referencias a documentos de otras organizaciones podrán abarcar temas comerciales y detalles jurídicos, incluidos la conformidad con las políticas de la UIT en materia de propiedad </w:t>
      </w:r>
      <w:r w:rsidRPr="004B6217">
        <w:lastRenderedPageBreak/>
        <w:t>intelectual y patentes. Estos asuntos deberían ser tratados, según convenga, por el Director, a título individual.</w:t>
      </w:r>
    </w:p>
    <w:p w:rsidR="000D61F3" w:rsidRDefault="000D61F3" w:rsidP="000D61F3">
      <w:r w:rsidRPr="004B6217">
        <w:t>10</w:t>
      </w:r>
      <w:r w:rsidRPr="004B6217">
        <w:tab/>
        <w:t>Los detalles de las directrices y los procedimientos</w:t>
      </w:r>
      <w:r>
        <w:t xml:space="preserve"> relativos a la interacción del </w:t>
      </w:r>
      <w:r w:rsidRPr="004B6217">
        <w:t>UIT-R con otras organizaciones deberían someterse a la consideración del Director.</w:t>
      </w:r>
    </w:p>
    <w:sectPr w:rsidR="000D61F3">
      <w:headerReference w:type="default" r:id="rId7"/>
      <w:footerReference w:type="even" r:id="rId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846" w:rsidRDefault="00F03846" w:rsidP="00F03846">
      <w:pPr>
        <w:spacing w:before="0"/>
      </w:pPr>
      <w:r>
        <w:separator/>
      </w:r>
    </w:p>
  </w:endnote>
  <w:endnote w:type="continuationSeparator" w:id="0">
    <w:p w:rsidR="00F03846" w:rsidRDefault="00F03846" w:rsidP="00F038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Default="009847F0">
    <w:pPr>
      <w:rPr>
        <w:lang w:val="en-US"/>
      </w:rPr>
    </w:pPr>
    <w:r>
      <w:fldChar w:fldCharType="begin"/>
    </w:r>
    <w:r>
      <w:rPr>
        <w:lang w:val="en-US"/>
      </w:rPr>
      <w:instrText xml:space="preserve"> FILENAME \p  \* MERGEFORMAT </w:instrText>
    </w:r>
    <w:r>
      <w:fldChar w:fldCharType="separate"/>
    </w:r>
    <w:r w:rsidR="00797F9A">
      <w:rPr>
        <w:noProof/>
        <w:lang w:val="en-US"/>
      </w:rPr>
      <w:t>X:\BR\BRIAP\EDP\Yoanni\AR Res\009S.DOCX</w:t>
    </w:r>
    <w:r>
      <w:fldChar w:fldCharType="end"/>
    </w:r>
    <w:r>
      <w:rPr>
        <w:lang w:val="en-US"/>
      </w:rPr>
      <w:tab/>
    </w:r>
    <w:r>
      <w:fldChar w:fldCharType="begin"/>
    </w:r>
    <w:r>
      <w:instrText xml:space="preserve"> SAVEDATE \@ DD.MM.YY </w:instrText>
    </w:r>
    <w:r>
      <w:fldChar w:fldCharType="separate"/>
    </w:r>
    <w:r w:rsidR="00797F9A">
      <w:rPr>
        <w:noProof/>
      </w:rPr>
      <w:t>03.11.15</w:t>
    </w:r>
    <w:r>
      <w:fldChar w:fldCharType="end"/>
    </w:r>
    <w:r>
      <w:rPr>
        <w:lang w:val="en-US"/>
      </w:rPr>
      <w:tab/>
    </w:r>
    <w:r>
      <w:fldChar w:fldCharType="begin"/>
    </w:r>
    <w:r>
      <w:instrText xml:space="preserve"> PRINTDATE \@ DD.MM.YY </w:instrText>
    </w:r>
    <w:r>
      <w:fldChar w:fldCharType="separate"/>
    </w:r>
    <w:r w:rsidR="00797F9A">
      <w:rPr>
        <w:noProof/>
      </w:rPr>
      <w:t>03.11.15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846" w:rsidRDefault="00F03846" w:rsidP="00F03846">
      <w:pPr>
        <w:spacing w:before="0"/>
      </w:pPr>
      <w:r>
        <w:separator/>
      </w:r>
    </w:p>
  </w:footnote>
  <w:footnote w:type="continuationSeparator" w:id="0">
    <w:p w:rsidR="00F03846" w:rsidRDefault="00F03846" w:rsidP="00F03846">
      <w:pPr>
        <w:spacing w:before="0"/>
      </w:pPr>
      <w:r>
        <w:continuationSeparator/>
      </w:r>
    </w:p>
  </w:footnote>
  <w:footnote w:id="1">
    <w:p w:rsidR="002D0A91" w:rsidRPr="00082593" w:rsidRDefault="002D0A91" w:rsidP="002D0A91">
      <w:pPr>
        <w:pStyle w:val="FootnoteText"/>
      </w:pPr>
      <w:r>
        <w:rPr>
          <w:rStyle w:val="FootnoteReference"/>
        </w:rPr>
        <w:t>*</w:t>
      </w:r>
      <w:r>
        <w:t xml:space="preserve"> </w:t>
      </w:r>
      <w:r w:rsidRPr="00082593">
        <w:tab/>
        <w:t>Esta Resolución debe señalarse a la atención del Sector de Normalización de las Telecomunicaciones y del Sector de Desarrollo de las Telecomunicaciones.</w:t>
      </w:r>
    </w:p>
  </w:footnote>
  <w:footnote w:id="2">
    <w:p w:rsidR="00F03846" w:rsidRPr="005B27B2" w:rsidRDefault="00F03846" w:rsidP="00F03846">
      <w:pPr>
        <w:pStyle w:val="FootnoteText"/>
      </w:pPr>
      <w:r>
        <w:rPr>
          <w:rStyle w:val="FootnoteReference"/>
        </w:rPr>
        <w:footnoteRef/>
      </w:r>
      <w:r w:rsidRPr="005B27B2">
        <w:tab/>
        <w:t>Se establecieron disposiciones entre la UIT y el Instituto Europeo de Normalización de las Telecomunicaciones (ETSI), y entre la UIT y la Sociedad de Ingenieros de Películas y Televisión (SMPTE).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DB" w:rsidRDefault="009847F0" w:rsidP="008C7BB9">
    <w:pPr>
      <w:pStyle w:val="Header"/>
    </w:pPr>
    <w:r>
      <w:fldChar w:fldCharType="begin"/>
    </w:r>
    <w:r>
      <w:instrText xml:space="preserve"> PAGE  \* MERGEFORMAT </w:instrText>
    </w:r>
    <w:r>
      <w:fldChar w:fldCharType="separate"/>
    </w:r>
    <w:r w:rsidR="00797F9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1C8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A618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60F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705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09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C3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BE5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66D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AAA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543D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46"/>
    <w:rsid w:val="000616A2"/>
    <w:rsid w:val="000D61F3"/>
    <w:rsid w:val="002D0A91"/>
    <w:rsid w:val="003667E3"/>
    <w:rsid w:val="00410BED"/>
    <w:rsid w:val="00630135"/>
    <w:rsid w:val="006F40C1"/>
    <w:rsid w:val="00712CA3"/>
    <w:rsid w:val="0076230B"/>
    <w:rsid w:val="00797F9A"/>
    <w:rsid w:val="007F674D"/>
    <w:rsid w:val="00815B48"/>
    <w:rsid w:val="008712E2"/>
    <w:rsid w:val="008C7BB9"/>
    <w:rsid w:val="00932B10"/>
    <w:rsid w:val="00977BB4"/>
    <w:rsid w:val="009847F0"/>
    <w:rsid w:val="009E6166"/>
    <w:rsid w:val="009F2375"/>
    <w:rsid w:val="00A32258"/>
    <w:rsid w:val="00B72ED3"/>
    <w:rsid w:val="00BE7B80"/>
    <w:rsid w:val="00C01D2E"/>
    <w:rsid w:val="00C95B2B"/>
    <w:rsid w:val="00CB6073"/>
    <w:rsid w:val="00D4328E"/>
    <w:rsid w:val="00D72D74"/>
    <w:rsid w:val="00E83455"/>
    <w:rsid w:val="00F03846"/>
    <w:rsid w:val="00F34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4BDC9-4458-4174-81ED-562C45EF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46"/>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03846"/>
    <w:pPr>
      <w:keepNext/>
      <w:keepLines/>
      <w:spacing w:before="480" w:after="80"/>
      <w:jc w:val="center"/>
    </w:pPr>
    <w:rPr>
      <w:caps/>
      <w:sz w:val="28"/>
    </w:rPr>
  </w:style>
  <w:style w:type="paragraph" w:customStyle="1" w:styleId="Annextitle">
    <w:name w:val="Annex_title"/>
    <w:basedOn w:val="Normal"/>
    <w:next w:val="Normal"/>
    <w:rsid w:val="00F03846"/>
    <w:pPr>
      <w:keepNext/>
      <w:keepLines/>
      <w:spacing w:before="240" w:after="280"/>
      <w:jc w:val="center"/>
    </w:pPr>
    <w:rPr>
      <w:rFonts w:ascii="Times New Roman Bold" w:hAnsi="Times New Roman Bold"/>
      <w:b/>
      <w:sz w:val="28"/>
    </w:rPr>
  </w:style>
  <w:style w:type="paragraph" w:customStyle="1" w:styleId="Call">
    <w:name w:val="Call"/>
    <w:basedOn w:val="Normal"/>
    <w:next w:val="Normal"/>
    <w:link w:val="CallChar"/>
    <w:rsid w:val="00F03846"/>
    <w:pPr>
      <w:keepNext/>
      <w:keepLines/>
      <w:spacing w:before="160"/>
      <w:ind w:left="1134"/>
    </w:pPr>
    <w:rPr>
      <w:i/>
    </w:rPr>
  </w:style>
  <w:style w:type="paragraph" w:customStyle="1" w:styleId="enumlev1">
    <w:name w:val="enumlev1"/>
    <w:basedOn w:val="Normal"/>
    <w:link w:val="enumlev1Char"/>
    <w:rsid w:val="00F03846"/>
    <w:pPr>
      <w:tabs>
        <w:tab w:val="clear" w:pos="2268"/>
        <w:tab w:val="left" w:pos="2608"/>
        <w:tab w:val="left" w:pos="3345"/>
      </w:tabs>
      <w:spacing w:before="80"/>
      <w:ind w:left="1134" w:hanging="1134"/>
    </w:pPr>
  </w:style>
  <w:style w:type="paragraph" w:styleId="Footer">
    <w:name w:val="footer"/>
    <w:basedOn w:val="Normal"/>
    <w:link w:val="FooterChar"/>
    <w:rsid w:val="00F03846"/>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03846"/>
    <w:rPr>
      <w:rFonts w:ascii="Times New Roman" w:eastAsia="Times New Roman" w:hAnsi="Times New Roman" w:cs="Times New Roman"/>
      <w:caps/>
      <w:noProof/>
      <w:sz w:val="16"/>
      <w:szCs w:val="20"/>
      <w:lang w:val="es-ES_tradnl" w:eastAsia="en-US"/>
    </w:rPr>
  </w:style>
  <w:style w:type="character" w:styleId="FootnoteReference">
    <w:name w:val="footnote reference"/>
    <w:aliases w:val="Appel note de bas de p,Footnote Reference/ + 5 pt,(Latin)...,Footnote Reference/,Footnote symbol,Style 12,(NECG) Footnote Reference,Style 124,Appel note de bas de p + 11 pt,Italic,Appel note de bas de p1,Appel note de bas de p2"/>
    <w:basedOn w:val="DefaultParagraphFont"/>
    <w:rsid w:val="00F03846"/>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03846"/>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03846"/>
    <w:rPr>
      <w:rFonts w:ascii="Times New Roman" w:eastAsia="Times New Roman" w:hAnsi="Times New Roman" w:cs="Times New Roman"/>
      <w:sz w:val="24"/>
      <w:szCs w:val="20"/>
      <w:lang w:val="es-ES_tradnl" w:eastAsia="en-US"/>
    </w:rPr>
  </w:style>
  <w:style w:type="paragraph" w:styleId="Header">
    <w:name w:val="header"/>
    <w:basedOn w:val="Normal"/>
    <w:link w:val="HeaderChar"/>
    <w:rsid w:val="00F03846"/>
    <w:pPr>
      <w:spacing w:before="0"/>
      <w:jc w:val="center"/>
    </w:pPr>
    <w:rPr>
      <w:sz w:val="18"/>
    </w:rPr>
  </w:style>
  <w:style w:type="character" w:customStyle="1" w:styleId="HeaderChar">
    <w:name w:val="Header Char"/>
    <w:basedOn w:val="DefaultParagraphFont"/>
    <w:link w:val="Header"/>
    <w:rsid w:val="00F03846"/>
    <w:rPr>
      <w:rFonts w:ascii="Times New Roman" w:eastAsia="Times New Roman" w:hAnsi="Times New Roman" w:cs="Times New Roman"/>
      <w:sz w:val="18"/>
      <w:szCs w:val="20"/>
      <w:lang w:val="es-ES_tradnl" w:eastAsia="en-US"/>
    </w:rPr>
  </w:style>
  <w:style w:type="paragraph" w:customStyle="1" w:styleId="Normalaftertitle">
    <w:name w:val="Normal after title"/>
    <w:basedOn w:val="Normal"/>
    <w:next w:val="Normal"/>
    <w:rsid w:val="00F03846"/>
    <w:pPr>
      <w:spacing w:before="280"/>
    </w:pPr>
  </w:style>
  <w:style w:type="paragraph" w:customStyle="1" w:styleId="Resdate">
    <w:name w:val="Res_date"/>
    <w:basedOn w:val="Normal"/>
    <w:next w:val="Normalaftertitle"/>
    <w:rsid w:val="00F03846"/>
    <w:pPr>
      <w:keepNext/>
      <w:keepLines/>
      <w:jc w:val="right"/>
    </w:pPr>
    <w:rPr>
      <w:sz w:val="22"/>
    </w:rPr>
  </w:style>
  <w:style w:type="paragraph" w:customStyle="1" w:styleId="Resref">
    <w:name w:val="Res_ref"/>
    <w:basedOn w:val="Normal"/>
    <w:next w:val="Resdate"/>
    <w:rsid w:val="00F03846"/>
    <w:pPr>
      <w:keepNext/>
      <w:keepLines/>
      <w:jc w:val="center"/>
    </w:pPr>
  </w:style>
  <w:style w:type="paragraph" w:customStyle="1" w:styleId="Restitle">
    <w:name w:val="Res_title"/>
    <w:basedOn w:val="Normal"/>
    <w:next w:val="Resref"/>
    <w:link w:val="RestitleChar"/>
    <w:rsid w:val="00F03846"/>
    <w:pPr>
      <w:keepNext/>
      <w:keepLines/>
      <w:spacing w:before="240"/>
      <w:jc w:val="center"/>
    </w:pPr>
    <w:rPr>
      <w:rFonts w:ascii="Times New Roman Bold" w:hAnsi="Times New Roman Bold"/>
      <w:b/>
      <w:sz w:val="28"/>
    </w:rPr>
  </w:style>
  <w:style w:type="paragraph" w:customStyle="1" w:styleId="Source">
    <w:name w:val="Source"/>
    <w:basedOn w:val="Normal"/>
    <w:next w:val="Normal"/>
    <w:rsid w:val="00F03846"/>
    <w:pPr>
      <w:spacing w:before="840"/>
      <w:jc w:val="center"/>
    </w:pPr>
    <w:rPr>
      <w:b/>
      <w:sz w:val="28"/>
    </w:rPr>
  </w:style>
  <w:style w:type="paragraph" w:customStyle="1" w:styleId="Title1">
    <w:name w:val="Title 1"/>
    <w:basedOn w:val="Source"/>
    <w:next w:val="Normal"/>
    <w:rsid w:val="00F03846"/>
    <w:pPr>
      <w:tabs>
        <w:tab w:val="left" w:pos="567"/>
        <w:tab w:val="left" w:pos="1701"/>
        <w:tab w:val="left" w:pos="2835"/>
      </w:tabs>
      <w:spacing w:before="240"/>
    </w:pPr>
    <w:rPr>
      <w:b w:val="0"/>
      <w:caps/>
    </w:rPr>
  </w:style>
  <w:style w:type="character" w:customStyle="1" w:styleId="RestitleChar">
    <w:name w:val="Res_title Char"/>
    <w:link w:val="Restitle"/>
    <w:locked/>
    <w:rsid w:val="00F03846"/>
    <w:rPr>
      <w:rFonts w:ascii="Times New Roman Bold" w:eastAsia="Times New Roman" w:hAnsi="Times New Roman Bold" w:cs="Times New Roman"/>
      <w:b/>
      <w:sz w:val="28"/>
      <w:szCs w:val="20"/>
      <w:lang w:val="es-ES_tradnl" w:eastAsia="en-US"/>
    </w:rPr>
  </w:style>
  <w:style w:type="character" w:customStyle="1" w:styleId="CallChar">
    <w:name w:val="Call Char"/>
    <w:basedOn w:val="DefaultParagraphFont"/>
    <w:link w:val="Call"/>
    <w:rsid w:val="00F03846"/>
    <w:rPr>
      <w:rFonts w:ascii="Times New Roman" w:eastAsia="Times New Roman" w:hAnsi="Times New Roman" w:cs="Times New Roman"/>
      <w:i/>
      <w:sz w:val="24"/>
      <w:szCs w:val="20"/>
      <w:lang w:val="es-ES_tradnl" w:eastAsia="en-US"/>
    </w:rPr>
  </w:style>
  <w:style w:type="paragraph" w:customStyle="1" w:styleId="Normalaftertitle0">
    <w:name w:val="Normal_after_title"/>
    <w:basedOn w:val="Normal"/>
    <w:next w:val="Normal"/>
    <w:rsid w:val="00F03846"/>
    <w:pPr>
      <w:tabs>
        <w:tab w:val="clear" w:pos="1134"/>
        <w:tab w:val="clear" w:pos="1871"/>
        <w:tab w:val="clear" w:pos="2268"/>
        <w:tab w:val="left" w:pos="794"/>
        <w:tab w:val="left" w:pos="1191"/>
        <w:tab w:val="left" w:pos="1588"/>
        <w:tab w:val="left" w:pos="1985"/>
      </w:tabs>
      <w:spacing w:before="360"/>
    </w:pPr>
  </w:style>
  <w:style w:type="character" w:customStyle="1" w:styleId="enumlev1Char">
    <w:name w:val="enumlev1 Char"/>
    <w:link w:val="enumlev1"/>
    <w:rsid w:val="00F03846"/>
    <w:rPr>
      <w:rFonts w:ascii="Times New Roman" w:eastAsia="Times New Roman" w:hAnsi="Times New Roman" w:cs="Times New Roman"/>
      <w:sz w:val="24"/>
      <w:szCs w:val="20"/>
      <w:lang w:val="es-ES_tradnl" w:eastAsia="en-US"/>
    </w:rPr>
  </w:style>
  <w:style w:type="paragraph" w:styleId="BalloonText">
    <w:name w:val="Balloon Text"/>
    <w:basedOn w:val="Normal"/>
    <w:link w:val="BalloonTextChar"/>
    <w:uiPriority w:val="99"/>
    <w:semiHidden/>
    <w:unhideWhenUsed/>
    <w:rsid w:val="00F0384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46"/>
    <w:rPr>
      <w:rFonts w:ascii="Segoe UI" w:eastAsia="Times New Roman" w:hAnsi="Segoe UI" w:cs="Segoe UI"/>
      <w:sz w:val="18"/>
      <w:szCs w:val="18"/>
      <w:lang w:val="es-ES_tradnl" w:eastAsia="en-US"/>
    </w:rPr>
  </w:style>
  <w:style w:type="character" w:styleId="Hyperlink">
    <w:name w:val="Hyperlink"/>
    <w:basedOn w:val="DefaultParagraphFont"/>
    <w:unhideWhenUsed/>
    <w:rsid w:val="00F03846"/>
    <w:rPr>
      <w:color w:val="0563C1" w:themeColor="hyperlink"/>
      <w:u w:val="single"/>
    </w:rPr>
  </w:style>
  <w:style w:type="paragraph" w:styleId="Revision">
    <w:name w:val="Revision"/>
    <w:hidden/>
    <w:uiPriority w:val="99"/>
    <w:semiHidden/>
    <w:rsid w:val="00932B10"/>
    <w:pPr>
      <w:spacing w:after="0" w:line="240" w:lineRule="auto"/>
    </w:pPr>
    <w:rPr>
      <w:rFonts w:ascii="Times New Roman" w:eastAsia="Times New Roman" w:hAnsi="Times New Roman" w:cs="Times New Roman"/>
      <w:sz w:val="24"/>
      <w:szCs w:val="20"/>
      <w:lang w:val="es-ES_tradnl" w:eastAsia="en-US"/>
    </w:rPr>
  </w:style>
  <w:style w:type="paragraph" w:customStyle="1" w:styleId="Reasons">
    <w:name w:val="Reasons"/>
    <w:basedOn w:val="Normal"/>
    <w:qFormat/>
    <w:rsid w:val="00A32258"/>
    <w:pPr>
      <w:tabs>
        <w:tab w:val="clear" w:pos="1134"/>
        <w:tab w:val="clear" w:pos="1871"/>
        <w:tab w:val="clear" w:pos="2268"/>
      </w:tabs>
      <w:overflowPunct/>
      <w:autoSpaceDE/>
      <w:autoSpaceDN/>
      <w:adjustRightInd/>
      <w:spacing w:before="0"/>
      <w:textAlignment w:val="auto"/>
    </w:pPr>
    <w:rPr>
      <w:lang w:val="en-US"/>
    </w:rPr>
  </w:style>
  <w:style w:type="paragraph" w:customStyle="1" w:styleId="Resn">
    <w:name w:val="Res_n"/>
    <w:basedOn w:val="Title1"/>
    <w:rsid w:val="00E83455"/>
  </w:style>
  <w:style w:type="paragraph" w:customStyle="1" w:styleId="ResNo">
    <w:name w:val="Res_No"/>
    <w:basedOn w:val="Normal"/>
    <w:next w:val="Restitle"/>
    <w:link w:val="ResNoChar"/>
    <w:rsid w:val="00B72ED3"/>
    <w:pPr>
      <w:keepNext/>
      <w:keepLines/>
      <w:spacing w:before="480"/>
      <w:jc w:val="center"/>
    </w:pPr>
    <w:rPr>
      <w:caps/>
      <w:sz w:val="28"/>
      <w:lang w:val="en-GB"/>
    </w:rPr>
  </w:style>
  <w:style w:type="paragraph" w:customStyle="1" w:styleId="Ress">
    <w:name w:val="Ress"/>
    <w:basedOn w:val="Resdate"/>
    <w:rsid w:val="002D0A91"/>
  </w:style>
  <w:style w:type="character" w:customStyle="1" w:styleId="ResNoChar">
    <w:name w:val="Res_No Char"/>
    <w:basedOn w:val="DefaultParagraphFont"/>
    <w:link w:val="ResNo"/>
    <w:locked/>
    <w:rsid w:val="002D0A91"/>
    <w:rPr>
      <w:rFonts w:ascii="Times New Roman" w:eastAsia="Times New Roman" w:hAnsi="Times New Roman" w:cs="Times New Roman"/>
      <w:caps/>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dc:creator>
  <cp:keywords/>
  <dc:description/>
  <cp:lastModifiedBy>Gomez, Yoanni</cp:lastModifiedBy>
  <cp:revision>15</cp:revision>
  <cp:lastPrinted>2015-11-03T10:39:00Z</cp:lastPrinted>
  <dcterms:created xsi:type="dcterms:W3CDTF">2015-10-30T16:49:00Z</dcterms:created>
  <dcterms:modified xsi:type="dcterms:W3CDTF">2015-11-03T10:40:00Z</dcterms:modified>
</cp:coreProperties>
</file>