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70AA0" w14:textId="54EE1B6A" w:rsidR="009F2A01" w:rsidRDefault="009F2A01" w:rsidP="00DD5E88">
      <w:pPr>
        <w:pStyle w:val="ResNo"/>
      </w:pPr>
      <w:r w:rsidRPr="006703BA">
        <w:t xml:space="preserve">RESOLUTION ITU-R </w:t>
      </w:r>
      <w:r w:rsidR="004C15D5">
        <w:t>74</w:t>
      </w:r>
    </w:p>
    <w:p w14:paraId="5694BC8B" w14:textId="2311F22C" w:rsidR="009F2A01" w:rsidRPr="009F2A01" w:rsidRDefault="009F2A01" w:rsidP="009F2A01">
      <w:pPr>
        <w:pStyle w:val="Restitle"/>
      </w:pPr>
      <w:r w:rsidRPr="006703BA">
        <w:t>Activities related to the sustainable use of radio-frequency spectrum and associated satellite-orbit resources used by space services</w:t>
      </w:r>
    </w:p>
    <w:p w14:paraId="1DE89578" w14:textId="18AEFD45" w:rsidR="00B257C0" w:rsidRPr="006703BA" w:rsidRDefault="00B257C0" w:rsidP="00C47278">
      <w:pPr>
        <w:pStyle w:val="Resdate"/>
      </w:pPr>
      <w:r w:rsidRPr="006703BA">
        <w:t>(2023)</w:t>
      </w:r>
    </w:p>
    <w:p w14:paraId="7EBACECB" w14:textId="77777777" w:rsidR="00B257C0" w:rsidRPr="006703BA" w:rsidRDefault="00B257C0" w:rsidP="00B257C0">
      <w:pPr>
        <w:pStyle w:val="Normalaftertitle"/>
      </w:pPr>
      <w:r w:rsidRPr="006703BA">
        <w:t>The</w:t>
      </w:r>
      <w:r w:rsidRPr="006703BA">
        <w:rPr>
          <w:spacing w:val="-2"/>
        </w:rPr>
        <w:t xml:space="preserve"> </w:t>
      </w:r>
      <w:r w:rsidRPr="006703BA">
        <w:t>ITU</w:t>
      </w:r>
      <w:r w:rsidRPr="006703BA">
        <w:rPr>
          <w:spacing w:val="-3"/>
        </w:rPr>
        <w:t xml:space="preserve"> </w:t>
      </w:r>
      <w:r w:rsidRPr="006703BA">
        <w:t>Radiocommunication</w:t>
      </w:r>
      <w:r w:rsidRPr="006703BA">
        <w:rPr>
          <w:spacing w:val="-1"/>
        </w:rPr>
        <w:t xml:space="preserve"> </w:t>
      </w:r>
      <w:r w:rsidRPr="006703BA">
        <w:t>Assembly,</w:t>
      </w:r>
    </w:p>
    <w:p w14:paraId="5F9C3668" w14:textId="77777777" w:rsidR="00B257C0" w:rsidRPr="006703BA" w:rsidRDefault="00B257C0" w:rsidP="00B257C0">
      <w:pPr>
        <w:pStyle w:val="Call"/>
      </w:pPr>
      <w:r w:rsidRPr="006703BA">
        <w:t>recalling</w:t>
      </w:r>
    </w:p>
    <w:p w14:paraId="06E02CF2" w14:textId="021F0425" w:rsidR="00B257C0" w:rsidRPr="006703BA" w:rsidRDefault="00B257C0" w:rsidP="00B257C0">
      <w:r w:rsidRPr="006703BA">
        <w:rPr>
          <w:i/>
          <w:iCs/>
        </w:rPr>
        <w:t>a)</w:t>
      </w:r>
      <w:r w:rsidRPr="006703BA">
        <w:tab/>
        <w:t>Resolution 219 (Bucharest, 2022) of the Plenipotentiary Conference, on sustainability of the radio-frequency spectrum and associated satellite-orbit resources used by space services;</w:t>
      </w:r>
    </w:p>
    <w:p w14:paraId="6128E860" w14:textId="7AEEB742" w:rsidR="00B257C0" w:rsidRPr="006703BA" w:rsidRDefault="00B257C0" w:rsidP="00B257C0">
      <w:r w:rsidRPr="006703BA">
        <w:rPr>
          <w:i/>
          <w:iCs/>
        </w:rPr>
        <w:t>b)</w:t>
      </w:r>
      <w:r w:rsidRPr="006703BA">
        <w:tab/>
        <w:t>Resolution 218 (Bucharest, 2022) of the Plenipotentiary Conference, on ITU’s role in the implementation of the “Space2030” Agenda: space as a driver of sustainable development, and its follow-up and review process,</w:t>
      </w:r>
    </w:p>
    <w:p w14:paraId="79678802" w14:textId="0E876462" w:rsidR="00B257C0" w:rsidRPr="006703BA" w:rsidRDefault="00B257C0" w:rsidP="000C062B">
      <w:pPr>
        <w:pStyle w:val="Call"/>
        <w:rPr>
          <w:lang w:eastAsia="zh-CN"/>
        </w:rPr>
      </w:pPr>
      <w:r w:rsidRPr="006703BA">
        <w:rPr>
          <w:lang w:eastAsia="zh-CN"/>
        </w:rPr>
        <w:t>considering</w:t>
      </w:r>
    </w:p>
    <w:p w14:paraId="13D9AC77" w14:textId="568FA56E" w:rsidR="00B257C0" w:rsidRPr="00503E84" w:rsidRDefault="00B257C0" w:rsidP="00B257C0">
      <w:pPr>
        <w:rPr>
          <w:lang w:eastAsia="zh-CN"/>
        </w:rPr>
      </w:pPr>
      <w:r w:rsidRPr="006703BA">
        <w:rPr>
          <w:i/>
          <w:iCs/>
          <w:lang w:eastAsia="zh-CN"/>
        </w:rPr>
        <w:t>a)</w:t>
      </w:r>
      <w:r w:rsidRPr="006703BA">
        <w:rPr>
          <w:lang w:eastAsia="zh-CN"/>
        </w:rPr>
        <w:tab/>
        <w:t xml:space="preserve">that </w:t>
      </w:r>
      <w:r w:rsidRPr="00503E84">
        <w:rPr>
          <w:lang w:eastAsia="zh-CN"/>
        </w:rPr>
        <w:t>technologies used by both</w:t>
      </w:r>
      <w:r w:rsidR="00C82E18" w:rsidRPr="00503E84">
        <w:rPr>
          <w:lang w:eastAsia="zh-CN"/>
        </w:rPr>
        <w:t xml:space="preserve"> non-geostationary orbit</w:t>
      </w:r>
      <w:r w:rsidRPr="00503E84">
        <w:rPr>
          <w:lang w:eastAsia="zh-CN"/>
        </w:rPr>
        <w:t xml:space="preserve"> </w:t>
      </w:r>
      <w:r w:rsidR="00C82E18" w:rsidRPr="00503E84">
        <w:rPr>
          <w:lang w:eastAsia="zh-CN"/>
        </w:rPr>
        <w:t>(</w:t>
      </w:r>
      <w:r w:rsidRPr="00503E84">
        <w:rPr>
          <w:lang w:eastAsia="zh-CN"/>
        </w:rPr>
        <w:t>non-GSO</w:t>
      </w:r>
      <w:r w:rsidR="00C82E18" w:rsidRPr="00503E84">
        <w:rPr>
          <w:lang w:eastAsia="zh-CN"/>
        </w:rPr>
        <w:t>)</w:t>
      </w:r>
      <w:r w:rsidRPr="00503E84">
        <w:rPr>
          <w:lang w:eastAsia="zh-CN"/>
        </w:rPr>
        <w:t xml:space="preserve"> fixed-satellite service (FSS) systems and </w:t>
      </w:r>
      <w:r w:rsidR="00C82E18" w:rsidRPr="00503E84">
        <w:rPr>
          <w:lang w:eastAsia="zh-CN"/>
        </w:rPr>
        <w:t>geostationary orbit (</w:t>
      </w:r>
      <w:r w:rsidRPr="00503E84">
        <w:rPr>
          <w:lang w:eastAsia="zh-CN"/>
        </w:rPr>
        <w:t>GSO</w:t>
      </w:r>
      <w:r w:rsidR="00C82E18" w:rsidRPr="00503E84">
        <w:rPr>
          <w:lang w:eastAsia="zh-CN"/>
        </w:rPr>
        <w:t>)</w:t>
      </w:r>
      <w:r w:rsidRPr="00503E84">
        <w:rPr>
          <w:lang w:eastAsia="zh-CN"/>
        </w:rPr>
        <w:t xml:space="preserve"> FSS and broadcasting-satellite service (BSS) networks are rapidly evolving, and consequently the associated ITU Radiocommunication Sector (ITU</w:t>
      </w:r>
      <w:r w:rsidRPr="00503E84">
        <w:rPr>
          <w:lang w:eastAsia="zh-CN"/>
        </w:rPr>
        <w:noBreakHyphen/>
        <w:t>R) Recommendations and Reports need to be updated to reflect the evolving nature of the characteristics and operations of such systems and networks;</w:t>
      </w:r>
    </w:p>
    <w:p w14:paraId="1CDA53D7" w14:textId="1BF9EAB7" w:rsidR="00B257C0" w:rsidRPr="006703BA" w:rsidRDefault="00B257C0" w:rsidP="00B257C0">
      <w:r w:rsidRPr="00503E84">
        <w:rPr>
          <w:i/>
          <w:iCs/>
          <w:lang w:eastAsia="zh-CN"/>
        </w:rPr>
        <w:t>b)</w:t>
      </w:r>
      <w:r w:rsidRPr="00503E84">
        <w:rPr>
          <w:lang w:eastAsia="zh-CN"/>
        </w:rPr>
        <w:tab/>
        <w:t xml:space="preserve">that </w:t>
      </w:r>
      <w:r w:rsidRPr="00503E84">
        <w:t>Member States can deorbit their satellites at the end of life</w:t>
      </w:r>
      <w:r w:rsidR="0071504C" w:rsidRPr="00503E84">
        <w:t xml:space="preserve"> and</w:t>
      </w:r>
      <w:r w:rsidRPr="00503E84">
        <w:t xml:space="preserve"> develop criteria and methodologies, including sharing data, to facilitate frequency coordination and compatible use of satellite systems</w:t>
      </w:r>
      <w:r w:rsidR="00F12759" w:rsidRPr="00503E84">
        <w:t>;</w:t>
      </w:r>
      <w:r w:rsidRPr="00503E84">
        <w:t xml:space="preserve"> </w:t>
      </w:r>
      <w:r w:rsidR="00F12759" w:rsidRPr="00503E84">
        <w:t>f</w:t>
      </w:r>
      <w:r w:rsidR="00520801" w:rsidRPr="00503E84">
        <w:t xml:space="preserve">urthermore, </w:t>
      </w:r>
      <w:r w:rsidRPr="00503E84">
        <w:t xml:space="preserve">Member States </w:t>
      </w:r>
      <w:r w:rsidRPr="00503E84">
        <w:rPr>
          <w:lang w:eastAsia="zh-CN"/>
        </w:rPr>
        <w:t>can</w:t>
      </w:r>
      <w:r w:rsidRPr="00503E84">
        <w:t xml:space="preserve"> submit contributions to the relevant study groups to initiate or continue ITU</w:t>
      </w:r>
      <w:r w:rsidRPr="00503E84">
        <w:noBreakHyphen/>
        <w:t>R studies to develop recommendations</w:t>
      </w:r>
      <w:r w:rsidRPr="006703BA">
        <w:t xml:space="preserve"> that support the long-term sustainability of the </w:t>
      </w:r>
      <w:r w:rsidR="00061C47" w:rsidRPr="006703BA">
        <w:t>radio-frequency spectrum and associated orbit resources</w:t>
      </w:r>
      <w:r w:rsidRPr="006703BA">
        <w:t>;</w:t>
      </w:r>
    </w:p>
    <w:p w14:paraId="12E282CD" w14:textId="057183D0" w:rsidR="00B257C0" w:rsidRPr="006703BA" w:rsidRDefault="00DA4CFE" w:rsidP="00B257C0">
      <w:r w:rsidRPr="006703BA">
        <w:rPr>
          <w:i/>
          <w:iCs/>
        </w:rPr>
        <w:t>c</w:t>
      </w:r>
      <w:r w:rsidR="00B257C0" w:rsidRPr="006703BA">
        <w:rPr>
          <w:i/>
          <w:iCs/>
        </w:rPr>
        <w:t>)</w:t>
      </w:r>
      <w:r w:rsidR="00B257C0" w:rsidRPr="006703BA">
        <w:tab/>
      </w:r>
      <w:r w:rsidR="003F61C0" w:rsidRPr="006703BA">
        <w:t>the development of new technologies of in</w:t>
      </w:r>
      <w:r w:rsidR="003F61C0" w:rsidRPr="006703BA">
        <w:noBreakHyphen/>
        <w:t>orbit servicing </w:t>
      </w:r>
      <w:r w:rsidR="003F61C0" w:rsidRPr="0091531B">
        <w:t>(IOS)</w:t>
      </w:r>
      <w:r w:rsidR="003F61C0" w:rsidRPr="006703BA">
        <w:t xml:space="preserve"> of space radiocommunication service spacecraft, including active space debris removal</w:t>
      </w:r>
      <w:r w:rsidR="000C062B" w:rsidRPr="006703BA">
        <w:t>;</w:t>
      </w:r>
    </w:p>
    <w:p w14:paraId="16C0B2B0" w14:textId="3A3DDA39" w:rsidR="00B257C0" w:rsidRPr="006703BA" w:rsidRDefault="00DA4CFE" w:rsidP="00B257C0">
      <w:r w:rsidRPr="006703BA">
        <w:rPr>
          <w:i/>
          <w:iCs/>
        </w:rPr>
        <w:t>d</w:t>
      </w:r>
      <w:r w:rsidR="00B257C0" w:rsidRPr="006703BA">
        <w:rPr>
          <w:i/>
          <w:iCs/>
        </w:rPr>
        <w:t>)</w:t>
      </w:r>
      <w:r w:rsidR="00B257C0" w:rsidRPr="006703BA">
        <w:tab/>
      </w:r>
      <w:r w:rsidR="00FA08F4" w:rsidRPr="006703BA">
        <w:t>that the available radio-frequency spectrum and associated orbit resources are limited and must be shared among all nations</w:t>
      </w:r>
      <w:r w:rsidR="000C062B" w:rsidRPr="006703BA">
        <w:t>;</w:t>
      </w:r>
    </w:p>
    <w:p w14:paraId="7993D6F6" w14:textId="13148005" w:rsidR="00B257C0" w:rsidRDefault="00DA4CFE" w:rsidP="00B257C0">
      <w:r w:rsidRPr="006703BA">
        <w:rPr>
          <w:i/>
          <w:iCs/>
        </w:rPr>
        <w:t>e</w:t>
      </w:r>
      <w:r w:rsidR="00B257C0" w:rsidRPr="006703BA">
        <w:rPr>
          <w:i/>
          <w:iCs/>
        </w:rPr>
        <w:t>)</w:t>
      </w:r>
      <w:r w:rsidR="00B257C0" w:rsidRPr="006703BA">
        <w:tab/>
      </w:r>
      <w:r w:rsidR="00BD3825" w:rsidRPr="006703BA">
        <w:t>that it is important to consider long-term space sustainability in the formation of policies and procedures for the efficient use of radio-frequency spectrum and satellite-orbit resources</w:t>
      </w:r>
      <w:r w:rsidR="00B257C0" w:rsidRPr="006703BA">
        <w:t>,</w:t>
      </w:r>
    </w:p>
    <w:p w14:paraId="14800760" w14:textId="31748A68" w:rsidR="00763A37" w:rsidRDefault="00763A37">
      <w:pPr>
        <w:tabs>
          <w:tab w:val="clear" w:pos="1134"/>
          <w:tab w:val="clear" w:pos="1871"/>
          <w:tab w:val="clear" w:pos="2268"/>
        </w:tabs>
        <w:overflowPunct/>
        <w:autoSpaceDE/>
        <w:autoSpaceDN/>
        <w:adjustRightInd/>
        <w:spacing w:before="0"/>
        <w:textAlignment w:val="auto"/>
      </w:pPr>
      <w:r>
        <w:br w:type="page"/>
      </w:r>
    </w:p>
    <w:p w14:paraId="37AA9115" w14:textId="77777777" w:rsidR="00B257C0" w:rsidRPr="006703BA" w:rsidRDefault="00B257C0" w:rsidP="00B257C0">
      <w:pPr>
        <w:pStyle w:val="Call"/>
      </w:pPr>
      <w:r w:rsidRPr="006703BA">
        <w:lastRenderedPageBreak/>
        <w:t>recognizing</w:t>
      </w:r>
    </w:p>
    <w:p w14:paraId="258C93E5" w14:textId="7E1FB13D" w:rsidR="00B257C0" w:rsidRPr="006703BA" w:rsidRDefault="00B257C0" w:rsidP="00B257C0">
      <w:r w:rsidRPr="006703BA">
        <w:rPr>
          <w:i/>
          <w:iCs/>
        </w:rPr>
        <w:t>a)</w:t>
      </w:r>
      <w:r w:rsidRPr="006703BA">
        <w:tab/>
        <w:t xml:space="preserve">that </w:t>
      </w:r>
      <w:bookmarkStart w:id="0" w:name="_Hlk147528894"/>
      <w:r w:rsidRPr="006703BA">
        <w:t xml:space="preserve">No. 78 of the ITU Constitution (Article 12), on the functions and structure of the Radiocommunication Sector, </w:t>
      </w:r>
      <w:r w:rsidRPr="00234609">
        <w:t>states</w:t>
      </w:r>
      <w:r w:rsidR="004F2E82" w:rsidRPr="00234609">
        <w:t>:</w:t>
      </w:r>
      <w:r w:rsidRPr="006703BA">
        <w:t xml:space="preserve"> “</w:t>
      </w:r>
      <w:r w:rsidRPr="006703BA">
        <w:rPr>
          <w:i/>
          <w:iCs/>
        </w:rPr>
        <w:t>The functions of the Radiocommunication Sector shall be, bearing in mind the particular concerns of developing countries, to fulfil the purposes of the Union, as stated in Article 1 of this Constitution, relating to radiocommunication: by ensuring the rational, equitable, efficient and economical use of the radio-frequency spectrum by all radiocommunication services, including those using the geostationary-satellite or other satellite orbits, subject to the provisions of Article 44 of this Constitution, and by carrying out studies without limit of frequency range and adopting recommendations on radiocommunication matters</w:t>
      </w:r>
      <w:r w:rsidRPr="006703BA">
        <w:t>”</w:t>
      </w:r>
      <w:bookmarkEnd w:id="0"/>
      <w:r w:rsidRPr="006703BA">
        <w:t>;</w:t>
      </w:r>
    </w:p>
    <w:p w14:paraId="1D1273B0" w14:textId="63243ABC" w:rsidR="00B257C0" w:rsidRPr="006703BA" w:rsidRDefault="00B257C0" w:rsidP="00B257C0">
      <w:r w:rsidRPr="006703BA">
        <w:rPr>
          <w:i/>
          <w:iCs/>
          <w:lang w:eastAsia="zh-CN"/>
        </w:rPr>
        <w:t>b)</w:t>
      </w:r>
      <w:r w:rsidRPr="006703BA">
        <w:rPr>
          <w:lang w:eastAsia="zh-CN"/>
        </w:rPr>
        <w:tab/>
        <w:t>that</w:t>
      </w:r>
      <w:r w:rsidRPr="006703BA">
        <w:t xml:space="preserve"> </w:t>
      </w:r>
      <w:bookmarkStart w:id="1" w:name="_Hlk147529126"/>
      <w:bookmarkStart w:id="2" w:name="_Hlk147528928"/>
      <w:r w:rsidRPr="006703BA">
        <w:t>No. 196 of the Constitution (Article 44)</w:t>
      </w:r>
      <w:bookmarkEnd w:id="1"/>
      <w:r w:rsidRPr="006703BA">
        <w:t xml:space="preserve">, on the use of the radio-frequency spectrum and </w:t>
      </w:r>
      <w:r w:rsidRPr="000F3D29">
        <w:t xml:space="preserve">of the </w:t>
      </w:r>
      <w:r w:rsidR="00C82E18" w:rsidRPr="000F3D29">
        <w:t>GSO</w:t>
      </w:r>
      <w:r w:rsidRPr="000F3D29">
        <w:t xml:space="preserve"> and</w:t>
      </w:r>
      <w:r w:rsidRPr="006703BA">
        <w:t xml:space="preserve"> other satellite orbits, states that “</w:t>
      </w:r>
      <w:r w:rsidRPr="006703BA">
        <w:rPr>
          <w:i/>
          <w:iCs/>
        </w:rPr>
        <w:t>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r w:rsidRPr="006703BA">
        <w:t>”;</w:t>
      </w:r>
    </w:p>
    <w:bookmarkEnd w:id="2"/>
    <w:p w14:paraId="729E4A09" w14:textId="1E8C7DBE" w:rsidR="00102C0B" w:rsidRPr="006703BA" w:rsidRDefault="00863F19" w:rsidP="00102C0B">
      <w:pPr>
        <w:rPr>
          <w:lang w:eastAsia="zh-CN"/>
        </w:rPr>
      </w:pPr>
      <w:r w:rsidRPr="006703BA">
        <w:rPr>
          <w:i/>
          <w:iCs/>
          <w:lang w:eastAsia="zh-CN"/>
        </w:rPr>
        <w:t>c)</w:t>
      </w:r>
      <w:r w:rsidRPr="006703BA">
        <w:rPr>
          <w:i/>
          <w:iCs/>
          <w:lang w:eastAsia="zh-CN"/>
        </w:rPr>
        <w:tab/>
      </w:r>
      <w:r w:rsidR="00EC0595" w:rsidRPr="006703BA">
        <w:rPr>
          <w:lang w:eastAsia="zh-CN"/>
        </w:rPr>
        <w:t xml:space="preserve">that Resolution 219 (Bucharest, 2022) </w:t>
      </w:r>
      <w:r w:rsidR="009F2A01">
        <w:rPr>
          <w:lang w:eastAsia="zh-CN"/>
        </w:rPr>
        <w:t xml:space="preserve">of the Plenipotentiary Conference </w:t>
      </w:r>
      <w:r w:rsidR="00EC0595" w:rsidRPr="006703BA">
        <w:rPr>
          <w:lang w:eastAsia="zh-CN"/>
        </w:rPr>
        <w:t xml:space="preserve">instructs the Radiocommunication Assembly, as a matter of urgency, to perform the necessary studies through </w:t>
      </w:r>
      <w:r w:rsidR="00EC0595" w:rsidRPr="00B43C2F">
        <w:rPr>
          <w:lang w:eastAsia="zh-CN"/>
        </w:rPr>
        <w:t xml:space="preserve">relevant </w:t>
      </w:r>
      <w:r w:rsidR="00CB48FC" w:rsidRPr="00B43C2F">
        <w:rPr>
          <w:lang w:eastAsia="zh-CN"/>
        </w:rPr>
        <w:t>Radiocommunication</w:t>
      </w:r>
      <w:r w:rsidR="00EC0595" w:rsidRPr="00B43C2F">
        <w:rPr>
          <w:lang w:eastAsia="zh-CN"/>
        </w:rPr>
        <w:t xml:space="preserve"> study</w:t>
      </w:r>
      <w:r w:rsidR="00EC0595" w:rsidRPr="006703BA">
        <w:rPr>
          <w:lang w:eastAsia="zh-CN"/>
        </w:rPr>
        <w:t xml:space="preserve"> groups on the issue of the increasing use of radio-frequency spectrum and associated orbit resources in non-GSO orbits and the long-term sustainability of these resources, as well as on equitable access to, and rational and compatible use of, the GSO and non-GSO </w:t>
      </w:r>
      <w:r w:rsidR="00EC0595" w:rsidRPr="007A5AD9">
        <w:rPr>
          <w:lang w:eastAsia="zh-CN"/>
        </w:rPr>
        <w:t>orbit</w:t>
      </w:r>
      <w:r w:rsidR="00EC0595" w:rsidRPr="006703BA">
        <w:rPr>
          <w:lang w:eastAsia="zh-CN"/>
        </w:rPr>
        <w:t xml:space="preserve"> and spectrum resources, consistent with the objectives of Article 44 of the Constitution</w:t>
      </w:r>
      <w:r w:rsidR="00102C0B" w:rsidRPr="006703BA">
        <w:rPr>
          <w:lang w:eastAsia="zh-CN"/>
        </w:rPr>
        <w:t>;</w:t>
      </w:r>
    </w:p>
    <w:p w14:paraId="67ECE2F4" w14:textId="1C38734E" w:rsidR="00B257C0" w:rsidRPr="006703BA" w:rsidRDefault="00B253C2" w:rsidP="00B257C0">
      <w:r w:rsidRPr="006703BA">
        <w:rPr>
          <w:i/>
          <w:iCs/>
        </w:rPr>
        <w:t>d</w:t>
      </w:r>
      <w:r w:rsidR="00B257C0" w:rsidRPr="006703BA">
        <w:rPr>
          <w:i/>
          <w:iCs/>
        </w:rPr>
        <w:t>)</w:t>
      </w:r>
      <w:r w:rsidR="00B257C0" w:rsidRPr="006703BA">
        <w:tab/>
        <w:t>that Recommendation ITU</w:t>
      </w:r>
      <w:r w:rsidR="00B257C0" w:rsidRPr="006703BA">
        <w:noBreakHyphen/>
        <w:t>R S.1003</w:t>
      </w:r>
      <w:r w:rsidR="00B257C0" w:rsidRPr="006703BA">
        <w:noBreakHyphen/>
        <w:t>2 (</w:t>
      </w:r>
      <w:r w:rsidR="00B257C0" w:rsidRPr="00B165E5">
        <w:t xml:space="preserve">2010) on environmental protection of the </w:t>
      </w:r>
      <w:r w:rsidR="00E84992" w:rsidRPr="00B165E5">
        <w:t>GSO</w:t>
      </w:r>
      <w:r w:rsidR="00B257C0" w:rsidRPr="00B165E5">
        <w:t xml:space="preserve"> provides guidance about disposal orbits for satellites in the </w:t>
      </w:r>
      <w:r w:rsidR="00E84992" w:rsidRPr="00B165E5">
        <w:t>GSO</w:t>
      </w:r>
      <w:r w:rsidR="00B257C0" w:rsidRPr="00B165E5">
        <w:t>, and comments on the increase in debris due to fragments resulting from increased numbers of satellites and their associated launches, and that there is no equivalent recommendation applicable to non</w:t>
      </w:r>
      <w:r w:rsidR="00B257C0" w:rsidRPr="00B165E5">
        <w:noBreakHyphen/>
        <w:t>GSO</w:t>
      </w:r>
      <w:r w:rsidR="000B6EB8" w:rsidRPr="00B165E5">
        <w:t xml:space="preserve"> orbits</w:t>
      </w:r>
      <w:r w:rsidR="00B257C0" w:rsidRPr="00B165E5">
        <w:t>;</w:t>
      </w:r>
    </w:p>
    <w:p w14:paraId="05CB9771" w14:textId="3CAC42A4" w:rsidR="00B257C0" w:rsidRPr="006703BA" w:rsidRDefault="00C140FA" w:rsidP="00B257C0">
      <w:r w:rsidRPr="006703BA">
        <w:rPr>
          <w:i/>
          <w:iCs/>
        </w:rPr>
        <w:t>e</w:t>
      </w:r>
      <w:r w:rsidR="00B257C0" w:rsidRPr="006703BA">
        <w:rPr>
          <w:i/>
          <w:iCs/>
        </w:rPr>
        <w:t>)</w:t>
      </w:r>
      <w:r w:rsidR="00B257C0" w:rsidRPr="006703BA">
        <w:tab/>
      </w:r>
      <w:r w:rsidR="00B257C0" w:rsidRPr="00B165E5">
        <w:t>that R</w:t>
      </w:r>
      <w:r w:rsidR="00CC131D" w:rsidRPr="00B165E5">
        <w:t>adiocommunication</w:t>
      </w:r>
      <w:r w:rsidR="00B257C0" w:rsidRPr="00B165E5">
        <w:t xml:space="preserve"> study groups dealing with space radiocommunication services throughout the years have been developing and plan to continue developing studies, including those on </w:t>
      </w:r>
      <w:r w:rsidR="00B257C0" w:rsidRPr="00B165E5">
        <w:rPr>
          <w:lang w:eastAsia="zh-CN"/>
        </w:rPr>
        <w:t xml:space="preserve">the use and </w:t>
      </w:r>
      <w:r w:rsidR="00B257C0" w:rsidRPr="00B165E5">
        <w:t>management of spectrum and</w:t>
      </w:r>
      <w:r w:rsidR="00B257C0" w:rsidRPr="006703BA">
        <w:t xml:space="preserve"> associated orbit resources, which contribute to the promotion of long-term sustainability of these resources;</w:t>
      </w:r>
    </w:p>
    <w:p w14:paraId="6E7D73A2" w14:textId="0183505E" w:rsidR="00B257C0" w:rsidRDefault="00C140FA" w:rsidP="00B257C0">
      <w:r w:rsidRPr="006703BA">
        <w:rPr>
          <w:i/>
          <w:iCs/>
        </w:rPr>
        <w:t>f</w:t>
      </w:r>
      <w:r w:rsidR="00B257C0" w:rsidRPr="006703BA">
        <w:rPr>
          <w:i/>
          <w:iCs/>
        </w:rPr>
        <w:t>)</w:t>
      </w:r>
      <w:r w:rsidR="00B257C0" w:rsidRPr="006703BA">
        <w:tab/>
        <w:t xml:space="preserve">that those studies developed </w:t>
      </w:r>
      <w:r w:rsidR="00B257C0" w:rsidRPr="00B165E5">
        <w:t>by R</w:t>
      </w:r>
      <w:r w:rsidR="00CC131D" w:rsidRPr="00B165E5">
        <w:t>adiocommunication</w:t>
      </w:r>
      <w:r w:rsidR="00B257C0" w:rsidRPr="00B165E5">
        <w:t xml:space="preserve"> study groups dealing with space radiocommunication services address technical compatibility and regulatory</w:t>
      </w:r>
      <w:r w:rsidR="00B257C0" w:rsidRPr="006703BA">
        <w:t xml:space="preserve"> procedures for non</w:t>
      </w:r>
      <w:r w:rsidR="00B257C0" w:rsidRPr="006703BA">
        <w:noBreakHyphen/>
        <w:t>GSO satellite systems, and are intended to ensure equitable access for all countries or groups of countries to radio frequencies and any associated orbits;</w:t>
      </w:r>
    </w:p>
    <w:p w14:paraId="25AEE3F7" w14:textId="416C4EF4" w:rsidR="00763A37" w:rsidRDefault="00763A37">
      <w:pPr>
        <w:tabs>
          <w:tab w:val="clear" w:pos="1134"/>
          <w:tab w:val="clear" w:pos="1871"/>
          <w:tab w:val="clear" w:pos="2268"/>
        </w:tabs>
        <w:overflowPunct/>
        <w:autoSpaceDE/>
        <w:autoSpaceDN/>
        <w:adjustRightInd/>
        <w:spacing w:before="0"/>
        <w:textAlignment w:val="auto"/>
        <w:rPr>
          <w:i/>
          <w:iCs/>
          <w:highlight w:val="yellow"/>
        </w:rPr>
      </w:pPr>
      <w:r>
        <w:rPr>
          <w:i/>
          <w:iCs/>
          <w:highlight w:val="yellow"/>
        </w:rPr>
        <w:br w:type="page"/>
      </w:r>
    </w:p>
    <w:p w14:paraId="5DCA06C9" w14:textId="29383225" w:rsidR="00B257C0" w:rsidRPr="006703BA" w:rsidRDefault="001A3BC9" w:rsidP="00B257C0">
      <w:r w:rsidRPr="006703BA">
        <w:rPr>
          <w:i/>
          <w:iCs/>
        </w:rPr>
        <w:lastRenderedPageBreak/>
        <w:t>g</w:t>
      </w:r>
      <w:r w:rsidR="00B257C0" w:rsidRPr="006703BA">
        <w:rPr>
          <w:i/>
          <w:iCs/>
        </w:rPr>
        <w:t>)</w:t>
      </w:r>
      <w:r w:rsidR="00B257C0" w:rsidRPr="006703BA">
        <w:tab/>
        <w:t xml:space="preserve">the existing mandate and current work being done </w:t>
      </w:r>
      <w:r w:rsidR="00B257C0" w:rsidRPr="00B165E5">
        <w:t>within the U</w:t>
      </w:r>
      <w:r w:rsidR="00E04A18" w:rsidRPr="00B165E5">
        <w:t xml:space="preserve">nited </w:t>
      </w:r>
      <w:r w:rsidR="00B257C0" w:rsidRPr="00B165E5">
        <w:t>N</w:t>
      </w:r>
      <w:r w:rsidR="00E04A18" w:rsidRPr="00B165E5">
        <w:t>ations</w:t>
      </w:r>
      <w:r w:rsidR="00B257C0" w:rsidRPr="006703BA">
        <w:t xml:space="preserve"> Committee on the Peaceful Uses of Outer Space (COPUOS) to advance the long-term sustainability of outer space, including through the 2019 adoption by the COPUOS </w:t>
      </w:r>
      <w:r w:rsidRPr="00950E5A">
        <w:t xml:space="preserve">and </w:t>
      </w:r>
      <w:r w:rsidR="00C57D14" w:rsidRPr="00950E5A">
        <w:t xml:space="preserve">subsequent consideration </w:t>
      </w:r>
      <w:r w:rsidRPr="00950E5A">
        <w:t>by the</w:t>
      </w:r>
      <w:r w:rsidRPr="006703BA">
        <w:t xml:space="preserve"> United Nations General Assembly </w:t>
      </w:r>
      <w:r w:rsidR="00B257C0" w:rsidRPr="006703BA">
        <w:t>of the 21 Guidelines for the Long-Term Sustainability of Outer Space Activities, and the importance of not duplicating work already being done elsewhere in the UN system</w:t>
      </w:r>
      <w:r w:rsidR="00B257C0" w:rsidRPr="006703BA">
        <w:rPr>
          <w:rStyle w:val="FootnoteReference"/>
        </w:rPr>
        <w:footnoteReference w:customMarkFollows="1" w:id="1"/>
        <w:t>1</w:t>
      </w:r>
      <w:r w:rsidR="00B257C0" w:rsidRPr="006703BA">
        <w:t>;</w:t>
      </w:r>
    </w:p>
    <w:p w14:paraId="2A732D74" w14:textId="1CCC6241" w:rsidR="00B257C0" w:rsidRPr="006703BA" w:rsidRDefault="00B4236A" w:rsidP="00B257C0">
      <w:r w:rsidRPr="006703BA">
        <w:rPr>
          <w:i/>
          <w:iCs/>
        </w:rPr>
        <w:t>h</w:t>
      </w:r>
      <w:r w:rsidR="00B257C0" w:rsidRPr="006703BA">
        <w:rPr>
          <w:i/>
          <w:iCs/>
        </w:rPr>
        <w:t>)</w:t>
      </w:r>
      <w:r w:rsidR="00B257C0" w:rsidRPr="006703BA">
        <w:tab/>
        <w:t xml:space="preserve">that the Radiocommunication Bureau has recently received an </w:t>
      </w:r>
      <w:r w:rsidR="000673D1" w:rsidRPr="006703BA">
        <w:t>ever-increasing</w:t>
      </w:r>
      <w:r w:rsidR="00B257C0" w:rsidRPr="006703BA">
        <w:t xml:space="preserve"> number of filings for non</w:t>
      </w:r>
      <w:r w:rsidR="00B257C0" w:rsidRPr="006703BA">
        <w:noBreakHyphen/>
        <w:t xml:space="preserve">GSO systems, including systems composed of hundreds or thousands of space stations and multiple configurations, and observed a </w:t>
      </w:r>
      <w:r w:rsidR="00B257C0" w:rsidRPr="006703BA">
        <w:rPr>
          <w:lang w:eastAsia="zh-CN"/>
        </w:rPr>
        <w:t>continued and expanded launch and operation of non-geostationary satellites in outer space,</w:t>
      </w:r>
    </w:p>
    <w:p w14:paraId="1FA38C37" w14:textId="77777777" w:rsidR="00B257C0" w:rsidRPr="006703BA" w:rsidRDefault="00B257C0" w:rsidP="00B257C0">
      <w:pPr>
        <w:pStyle w:val="Call"/>
      </w:pPr>
      <w:r w:rsidRPr="006703BA">
        <w:t>noting</w:t>
      </w:r>
    </w:p>
    <w:p w14:paraId="6046E1FC" w14:textId="5E703644" w:rsidR="00B257C0" w:rsidRPr="006703BA" w:rsidRDefault="00B257C0" w:rsidP="00B257C0">
      <w:r w:rsidRPr="006703BA">
        <w:rPr>
          <w:i/>
          <w:iCs/>
        </w:rPr>
        <w:t>a)</w:t>
      </w:r>
      <w:r w:rsidRPr="006703BA">
        <w:tab/>
        <w:t>that Resolution ITU</w:t>
      </w:r>
      <w:r w:rsidRPr="006703BA">
        <w:noBreakHyphen/>
        <w:t xml:space="preserve">R 9 resolves that the </w:t>
      </w:r>
      <w:r w:rsidRPr="004B4B80">
        <w:t>Radiocommunication S</w:t>
      </w:r>
      <w:r w:rsidRPr="006703BA">
        <w:t xml:space="preserve">tudy </w:t>
      </w:r>
      <w:r w:rsidRPr="004B4B80">
        <w:t>G</w:t>
      </w:r>
      <w:r w:rsidRPr="006703BA">
        <w:t xml:space="preserve">roups, or groups established by the </w:t>
      </w:r>
      <w:r w:rsidRPr="004B4B80">
        <w:t>S</w:t>
      </w:r>
      <w:r w:rsidRPr="006703BA">
        <w:t xml:space="preserve">tudy </w:t>
      </w:r>
      <w:r w:rsidRPr="004B4B80">
        <w:t>G</w:t>
      </w:r>
      <w:r w:rsidRPr="006703BA">
        <w:t>roups, may liaise, collaborate and exchange information, in accordance with established principles, with other organizations, such as standards development organizations, universities and industry organizations, and with partnership projects, forums, consortia and research collaborations;</w:t>
      </w:r>
    </w:p>
    <w:p w14:paraId="55C3B2AF" w14:textId="6DBDC61A" w:rsidR="00B257C0" w:rsidRPr="006703BA" w:rsidRDefault="00B257C0" w:rsidP="00B4236A">
      <w:r w:rsidRPr="006703BA">
        <w:rPr>
          <w:i/>
          <w:iCs/>
        </w:rPr>
        <w:t>b)</w:t>
      </w:r>
      <w:r w:rsidRPr="006703BA">
        <w:tab/>
        <w:t xml:space="preserve">that there is </w:t>
      </w:r>
      <w:r w:rsidRPr="009A67A7">
        <w:t xml:space="preserve">already a substantial amount </w:t>
      </w:r>
      <w:r w:rsidR="00853A56" w:rsidRPr="009A67A7">
        <w:t xml:space="preserve">of </w:t>
      </w:r>
      <w:r w:rsidRPr="009A67A7">
        <w:t>work related to long-term space sustainability being carried out in the R</w:t>
      </w:r>
      <w:r w:rsidR="008E3149" w:rsidRPr="009A67A7">
        <w:t>adiocommunication</w:t>
      </w:r>
      <w:r w:rsidRPr="006703BA">
        <w:t xml:space="preserve"> </w:t>
      </w:r>
      <w:r w:rsidRPr="008E3149">
        <w:t>S</w:t>
      </w:r>
      <w:r w:rsidRPr="006703BA">
        <w:t xml:space="preserve">tudy </w:t>
      </w:r>
      <w:r w:rsidRPr="008E3149">
        <w:t>G</w:t>
      </w:r>
      <w:r w:rsidRPr="006703BA">
        <w:t>roups</w:t>
      </w:r>
      <w:r w:rsidR="00B104AE" w:rsidRPr="006703BA">
        <w:t>,</w:t>
      </w:r>
    </w:p>
    <w:p w14:paraId="4FAAD2FE" w14:textId="77777777" w:rsidR="00B257C0" w:rsidRPr="006703BA" w:rsidRDefault="00B257C0" w:rsidP="00B257C0">
      <w:pPr>
        <w:pStyle w:val="Call"/>
      </w:pPr>
      <w:r w:rsidRPr="006703BA">
        <w:t>resolves, as a matter of urgency, to invite the ITU Radiocommunication Sector</w:t>
      </w:r>
    </w:p>
    <w:p w14:paraId="6407A79C" w14:textId="6E8FBA6A" w:rsidR="00B257C0" w:rsidRPr="006703BA" w:rsidRDefault="00B257C0" w:rsidP="00B257C0">
      <w:pPr>
        <w:rPr>
          <w:szCs w:val="24"/>
          <w:lang w:eastAsia="zh-CN"/>
        </w:rPr>
      </w:pPr>
      <w:r w:rsidRPr="006703BA">
        <w:rPr>
          <w:szCs w:val="24"/>
          <w:lang w:eastAsia="zh-CN"/>
        </w:rPr>
        <w:t>1</w:t>
      </w:r>
      <w:r w:rsidRPr="006703BA">
        <w:rPr>
          <w:szCs w:val="24"/>
          <w:lang w:eastAsia="zh-CN"/>
        </w:rPr>
        <w:tab/>
        <w:t>taking into due account Article 12 of the Constitution, to continue technical activities, including those on interference assessment and mitigation techniques among non-GSO systems in support of long-term sustainability in the scope of ITU</w:t>
      </w:r>
      <w:r w:rsidRPr="006703BA">
        <w:rPr>
          <w:szCs w:val="24"/>
          <w:lang w:eastAsia="zh-CN"/>
        </w:rPr>
        <w:noBreakHyphen/>
        <w:t>R with a focus on the prevention of harmful interference, and ensuring the rational, equitable, efficient and economical use of the radio-frequency spectrum and associated orbit resources, with a focus on non-GSO systems, in accordance with the provisions of the Radio Regulations and applicable ITU</w:t>
      </w:r>
      <w:r w:rsidRPr="006703BA">
        <w:rPr>
          <w:szCs w:val="24"/>
          <w:lang w:eastAsia="zh-CN"/>
        </w:rPr>
        <w:noBreakHyphen/>
        <w:t>R Recommendations, taking into account the special needs of the developing countries and the geographical situation of particular countries;</w:t>
      </w:r>
    </w:p>
    <w:p w14:paraId="2420E282" w14:textId="40D4BE10" w:rsidR="00B257C0" w:rsidRPr="006703BA" w:rsidRDefault="00C46CA1" w:rsidP="00B257C0">
      <w:r w:rsidRPr="006703BA">
        <w:t>2</w:t>
      </w:r>
      <w:r w:rsidR="00B257C0" w:rsidRPr="006703BA">
        <w:tab/>
        <w:t>to develop and finalize during the next study cycle a Handbook on best practices for the sustainable use of frequencies and associated non-GSO orbits by space radiocommunication services, including individual experiences and guidelines adopted by Member States and Sector Members,</w:t>
      </w:r>
    </w:p>
    <w:p w14:paraId="3C1B8830" w14:textId="1029AE74" w:rsidR="00C46CA1" w:rsidRPr="006703BA" w:rsidRDefault="00C46CA1" w:rsidP="00751164">
      <w:pPr>
        <w:pStyle w:val="Call"/>
      </w:pPr>
      <w:r w:rsidRPr="006703BA">
        <w:t>instructs</w:t>
      </w:r>
      <w:r w:rsidRPr="006703BA">
        <w:rPr>
          <w:spacing w:val="-1"/>
        </w:rPr>
        <w:t xml:space="preserve"> </w:t>
      </w:r>
      <w:r w:rsidRPr="006703BA">
        <w:t xml:space="preserve">the </w:t>
      </w:r>
      <w:r w:rsidRPr="00751164">
        <w:t>relevant</w:t>
      </w:r>
      <w:r w:rsidRPr="006703BA">
        <w:t xml:space="preserve"> Radiocommunication study groups</w:t>
      </w:r>
    </w:p>
    <w:p w14:paraId="074471EE" w14:textId="5458F3E4" w:rsidR="00C46CA1" w:rsidRDefault="00C46CA1" w:rsidP="00C46CA1">
      <w:r w:rsidRPr="006703BA">
        <w:t xml:space="preserve">taking into account </w:t>
      </w:r>
      <w:r w:rsidRPr="006703BA">
        <w:rPr>
          <w:i/>
          <w:iCs/>
        </w:rPr>
        <w:t>recognizing g)</w:t>
      </w:r>
      <w:r w:rsidR="0066035A">
        <w:rPr>
          <w:i/>
          <w:iCs/>
        </w:rPr>
        <w:t xml:space="preserve"> </w:t>
      </w:r>
      <w:r w:rsidR="0066035A" w:rsidRPr="004E196E">
        <w:t>above</w:t>
      </w:r>
      <w:r w:rsidRPr="004E196E">
        <w:t>,</w:t>
      </w:r>
      <w:r w:rsidRPr="004E196E">
        <w:rPr>
          <w:i/>
          <w:iCs/>
        </w:rPr>
        <w:t xml:space="preserve"> instructs the Director of the Radiocommunication Bureau </w:t>
      </w:r>
      <w:r w:rsidRPr="004E196E">
        <w:t>3</w:t>
      </w:r>
      <w:r w:rsidR="0066035A" w:rsidRPr="004E196E">
        <w:t xml:space="preserve"> below</w:t>
      </w:r>
      <w:r w:rsidRPr="004E196E">
        <w:rPr>
          <w:i/>
          <w:iCs/>
        </w:rPr>
        <w:t>,</w:t>
      </w:r>
      <w:r w:rsidRPr="004E196E">
        <w:t xml:space="preserve"> Recommendation ITU</w:t>
      </w:r>
      <w:r w:rsidRPr="004E196E">
        <w:noBreakHyphen/>
        <w:t>R S.1003 and advancements in technology, to conduct studies towards the development of a new Recommendation providing guidance on safe and efficient deorbit and/or disposal strategies and methodologies for non-GSO space stations involved in radiocommunication services after the end of their life</w:t>
      </w:r>
      <w:r w:rsidR="00E33EDC" w:rsidRPr="004E196E">
        <w:t>,</w:t>
      </w:r>
      <w:r w:rsidRPr="004E196E">
        <w:t xml:space="preserve"> focusing</w:t>
      </w:r>
      <w:r w:rsidRPr="006703BA">
        <w:t xml:space="preserve"> on the radio-frequency spectrum and associated satellite-orbit resources used by space services,</w:t>
      </w:r>
    </w:p>
    <w:p w14:paraId="7391618B" w14:textId="2B580B08" w:rsidR="00763A37" w:rsidRDefault="00763A37">
      <w:pPr>
        <w:tabs>
          <w:tab w:val="clear" w:pos="1134"/>
          <w:tab w:val="clear" w:pos="1871"/>
          <w:tab w:val="clear" w:pos="2268"/>
        </w:tabs>
        <w:overflowPunct/>
        <w:autoSpaceDE/>
        <w:autoSpaceDN/>
        <w:adjustRightInd/>
        <w:spacing w:before="0"/>
        <w:textAlignment w:val="auto"/>
      </w:pPr>
      <w:r>
        <w:br w:type="page"/>
      </w:r>
    </w:p>
    <w:p w14:paraId="1C9E6D32" w14:textId="77777777" w:rsidR="00B257C0" w:rsidRPr="006703BA" w:rsidRDefault="00B257C0" w:rsidP="00751164">
      <w:pPr>
        <w:pStyle w:val="Call"/>
      </w:pPr>
      <w:r w:rsidRPr="006703BA">
        <w:lastRenderedPageBreak/>
        <w:t>instructs</w:t>
      </w:r>
      <w:r w:rsidRPr="006703BA">
        <w:rPr>
          <w:spacing w:val="-1"/>
        </w:rPr>
        <w:t xml:space="preserve"> </w:t>
      </w:r>
      <w:r w:rsidRPr="006703BA">
        <w:t>the</w:t>
      </w:r>
      <w:r w:rsidRPr="006703BA">
        <w:rPr>
          <w:spacing w:val="-2"/>
        </w:rPr>
        <w:t xml:space="preserve"> </w:t>
      </w:r>
      <w:r w:rsidRPr="006703BA">
        <w:t>Director</w:t>
      </w:r>
      <w:r w:rsidRPr="006703BA">
        <w:rPr>
          <w:spacing w:val="-1"/>
        </w:rPr>
        <w:t xml:space="preserve"> </w:t>
      </w:r>
      <w:r w:rsidRPr="006703BA">
        <w:t>of</w:t>
      </w:r>
      <w:r w:rsidRPr="006703BA">
        <w:rPr>
          <w:spacing w:val="-1"/>
        </w:rPr>
        <w:t xml:space="preserve"> </w:t>
      </w:r>
      <w:r w:rsidRPr="006703BA">
        <w:t>the</w:t>
      </w:r>
      <w:r w:rsidRPr="006703BA">
        <w:rPr>
          <w:spacing w:val="-1"/>
        </w:rPr>
        <w:t xml:space="preserve"> </w:t>
      </w:r>
      <w:r w:rsidRPr="006703BA">
        <w:t>Radiocommunication</w:t>
      </w:r>
      <w:r w:rsidRPr="006703BA">
        <w:rPr>
          <w:spacing w:val="1"/>
        </w:rPr>
        <w:t xml:space="preserve"> </w:t>
      </w:r>
      <w:r w:rsidRPr="006703BA">
        <w:t>Bureau</w:t>
      </w:r>
    </w:p>
    <w:p w14:paraId="04CFD416" w14:textId="3A975715" w:rsidR="00B257C0" w:rsidRPr="006703BA" w:rsidRDefault="00B257C0" w:rsidP="00B257C0">
      <w:pPr>
        <w:rPr>
          <w:i/>
          <w:iCs/>
          <w:highlight w:val="yellow"/>
        </w:rPr>
      </w:pPr>
      <w:r w:rsidRPr="006703BA">
        <w:t>1</w:t>
      </w:r>
      <w:r w:rsidRPr="006703BA">
        <w:tab/>
      </w:r>
      <w:r w:rsidRPr="006703BA">
        <w:rPr>
          <w:lang w:eastAsia="zh-CN"/>
        </w:rPr>
        <w:t xml:space="preserve">to report to the Radiocommunication Advisory Group and to the 2027 </w:t>
      </w:r>
      <w:r w:rsidR="004E2A51" w:rsidRPr="004E196E">
        <w:rPr>
          <w:lang w:eastAsia="zh-CN"/>
        </w:rPr>
        <w:t>r</w:t>
      </w:r>
      <w:r w:rsidRPr="004E196E">
        <w:rPr>
          <w:lang w:eastAsia="zh-CN"/>
        </w:rPr>
        <w:t xml:space="preserve">adiocommunication </w:t>
      </w:r>
      <w:r w:rsidR="004E2A51" w:rsidRPr="004E196E">
        <w:rPr>
          <w:lang w:eastAsia="zh-CN"/>
        </w:rPr>
        <w:t>a</w:t>
      </w:r>
      <w:r w:rsidRPr="004E196E">
        <w:rPr>
          <w:lang w:eastAsia="zh-CN"/>
        </w:rPr>
        <w:t>ssembly</w:t>
      </w:r>
      <w:r w:rsidRPr="006703BA">
        <w:rPr>
          <w:lang w:eastAsia="zh-CN"/>
        </w:rPr>
        <w:t xml:space="preserve"> on the developments and </w:t>
      </w:r>
      <w:r w:rsidRPr="006703BA">
        <w:t>results</w:t>
      </w:r>
      <w:r w:rsidRPr="006703BA">
        <w:rPr>
          <w:lang w:eastAsia="zh-CN"/>
        </w:rPr>
        <w:t xml:space="preserve"> of the studies and actions taken in the implementation of this Resolution;</w:t>
      </w:r>
    </w:p>
    <w:p w14:paraId="3407F6F5" w14:textId="0C337E92" w:rsidR="00B257C0" w:rsidRPr="006703BA" w:rsidRDefault="00B257C0" w:rsidP="00B257C0">
      <w:r w:rsidRPr="006703BA">
        <w:t>2</w:t>
      </w:r>
      <w:r w:rsidRPr="006703BA">
        <w:tab/>
        <w:t>to create a website available through a link from the main ITU</w:t>
      </w:r>
      <w:r w:rsidRPr="006703BA">
        <w:noBreakHyphen/>
        <w:t xml:space="preserve">R website, containing a compendium of links to available and reliable information on the subjects described in </w:t>
      </w:r>
      <w:r w:rsidRPr="004E196E">
        <w:rPr>
          <w:i/>
          <w:iCs/>
        </w:rPr>
        <w:t>resolves</w:t>
      </w:r>
      <w:r w:rsidR="0004390A" w:rsidRPr="004E196E">
        <w:rPr>
          <w:i/>
          <w:iCs/>
        </w:rPr>
        <w:t>, as a matter of urgency, to invite the ITU Radiocommunication Sector</w:t>
      </w:r>
      <w:r w:rsidRPr="006703BA">
        <w:t> 2 of this Resolution;</w:t>
      </w:r>
    </w:p>
    <w:p w14:paraId="3099D9DD" w14:textId="02865446" w:rsidR="00B257C0" w:rsidRPr="006703BA" w:rsidRDefault="00B257C0" w:rsidP="00B257C0">
      <w:r w:rsidRPr="006703BA">
        <w:t>3</w:t>
      </w:r>
      <w:r w:rsidRPr="006703BA">
        <w:tab/>
        <w:t xml:space="preserve">to collaborate and exchange information with other United Nations organizations dealing with space activities, as well as </w:t>
      </w:r>
      <w:r w:rsidRPr="004E196E">
        <w:t xml:space="preserve">with </w:t>
      </w:r>
      <w:r w:rsidR="008755FD" w:rsidRPr="004E196E">
        <w:t>the United Nations Office for Outer Space Affairs</w:t>
      </w:r>
      <w:r w:rsidR="008755FD" w:rsidRPr="006703BA">
        <w:t xml:space="preserve"> </w:t>
      </w:r>
      <w:r w:rsidRPr="006703BA">
        <w:t>and COPUOS, during the studies performed in the scope of this resolution,</w:t>
      </w:r>
    </w:p>
    <w:p w14:paraId="722ABB14" w14:textId="765BA791" w:rsidR="00B257C0" w:rsidRPr="004E196E" w:rsidRDefault="00B257C0" w:rsidP="00B257C0">
      <w:pPr>
        <w:pStyle w:val="Call"/>
      </w:pPr>
      <w:r w:rsidRPr="004E196E">
        <w:t xml:space="preserve">encourages </w:t>
      </w:r>
      <w:r w:rsidR="00457039" w:rsidRPr="004E196E">
        <w:t>M</w:t>
      </w:r>
      <w:r w:rsidRPr="004E196E">
        <w:t>embers of the ITU Radiocommunication Sector</w:t>
      </w:r>
    </w:p>
    <w:p w14:paraId="6C57ED0B" w14:textId="353850FA" w:rsidR="00B257C0" w:rsidRPr="006703BA" w:rsidRDefault="00B257C0" w:rsidP="00B257C0">
      <w:r w:rsidRPr="004E196E">
        <w:t>to actively participate in the implementation of this Resolution by, among others, submitting contributions to concerned R</w:t>
      </w:r>
      <w:r w:rsidR="00457039" w:rsidRPr="004E196E">
        <w:t>adiocommunication</w:t>
      </w:r>
      <w:r w:rsidRPr="006703BA">
        <w:t xml:space="preserve"> study groups,</w:t>
      </w:r>
    </w:p>
    <w:p w14:paraId="042DA5BA" w14:textId="77777777" w:rsidR="00B257C0" w:rsidRPr="006703BA" w:rsidRDefault="00B257C0" w:rsidP="00B257C0">
      <w:pPr>
        <w:pStyle w:val="Call"/>
      </w:pPr>
      <w:r w:rsidRPr="006703BA">
        <w:rPr>
          <w:iCs/>
        </w:rPr>
        <w:t xml:space="preserve">requests the </w:t>
      </w:r>
      <w:r w:rsidRPr="006703BA">
        <w:rPr>
          <w:spacing w:val="-2"/>
        </w:rPr>
        <w:t>ITU Secretary-General</w:t>
      </w:r>
    </w:p>
    <w:p w14:paraId="14738FF7" w14:textId="37CEFA9D" w:rsidR="00B257C0" w:rsidRDefault="00B257C0" w:rsidP="006703BA">
      <w:r w:rsidRPr="006703BA">
        <w:t>to bring this Resolution to the attention of the United Nations Office for Outer Space Affairs.</w:t>
      </w:r>
    </w:p>
    <w:p w14:paraId="5C0D7D60" w14:textId="77777777" w:rsidR="00512C2D" w:rsidRPr="006703BA" w:rsidRDefault="00512C2D" w:rsidP="00480B81"/>
    <w:sectPr w:rsidR="00512C2D" w:rsidRPr="006703BA" w:rsidSect="009447A3">
      <w:headerReference w:type="default" r:id="rId10"/>
      <w:footerReference w:type="even"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CF64" w14:textId="77777777" w:rsidR="003855A6" w:rsidRDefault="003855A6">
      <w:r>
        <w:separator/>
      </w:r>
    </w:p>
  </w:endnote>
  <w:endnote w:type="continuationSeparator" w:id="0">
    <w:p w14:paraId="12C79F0F" w14:textId="77777777" w:rsidR="003855A6" w:rsidRDefault="0038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77F1" w14:textId="6AA9480B"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712E5B">
      <w:rPr>
        <w:noProof/>
        <w:lang w:val="es-ES_tradnl"/>
      </w:rPr>
      <w:t>https://ituint-my.sharepoint.com/personal/yoanni_gomez_itu_int/Documents/Documents/EDITION/RA-2023/Resolutions/FINAL_FINRES/074V2E.docx</w:t>
    </w:r>
    <w:r>
      <w:fldChar w:fldCharType="end"/>
    </w:r>
    <w:r w:rsidRPr="009447A3">
      <w:rPr>
        <w:lang w:val="es-ES_tradnl"/>
      </w:rPr>
      <w:tab/>
    </w:r>
    <w:r>
      <w:fldChar w:fldCharType="begin"/>
    </w:r>
    <w:r>
      <w:instrText xml:space="preserve"> SAVEDATE \@ DD.MM.YY </w:instrText>
    </w:r>
    <w:r>
      <w:fldChar w:fldCharType="separate"/>
    </w:r>
    <w:r w:rsidR="00712E5B">
      <w:rPr>
        <w:noProof/>
      </w:rPr>
      <w:t>22.11.23</w:t>
    </w:r>
    <w:r>
      <w:fldChar w:fldCharType="end"/>
    </w:r>
    <w:r w:rsidRPr="009447A3">
      <w:rPr>
        <w:lang w:val="es-ES_tradnl"/>
      </w:rPr>
      <w:tab/>
    </w:r>
    <w:r>
      <w:fldChar w:fldCharType="begin"/>
    </w:r>
    <w:r>
      <w:instrText xml:space="preserve"> PRINTDATE \@ DD.MM.YY </w:instrText>
    </w:r>
    <w:r>
      <w:fldChar w:fldCharType="separate"/>
    </w:r>
    <w:r w:rsidR="00712E5B">
      <w:rPr>
        <w:noProof/>
      </w:rPr>
      <w:t>22.11.23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A459" w14:textId="77777777" w:rsidR="003855A6" w:rsidRDefault="003855A6">
      <w:r>
        <w:rPr>
          <w:b/>
        </w:rPr>
        <w:t>_______________</w:t>
      </w:r>
    </w:p>
  </w:footnote>
  <w:footnote w:type="continuationSeparator" w:id="0">
    <w:p w14:paraId="365285B1" w14:textId="77777777" w:rsidR="003855A6" w:rsidRDefault="003855A6">
      <w:r>
        <w:continuationSeparator/>
      </w:r>
    </w:p>
  </w:footnote>
  <w:footnote w:id="1">
    <w:p w14:paraId="6F293314" w14:textId="77777777" w:rsidR="00B257C0" w:rsidRDefault="00B257C0" w:rsidP="00B257C0">
      <w:pPr>
        <w:pStyle w:val="FootnoteText"/>
      </w:pPr>
      <w:r>
        <w:rPr>
          <w:rStyle w:val="FootnoteReference"/>
        </w:rPr>
        <w:t>1</w:t>
      </w:r>
      <w:r>
        <w:t xml:space="preserve"> </w:t>
      </w:r>
      <w:r>
        <w:tab/>
      </w:r>
      <w:r w:rsidRPr="007305FF">
        <w:t xml:space="preserve">See also the United Nations Office of Outer Space Affairs, </w:t>
      </w:r>
      <w:hyperlink r:id="rId1" w:history="1">
        <w:r w:rsidRPr="009257BF">
          <w:rPr>
            <w:rStyle w:val="Hyperlink"/>
          </w:rPr>
          <w:t>https://www.unoosa.org/</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FAA3" w14:textId="50FEB594" w:rsidR="00192E45" w:rsidRDefault="00192E45" w:rsidP="00A35F66">
    <w:pPr>
      <w:pStyle w:val="Header"/>
    </w:pPr>
    <w:r>
      <w:fldChar w:fldCharType="begin"/>
    </w:r>
    <w:r>
      <w:instrText xml:space="preserve"> PAGE  \* MERGEFORMAT </w:instrText>
    </w:r>
    <w:r>
      <w:fldChar w:fldCharType="separate"/>
    </w:r>
    <w:r w:rsidR="00521E96">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622419192">
    <w:abstractNumId w:val="0"/>
  </w:num>
  <w:num w:numId="2" w16cid:durableId="28647027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C0"/>
    <w:rsid w:val="000230EB"/>
    <w:rsid w:val="0002465E"/>
    <w:rsid w:val="00033199"/>
    <w:rsid w:val="0004390A"/>
    <w:rsid w:val="00044885"/>
    <w:rsid w:val="00061C47"/>
    <w:rsid w:val="000654BD"/>
    <w:rsid w:val="000673D1"/>
    <w:rsid w:val="00081595"/>
    <w:rsid w:val="000B3D70"/>
    <w:rsid w:val="000B6EB8"/>
    <w:rsid w:val="000C062B"/>
    <w:rsid w:val="000D1293"/>
    <w:rsid w:val="000F3D29"/>
    <w:rsid w:val="00102C0B"/>
    <w:rsid w:val="00107D1D"/>
    <w:rsid w:val="00136E1D"/>
    <w:rsid w:val="001774E5"/>
    <w:rsid w:val="00192E45"/>
    <w:rsid w:val="00194805"/>
    <w:rsid w:val="001A3BC9"/>
    <w:rsid w:val="001B225D"/>
    <w:rsid w:val="001C1A47"/>
    <w:rsid w:val="001E4836"/>
    <w:rsid w:val="00202F14"/>
    <w:rsid w:val="00206408"/>
    <w:rsid w:val="00225CE5"/>
    <w:rsid w:val="00234609"/>
    <w:rsid w:val="00287B62"/>
    <w:rsid w:val="002926DA"/>
    <w:rsid w:val="002D4ADF"/>
    <w:rsid w:val="002D4CB6"/>
    <w:rsid w:val="003033F5"/>
    <w:rsid w:val="0030579C"/>
    <w:rsid w:val="003119A2"/>
    <w:rsid w:val="00363DEA"/>
    <w:rsid w:val="00371228"/>
    <w:rsid w:val="003855A6"/>
    <w:rsid w:val="003A344E"/>
    <w:rsid w:val="003B7FD1"/>
    <w:rsid w:val="003E3901"/>
    <w:rsid w:val="003F61C0"/>
    <w:rsid w:val="00425F3D"/>
    <w:rsid w:val="00426B63"/>
    <w:rsid w:val="00434970"/>
    <w:rsid w:val="004462B9"/>
    <w:rsid w:val="00457039"/>
    <w:rsid w:val="00470360"/>
    <w:rsid w:val="00471425"/>
    <w:rsid w:val="00480B81"/>
    <w:rsid w:val="00483347"/>
    <w:rsid w:val="004844C1"/>
    <w:rsid w:val="004B4B80"/>
    <w:rsid w:val="004C15D5"/>
    <w:rsid w:val="004D6FFE"/>
    <w:rsid w:val="004E196E"/>
    <w:rsid w:val="004E2A51"/>
    <w:rsid w:val="004F2E82"/>
    <w:rsid w:val="00503E84"/>
    <w:rsid w:val="00512C2D"/>
    <w:rsid w:val="00520801"/>
    <w:rsid w:val="00521E96"/>
    <w:rsid w:val="0052673A"/>
    <w:rsid w:val="00532712"/>
    <w:rsid w:val="00551968"/>
    <w:rsid w:val="0057751E"/>
    <w:rsid w:val="00586BCB"/>
    <w:rsid w:val="005A6E60"/>
    <w:rsid w:val="005C0230"/>
    <w:rsid w:val="005E0BE1"/>
    <w:rsid w:val="005F1974"/>
    <w:rsid w:val="005F6E4D"/>
    <w:rsid w:val="00613D9C"/>
    <w:rsid w:val="00653A35"/>
    <w:rsid w:val="0066035A"/>
    <w:rsid w:val="00662CB8"/>
    <w:rsid w:val="00665356"/>
    <w:rsid w:val="006703BA"/>
    <w:rsid w:val="00674C89"/>
    <w:rsid w:val="0068326C"/>
    <w:rsid w:val="006904BD"/>
    <w:rsid w:val="006B76C8"/>
    <w:rsid w:val="006D7DF8"/>
    <w:rsid w:val="006F6C3A"/>
    <w:rsid w:val="007008EC"/>
    <w:rsid w:val="0071246B"/>
    <w:rsid w:val="00712E5B"/>
    <w:rsid w:val="0071504C"/>
    <w:rsid w:val="00717037"/>
    <w:rsid w:val="00744D20"/>
    <w:rsid w:val="00751164"/>
    <w:rsid w:val="00756B1C"/>
    <w:rsid w:val="00763A37"/>
    <w:rsid w:val="0077472A"/>
    <w:rsid w:val="007A5AD9"/>
    <w:rsid w:val="007B50E6"/>
    <w:rsid w:val="007C6911"/>
    <w:rsid w:val="007D34F5"/>
    <w:rsid w:val="007E2B16"/>
    <w:rsid w:val="007E5F62"/>
    <w:rsid w:val="00800D20"/>
    <w:rsid w:val="008145E1"/>
    <w:rsid w:val="00815558"/>
    <w:rsid w:val="00853A56"/>
    <w:rsid w:val="00860D80"/>
    <w:rsid w:val="00863F19"/>
    <w:rsid w:val="008755FD"/>
    <w:rsid w:val="00880578"/>
    <w:rsid w:val="00892D03"/>
    <w:rsid w:val="008A7B8E"/>
    <w:rsid w:val="008C1467"/>
    <w:rsid w:val="008C2A7D"/>
    <w:rsid w:val="008D6A92"/>
    <w:rsid w:val="008E3149"/>
    <w:rsid w:val="008E470E"/>
    <w:rsid w:val="0090095F"/>
    <w:rsid w:val="0091531B"/>
    <w:rsid w:val="00931647"/>
    <w:rsid w:val="009416FE"/>
    <w:rsid w:val="00942687"/>
    <w:rsid w:val="009447A3"/>
    <w:rsid w:val="00950E5A"/>
    <w:rsid w:val="00951F1E"/>
    <w:rsid w:val="00963DC4"/>
    <w:rsid w:val="0098734B"/>
    <w:rsid w:val="00993768"/>
    <w:rsid w:val="0099542C"/>
    <w:rsid w:val="009968BA"/>
    <w:rsid w:val="009A39E3"/>
    <w:rsid w:val="009A67A7"/>
    <w:rsid w:val="009B7491"/>
    <w:rsid w:val="009C4D62"/>
    <w:rsid w:val="009C7C36"/>
    <w:rsid w:val="009D08A6"/>
    <w:rsid w:val="009E375D"/>
    <w:rsid w:val="009E39EF"/>
    <w:rsid w:val="009F2A01"/>
    <w:rsid w:val="00A05CE9"/>
    <w:rsid w:val="00A234E5"/>
    <w:rsid w:val="00A25E09"/>
    <w:rsid w:val="00A31D72"/>
    <w:rsid w:val="00A35F66"/>
    <w:rsid w:val="00A60C23"/>
    <w:rsid w:val="00AB7294"/>
    <w:rsid w:val="00AC55F5"/>
    <w:rsid w:val="00B01FE1"/>
    <w:rsid w:val="00B104AE"/>
    <w:rsid w:val="00B165E5"/>
    <w:rsid w:val="00B1685D"/>
    <w:rsid w:val="00B23CBC"/>
    <w:rsid w:val="00B253C2"/>
    <w:rsid w:val="00B257C0"/>
    <w:rsid w:val="00B4236A"/>
    <w:rsid w:val="00B43C2F"/>
    <w:rsid w:val="00B45143"/>
    <w:rsid w:val="00B80606"/>
    <w:rsid w:val="00B84DE6"/>
    <w:rsid w:val="00BB03AF"/>
    <w:rsid w:val="00BC59CD"/>
    <w:rsid w:val="00BD3825"/>
    <w:rsid w:val="00BE5003"/>
    <w:rsid w:val="00BF5E61"/>
    <w:rsid w:val="00C140FA"/>
    <w:rsid w:val="00C30F0E"/>
    <w:rsid w:val="00C46060"/>
    <w:rsid w:val="00C46CA1"/>
    <w:rsid w:val="00C4713D"/>
    <w:rsid w:val="00C47278"/>
    <w:rsid w:val="00C47F97"/>
    <w:rsid w:val="00C57D14"/>
    <w:rsid w:val="00C609FB"/>
    <w:rsid w:val="00C82E18"/>
    <w:rsid w:val="00C90AD8"/>
    <w:rsid w:val="00C94944"/>
    <w:rsid w:val="00C96C9A"/>
    <w:rsid w:val="00CA3B28"/>
    <w:rsid w:val="00CB1338"/>
    <w:rsid w:val="00CB137F"/>
    <w:rsid w:val="00CB48FC"/>
    <w:rsid w:val="00CB6D02"/>
    <w:rsid w:val="00CC131D"/>
    <w:rsid w:val="00CE1583"/>
    <w:rsid w:val="00CE1A9C"/>
    <w:rsid w:val="00CF4B63"/>
    <w:rsid w:val="00D262CE"/>
    <w:rsid w:val="00D27BFE"/>
    <w:rsid w:val="00D471A9"/>
    <w:rsid w:val="00D50D44"/>
    <w:rsid w:val="00D557AF"/>
    <w:rsid w:val="00D73432"/>
    <w:rsid w:val="00D9628D"/>
    <w:rsid w:val="00DA4CFE"/>
    <w:rsid w:val="00DA716F"/>
    <w:rsid w:val="00DB22C7"/>
    <w:rsid w:val="00DB55FC"/>
    <w:rsid w:val="00DC12FB"/>
    <w:rsid w:val="00DD5E88"/>
    <w:rsid w:val="00E04A18"/>
    <w:rsid w:val="00E110D8"/>
    <w:rsid w:val="00E123D4"/>
    <w:rsid w:val="00E33EDC"/>
    <w:rsid w:val="00E377D6"/>
    <w:rsid w:val="00E424C3"/>
    <w:rsid w:val="00E51CF2"/>
    <w:rsid w:val="00E55E0D"/>
    <w:rsid w:val="00E84992"/>
    <w:rsid w:val="00EC0595"/>
    <w:rsid w:val="00EE1A06"/>
    <w:rsid w:val="00EE4AD6"/>
    <w:rsid w:val="00EE7C10"/>
    <w:rsid w:val="00F06181"/>
    <w:rsid w:val="00F12759"/>
    <w:rsid w:val="00F15477"/>
    <w:rsid w:val="00F21202"/>
    <w:rsid w:val="00F329B0"/>
    <w:rsid w:val="00F40E6D"/>
    <w:rsid w:val="00F71425"/>
    <w:rsid w:val="00F9048C"/>
    <w:rsid w:val="00F94CB9"/>
    <w:rsid w:val="00FA08F4"/>
    <w:rsid w:val="00FC059F"/>
    <w:rsid w:val="00FD4869"/>
    <w:rsid w:val="00FE0989"/>
    <w:rsid w:val="00FE56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1D76F"/>
  <w15:docId w15:val="{E716F21A-2C97-4FC5-A16A-E6080427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basedOn w:val="DefaultParagraphFont"/>
    <w:unhideWhenUsed/>
    <w:rsid w:val="00B257C0"/>
    <w:rPr>
      <w:color w:val="0000FF" w:themeColor="hyperlink"/>
      <w:u w:val="single"/>
    </w:rPr>
  </w:style>
  <w:style w:type="character" w:customStyle="1" w:styleId="CallChar">
    <w:name w:val="Call Char"/>
    <w:basedOn w:val="DefaultParagraphFont"/>
    <w:link w:val="Call"/>
    <w:locked/>
    <w:rsid w:val="00B257C0"/>
    <w:rPr>
      <w:rFonts w:ascii="Times New Roman" w:hAnsi="Times New Roman"/>
      <w:i/>
      <w:sz w:val="24"/>
      <w:lang w:val="en-GB" w:eastAsia="en-US"/>
    </w:rPr>
  </w:style>
  <w:style w:type="paragraph" w:styleId="Revision">
    <w:name w:val="Revision"/>
    <w:hidden/>
    <w:uiPriority w:val="99"/>
    <w:semiHidden/>
    <w:rsid w:val="007E2B16"/>
    <w:rPr>
      <w:rFonts w:ascii="Times New Roman" w:hAnsi="Times New Roman"/>
      <w:sz w:val="24"/>
      <w:lang w:val="en-GB" w:eastAsia="en-US"/>
    </w:rPr>
  </w:style>
  <w:style w:type="character" w:styleId="CommentReference">
    <w:name w:val="annotation reference"/>
    <w:basedOn w:val="DefaultParagraphFont"/>
    <w:semiHidden/>
    <w:unhideWhenUsed/>
    <w:rsid w:val="003119A2"/>
    <w:rPr>
      <w:sz w:val="16"/>
      <w:szCs w:val="16"/>
    </w:rPr>
  </w:style>
  <w:style w:type="paragraph" w:styleId="CommentText">
    <w:name w:val="annotation text"/>
    <w:basedOn w:val="Normal"/>
    <w:link w:val="CommentTextChar"/>
    <w:unhideWhenUsed/>
    <w:rsid w:val="003119A2"/>
    <w:rPr>
      <w:sz w:val="20"/>
    </w:rPr>
  </w:style>
  <w:style w:type="character" w:customStyle="1" w:styleId="CommentTextChar">
    <w:name w:val="Comment Text Char"/>
    <w:basedOn w:val="DefaultParagraphFont"/>
    <w:link w:val="CommentText"/>
    <w:rsid w:val="003119A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3119A2"/>
    <w:rPr>
      <w:b/>
      <w:bCs/>
    </w:rPr>
  </w:style>
  <w:style w:type="character" w:customStyle="1" w:styleId="CommentSubjectChar">
    <w:name w:val="Comment Subject Char"/>
    <w:basedOn w:val="CommentTextChar"/>
    <w:link w:val="CommentSubject"/>
    <w:semiHidden/>
    <w:rsid w:val="003119A2"/>
    <w:rPr>
      <w:rFonts w:ascii="Times New Roman" w:hAnsi="Times New Roman"/>
      <w:b/>
      <w:bCs/>
      <w:lang w:val="en-GB" w:eastAsia="en-US"/>
    </w:rPr>
  </w:style>
  <w:style w:type="paragraph" w:styleId="ListParagraph">
    <w:name w:val="List Paragraph"/>
    <w:basedOn w:val="Normal"/>
    <w:uiPriority w:val="34"/>
    <w:qFormat/>
    <w:rsid w:val="00C90AD8"/>
    <w:pPr>
      <w:ind w:left="720"/>
      <w:contextualSpacing/>
    </w:pPr>
  </w:style>
  <w:style w:type="paragraph" w:styleId="BalloonText">
    <w:name w:val="Balloon Text"/>
    <w:basedOn w:val="Normal"/>
    <w:link w:val="BalloonTextChar"/>
    <w:semiHidden/>
    <w:unhideWhenUsed/>
    <w:rsid w:val="00F1275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12759"/>
    <w:rPr>
      <w:rFonts w:ascii="Segoe UI" w:hAnsi="Segoe UI" w:cs="Segoe UI"/>
      <w:sz w:val="18"/>
      <w:szCs w:val="18"/>
      <w:lang w:val="en-GB" w:eastAsia="en-US"/>
    </w:rPr>
  </w:style>
  <w:style w:type="character" w:styleId="FollowedHyperlink">
    <w:name w:val="FollowedHyperlink"/>
    <w:basedOn w:val="DefaultParagraphFont"/>
    <w:semiHidden/>
    <w:unhideWhenUsed/>
    <w:rsid w:val="003E39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unoos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20E%20-%20ITU\BR\PE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17A9E-54C7-4068-824B-84436D066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F4BDE-FC62-4CF0-8F93-4B35736D96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E07542-59DC-408F-9A29-8547723861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PE_RA23.dotx</Template>
  <TotalTime>8</TotalTime>
  <Pages>4</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ITU BR</dc:creator>
  <cp:keywords/>
  <dc:description/>
  <cp:lastModifiedBy>Gomez, Yoanni</cp:lastModifiedBy>
  <cp:revision>8</cp:revision>
  <cp:lastPrinted>2023-11-22T06:13:00Z</cp:lastPrinted>
  <dcterms:created xsi:type="dcterms:W3CDTF">2023-11-20T08:09:00Z</dcterms:created>
  <dcterms:modified xsi:type="dcterms:W3CDTF">2023-11-22T06:13:00Z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0x010100EE71E44D3260374C8AB15791486AF672</vt:lpwstr>
  </property>
  <property fmtid="{D5CDD505-2E9C-101B-9397-08002B2CF9AE}" pid="10" name="Order">
    <vt:r8>12200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