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51FDC" w14:textId="727E6AFB" w:rsidR="00487B85" w:rsidRPr="00D15F20" w:rsidRDefault="00487B85" w:rsidP="00D15F20">
      <w:pPr>
        <w:pStyle w:val="ResNo"/>
        <w:rPr>
          <w:rtl/>
        </w:rPr>
      </w:pPr>
      <w:r w:rsidRPr="00D15F20">
        <w:rPr>
          <w:rFonts w:hint="cs"/>
          <w:rtl/>
        </w:rPr>
        <w:t xml:space="preserve">القرار </w:t>
      </w:r>
      <w:r w:rsidR="00A7234E" w:rsidRPr="00D15F20">
        <w:t>ITU</w:t>
      </w:r>
      <w:r w:rsidR="00A7234E" w:rsidRPr="00D15F20">
        <w:noBreakHyphen/>
        <w:t>R </w:t>
      </w:r>
      <w:r w:rsidRPr="00D15F20">
        <w:t>74</w:t>
      </w:r>
    </w:p>
    <w:p w14:paraId="3E81DF95" w14:textId="4DF1ABA4" w:rsidR="00487B85" w:rsidRPr="00D15F20" w:rsidRDefault="00487B85" w:rsidP="00D15F20">
      <w:pPr>
        <w:pStyle w:val="Restitle"/>
        <w:rPr>
          <w:rtl/>
        </w:rPr>
      </w:pPr>
      <w:r w:rsidRPr="00D15F20">
        <w:rPr>
          <w:rtl/>
        </w:rPr>
        <w:t>الأنشطة المتعلقة بالاستعمال المستدام للموارد من طيف الترددات الراديوية ‏</w:t>
      </w:r>
      <w:r w:rsidRPr="00D15F20">
        <w:rPr>
          <w:cs/>
        </w:rPr>
        <w:t>‎</w:t>
      </w:r>
      <w:r w:rsidRPr="00D15F20">
        <w:rPr>
          <w:rtl/>
        </w:rPr>
        <w:t xml:space="preserve"> </w:t>
      </w:r>
      <w:r w:rsidRPr="00D15F20">
        <w:br/>
      </w:r>
      <w:r w:rsidRPr="00D15F20">
        <w:rPr>
          <w:rtl/>
        </w:rPr>
        <w:t>وما يرتبط به من مدارات ساتلية تستعملها الخدمات الفضائية</w:t>
      </w:r>
    </w:p>
    <w:p w14:paraId="3A54805A" w14:textId="0739A0A6" w:rsidR="00EE60E9" w:rsidRDefault="00487B85" w:rsidP="0026671B">
      <w:pPr>
        <w:pStyle w:val="Resdate"/>
      </w:pPr>
      <w:r>
        <w:rPr>
          <w:cs/>
        </w:rPr>
        <w:t>‎</w:t>
      </w:r>
      <w:r>
        <w:rPr>
          <w:rtl/>
        </w:rPr>
        <w:t>(2023)</w:t>
      </w:r>
      <w:r>
        <w:rPr>
          <w:cs/>
        </w:rPr>
        <w:t>‎</w:t>
      </w:r>
    </w:p>
    <w:p w14:paraId="760BD24C" w14:textId="77777777" w:rsidR="00487B85" w:rsidRPr="008612F1" w:rsidRDefault="00487B85" w:rsidP="00487B85">
      <w:pPr>
        <w:pStyle w:val="Normalaftertitle"/>
        <w:rPr>
          <w:rtl/>
        </w:rPr>
      </w:pPr>
      <w:r w:rsidRPr="00DA6164">
        <w:rPr>
          <w:rtl/>
        </w:rPr>
        <w:t>إن جمعية الاتصالات الراديوية</w:t>
      </w:r>
      <w:r w:rsidRPr="00DA6164">
        <w:t xml:space="preserve"> </w:t>
      </w:r>
      <w:r w:rsidRPr="00DA6164">
        <w:rPr>
          <w:rtl/>
          <w:lang w:bidi="ar-AE"/>
        </w:rPr>
        <w:t>للاتحاد الدولي للاتصالا</w:t>
      </w:r>
      <w:r>
        <w:rPr>
          <w:rFonts w:hint="cs"/>
          <w:rtl/>
          <w:lang w:bidi="ar-AE"/>
        </w:rPr>
        <w:t>ت،</w:t>
      </w:r>
    </w:p>
    <w:p w14:paraId="3E8FB3BB" w14:textId="77777777" w:rsidR="00487B85" w:rsidRPr="008612F1" w:rsidRDefault="00487B85" w:rsidP="00487B85">
      <w:pPr>
        <w:pStyle w:val="Call"/>
      </w:pPr>
      <w:r w:rsidRPr="00DA6164">
        <w:rPr>
          <w:rtl/>
        </w:rPr>
        <w:t>إذ تذكر</w:t>
      </w:r>
    </w:p>
    <w:p w14:paraId="29EEEC2B" w14:textId="77777777" w:rsidR="00487B85" w:rsidRPr="00DA6164" w:rsidRDefault="00487B85" w:rsidP="00487B85">
      <w:pPr>
        <w:rPr>
          <w:rtl/>
        </w:rPr>
      </w:pPr>
      <w:r w:rsidRPr="00DA6164">
        <w:rPr>
          <w:i/>
          <w:iCs/>
          <w:rtl/>
        </w:rPr>
        <w:t> أ )</w:t>
      </w:r>
      <w:r w:rsidRPr="00DA6164">
        <w:rPr>
          <w:rtl/>
        </w:rPr>
        <w:tab/>
        <w:t xml:space="preserve">بالقرار </w:t>
      </w:r>
      <w:r w:rsidRPr="00DA6164">
        <w:t>219</w:t>
      </w:r>
      <w:r w:rsidRPr="00DA6164">
        <w:rPr>
          <w:rtl/>
        </w:rPr>
        <w:t xml:space="preserve"> (بوخارست، 2022) لمؤتمر المندوبين المفوَّضين</w:t>
      </w:r>
      <w:r>
        <w:rPr>
          <w:rFonts w:hint="cs"/>
          <w:rtl/>
        </w:rPr>
        <w:t>،</w:t>
      </w:r>
      <w:r w:rsidRPr="00DA6164">
        <w:rPr>
          <w:rtl/>
        </w:rPr>
        <w:t xml:space="preserve"> بشأن استدامة طيف الترددات الراديوية وما</w:t>
      </w:r>
      <w:r>
        <w:rPr>
          <w:rFonts w:hint="cs"/>
          <w:rtl/>
        </w:rPr>
        <w:t> </w:t>
      </w:r>
      <w:r w:rsidRPr="00DA6164">
        <w:rPr>
          <w:rtl/>
        </w:rPr>
        <w:t>يرتبط به من موارد المدارات الساتلية المستخدَمة مِن قِبل الخدمات الفضائية؛</w:t>
      </w:r>
    </w:p>
    <w:p w14:paraId="4DE7024A" w14:textId="77777777" w:rsidR="00487B85" w:rsidRDefault="00487B85" w:rsidP="00487B85">
      <w:pPr>
        <w:rPr>
          <w:rtl/>
          <w:lang w:bidi="ar-EG"/>
        </w:rPr>
      </w:pPr>
      <w:r w:rsidRPr="00DA6164">
        <w:rPr>
          <w:i/>
          <w:iCs/>
          <w:rtl/>
        </w:rPr>
        <w:t>ب)</w:t>
      </w:r>
      <w:r w:rsidRPr="00DA6164">
        <w:rPr>
          <w:rtl/>
        </w:rPr>
        <w:tab/>
        <w:t>بالقرار 218 (بوخارست، 2022) لمؤتمر المندوبين المفوَّضين</w:t>
      </w:r>
      <w:r>
        <w:rPr>
          <w:rFonts w:hint="cs"/>
          <w:rtl/>
        </w:rPr>
        <w:t>،</w:t>
      </w:r>
      <w:r w:rsidRPr="00DA6164">
        <w:rPr>
          <w:rtl/>
        </w:rPr>
        <w:t xml:space="preserve"> بشأن دور الاتحاد الدولي للاتصالات في تنفيذ خطة "الفضاء 2030": الفضاء باعتباره محركاً للتنمية المستدامة وفي عملية متابعة تنفيذها </w:t>
      </w:r>
      <w:r w:rsidRPr="000467AB">
        <w:rPr>
          <w:rFonts w:hint="cs"/>
          <w:rtl/>
        </w:rPr>
        <w:t>واستعراضها</w:t>
      </w:r>
      <w:r>
        <w:rPr>
          <w:rFonts w:hint="cs"/>
          <w:rtl/>
          <w:lang w:bidi="ar-EG"/>
        </w:rPr>
        <w:t>،</w:t>
      </w:r>
    </w:p>
    <w:p w14:paraId="324FB477" w14:textId="77777777" w:rsidR="00487B85" w:rsidRPr="008612F1" w:rsidRDefault="00487B85" w:rsidP="00487B85">
      <w:pPr>
        <w:pStyle w:val="Call"/>
        <w:rPr>
          <w:rtl/>
        </w:rPr>
      </w:pPr>
      <w:r w:rsidRPr="00072A08">
        <w:rPr>
          <w:rFonts w:hint="cs"/>
          <w:rtl/>
          <w:lang w:bidi="ar-EG"/>
        </w:rPr>
        <w:t>وإذ تضع في اعتبارها</w:t>
      </w:r>
    </w:p>
    <w:p w14:paraId="36CAFC11" w14:textId="235E9458" w:rsidR="00487B85" w:rsidRDefault="00487B85" w:rsidP="00487B85">
      <w:pPr>
        <w:rPr>
          <w:spacing w:val="-2"/>
          <w:rtl/>
          <w:lang w:val="en-GB" w:bidi="ar-SY"/>
        </w:rPr>
      </w:pPr>
      <w:r>
        <w:rPr>
          <w:rFonts w:hint="cs"/>
          <w:i/>
          <w:iCs/>
          <w:spacing w:val="6"/>
          <w:rtl/>
        </w:rPr>
        <w:t xml:space="preserve"> </w:t>
      </w:r>
      <w:r w:rsidRPr="00BE65DF">
        <w:rPr>
          <w:rFonts w:hint="cs"/>
          <w:i/>
          <w:iCs/>
          <w:spacing w:val="6"/>
          <w:rtl/>
        </w:rPr>
        <w:t xml:space="preserve">أ </w:t>
      </w:r>
      <w:r w:rsidRPr="00BE65DF">
        <w:rPr>
          <w:i/>
          <w:iCs/>
          <w:spacing w:val="6"/>
          <w:rtl/>
        </w:rPr>
        <w:t>)</w:t>
      </w:r>
      <w:r w:rsidRPr="00BE65DF">
        <w:rPr>
          <w:spacing w:val="6"/>
          <w:rtl/>
        </w:rPr>
        <w:tab/>
      </w:r>
      <w:r w:rsidRPr="00BE65DF">
        <w:rPr>
          <w:spacing w:val="-2"/>
          <w:rtl/>
        </w:rPr>
        <w:t xml:space="preserve">أن التكنولوجيات التي تستعملها على السواء أنظمة الخدمة الثابتة الساتلية </w:t>
      </w:r>
      <w:r w:rsidRPr="00BE65DF">
        <w:rPr>
          <w:spacing w:val="-2"/>
          <w:lang w:val="en-GB" w:bidi="ar-EG"/>
        </w:rPr>
        <w:t>(FSS)</w:t>
      </w:r>
      <w:r w:rsidRPr="00BE65DF">
        <w:rPr>
          <w:rFonts w:hint="cs"/>
          <w:spacing w:val="-2"/>
          <w:rtl/>
        </w:rPr>
        <w:t xml:space="preserve"> </w:t>
      </w:r>
      <w:r w:rsidRPr="00BE65DF">
        <w:rPr>
          <w:spacing w:val="-2"/>
          <w:rtl/>
        </w:rPr>
        <w:t>غير المستقرة بالنسبة إلى الأرض</w:t>
      </w:r>
      <w:r w:rsidR="003431F2">
        <w:rPr>
          <w:rFonts w:hint="cs"/>
          <w:spacing w:val="-2"/>
          <w:rtl/>
        </w:rPr>
        <w:t> </w:t>
      </w:r>
      <w:r w:rsidR="00403E5B" w:rsidRPr="00BE65DF">
        <w:rPr>
          <w:spacing w:val="-2"/>
        </w:rPr>
        <w:t>(</w:t>
      </w:r>
      <w:r w:rsidR="00D8707A" w:rsidRPr="00BE65DF">
        <w:rPr>
          <w:spacing w:val="-2"/>
        </w:rPr>
        <w:t>non-</w:t>
      </w:r>
      <w:r w:rsidR="00403E5B" w:rsidRPr="00BE65DF">
        <w:rPr>
          <w:spacing w:val="-2"/>
        </w:rPr>
        <w:t>GSO)</w:t>
      </w:r>
      <w:r w:rsidR="00B723AA" w:rsidRPr="00BE65DF">
        <w:rPr>
          <w:rFonts w:hint="cs"/>
          <w:spacing w:val="-2"/>
          <w:rtl/>
          <w:lang w:bidi="ar-EG"/>
        </w:rPr>
        <w:t xml:space="preserve"> </w:t>
      </w:r>
      <w:r w:rsidRPr="00BE65DF">
        <w:rPr>
          <w:spacing w:val="-2"/>
          <w:rtl/>
        </w:rPr>
        <w:t>وشبكات الخدمة الثابتة الساتلية والخدمة الإذاعية الساتلية المستقرة بالنسبة إلى الأرض</w:t>
      </w:r>
      <w:r w:rsidR="00B723AA" w:rsidRPr="00BE65DF">
        <w:rPr>
          <w:rFonts w:hint="cs"/>
          <w:spacing w:val="-2"/>
          <w:rtl/>
        </w:rPr>
        <w:t xml:space="preserve"> </w:t>
      </w:r>
      <w:r w:rsidR="00B723AA" w:rsidRPr="00BE65DF">
        <w:rPr>
          <w:spacing w:val="-2"/>
        </w:rPr>
        <w:t>(GSO)</w:t>
      </w:r>
      <w:r w:rsidRPr="00BE65DF">
        <w:rPr>
          <w:spacing w:val="-2"/>
          <w:rtl/>
        </w:rPr>
        <w:t xml:space="preserve"> آخذة في</w:t>
      </w:r>
      <w:r w:rsidR="00F9363D">
        <w:rPr>
          <w:rFonts w:hint="cs"/>
          <w:spacing w:val="-2"/>
          <w:rtl/>
        </w:rPr>
        <w:t> </w:t>
      </w:r>
      <w:r w:rsidRPr="00BE65DF">
        <w:rPr>
          <w:spacing w:val="-2"/>
          <w:rtl/>
        </w:rPr>
        <w:t>التطوُّر</w:t>
      </w:r>
      <w:r w:rsidRPr="00BE65DF">
        <w:rPr>
          <w:rFonts w:hint="cs"/>
          <w:spacing w:val="-2"/>
          <w:rtl/>
        </w:rPr>
        <w:t xml:space="preserve"> بسرعة</w:t>
      </w:r>
      <w:r w:rsidRPr="00BE65DF">
        <w:rPr>
          <w:spacing w:val="-2"/>
          <w:rtl/>
        </w:rPr>
        <w:t xml:space="preserve">، </w:t>
      </w:r>
      <w:r w:rsidRPr="00BE65DF">
        <w:rPr>
          <w:rFonts w:hint="cs"/>
          <w:spacing w:val="-2"/>
          <w:rtl/>
        </w:rPr>
        <w:t>وبالتالي يلزم</w:t>
      </w:r>
      <w:r w:rsidRPr="00BE65DF">
        <w:rPr>
          <w:spacing w:val="-2"/>
          <w:rtl/>
        </w:rPr>
        <w:t xml:space="preserve"> تحديث التوصيات والتقارير الصادرة عن قطاع الاتصالات الراديوية</w:t>
      </w:r>
      <w:r w:rsidRPr="00BE65DF">
        <w:rPr>
          <w:rFonts w:hint="cs"/>
          <w:spacing w:val="-2"/>
          <w:rtl/>
        </w:rPr>
        <w:t xml:space="preserve"> </w:t>
      </w:r>
      <w:r w:rsidRPr="00BE65DF">
        <w:rPr>
          <w:spacing w:val="-2"/>
          <w:lang w:val="en-GB" w:bidi="ar-EG"/>
        </w:rPr>
        <w:t>(ITU-R)</w:t>
      </w:r>
      <w:r w:rsidRPr="00BE65DF">
        <w:rPr>
          <w:spacing w:val="-2"/>
          <w:rtl/>
        </w:rPr>
        <w:t xml:space="preserve"> بما يبيّن الطبيعة المتغيرة لخصائص وعمليات مثل هذه الأنظمة والشبكات</w:t>
      </w:r>
      <w:r w:rsidRPr="00BE65DF">
        <w:rPr>
          <w:spacing w:val="-2"/>
          <w:rtl/>
          <w:lang w:val="en-GB" w:bidi="ar-AE"/>
        </w:rPr>
        <w:t>؛</w:t>
      </w:r>
    </w:p>
    <w:p w14:paraId="2434F2EA" w14:textId="0E2F6B89" w:rsidR="00487B85" w:rsidRDefault="00487B85" w:rsidP="00487B85">
      <w:pPr>
        <w:rPr>
          <w:spacing w:val="6"/>
          <w:rtl/>
          <w:lang w:bidi="ar-EG"/>
        </w:rPr>
      </w:pPr>
      <w:r w:rsidRPr="00DA6164">
        <w:rPr>
          <w:i/>
          <w:iCs/>
          <w:rtl/>
        </w:rPr>
        <w:t>ب)</w:t>
      </w:r>
      <w:r w:rsidRPr="00DA6164">
        <w:rPr>
          <w:rtl/>
        </w:rPr>
        <w:tab/>
      </w:r>
      <w:r w:rsidRPr="00DA6164">
        <w:rPr>
          <w:rtl/>
          <w:lang w:bidi="ar-SY"/>
        </w:rPr>
        <w:t>أن</w:t>
      </w:r>
      <w:r w:rsidRPr="00DA6164">
        <w:rPr>
          <w:rtl/>
          <w:lang w:bidi="ar-EG"/>
        </w:rPr>
        <w:t xml:space="preserve"> </w:t>
      </w:r>
      <w:r w:rsidRPr="00DA6164">
        <w:rPr>
          <w:rtl/>
          <w:lang w:bidi="ar-SY"/>
        </w:rPr>
        <w:t>باستطاعة</w:t>
      </w:r>
      <w:r w:rsidRPr="00DA6164">
        <w:rPr>
          <w:rtl/>
          <w:lang w:bidi="ar-EG"/>
        </w:rPr>
        <w:t xml:space="preserve"> الدول الأعضاء أن تزيل سواتلها من المدار عند انتهاء </w:t>
      </w:r>
      <w:r>
        <w:rPr>
          <w:rFonts w:hint="cs"/>
          <w:rtl/>
          <w:lang w:bidi="ar-EG"/>
        </w:rPr>
        <w:t xml:space="preserve">أعمارها </w:t>
      </w:r>
      <w:r w:rsidRPr="00DA6164">
        <w:rPr>
          <w:rtl/>
          <w:lang w:bidi="ar-EG"/>
        </w:rPr>
        <w:t>التشغيلي</w:t>
      </w:r>
      <w:r>
        <w:rPr>
          <w:rFonts w:hint="cs"/>
          <w:rtl/>
          <w:lang w:bidi="ar-EG"/>
        </w:rPr>
        <w:t>ة،</w:t>
      </w:r>
      <w:r w:rsidRPr="00DA6164">
        <w:rPr>
          <w:rtl/>
          <w:lang w:bidi="ar-EG"/>
        </w:rPr>
        <w:t xml:space="preserve"> وو</w:t>
      </w:r>
      <w:r>
        <w:rPr>
          <w:rFonts w:hint="cs"/>
          <w:rtl/>
          <w:lang w:bidi="ar-EG"/>
        </w:rPr>
        <w:t>َ</w:t>
      </w:r>
      <w:r w:rsidRPr="00DA6164">
        <w:rPr>
          <w:rtl/>
          <w:lang w:bidi="ar-EG"/>
        </w:rPr>
        <w:t>ض</w:t>
      </w:r>
      <w:r>
        <w:rPr>
          <w:rFonts w:hint="cs"/>
          <w:rtl/>
          <w:lang w:bidi="ar-EG"/>
        </w:rPr>
        <w:t>ْ</w:t>
      </w:r>
      <w:r w:rsidRPr="00DA6164">
        <w:rPr>
          <w:rtl/>
          <w:lang w:bidi="ar-EG"/>
        </w:rPr>
        <w:t>ع معايير ومنهجيات، بما في ذلك تقاسُم البيانات</w:t>
      </w:r>
      <w:r>
        <w:rPr>
          <w:rFonts w:hint="cs"/>
          <w:rtl/>
          <w:lang w:bidi="ar-EG"/>
        </w:rPr>
        <w:t>،</w:t>
      </w:r>
      <w:r w:rsidRPr="00DA6164">
        <w:rPr>
          <w:rtl/>
          <w:lang w:bidi="ar-EG"/>
        </w:rPr>
        <w:t xml:space="preserve"> لتيسير تنسيق الترددات والاستخدام المتوافق للأنظمة الساتلية</w:t>
      </w:r>
      <w:r w:rsidR="00D615C0">
        <w:rPr>
          <w:rFonts w:hint="cs"/>
          <w:rtl/>
          <w:lang w:bidi="ar-EG"/>
        </w:rPr>
        <w:t>؛</w:t>
      </w:r>
      <w:r w:rsidRPr="00DA6164">
        <w:rPr>
          <w:rtl/>
          <w:lang w:bidi="ar-EG"/>
        </w:rPr>
        <w:t xml:space="preserve"> </w:t>
      </w:r>
      <w:r>
        <w:rPr>
          <w:rFonts w:hint="cs"/>
          <w:rtl/>
          <w:lang w:bidi="ar-EG"/>
        </w:rPr>
        <w:t>وعلاوةً على ذلك، بإمكان</w:t>
      </w:r>
      <w:r w:rsidRPr="00DA6164">
        <w:rPr>
          <w:rtl/>
          <w:lang w:bidi="ar-EG"/>
        </w:rPr>
        <w:t xml:space="preserve"> الدول الأعضاء </w:t>
      </w:r>
      <w:r>
        <w:rPr>
          <w:rFonts w:hint="cs"/>
          <w:rtl/>
          <w:lang w:bidi="ar-EG"/>
        </w:rPr>
        <w:t xml:space="preserve">أن تقدّم </w:t>
      </w:r>
      <w:r w:rsidRPr="00DA6164">
        <w:rPr>
          <w:rtl/>
          <w:lang w:bidi="ar-EG"/>
        </w:rPr>
        <w:t xml:space="preserve">مساهمات إلى لجان الدراسات ذات الصلة </w:t>
      </w:r>
      <w:r>
        <w:rPr>
          <w:rFonts w:hint="cs"/>
          <w:rtl/>
          <w:lang w:bidi="ar-EG"/>
        </w:rPr>
        <w:t>لاستهلال</w:t>
      </w:r>
      <w:r w:rsidRPr="00DA6164">
        <w:rPr>
          <w:rtl/>
          <w:lang w:bidi="ar-EG"/>
        </w:rPr>
        <w:t xml:space="preserve"> أو مواصلة دراسات قطاع </w:t>
      </w:r>
      <w:r>
        <w:rPr>
          <w:rFonts w:hint="cs"/>
          <w:rtl/>
          <w:lang w:bidi="ar-EG"/>
        </w:rPr>
        <w:t xml:space="preserve">الاتصالات الراديوية </w:t>
      </w:r>
      <w:r w:rsidRPr="00DA6164">
        <w:rPr>
          <w:rtl/>
          <w:lang w:bidi="ar-EG"/>
        </w:rPr>
        <w:t xml:space="preserve">من أجل إعداد توصيات تدعم استدامة </w:t>
      </w:r>
      <w:r>
        <w:rPr>
          <w:rFonts w:hint="cs"/>
          <w:rtl/>
          <w:lang w:bidi="ar-EG"/>
        </w:rPr>
        <w:t>الموارد من طيف الترددات الراديوية وما يرتبط به من مدارات ساتلية</w:t>
      </w:r>
      <w:r w:rsidRPr="00DA6164">
        <w:rPr>
          <w:rtl/>
          <w:lang w:bidi="ar-EG"/>
        </w:rPr>
        <w:t xml:space="preserve"> </w:t>
      </w:r>
      <w:r>
        <w:rPr>
          <w:rFonts w:hint="cs"/>
          <w:rtl/>
          <w:lang w:bidi="ar-EG"/>
        </w:rPr>
        <w:t>على</w:t>
      </w:r>
      <w:r w:rsidRPr="00DA6164">
        <w:rPr>
          <w:rtl/>
          <w:lang w:bidi="ar-EG"/>
        </w:rPr>
        <w:t xml:space="preserve"> المدى الطويل؛</w:t>
      </w:r>
    </w:p>
    <w:p w14:paraId="1E57D393" w14:textId="77777777" w:rsidR="00487B85" w:rsidRDefault="00487B85" w:rsidP="00487B85">
      <w:pPr>
        <w:rPr>
          <w:rtl/>
        </w:rPr>
      </w:pPr>
      <w:r>
        <w:rPr>
          <w:rFonts w:hint="cs"/>
          <w:i/>
          <w:iCs/>
          <w:rtl/>
        </w:rPr>
        <w:t>ج</w:t>
      </w:r>
      <w:r w:rsidRPr="00DA6164">
        <w:rPr>
          <w:i/>
          <w:iCs/>
          <w:rtl/>
        </w:rPr>
        <w:t>)</w:t>
      </w:r>
      <w:r w:rsidRPr="00DA6164">
        <w:rPr>
          <w:rtl/>
        </w:rPr>
        <w:tab/>
      </w:r>
      <w:r>
        <w:rPr>
          <w:rtl/>
        </w:rPr>
        <w:t xml:space="preserve">تطوير تكنولوجيات جديدة لتقديم الخدمات في المدار </w:t>
      </w:r>
      <w:r>
        <w:rPr>
          <w:rtl/>
          <w:lang w:val="de-CH" w:bidi="ar-SY"/>
        </w:rPr>
        <w:t>(</w:t>
      </w:r>
      <w:r>
        <w:rPr>
          <w:lang w:val="de-CH" w:bidi="ar-SY"/>
        </w:rPr>
        <w:t>IOS</w:t>
      </w:r>
      <w:r>
        <w:rPr>
          <w:rtl/>
          <w:lang w:val="de-CH" w:bidi="ar-SY"/>
        </w:rPr>
        <w:t>)</w:t>
      </w:r>
      <w:r>
        <w:rPr>
          <w:rtl/>
          <w:lang w:val="fr-CH" w:bidi="ar-SY"/>
        </w:rPr>
        <w:t xml:space="preserve"> </w:t>
      </w:r>
      <w:r>
        <w:rPr>
          <w:rtl/>
        </w:rPr>
        <w:t>للمركبات الفضائية المخصصة لخدمات الاتصالات الراديوية الفضائية، بما في ذلك الإزالة النشطة للحطام الفضائي</w:t>
      </w:r>
      <w:r>
        <w:rPr>
          <w:rFonts w:hint="cs"/>
          <w:rtl/>
        </w:rPr>
        <w:t>؛</w:t>
      </w:r>
    </w:p>
    <w:p w14:paraId="2A5C7CB4" w14:textId="23DA1E10" w:rsidR="00487B85" w:rsidRDefault="00487B85" w:rsidP="00487B85">
      <w:pPr>
        <w:rPr>
          <w:rtl/>
        </w:rPr>
      </w:pPr>
      <w:r>
        <w:rPr>
          <w:rFonts w:hint="cs"/>
          <w:i/>
          <w:iCs/>
          <w:rtl/>
        </w:rPr>
        <w:t xml:space="preserve">د </w:t>
      </w:r>
      <w:r w:rsidRPr="00DA6164">
        <w:rPr>
          <w:i/>
          <w:iCs/>
          <w:rtl/>
        </w:rPr>
        <w:t>)</w:t>
      </w:r>
      <w:r w:rsidRPr="00DA6164">
        <w:rPr>
          <w:rtl/>
        </w:rPr>
        <w:tab/>
      </w:r>
      <w:r w:rsidR="00A93DD0">
        <w:rPr>
          <w:rFonts w:hint="cs"/>
          <w:rtl/>
          <w:lang w:bidi="ar-EG"/>
        </w:rPr>
        <w:t>أن</w:t>
      </w:r>
      <w:r w:rsidR="00A93DD0" w:rsidRPr="004E48F5">
        <w:rPr>
          <w:rFonts w:hint="cs"/>
          <w:rtl/>
          <w:lang w:bidi="ar-EG"/>
        </w:rPr>
        <w:t xml:space="preserve"> </w:t>
      </w:r>
      <w:r w:rsidR="00135CFB">
        <w:rPr>
          <w:rFonts w:hint="cs"/>
          <w:rtl/>
          <w:lang w:bidi="ar-EG"/>
        </w:rPr>
        <w:t xml:space="preserve">موارد </w:t>
      </w:r>
      <w:r w:rsidRPr="004E48F5">
        <w:rPr>
          <w:rFonts w:hint="cs"/>
          <w:rtl/>
          <w:lang w:bidi="ar-EG"/>
        </w:rPr>
        <w:t xml:space="preserve">طيف الترددات الراديوية المتاح والموارد المدارية المرتبطة به </w:t>
      </w:r>
      <w:r w:rsidR="00135CFB">
        <w:rPr>
          <w:rFonts w:hint="cs"/>
          <w:rtl/>
          <w:lang w:bidi="ar-EG"/>
        </w:rPr>
        <w:t>هي موارد محدودة</w:t>
      </w:r>
      <w:r w:rsidR="00135CFB" w:rsidRPr="004E48F5">
        <w:rPr>
          <w:rFonts w:hint="cs"/>
          <w:rtl/>
          <w:lang w:bidi="ar-EG"/>
        </w:rPr>
        <w:t xml:space="preserve"> </w:t>
      </w:r>
      <w:r w:rsidRPr="004E48F5">
        <w:rPr>
          <w:rFonts w:hint="cs"/>
          <w:rtl/>
          <w:lang w:bidi="ar-EG"/>
        </w:rPr>
        <w:t>يجب تقاسمها بين جميع</w:t>
      </w:r>
      <w:r w:rsidR="00135CFB">
        <w:rPr>
          <w:rFonts w:hint="cs"/>
          <w:rtl/>
          <w:lang w:bidi="ar-EG"/>
        </w:rPr>
        <w:t xml:space="preserve"> </w:t>
      </w:r>
      <w:r w:rsidR="00A93DD0">
        <w:rPr>
          <w:rFonts w:hint="cs"/>
          <w:rtl/>
          <w:lang w:bidi="ar-EG"/>
        </w:rPr>
        <w:t>البلدان</w:t>
      </w:r>
      <w:r>
        <w:rPr>
          <w:rFonts w:hint="cs"/>
          <w:rtl/>
        </w:rPr>
        <w:t>؛</w:t>
      </w:r>
    </w:p>
    <w:p w14:paraId="3928D81D" w14:textId="5D34D924" w:rsidR="00D15F20" w:rsidRDefault="00487B85" w:rsidP="00487B85">
      <w:pPr>
        <w:rPr>
          <w:rFonts w:eastAsia="SimSun"/>
          <w:rtl/>
          <w:lang w:eastAsia="zh-CN"/>
        </w:rPr>
      </w:pPr>
      <w:r>
        <w:rPr>
          <w:rFonts w:hint="cs"/>
          <w:i/>
          <w:iCs/>
          <w:rtl/>
        </w:rPr>
        <w:t xml:space="preserve">هـ </w:t>
      </w:r>
      <w:r w:rsidRPr="00DA6164">
        <w:rPr>
          <w:i/>
          <w:iCs/>
          <w:rtl/>
        </w:rPr>
        <w:t>)</w:t>
      </w:r>
      <w:r w:rsidRPr="00DA6164">
        <w:rPr>
          <w:rtl/>
        </w:rPr>
        <w:tab/>
      </w:r>
      <w:r>
        <w:rPr>
          <w:rFonts w:eastAsia="SimSun"/>
          <w:rtl/>
          <w:lang w:eastAsia="zh-CN"/>
        </w:rPr>
        <w:t>أهمية النظر في الاستدامة الفضائية على المدى الطويل عند صياغة السياسات والإجراءات اللازمة لكفاءة استخدام الموارد من طيف الترددات الراديوية والمدارات الساتلية</w:t>
      </w:r>
      <w:r>
        <w:rPr>
          <w:rFonts w:eastAsia="SimSun" w:hint="cs"/>
          <w:rtl/>
          <w:lang w:eastAsia="zh-CN"/>
        </w:rPr>
        <w:t>،</w:t>
      </w:r>
    </w:p>
    <w:p w14:paraId="2750AE20" w14:textId="048DF713" w:rsidR="00D15F20" w:rsidRDefault="00D15F20" w:rsidP="00D15F20">
      <w:pPr>
        <w:rPr>
          <w:rtl/>
          <w:lang w:bidi="ar-SY"/>
        </w:rPr>
      </w:pPr>
      <w:r>
        <w:rPr>
          <w:rtl/>
          <w:lang w:bidi="ar-SY"/>
        </w:rPr>
        <w:br w:type="page"/>
      </w:r>
    </w:p>
    <w:p w14:paraId="6EF79864" w14:textId="77777777" w:rsidR="00487B85" w:rsidRPr="008612F1" w:rsidRDefault="00487B85" w:rsidP="00487B85">
      <w:pPr>
        <w:pStyle w:val="Call"/>
        <w:rPr>
          <w:rtl/>
        </w:rPr>
      </w:pPr>
      <w:r w:rsidRPr="00DA6164">
        <w:rPr>
          <w:rtl/>
          <w:lang w:bidi="ar-SY"/>
        </w:rPr>
        <w:lastRenderedPageBreak/>
        <w:t>وإذ تدرك</w:t>
      </w:r>
    </w:p>
    <w:p w14:paraId="2B9E1596" w14:textId="77777777" w:rsidR="00487B85" w:rsidRPr="00DA6164" w:rsidRDefault="00487B85" w:rsidP="00487B85">
      <w:pPr>
        <w:rPr>
          <w:rtl/>
        </w:rPr>
      </w:pPr>
      <w:r w:rsidRPr="002E7E71">
        <w:rPr>
          <w:i/>
          <w:iCs/>
          <w:rtl/>
          <w:lang w:bidi="ar-SY"/>
        </w:rPr>
        <w:t> أ )</w:t>
      </w:r>
      <w:r w:rsidRPr="00DA6164">
        <w:rPr>
          <w:rtl/>
          <w:lang w:bidi="ar-SY"/>
        </w:rPr>
        <w:tab/>
        <w:t>أن الرقم 78 من دستور الاتحاد (المادة 12)</w:t>
      </w:r>
      <w:r w:rsidRPr="00DA6164">
        <w:rPr>
          <w:rtl/>
        </w:rPr>
        <w:t xml:space="preserve"> بشأن وظائف وهيكل قطاع الاتصالات الراديوية، قد نصّ على أنه "</w:t>
      </w:r>
      <w:r w:rsidRPr="00A07842">
        <w:rPr>
          <w:i/>
          <w:iCs/>
          <w:rtl/>
        </w:rPr>
        <w:t>تتمثل وظائف قطاع الاتصالات الراديوية في الوفاء بأهداف الاتحاد المتعلقة بالاتصالات الراديوية كما تنص عليها المادة </w:t>
      </w:r>
      <w:r w:rsidRPr="00A07842">
        <w:rPr>
          <w:i/>
          <w:iCs/>
        </w:rPr>
        <w:t>1</w:t>
      </w:r>
      <w:r w:rsidRPr="00A07842">
        <w:rPr>
          <w:i/>
          <w:iCs/>
          <w:rtl/>
        </w:rPr>
        <w:t xml:space="preserve"> من هذا الدستور، مع مراعاة الاعتبارات الخاصة بالبلدان النامية، وذلك: </w:t>
      </w:r>
      <w:r w:rsidRPr="00A07842">
        <w:rPr>
          <w:i/>
          <w:iCs/>
          <w:spacing w:val="-4"/>
          <w:rtl/>
        </w:rPr>
        <w:t>بتأمين الترشيد والإنصاف والفعالية والاقتصاد في استعمال جميع خدمات الاتصالات الراديوية لطيف الترددات الراديوية، بما فيها الخدمات التي تستعمل مدار السواتل المستقرة بالنسبة إلى الأرض أو المدارات الساتلية الأخرى، رهناً بأحكام المادة </w:t>
      </w:r>
      <w:r w:rsidRPr="00A07842">
        <w:rPr>
          <w:i/>
          <w:iCs/>
          <w:spacing w:val="-4"/>
        </w:rPr>
        <w:t>44</w:t>
      </w:r>
      <w:r w:rsidRPr="00A07842">
        <w:rPr>
          <w:i/>
          <w:iCs/>
          <w:spacing w:val="-4"/>
          <w:rtl/>
        </w:rPr>
        <w:t xml:space="preserve"> من هذا الدستور، </w:t>
      </w:r>
      <w:r w:rsidRPr="000467AB">
        <w:rPr>
          <w:rFonts w:hint="cs"/>
          <w:i/>
          <w:iCs/>
          <w:spacing w:val="-4"/>
          <w:rtl/>
        </w:rPr>
        <w:t>و</w:t>
      </w:r>
      <w:r w:rsidRPr="00A07842">
        <w:rPr>
          <w:i/>
          <w:iCs/>
          <w:spacing w:val="-6"/>
          <w:rtl/>
        </w:rPr>
        <w:t>بإجراء دراسات من دون تحديد لمدى الترددات، وباعتماد توصيات تتعلق بالاتصالات الراديوية</w:t>
      </w:r>
      <w:r w:rsidRPr="00DA6164">
        <w:rPr>
          <w:spacing w:val="-6"/>
          <w:rtl/>
        </w:rPr>
        <w:t>"؛</w:t>
      </w:r>
    </w:p>
    <w:p w14:paraId="6AAEECA3" w14:textId="76357FD3" w:rsidR="00487B85" w:rsidRPr="00DA6164" w:rsidRDefault="00487B85" w:rsidP="00487B85">
      <w:pPr>
        <w:rPr>
          <w:rtl/>
        </w:rPr>
      </w:pPr>
      <w:r w:rsidRPr="00D8707A">
        <w:rPr>
          <w:i/>
          <w:iCs/>
          <w:rtl/>
        </w:rPr>
        <w:t>ب)</w:t>
      </w:r>
      <w:r w:rsidRPr="00D8707A">
        <w:rPr>
          <w:rtl/>
        </w:rPr>
        <w:tab/>
        <w:t xml:space="preserve">أن الرقم 196 من </w:t>
      </w:r>
      <w:r w:rsidR="00D8707A">
        <w:rPr>
          <w:rFonts w:hint="cs"/>
          <w:rtl/>
        </w:rPr>
        <w:t>ال</w:t>
      </w:r>
      <w:r w:rsidRPr="00D8707A">
        <w:rPr>
          <w:rtl/>
        </w:rPr>
        <w:t>دستور (المادة 44) بشأن استعمال طيف الترددات الراديوية و</w:t>
      </w:r>
      <w:r w:rsidRPr="00D8707A">
        <w:rPr>
          <w:rFonts w:hint="cs"/>
          <w:rtl/>
        </w:rPr>
        <w:t xml:space="preserve">مدار </w:t>
      </w:r>
      <w:r w:rsidRPr="00D8707A">
        <w:rPr>
          <w:rtl/>
        </w:rPr>
        <w:t>السواتل المستقرة بالنسبة إلى الأرض والمدارات الساتلية الأخرى قد نصّ</w:t>
      </w:r>
      <w:r w:rsidR="00015A76" w:rsidRPr="00D8707A">
        <w:rPr>
          <w:rFonts w:hint="cs"/>
          <w:rtl/>
          <w:lang w:bidi="ar-EG"/>
        </w:rPr>
        <w:t xml:space="preserve"> على</w:t>
      </w:r>
      <w:r w:rsidRPr="00D8707A">
        <w:rPr>
          <w:rtl/>
        </w:rPr>
        <w:t xml:space="preserve"> "</w:t>
      </w:r>
      <w:r w:rsidRPr="00D8707A">
        <w:rPr>
          <w:i/>
          <w:iCs/>
          <w:rtl/>
        </w:rPr>
        <w:t>أن الترددات الراديوية والمدارات المصاحبة لها بما فيها مدار السواتل المستقرة بالنسبة إلى الأرض هي موارد طبيعية محدودة، يجب استعمالها استعمالاً رشيداً وفعالاً واقتصادياً طبقاً لأحكام لوائح الراديو، ليتسنى لمختلف البلدان أو لمجموعات البلدان س</w:t>
      </w:r>
      <w:r w:rsidRPr="00D8707A">
        <w:rPr>
          <w:rFonts w:hint="cs"/>
          <w:i/>
          <w:iCs/>
          <w:rtl/>
        </w:rPr>
        <w:t>ُ</w:t>
      </w:r>
      <w:r w:rsidRPr="00D8707A">
        <w:rPr>
          <w:i/>
          <w:iCs/>
          <w:rtl/>
        </w:rPr>
        <w:t>بل النفاذ المُنصِف إلى هذه المدارات والترددات، مع مراعاة الاحتياجات الخاصة للبلدان النامية، والموقع الجغرافي لبعض البلدان</w:t>
      </w:r>
      <w:r w:rsidRPr="00D8707A">
        <w:rPr>
          <w:rtl/>
        </w:rPr>
        <w:t>"؛</w:t>
      </w:r>
    </w:p>
    <w:p w14:paraId="53B91E8D" w14:textId="30F0A3CE" w:rsidR="00487B85" w:rsidRDefault="00487B85" w:rsidP="00487B85">
      <w:pPr>
        <w:rPr>
          <w:rtl/>
        </w:rPr>
      </w:pPr>
      <w:r w:rsidRPr="0085161A">
        <w:rPr>
          <w:i/>
          <w:iCs/>
          <w:rtl/>
        </w:rPr>
        <w:t>ج)</w:t>
      </w:r>
      <w:r w:rsidRPr="0085161A">
        <w:rPr>
          <w:rtl/>
        </w:rPr>
        <w:tab/>
      </w:r>
      <w:r w:rsidRPr="0085161A">
        <w:rPr>
          <w:rFonts w:hint="cs"/>
          <w:rtl/>
        </w:rPr>
        <w:t>أن القرار 219 (بوخارست، 2022) لمؤتمر المندوبين المفوضين يكلف جمعية الاتصالات الراديوية بأن تقوم، على وجه السرعة، بإجراء الدراسات اللازمة من خلال لجان دراسات الاتصالات الراديوية بشأن مسألة الاستعمال المتزايد للموارد من طيف الترددات الراديوية وما يرتبط به من موارد المدارات الساتلية غير المستقرة بالنسبة إلى الأرض واستدامة هذه الموارد على المدى الطويل، وكذلك بشأن النفاذ المنصف لموارد المدارات الساتلية المستقرة وغير المستقرة بالنسبة إلى الأرض وموارد الطيف، واستعمال هذه الموارد استعمالاً رشيداً ومتوافقاً، بما يتفق مع أهدا</w:t>
      </w:r>
      <w:r>
        <w:rPr>
          <w:rFonts w:hint="cs"/>
          <w:rtl/>
        </w:rPr>
        <w:t>ف</w:t>
      </w:r>
      <w:r w:rsidRPr="0085161A">
        <w:rPr>
          <w:rFonts w:hint="cs"/>
          <w:rtl/>
        </w:rPr>
        <w:t xml:space="preserve"> المادة 44 من الدستور؛</w:t>
      </w:r>
    </w:p>
    <w:p w14:paraId="7FD5F24B" w14:textId="77777777" w:rsidR="00487B85" w:rsidRPr="00DA6164" w:rsidRDefault="00487B85" w:rsidP="00487B85">
      <w:pPr>
        <w:rPr>
          <w:lang w:bidi="ar-EG"/>
        </w:rPr>
      </w:pPr>
      <w:r w:rsidRPr="00766CD6">
        <w:rPr>
          <w:rFonts w:hint="cs"/>
          <w:i/>
          <w:iCs/>
          <w:rtl/>
          <w:lang w:bidi="ar-EG"/>
        </w:rPr>
        <w:t>د )</w:t>
      </w:r>
      <w:r>
        <w:rPr>
          <w:rtl/>
          <w:lang w:bidi="ar-EG"/>
        </w:rPr>
        <w:tab/>
      </w:r>
      <w:r w:rsidRPr="00DA6164">
        <w:rPr>
          <w:rtl/>
          <w:lang w:bidi="ar-EG"/>
        </w:rPr>
        <w:t xml:space="preserve">أن التوصية </w:t>
      </w:r>
      <w:r w:rsidRPr="008612F1">
        <w:rPr>
          <w:lang w:bidi="ar-EG"/>
        </w:rPr>
        <w:t>ITU-R S.1003-2</w:t>
      </w:r>
      <w:r w:rsidRPr="008612F1">
        <w:rPr>
          <w:rtl/>
          <w:lang w:bidi="ar-EG"/>
        </w:rPr>
        <w:t xml:space="preserve"> (2010)، بشأن</w:t>
      </w:r>
      <w:r w:rsidRPr="00DA6164">
        <w:rPr>
          <w:rtl/>
          <w:lang w:bidi="ar-EG"/>
        </w:rPr>
        <w:t xml:space="preserve"> الحماية البيئية لمدار السواتل المستقرة بالنسبة إلى الأرض</w:t>
      </w:r>
      <w:r>
        <w:rPr>
          <w:rFonts w:hint="cs"/>
          <w:rtl/>
          <w:lang w:bidi="ar-EG"/>
        </w:rPr>
        <w:t>،</w:t>
      </w:r>
      <w:r w:rsidRPr="00DA6164">
        <w:rPr>
          <w:rtl/>
          <w:lang w:bidi="ar-EG"/>
        </w:rPr>
        <w:t xml:space="preserve"> تقدّم إرشاداتٍ بشأن مدارات المخلفات الخاصة بالسواتل العاملة في مدار السواتل المستقرة بالنسبة إلى الأرض وتعليقاتٍ بشأن زيادة الحطام بسبب القطع الناتجة عن زيادة أعداد السواتل وعمليات الإطلاق المتصلة بها، وأنه ليس من توصية مكافئة تنطبق على المدارات الساتلية</w:t>
      </w:r>
      <w:r>
        <w:rPr>
          <w:rFonts w:hint="cs"/>
          <w:rtl/>
          <w:lang w:bidi="ar-EG"/>
        </w:rPr>
        <w:t xml:space="preserve"> </w:t>
      </w:r>
      <w:r w:rsidRPr="008612F1">
        <w:rPr>
          <w:rFonts w:hint="cs"/>
          <w:rtl/>
          <w:lang w:bidi="ar-EG"/>
        </w:rPr>
        <w:t>غير</w:t>
      </w:r>
      <w:r w:rsidRPr="008612F1">
        <w:rPr>
          <w:rtl/>
          <w:lang w:bidi="ar-EG"/>
        </w:rPr>
        <w:t xml:space="preserve"> المستقرة</w:t>
      </w:r>
      <w:r w:rsidRPr="00DA6164">
        <w:rPr>
          <w:rtl/>
          <w:lang w:bidi="ar-EG"/>
        </w:rPr>
        <w:t xml:space="preserve"> بالنسبة إلى الأرض</w:t>
      </w:r>
      <w:r>
        <w:rPr>
          <w:rFonts w:hint="cs"/>
          <w:rtl/>
          <w:lang w:bidi="ar-EG"/>
        </w:rPr>
        <w:t xml:space="preserve"> </w:t>
      </w:r>
      <w:r>
        <w:rPr>
          <w:lang w:val="en-GB" w:bidi="ar-EG"/>
        </w:rPr>
        <w:t>(non-GSO)</w:t>
      </w:r>
      <w:r w:rsidRPr="00DA6164">
        <w:rPr>
          <w:rtl/>
          <w:lang w:bidi="ar-EG"/>
        </w:rPr>
        <w:t>؛</w:t>
      </w:r>
    </w:p>
    <w:p w14:paraId="4DBD16BD" w14:textId="3E30D511" w:rsidR="00487B85" w:rsidRDefault="00487B85" w:rsidP="00487B85">
      <w:pPr>
        <w:rPr>
          <w:rtl/>
          <w:lang w:bidi="ar-EG"/>
        </w:rPr>
      </w:pPr>
      <w:r>
        <w:rPr>
          <w:rFonts w:hint="cs"/>
          <w:i/>
          <w:iCs/>
          <w:rtl/>
          <w:lang w:bidi="ar-EG"/>
        </w:rPr>
        <w:t xml:space="preserve">هـ </w:t>
      </w:r>
      <w:r w:rsidRPr="00DA6164">
        <w:rPr>
          <w:i/>
          <w:iCs/>
          <w:rtl/>
          <w:lang w:bidi="ar-EG"/>
        </w:rPr>
        <w:t>)</w:t>
      </w:r>
      <w:r w:rsidRPr="00DA6164">
        <w:rPr>
          <w:rtl/>
          <w:lang w:bidi="ar-EG"/>
        </w:rPr>
        <w:tab/>
        <w:t xml:space="preserve">أن لجان دراسات الاتصالات الراديوية التي تتعامل مع خدمات الاتصالات الراديوية الفضائية </w:t>
      </w:r>
      <w:r>
        <w:rPr>
          <w:rFonts w:hint="cs"/>
          <w:rtl/>
          <w:lang w:bidi="ar-EG"/>
        </w:rPr>
        <w:t>قد</w:t>
      </w:r>
      <w:r>
        <w:rPr>
          <w:rFonts w:hint="eastAsia"/>
          <w:rtl/>
          <w:lang w:bidi="ar-EG"/>
        </w:rPr>
        <w:t> </w:t>
      </w:r>
      <w:r>
        <w:rPr>
          <w:rFonts w:hint="cs"/>
          <w:rtl/>
          <w:lang w:bidi="ar-EG"/>
        </w:rPr>
        <w:t>أعدت</w:t>
      </w:r>
      <w:r w:rsidRPr="009720FA">
        <w:rPr>
          <w:rtl/>
          <w:lang w:bidi="ar-EG"/>
        </w:rPr>
        <w:t xml:space="preserve"> دراسات</w:t>
      </w:r>
      <w:r>
        <w:rPr>
          <w:rFonts w:hint="cs"/>
          <w:rtl/>
          <w:lang w:bidi="ar-EG"/>
        </w:rPr>
        <w:t xml:space="preserve"> وتخطط لمواصلة تطويرها</w:t>
      </w:r>
      <w:r w:rsidRPr="009720FA">
        <w:rPr>
          <w:rtl/>
          <w:lang w:bidi="ar-EG"/>
        </w:rPr>
        <w:t>، بما في ذلك الدراسات المتعلقة باستعمال وإدارة الطيف وموارد المدارات المرتبطة به، مما</w:t>
      </w:r>
      <w:r>
        <w:rPr>
          <w:rFonts w:hint="cs"/>
          <w:rtl/>
          <w:lang w:bidi="ar-EG"/>
        </w:rPr>
        <w:t> </w:t>
      </w:r>
      <w:r w:rsidRPr="009720FA">
        <w:rPr>
          <w:rtl/>
          <w:lang w:bidi="ar-EG"/>
        </w:rPr>
        <w:t>يسهم في تعزيز استدامة هذه الموارد على المدى الطويل</w:t>
      </w:r>
      <w:r w:rsidRPr="009720FA">
        <w:rPr>
          <w:cs/>
          <w:lang w:bidi="ar-EG"/>
        </w:rPr>
        <w:t>‎</w:t>
      </w:r>
      <w:r>
        <w:rPr>
          <w:rFonts w:hint="cs"/>
          <w:rtl/>
          <w:lang w:bidi="ar-EG"/>
        </w:rPr>
        <w:t>؛</w:t>
      </w:r>
    </w:p>
    <w:p w14:paraId="6A1E3549" w14:textId="108039BD" w:rsidR="00AC1AB9" w:rsidRDefault="00487B85" w:rsidP="00487B85">
      <w:pPr>
        <w:rPr>
          <w:rtl/>
        </w:rPr>
      </w:pPr>
      <w:r>
        <w:rPr>
          <w:rFonts w:hint="cs"/>
          <w:i/>
          <w:iCs/>
          <w:rtl/>
          <w:lang w:bidi="ar-EG"/>
        </w:rPr>
        <w:t>و</w:t>
      </w:r>
      <w:r w:rsidRPr="000A0EE1">
        <w:rPr>
          <w:rFonts w:hint="cs"/>
          <w:i/>
          <w:iCs/>
          <w:rtl/>
          <w:lang w:bidi="ar-EG"/>
        </w:rPr>
        <w:t xml:space="preserve"> )</w:t>
      </w:r>
      <w:r>
        <w:rPr>
          <w:rtl/>
          <w:lang w:bidi="ar-EG"/>
        </w:rPr>
        <w:tab/>
      </w:r>
      <w:r>
        <w:rPr>
          <w:rtl/>
        </w:rPr>
        <w:t>أن تلك الدراسات التي أجرتها لجان دراسات الاتصالات الراديوية التي تتعامل مع خدمات الاتصالات الراديوية الفضائية، تتناول التوافق التقني والإجراءات التنظيمية للأنظمة الساتلية غير المستقرة بالنسبة إلى الأرض، وتهدف إلى ضمان النفاذ المنصف لجميع البلدان أو مجموعات البلدان إلى الترددات الراديوية وجميع المدارات المرتبطة بها</w:t>
      </w:r>
      <w:r>
        <w:rPr>
          <w:rFonts w:hint="cs"/>
          <w:rtl/>
        </w:rPr>
        <w:t>؛</w:t>
      </w:r>
    </w:p>
    <w:p w14:paraId="7CE58619" w14:textId="73AB64C3" w:rsidR="00AC1AB9" w:rsidRDefault="00AC1AB9" w:rsidP="00AC1AB9">
      <w:pPr>
        <w:rPr>
          <w:rtl/>
        </w:rPr>
      </w:pPr>
      <w:r>
        <w:rPr>
          <w:rtl/>
        </w:rPr>
        <w:br w:type="page"/>
      </w:r>
    </w:p>
    <w:p w14:paraId="23EF2F8D" w14:textId="5D41811B" w:rsidR="00487B85" w:rsidRDefault="00487B85" w:rsidP="00487B85">
      <w:pPr>
        <w:rPr>
          <w:rtl/>
        </w:rPr>
      </w:pPr>
      <w:r>
        <w:rPr>
          <w:rFonts w:hint="cs"/>
          <w:i/>
          <w:iCs/>
          <w:rtl/>
          <w:lang w:bidi="ar-EG"/>
        </w:rPr>
        <w:lastRenderedPageBreak/>
        <w:t>ز</w:t>
      </w:r>
      <w:r w:rsidRPr="000A0EE1">
        <w:rPr>
          <w:rFonts w:hint="cs"/>
          <w:i/>
          <w:iCs/>
          <w:rtl/>
          <w:lang w:bidi="ar-EG"/>
        </w:rPr>
        <w:t xml:space="preserve"> )</w:t>
      </w:r>
      <w:r>
        <w:rPr>
          <w:rtl/>
          <w:lang w:bidi="ar-EG"/>
        </w:rPr>
        <w:tab/>
      </w:r>
      <w:r w:rsidRPr="008A4249">
        <w:rPr>
          <w:rtl/>
        </w:rPr>
        <w:t>الولاية الحالية للجنة الأمم المتحدة لاستخدام الفضاء الخارجي في الأغراض السلمية</w:t>
      </w:r>
      <w:r>
        <w:rPr>
          <w:rFonts w:hint="cs"/>
          <w:rtl/>
        </w:rPr>
        <w:t xml:space="preserve"> </w:t>
      </w:r>
      <w:r w:rsidRPr="008A4249">
        <w:rPr>
          <w:lang w:bidi="ar-EG"/>
        </w:rPr>
        <w:t>(COPUOS)</w:t>
      </w:r>
      <w:r>
        <w:rPr>
          <w:rFonts w:hint="cs"/>
          <w:rtl/>
          <w:lang w:bidi="ar-EG"/>
        </w:rPr>
        <w:t xml:space="preserve"> </w:t>
      </w:r>
      <w:r w:rsidRPr="008A4249">
        <w:rPr>
          <w:rtl/>
        </w:rPr>
        <w:t>والعمل الجاري داخلها لتعزيز استدامة الفضاء الخارجي على المدى الطويل، بما في ذلك من خلال اعتماد</w:t>
      </w:r>
      <w:r w:rsidRPr="006F33AA">
        <w:rPr>
          <w:rtl/>
        </w:rPr>
        <w:t xml:space="preserve"> </w:t>
      </w:r>
      <w:r w:rsidRPr="008A4249">
        <w:rPr>
          <w:rtl/>
        </w:rPr>
        <w:t>لجنة الأمم المتحدة لاستخدام الفضاء الخارجي في الأغراض السلمية</w:t>
      </w:r>
      <w:r>
        <w:rPr>
          <w:rFonts w:hint="cs"/>
          <w:rtl/>
        </w:rPr>
        <w:t xml:space="preserve"> </w:t>
      </w:r>
      <w:r w:rsidRPr="008A4249">
        <w:rPr>
          <w:lang w:bidi="ar-EG"/>
        </w:rPr>
        <w:t>(COPUOS)</w:t>
      </w:r>
      <w:r>
        <w:rPr>
          <w:rFonts w:hint="cs"/>
          <w:rtl/>
          <w:lang w:bidi="ar-EG"/>
        </w:rPr>
        <w:t xml:space="preserve"> في عام 2019 </w:t>
      </w:r>
      <w:r w:rsidRPr="008A4249">
        <w:rPr>
          <w:rtl/>
        </w:rPr>
        <w:t>للمبادئ التوجيهية البالغ عددها 21 بشأن الاستدامة طويلة الأجل لأنشطة الفضاء الخارجي</w:t>
      </w:r>
      <w:r>
        <w:rPr>
          <w:rFonts w:hint="cs"/>
          <w:rtl/>
        </w:rPr>
        <w:t>، والتي نظرت فيها لاحقاً الجمعية العامة للأمم المتحدة</w:t>
      </w:r>
      <w:r w:rsidRPr="008A4249">
        <w:rPr>
          <w:rtl/>
        </w:rPr>
        <w:t>، وأهمية تجنب ازدواجية العمل المنجز بالفعل في منظمات أخرى في منظومة الأمم المتحدة</w:t>
      </w:r>
      <w:r>
        <w:rPr>
          <w:rStyle w:val="FootnoteReference"/>
          <w:rtl/>
          <w:lang w:bidi="ar-EG"/>
        </w:rPr>
        <w:footnoteReference w:customMarkFollows="1" w:id="2"/>
        <w:t>1</w:t>
      </w:r>
      <w:r>
        <w:rPr>
          <w:rFonts w:hint="cs"/>
          <w:rtl/>
        </w:rPr>
        <w:t>؛</w:t>
      </w:r>
    </w:p>
    <w:p w14:paraId="29FFFBA2" w14:textId="77777777" w:rsidR="00487B85" w:rsidRPr="00DA6164" w:rsidRDefault="00487B85" w:rsidP="00487B85">
      <w:pPr>
        <w:rPr>
          <w:rtl/>
        </w:rPr>
      </w:pPr>
      <w:r>
        <w:rPr>
          <w:rFonts w:hint="cs"/>
          <w:i/>
          <w:iCs/>
          <w:rtl/>
          <w:lang w:bidi="ar-EG"/>
        </w:rPr>
        <w:t>ح</w:t>
      </w:r>
      <w:r w:rsidRPr="000A0EE1">
        <w:rPr>
          <w:rFonts w:hint="cs"/>
          <w:i/>
          <w:iCs/>
          <w:rtl/>
          <w:lang w:bidi="ar-EG"/>
        </w:rPr>
        <w:t>)</w:t>
      </w:r>
      <w:r>
        <w:rPr>
          <w:rtl/>
          <w:lang w:bidi="ar-EG"/>
        </w:rPr>
        <w:tab/>
      </w:r>
      <w:r w:rsidRPr="008A4249">
        <w:rPr>
          <w:rtl/>
        </w:rPr>
        <w:t xml:space="preserve">أن مكتب الاتصالات الراديوية </w:t>
      </w:r>
      <w:r w:rsidRPr="008A4249">
        <w:rPr>
          <w:rFonts w:hint="cs"/>
          <w:rtl/>
        </w:rPr>
        <w:t xml:space="preserve">تلقى </w:t>
      </w:r>
      <w:r w:rsidRPr="008A4249">
        <w:rPr>
          <w:rtl/>
        </w:rPr>
        <w:t xml:space="preserve">مؤخراً </w:t>
      </w:r>
      <w:r w:rsidRPr="008A4249">
        <w:rPr>
          <w:rFonts w:hint="cs"/>
          <w:rtl/>
        </w:rPr>
        <w:t>عدداً متزايداً من</w:t>
      </w:r>
      <w:r w:rsidRPr="008A4249">
        <w:rPr>
          <w:rtl/>
        </w:rPr>
        <w:t xml:space="preserve"> بطاقات التبليغ عن الأنظمة الساتلية غير المستقرة بالنسبة إلى الأرض، بما في ذلك الأنظمة التي تتألف من مئات إلى آلاف المحطات الفضائية وذات التشكيلات المتعددة</w:t>
      </w:r>
      <w:r w:rsidRPr="008A4249">
        <w:rPr>
          <w:rFonts w:hint="cs"/>
          <w:rtl/>
        </w:rPr>
        <w:t>، ولاحظ استمرار وتوسع إطلاق وتشغيل السواتل غير المستقرة بالنسبة إلى الأرض في الفضاء الخارجي</w:t>
      </w:r>
      <w:r>
        <w:rPr>
          <w:rFonts w:hint="cs"/>
          <w:rtl/>
          <w:lang w:bidi="ar-EG"/>
        </w:rPr>
        <w:t>،</w:t>
      </w:r>
    </w:p>
    <w:p w14:paraId="5C652D4C" w14:textId="77777777" w:rsidR="00487B85" w:rsidRPr="008612F1" w:rsidRDefault="00487B85" w:rsidP="00487B85">
      <w:pPr>
        <w:pStyle w:val="Call"/>
        <w:rPr>
          <w:rtl/>
        </w:rPr>
      </w:pPr>
      <w:r w:rsidRPr="00DA6164">
        <w:rPr>
          <w:rtl/>
          <w:lang w:bidi="ar-EG"/>
        </w:rPr>
        <w:t>وإذ تلاحظ</w:t>
      </w:r>
    </w:p>
    <w:p w14:paraId="3087A656" w14:textId="046682B3" w:rsidR="00487B85" w:rsidRDefault="00487B85" w:rsidP="00487B85">
      <w:pPr>
        <w:rPr>
          <w:rFonts w:eastAsia="SimSun"/>
          <w:rtl/>
          <w:lang w:bidi="ar-EG"/>
        </w:rPr>
      </w:pPr>
      <w:r w:rsidRPr="001950C0">
        <w:rPr>
          <w:rFonts w:hint="cs"/>
          <w:i/>
          <w:iCs/>
          <w:rtl/>
          <w:lang w:bidi="ar-EG"/>
        </w:rPr>
        <w:t xml:space="preserve"> </w:t>
      </w:r>
      <w:r w:rsidRPr="001950C0">
        <w:rPr>
          <w:i/>
          <w:iCs/>
          <w:rtl/>
          <w:lang w:bidi="ar-EG"/>
        </w:rPr>
        <w:t>أ</w:t>
      </w:r>
      <w:r w:rsidRPr="001950C0">
        <w:rPr>
          <w:rFonts w:hint="cs"/>
          <w:i/>
          <w:iCs/>
          <w:rtl/>
          <w:lang w:bidi="ar-EG"/>
        </w:rPr>
        <w:t xml:space="preserve"> )</w:t>
      </w:r>
      <w:r>
        <w:rPr>
          <w:rtl/>
          <w:lang w:bidi="ar-EG"/>
        </w:rPr>
        <w:tab/>
      </w:r>
      <w:r>
        <w:rPr>
          <w:rFonts w:eastAsia="SimSun"/>
          <w:rtl/>
          <w:lang w:bidi="ar-EG"/>
        </w:rPr>
        <w:t xml:space="preserve">أن القرار </w:t>
      </w:r>
      <w:r>
        <w:rPr>
          <w:rFonts w:eastAsia="SimSun"/>
          <w:lang w:bidi="ar-EG"/>
        </w:rPr>
        <w:t>ITU-R 9</w:t>
      </w:r>
      <w:r>
        <w:rPr>
          <w:rFonts w:eastAsia="SimSun"/>
          <w:rtl/>
          <w:lang w:bidi="ar-EG"/>
        </w:rPr>
        <w:t xml:space="preserve"> </w:t>
      </w:r>
      <w:r>
        <w:rPr>
          <w:rFonts w:eastAsia="SimSun" w:hint="cs"/>
          <w:rtl/>
          <w:lang w:bidi="ar-EG"/>
        </w:rPr>
        <w:t>ينصُّ على أنه يجوز للجان دراسات الاتصالات الراديوية، أو للأفرقة التي أنشأتها لجان الدراسات، أن تقيمَ الاتصال وتتعاون وتتبادل المعلومات وفقاً لمبادئ مقرَّرة، مع منظمات أخرى مثل منظمات وضع المعايير والجامعات ومنظمات الصناعة ومع مشاريع الشراكات والمنتديات وتجمعات الشركات وبرامج البحوث التعاونية؛</w:t>
      </w:r>
    </w:p>
    <w:p w14:paraId="5F04F008" w14:textId="0ABBE468" w:rsidR="00487B85" w:rsidRDefault="00487B85" w:rsidP="00487B85">
      <w:pPr>
        <w:rPr>
          <w:lang w:bidi="ar-EG"/>
        </w:rPr>
      </w:pPr>
      <w:r w:rsidRPr="00903216">
        <w:rPr>
          <w:rFonts w:eastAsia="SimSun" w:hint="cs"/>
          <w:i/>
          <w:iCs/>
          <w:rtl/>
          <w:lang w:bidi="ar-EG"/>
        </w:rPr>
        <w:t>ب)</w:t>
      </w:r>
      <w:r>
        <w:rPr>
          <w:rFonts w:eastAsia="SimSun"/>
          <w:rtl/>
          <w:lang w:bidi="ar-EG"/>
        </w:rPr>
        <w:tab/>
      </w:r>
      <w:r>
        <w:rPr>
          <w:rFonts w:hint="cs"/>
          <w:rtl/>
          <w:lang w:bidi="ar-EG"/>
        </w:rPr>
        <w:t>أن هناك بالفعل قدراً كبيراً من العمل المتعلق بالاستدامة الفضائية على المدى الطويل يجري تنفيذه في لجان دراسات الاتصالات الراديوية،</w:t>
      </w:r>
    </w:p>
    <w:p w14:paraId="5B7944FC" w14:textId="77777777" w:rsidR="00487B85" w:rsidRPr="00DA6164" w:rsidRDefault="00487B85" w:rsidP="00487B85">
      <w:pPr>
        <w:pStyle w:val="Call"/>
        <w:rPr>
          <w:rtl/>
        </w:rPr>
      </w:pPr>
      <w:r w:rsidRPr="008A4249">
        <w:rPr>
          <w:rFonts w:hint="cs"/>
          <w:rtl/>
        </w:rPr>
        <w:t>تقرر</w:t>
      </w:r>
      <w:r w:rsidRPr="008A4249">
        <w:rPr>
          <w:rtl/>
        </w:rPr>
        <w:t>، كمسألة ملحة، دعوة قطاع الاتصالات الراديوية بالاتحاد الدولي للاتصالات</w:t>
      </w:r>
      <w:r>
        <w:rPr>
          <w:rFonts w:hint="cs"/>
          <w:rtl/>
        </w:rPr>
        <w:t xml:space="preserve"> إلى</w:t>
      </w:r>
    </w:p>
    <w:p w14:paraId="56586ED5" w14:textId="762A8A6E" w:rsidR="00487B85" w:rsidRPr="00E83154" w:rsidRDefault="00487B85" w:rsidP="000A7AEA">
      <w:pPr>
        <w:rPr>
          <w:rtl/>
          <w:lang w:bidi="ar-SY"/>
        </w:rPr>
      </w:pPr>
      <w:r w:rsidRPr="00E83154">
        <w:rPr>
          <w:rtl/>
          <w:lang w:bidi="ar-SY"/>
        </w:rPr>
        <w:t>1</w:t>
      </w:r>
      <w:r w:rsidRPr="00E83154">
        <w:rPr>
          <w:rtl/>
          <w:lang w:bidi="ar-SY"/>
        </w:rPr>
        <w:tab/>
      </w:r>
      <w:r w:rsidRPr="00E83154">
        <w:rPr>
          <w:rFonts w:hint="cs"/>
          <w:rtl/>
          <w:lang w:bidi="ar-SY"/>
        </w:rPr>
        <w:t xml:space="preserve">أن يواصل، </w:t>
      </w:r>
      <w:r w:rsidRPr="00E83154">
        <w:rPr>
          <w:rtl/>
        </w:rPr>
        <w:t>مع مراعاة المادة 12 من الدستور، الأنشطة التقنية، بما في ذلك الأنشطة المتعلقة بتقييم التداخل وتقنيات التخفيف من حدته بين الأنظمة غير المستقرة بالنسبة إلى الأرض دعما</w:t>
      </w:r>
      <w:r w:rsidRPr="00E83154">
        <w:rPr>
          <w:rFonts w:hint="cs"/>
          <w:rtl/>
        </w:rPr>
        <w:t>ً</w:t>
      </w:r>
      <w:r w:rsidRPr="00E83154">
        <w:rPr>
          <w:rtl/>
        </w:rPr>
        <w:t xml:space="preserve"> للاستدامة طويلة الأجل في </w:t>
      </w:r>
      <w:r w:rsidR="009109D7">
        <w:rPr>
          <w:rFonts w:hint="cs"/>
          <w:rtl/>
        </w:rPr>
        <w:t>مجال اختصاص</w:t>
      </w:r>
      <w:r w:rsidR="009109D7" w:rsidRPr="00E83154">
        <w:rPr>
          <w:rtl/>
        </w:rPr>
        <w:t xml:space="preserve"> </w:t>
      </w:r>
      <w:r w:rsidRPr="00E83154">
        <w:rPr>
          <w:rtl/>
        </w:rPr>
        <w:t>قطاع الاتصالات الراديوية مع التركيز على منع التداخل الضار، وضمان الاستخدام الرشيد والمنصف والفعال والاقتصادي لطيف الترددات الراديوية وموارد المدارات المرتبطة به، مع التركيز على الأنظمة غير المستقرة بالنسبة إلى الأرض، بما يتوافق مع أحكام لوائح الراديو وتوصيات قطاع الاتصالات الراديوية المعمول بها، مع مراعاة الاحتياجات الخاصة للبلدان النامية والموقع الجغرافي لبعض البلدان؛</w:t>
      </w:r>
    </w:p>
    <w:p w14:paraId="19A0C1D0" w14:textId="472B6C9F" w:rsidR="00487B85" w:rsidRDefault="00487B85" w:rsidP="00487B85">
      <w:pPr>
        <w:rPr>
          <w:color w:val="000000"/>
          <w:rtl/>
        </w:rPr>
      </w:pPr>
      <w:r>
        <w:rPr>
          <w:lang w:bidi="ar-SY"/>
        </w:rPr>
        <w:t>2</w:t>
      </w:r>
      <w:r w:rsidRPr="00DA6164">
        <w:rPr>
          <w:rtl/>
          <w:lang w:bidi="ar-SY"/>
        </w:rPr>
        <w:tab/>
      </w:r>
      <w:r w:rsidRPr="00315DAB">
        <w:rPr>
          <w:rtl/>
          <w:lang w:val="en-GB" w:bidi="ar-AE"/>
        </w:rPr>
        <w:t>أن يضع ويستكمل خلال دورة الدراسة المقبلة كتيبا</w:t>
      </w:r>
      <w:r>
        <w:rPr>
          <w:rFonts w:hint="cs"/>
          <w:rtl/>
          <w:lang w:val="en-GB" w:bidi="ar-AE"/>
        </w:rPr>
        <w:t>ً</w:t>
      </w:r>
      <w:r w:rsidRPr="00315DAB">
        <w:rPr>
          <w:rtl/>
          <w:lang w:val="en-GB" w:bidi="ar-AE"/>
        </w:rPr>
        <w:t xml:space="preserve"> عن أفضل الممارسات من أجل الاستعمال المستدام للترددات والمدارات غير المستقرة بالنسبة إلى الأرض المرتبطة بها في خدمات الاتصالات الراديوية الفضائية، </w:t>
      </w:r>
      <w:r>
        <w:rPr>
          <w:color w:val="000000"/>
          <w:rtl/>
        </w:rPr>
        <w:t xml:space="preserve">ذلك </w:t>
      </w:r>
      <w:r w:rsidR="004D51F7">
        <w:rPr>
          <w:rFonts w:hint="cs"/>
          <w:color w:val="000000"/>
          <w:rtl/>
        </w:rPr>
        <w:t xml:space="preserve">فرادى </w:t>
      </w:r>
      <w:r>
        <w:rPr>
          <w:color w:val="000000"/>
          <w:rtl/>
        </w:rPr>
        <w:t>التجارب والمبادئ التوجيهية التي اعتمدتها الدول الأعضاء وأعضاء القطاع،</w:t>
      </w:r>
    </w:p>
    <w:p w14:paraId="473819A3" w14:textId="1338C31D" w:rsidR="00487B85" w:rsidRDefault="00487B85" w:rsidP="00487B85">
      <w:pPr>
        <w:pStyle w:val="Call"/>
        <w:rPr>
          <w:rtl/>
        </w:rPr>
      </w:pPr>
      <w:r>
        <w:rPr>
          <w:rFonts w:hint="cs"/>
          <w:rtl/>
        </w:rPr>
        <w:t>يكلف لجان الدراسات ذات الصلة</w:t>
      </w:r>
      <w:r w:rsidR="004D0FF3">
        <w:rPr>
          <w:rFonts w:hint="cs"/>
          <w:rtl/>
        </w:rPr>
        <w:t xml:space="preserve"> </w:t>
      </w:r>
      <w:r w:rsidR="00595DC6">
        <w:rPr>
          <w:rFonts w:hint="cs"/>
          <w:rtl/>
        </w:rPr>
        <w:t>للات</w:t>
      </w:r>
      <w:r w:rsidR="004D0FF3">
        <w:rPr>
          <w:rFonts w:hint="cs"/>
          <w:rtl/>
        </w:rPr>
        <w:t>صالات</w:t>
      </w:r>
      <w:r>
        <w:rPr>
          <w:rFonts w:hint="cs"/>
          <w:rtl/>
        </w:rPr>
        <w:t xml:space="preserve"> الراديوية</w:t>
      </w:r>
    </w:p>
    <w:p w14:paraId="4E3C4A38" w14:textId="6676A7A7" w:rsidR="000A7AEA" w:rsidRDefault="00487B85" w:rsidP="00487B85">
      <w:pPr>
        <w:rPr>
          <w:spacing w:val="-2"/>
          <w:rtl/>
        </w:rPr>
      </w:pPr>
      <w:r>
        <w:rPr>
          <w:rFonts w:hint="cs"/>
          <w:rtl/>
        </w:rPr>
        <w:t xml:space="preserve">مع مراعاة الفقرة </w:t>
      </w:r>
      <w:r w:rsidRPr="00125690">
        <w:rPr>
          <w:rFonts w:hint="cs"/>
          <w:i/>
          <w:iCs/>
          <w:rtl/>
        </w:rPr>
        <w:t>ز)</w:t>
      </w:r>
      <w:r>
        <w:rPr>
          <w:rFonts w:hint="cs"/>
          <w:rtl/>
        </w:rPr>
        <w:t xml:space="preserve"> من </w:t>
      </w:r>
      <w:r w:rsidRPr="00D8707A">
        <w:rPr>
          <w:rFonts w:hint="cs"/>
          <w:rtl/>
        </w:rPr>
        <w:t>"</w:t>
      </w:r>
      <w:r w:rsidR="00D8707A" w:rsidRPr="00D8707A">
        <w:rPr>
          <w:rFonts w:hint="cs"/>
          <w:rtl/>
        </w:rPr>
        <w:t>و</w:t>
      </w:r>
      <w:r w:rsidRPr="00D8707A">
        <w:rPr>
          <w:rFonts w:hint="eastAsia"/>
          <w:rtl/>
          <w:lang w:bidi="ar-EG"/>
        </w:rPr>
        <w:t> </w:t>
      </w:r>
      <w:r w:rsidRPr="00D8707A">
        <w:rPr>
          <w:rFonts w:hint="cs"/>
          <w:i/>
          <w:iCs/>
          <w:rtl/>
        </w:rPr>
        <w:t>إذ تدرك</w:t>
      </w:r>
      <w:r w:rsidRPr="00125690">
        <w:rPr>
          <w:rFonts w:hint="cs"/>
          <w:rtl/>
        </w:rPr>
        <w:t>"</w:t>
      </w:r>
      <w:r w:rsidR="004D0FF3">
        <w:rPr>
          <w:rFonts w:hint="cs"/>
          <w:rtl/>
        </w:rPr>
        <w:t xml:space="preserve"> أعلاه</w:t>
      </w:r>
      <w:r>
        <w:rPr>
          <w:rFonts w:hint="cs"/>
          <w:rtl/>
        </w:rPr>
        <w:t xml:space="preserve">، والفقرة 3 من </w:t>
      </w:r>
      <w:r w:rsidRPr="00125690">
        <w:rPr>
          <w:rFonts w:hint="cs"/>
          <w:rtl/>
        </w:rPr>
        <w:t>"</w:t>
      </w:r>
      <w:r w:rsidRPr="00021F91">
        <w:rPr>
          <w:rFonts w:hint="cs"/>
          <w:i/>
          <w:iCs/>
          <w:rtl/>
        </w:rPr>
        <w:t>تكلف مدير مكتب الاتصالات الراديوية</w:t>
      </w:r>
      <w:r w:rsidRPr="00125690">
        <w:rPr>
          <w:rFonts w:hint="cs"/>
          <w:rtl/>
        </w:rPr>
        <w:t>"</w:t>
      </w:r>
      <w:r w:rsidR="00C172C8">
        <w:rPr>
          <w:rFonts w:hint="cs"/>
          <w:rtl/>
        </w:rPr>
        <w:t xml:space="preserve"> فيما يلي</w:t>
      </w:r>
      <w:r>
        <w:rPr>
          <w:rFonts w:hint="cs"/>
          <w:rtl/>
        </w:rPr>
        <w:t xml:space="preserve">، والتوصية </w:t>
      </w:r>
      <w:r w:rsidRPr="00CE1583">
        <w:t>ITU</w:t>
      </w:r>
      <w:r w:rsidRPr="00CE1583">
        <w:noBreakHyphen/>
        <w:t>R S.1003</w:t>
      </w:r>
      <w:r>
        <w:rPr>
          <w:rFonts w:hint="cs"/>
          <w:rtl/>
        </w:rPr>
        <w:t xml:space="preserve"> وتطورات التكنولوجيا، بإجراء دراسات من أجل إعداد توصية جديدة تقدم إرشادات </w:t>
      </w:r>
      <w:r w:rsidRPr="00260D91">
        <w:rPr>
          <w:spacing w:val="-2"/>
          <w:rtl/>
        </w:rPr>
        <w:t xml:space="preserve">بشأن استراتيجيات ومنهجيات </w:t>
      </w:r>
      <w:r w:rsidRPr="00260D91">
        <w:rPr>
          <w:rFonts w:hint="cs"/>
          <w:spacing w:val="-2"/>
          <w:rtl/>
        </w:rPr>
        <w:t>للإزالة الآمنة والفع</w:t>
      </w:r>
      <w:r>
        <w:rPr>
          <w:rFonts w:hint="cs"/>
          <w:spacing w:val="-2"/>
          <w:rtl/>
        </w:rPr>
        <w:t>ّ</w:t>
      </w:r>
      <w:r w:rsidRPr="00260D91">
        <w:rPr>
          <w:rFonts w:hint="cs"/>
          <w:spacing w:val="-2"/>
          <w:rtl/>
        </w:rPr>
        <w:t>الة</w:t>
      </w:r>
      <w:r>
        <w:rPr>
          <w:rFonts w:hint="cs"/>
          <w:spacing w:val="-2"/>
          <w:rtl/>
        </w:rPr>
        <w:t xml:space="preserve"> للمحطات </w:t>
      </w:r>
      <w:r w:rsidRPr="00260D91">
        <w:rPr>
          <w:rFonts w:hint="cs"/>
          <w:spacing w:val="-2"/>
          <w:rtl/>
        </w:rPr>
        <w:t>الفضائية</w:t>
      </w:r>
      <w:r w:rsidRPr="00260D91">
        <w:rPr>
          <w:spacing w:val="-2"/>
          <w:rtl/>
        </w:rPr>
        <w:t xml:space="preserve"> غير المستقرة بالنسبة إلى الأرض </w:t>
      </w:r>
      <w:r w:rsidRPr="00260D91">
        <w:rPr>
          <w:rFonts w:hint="cs"/>
          <w:spacing w:val="-2"/>
          <w:rtl/>
        </w:rPr>
        <w:t>العاملة</w:t>
      </w:r>
      <w:r w:rsidRPr="00260D91">
        <w:rPr>
          <w:spacing w:val="-2"/>
          <w:rtl/>
        </w:rPr>
        <w:t xml:space="preserve"> في خدمات الاتصالات الراديوية </w:t>
      </w:r>
      <w:r w:rsidRPr="00260D91">
        <w:rPr>
          <w:rFonts w:hint="cs"/>
          <w:spacing w:val="-2"/>
          <w:rtl/>
        </w:rPr>
        <w:t xml:space="preserve">من مدارها و/أو التخلص منها </w:t>
      </w:r>
      <w:r w:rsidRPr="00260D91">
        <w:rPr>
          <w:spacing w:val="-2"/>
          <w:rtl/>
        </w:rPr>
        <w:t xml:space="preserve">بعد انتهاء عمرها </w:t>
      </w:r>
      <w:r>
        <w:rPr>
          <w:rFonts w:hint="cs"/>
          <w:spacing w:val="-2"/>
          <w:rtl/>
        </w:rPr>
        <w:t>التشغيلي،</w:t>
      </w:r>
      <w:r w:rsidRPr="00260D91">
        <w:rPr>
          <w:rFonts w:hint="cs"/>
          <w:spacing w:val="-2"/>
          <w:rtl/>
        </w:rPr>
        <w:t xml:space="preserve"> </w:t>
      </w:r>
      <w:r>
        <w:rPr>
          <w:rFonts w:hint="cs"/>
          <w:spacing w:val="-2"/>
          <w:rtl/>
        </w:rPr>
        <w:t>مع التركيز على الموارد من طيف الترددات الراديوية وما يرتبط به من موارد المدارات الساتلية التي تستعملها الخدمات الفضائية،</w:t>
      </w:r>
    </w:p>
    <w:p w14:paraId="4F858316" w14:textId="4B899B1B" w:rsidR="000A7AEA" w:rsidRDefault="000A7AEA" w:rsidP="000A7AEA">
      <w:pPr>
        <w:rPr>
          <w:rtl/>
        </w:rPr>
      </w:pPr>
      <w:r>
        <w:rPr>
          <w:rtl/>
        </w:rPr>
        <w:br w:type="page"/>
      </w:r>
    </w:p>
    <w:p w14:paraId="79F83589" w14:textId="77777777" w:rsidR="00487B85" w:rsidRPr="00DA6164" w:rsidRDefault="00487B85" w:rsidP="00487B85">
      <w:pPr>
        <w:pStyle w:val="Call"/>
        <w:rPr>
          <w:rtl/>
        </w:rPr>
      </w:pPr>
      <w:r w:rsidRPr="00A07842">
        <w:rPr>
          <w:rtl/>
          <w:lang w:bidi="ar-SY"/>
        </w:rPr>
        <w:lastRenderedPageBreak/>
        <w:t>تكلف مدير مكتب الاتصالات الراديوية</w:t>
      </w:r>
    </w:p>
    <w:p w14:paraId="422AB7E3" w14:textId="77777777" w:rsidR="00487B85" w:rsidRPr="00AB7C13" w:rsidRDefault="00487B85" w:rsidP="00487B85">
      <w:pPr>
        <w:rPr>
          <w:spacing w:val="-4"/>
          <w:rtl/>
          <w:lang w:bidi="ar-EG"/>
        </w:rPr>
      </w:pPr>
      <w:r w:rsidRPr="00AB7C13">
        <w:rPr>
          <w:spacing w:val="-4"/>
          <w:lang w:bidi="ar-SY"/>
        </w:rPr>
        <w:t>1</w:t>
      </w:r>
      <w:r w:rsidRPr="00AB7C13">
        <w:rPr>
          <w:spacing w:val="-4"/>
          <w:lang w:bidi="ar-SY"/>
        </w:rPr>
        <w:tab/>
      </w:r>
      <w:r w:rsidRPr="00AB7C13">
        <w:rPr>
          <w:rFonts w:hint="cs"/>
          <w:spacing w:val="-4"/>
          <w:rtl/>
          <w:lang w:bidi="ar-SY"/>
        </w:rPr>
        <w:t>ب</w:t>
      </w:r>
      <w:r w:rsidRPr="00AB7C13">
        <w:rPr>
          <w:spacing w:val="-4"/>
          <w:rtl/>
          <w:lang w:bidi="ar-SY"/>
        </w:rPr>
        <w:t>تقديم تقارير إلى الفريق الاستشاري للاتصالات الراديوية (</w:t>
      </w:r>
      <w:r w:rsidRPr="00AB7C13">
        <w:rPr>
          <w:spacing w:val="-4"/>
          <w:lang w:bidi="ar-SY"/>
        </w:rPr>
        <w:t>RAG</w:t>
      </w:r>
      <w:r w:rsidRPr="00AB7C13">
        <w:rPr>
          <w:spacing w:val="-4"/>
          <w:rtl/>
          <w:lang w:bidi="ar-SY"/>
        </w:rPr>
        <w:t>) وإلى جمعية الاتصالات الراديوية لعام 2027 (</w:t>
      </w:r>
      <w:r w:rsidRPr="00AB7C13">
        <w:rPr>
          <w:spacing w:val="-4"/>
          <w:lang w:bidi="ar-SY"/>
        </w:rPr>
        <w:t>RA</w:t>
      </w:r>
      <w:r w:rsidRPr="00AB7C13">
        <w:rPr>
          <w:spacing w:val="-4"/>
          <w:lang w:bidi="ar-SY"/>
        </w:rPr>
        <w:noBreakHyphen/>
        <w:t>27</w:t>
      </w:r>
      <w:r w:rsidRPr="00AB7C13">
        <w:rPr>
          <w:spacing w:val="-4"/>
          <w:rtl/>
          <w:lang w:bidi="ar-SY"/>
        </w:rPr>
        <w:t>) بشأن تطورات ونتائج الدراسات والإجراءات المتخذة تنفيذاً لهذا القرار</w:t>
      </w:r>
      <w:r w:rsidRPr="00AB7C13">
        <w:rPr>
          <w:rFonts w:hint="cs"/>
          <w:spacing w:val="-4"/>
          <w:rtl/>
          <w:lang w:bidi="ar-EG"/>
        </w:rPr>
        <w:t>؛</w:t>
      </w:r>
    </w:p>
    <w:p w14:paraId="7BDD67B0" w14:textId="7A7EFA3D" w:rsidR="00487B85" w:rsidRDefault="00487B85" w:rsidP="00487B85">
      <w:pPr>
        <w:rPr>
          <w:rtl/>
        </w:rPr>
      </w:pPr>
      <w:r>
        <w:rPr>
          <w:rFonts w:hint="cs"/>
          <w:rtl/>
          <w:lang w:bidi="ar-EG"/>
        </w:rPr>
        <w:t>2</w:t>
      </w:r>
      <w:r>
        <w:rPr>
          <w:rtl/>
          <w:lang w:bidi="ar-EG"/>
        </w:rPr>
        <w:tab/>
      </w:r>
      <w:r w:rsidRPr="005926BB">
        <w:rPr>
          <w:rFonts w:hint="cs"/>
          <w:rtl/>
        </w:rPr>
        <w:t>ب</w:t>
      </w:r>
      <w:r w:rsidRPr="005926BB">
        <w:rPr>
          <w:rtl/>
        </w:rPr>
        <w:t xml:space="preserve">إنشاء موقع </w:t>
      </w:r>
      <w:r w:rsidRPr="005926BB">
        <w:rPr>
          <w:rFonts w:hint="cs"/>
          <w:rtl/>
        </w:rPr>
        <w:t>إلكتروني</w:t>
      </w:r>
      <w:r w:rsidRPr="005926BB">
        <w:rPr>
          <w:rtl/>
        </w:rPr>
        <w:t xml:space="preserve"> </w:t>
      </w:r>
      <w:r w:rsidRPr="005926BB">
        <w:rPr>
          <w:rFonts w:hint="cs"/>
          <w:rtl/>
        </w:rPr>
        <w:t>يُتاح من</w:t>
      </w:r>
      <w:r w:rsidRPr="005926BB">
        <w:rPr>
          <w:rtl/>
        </w:rPr>
        <w:t xml:space="preserve"> خلال </w:t>
      </w:r>
      <w:r w:rsidRPr="005926BB">
        <w:rPr>
          <w:rFonts w:hint="cs"/>
          <w:rtl/>
        </w:rPr>
        <w:t>رابط</w:t>
      </w:r>
      <w:r w:rsidRPr="005926BB">
        <w:rPr>
          <w:rtl/>
        </w:rPr>
        <w:t xml:space="preserve"> </w:t>
      </w:r>
      <w:r w:rsidRPr="005926BB">
        <w:rPr>
          <w:rFonts w:hint="cs"/>
          <w:rtl/>
        </w:rPr>
        <w:t>على</w:t>
      </w:r>
      <w:r w:rsidRPr="005926BB">
        <w:rPr>
          <w:rtl/>
        </w:rPr>
        <w:t xml:space="preserve"> الموقع </w:t>
      </w:r>
      <w:r w:rsidRPr="005926BB">
        <w:rPr>
          <w:rFonts w:hint="cs"/>
          <w:rtl/>
        </w:rPr>
        <w:t xml:space="preserve">الإلكتروني </w:t>
      </w:r>
      <w:r w:rsidRPr="005926BB">
        <w:rPr>
          <w:rtl/>
        </w:rPr>
        <w:t>الرئيسي لقطاع الاتصالات الراديوية</w:t>
      </w:r>
      <w:r w:rsidRPr="005926BB">
        <w:rPr>
          <w:rFonts w:hint="cs"/>
          <w:rtl/>
        </w:rPr>
        <w:t xml:space="preserve">، </w:t>
      </w:r>
      <w:r w:rsidRPr="005926BB">
        <w:rPr>
          <w:rtl/>
        </w:rPr>
        <w:t xml:space="preserve">ويحتوي على </w:t>
      </w:r>
      <w:r w:rsidRPr="005926BB">
        <w:rPr>
          <w:rFonts w:hint="cs"/>
          <w:rtl/>
        </w:rPr>
        <w:t>مجموعة من ا</w:t>
      </w:r>
      <w:r w:rsidRPr="005926BB">
        <w:rPr>
          <w:rtl/>
        </w:rPr>
        <w:t xml:space="preserve">لروابط إلى المعلومات المتاحة والموثوقة بشأن المواضيع الموضحة في الفقرة </w:t>
      </w:r>
      <w:r>
        <w:rPr>
          <w:rFonts w:hint="cs"/>
          <w:rtl/>
        </w:rPr>
        <w:t>2</w:t>
      </w:r>
      <w:r w:rsidRPr="005926BB">
        <w:rPr>
          <w:rtl/>
        </w:rPr>
        <w:t xml:space="preserve"> من</w:t>
      </w:r>
      <w:r w:rsidRPr="005926BB">
        <w:rPr>
          <w:rFonts w:hint="cs"/>
          <w:rtl/>
        </w:rPr>
        <w:t xml:space="preserve"> </w:t>
      </w:r>
      <w:r w:rsidRPr="00EA59FA">
        <w:rPr>
          <w:rFonts w:hint="cs"/>
          <w:rtl/>
        </w:rPr>
        <w:t>"</w:t>
      </w:r>
      <w:r>
        <w:rPr>
          <w:rFonts w:hint="cs"/>
          <w:i/>
          <w:iCs/>
          <w:rtl/>
        </w:rPr>
        <w:t>ت</w:t>
      </w:r>
      <w:r w:rsidRPr="005926BB">
        <w:rPr>
          <w:rFonts w:hint="cs"/>
          <w:i/>
          <w:iCs/>
          <w:rtl/>
        </w:rPr>
        <w:t>قرر</w:t>
      </w:r>
      <w:r w:rsidR="008916AA" w:rsidRPr="008A4249">
        <w:rPr>
          <w:rtl/>
        </w:rPr>
        <w:t xml:space="preserve">، </w:t>
      </w:r>
      <w:r w:rsidR="008916AA" w:rsidRPr="00AB7C13">
        <w:rPr>
          <w:i/>
          <w:iCs/>
          <w:rtl/>
        </w:rPr>
        <w:t>كمسألة ملحة، دعوة قطاع الاتصالات الراديوية بالاتحاد الدولي</w:t>
      </w:r>
      <w:r w:rsidR="00EA59FA">
        <w:rPr>
          <w:rFonts w:hint="cs"/>
          <w:i/>
          <w:iCs/>
          <w:rtl/>
        </w:rPr>
        <w:t xml:space="preserve"> للاتصالات</w:t>
      </w:r>
      <w:r w:rsidRPr="00EA59FA">
        <w:rPr>
          <w:rFonts w:hint="cs"/>
          <w:rtl/>
        </w:rPr>
        <w:t>"</w:t>
      </w:r>
      <w:r w:rsidR="00EA59FA">
        <w:rPr>
          <w:rFonts w:hint="cs"/>
          <w:rtl/>
        </w:rPr>
        <w:t xml:space="preserve"> </w:t>
      </w:r>
      <w:r w:rsidRPr="005926BB">
        <w:rPr>
          <w:rFonts w:hint="cs"/>
          <w:rtl/>
        </w:rPr>
        <w:t>في</w:t>
      </w:r>
      <w:r w:rsidRPr="005926BB">
        <w:rPr>
          <w:rtl/>
        </w:rPr>
        <w:t xml:space="preserve"> هذا القرار</w:t>
      </w:r>
      <w:r w:rsidRPr="005926BB">
        <w:rPr>
          <w:rFonts w:hint="cs"/>
          <w:rtl/>
        </w:rPr>
        <w:t>؛</w:t>
      </w:r>
    </w:p>
    <w:p w14:paraId="77DFBE2D" w14:textId="77777777" w:rsidR="00487B85" w:rsidRDefault="00487B85" w:rsidP="00487B85">
      <w:pPr>
        <w:rPr>
          <w:rtl/>
        </w:rPr>
      </w:pPr>
      <w:r>
        <w:rPr>
          <w:rFonts w:hint="cs"/>
          <w:rtl/>
        </w:rPr>
        <w:t>3</w:t>
      </w:r>
      <w:r>
        <w:rPr>
          <w:rtl/>
        </w:rPr>
        <w:tab/>
      </w:r>
      <w:r w:rsidRPr="00180700">
        <w:rPr>
          <w:rtl/>
        </w:rPr>
        <w:t>بالتعاون وتبادل المعلومات مع منظمات الأمم المتحدة الأخرى المعنية بالأنشطة الفضائية، ومع منظمات الأمم المتحدة الأخرى، وكذلك مع مكتب الأمم المتحدة لشؤون الفضاء الخارجي ولجنة الأمم المتحدة لاستخدام الفضاء الخارجي في الأغراض السلمية، أثناء الدراسات التي تجرى في نطاق هذا القرار</w:t>
      </w:r>
      <w:r>
        <w:rPr>
          <w:rFonts w:hint="cs"/>
          <w:rtl/>
        </w:rPr>
        <w:t>،</w:t>
      </w:r>
    </w:p>
    <w:p w14:paraId="5D8FAC46" w14:textId="77777777" w:rsidR="00487B85" w:rsidRPr="00DA6164" w:rsidRDefault="00487B85" w:rsidP="00487B85">
      <w:pPr>
        <w:pStyle w:val="Call"/>
        <w:rPr>
          <w:rtl/>
          <w:lang w:bidi="ar-SY"/>
        </w:rPr>
      </w:pPr>
      <w:r>
        <w:rPr>
          <w:rFonts w:hint="cs"/>
          <w:rtl/>
          <w:lang w:bidi="ar-SY"/>
        </w:rPr>
        <w:t>تشجع</w:t>
      </w:r>
      <w:r w:rsidRPr="00A07842">
        <w:rPr>
          <w:rtl/>
          <w:lang w:bidi="ar-SY"/>
        </w:rPr>
        <w:t xml:space="preserve"> الإدارات وأعضاء قطاع الاتصالات الراديوية</w:t>
      </w:r>
      <w:r w:rsidRPr="00A07842">
        <w:rPr>
          <w:rFonts w:hint="cs"/>
          <w:rtl/>
          <w:lang w:bidi="ar-SY"/>
        </w:rPr>
        <w:t xml:space="preserve"> بالاتحاد</w:t>
      </w:r>
      <w:r w:rsidRPr="00A07842">
        <w:rPr>
          <w:rtl/>
          <w:lang w:bidi="ar-SY"/>
        </w:rPr>
        <w:t xml:space="preserve"> </w:t>
      </w:r>
      <w:r>
        <w:rPr>
          <w:rFonts w:hint="cs"/>
          <w:rtl/>
          <w:lang w:bidi="ar-SY"/>
        </w:rPr>
        <w:t>على</w:t>
      </w:r>
    </w:p>
    <w:p w14:paraId="6BD0D0DE" w14:textId="2443DA6D" w:rsidR="00487B85" w:rsidRPr="00260D91" w:rsidRDefault="00487B85" w:rsidP="00AB7C13">
      <w:pPr>
        <w:rPr>
          <w:lang w:val="en-GB" w:bidi="ar-EG"/>
        </w:rPr>
      </w:pPr>
      <w:r w:rsidRPr="00260D91">
        <w:rPr>
          <w:rtl/>
          <w:lang w:bidi="ar-EG"/>
        </w:rPr>
        <w:t>المشاركة بنشاط في تنفيذ هذا القرار من خلال جملة أمور منها تقديم مساهمات إلى لجان دراسات الاتصالات الراديوية</w:t>
      </w:r>
      <w:r w:rsidRPr="00260D91">
        <w:rPr>
          <w:rFonts w:hint="cs"/>
          <w:rtl/>
          <w:lang w:val="en-GB" w:bidi="ar-EG"/>
        </w:rPr>
        <w:t>،</w:t>
      </w:r>
    </w:p>
    <w:p w14:paraId="44E9D3E0" w14:textId="77777777" w:rsidR="00487B85" w:rsidRPr="00DA6164" w:rsidRDefault="00487B85" w:rsidP="00487B85">
      <w:pPr>
        <w:pStyle w:val="Call"/>
        <w:rPr>
          <w:rtl/>
          <w:lang w:bidi="ar-SY"/>
        </w:rPr>
      </w:pPr>
      <w:r>
        <w:rPr>
          <w:rFonts w:hint="cs"/>
          <w:rtl/>
          <w:lang w:bidi="ar-SY"/>
        </w:rPr>
        <w:t>تطلب من الأمين العام للاتحاد</w:t>
      </w:r>
    </w:p>
    <w:p w14:paraId="597222B2" w14:textId="77777777" w:rsidR="00487B85" w:rsidRDefault="00487B85" w:rsidP="00AB7C13">
      <w:pPr>
        <w:rPr>
          <w:rtl/>
          <w:lang w:bidi="ar-SY"/>
        </w:rPr>
      </w:pPr>
      <w:r w:rsidRPr="001C54C9">
        <w:rPr>
          <w:rtl/>
          <w:lang w:bidi="ar-SY"/>
        </w:rPr>
        <w:t>‏إحاطة مكتب الأمم المتحدة لشؤون الفضاء الخارجي علما</w:t>
      </w:r>
      <w:r>
        <w:rPr>
          <w:rFonts w:hint="cs"/>
          <w:rtl/>
          <w:lang w:bidi="ar-SY"/>
        </w:rPr>
        <w:t>ً</w:t>
      </w:r>
      <w:r w:rsidRPr="001C54C9">
        <w:rPr>
          <w:rtl/>
          <w:lang w:bidi="ar-SY"/>
        </w:rPr>
        <w:t xml:space="preserve"> بهذا القرار</w:t>
      </w:r>
      <w:r>
        <w:rPr>
          <w:rFonts w:hint="cs"/>
          <w:rtl/>
          <w:cs/>
          <w:lang w:bidi="ar-SY"/>
        </w:rPr>
        <w:t>.</w:t>
      </w:r>
    </w:p>
    <w:sectPr w:rsidR="00487B85" w:rsidSect="004D4AE6">
      <w:headerReference w:type="even" r:id="rId10"/>
      <w:headerReference w:type="default" r:id="rId11"/>
      <w:footerReference w:type="first" r:id="rId12"/>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0A060" w14:textId="77777777" w:rsidR="00916C60" w:rsidRDefault="00916C60" w:rsidP="002919E1">
      <w:r>
        <w:separator/>
      </w:r>
    </w:p>
    <w:p w14:paraId="211555D3" w14:textId="77777777" w:rsidR="00916C60" w:rsidRDefault="00916C60" w:rsidP="002919E1"/>
    <w:p w14:paraId="4A8A360D" w14:textId="77777777" w:rsidR="00916C60" w:rsidRDefault="00916C60" w:rsidP="002919E1"/>
    <w:p w14:paraId="3348659E" w14:textId="77777777" w:rsidR="00916C60" w:rsidRDefault="00916C60"/>
  </w:endnote>
  <w:endnote w:type="continuationSeparator" w:id="0">
    <w:p w14:paraId="73A53B26" w14:textId="77777777" w:rsidR="00916C60" w:rsidRDefault="00916C60" w:rsidP="002919E1">
      <w:r>
        <w:continuationSeparator/>
      </w:r>
    </w:p>
    <w:p w14:paraId="24DB231B" w14:textId="77777777" w:rsidR="00916C60" w:rsidRDefault="00916C60" w:rsidP="002919E1"/>
    <w:p w14:paraId="05DE97DB" w14:textId="77777777" w:rsidR="00916C60" w:rsidRDefault="00916C60" w:rsidP="002919E1"/>
    <w:p w14:paraId="47746641" w14:textId="77777777" w:rsidR="00916C60" w:rsidRDefault="00916C60"/>
  </w:endnote>
  <w:endnote w:type="continuationNotice" w:id="1">
    <w:p w14:paraId="6FA5EDDD" w14:textId="77777777" w:rsidR="00916C60" w:rsidRDefault="00916C60">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12124" w14:textId="3663470E" w:rsidR="00281F5F" w:rsidRPr="00C44B66" w:rsidRDefault="00281F5F" w:rsidP="00A7234E">
    <w:pPr>
      <w:pStyle w:val="Footer"/>
      <w:tabs>
        <w:tab w:val="clear" w:pos="1134"/>
        <w:tab w:val="clear" w:pos="1871"/>
        <w:tab w:val="clear" w:pos="2268"/>
        <w:tab w:val="clear" w:pos="5812"/>
        <w:tab w:val="center" w:pos="5670"/>
      </w:tabs>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8C978" w14:textId="77777777" w:rsidR="00916C60" w:rsidRDefault="00916C60" w:rsidP="002919E1">
      <w:r>
        <w:separator/>
      </w:r>
    </w:p>
  </w:footnote>
  <w:footnote w:type="continuationSeparator" w:id="0">
    <w:p w14:paraId="4D947783" w14:textId="77777777" w:rsidR="00916C60" w:rsidRDefault="00916C60" w:rsidP="002919E1">
      <w:r>
        <w:continuationSeparator/>
      </w:r>
    </w:p>
    <w:p w14:paraId="53B9C989" w14:textId="77777777" w:rsidR="00916C60" w:rsidRDefault="00916C60" w:rsidP="002919E1"/>
    <w:p w14:paraId="19756AA8" w14:textId="77777777" w:rsidR="00916C60" w:rsidRDefault="00916C60" w:rsidP="002919E1"/>
    <w:p w14:paraId="4889795C" w14:textId="77777777" w:rsidR="00916C60" w:rsidRDefault="00916C60"/>
  </w:footnote>
  <w:footnote w:type="continuationNotice" w:id="1">
    <w:p w14:paraId="224F0799" w14:textId="77777777" w:rsidR="00916C60" w:rsidRDefault="00916C60">
      <w:pPr>
        <w:spacing w:before="0" w:line="240" w:lineRule="auto"/>
      </w:pPr>
    </w:p>
  </w:footnote>
  <w:footnote w:id="2">
    <w:p w14:paraId="36637501" w14:textId="77777777" w:rsidR="00487B85" w:rsidRDefault="00487B85" w:rsidP="00487B85">
      <w:pPr>
        <w:pStyle w:val="FootnoteText"/>
      </w:pPr>
      <w:r>
        <w:rPr>
          <w:rStyle w:val="FootnoteReference"/>
          <w:rtl/>
        </w:rPr>
        <w:t>1</w:t>
      </w:r>
      <w:r>
        <w:rPr>
          <w:rtl/>
        </w:rPr>
        <w:tab/>
      </w:r>
      <w:r w:rsidRPr="008A4249">
        <w:rPr>
          <w:rFonts w:hint="cs"/>
          <w:rtl/>
          <w:lang w:bidi="ar-SA"/>
        </w:rPr>
        <w:t>انظر أيضاً مكتب الأمم المتحدة لشؤون الفضاء،</w:t>
      </w:r>
      <w:r>
        <w:rPr>
          <w:rFonts w:hint="cs"/>
          <w:rtl/>
        </w:rPr>
        <w:t xml:space="preserve"> </w:t>
      </w:r>
      <w:hyperlink r:id="rId1" w:history="1">
        <w:r w:rsidRPr="009257BF">
          <w:rPr>
            <w:rStyle w:val="Hyperlink"/>
          </w:rPr>
          <w:t>https://www.unoosa.org/</w:t>
        </w:r>
      </w:hyperlink>
      <w:r>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FD2BB" w14:textId="77777777" w:rsidR="00281F5F" w:rsidRDefault="00281F5F" w:rsidP="002919E1"/>
  <w:p w14:paraId="49841564" w14:textId="77777777" w:rsidR="00281F5F" w:rsidRDefault="00281F5F" w:rsidP="002919E1"/>
  <w:p w14:paraId="6B3585C7"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18564" w14:textId="686203DA" w:rsidR="00281F5F" w:rsidRPr="0088384B" w:rsidRDefault="00281F5F" w:rsidP="005730DF">
    <w:pPr>
      <w:bidi w:val="0"/>
      <w:spacing w:after="240"/>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FF5FEC">
      <w:rPr>
        <w:rStyle w:val="PageNumber"/>
        <w:noProof/>
      </w:rPr>
      <w:t>3</w:t>
    </w:r>
    <w:r w:rsidRPr="0088384B">
      <w:rPr>
        <w:rStyle w:val="PageNumb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ar-SA" w:vendorID="4" w:dllVersion="512" w:checkStyle="0"/>
  <w:activeWritingStyle w:appName="MSWord" w:lang="ar-EG" w:vendorID="4" w:dllVersion="512" w:checkStyle="1"/>
  <w:activeWritingStyle w:appName="MSWord" w:lang="ar-SY" w:vendorID="4" w:dllVersion="512" w:checkStyle="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B85"/>
    <w:rsid w:val="00004910"/>
    <w:rsid w:val="00011021"/>
    <w:rsid w:val="000114EC"/>
    <w:rsid w:val="000116F0"/>
    <w:rsid w:val="00011F8C"/>
    <w:rsid w:val="00015A76"/>
    <w:rsid w:val="00022B74"/>
    <w:rsid w:val="0002327C"/>
    <w:rsid w:val="00034B65"/>
    <w:rsid w:val="00040C94"/>
    <w:rsid w:val="000425FC"/>
    <w:rsid w:val="00044D43"/>
    <w:rsid w:val="00051907"/>
    <w:rsid w:val="000572AE"/>
    <w:rsid w:val="00075A3F"/>
    <w:rsid w:val="000A1B16"/>
    <w:rsid w:val="000A7AEA"/>
    <w:rsid w:val="000B3896"/>
    <w:rsid w:val="000B5404"/>
    <w:rsid w:val="000D1708"/>
    <w:rsid w:val="000E2AFC"/>
    <w:rsid w:val="000E6D30"/>
    <w:rsid w:val="000F05F5"/>
    <w:rsid w:val="000F518F"/>
    <w:rsid w:val="0010081C"/>
    <w:rsid w:val="001013E3"/>
    <w:rsid w:val="0010363F"/>
    <w:rsid w:val="00123AA6"/>
    <w:rsid w:val="0012545F"/>
    <w:rsid w:val="00135CFB"/>
    <w:rsid w:val="00136B82"/>
    <w:rsid w:val="001464F2"/>
    <w:rsid w:val="00167364"/>
    <w:rsid w:val="001903B2"/>
    <w:rsid w:val="001B5953"/>
    <w:rsid w:val="001D746E"/>
    <w:rsid w:val="001E190C"/>
    <w:rsid w:val="001E51EE"/>
    <w:rsid w:val="001E54F6"/>
    <w:rsid w:val="001E5A8C"/>
    <w:rsid w:val="001F09EA"/>
    <w:rsid w:val="00201A0A"/>
    <w:rsid w:val="00204997"/>
    <w:rsid w:val="002075D4"/>
    <w:rsid w:val="00211B2A"/>
    <w:rsid w:val="00223C6C"/>
    <w:rsid w:val="002333A0"/>
    <w:rsid w:val="002543CF"/>
    <w:rsid w:val="0026062E"/>
    <w:rsid w:val="00260F50"/>
    <w:rsid w:val="00261EF7"/>
    <w:rsid w:val="0026671B"/>
    <w:rsid w:val="0027069F"/>
    <w:rsid w:val="0027292E"/>
    <w:rsid w:val="00280E04"/>
    <w:rsid w:val="00281F5F"/>
    <w:rsid w:val="002843E4"/>
    <w:rsid w:val="002919E1"/>
    <w:rsid w:val="00295917"/>
    <w:rsid w:val="00296071"/>
    <w:rsid w:val="002A4572"/>
    <w:rsid w:val="002A7E2E"/>
    <w:rsid w:val="002B12C5"/>
    <w:rsid w:val="002B16D8"/>
    <w:rsid w:val="002C021A"/>
    <w:rsid w:val="002D5F64"/>
    <w:rsid w:val="002D6BB4"/>
    <w:rsid w:val="002D6FBF"/>
    <w:rsid w:val="002E48BF"/>
    <w:rsid w:val="002E61C2"/>
    <w:rsid w:val="002F3031"/>
    <w:rsid w:val="002F3E46"/>
    <w:rsid w:val="0030601A"/>
    <w:rsid w:val="00311E3F"/>
    <w:rsid w:val="00314B1E"/>
    <w:rsid w:val="0033737F"/>
    <w:rsid w:val="003431F2"/>
    <w:rsid w:val="00353652"/>
    <w:rsid w:val="003569E1"/>
    <w:rsid w:val="00360D2D"/>
    <w:rsid w:val="003815E2"/>
    <w:rsid w:val="00381FAD"/>
    <w:rsid w:val="00382A66"/>
    <w:rsid w:val="003923B1"/>
    <w:rsid w:val="0039465C"/>
    <w:rsid w:val="003965FE"/>
    <w:rsid w:val="003978DD"/>
    <w:rsid w:val="003B27AD"/>
    <w:rsid w:val="003B4F23"/>
    <w:rsid w:val="003C12F6"/>
    <w:rsid w:val="003C3A13"/>
    <w:rsid w:val="003E02EF"/>
    <w:rsid w:val="003E1D90"/>
    <w:rsid w:val="00400CD4"/>
    <w:rsid w:val="00403E5B"/>
    <w:rsid w:val="004147B9"/>
    <w:rsid w:val="00422C04"/>
    <w:rsid w:val="00423A40"/>
    <w:rsid w:val="00426144"/>
    <w:rsid w:val="004636E2"/>
    <w:rsid w:val="00464B03"/>
    <w:rsid w:val="00467578"/>
    <w:rsid w:val="00470CBD"/>
    <w:rsid w:val="0047407D"/>
    <w:rsid w:val="00487B85"/>
    <w:rsid w:val="004909DD"/>
    <w:rsid w:val="004A05E6"/>
    <w:rsid w:val="004A6230"/>
    <w:rsid w:val="004A6C66"/>
    <w:rsid w:val="004A7AA0"/>
    <w:rsid w:val="004C11BC"/>
    <w:rsid w:val="004C5C04"/>
    <w:rsid w:val="004D0448"/>
    <w:rsid w:val="004D0FF3"/>
    <w:rsid w:val="004D10E4"/>
    <w:rsid w:val="004D4AE6"/>
    <w:rsid w:val="004D51F7"/>
    <w:rsid w:val="004F0BED"/>
    <w:rsid w:val="00505FCA"/>
    <w:rsid w:val="00510C2D"/>
    <w:rsid w:val="00516042"/>
    <w:rsid w:val="005166A4"/>
    <w:rsid w:val="005169F4"/>
    <w:rsid w:val="005210D1"/>
    <w:rsid w:val="00523146"/>
    <w:rsid w:val="00523275"/>
    <w:rsid w:val="00531DC7"/>
    <w:rsid w:val="005350B0"/>
    <w:rsid w:val="005431B5"/>
    <w:rsid w:val="00546A99"/>
    <w:rsid w:val="00553411"/>
    <w:rsid w:val="00553F66"/>
    <w:rsid w:val="00554AE7"/>
    <w:rsid w:val="00564746"/>
    <w:rsid w:val="0056512C"/>
    <w:rsid w:val="00567F38"/>
    <w:rsid w:val="005730DF"/>
    <w:rsid w:val="0057610B"/>
    <w:rsid w:val="00576D0A"/>
    <w:rsid w:val="00576FCC"/>
    <w:rsid w:val="00584333"/>
    <w:rsid w:val="005953EC"/>
    <w:rsid w:val="00595DC6"/>
    <w:rsid w:val="005B00A1"/>
    <w:rsid w:val="005C29C8"/>
    <w:rsid w:val="005C5D25"/>
    <w:rsid w:val="005C7267"/>
    <w:rsid w:val="005D2606"/>
    <w:rsid w:val="005D6D48"/>
    <w:rsid w:val="005D72A4"/>
    <w:rsid w:val="005E1F7C"/>
    <w:rsid w:val="005F05CC"/>
    <w:rsid w:val="005F65DE"/>
    <w:rsid w:val="006103AC"/>
    <w:rsid w:val="00613492"/>
    <w:rsid w:val="00630905"/>
    <w:rsid w:val="006315B5"/>
    <w:rsid w:val="0065562F"/>
    <w:rsid w:val="006577C0"/>
    <w:rsid w:val="006779A4"/>
    <w:rsid w:val="00680A66"/>
    <w:rsid w:val="00681391"/>
    <w:rsid w:val="00694690"/>
    <w:rsid w:val="0069526C"/>
    <w:rsid w:val="006A093D"/>
    <w:rsid w:val="006A12AC"/>
    <w:rsid w:val="006A2162"/>
    <w:rsid w:val="006B4B90"/>
    <w:rsid w:val="006B658C"/>
    <w:rsid w:val="006D2674"/>
    <w:rsid w:val="006E38D0"/>
    <w:rsid w:val="006E465B"/>
    <w:rsid w:val="006F70BF"/>
    <w:rsid w:val="0070709D"/>
    <w:rsid w:val="00716B1D"/>
    <w:rsid w:val="007248EC"/>
    <w:rsid w:val="00726744"/>
    <w:rsid w:val="00731150"/>
    <w:rsid w:val="00734E41"/>
    <w:rsid w:val="007351CE"/>
    <w:rsid w:val="00736DCC"/>
    <w:rsid w:val="00741855"/>
    <w:rsid w:val="00742B73"/>
    <w:rsid w:val="00751251"/>
    <w:rsid w:val="007610E7"/>
    <w:rsid w:val="00764079"/>
    <w:rsid w:val="00770AA0"/>
    <w:rsid w:val="00771F7E"/>
    <w:rsid w:val="00773E9C"/>
    <w:rsid w:val="00776F6B"/>
    <w:rsid w:val="00777694"/>
    <w:rsid w:val="00786A7E"/>
    <w:rsid w:val="007A0802"/>
    <w:rsid w:val="007B1FCA"/>
    <w:rsid w:val="007C2C12"/>
    <w:rsid w:val="007C3CFA"/>
    <w:rsid w:val="007E0E8B"/>
    <w:rsid w:val="007E6847"/>
    <w:rsid w:val="007E6B0A"/>
    <w:rsid w:val="007F08CA"/>
    <w:rsid w:val="007F7FC3"/>
    <w:rsid w:val="00801238"/>
    <w:rsid w:val="008054A7"/>
    <w:rsid w:val="00810482"/>
    <w:rsid w:val="00817568"/>
    <w:rsid w:val="0081767F"/>
    <w:rsid w:val="008204AC"/>
    <w:rsid w:val="008261C2"/>
    <w:rsid w:val="00827482"/>
    <w:rsid w:val="00830D96"/>
    <w:rsid w:val="0085569D"/>
    <w:rsid w:val="00855B59"/>
    <w:rsid w:val="0085774F"/>
    <w:rsid w:val="008614B8"/>
    <w:rsid w:val="008657CB"/>
    <w:rsid w:val="00873A6F"/>
    <w:rsid w:val="0088384B"/>
    <w:rsid w:val="008916AA"/>
    <w:rsid w:val="00893E53"/>
    <w:rsid w:val="00893F8D"/>
    <w:rsid w:val="008A1137"/>
    <w:rsid w:val="008A1788"/>
    <w:rsid w:val="008A3E57"/>
    <w:rsid w:val="008A4185"/>
    <w:rsid w:val="008A6552"/>
    <w:rsid w:val="008B4E93"/>
    <w:rsid w:val="008B52B7"/>
    <w:rsid w:val="008C3818"/>
    <w:rsid w:val="008D6ACC"/>
    <w:rsid w:val="008D7AF0"/>
    <w:rsid w:val="008E2CBE"/>
    <w:rsid w:val="008E32DD"/>
    <w:rsid w:val="008F4626"/>
    <w:rsid w:val="009004DF"/>
    <w:rsid w:val="00904AA5"/>
    <w:rsid w:val="009109D7"/>
    <w:rsid w:val="00916C60"/>
    <w:rsid w:val="00951718"/>
    <w:rsid w:val="00960962"/>
    <w:rsid w:val="00972CE0"/>
    <w:rsid w:val="009A3D30"/>
    <w:rsid w:val="009D6348"/>
    <w:rsid w:val="009E5007"/>
    <w:rsid w:val="009E613F"/>
    <w:rsid w:val="009F042B"/>
    <w:rsid w:val="00A03F63"/>
    <w:rsid w:val="00A03FD6"/>
    <w:rsid w:val="00A04CF4"/>
    <w:rsid w:val="00A116A8"/>
    <w:rsid w:val="00A17E61"/>
    <w:rsid w:val="00A22AE9"/>
    <w:rsid w:val="00A26758"/>
    <w:rsid w:val="00A26D0E"/>
    <w:rsid w:val="00A27205"/>
    <w:rsid w:val="00A278E9"/>
    <w:rsid w:val="00A318C9"/>
    <w:rsid w:val="00A3451F"/>
    <w:rsid w:val="00A3584A"/>
    <w:rsid w:val="00A35E1F"/>
    <w:rsid w:val="00A36268"/>
    <w:rsid w:val="00A375BD"/>
    <w:rsid w:val="00A40B2C"/>
    <w:rsid w:val="00A42ADC"/>
    <w:rsid w:val="00A66D2B"/>
    <w:rsid w:val="00A7234E"/>
    <w:rsid w:val="00A809E8"/>
    <w:rsid w:val="00A870AD"/>
    <w:rsid w:val="00A90843"/>
    <w:rsid w:val="00A93DD0"/>
    <w:rsid w:val="00A9645C"/>
    <w:rsid w:val="00AB2A33"/>
    <w:rsid w:val="00AB7C13"/>
    <w:rsid w:val="00AC1275"/>
    <w:rsid w:val="00AC1AB9"/>
    <w:rsid w:val="00AC7395"/>
    <w:rsid w:val="00AD162B"/>
    <w:rsid w:val="00AD690F"/>
    <w:rsid w:val="00AD69DD"/>
    <w:rsid w:val="00AE6B26"/>
    <w:rsid w:val="00AF22C1"/>
    <w:rsid w:val="00AF3EFA"/>
    <w:rsid w:val="00AF41D1"/>
    <w:rsid w:val="00B01623"/>
    <w:rsid w:val="00B033DF"/>
    <w:rsid w:val="00B039AD"/>
    <w:rsid w:val="00B07CEE"/>
    <w:rsid w:val="00B12661"/>
    <w:rsid w:val="00B14B47"/>
    <w:rsid w:val="00B16045"/>
    <w:rsid w:val="00B1667D"/>
    <w:rsid w:val="00B1714C"/>
    <w:rsid w:val="00B357E9"/>
    <w:rsid w:val="00B4164D"/>
    <w:rsid w:val="00B425C1"/>
    <w:rsid w:val="00B606BA"/>
    <w:rsid w:val="00B66817"/>
    <w:rsid w:val="00B71E3B"/>
    <w:rsid w:val="00B721D5"/>
    <w:rsid w:val="00B723AA"/>
    <w:rsid w:val="00B81CB5"/>
    <w:rsid w:val="00B8351F"/>
    <w:rsid w:val="00B86C44"/>
    <w:rsid w:val="00B9727C"/>
    <w:rsid w:val="00BA7D44"/>
    <w:rsid w:val="00BD6291"/>
    <w:rsid w:val="00BD6EF3"/>
    <w:rsid w:val="00BE1956"/>
    <w:rsid w:val="00BE65DF"/>
    <w:rsid w:val="00BE69C3"/>
    <w:rsid w:val="00C1165E"/>
    <w:rsid w:val="00C172C8"/>
    <w:rsid w:val="00C22074"/>
    <w:rsid w:val="00C2377B"/>
    <w:rsid w:val="00C34E09"/>
    <w:rsid w:val="00C3693C"/>
    <w:rsid w:val="00C449F7"/>
    <w:rsid w:val="00C44B66"/>
    <w:rsid w:val="00C53F6F"/>
    <w:rsid w:val="00C5489D"/>
    <w:rsid w:val="00C71759"/>
    <w:rsid w:val="00C8199C"/>
    <w:rsid w:val="00C84112"/>
    <w:rsid w:val="00C841EB"/>
    <w:rsid w:val="00C8665F"/>
    <w:rsid w:val="00C917B5"/>
    <w:rsid w:val="00C94DFA"/>
    <w:rsid w:val="00CA298C"/>
    <w:rsid w:val="00CB2BF9"/>
    <w:rsid w:val="00CB4300"/>
    <w:rsid w:val="00CB454E"/>
    <w:rsid w:val="00CC030E"/>
    <w:rsid w:val="00CC68C4"/>
    <w:rsid w:val="00CC7897"/>
    <w:rsid w:val="00CC79A4"/>
    <w:rsid w:val="00CD0FDE"/>
    <w:rsid w:val="00CD1574"/>
    <w:rsid w:val="00CE0E68"/>
    <w:rsid w:val="00CE5BA4"/>
    <w:rsid w:val="00CF5672"/>
    <w:rsid w:val="00D15F20"/>
    <w:rsid w:val="00D25120"/>
    <w:rsid w:val="00D31F40"/>
    <w:rsid w:val="00D419CB"/>
    <w:rsid w:val="00D44350"/>
    <w:rsid w:val="00D44E3F"/>
    <w:rsid w:val="00D51BB8"/>
    <w:rsid w:val="00D525F5"/>
    <w:rsid w:val="00D535D0"/>
    <w:rsid w:val="00D577D8"/>
    <w:rsid w:val="00D615C0"/>
    <w:rsid w:val="00D62C78"/>
    <w:rsid w:val="00D81703"/>
    <w:rsid w:val="00D82929"/>
    <w:rsid w:val="00D84214"/>
    <w:rsid w:val="00D8707A"/>
    <w:rsid w:val="00D943E5"/>
    <w:rsid w:val="00DA1AE0"/>
    <w:rsid w:val="00DC29DD"/>
    <w:rsid w:val="00DC7C0E"/>
    <w:rsid w:val="00DE7387"/>
    <w:rsid w:val="00DF2A6A"/>
    <w:rsid w:val="00DF3B72"/>
    <w:rsid w:val="00E10821"/>
    <w:rsid w:val="00E2489D"/>
    <w:rsid w:val="00E26520"/>
    <w:rsid w:val="00E26732"/>
    <w:rsid w:val="00E343A3"/>
    <w:rsid w:val="00E47277"/>
    <w:rsid w:val="00E51BFA"/>
    <w:rsid w:val="00E52687"/>
    <w:rsid w:val="00E621A3"/>
    <w:rsid w:val="00E71B68"/>
    <w:rsid w:val="00E833BC"/>
    <w:rsid w:val="00E8580E"/>
    <w:rsid w:val="00E91322"/>
    <w:rsid w:val="00E97E21"/>
    <w:rsid w:val="00EA1B76"/>
    <w:rsid w:val="00EA59FA"/>
    <w:rsid w:val="00EA77D7"/>
    <w:rsid w:val="00EC09B9"/>
    <w:rsid w:val="00ED048C"/>
    <w:rsid w:val="00EE1E95"/>
    <w:rsid w:val="00EE60E9"/>
    <w:rsid w:val="00EF38AF"/>
    <w:rsid w:val="00F00143"/>
    <w:rsid w:val="00F055F8"/>
    <w:rsid w:val="00F10CB4"/>
    <w:rsid w:val="00F11B3D"/>
    <w:rsid w:val="00F146AC"/>
    <w:rsid w:val="00F14763"/>
    <w:rsid w:val="00F16212"/>
    <w:rsid w:val="00F16602"/>
    <w:rsid w:val="00F25B80"/>
    <w:rsid w:val="00F2685F"/>
    <w:rsid w:val="00F33A34"/>
    <w:rsid w:val="00F350C8"/>
    <w:rsid w:val="00F7426C"/>
    <w:rsid w:val="00F84613"/>
    <w:rsid w:val="00F8654D"/>
    <w:rsid w:val="00F86633"/>
    <w:rsid w:val="00F900C9"/>
    <w:rsid w:val="00F922B1"/>
    <w:rsid w:val="00F92C96"/>
    <w:rsid w:val="00F9363D"/>
    <w:rsid w:val="00F97D1C"/>
    <w:rsid w:val="00FA0D4E"/>
    <w:rsid w:val="00FB0753"/>
    <w:rsid w:val="00FB5CC8"/>
    <w:rsid w:val="00FC2CD0"/>
    <w:rsid w:val="00FD0594"/>
    <w:rsid w:val="00FF4FFF"/>
    <w:rsid w:val="00FF5FEC"/>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C05B77"/>
  <w15:docId w15:val="{8208FEAC-1485-47FD-A65B-1C88934D5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39AD"/>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873A6F"/>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styleId="FootnoteText">
    <w:name w:val="footnote text"/>
    <w:basedOn w:val="Normal"/>
    <w:link w:val="FootnoteTextChar"/>
    <w:rsid w:val="00BE1956"/>
    <w:pPr>
      <w:keepLines/>
      <w:tabs>
        <w:tab w:val="clear" w:pos="1134"/>
        <w:tab w:val="clear" w:pos="1871"/>
        <w:tab w:val="clear" w:pos="2268"/>
        <w:tab w:val="left" w:pos="397"/>
      </w:tabs>
      <w:spacing w:before="60"/>
    </w:pPr>
    <w:rPr>
      <w:sz w:val="18"/>
      <w:szCs w:val="18"/>
      <w:lang w:bidi="ar-EG"/>
    </w:rPr>
  </w:style>
  <w:style w:type="character" w:customStyle="1" w:styleId="FootnoteTextChar">
    <w:name w:val="Footnote Text Char"/>
    <w:basedOn w:val="DefaultParagraphFont"/>
    <w:link w:val="FootnoteText"/>
    <w:rsid w:val="00BE1956"/>
    <w:rPr>
      <w:rFonts w:ascii="Dubai" w:hAnsi="Dubai" w:cs="Dubai"/>
      <w:sz w:val="18"/>
      <w:szCs w:val="18"/>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2F3E46"/>
    <w:pPr>
      <w:tabs>
        <w:tab w:val="clear" w:pos="1134"/>
        <w:tab w:val="center" w:pos="4680"/>
        <w:tab w:val="right" w:pos="9360"/>
      </w:tabs>
    </w:pPr>
  </w:style>
  <w:style w:type="character" w:customStyle="1" w:styleId="HeaderChar">
    <w:name w:val="Header Char"/>
    <w:basedOn w:val="DefaultParagraphFont"/>
    <w:link w:val="Header"/>
    <w:rsid w:val="002F3E46"/>
    <w:rPr>
      <w:rFonts w:ascii="Dubai" w:hAnsi="Dubai" w:cs="Dubai"/>
      <w:sz w:val="22"/>
      <w:szCs w:val="22"/>
      <w:lang w:eastAsia="en-US"/>
    </w:rPr>
  </w:style>
  <w:style w:type="paragraph" w:customStyle="1" w:styleId="Note">
    <w:name w:val="Note"/>
    <w:basedOn w:val="Normal"/>
    <w:qFormat/>
    <w:rsid w:val="00D51BB8"/>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tabs>
        <w:tab w:val="clear" w:pos="1134"/>
        <w:tab w:val="clear" w:pos="1871"/>
        <w:tab w:val="clear" w:pos="2268"/>
      </w:tabs>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6103AC"/>
    <w:pPr>
      <w:spacing w:before="240"/>
    </w:pPr>
  </w:style>
  <w:style w:type="paragraph" w:customStyle="1" w:styleId="Call">
    <w:name w:val="Call"/>
    <w:basedOn w:val="Normal"/>
    <w:next w:val="Normal"/>
    <w:link w:val="CallChar"/>
    <w:rsid w:val="00A27205"/>
    <w:pPr>
      <w:keepNext/>
      <w:keepLines/>
      <w:spacing w:before="180"/>
      <w:ind w:firstLine="1134"/>
    </w:pPr>
    <w:rPr>
      <w:i/>
      <w:iCs/>
    </w:rPr>
  </w:style>
  <w:style w:type="character" w:customStyle="1" w:styleId="CallChar">
    <w:name w:val="Call Char"/>
    <w:basedOn w:val="DefaultParagraphFont"/>
    <w:link w:val="Call"/>
    <w:locked/>
    <w:rsid w:val="00A27205"/>
    <w:rPr>
      <w:rFonts w:ascii="Dubai" w:hAnsi="Dubai" w:cs="Dubai"/>
      <w:i/>
      <w:iCs/>
      <w:sz w:val="22"/>
      <w:szCs w:val="22"/>
      <w:lang w:eastAsia="en-US"/>
    </w:rPr>
  </w:style>
  <w:style w:type="paragraph" w:customStyle="1" w:styleId="enumlev1">
    <w:name w:val="enumlev1"/>
    <w:basedOn w:val="Normal"/>
    <w:next w:val="Normal"/>
    <w:link w:val="enumlev1Char"/>
    <w:qFormat/>
    <w:rsid w:val="005431B5"/>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5431B5"/>
    <w:rPr>
      <w:rFonts w:ascii="Dubai" w:hAnsi="Dubai" w:cs="Dubai"/>
      <w:sz w:val="22"/>
      <w:szCs w:val="22"/>
      <w:lang w:eastAsia="en-US"/>
    </w:rPr>
  </w:style>
  <w:style w:type="paragraph" w:customStyle="1" w:styleId="enumlev2">
    <w:name w:val="enumlev2"/>
    <w:basedOn w:val="enumlev1"/>
    <w:next w:val="Normal"/>
    <w:link w:val="enumlev2Char"/>
    <w:qFormat/>
    <w:rsid w:val="005431B5"/>
    <w:pPr>
      <w:ind w:left="1871" w:hanging="737"/>
    </w:pPr>
  </w:style>
  <w:style w:type="character" w:customStyle="1" w:styleId="enumlev2Char">
    <w:name w:val="enumlev2 Char"/>
    <w:basedOn w:val="enumlev1Char"/>
    <w:link w:val="enumlev2"/>
    <w:rsid w:val="005431B5"/>
    <w:rPr>
      <w:rFonts w:ascii="Dubai" w:hAnsi="Dubai" w:cs="Dubai"/>
      <w:sz w:val="22"/>
      <w:szCs w:val="22"/>
      <w:lang w:eastAsia="en-US"/>
    </w:rPr>
  </w:style>
  <w:style w:type="paragraph" w:customStyle="1" w:styleId="enumlev3">
    <w:name w:val="enumlev3"/>
    <w:basedOn w:val="enumlev2"/>
    <w:next w:val="Normal"/>
    <w:link w:val="enumlev3Char"/>
    <w:qFormat/>
    <w:rsid w:val="005431B5"/>
    <w:pPr>
      <w:tabs>
        <w:tab w:val="clear" w:pos="1134"/>
      </w:tabs>
      <w:ind w:left="2608"/>
    </w:pPr>
  </w:style>
  <w:style w:type="character" w:customStyle="1" w:styleId="enumlev3Char">
    <w:name w:val="enumlev3 Char"/>
    <w:basedOn w:val="enumlev2Char"/>
    <w:link w:val="enumlev3"/>
    <w:rsid w:val="005431B5"/>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F97D1C"/>
    <w:pPr>
      <w:keepNext/>
      <w:keepLine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12545F"/>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CC7897"/>
    <w:pPr>
      <w:keepNext/>
      <w:tabs>
        <w:tab w:val="left" w:pos="567"/>
        <w:tab w:val="left" w:pos="1701"/>
        <w:tab w:val="left" w:pos="2835"/>
      </w:tabs>
      <w:overflowPunct w:val="0"/>
      <w:autoSpaceDE w:val="0"/>
      <w:autoSpaceDN w:val="0"/>
      <w:adjustRightInd w:val="0"/>
      <w:spacing w:before="360" w:after="120"/>
      <w:jc w:val="center"/>
      <w:textAlignment w:val="baseline"/>
    </w:pPr>
    <w:rPr>
      <w:sz w:val="26"/>
      <w:szCs w:val="26"/>
      <w:lang w:val="en-GB" w:bidi="ar-EG"/>
    </w:rPr>
  </w:style>
  <w:style w:type="paragraph" w:customStyle="1" w:styleId="Annextitle">
    <w:name w:val="Annex_title"/>
    <w:basedOn w:val="Normal"/>
    <w:next w:val="Normal"/>
    <w:link w:val="AnnextitleChar"/>
    <w:rsid w:val="00CC7897"/>
    <w:pPr>
      <w:keepNext/>
      <w:tabs>
        <w:tab w:val="left" w:pos="567"/>
        <w:tab w:val="left" w:pos="1701"/>
        <w:tab w:val="left" w:pos="2835"/>
      </w:tabs>
      <w:overflowPunct w:val="0"/>
      <w:autoSpaceDE w:val="0"/>
      <w:autoSpaceDN w:val="0"/>
      <w:adjustRightInd w:val="0"/>
      <w:spacing w:after="360"/>
      <w:jc w:val="center"/>
      <w:textAlignment w:val="baseline"/>
    </w:pPr>
    <w:rPr>
      <w:b/>
      <w:bCs/>
      <w:sz w:val="26"/>
      <w:szCs w:val="26"/>
    </w:rPr>
  </w:style>
  <w:style w:type="character" w:customStyle="1" w:styleId="AnnextitleChar">
    <w:name w:val="Annex_title Char"/>
    <w:basedOn w:val="DefaultParagraphFont"/>
    <w:link w:val="Annextitle"/>
    <w:rsid w:val="00CC7897"/>
    <w:rPr>
      <w:rFonts w:ascii="Dubai" w:hAnsi="Dubai" w:cs="Dubai"/>
      <w:b/>
      <w:bCs/>
      <w:sz w:val="26"/>
      <w:szCs w:val="26"/>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tabs>
        <w:tab w:val="clear" w:pos="1134"/>
      </w:tabs>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clear" w:pos="1134"/>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tabs>
        <w:tab w:val="clear" w:pos="1134"/>
      </w:tabs>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8614B8"/>
    <w:pPr>
      <w:spacing w:after="360"/>
    </w:pPr>
  </w:style>
  <w:style w:type="paragraph" w:customStyle="1" w:styleId="Equationlegend">
    <w:name w:val="Equation_legend"/>
    <w:basedOn w:val="NormalIndent"/>
    <w:rsid w:val="002D6BB4"/>
    <w:pPr>
      <w:tabs>
        <w:tab w:val="clear" w:pos="1134"/>
        <w:tab w:val="clear" w:pos="1871"/>
        <w:tab w:val="clear" w:pos="2268"/>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clear" w:pos="1134"/>
        <w:tab w:val="clear" w:pos="1871"/>
        <w:tab w:val="clear" w:pos="2268"/>
        <w:tab w:val="left" w:pos="1985"/>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5431B5"/>
    <w:rPr>
      <w:szCs w:val="20"/>
    </w:rPr>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customStyle="1" w:styleId="Hashtag1">
    <w:name w:val="Hashtag1"/>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customStyle="1" w:styleId="Mention1">
    <w:name w:val="Mention1"/>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customStyle="1" w:styleId="SmartHyperlink1">
    <w:name w:val="Smart Hyperlink1"/>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tabs>
        <w:tab w:val="clear" w:pos="1134"/>
        <w:tab w:val="clear" w:pos="1871"/>
        <w:tab w:val="clear" w:pos="2268"/>
      </w:tabs>
      <w:ind w:left="221" w:hanging="221"/>
    </w:pPr>
  </w:style>
  <w:style w:type="paragraph" w:styleId="TableofFigures">
    <w:name w:val="table of figures"/>
    <w:basedOn w:val="Normal"/>
    <w:next w:val="Normal"/>
    <w:semiHidden/>
    <w:unhideWhenUsed/>
    <w:rsid w:val="00A04CF4"/>
    <w:pPr>
      <w:tabs>
        <w:tab w:val="clear" w:pos="1134"/>
        <w:tab w:val="clear" w:pos="1871"/>
        <w:tab w:val="clear" w:pos="2268"/>
      </w:tabs>
    </w:pPr>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Resdate">
    <w:name w:val="Res_date"/>
    <w:basedOn w:val="Normal"/>
    <w:qFormat/>
    <w:rsid w:val="00EE1E95"/>
    <w:pPr>
      <w:jc w:val="right"/>
    </w:pPr>
    <w:rPr>
      <w:lang w:bidi="ar-EG"/>
    </w:rPr>
  </w:style>
  <w:style w:type="paragraph" w:customStyle="1" w:styleId="Ques">
    <w:name w:val="Ques"/>
    <w:basedOn w:val="Normal"/>
    <w:rsid w:val="00CC7897"/>
    <w:rPr>
      <w:lang w:bidi="ar-EG"/>
    </w:rPr>
  </w:style>
  <w:style w:type="paragraph" w:customStyle="1" w:styleId="QuestionNo">
    <w:name w:val="Question_No"/>
    <w:basedOn w:val="AnnexNo"/>
    <w:qFormat/>
    <w:rsid w:val="00CC7897"/>
    <w:pPr>
      <w:framePr w:hSpace="181" w:wrap="around" w:vAnchor="page" w:hAnchor="text" w:xAlign="right" w:y="721"/>
    </w:pPr>
  </w:style>
  <w:style w:type="paragraph" w:customStyle="1" w:styleId="Questiontitle">
    <w:name w:val="Question_title"/>
    <w:basedOn w:val="Annextitle"/>
    <w:qFormat/>
    <w:rsid w:val="00CC7897"/>
  </w:style>
  <w:style w:type="paragraph" w:customStyle="1" w:styleId="Title4">
    <w:name w:val="Title 4"/>
    <w:basedOn w:val="Title3"/>
    <w:rsid w:val="006103AC"/>
    <w:pPr>
      <w:framePr w:hSpace="181" w:wrap="around" w:vAnchor="page" w:hAnchor="text" w:xAlign="right" w:y="721"/>
    </w:pPr>
    <w:rPr>
      <w:b/>
      <w:bCs/>
    </w:rPr>
  </w:style>
  <w:style w:type="paragraph" w:styleId="Revision">
    <w:name w:val="Revision"/>
    <w:hidden/>
    <w:uiPriority w:val="99"/>
    <w:semiHidden/>
    <w:rsid w:val="00487B85"/>
    <w:rPr>
      <w:rFonts w:ascii="Dubai" w:hAnsi="Dubai" w:cs="Duba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unoos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71E44D3260374C8AB15791486AF672" ma:contentTypeVersion="3" ma:contentTypeDescription="Create a new document." ma:contentTypeScope="" ma:versionID="f69fbecf095ace74c5cc90acc195c3fc">
  <xsd:schema xmlns:xsd="http://www.w3.org/2001/XMLSchema" xmlns:xs="http://www.w3.org/2001/XMLSchema" xmlns:p="http://schemas.microsoft.com/office/2006/metadata/properties" xmlns:ns2="182c4cff-5844-4b4c-8c88-96909af4d9b9" targetNamespace="http://schemas.microsoft.com/office/2006/metadata/properties" ma:root="true" ma:fieldsID="f50d2b9c15c5251ab789a43cebe36a3d" ns2:_="">
    <xsd:import namespace="182c4cff-5844-4b4c-8c88-96909af4d9b9"/>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2c4cff-5844-4b4c-8c88-96909af4d9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D2D3CE-7A0F-491A-BCAE-EAC419851FE8}">
  <ds:schemaRefs>
    <ds:schemaRef ds:uri="http://schemas.openxmlformats.org/officeDocument/2006/bibliography"/>
  </ds:schemaRefs>
</ds:datastoreItem>
</file>

<file path=customXml/itemProps2.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3.xml><?xml version="1.0" encoding="utf-8"?>
<ds:datastoreItem xmlns:ds="http://schemas.openxmlformats.org/officeDocument/2006/customXml" ds:itemID="{C17BBA9A-CEBC-4B52-A2C6-7C2F384590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2c4cff-5844-4b4c-8c88-96909af4d9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EFC4C3-DC4A-4907-A9BB-98121FAC99D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1250</Words>
  <Characters>7131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8365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Arabic_GE</dc:creator>
  <cp:keywords>WRC-12</cp:keywords>
  <cp:lastModifiedBy>Gomez, Yoanni</cp:lastModifiedBy>
  <cp:revision>12</cp:revision>
  <cp:lastPrinted>2019-06-26T19:10:00Z</cp:lastPrinted>
  <dcterms:created xsi:type="dcterms:W3CDTF">2023-11-20T15:41:00Z</dcterms:created>
  <dcterms:modified xsi:type="dcterms:W3CDTF">2023-11-22T06:10:00Z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0x010100EE71E44D3260374C8AB15791486AF672</vt:lpwstr>
  </property>
  <property fmtid="{D5CDD505-2E9C-101B-9397-08002B2CF9AE}" pid="9" name="_dlc_DocIdItemGuid">
    <vt:lpwstr>8e895a51-0127-4b82-941e-db47618fc5d7</vt:lpwstr>
  </property>
</Properties>
</file>