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6CA8" w14:textId="65DE0AC2" w:rsidR="003C0D99" w:rsidRDefault="003C0D99" w:rsidP="003C0D99">
      <w:pPr>
        <w:pStyle w:val="ResNo"/>
      </w:pPr>
      <w:r>
        <w:rPr>
          <w:rtl/>
        </w:rPr>
        <w:t xml:space="preserve">القرار </w:t>
      </w:r>
      <w:r>
        <w:t>ITU-R 73</w:t>
      </w:r>
    </w:p>
    <w:p w14:paraId="7EBB184C" w14:textId="35AB3D95" w:rsidR="00EE60E9" w:rsidRPr="005D728C" w:rsidRDefault="003C0D99" w:rsidP="005D728C">
      <w:pPr>
        <w:pStyle w:val="Restitle"/>
      </w:pPr>
      <w:r w:rsidRPr="005D728C">
        <w:rPr>
          <w:rtl/>
        </w:rPr>
        <w:t>استعمال تكنولوجيات الاتصالات المتنقلة الدولية من أجل النطاق العريض اللاسلكي الثابت</w:t>
      </w:r>
      <w:r w:rsidRPr="005D728C">
        <w:rPr>
          <w:rtl/>
        </w:rPr>
        <w:br/>
        <w:t>في نطاقات التردد الموزعة على أساس أولي للخدمة الثابتة</w:t>
      </w:r>
    </w:p>
    <w:p w14:paraId="1121FFE9" w14:textId="77777777" w:rsidR="003C0D99" w:rsidRPr="0060042D" w:rsidRDefault="003C0D99" w:rsidP="003C0D99">
      <w:pPr>
        <w:pStyle w:val="Resdate"/>
        <w:rPr>
          <w:rtl/>
        </w:rPr>
      </w:pPr>
      <w:r w:rsidRPr="0060042D">
        <w:t>(2023)</w:t>
      </w:r>
    </w:p>
    <w:p w14:paraId="60633D4C" w14:textId="77777777" w:rsidR="003C0D99" w:rsidRPr="0060042D" w:rsidRDefault="003C0D99" w:rsidP="003C0D99">
      <w:pPr>
        <w:pStyle w:val="Normalaftertitle"/>
        <w:rPr>
          <w:lang w:bidi="ar-EG"/>
        </w:rPr>
      </w:pPr>
      <w:r w:rsidRPr="0060042D">
        <w:rPr>
          <w:rtl/>
        </w:rPr>
        <w:t xml:space="preserve">إن </w:t>
      </w:r>
      <w:r w:rsidRPr="0060042D">
        <w:rPr>
          <w:rFonts w:hint="cs"/>
          <w:rtl/>
        </w:rPr>
        <w:t>جمعية الاتصالات الراديوية للاتحاد الدولي للاتصالات،</w:t>
      </w:r>
    </w:p>
    <w:p w14:paraId="5A337A87" w14:textId="77777777" w:rsidR="003C0D99" w:rsidRPr="0060042D" w:rsidRDefault="003C0D99" w:rsidP="003C0D99">
      <w:pPr>
        <w:pStyle w:val="Call"/>
        <w:rPr>
          <w:rtl/>
          <w:lang w:bidi="ar-SY"/>
        </w:rPr>
      </w:pPr>
      <w:r w:rsidRPr="0060042D">
        <w:rPr>
          <w:rtl/>
          <w:lang w:bidi="ar-SY"/>
        </w:rPr>
        <w:t xml:space="preserve">إذ </w:t>
      </w:r>
      <w:r w:rsidRPr="0060042D">
        <w:rPr>
          <w:rFonts w:hint="cs"/>
          <w:rtl/>
          <w:lang w:bidi="ar-SY"/>
        </w:rPr>
        <w:t>ت</w:t>
      </w:r>
      <w:r w:rsidRPr="0060042D">
        <w:rPr>
          <w:rtl/>
          <w:lang w:bidi="ar-SY"/>
        </w:rPr>
        <w:t>ضع في اعتباره</w:t>
      </w:r>
      <w:r w:rsidRPr="0060042D">
        <w:rPr>
          <w:rFonts w:hint="cs"/>
          <w:rtl/>
          <w:lang w:bidi="ar-SY"/>
        </w:rPr>
        <w:t>ا</w:t>
      </w:r>
    </w:p>
    <w:p w14:paraId="03F078CB" w14:textId="77777777" w:rsidR="003C0D99" w:rsidRPr="0060042D" w:rsidRDefault="003C0D99" w:rsidP="003C0D99">
      <w:pPr>
        <w:rPr>
          <w:rtl/>
        </w:rPr>
      </w:pPr>
      <w:r w:rsidRPr="0060042D">
        <w:rPr>
          <w:i/>
          <w:iCs/>
          <w:rtl/>
        </w:rPr>
        <w:t xml:space="preserve"> </w:t>
      </w:r>
      <w:proofErr w:type="gramStart"/>
      <w:r w:rsidRPr="0060042D">
        <w:rPr>
          <w:i/>
          <w:iCs/>
          <w:rtl/>
          <w:lang w:bidi="ar-SY"/>
        </w:rPr>
        <w:t>أ )</w:t>
      </w:r>
      <w:proofErr w:type="gramEnd"/>
      <w:r w:rsidRPr="0060042D">
        <w:rPr>
          <w:i/>
          <w:iCs/>
          <w:rtl/>
          <w:lang w:bidi="ar-SY"/>
        </w:rPr>
        <w:tab/>
      </w:r>
      <w:r w:rsidRPr="0060042D">
        <w:rPr>
          <w:rtl/>
          <w:lang w:bidi="ar-SY"/>
        </w:rPr>
        <w:t>أن استعما</w:t>
      </w:r>
      <w:r w:rsidRPr="0060042D">
        <w:rPr>
          <w:rFonts w:hint="cs"/>
          <w:rtl/>
          <w:lang w:bidi="ar-EG"/>
        </w:rPr>
        <w:t>ل تكنولوجيات</w:t>
      </w:r>
      <w:r w:rsidRPr="0060042D">
        <w:rPr>
          <w:rtl/>
          <w:lang w:bidi="ar-SY"/>
        </w:rPr>
        <w:t xml:space="preserve"> الاتصالات المتنقلة الدولية </w:t>
      </w:r>
      <w:r w:rsidRPr="0060042D">
        <w:rPr>
          <w:lang w:bidi="ar-SY"/>
        </w:rPr>
        <w:t>(IMT)</w:t>
      </w:r>
      <w:r w:rsidRPr="0060042D">
        <w:rPr>
          <w:rtl/>
          <w:lang w:bidi="ar-SY"/>
        </w:rPr>
        <w:t xml:space="preserve"> من أجل النطاق العريض</w:t>
      </w:r>
      <w:r w:rsidRPr="0060042D">
        <w:rPr>
          <w:rFonts w:hint="cs"/>
          <w:rtl/>
          <w:lang w:bidi="ar-SY"/>
        </w:rPr>
        <w:t xml:space="preserve"> اللاسلكي</w:t>
      </w:r>
      <w:r w:rsidRPr="0060042D">
        <w:rPr>
          <w:rtl/>
        </w:rPr>
        <w:t xml:space="preserve"> </w:t>
      </w:r>
      <w:r w:rsidRPr="0060042D">
        <w:rPr>
          <w:rtl/>
          <w:lang w:bidi="ar-SY"/>
        </w:rPr>
        <w:t>الثابت يمكن أن يساعد في</w:t>
      </w:r>
      <w:r w:rsidRPr="0060042D">
        <w:rPr>
          <w:rFonts w:hint="cs"/>
          <w:rtl/>
          <w:lang w:bidi="ar-SY"/>
        </w:rPr>
        <w:t> </w:t>
      </w:r>
      <w:r w:rsidRPr="0060042D">
        <w:rPr>
          <w:rtl/>
          <w:lang w:bidi="ar-SY"/>
        </w:rPr>
        <w:t>تلبية الطلبات العالمية</w:t>
      </w:r>
      <w:r w:rsidRPr="0060042D">
        <w:rPr>
          <w:i/>
          <w:iCs/>
          <w:rtl/>
          <w:lang w:bidi="ar-SY"/>
        </w:rPr>
        <w:t xml:space="preserve"> </w:t>
      </w:r>
      <w:r w:rsidRPr="0060042D">
        <w:rPr>
          <w:rtl/>
          <w:lang w:bidi="ar-SY"/>
        </w:rPr>
        <w:t xml:space="preserve">الداعية إلى سد الفجوة الرقمية ودعم برنامج النطاق العريض وتوفير خدمات النطاق العريض الفعّالة من حيث التكلفة في المناطق الريفية </w:t>
      </w:r>
      <w:r w:rsidRPr="0060042D">
        <w:rPr>
          <w:rtl/>
        </w:rPr>
        <w:t xml:space="preserve">والمناطق </w:t>
      </w:r>
      <w:r w:rsidRPr="0060042D">
        <w:rPr>
          <w:rtl/>
          <w:lang w:bidi="ar-SY"/>
        </w:rPr>
        <w:t>التي تعاني من نقص الخدمات</w:t>
      </w:r>
      <w:r w:rsidRPr="0060042D">
        <w:rPr>
          <w:rFonts w:hint="cs"/>
          <w:rtl/>
          <w:lang w:bidi="ar-SY"/>
        </w:rPr>
        <w:t xml:space="preserve"> وتوفير فوائد وفورات الحجم في جميع أنحاء العالم</w:t>
      </w:r>
      <w:r w:rsidRPr="0060042D">
        <w:rPr>
          <w:rFonts w:hint="cs"/>
          <w:rtl/>
        </w:rPr>
        <w:t>؛</w:t>
      </w:r>
    </w:p>
    <w:p w14:paraId="3B56BEDD" w14:textId="77777777" w:rsidR="003C0D99" w:rsidRPr="0060042D" w:rsidRDefault="003C0D99" w:rsidP="003C0D99">
      <w:pPr>
        <w:rPr>
          <w:rtl/>
        </w:rPr>
      </w:pPr>
      <w:r w:rsidRPr="0060042D">
        <w:rPr>
          <w:rFonts w:hint="cs"/>
          <w:i/>
          <w:iCs/>
          <w:rtl/>
        </w:rPr>
        <w:t>ب)</w:t>
      </w:r>
      <w:r w:rsidRPr="0060042D">
        <w:rPr>
          <w:rtl/>
        </w:rPr>
        <w:tab/>
      </w:r>
      <w:r w:rsidRPr="0060042D">
        <w:rPr>
          <w:rFonts w:hint="cs"/>
          <w:rtl/>
        </w:rPr>
        <w:t>أن هناك فوائد للنظر في أمثلة للنُهُج الوطنية المتبعة والخبرات المكتسبة و/أو المعارف التي اكتسبتها بعض البلدان الراغبة في الإفادة بالنُهُج التي اتبعتها لاستعمال تكنولوجيات الاتصالات المتنقلة الدولية من أجل تطبيقات النطاق العريض اللاسلكي الثابت في الخدمة الثابتة،</w:t>
      </w:r>
    </w:p>
    <w:p w14:paraId="09E50A31" w14:textId="77777777" w:rsidR="003C0D99" w:rsidRPr="0060042D" w:rsidRDefault="003C0D99" w:rsidP="003C0D99">
      <w:pPr>
        <w:pStyle w:val="Call"/>
        <w:rPr>
          <w:lang w:bidi="ar-SY"/>
        </w:rPr>
      </w:pPr>
      <w:r w:rsidRPr="0060042D">
        <w:rPr>
          <w:rtl/>
          <w:lang w:bidi="ar-SY"/>
        </w:rPr>
        <w:t xml:space="preserve">وإذ </w:t>
      </w:r>
      <w:r w:rsidRPr="0060042D">
        <w:rPr>
          <w:rFonts w:hint="cs"/>
          <w:rtl/>
        </w:rPr>
        <w:t>ت</w:t>
      </w:r>
      <w:r w:rsidRPr="0060042D">
        <w:rPr>
          <w:rtl/>
        </w:rPr>
        <w:t>درك</w:t>
      </w:r>
    </w:p>
    <w:p w14:paraId="32C4AE7A" w14:textId="080BBBA1" w:rsidR="003C0D99" w:rsidRPr="0060042D" w:rsidRDefault="003C0D99" w:rsidP="003C0D99">
      <w:r w:rsidRPr="0060042D">
        <w:rPr>
          <w:rFonts w:hint="cs"/>
          <w:i/>
          <w:iCs/>
          <w:rtl/>
          <w:lang w:bidi="ar-SY"/>
        </w:rPr>
        <w:t xml:space="preserve"> </w:t>
      </w:r>
      <w:proofErr w:type="gramStart"/>
      <w:r w:rsidRPr="0060042D">
        <w:rPr>
          <w:rFonts w:hint="cs"/>
          <w:i/>
          <w:iCs/>
          <w:rtl/>
          <w:lang w:bidi="ar-SY"/>
        </w:rPr>
        <w:t>أ )</w:t>
      </w:r>
      <w:proofErr w:type="gramEnd"/>
      <w:r w:rsidRPr="0060042D">
        <w:rPr>
          <w:rFonts w:hint="cs"/>
          <w:i/>
          <w:iCs/>
          <w:rtl/>
          <w:lang w:bidi="ar-SY"/>
        </w:rPr>
        <w:tab/>
      </w:r>
      <w:r w:rsidRPr="0060042D">
        <w:rPr>
          <w:rFonts w:hint="cs"/>
          <w:rtl/>
          <w:lang w:bidi="ar-SY"/>
        </w:rPr>
        <w:t>أن ا</w:t>
      </w:r>
      <w:r w:rsidRPr="0060042D">
        <w:rPr>
          <w:rFonts w:hint="cs"/>
          <w:rtl/>
        </w:rPr>
        <w:t xml:space="preserve">لقرار </w:t>
      </w:r>
      <w:r w:rsidRPr="0060042D">
        <w:t>139</w:t>
      </w:r>
      <w:r w:rsidRPr="0060042D">
        <w:rPr>
          <w:rFonts w:hint="cs"/>
          <w:rtl/>
        </w:rPr>
        <w:t xml:space="preserve"> (المراجَع في بوخارست، </w:t>
      </w:r>
      <w:r w:rsidRPr="0060042D">
        <w:t>2022</w:t>
      </w:r>
      <w:r w:rsidRPr="0060042D">
        <w:rPr>
          <w:rFonts w:hint="cs"/>
          <w:rtl/>
        </w:rPr>
        <w:t xml:space="preserve">) </w:t>
      </w:r>
      <w:r w:rsidR="00A70EEA">
        <w:rPr>
          <w:rFonts w:hint="cs"/>
          <w:rtl/>
        </w:rPr>
        <w:t>ل</w:t>
      </w:r>
      <w:r w:rsidRPr="0060042D">
        <w:rPr>
          <w:rFonts w:hint="cs"/>
          <w:rtl/>
        </w:rPr>
        <w:t>مؤتمر المندوبين المفوضين يدعو إلى سد الفجوة الرقمية في شتى أنحاء العالم من خلال استعمال الاتصالات/تكنولوجيا المعلومات والاتصالات من أجل سد الفجوة الرقمية وبناء مجتمع معلومات شامل للجميع؛</w:t>
      </w:r>
    </w:p>
    <w:p w14:paraId="3E664C65" w14:textId="1718392B" w:rsidR="003C0D99" w:rsidRPr="0060042D" w:rsidRDefault="003C0D99" w:rsidP="003C0D99">
      <w:pPr>
        <w:rPr>
          <w:spacing w:val="-4"/>
          <w:rtl/>
        </w:rPr>
      </w:pPr>
      <w:r w:rsidRPr="0060042D">
        <w:rPr>
          <w:rFonts w:hint="cs"/>
          <w:i/>
          <w:iCs/>
          <w:spacing w:val="-4"/>
          <w:rtl/>
          <w:lang w:bidi="ar-SY"/>
        </w:rPr>
        <w:t>ب)</w:t>
      </w:r>
      <w:r w:rsidRPr="0060042D">
        <w:rPr>
          <w:rFonts w:hint="cs"/>
          <w:i/>
          <w:iCs/>
          <w:spacing w:val="-4"/>
          <w:rtl/>
          <w:lang w:bidi="ar-SY"/>
        </w:rPr>
        <w:tab/>
      </w:r>
      <w:r w:rsidRPr="0060042D">
        <w:rPr>
          <w:rFonts w:hint="cs"/>
          <w:rtl/>
          <w:lang w:bidi="ar-SY"/>
        </w:rPr>
        <w:t>أن ا</w:t>
      </w:r>
      <w:r w:rsidRPr="0060042D">
        <w:rPr>
          <w:rFonts w:hint="cs"/>
          <w:rtl/>
        </w:rPr>
        <w:t xml:space="preserve">لقرار </w:t>
      </w:r>
      <w:r w:rsidRPr="0060042D">
        <w:rPr>
          <w:lang w:bidi="ar-SY"/>
        </w:rPr>
        <w:t>37</w:t>
      </w:r>
      <w:r w:rsidRPr="0060042D">
        <w:rPr>
          <w:rFonts w:hint="cs"/>
          <w:rtl/>
        </w:rPr>
        <w:t xml:space="preserve"> (المراجَع في </w:t>
      </w:r>
      <w:r w:rsidRPr="0060042D">
        <w:rPr>
          <w:rFonts w:hint="cs"/>
          <w:rtl/>
          <w:lang w:bidi="ar-SY"/>
        </w:rPr>
        <w:t xml:space="preserve">كيغالي، </w:t>
      </w:r>
      <w:r w:rsidRPr="0060042D">
        <w:rPr>
          <w:lang w:bidi="ar-SY"/>
        </w:rPr>
        <w:t>2022</w:t>
      </w:r>
      <w:r w:rsidRPr="0060042D">
        <w:rPr>
          <w:rFonts w:hint="cs"/>
          <w:rtl/>
        </w:rPr>
        <w:t>)</w:t>
      </w:r>
      <w:r w:rsidR="00A70EEA">
        <w:rPr>
          <w:rFonts w:hint="cs"/>
          <w:rtl/>
        </w:rPr>
        <w:t xml:space="preserve"> ل</w:t>
      </w:r>
      <w:r w:rsidRPr="0060042D">
        <w:rPr>
          <w:rFonts w:hint="cs"/>
          <w:rtl/>
        </w:rPr>
        <w:t>لمؤتمر العالمي لتنمية الاتصالات يدعو إلى سد الفجوة الرقمية؛</w:t>
      </w:r>
    </w:p>
    <w:p w14:paraId="758DA2DE" w14:textId="77777777" w:rsidR="003C0D99" w:rsidRPr="0060042D" w:rsidRDefault="003C0D99" w:rsidP="003C0D99">
      <w:pPr>
        <w:rPr>
          <w:spacing w:val="-2"/>
          <w:rtl/>
          <w:lang w:bidi="ar-SY"/>
        </w:rPr>
      </w:pPr>
      <w:r w:rsidRPr="0060042D">
        <w:rPr>
          <w:rFonts w:hint="cs"/>
          <w:i/>
          <w:iCs/>
          <w:spacing w:val="-2"/>
          <w:rtl/>
          <w:lang w:bidi="ar-SY"/>
        </w:rPr>
        <w:t>ج)</w:t>
      </w:r>
      <w:r w:rsidRPr="0060042D">
        <w:rPr>
          <w:rFonts w:hint="cs"/>
          <w:i/>
          <w:iCs/>
          <w:spacing w:val="-2"/>
          <w:rtl/>
          <w:lang w:bidi="ar-SY"/>
        </w:rPr>
        <w:tab/>
      </w:r>
      <w:r w:rsidRPr="0060042D">
        <w:rPr>
          <w:rFonts w:hint="cs"/>
          <w:rtl/>
          <w:lang w:bidi="ar-SY"/>
        </w:rPr>
        <w:t xml:space="preserve">أن كتيب قطاع الاتصالات الراديوية بالاتحاد </w:t>
      </w:r>
      <w:r w:rsidRPr="0060042D">
        <w:rPr>
          <w:lang w:bidi="ar-SY"/>
        </w:rPr>
        <w:t>(ITU-R)</w:t>
      </w:r>
      <w:r w:rsidRPr="0060042D">
        <w:rPr>
          <w:rFonts w:hint="cs"/>
          <w:rtl/>
          <w:lang w:bidi="ar-SY"/>
        </w:rPr>
        <w:t xml:space="preserve"> بشأن النفاذ اللاسلكي الثابت يتناول استعمال أنظمة الاتصالات المتنقلة الدولية </w:t>
      </w:r>
      <w:r w:rsidRPr="0060042D">
        <w:rPr>
          <w:lang w:bidi="ar-SY"/>
        </w:rPr>
        <w:t>(IMT)</w:t>
      </w:r>
      <w:r w:rsidRPr="0060042D">
        <w:rPr>
          <w:rFonts w:hint="cs"/>
          <w:rtl/>
          <w:lang w:bidi="ar-SY"/>
        </w:rPr>
        <w:t xml:space="preserve"> للنفاذ اللاسلكي الثابت، وأن التوصية </w:t>
      </w:r>
      <w:r w:rsidRPr="0060042D">
        <w:rPr>
          <w:lang w:bidi="ar-SY"/>
        </w:rPr>
        <w:t>ITU</w:t>
      </w:r>
      <w:r w:rsidRPr="0060042D">
        <w:rPr>
          <w:lang w:bidi="ar-SY"/>
        </w:rPr>
        <w:noBreakHyphen/>
        <w:t>R M.819</w:t>
      </w:r>
      <w:r w:rsidRPr="0060042D">
        <w:rPr>
          <w:rFonts w:hint="cs"/>
          <w:rtl/>
          <w:lang w:bidi="ar-SY"/>
        </w:rPr>
        <w:t xml:space="preserve"> تتضمن متطلبات محددة تتعلق بالنفاذ اللاسلكي الثابت؛</w:t>
      </w:r>
    </w:p>
    <w:p w14:paraId="55AE193B" w14:textId="77777777" w:rsidR="003C0D99" w:rsidRPr="0060042D" w:rsidRDefault="003C0D99" w:rsidP="003C0D99">
      <w:pPr>
        <w:rPr>
          <w:spacing w:val="-4"/>
          <w:rtl/>
          <w:lang w:bidi="ar-SY"/>
        </w:rPr>
      </w:pPr>
      <w:proofErr w:type="gramStart"/>
      <w:r w:rsidRPr="0060042D">
        <w:rPr>
          <w:rFonts w:hint="cs"/>
          <w:i/>
          <w:iCs/>
          <w:spacing w:val="-4"/>
          <w:rtl/>
          <w:lang w:bidi="ar-SY"/>
        </w:rPr>
        <w:t>د )</w:t>
      </w:r>
      <w:proofErr w:type="gramEnd"/>
      <w:r w:rsidRPr="0060042D">
        <w:rPr>
          <w:rFonts w:hint="cs"/>
          <w:spacing w:val="-4"/>
          <w:rtl/>
          <w:lang w:bidi="ar-SY"/>
        </w:rPr>
        <w:tab/>
      </w:r>
      <w:r w:rsidRPr="0060042D">
        <w:rPr>
          <w:rFonts w:hint="cs"/>
          <w:rtl/>
          <w:lang w:bidi="ar-SY"/>
        </w:rPr>
        <w:t xml:space="preserve">أن قدرات الاتصالات المتنقلة الدولية تظهر بسرعة لدعم تكامل حلول النفاذ </w:t>
      </w:r>
      <w:r w:rsidRPr="0060042D">
        <w:rPr>
          <w:rFonts w:hint="cs"/>
          <w:rtl/>
        </w:rPr>
        <w:t>والتوصيل</w:t>
      </w:r>
      <w:r w:rsidRPr="0060042D">
        <w:rPr>
          <w:rFonts w:hint="cs"/>
          <w:rtl/>
          <w:lang w:bidi="ar-SY"/>
        </w:rPr>
        <w:t xml:space="preserve"> لتسهيل نشر الشبكات،</w:t>
      </w:r>
    </w:p>
    <w:p w14:paraId="130ACC92" w14:textId="77777777" w:rsidR="003C0D99" w:rsidRPr="0060042D" w:rsidRDefault="003C0D99" w:rsidP="003C0D99">
      <w:pPr>
        <w:pStyle w:val="Call"/>
        <w:rPr>
          <w:rtl/>
          <w:lang w:bidi="ar-SY"/>
        </w:rPr>
      </w:pPr>
      <w:r w:rsidRPr="0060042D">
        <w:rPr>
          <w:rFonts w:hint="cs"/>
          <w:rtl/>
          <w:lang w:bidi="ar-SY"/>
        </w:rPr>
        <w:t>ت</w:t>
      </w:r>
      <w:r w:rsidRPr="0060042D">
        <w:rPr>
          <w:rtl/>
          <w:lang w:bidi="ar-SY"/>
        </w:rPr>
        <w:t xml:space="preserve">قرر أن </w:t>
      </w:r>
      <w:r w:rsidRPr="0060042D">
        <w:rPr>
          <w:rFonts w:hint="cs"/>
          <w:rtl/>
          <w:lang w:bidi="ar-SY"/>
        </w:rPr>
        <w:t>ت</w:t>
      </w:r>
      <w:r w:rsidRPr="0060042D">
        <w:rPr>
          <w:rtl/>
          <w:lang w:bidi="ar-SY"/>
        </w:rPr>
        <w:t>دعو قطاع الاتصالات الراديوية بالاتحاد</w:t>
      </w:r>
      <w:r w:rsidRPr="0060042D">
        <w:rPr>
          <w:rFonts w:hint="cs"/>
          <w:rtl/>
          <w:lang w:bidi="ar-EG"/>
        </w:rPr>
        <w:t xml:space="preserve"> إلى</w:t>
      </w:r>
    </w:p>
    <w:p w14:paraId="2056B23E" w14:textId="009495CE" w:rsidR="003C0D99" w:rsidRPr="0060042D" w:rsidRDefault="003C0D99" w:rsidP="003C0D99">
      <w:pPr>
        <w:rPr>
          <w:rtl/>
          <w:lang w:bidi="ar-SY"/>
        </w:rPr>
      </w:pPr>
      <w:r w:rsidRPr="0060042D">
        <w:rPr>
          <w:rtl/>
          <w:lang w:bidi="ar-SY"/>
        </w:rPr>
        <w:t>1</w:t>
      </w:r>
      <w:r w:rsidRPr="0060042D">
        <w:rPr>
          <w:rtl/>
          <w:lang w:bidi="ar-SY"/>
        </w:rPr>
        <w:tab/>
        <w:t xml:space="preserve">إجراء أي دراسات بشأن استعمال أنظمة الاتصالات المتنقلة الدولية من أجل النطاق العريض اللاسلكي الثابت في نطاقات التردد الموزعة على أساس أولي للخدمة الثابتة، مع مراعاة </w:t>
      </w:r>
      <w:r w:rsidRPr="0060042D">
        <w:rPr>
          <w:rFonts w:hint="cs"/>
          <w:rtl/>
          <w:lang w:bidi="ar-SY"/>
        </w:rPr>
        <w:t>توصيات</w:t>
      </w:r>
      <w:r w:rsidRPr="0060042D">
        <w:rPr>
          <w:rtl/>
          <w:lang w:bidi="ar-SY"/>
        </w:rPr>
        <w:t xml:space="preserve"> قطاع الاتصالات الراديوية </w:t>
      </w:r>
      <w:r w:rsidRPr="0060042D">
        <w:rPr>
          <w:rFonts w:hint="cs"/>
          <w:rtl/>
          <w:lang w:bidi="ar-SY"/>
        </w:rPr>
        <w:t xml:space="preserve">وتقاريره </w:t>
      </w:r>
      <w:r w:rsidRPr="002A1558">
        <w:rPr>
          <w:rtl/>
          <w:lang w:bidi="ar-SY"/>
        </w:rPr>
        <w:t>و</w:t>
      </w:r>
      <w:r w:rsidR="002A1558">
        <w:rPr>
          <w:rFonts w:hint="cs"/>
          <w:rtl/>
          <w:lang w:bidi="ar-SY"/>
        </w:rPr>
        <w:t xml:space="preserve">/أو </w:t>
      </w:r>
      <w:r w:rsidRPr="002A1558">
        <w:rPr>
          <w:rtl/>
          <w:lang w:bidi="ar-SY"/>
        </w:rPr>
        <w:t>كتيباته ذات</w:t>
      </w:r>
      <w:r w:rsidRPr="0060042D">
        <w:rPr>
          <w:rtl/>
          <w:lang w:bidi="ar-SY"/>
        </w:rPr>
        <w:t xml:space="preserve"> الصلة</w:t>
      </w:r>
      <w:r w:rsidRPr="0060042D">
        <w:rPr>
          <w:rFonts w:hint="cs"/>
          <w:rtl/>
          <w:lang w:bidi="ar-SY"/>
        </w:rPr>
        <w:t xml:space="preserve"> فضلاً عن الفقرة </w:t>
      </w:r>
      <w:r w:rsidRPr="0060042D">
        <w:rPr>
          <w:rFonts w:hint="cs"/>
          <w:i/>
          <w:iCs/>
          <w:rtl/>
          <w:lang w:bidi="ar-SY"/>
        </w:rPr>
        <w:t>ب)</w:t>
      </w:r>
      <w:r w:rsidRPr="0060042D">
        <w:rPr>
          <w:rFonts w:hint="cs"/>
          <w:rtl/>
          <w:lang w:bidi="ar-SY"/>
        </w:rPr>
        <w:t xml:space="preserve"> من "</w:t>
      </w:r>
      <w:r w:rsidRPr="0060042D">
        <w:rPr>
          <w:rFonts w:hint="eastAsia"/>
          <w:i/>
          <w:iCs/>
          <w:rtl/>
          <w:lang w:bidi="ar-SY"/>
        </w:rPr>
        <w:t> </w:t>
      </w:r>
      <w:r w:rsidRPr="0060042D">
        <w:rPr>
          <w:rFonts w:hint="cs"/>
          <w:i/>
          <w:iCs/>
          <w:rtl/>
          <w:lang w:bidi="ar-SY"/>
        </w:rPr>
        <w:t>إذ تضع في اعتبارها</w:t>
      </w:r>
      <w:r w:rsidRPr="0060042D">
        <w:rPr>
          <w:rFonts w:hint="cs"/>
          <w:rtl/>
          <w:lang w:bidi="ar-SY"/>
        </w:rPr>
        <w:t>"؛</w:t>
      </w:r>
    </w:p>
    <w:p w14:paraId="3900A6A7" w14:textId="77777777" w:rsidR="003C0D99" w:rsidRPr="0060042D" w:rsidRDefault="003C0D99" w:rsidP="003C0D99">
      <w:pPr>
        <w:rPr>
          <w:rtl/>
          <w:lang w:bidi="ar-SY"/>
        </w:rPr>
      </w:pPr>
      <w:r w:rsidRPr="0060042D">
        <w:rPr>
          <w:rFonts w:hint="cs"/>
          <w:rtl/>
          <w:lang w:bidi="ar-SY"/>
        </w:rPr>
        <w:t>2</w:t>
      </w:r>
      <w:r w:rsidRPr="0060042D">
        <w:rPr>
          <w:rtl/>
          <w:lang w:bidi="ar-EG"/>
        </w:rPr>
        <w:tab/>
      </w:r>
      <w:r w:rsidRPr="0060042D">
        <w:rPr>
          <w:rFonts w:hint="cs"/>
          <w:rtl/>
          <w:lang w:bidi="ar-SY"/>
        </w:rPr>
        <w:t>إعداد توصيات و/أو تقارير و/أو كتيبات لقطاع الاتصالات الراديوية، حسب الاقتضاء، استناداً إلى الدراسات المشار إليها أعلاه،</w:t>
      </w:r>
    </w:p>
    <w:p w14:paraId="69061BFF" w14:textId="77777777" w:rsidR="003C0D99" w:rsidRPr="0060042D" w:rsidRDefault="003C0D99" w:rsidP="003C0D99">
      <w:pPr>
        <w:pStyle w:val="Call"/>
        <w:rPr>
          <w:rtl/>
          <w:lang w:bidi="ar-SY"/>
        </w:rPr>
      </w:pPr>
      <w:r w:rsidRPr="0060042D">
        <w:rPr>
          <w:rFonts w:hint="cs"/>
          <w:rtl/>
          <w:lang w:bidi="ar-SY"/>
        </w:rPr>
        <w:t>ت</w:t>
      </w:r>
      <w:r w:rsidRPr="0060042D">
        <w:rPr>
          <w:rtl/>
          <w:lang w:bidi="ar-SY"/>
        </w:rPr>
        <w:t xml:space="preserve">دعو </w:t>
      </w:r>
      <w:r w:rsidRPr="0060042D">
        <w:rPr>
          <w:rFonts w:hint="cs"/>
          <w:rtl/>
          <w:lang w:bidi="ar-SY"/>
        </w:rPr>
        <w:t>أعضاء قطاع الاتصالات الراديوية</w:t>
      </w:r>
    </w:p>
    <w:p w14:paraId="17B52464" w14:textId="7DFBBA8C" w:rsidR="00E16F00" w:rsidRPr="00FA002B" w:rsidRDefault="003C0D99" w:rsidP="00FA002B">
      <w:pPr>
        <w:rPr>
          <w:lang w:bidi="ar-SY"/>
        </w:rPr>
      </w:pPr>
      <w:r w:rsidRPr="0060042D">
        <w:rPr>
          <w:rtl/>
          <w:lang w:bidi="ar-SY"/>
        </w:rPr>
        <w:t>إلى المشاركة في هذه الدراسات.</w:t>
      </w:r>
    </w:p>
    <w:sectPr w:rsidR="00E16F00" w:rsidRPr="00FA002B" w:rsidSect="004D4AE6">
      <w:headerReference w:type="even" r:id="rId10"/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44ED" w14:textId="77777777" w:rsidR="00685E32" w:rsidRDefault="00685E32" w:rsidP="002919E1">
      <w:r>
        <w:separator/>
      </w:r>
    </w:p>
    <w:p w14:paraId="3CE00234" w14:textId="77777777" w:rsidR="00685E32" w:rsidRDefault="00685E32" w:rsidP="002919E1"/>
    <w:p w14:paraId="78C15104" w14:textId="77777777" w:rsidR="00685E32" w:rsidRDefault="00685E32" w:rsidP="002919E1"/>
    <w:p w14:paraId="2B4DF546" w14:textId="77777777" w:rsidR="00685E32" w:rsidRDefault="00685E32"/>
  </w:endnote>
  <w:endnote w:type="continuationSeparator" w:id="0">
    <w:p w14:paraId="408CB804" w14:textId="77777777" w:rsidR="00685E32" w:rsidRDefault="00685E32" w:rsidP="002919E1">
      <w:r>
        <w:continuationSeparator/>
      </w:r>
    </w:p>
    <w:p w14:paraId="717C57BA" w14:textId="77777777" w:rsidR="00685E32" w:rsidRDefault="00685E32" w:rsidP="002919E1"/>
    <w:p w14:paraId="4A3E7873" w14:textId="77777777" w:rsidR="00685E32" w:rsidRDefault="00685E32" w:rsidP="002919E1"/>
    <w:p w14:paraId="599FB39C" w14:textId="77777777" w:rsidR="00685E32" w:rsidRDefault="0068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5360" w14:textId="2237A3E6" w:rsidR="00281F5F" w:rsidRPr="002F05E1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  <w:rPr>
        <w:lang w:val="fr-FR"/>
      </w:rPr>
    </w:pPr>
    <w:r>
      <w:fldChar w:fldCharType="begin"/>
    </w:r>
    <w:r w:rsidRPr="002F05E1">
      <w:rPr>
        <w:lang w:val="fr-FR"/>
      </w:rPr>
      <w:instrText xml:space="preserve"> FILENAME \p \* MERGEFORMAT </w:instrText>
    </w:r>
    <w:r>
      <w:fldChar w:fldCharType="separate"/>
    </w:r>
    <w:r w:rsidR="002F05E1" w:rsidRPr="002F05E1">
      <w:rPr>
        <w:noProof/>
        <w:lang w:val="fr-FR"/>
      </w:rPr>
      <w:t>https://ituint-my.sharepoint.com/personal/yoanni_gomez_itu_int/Documents/Documents/EDITION/RA-2023/Resolutions/FINAL_FINRES/073V2A.DOCX</w:t>
    </w:r>
    <w:r>
      <w:fldChar w:fldCharType="end"/>
    </w:r>
    <w:r w:rsidRPr="002F05E1">
      <w:rPr>
        <w:lang w:val="fr-FR"/>
      </w:rPr>
      <w:t xml:space="preserve">  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6E5B" w14:textId="71F53844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3FB6" w14:textId="77777777" w:rsidR="00685E32" w:rsidRDefault="00685E32" w:rsidP="002919E1">
      <w:r>
        <w:separator/>
      </w:r>
    </w:p>
  </w:footnote>
  <w:footnote w:type="continuationSeparator" w:id="0">
    <w:p w14:paraId="099C0595" w14:textId="77777777" w:rsidR="00685E32" w:rsidRDefault="00685E32" w:rsidP="002919E1">
      <w:r>
        <w:continuationSeparator/>
      </w:r>
    </w:p>
    <w:p w14:paraId="418ED1A3" w14:textId="77777777" w:rsidR="00685E32" w:rsidRDefault="00685E32" w:rsidP="002919E1"/>
    <w:p w14:paraId="1F0D3003" w14:textId="77777777" w:rsidR="00685E32" w:rsidRDefault="00685E32" w:rsidP="002919E1"/>
    <w:p w14:paraId="57F795BE" w14:textId="77777777" w:rsidR="00685E32" w:rsidRDefault="00685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23BD" w14:textId="77777777" w:rsidR="00281F5F" w:rsidRDefault="00281F5F" w:rsidP="002919E1"/>
  <w:p w14:paraId="14DBCAC7" w14:textId="77777777" w:rsidR="00281F5F" w:rsidRDefault="00281F5F" w:rsidP="002919E1"/>
  <w:p w14:paraId="4EFEE1D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4A30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5C7267">
      <w:rPr>
        <w:rStyle w:val="PageNumber"/>
      </w:rPr>
      <w:t>RA23</w:t>
    </w:r>
    <w:r w:rsidR="00A809E8">
      <w:rPr>
        <w:rStyle w:val="PageNumber"/>
      </w:rPr>
      <w:t>/-A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99"/>
    <w:rsid w:val="00004910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97E2D"/>
    <w:rsid w:val="001B5953"/>
    <w:rsid w:val="001D746E"/>
    <w:rsid w:val="001E190C"/>
    <w:rsid w:val="001E51EE"/>
    <w:rsid w:val="001E54F6"/>
    <w:rsid w:val="001E5A8C"/>
    <w:rsid w:val="00201A0A"/>
    <w:rsid w:val="00204997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1558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05E1"/>
    <w:rsid w:val="002F3031"/>
    <w:rsid w:val="002F3E46"/>
    <w:rsid w:val="0030601A"/>
    <w:rsid w:val="00311E3F"/>
    <w:rsid w:val="00314B1E"/>
    <w:rsid w:val="0033737F"/>
    <w:rsid w:val="00353652"/>
    <w:rsid w:val="003569E1"/>
    <w:rsid w:val="00360D2D"/>
    <w:rsid w:val="003815E2"/>
    <w:rsid w:val="00381FAD"/>
    <w:rsid w:val="00382A66"/>
    <w:rsid w:val="003923B1"/>
    <w:rsid w:val="0039465C"/>
    <w:rsid w:val="003965FE"/>
    <w:rsid w:val="003978DD"/>
    <w:rsid w:val="003B27AD"/>
    <w:rsid w:val="003B4F23"/>
    <w:rsid w:val="003C0D99"/>
    <w:rsid w:val="003C12F6"/>
    <w:rsid w:val="003C3A13"/>
    <w:rsid w:val="003E02EF"/>
    <w:rsid w:val="003E1D90"/>
    <w:rsid w:val="00400CD4"/>
    <w:rsid w:val="004147B9"/>
    <w:rsid w:val="00420351"/>
    <w:rsid w:val="00422C04"/>
    <w:rsid w:val="00423A40"/>
    <w:rsid w:val="00426144"/>
    <w:rsid w:val="00444B1C"/>
    <w:rsid w:val="004636E2"/>
    <w:rsid w:val="00464B03"/>
    <w:rsid w:val="00467578"/>
    <w:rsid w:val="00470CBD"/>
    <w:rsid w:val="0047407D"/>
    <w:rsid w:val="004909DD"/>
    <w:rsid w:val="00494211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C7267"/>
    <w:rsid w:val="005D2606"/>
    <w:rsid w:val="005D6D48"/>
    <w:rsid w:val="005D728C"/>
    <w:rsid w:val="005D72A4"/>
    <w:rsid w:val="005F05CC"/>
    <w:rsid w:val="005F65DE"/>
    <w:rsid w:val="006103AC"/>
    <w:rsid w:val="00613492"/>
    <w:rsid w:val="00630905"/>
    <w:rsid w:val="006315B5"/>
    <w:rsid w:val="0065562F"/>
    <w:rsid w:val="006577C0"/>
    <w:rsid w:val="006779A4"/>
    <w:rsid w:val="00680A66"/>
    <w:rsid w:val="00681391"/>
    <w:rsid w:val="00685E32"/>
    <w:rsid w:val="00694690"/>
    <w:rsid w:val="0069526C"/>
    <w:rsid w:val="006A093D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4A5E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01238"/>
    <w:rsid w:val="008054A7"/>
    <w:rsid w:val="00810482"/>
    <w:rsid w:val="00817568"/>
    <w:rsid w:val="0081767F"/>
    <w:rsid w:val="008204AC"/>
    <w:rsid w:val="008261C2"/>
    <w:rsid w:val="00827482"/>
    <w:rsid w:val="00830D96"/>
    <w:rsid w:val="0085569D"/>
    <w:rsid w:val="00855B59"/>
    <w:rsid w:val="0085774F"/>
    <w:rsid w:val="008614B8"/>
    <w:rsid w:val="008657CB"/>
    <w:rsid w:val="00873A6F"/>
    <w:rsid w:val="00875D16"/>
    <w:rsid w:val="0088384B"/>
    <w:rsid w:val="00893E53"/>
    <w:rsid w:val="00893F8D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26371"/>
    <w:rsid w:val="00951718"/>
    <w:rsid w:val="00960962"/>
    <w:rsid w:val="00972CE0"/>
    <w:rsid w:val="009A3D30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70EEA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4B47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1956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897"/>
    <w:rsid w:val="00CC79A4"/>
    <w:rsid w:val="00CD0FDE"/>
    <w:rsid w:val="00CD1574"/>
    <w:rsid w:val="00CE0E68"/>
    <w:rsid w:val="00CE5403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16F00"/>
    <w:rsid w:val="00E2489D"/>
    <w:rsid w:val="00E26520"/>
    <w:rsid w:val="00E26732"/>
    <w:rsid w:val="00E343A3"/>
    <w:rsid w:val="00E47277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1E95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02B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0B986"/>
  <w15:docId w15:val="{E681BB5B-2154-48C8-AAE0-CF43759E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BE1956"/>
    <w:pPr>
      <w:keepLines/>
      <w:tabs>
        <w:tab w:val="clear" w:pos="1134"/>
        <w:tab w:val="clear" w:pos="1871"/>
        <w:tab w:val="clear" w:pos="2268"/>
        <w:tab w:val="left" w:pos="397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BE1956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6103AC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CC789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6"/>
      <w:szCs w:val="26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CC789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6"/>
      <w:szCs w:val="26"/>
    </w:rPr>
  </w:style>
  <w:style w:type="character" w:customStyle="1" w:styleId="AnnextitleChar">
    <w:name w:val="Annex_title Char"/>
    <w:basedOn w:val="DefaultParagraphFont"/>
    <w:link w:val="Annextitle"/>
    <w:rsid w:val="00CC7897"/>
    <w:rPr>
      <w:rFonts w:ascii="Dubai" w:hAnsi="Dubai" w:cs="Dubai"/>
      <w:b/>
      <w:bCs/>
      <w:sz w:val="26"/>
      <w:szCs w:val="26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date">
    <w:name w:val="Res_date"/>
    <w:basedOn w:val="Normal"/>
    <w:qFormat/>
    <w:rsid w:val="00EE1E95"/>
    <w:pPr>
      <w:jc w:val="right"/>
    </w:pPr>
    <w:rPr>
      <w:lang w:bidi="ar-EG"/>
    </w:rPr>
  </w:style>
  <w:style w:type="paragraph" w:customStyle="1" w:styleId="Ques">
    <w:name w:val="Ques"/>
    <w:basedOn w:val="Normal"/>
    <w:rsid w:val="00CC7897"/>
    <w:rPr>
      <w:lang w:bidi="ar-EG"/>
    </w:rPr>
  </w:style>
  <w:style w:type="paragraph" w:customStyle="1" w:styleId="QuestionNo">
    <w:name w:val="Question_No"/>
    <w:basedOn w:val="AnnexNo"/>
    <w:qFormat/>
    <w:rsid w:val="00CC7897"/>
    <w:pPr>
      <w:framePr w:hSpace="181" w:wrap="around" w:vAnchor="page" w:hAnchor="text" w:xAlign="right" w:y="721"/>
    </w:pPr>
  </w:style>
  <w:style w:type="paragraph" w:customStyle="1" w:styleId="Questiontitle">
    <w:name w:val="Question_title"/>
    <w:basedOn w:val="Annextitle"/>
    <w:qFormat/>
    <w:rsid w:val="00CC7897"/>
  </w:style>
  <w:style w:type="paragraph" w:customStyle="1" w:styleId="Title4">
    <w:name w:val="Title 4"/>
    <w:basedOn w:val="Title3"/>
    <w:rsid w:val="006103AC"/>
    <w:pPr>
      <w:framePr w:hSpace="181" w:wrap="around" w:vAnchor="page" w:hAnchor="text" w:xAlign="right" w:y="721"/>
    </w:pPr>
    <w:rPr>
      <w:b/>
      <w:bCs/>
    </w:rPr>
  </w:style>
  <w:style w:type="paragraph" w:styleId="Revision">
    <w:name w:val="Revision"/>
    <w:hidden/>
    <w:uiPriority w:val="99"/>
    <w:semiHidden/>
    <w:rsid w:val="003C0D99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82c4cff-5844-4b4c-8c88-96909af4d9b9"/>
  </ds:schemaRefs>
</ds:datastoreItem>
</file>

<file path=customXml/itemProps4.xml><?xml version="1.0" encoding="utf-8"?>
<ds:datastoreItem xmlns:ds="http://schemas.openxmlformats.org/officeDocument/2006/customXml" ds:itemID="{70568C15-F77C-4E00-9E8E-FA196922A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318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Arabic-AAM</dc:creator>
  <cp:keywords>WRC-12</cp:keywords>
  <cp:lastModifiedBy>Gomez, Yoanni</cp:lastModifiedBy>
  <cp:revision>7</cp:revision>
  <cp:lastPrinted>2023-11-22T06:04:00Z</cp:lastPrinted>
  <dcterms:created xsi:type="dcterms:W3CDTF">2023-11-20T14:31:00Z</dcterms:created>
  <dcterms:modified xsi:type="dcterms:W3CDTF">2023-11-22T06:04:00Z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0x010100EE71E44D3260374C8AB15791486AF672</vt:lpwstr>
  </property>
  <property fmtid="{D5CDD505-2E9C-101B-9397-08002B2CF9AE}" pid="9" name="_dlc_DocIdItemGuid">
    <vt:lpwstr>8e895a51-0127-4b82-941e-db47618fc5d7</vt:lpwstr>
  </property>
</Properties>
</file>