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5623" w14:textId="79955D44" w:rsidR="00B40530" w:rsidRDefault="00B40530" w:rsidP="00B40530">
      <w:pPr>
        <w:pStyle w:val="ResNo"/>
        <w:rPr>
          <w:lang w:eastAsia="zh-CN"/>
        </w:rPr>
      </w:pPr>
      <w:r w:rsidRPr="00B11016">
        <w:rPr>
          <w:lang w:eastAsia="zh-CN"/>
        </w:rPr>
        <w:t>ITU</w:t>
      </w:r>
      <w:r w:rsidRPr="00B11016">
        <w:rPr>
          <w:lang w:eastAsia="zh-CN"/>
        </w:rPr>
        <w:noBreakHyphen/>
        <w:t>R</w:t>
      </w:r>
      <w:r w:rsidRPr="00B11016">
        <w:rPr>
          <w:rFonts w:hint="eastAsia"/>
          <w:lang w:eastAsia="zh-CN"/>
        </w:rPr>
        <w:t>第</w:t>
      </w:r>
      <w:r>
        <w:rPr>
          <w:lang w:eastAsia="zh-CN"/>
        </w:rPr>
        <w:t>70-1</w:t>
      </w:r>
      <w:r>
        <w:rPr>
          <w:rFonts w:hint="eastAsia"/>
          <w:lang w:eastAsia="zh-CN"/>
        </w:rPr>
        <w:t>号</w:t>
      </w:r>
      <w:r w:rsidRPr="00B11016">
        <w:rPr>
          <w:rFonts w:hint="eastAsia"/>
          <w:lang w:eastAsia="zh-CN"/>
        </w:rPr>
        <w:t>决议</w:t>
      </w:r>
    </w:p>
    <w:p w14:paraId="73AD001F" w14:textId="0A0D6235" w:rsidR="00B40530" w:rsidRDefault="00B40530" w:rsidP="00B40530">
      <w:pPr>
        <w:pStyle w:val="Restitle"/>
        <w:rPr>
          <w:lang w:eastAsia="zh-CN"/>
        </w:rPr>
      </w:pPr>
      <w:bookmarkStart w:id="0" w:name="lt_pId009"/>
      <w:r w:rsidRPr="00B11016">
        <w:rPr>
          <w:rFonts w:hint="eastAsia"/>
          <w:lang w:eastAsia="zh-CN"/>
        </w:rPr>
        <w:t>未来广播发展的原则</w:t>
      </w:r>
      <w:bookmarkEnd w:id="0"/>
    </w:p>
    <w:p w14:paraId="17E708F3" w14:textId="077F25E3" w:rsidR="007A6322" w:rsidRDefault="007A6322" w:rsidP="007A6322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2019</w:t>
      </w:r>
      <w:r w:rsidR="00B40530">
        <w:rPr>
          <w:lang w:eastAsia="zh-CN"/>
        </w:rPr>
        <w:t>-2023</w:t>
      </w:r>
      <w:r>
        <w:rPr>
          <w:rFonts w:hint="eastAsia"/>
          <w:lang w:eastAsia="zh-CN"/>
        </w:rPr>
        <w:t>年）</w:t>
      </w:r>
    </w:p>
    <w:p w14:paraId="29BE3A9B" w14:textId="77777777" w:rsidR="00E86DD5" w:rsidRPr="00B11016" w:rsidRDefault="00E86DD5" w:rsidP="00E86DD5">
      <w:pPr>
        <w:pStyle w:val="Normalaftertitle"/>
        <w:rPr>
          <w:lang w:eastAsia="zh-CN"/>
        </w:rPr>
      </w:pPr>
      <w:bookmarkStart w:id="1" w:name="lt_pId011"/>
      <w:r w:rsidRPr="00B11016">
        <w:rPr>
          <w:rFonts w:hint="eastAsia"/>
          <w:lang w:eastAsia="zh-CN"/>
        </w:rPr>
        <w:t>国际电联无线电通信全会，</w:t>
      </w:r>
      <w:bookmarkEnd w:id="1"/>
    </w:p>
    <w:p w14:paraId="01DB1EF5" w14:textId="77777777" w:rsidR="00E86DD5" w:rsidRPr="00B11016" w:rsidRDefault="00E86DD5" w:rsidP="00E86DD5">
      <w:pPr>
        <w:pStyle w:val="Call"/>
        <w:rPr>
          <w:lang w:eastAsia="zh-CN"/>
        </w:rPr>
      </w:pPr>
      <w:bookmarkStart w:id="2" w:name="lt_pId012"/>
      <w:r w:rsidRPr="00B11016">
        <w:rPr>
          <w:rFonts w:hint="eastAsia"/>
          <w:lang w:eastAsia="zh-CN"/>
        </w:rPr>
        <w:t>考虑到</w:t>
      </w:r>
      <w:bookmarkEnd w:id="2"/>
    </w:p>
    <w:p w14:paraId="4E3F5DE4" w14:textId="77777777" w:rsidR="00E86DD5" w:rsidRPr="00B11016" w:rsidRDefault="00E86DD5" w:rsidP="004F5689">
      <w:pPr>
        <w:rPr>
          <w:lang w:eastAsia="zh-CN"/>
        </w:rPr>
      </w:pPr>
      <w:bookmarkStart w:id="3" w:name="lt_pId013"/>
      <w:r w:rsidRPr="00B11016">
        <w:rPr>
          <w:i/>
          <w:iCs/>
          <w:lang w:eastAsia="zh-CN"/>
        </w:rPr>
        <w:t>a)</w:t>
      </w:r>
      <w:bookmarkEnd w:id="3"/>
      <w:r w:rsidRPr="00B11016">
        <w:rPr>
          <w:i/>
          <w:iCs/>
          <w:lang w:eastAsia="zh-CN"/>
        </w:rPr>
        <w:tab/>
      </w:r>
      <w:bookmarkStart w:id="4" w:name="lt_pId014"/>
      <w:r w:rsidRPr="00B11016">
        <w:rPr>
          <w:rFonts w:hint="eastAsia"/>
          <w:lang w:eastAsia="zh-CN"/>
        </w:rPr>
        <w:t>无线电通信第</w:t>
      </w:r>
      <w:r w:rsidRPr="00B11016">
        <w:rPr>
          <w:lang w:eastAsia="zh-CN"/>
        </w:rPr>
        <w:t>6</w:t>
      </w:r>
      <w:r w:rsidRPr="00B11016">
        <w:rPr>
          <w:rFonts w:hint="eastAsia"/>
          <w:lang w:eastAsia="zh-CN"/>
        </w:rPr>
        <w:t>研究组的工作范围</w:t>
      </w:r>
      <w:r>
        <w:rPr>
          <w:rFonts w:hint="eastAsia"/>
          <w:lang w:eastAsia="zh-CN"/>
        </w:rPr>
        <w:t>遵从</w:t>
      </w:r>
      <w:r w:rsidRPr="00B11016">
        <w:rPr>
          <w:lang w:eastAsia="zh-CN"/>
        </w:rPr>
        <w:t>ITU-</w:t>
      </w:r>
      <w:proofErr w:type="gramStart"/>
      <w:r w:rsidRPr="00B11016">
        <w:rPr>
          <w:lang w:eastAsia="zh-CN"/>
        </w:rPr>
        <w:t>R</w:t>
      </w:r>
      <w:r w:rsidRPr="00B11016">
        <w:rPr>
          <w:rFonts w:hint="eastAsia"/>
          <w:lang w:eastAsia="zh-CN"/>
        </w:rPr>
        <w:t>第</w:t>
      </w:r>
      <w:r w:rsidRPr="00B11016">
        <w:rPr>
          <w:lang w:eastAsia="zh-CN"/>
        </w:rPr>
        <w:t>4</w:t>
      </w:r>
      <w:r w:rsidRPr="00B11016">
        <w:rPr>
          <w:rFonts w:hint="eastAsia"/>
          <w:lang w:eastAsia="zh-CN"/>
        </w:rPr>
        <w:t>号决议规定的范围</w:t>
      </w:r>
      <w:bookmarkEnd w:id="4"/>
      <w:r w:rsidRPr="00B11016">
        <w:rPr>
          <w:rFonts w:hint="eastAsia"/>
          <w:lang w:eastAsia="zh-CN"/>
        </w:rPr>
        <w:t>；</w:t>
      </w:r>
      <w:proofErr w:type="gramEnd"/>
    </w:p>
    <w:p w14:paraId="7001D935" w14:textId="77777777" w:rsidR="00E86DD5" w:rsidRPr="00B11016" w:rsidRDefault="00E86DD5" w:rsidP="004F5689">
      <w:pPr>
        <w:rPr>
          <w:i/>
          <w:iCs/>
          <w:lang w:eastAsia="zh-CN"/>
        </w:rPr>
      </w:pPr>
      <w:bookmarkStart w:id="5" w:name="lt_pId015"/>
      <w:r w:rsidRPr="00B11016">
        <w:rPr>
          <w:i/>
          <w:lang w:eastAsia="zh-CN"/>
        </w:rPr>
        <w:t>b)</w:t>
      </w:r>
      <w:bookmarkEnd w:id="5"/>
      <w:r w:rsidRPr="00B11016">
        <w:rPr>
          <w:i/>
          <w:lang w:eastAsia="zh-CN"/>
        </w:rPr>
        <w:tab/>
      </w:r>
      <w:bookmarkStart w:id="6" w:name="lt_pId016"/>
      <w:r w:rsidRPr="00B11016">
        <w:rPr>
          <w:iCs/>
          <w:lang w:eastAsia="zh-CN"/>
        </w:rPr>
        <w:t>ITU-</w:t>
      </w:r>
      <w:proofErr w:type="gramStart"/>
      <w:r w:rsidRPr="00B11016">
        <w:rPr>
          <w:iCs/>
          <w:lang w:eastAsia="zh-CN"/>
        </w:rPr>
        <w:t>R</w:t>
      </w:r>
      <w:r w:rsidRPr="00B11016">
        <w:rPr>
          <w:rFonts w:hint="eastAsia"/>
          <w:iCs/>
          <w:lang w:eastAsia="zh-CN"/>
        </w:rPr>
        <w:t>第</w:t>
      </w:r>
      <w:r w:rsidRPr="00B11016">
        <w:rPr>
          <w:iCs/>
          <w:lang w:eastAsia="zh-CN"/>
        </w:rPr>
        <w:t>5</w:t>
      </w:r>
      <w:r w:rsidRPr="00B11016">
        <w:rPr>
          <w:rFonts w:hint="eastAsia"/>
          <w:iCs/>
          <w:lang w:eastAsia="zh-CN"/>
        </w:rPr>
        <w:t>号决议确定了</w:t>
      </w:r>
      <w:r w:rsidRPr="00B11016">
        <w:rPr>
          <w:rFonts w:hint="eastAsia"/>
          <w:lang w:eastAsia="zh-CN"/>
        </w:rPr>
        <w:t>无线电通信第</w:t>
      </w:r>
      <w:r w:rsidRPr="00B11016">
        <w:rPr>
          <w:lang w:eastAsia="zh-CN"/>
        </w:rPr>
        <w:t>6</w:t>
      </w:r>
      <w:r w:rsidRPr="00B11016">
        <w:rPr>
          <w:rFonts w:hint="eastAsia"/>
          <w:lang w:eastAsia="zh-CN"/>
        </w:rPr>
        <w:t>研究组的工作计划和课题；</w:t>
      </w:r>
      <w:bookmarkEnd w:id="6"/>
      <w:proofErr w:type="gramEnd"/>
    </w:p>
    <w:p w14:paraId="11F6ADE2" w14:textId="77777777" w:rsidR="00E86DD5" w:rsidRPr="00B11016" w:rsidRDefault="00E86DD5" w:rsidP="004F5689">
      <w:pPr>
        <w:rPr>
          <w:lang w:val="en-US" w:eastAsia="zh-CN"/>
        </w:rPr>
      </w:pPr>
      <w:bookmarkStart w:id="7" w:name="lt_pId017"/>
      <w:r w:rsidRPr="00B11016">
        <w:rPr>
          <w:i/>
          <w:iCs/>
          <w:lang w:eastAsia="zh-CN"/>
        </w:rPr>
        <w:t>c)</w:t>
      </w:r>
      <w:bookmarkEnd w:id="7"/>
      <w:r w:rsidRPr="00B11016">
        <w:rPr>
          <w:lang w:eastAsia="zh-CN"/>
        </w:rPr>
        <w:tab/>
      </w:r>
      <w:bookmarkStart w:id="8" w:name="lt_pId018"/>
      <w:r w:rsidRPr="00B11016">
        <w:rPr>
          <w:rFonts w:hint="eastAsia"/>
          <w:lang w:val="en-US" w:eastAsia="zh-CN"/>
        </w:rPr>
        <w:t>全球运营和规模经济是无线电通信系统成功的关键要求，因此，考虑到现有广播系统的部署情况</w:t>
      </w:r>
      <w:r>
        <w:rPr>
          <w:rFonts w:hint="eastAsia"/>
          <w:lang w:val="en-US" w:eastAsia="zh-CN"/>
        </w:rPr>
        <w:t>，</w:t>
      </w:r>
      <w:r w:rsidRPr="00B11016">
        <w:rPr>
          <w:rFonts w:hint="eastAsia"/>
          <w:lang w:val="en-US" w:eastAsia="zh-CN"/>
        </w:rPr>
        <w:t>就制定</w:t>
      </w:r>
      <w:r>
        <w:rPr>
          <w:rFonts w:hint="eastAsia"/>
          <w:lang w:val="en-US" w:eastAsia="zh-CN"/>
        </w:rPr>
        <w:t>通用</w:t>
      </w:r>
      <w:r w:rsidRPr="00B11016">
        <w:rPr>
          <w:rFonts w:hint="eastAsia"/>
          <w:lang w:val="en-US" w:eastAsia="zh-CN"/>
        </w:rPr>
        <w:t>技术、操作和频谱相关参数</w:t>
      </w:r>
      <w:r>
        <w:rPr>
          <w:rFonts w:hint="eastAsia"/>
          <w:lang w:val="en-US" w:eastAsia="zh-CN"/>
        </w:rPr>
        <w:t>的</w:t>
      </w:r>
      <w:r w:rsidRPr="00B11016">
        <w:rPr>
          <w:rFonts w:hint="eastAsia"/>
          <w:lang w:val="en-US" w:eastAsia="zh-CN"/>
        </w:rPr>
        <w:t>统一时间表</w:t>
      </w:r>
      <w:r>
        <w:rPr>
          <w:rFonts w:hint="eastAsia"/>
          <w:lang w:val="en-US" w:eastAsia="zh-CN"/>
        </w:rPr>
        <w:t>达成一致</w:t>
      </w:r>
      <w:r w:rsidRPr="00B11016">
        <w:rPr>
          <w:rFonts w:hint="eastAsia"/>
          <w:lang w:val="en-US" w:eastAsia="zh-CN"/>
        </w:rPr>
        <w:t>是十分可取的；</w:t>
      </w:r>
    </w:p>
    <w:p w14:paraId="3F7972AB" w14:textId="77777777" w:rsidR="00E86DD5" w:rsidRPr="00B11016" w:rsidRDefault="00E86DD5" w:rsidP="004F5689">
      <w:pPr>
        <w:rPr>
          <w:lang w:eastAsia="zh-CN"/>
        </w:rPr>
      </w:pPr>
      <w:bookmarkStart w:id="9" w:name="lt_pId019"/>
      <w:bookmarkEnd w:id="8"/>
      <w:r w:rsidRPr="00B11016">
        <w:rPr>
          <w:i/>
          <w:iCs/>
          <w:lang w:eastAsia="zh-CN"/>
        </w:rPr>
        <w:t>d)</w:t>
      </w:r>
      <w:bookmarkEnd w:id="9"/>
      <w:r w:rsidRPr="00B11016">
        <w:rPr>
          <w:lang w:eastAsia="zh-CN"/>
        </w:rPr>
        <w:tab/>
      </w:r>
      <w:bookmarkStart w:id="10" w:name="lt_pId020"/>
      <w:r w:rsidRPr="00B11016">
        <w:rPr>
          <w:rFonts w:hint="eastAsia"/>
          <w:lang w:eastAsia="zh-CN"/>
        </w:rPr>
        <w:t>在许多国家，广播正在按照</w:t>
      </w:r>
      <w:r w:rsidRPr="00B11016">
        <w:rPr>
          <w:rFonts w:hint="eastAsia"/>
          <w:lang w:eastAsia="zh-CN"/>
        </w:rPr>
        <w:t>ITU-R</w:t>
      </w:r>
      <w:r w:rsidRPr="00B11016">
        <w:rPr>
          <w:rFonts w:hint="eastAsia"/>
          <w:lang w:eastAsia="zh-CN"/>
        </w:rPr>
        <w:t>第</w:t>
      </w:r>
      <w:r w:rsidRPr="00B11016">
        <w:rPr>
          <w:rFonts w:hint="eastAsia"/>
          <w:lang w:eastAsia="zh-CN"/>
        </w:rPr>
        <w:t>55</w:t>
      </w:r>
      <w:r w:rsidRPr="00B11016">
        <w:rPr>
          <w:rFonts w:hint="eastAsia"/>
          <w:lang w:eastAsia="zh-CN"/>
        </w:rPr>
        <w:t>号决议的规定，提供重要的应急预警应</w:t>
      </w:r>
      <w:r>
        <w:rPr>
          <w:rFonts w:hint="eastAsia"/>
          <w:lang w:eastAsia="zh-CN"/>
        </w:rPr>
        <w:t>用</w:t>
      </w:r>
      <w:r w:rsidRPr="00B11016">
        <w:rPr>
          <w:rFonts w:hint="eastAsia"/>
          <w:lang w:eastAsia="zh-CN"/>
        </w:rPr>
        <w:t>；</w:t>
      </w:r>
      <w:bookmarkEnd w:id="10"/>
    </w:p>
    <w:p w14:paraId="3130F379" w14:textId="77777777" w:rsidR="00E86DD5" w:rsidRPr="00B11016" w:rsidRDefault="00E86DD5" w:rsidP="004F5689">
      <w:pPr>
        <w:rPr>
          <w:lang w:eastAsia="zh-CN"/>
        </w:rPr>
      </w:pPr>
      <w:bookmarkStart w:id="11" w:name="lt_pId021"/>
      <w:r w:rsidRPr="00B11016">
        <w:rPr>
          <w:i/>
          <w:lang w:eastAsia="zh-CN"/>
        </w:rPr>
        <w:t>e)</w:t>
      </w:r>
      <w:bookmarkEnd w:id="11"/>
      <w:r w:rsidRPr="00B11016">
        <w:rPr>
          <w:i/>
          <w:lang w:eastAsia="zh-CN"/>
        </w:rPr>
        <w:tab/>
      </w:r>
      <w:bookmarkStart w:id="12" w:name="lt_pId022"/>
      <w:r w:rsidRPr="00B11016">
        <w:rPr>
          <w:rFonts w:hint="eastAsia"/>
          <w:lang w:val="en-US" w:eastAsia="zh-CN"/>
        </w:rPr>
        <w:t>预计新的数字广播系统、</w:t>
      </w:r>
      <w:r w:rsidRPr="004F5689">
        <w:rPr>
          <w:rFonts w:hint="eastAsia"/>
          <w:lang w:eastAsia="zh-CN"/>
        </w:rPr>
        <w:t>技术</w:t>
      </w:r>
      <w:r w:rsidRPr="00B11016">
        <w:rPr>
          <w:rFonts w:hint="eastAsia"/>
          <w:lang w:val="en-US" w:eastAsia="zh-CN"/>
        </w:rPr>
        <w:t>和应用的实施将满足向公众提供新的视听体验的需要；</w:t>
      </w:r>
      <w:bookmarkEnd w:id="12"/>
    </w:p>
    <w:p w14:paraId="3DF92B45" w14:textId="73124657" w:rsidR="00E86DD5" w:rsidRPr="00B11016" w:rsidRDefault="00E86DD5" w:rsidP="004F5689">
      <w:pPr>
        <w:rPr>
          <w:lang w:eastAsia="zh-CN"/>
        </w:rPr>
      </w:pPr>
      <w:bookmarkStart w:id="13" w:name="lt_pId023"/>
      <w:r w:rsidRPr="00B11016">
        <w:rPr>
          <w:i/>
          <w:lang w:eastAsia="zh-CN"/>
        </w:rPr>
        <w:t>f)</w:t>
      </w:r>
      <w:bookmarkEnd w:id="13"/>
      <w:r w:rsidRPr="00B11016">
        <w:rPr>
          <w:i/>
          <w:lang w:eastAsia="zh-CN"/>
        </w:rPr>
        <w:tab/>
      </w:r>
      <w:bookmarkStart w:id="14" w:name="lt_pId024"/>
      <w:r w:rsidRPr="00B11016">
        <w:rPr>
          <w:rFonts w:hint="eastAsia"/>
          <w:lang w:eastAsia="zh-CN"/>
        </w:rPr>
        <w:t>如</w:t>
      </w:r>
      <w:r w:rsidRPr="00B11016">
        <w:rPr>
          <w:rFonts w:hint="eastAsia"/>
          <w:lang w:eastAsia="zh-CN"/>
        </w:rPr>
        <w:t>ITU-R</w:t>
      </w:r>
      <w:r w:rsidRPr="00B11016">
        <w:rPr>
          <w:lang w:eastAsia="zh-CN"/>
        </w:rPr>
        <w:t xml:space="preserve"> </w:t>
      </w:r>
      <w:r w:rsidRPr="00B11016">
        <w:rPr>
          <w:rFonts w:hint="eastAsia"/>
          <w:lang w:eastAsia="zh-CN"/>
        </w:rPr>
        <w:t>SM.2353</w:t>
      </w:r>
      <w:r w:rsidRPr="00B11016">
        <w:rPr>
          <w:rFonts w:hint="eastAsia"/>
          <w:lang w:eastAsia="zh-CN"/>
        </w:rPr>
        <w:t>号报告所述，在宽带基础设施水平较低的一些国家，数字广播可以</w:t>
      </w:r>
      <w:r w:rsidRPr="00B11016">
        <w:rPr>
          <w:rFonts w:hint="eastAsia"/>
          <w:lang w:val="en-US" w:eastAsia="zh-CN"/>
        </w:rPr>
        <w:t>带来</w:t>
      </w:r>
      <w:r w:rsidRPr="00B11016">
        <w:rPr>
          <w:rFonts w:hint="eastAsia"/>
          <w:lang w:eastAsia="zh-CN"/>
        </w:rPr>
        <w:t>弥补差距和解决数字鸿沟问题的切实机会；</w:t>
      </w:r>
      <w:bookmarkEnd w:id="14"/>
    </w:p>
    <w:p w14:paraId="1AFDC664" w14:textId="77777777" w:rsidR="00E86DD5" w:rsidRPr="00B11016" w:rsidRDefault="00E86DD5" w:rsidP="004F5689">
      <w:pPr>
        <w:rPr>
          <w:lang w:eastAsia="zh-CN"/>
        </w:rPr>
      </w:pPr>
      <w:bookmarkStart w:id="15" w:name="lt_pId025"/>
      <w:r w:rsidRPr="00B11016">
        <w:rPr>
          <w:i/>
          <w:lang w:eastAsia="zh-CN"/>
        </w:rPr>
        <w:t>g)</w:t>
      </w:r>
      <w:bookmarkEnd w:id="15"/>
      <w:r w:rsidRPr="00B11016">
        <w:rPr>
          <w:i/>
          <w:lang w:eastAsia="zh-CN"/>
        </w:rPr>
        <w:tab/>
      </w:r>
      <w:bookmarkStart w:id="16" w:name="lt_pId026"/>
      <w:r w:rsidRPr="00B11016">
        <w:rPr>
          <w:rFonts w:hint="eastAsia"/>
          <w:lang w:eastAsia="zh-CN"/>
        </w:rPr>
        <w:t>将互联网协议能力纳入地面广播技术，能够促成实现宽带接入、内容创建和分发；</w:t>
      </w:r>
      <w:bookmarkEnd w:id="16"/>
    </w:p>
    <w:p w14:paraId="14B0B961" w14:textId="77777777" w:rsidR="00E86DD5" w:rsidRPr="00B11016" w:rsidRDefault="00E86DD5" w:rsidP="004F5689">
      <w:pPr>
        <w:rPr>
          <w:lang w:eastAsia="zh-CN"/>
        </w:rPr>
      </w:pPr>
      <w:bookmarkStart w:id="17" w:name="lt_pId027"/>
      <w:r w:rsidRPr="00B11016">
        <w:rPr>
          <w:i/>
          <w:lang w:eastAsia="zh-CN"/>
        </w:rPr>
        <w:t>h)</w:t>
      </w:r>
      <w:bookmarkEnd w:id="17"/>
      <w:r w:rsidRPr="00B11016">
        <w:rPr>
          <w:i/>
          <w:lang w:eastAsia="zh-CN"/>
        </w:rPr>
        <w:tab/>
      </w:r>
      <w:bookmarkStart w:id="18" w:name="lt_pId028"/>
      <w:r w:rsidRPr="00B11016">
        <w:rPr>
          <w:rFonts w:hint="eastAsia"/>
          <w:lang w:eastAsia="zh-CN"/>
        </w:rPr>
        <w:t>在次要划分基础上</w:t>
      </w:r>
      <w:r>
        <w:rPr>
          <w:rFonts w:hint="eastAsia"/>
          <w:lang w:eastAsia="zh-CN"/>
        </w:rPr>
        <w:t>可视情况</w:t>
      </w:r>
      <w:r w:rsidRPr="00B11016">
        <w:rPr>
          <w:rFonts w:hint="eastAsia"/>
          <w:lang w:eastAsia="zh-CN"/>
        </w:rPr>
        <w:t>复用广播频谱的原则对于广播的辅助应用仍然是可行的；</w:t>
      </w:r>
      <w:bookmarkEnd w:id="18"/>
    </w:p>
    <w:p w14:paraId="5AC489EA" w14:textId="77777777" w:rsidR="00E86DD5" w:rsidRPr="00B11016" w:rsidRDefault="00E86DD5" w:rsidP="004F5689">
      <w:pPr>
        <w:rPr>
          <w:lang w:eastAsia="zh-CN"/>
        </w:rPr>
      </w:pPr>
      <w:bookmarkStart w:id="19" w:name="lt_pId029"/>
      <w:r w:rsidRPr="00B11016">
        <w:rPr>
          <w:i/>
          <w:lang w:eastAsia="zh-CN"/>
        </w:rPr>
        <w:t>i)</w:t>
      </w:r>
      <w:bookmarkEnd w:id="19"/>
      <w:r w:rsidRPr="00B11016">
        <w:rPr>
          <w:i/>
          <w:lang w:eastAsia="zh-CN"/>
        </w:rPr>
        <w:tab/>
      </w:r>
      <w:bookmarkStart w:id="20" w:name="lt_pId030"/>
      <w:r>
        <w:rPr>
          <w:rFonts w:hint="eastAsia"/>
          <w:iCs/>
          <w:lang w:eastAsia="zh-CN"/>
        </w:rPr>
        <w:t>在</w:t>
      </w:r>
      <w:r w:rsidRPr="00B11016">
        <w:rPr>
          <w:rFonts w:hint="eastAsia"/>
          <w:lang w:eastAsia="zh-CN"/>
        </w:rPr>
        <w:t>所有区域</w:t>
      </w:r>
      <w:r>
        <w:rPr>
          <w:rFonts w:hint="eastAsia"/>
          <w:lang w:eastAsia="zh-CN"/>
        </w:rPr>
        <w:t>，</w:t>
      </w:r>
      <w:r w:rsidRPr="00B11016">
        <w:rPr>
          <w:rFonts w:hint="eastAsia"/>
          <w:lang w:eastAsia="zh-CN"/>
        </w:rPr>
        <w:t>发展中国家广播的</w:t>
      </w:r>
      <w:r>
        <w:rPr>
          <w:rFonts w:hint="eastAsia"/>
          <w:lang w:eastAsia="zh-CN"/>
        </w:rPr>
        <w:t>数字转换都得到了推动</w:t>
      </w:r>
      <w:r w:rsidRPr="00B11016">
        <w:rPr>
          <w:rFonts w:hint="eastAsia"/>
          <w:lang w:eastAsia="zh-CN"/>
        </w:rPr>
        <w:t>，</w:t>
      </w:r>
      <w:bookmarkEnd w:id="20"/>
    </w:p>
    <w:p w14:paraId="40EBC161" w14:textId="77777777" w:rsidR="00E86DD5" w:rsidRPr="00B11016" w:rsidRDefault="00E86DD5" w:rsidP="00E86DD5">
      <w:pPr>
        <w:pStyle w:val="Call"/>
        <w:rPr>
          <w:lang w:eastAsia="zh-CN"/>
        </w:rPr>
      </w:pPr>
      <w:bookmarkStart w:id="21" w:name="lt_pId031"/>
      <w:r w:rsidRPr="00B11016">
        <w:rPr>
          <w:rFonts w:hint="eastAsia"/>
          <w:lang w:eastAsia="zh-CN"/>
        </w:rPr>
        <w:t>认识到</w:t>
      </w:r>
      <w:bookmarkEnd w:id="21"/>
      <w:r w:rsidRPr="00B11016">
        <w:rPr>
          <w:lang w:eastAsia="zh-CN"/>
        </w:rPr>
        <w:t xml:space="preserve"> </w:t>
      </w:r>
    </w:p>
    <w:p w14:paraId="2F668B3E" w14:textId="77777777" w:rsidR="00E86DD5" w:rsidRPr="00B11016" w:rsidRDefault="00E86DD5" w:rsidP="004F5689">
      <w:pPr>
        <w:rPr>
          <w:lang w:eastAsia="zh-CN"/>
        </w:rPr>
      </w:pPr>
      <w:bookmarkStart w:id="22" w:name="lt_pId032"/>
      <w:r w:rsidRPr="00B11016">
        <w:rPr>
          <w:i/>
          <w:iCs/>
          <w:lang w:eastAsia="zh-CN"/>
        </w:rPr>
        <w:t>a)</w:t>
      </w:r>
      <w:bookmarkEnd w:id="22"/>
      <w:r w:rsidRPr="00B11016">
        <w:rPr>
          <w:lang w:eastAsia="zh-CN"/>
        </w:rPr>
        <w:tab/>
      </w:r>
      <w:bookmarkStart w:id="23" w:name="lt_pId033"/>
      <w:r w:rsidRPr="00B11016">
        <w:rPr>
          <w:rFonts w:hint="eastAsia"/>
          <w:lang w:eastAsia="zh-CN"/>
        </w:rPr>
        <w:t>《无线电规则》序言第</w:t>
      </w:r>
      <w:r w:rsidRPr="00B11016">
        <w:rPr>
          <w:rFonts w:hint="eastAsia"/>
          <w:lang w:eastAsia="zh-CN"/>
        </w:rPr>
        <w:t>0.</w:t>
      </w:r>
      <w:proofErr w:type="gramStart"/>
      <w:r w:rsidRPr="00B11016">
        <w:rPr>
          <w:rFonts w:hint="eastAsia"/>
          <w:lang w:eastAsia="zh-CN"/>
        </w:rPr>
        <w:t>2</w:t>
      </w:r>
      <w:r w:rsidRPr="00B11016">
        <w:rPr>
          <w:rFonts w:hint="eastAsia"/>
          <w:lang w:eastAsia="zh-CN"/>
        </w:rPr>
        <w:t>款鼓励成员国努力尽快应用最新技术成</w:t>
      </w:r>
      <w:r>
        <w:rPr>
          <w:rFonts w:hint="eastAsia"/>
          <w:lang w:eastAsia="zh-CN"/>
        </w:rPr>
        <w:t>果</w:t>
      </w:r>
      <w:r w:rsidRPr="00B11016">
        <w:rPr>
          <w:rFonts w:hint="eastAsia"/>
          <w:lang w:eastAsia="zh-CN"/>
        </w:rPr>
        <w:t>；</w:t>
      </w:r>
      <w:bookmarkEnd w:id="23"/>
      <w:proofErr w:type="gramEnd"/>
    </w:p>
    <w:p w14:paraId="0BF89DAC" w14:textId="77777777" w:rsidR="00E86DD5" w:rsidRPr="00B11016" w:rsidRDefault="00E86DD5" w:rsidP="00751C8A">
      <w:pPr>
        <w:rPr>
          <w:lang w:eastAsia="zh-CN"/>
        </w:rPr>
      </w:pPr>
      <w:bookmarkStart w:id="24" w:name="lt_pId034"/>
      <w:r w:rsidRPr="00B11016">
        <w:rPr>
          <w:i/>
          <w:iCs/>
          <w:lang w:eastAsia="zh-CN"/>
        </w:rPr>
        <w:t>b)</w:t>
      </w:r>
      <w:bookmarkEnd w:id="24"/>
      <w:r w:rsidRPr="00B11016">
        <w:rPr>
          <w:lang w:eastAsia="zh-CN"/>
        </w:rPr>
        <w:tab/>
      </w:r>
      <w:bookmarkStart w:id="25" w:name="lt_pId035"/>
      <w:r w:rsidRPr="00B11016">
        <w:rPr>
          <w:rFonts w:hint="eastAsia"/>
          <w:lang w:eastAsia="zh-CN"/>
        </w:rPr>
        <w:t>《无线电规则》</w:t>
      </w:r>
      <w:proofErr w:type="gramStart"/>
      <w:r w:rsidRPr="00B11016">
        <w:rPr>
          <w:rFonts w:hint="eastAsia"/>
          <w:lang w:eastAsia="zh-CN"/>
        </w:rPr>
        <w:t>第</w:t>
      </w:r>
      <w:r w:rsidRPr="00B11016">
        <w:rPr>
          <w:rFonts w:hint="eastAsia"/>
          <w:lang w:eastAsia="zh-CN"/>
        </w:rPr>
        <w:t>5</w:t>
      </w:r>
      <w:r w:rsidRPr="00B11016">
        <w:rPr>
          <w:rFonts w:hint="eastAsia"/>
          <w:lang w:eastAsia="zh-CN"/>
        </w:rPr>
        <w:t>条和区域性协议</w:t>
      </w:r>
      <w:r>
        <w:rPr>
          <w:rFonts w:hint="eastAsia"/>
          <w:lang w:eastAsia="zh-CN"/>
        </w:rPr>
        <w:t>均</w:t>
      </w:r>
      <w:r w:rsidRPr="00B11016">
        <w:rPr>
          <w:rFonts w:hint="eastAsia"/>
          <w:lang w:eastAsia="zh-CN"/>
        </w:rPr>
        <w:t>确立了全球和区域统一的广播频谱；</w:t>
      </w:r>
      <w:bookmarkEnd w:id="25"/>
      <w:proofErr w:type="gramEnd"/>
    </w:p>
    <w:p w14:paraId="5BC58249" w14:textId="77777777" w:rsidR="00E86DD5" w:rsidRPr="00B11016" w:rsidRDefault="00E86DD5" w:rsidP="00751C8A">
      <w:pPr>
        <w:rPr>
          <w:lang w:eastAsia="zh-CN"/>
        </w:rPr>
      </w:pPr>
      <w:bookmarkStart w:id="26" w:name="lt_pId036"/>
      <w:r w:rsidRPr="00B11016">
        <w:rPr>
          <w:i/>
          <w:iCs/>
          <w:lang w:eastAsia="zh-CN"/>
        </w:rPr>
        <w:t>c)</w:t>
      </w:r>
      <w:bookmarkEnd w:id="26"/>
      <w:r w:rsidRPr="00B11016">
        <w:rPr>
          <w:lang w:eastAsia="zh-CN"/>
        </w:rPr>
        <w:tab/>
      </w:r>
      <w:bookmarkStart w:id="27" w:name="lt_pId037"/>
      <w:r w:rsidRPr="00B11016">
        <w:rPr>
          <w:rFonts w:hint="eastAsia"/>
          <w:lang w:eastAsia="zh-CN"/>
        </w:rPr>
        <w:t>国际电联是国际公认的组织，专门负责通过与其它相关组织（例如标准制定组织、学术界、行业组织）合作，以伙伴关系项目、论坛、联盟及科研</w:t>
      </w:r>
      <w:r>
        <w:rPr>
          <w:rFonts w:hint="eastAsia"/>
          <w:lang w:eastAsia="zh-CN"/>
        </w:rPr>
        <w:t>协作</w:t>
      </w:r>
      <w:r w:rsidRPr="00B11016">
        <w:rPr>
          <w:rFonts w:hint="eastAsia"/>
          <w:lang w:eastAsia="zh-CN"/>
        </w:rPr>
        <w:t>等方式，确定和推荐广播系统的标准和频率安排；</w:t>
      </w:r>
    </w:p>
    <w:p w14:paraId="547E181C" w14:textId="77777777" w:rsidR="00C4042A" w:rsidRDefault="00C404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eastAsia="zh-CN"/>
        </w:rPr>
      </w:pPr>
      <w:bookmarkStart w:id="28" w:name="lt_pId038"/>
      <w:bookmarkEnd w:id="27"/>
      <w:r>
        <w:rPr>
          <w:i/>
          <w:lang w:eastAsia="zh-CN"/>
        </w:rPr>
        <w:br w:type="page"/>
      </w:r>
    </w:p>
    <w:p w14:paraId="43240A34" w14:textId="0B1C3731" w:rsidR="00E86DD5" w:rsidRPr="00B11016" w:rsidRDefault="00E86DD5" w:rsidP="00751C8A">
      <w:pPr>
        <w:rPr>
          <w:lang w:eastAsia="zh-CN"/>
        </w:rPr>
      </w:pPr>
      <w:r w:rsidRPr="00B11016">
        <w:rPr>
          <w:i/>
          <w:lang w:eastAsia="zh-CN"/>
        </w:rPr>
        <w:lastRenderedPageBreak/>
        <w:t>d)</w:t>
      </w:r>
      <w:bookmarkEnd w:id="28"/>
      <w:r w:rsidRPr="00B11016">
        <w:rPr>
          <w:i/>
          <w:lang w:eastAsia="zh-CN"/>
        </w:rPr>
        <w:tab/>
      </w:r>
      <w:bookmarkStart w:id="29" w:name="lt_pId039"/>
      <w:proofErr w:type="gramStart"/>
      <w:r w:rsidRPr="00B11016">
        <w:rPr>
          <w:rFonts w:hint="eastAsia"/>
          <w:lang w:eastAsia="zh-CN"/>
        </w:rPr>
        <w:t>国际电联广播技术的标准化进程已使国际电联</w:t>
      </w:r>
      <w:r w:rsidRPr="00B11016">
        <w:rPr>
          <w:rFonts w:hint="eastAsia"/>
          <w:lang w:val="en-US" w:eastAsia="zh-CN"/>
        </w:rPr>
        <w:t>成员受益匪浅</w:t>
      </w:r>
      <w:r w:rsidRPr="00B11016">
        <w:rPr>
          <w:rFonts w:hint="eastAsia"/>
          <w:lang w:eastAsia="zh-CN"/>
        </w:rPr>
        <w:t>；</w:t>
      </w:r>
      <w:bookmarkEnd w:id="29"/>
      <w:proofErr w:type="gramEnd"/>
    </w:p>
    <w:p w14:paraId="58A84501" w14:textId="7227E8BE" w:rsidR="00E86DD5" w:rsidRDefault="00E86DD5" w:rsidP="00751C8A">
      <w:pPr>
        <w:rPr>
          <w:lang w:eastAsia="zh-CN"/>
        </w:rPr>
      </w:pPr>
      <w:bookmarkStart w:id="30" w:name="lt_pId040"/>
      <w:r w:rsidRPr="00B11016">
        <w:rPr>
          <w:i/>
          <w:lang w:eastAsia="zh-CN"/>
        </w:rPr>
        <w:t>e)</w:t>
      </w:r>
      <w:bookmarkEnd w:id="30"/>
      <w:r w:rsidRPr="00B11016">
        <w:rPr>
          <w:i/>
          <w:lang w:eastAsia="zh-CN"/>
        </w:rPr>
        <w:tab/>
      </w:r>
      <w:bookmarkStart w:id="31" w:name="lt_pId041"/>
      <w:r w:rsidRPr="00B11016">
        <w:rPr>
          <w:rFonts w:hint="eastAsia"/>
          <w:lang w:eastAsia="zh-CN"/>
        </w:rPr>
        <w:t>ITU-R</w:t>
      </w:r>
      <w:r w:rsidRPr="00B11016">
        <w:rPr>
          <w:rFonts w:hint="eastAsia"/>
          <w:lang w:eastAsia="zh-CN"/>
        </w:rPr>
        <w:t>第</w:t>
      </w:r>
      <w:r w:rsidRPr="00B11016">
        <w:rPr>
          <w:rFonts w:hint="eastAsia"/>
          <w:lang w:eastAsia="zh-CN"/>
        </w:rPr>
        <w:t>6</w:t>
      </w:r>
      <w:r w:rsidRPr="00B11016">
        <w:rPr>
          <w:rFonts w:hint="eastAsia"/>
          <w:lang w:eastAsia="zh-CN"/>
        </w:rPr>
        <w:t>研究组已就</w:t>
      </w:r>
      <w:r>
        <w:rPr>
          <w:rFonts w:hint="eastAsia"/>
          <w:lang w:eastAsia="zh-CN"/>
        </w:rPr>
        <w:t>广播业务的</w:t>
      </w:r>
      <w:r w:rsidRPr="00B11016">
        <w:rPr>
          <w:rFonts w:hint="eastAsia"/>
          <w:lang w:eastAsia="zh-CN"/>
        </w:rPr>
        <w:t>频谱使用和管理、</w:t>
      </w:r>
      <w:r>
        <w:rPr>
          <w:rFonts w:hint="eastAsia"/>
          <w:lang w:eastAsia="zh-CN"/>
        </w:rPr>
        <w:t>发送</w:t>
      </w:r>
      <w:r w:rsidRPr="00B11016">
        <w:rPr>
          <w:rFonts w:hint="eastAsia"/>
          <w:lang w:eastAsia="zh-CN"/>
        </w:rPr>
        <w:t>、传输、视频和音频编码系统、图像格式定义、</w:t>
      </w:r>
      <w:proofErr w:type="gramStart"/>
      <w:r w:rsidRPr="00B11016">
        <w:rPr>
          <w:rFonts w:hint="eastAsia"/>
          <w:lang w:eastAsia="zh-CN"/>
        </w:rPr>
        <w:t>信号接口和服务质量定义制定了全球认</w:t>
      </w:r>
      <w:r>
        <w:rPr>
          <w:rFonts w:hint="eastAsia"/>
          <w:lang w:eastAsia="zh-CN"/>
        </w:rPr>
        <w:t>可</w:t>
      </w:r>
      <w:r w:rsidRPr="00B11016">
        <w:rPr>
          <w:rFonts w:hint="eastAsia"/>
          <w:lang w:eastAsia="zh-CN"/>
        </w:rPr>
        <w:t>的建议书和报告</w:t>
      </w:r>
      <w:bookmarkEnd w:id="31"/>
      <w:r>
        <w:rPr>
          <w:rFonts w:hint="eastAsia"/>
          <w:lang w:eastAsia="zh-CN"/>
        </w:rPr>
        <w:t>；</w:t>
      </w:r>
      <w:proofErr w:type="gramEnd"/>
    </w:p>
    <w:p w14:paraId="12CE1183" w14:textId="5D428E21" w:rsidR="00E86DD5" w:rsidRDefault="00E86DD5" w:rsidP="00E86DD5">
      <w:pPr>
        <w:rPr>
          <w:lang w:eastAsia="zh-CN"/>
        </w:rPr>
      </w:pPr>
      <w:bookmarkStart w:id="32" w:name="lt_pId042"/>
      <w:r w:rsidRPr="00376A37">
        <w:rPr>
          <w:i/>
          <w:lang w:eastAsia="zh-CN"/>
        </w:rPr>
        <w:t>f)</w:t>
      </w:r>
      <w:r w:rsidRPr="00376A37">
        <w:rPr>
          <w:i/>
          <w:lang w:eastAsia="zh-CN"/>
        </w:rPr>
        <w:tab/>
      </w:r>
      <w:r w:rsidR="004228E5" w:rsidRPr="004228E5">
        <w:rPr>
          <w:rFonts w:hint="eastAsia"/>
          <w:lang w:eastAsia="zh-CN"/>
        </w:rPr>
        <w:t>ITU-R BS</w:t>
      </w:r>
      <w:r w:rsidR="004228E5">
        <w:rPr>
          <w:lang w:eastAsia="zh-CN"/>
        </w:rPr>
        <w:t>.</w:t>
      </w:r>
      <w:r w:rsidR="004228E5" w:rsidRPr="004228E5">
        <w:rPr>
          <w:rFonts w:hint="eastAsia"/>
          <w:lang w:eastAsia="zh-CN"/>
        </w:rPr>
        <w:t>/BT.2522</w:t>
      </w:r>
      <w:r w:rsidR="004228E5">
        <w:rPr>
          <w:rFonts w:hint="eastAsia"/>
          <w:lang w:eastAsia="zh-CN"/>
        </w:rPr>
        <w:t>号报告以及</w:t>
      </w:r>
      <w:r w:rsidR="004228E5" w:rsidRPr="004228E5">
        <w:rPr>
          <w:rFonts w:hint="eastAsia"/>
          <w:lang w:eastAsia="zh-CN"/>
        </w:rPr>
        <w:t>ITU-R BS</w:t>
      </w:r>
      <w:r w:rsidR="004228E5">
        <w:rPr>
          <w:lang w:eastAsia="zh-CN"/>
        </w:rPr>
        <w:t>.</w:t>
      </w:r>
      <w:r w:rsidR="004228E5" w:rsidRPr="004228E5">
        <w:rPr>
          <w:rFonts w:hint="eastAsia"/>
          <w:lang w:eastAsia="zh-CN"/>
        </w:rPr>
        <w:t>/BT.2524</w:t>
      </w:r>
      <w:r w:rsidR="004228E5">
        <w:rPr>
          <w:rFonts w:hint="eastAsia"/>
          <w:lang w:eastAsia="zh-CN"/>
        </w:rPr>
        <w:t>号报告</w:t>
      </w:r>
      <w:r w:rsidR="004228E5" w:rsidRPr="004228E5">
        <w:rPr>
          <w:rFonts w:hint="eastAsia"/>
          <w:lang w:eastAsia="zh-CN"/>
        </w:rPr>
        <w:t>为广播的未来提出了一个框架，该框架</w:t>
      </w:r>
      <w:r w:rsidR="004228E5">
        <w:rPr>
          <w:rFonts w:hint="eastAsia"/>
          <w:lang w:eastAsia="zh-CN"/>
        </w:rPr>
        <w:t>探究</w:t>
      </w:r>
      <w:r w:rsidR="004228E5" w:rsidRPr="004228E5">
        <w:rPr>
          <w:rFonts w:hint="eastAsia"/>
          <w:lang w:eastAsia="zh-CN"/>
        </w:rPr>
        <w:t>了为</w:t>
      </w:r>
      <w:r w:rsidR="00216A28">
        <w:rPr>
          <w:rFonts w:hint="eastAsia"/>
          <w:lang w:eastAsia="zh-CN"/>
        </w:rPr>
        <w:t>终端</w:t>
      </w:r>
      <w:r w:rsidR="004228E5" w:rsidRPr="004228E5">
        <w:rPr>
          <w:rFonts w:hint="eastAsia"/>
          <w:lang w:eastAsia="zh-CN"/>
        </w:rPr>
        <w:t>用户提供广播</w:t>
      </w:r>
      <w:r w:rsidR="00216A28">
        <w:rPr>
          <w:rFonts w:hint="eastAsia"/>
          <w:lang w:eastAsia="zh-CN"/>
        </w:rPr>
        <w:t>业务</w:t>
      </w:r>
      <w:r w:rsidR="004228E5" w:rsidRPr="004228E5">
        <w:rPr>
          <w:rFonts w:hint="eastAsia"/>
          <w:lang w:eastAsia="zh-CN"/>
        </w:rPr>
        <w:t>的新趋势以及广播节目制作和传送技术的进步</w:t>
      </w:r>
      <w:r w:rsidR="000D5773">
        <w:rPr>
          <w:rFonts w:hint="eastAsia"/>
          <w:lang w:eastAsia="zh-CN"/>
        </w:rPr>
        <w:t>，</w:t>
      </w:r>
    </w:p>
    <w:p w14:paraId="4A6C2894" w14:textId="77777777" w:rsidR="00E86DD5" w:rsidRPr="00B11016" w:rsidRDefault="00E86DD5" w:rsidP="00E86DD5">
      <w:pPr>
        <w:pStyle w:val="Call"/>
        <w:rPr>
          <w:lang w:eastAsia="zh-CN"/>
        </w:rPr>
      </w:pPr>
      <w:r w:rsidRPr="00B11016">
        <w:rPr>
          <w:rFonts w:hint="eastAsia"/>
          <w:lang w:eastAsia="zh-CN"/>
        </w:rPr>
        <w:t>注意到</w:t>
      </w:r>
      <w:bookmarkEnd w:id="32"/>
    </w:p>
    <w:p w14:paraId="325DA137" w14:textId="77777777" w:rsidR="00E86DD5" w:rsidRPr="00B11016" w:rsidRDefault="00E86DD5" w:rsidP="00751C8A">
      <w:pPr>
        <w:rPr>
          <w:lang w:eastAsia="zh-CN"/>
        </w:rPr>
      </w:pPr>
      <w:bookmarkStart w:id="33" w:name="lt_pId043"/>
      <w:r w:rsidRPr="00B11016">
        <w:rPr>
          <w:i/>
          <w:iCs/>
          <w:lang w:eastAsia="zh-CN"/>
        </w:rPr>
        <w:t>a)</w:t>
      </w:r>
      <w:bookmarkEnd w:id="33"/>
      <w:r w:rsidRPr="00B11016">
        <w:rPr>
          <w:lang w:eastAsia="zh-CN"/>
        </w:rPr>
        <w:tab/>
      </w:r>
      <w:bookmarkStart w:id="34" w:name="lt_pId044"/>
      <w:proofErr w:type="gramStart"/>
      <w:r>
        <w:rPr>
          <w:rFonts w:hint="eastAsia"/>
          <w:lang w:eastAsia="zh-CN"/>
        </w:rPr>
        <w:t>一</w:t>
      </w:r>
      <w:r w:rsidRPr="00B11016">
        <w:rPr>
          <w:rFonts w:hint="eastAsia"/>
          <w:lang w:eastAsia="zh-CN"/>
        </w:rPr>
        <w:t>国</w:t>
      </w:r>
      <w:r>
        <w:rPr>
          <w:rFonts w:hint="eastAsia"/>
          <w:lang w:eastAsia="zh-CN"/>
        </w:rPr>
        <w:t>国内</w:t>
      </w:r>
      <w:r w:rsidRPr="00B11016">
        <w:rPr>
          <w:rFonts w:hint="eastAsia"/>
          <w:lang w:eastAsia="zh-CN"/>
        </w:rPr>
        <w:t>广播</w:t>
      </w:r>
      <w:r>
        <w:rPr>
          <w:rFonts w:hint="eastAsia"/>
          <w:lang w:eastAsia="zh-CN"/>
        </w:rPr>
        <w:t>业务</w:t>
      </w:r>
      <w:r w:rsidRPr="00B11016">
        <w:rPr>
          <w:rFonts w:hint="eastAsia"/>
          <w:lang w:eastAsia="zh-CN"/>
        </w:rPr>
        <w:t>的覆盖范围和</w:t>
      </w:r>
      <w:r>
        <w:rPr>
          <w:rFonts w:hint="eastAsia"/>
          <w:lang w:eastAsia="zh-CN"/>
        </w:rPr>
        <w:t>业务</w:t>
      </w:r>
      <w:r w:rsidRPr="00B11016">
        <w:rPr>
          <w:rFonts w:hint="eastAsia"/>
          <w:lang w:eastAsia="zh-CN"/>
        </w:rPr>
        <w:t>要求的选择完全</w:t>
      </w:r>
      <w:r>
        <w:rPr>
          <w:rFonts w:hint="eastAsia"/>
          <w:lang w:eastAsia="zh-CN"/>
        </w:rPr>
        <w:t>属于本国</w:t>
      </w:r>
      <w:r w:rsidRPr="00B11016">
        <w:rPr>
          <w:rFonts w:hint="eastAsia"/>
          <w:lang w:eastAsia="zh-CN"/>
        </w:rPr>
        <w:t>事务；</w:t>
      </w:r>
      <w:bookmarkEnd w:id="34"/>
      <w:proofErr w:type="gramEnd"/>
    </w:p>
    <w:p w14:paraId="4CFE8097" w14:textId="3D75CB91" w:rsidR="00E86DD5" w:rsidRPr="00B11016" w:rsidRDefault="00E86DD5" w:rsidP="00751C8A">
      <w:pPr>
        <w:rPr>
          <w:lang w:eastAsia="zh-CN"/>
        </w:rPr>
      </w:pPr>
      <w:bookmarkStart w:id="35" w:name="lt_pId045"/>
      <w:r w:rsidRPr="00B11016">
        <w:rPr>
          <w:i/>
          <w:lang w:eastAsia="zh-CN"/>
        </w:rPr>
        <w:t>b)</w:t>
      </w:r>
      <w:bookmarkEnd w:id="35"/>
      <w:r w:rsidRPr="00B11016">
        <w:rPr>
          <w:i/>
          <w:lang w:eastAsia="zh-CN"/>
        </w:rPr>
        <w:tab/>
      </w:r>
      <w:bookmarkStart w:id="36" w:name="lt_pId046"/>
      <w:r w:rsidRPr="006D2094">
        <w:rPr>
          <w:rFonts w:hint="eastAsia"/>
          <w:lang w:eastAsia="zh-CN"/>
        </w:rPr>
        <w:t>许多主管部门都已受益于</w:t>
      </w:r>
      <w:r w:rsidRPr="006D2094">
        <w:rPr>
          <w:rFonts w:hint="eastAsia"/>
          <w:lang w:eastAsia="zh-CN"/>
        </w:rPr>
        <w:t>ITU-R</w:t>
      </w:r>
      <w:r w:rsidRPr="006D2094">
        <w:rPr>
          <w:rFonts w:hint="eastAsia"/>
          <w:lang w:eastAsia="zh-CN"/>
        </w:rPr>
        <w:t>广播相关技术的标准化，如</w:t>
      </w:r>
      <w:r w:rsidRPr="006D2094">
        <w:rPr>
          <w:rFonts w:hint="eastAsia"/>
          <w:lang w:eastAsia="zh-CN"/>
        </w:rPr>
        <w:t>DSB</w:t>
      </w:r>
      <w:r w:rsidRPr="006D2094">
        <w:rPr>
          <w:rFonts w:hint="eastAsia"/>
          <w:lang w:eastAsia="zh-CN"/>
        </w:rPr>
        <w:t>、第一代和第二代</w:t>
      </w:r>
      <w:r w:rsidRPr="006D2094">
        <w:rPr>
          <w:rFonts w:hint="eastAsia"/>
          <w:lang w:eastAsia="zh-CN"/>
        </w:rPr>
        <w:t>DTTB</w:t>
      </w:r>
      <w:r w:rsidRPr="006D2094">
        <w:rPr>
          <w:rFonts w:hint="eastAsia"/>
          <w:lang w:eastAsia="zh-CN"/>
        </w:rPr>
        <w:t>、</w:t>
      </w:r>
      <w:r w:rsidRPr="006D2094">
        <w:rPr>
          <w:rFonts w:hint="eastAsia"/>
          <w:lang w:eastAsia="zh-CN"/>
        </w:rPr>
        <w:t>IBB</w:t>
      </w:r>
      <w:r w:rsidRPr="006D2094">
        <w:rPr>
          <w:rFonts w:hint="eastAsia"/>
          <w:lang w:eastAsia="zh-CN"/>
        </w:rPr>
        <w:t>、</w:t>
      </w:r>
      <w:r w:rsidRPr="006D2094">
        <w:rPr>
          <w:rFonts w:hint="eastAsia"/>
          <w:lang w:eastAsia="zh-CN"/>
        </w:rPr>
        <w:t>SDTV</w:t>
      </w:r>
      <w:r w:rsidRPr="006D2094">
        <w:rPr>
          <w:rFonts w:hint="eastAsia"/>
          <w:lang w:eastAsia="zh-CN"/>
        </w:rPr>
        <w:t>、</w:t>
      </w:r>
      <w:proofErr w:type="gramStart"/>
      <w:r w:rsidRPr="006D2094">
        <w:rPr>
          <w:lang w:eastAsia="zh-CN"/>
        </w:rPr>
        <w:t>HDTV</w:t>
      </w:r>
      <w:r w:rsidRPr="006D2094">
        <w:rPr>
          <w:rFonts w:hint="eastAsia"/>
          <w:lang w:eastAsia="zh-CN"/>
        </w:rPr>
        <w:t>和</w:t>
      </w:r>
      <w:r w:rsidRPr="006D2094">
        <w:rPr>
          <w:lang w:eastAsia="zh-CN"/>
        </w:rPr>
        <w:t>UHDTV</w:t>
      </w:r>
      <w:bookmarkEnd w:id="36"/>
      <w:r w:rsidRPr="006D2094">
        <w:rPr>
          <w:rFonts w:hint="eastAsia"/>
          <w:lang w:eastAsia="zh-CN"/>
        </w:rPr>
        <w:t>；</w:t>
      </w:r>
      <w:proofErr w:type="gramEnd"/>
    </w:p>
    <w:p w14:paraId="5A97F0E1" w14:textId="77777777" w:rsidR="00E86DD5" w:rsidRPr="00B11016" w:rsidRDefault="00E86DD5" w:rsidP="00751C8A">
      <w:pPr>
        <w:rPr>
          <w:lang w:eastAsia="zh-CN"/>
        </w:rPr>
      </w:pPr>
      <w:bookmarkStart w:id="37" w:name="lt_pId047"/>
      <w:r w:rsidRPr="00B11016">
        <w:rPr>
          <w:i/>
          <w:iCs/>
          <w:lang w:eastAsia="zh-CN"/>
        </w:rPr>
        <w:t>c)</w:t>
      </w:r>
      <w:bookmarkEnd w:id="37"/>
      <w:r w:rsidRPr="00B11016">
        <w:rPr>
          <w:lang w:eastAsia="zh-CN"/>
        </w:rPr>
        <w:tab/>
      </w:r>
      <w:bookmarkStart w:id="38" w:name="lt_pId048"/>
      <w:r w:rsidRPr="00B11016">
        <w:rPr>
          <w:rFonts w:hint="eastAsia"/>
          <w:lang w:eastAsia="zh-CN"/>
        </w:rPr>
        <w:t>向未来广播系统、技术和应用的</w:t>
      </w:r>
      <w:r>
        <w:rPr>
          <w:rFonts w:hint="eastAsia"/>
          <w:lang w:eastAsia="zh-CN"/>
        </w:rPr>
        <w:t>转换</w:t>
      </w:r>
      <w:r w:rsidRPr="00B11016">
        <w:rPr>
          <w:rFonts w:hint="eastAsia"/>
          <w:lang w:eastAsia="zh-CN"/>
        </w:rPr>
        <w:t>可能带来节能机会；</w:t>
      </w:r>
      <w:bookmarkEnd w:id="38"/>
    </w:p>
    <w:p w14:paraId="1200C148" w14:textId="77777777" w:rsidR="00E86DD5" w:rsidRPr="00B11016" w:rsidRDefault="00E86DD5" w:rsidP="00751C8A">
      <w:pPr>
        <w:rPr>
          <w:lang w:eastAsia="zh-CN"/>
        </w:rPr>
      </w:pPr>
      <w:bookmarkStart w:id="39" w:name="lt_pId049"/>
      <w:r w:rsidRPr="00B11016">
        <w:rPr>
          <w:i/>
          <w:lang w:eastAsia="zh-CN"/>
        </w:rPr>
        <w:t>d)</w:t>
      </w:r>
      <w:bookmarkEnd w:id="39"/>
      <w:r w:rsidRPr="00B11016">
        <w:rPr>
          <w:i/>
          <w:lang w:eastAsia="zh-CN"/>
        </w:rPr>
        <w:tab/>
      </w:r>
      <w:bookmarkStart w:id="40" w:name="lt_pId050"/>
      <w:r w:rsidRPr="00B11016">
        <w:rPr>
          <w:rFonts w:hint="eastAsia"/>
          <w:lang w:eastAsia="zh-CN"/>
        </w:rPr>
        <w:t>具有全球统一设计规范、能够获取广播服务的终端用户设备的制造和公众对其更多的购买，可能会降低最终用户的成本；</w:t>
      </w:r>
      <w:bookmarkEnd w:id="40"/>
    </w:p>
    <w:p w14:paraId="42039CF4" w14:textId="77777777" w:rsidR="00E86DD5" w:rsidRPr="00B11016" w:rsidRDefault="00E86DD5" w:rsidP="00751C8A">
      <w:pPr>
        <w:rPr>
          <w:lang w:eastAsia="zh-CN"/>
        </w:rPr>
      </w:pPr>
      <w:bookmarkStart w:id="41" w:name="lt_pId051"/>
      <w:r w:rsidRPr="00B11016">
        <w:rPr>
          <w:i/>
          <w:lang w:eastAsia="zh-CN"/>
        </w:rPr>
        <w:t>e)</w:t>
      </w:r>
      <w:bookmarkEnd w:id="41"/>
      <w:r w:rsidRPr="00B11016">
        <w:rPr>
          <w:i/>
          <w:lang w:eastAsia="zh-CN"/>
        </w:rPr>
        <w:tab/>
      </w:r>
      <w:bookmarkStart w:id="42" w:name="lt_pId052"/>
      <w:r>
        <w:rPr>
          <w:rFonts w:hint="eastAsia"/>
          <w:lang w:eastAsia="zh-CN"/>
        </w:rPr>
        <w:t>推动</w:t>
      </w:r>
      <w:r w:rsidRPr="00B11016">
        <w:rPr>
          <w:rFonts w:hint="eastAsia"/>
          <w:lang w:eastAsia="zh-CN"/>
        </w:rPr>
        <w:t>标准的全球流通和采用</w:t>
      </w:r>
      <w:r>
        <w:rPr>
          <w:rFonts w:hint="eastAsia"/>
          <w:lang w:eastAsia="zh-CN"/>
        </w:rPr>
        <w:t>是重要的</w:t>
      </w:r>
      <w:r w:rsidRPr="00B11016">
        <w:rPr>
          <w:rFonts w:hint="eastAsia"/>
          <w:lang w:eastAsia="zh-CN"/>
        </w:rPr>
        <w:t>，以便在未来广播系统、技术和应用的制造中实现规模经济；</w:t>
      </w:r>
      <w:bookmarkEnd w:id="42"/>
    </w:p>
    <w:p w14:paraId="1FA92684" w14:textId="77777777" w:rsidR="00E86DD5" w:rsidRPr="00B11016" w:rsidRDefault="00E86DD5" w:rsidP="00751C8A">
      <w:pPr>
        <w:rPr>
          <w:lang w:eastAsia="zh-CN"/>
        </w:rPr>
      </w:pPr>
      <w:bookmarkStart w:id="43" w:name="lt_pId053"/>
      <w:r w:rsidRPr="00B11016">
        <w:rPr>
          <w:i/>
          <w:lang w:eastAsia="zh-CN"/>
        </w:rPr>
        <w:t>f)</w:t>
      </w:r>
      <w:bookmarkEnd w:id="43"/>
      <w:r w:rsidRPr="00B11016">
        <w:rPr>
          <w:i/>
          <w:lang w:eastAsia="zh-CN"/>
        </w:rPr>
        <w:tab/>
      </w:r>
      <w:bookmarkStart w:id="44" w:name="lt_pId054"/>
      <w:r w:rsidRPr="00B11016">
        <w:rPr>
          <w:rFonts w:hint="eastAsia"/>
          <w:lang w:eastAsia="zh-CN"/>
        </w:rPr>
        <w:t>为弥合现存的数字鸿沟，必须考虑到发展中国家的特殊需求，</w:t>
      </w:r>
      <w:bookmarkEnd w:id="44"/>
    </w:p>
    <w:p w14:paraId="373762AE" w14:textId="77777777" w:rsidR="00E86DD5" w:rsidRPr="00B11016" w:rsidRDefault="00E86DD5" w:rsidP="00E86DD5">
      <w:pPr>
        <w:pStyle w:val="Call"/>
        <w:rPr>
          <w:lang w:eastAsia="zh-CN"/>
        </w:rPr>
      </w:pPr>
      <w:bookmarkStart w:id="45" w:name="lt_pId055"/>
      <w:r w:rsidRPr="00B11016">
        <w:rPr>
          <w:rFonts w:hint="eastAsia"/>
          <w:lang w:eastAsia="zh-CN"/>
        </w:rPr>
        <w:t>做出决议</w:t>
      </w:r>
      <w:bookmarkEnd w:id="45"/>
    </w:p>
    <w:p w14:paraId="62D1870C" w14:textId="77777777" w:rsidR="00E86DD5" w:rsidRPr="00B11016" w:rsidRDefault="00E86DD5" w:rsidP="00751C8A">
      <w:pPr>
        <w:rPr>
          <w:lang w:eastAsia="zh-CN"/>
        </w:rPr>
      </w:pPr>
      <w:r w:rsidRPr="00B11016">
        <w:rPr>
          <w:lang w:eastAsia="zh-CN"/>
        </w:rPr>
        <w:t>1</w:t>
      </w:r>
      <w:r w:rsidRPr="00B11016">
        <w:rPr>
          <w:lang w:eastAsia="zh-CN"/>
        </w:rPr>
        <w:tab/>
      </w:r>
      <w:bookmarkStart w:id="46" w:name="lt_pId057"/>
      <w:r w:rsidRPr="00B11016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制定引入</w:t>
      </w:r>
      <w:r w:rsidRPr="00B11016">
        <w:rPr>
          <w:rFonts w:hint="eastAsia"/>
          <w:lang w:eastAsia="zh-CN"/>
        </w:rPr>
        <w:t>新广播系统、技术和应用</w:t>
      </w:r>
      <w:r>
        <w:rPr>
          <w:rFonts w:hint="eastAsia"/>
          <w:lang w:eastAsia="zh-CN"/>
        </w:rPr>
        <w:t>的</w:t>
      </w:r>
      <w:r w:rsidRPr="00B11016">
        <w:rPr>
          <w:rFonts w:hint="eastAsia"/>
          <w:lang w:eastAsia="zh-CN"/>
        </w:rPr>
        <w:t>建议书和报告，实现规范的全球统一</w:t>
      </w:r>
      <w:r>
        <w:rPr>
          <w:rFonts w:hint="eastAsia"/>
          <w:lang w:eastAsia="zh-CN"/>
        </w:rPr>
        <w:t>，应</w:t>
      </w:r>
      <w:r w:rsidRPr="00B11016">
        <w:rPr>
          <w:rFonts w:hint="eastAsia"/>
          <w:lang w:eastAsia="zh-CN"/>
        </w:rPr>
        <w:t>考虑各国</w:t>
      </w:r>
      <w:r w:rsidRPr="00B11016">
        <w:rPr>
          <w:rFonts w:hint="eastAsia"/>
          <w:lang w:eastAsia="zh-CN"/>
        </w:rPr>
        <w:t>/</w:t>
      </w:r>
      <w:r w:rsidRPr="00B11016">
        <w:rPr>
          <w:rFonts w:hint="eastAsia"/>
          <w:lang w:eastAsia="zh-CN"/>
        </w:rPr>
        <w:t>各区域的</w:t>
      </w:r>
      <w:r>
        <w:rPr>
          <w:rFonts w:hint="eastAsia"/>
          <w:lang w:eastAsia="zh-CN"/>
        </w:rPr>
        <w:t>需求</w:t>
      </w:r>
      <w:r w:rsidRPr="00B11016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现</w:t>
      </w:r>
      <w:r w:rsidRPr="00B11016">
        <w:rPr>
          <w:rFonts w:hint="eastAsia"/>
          <w:lang w:eastAsia="zh-CN"/>
        </w:rPr>
        <w:t>状；</w:t>
      </w:r>
      <w:bookmarkEnd w:id="46"/>
    </w:p>
    <w:p w14:paraId="1B36CF66" w14:textId="77777777" w:rsidR="00E86DD5" w:rsidRPr="00B11016" w:rsidRDefault="00E86DD5" w:rsidP="00751C8A">
      <w:pPr>
        <w:rPr>
          <w:lang w:eastAsia="zh-CN"/>
        </w:rPr>
      </w:pPr>
      <w:r w:rsidRPr="00B11016">
        <w:rPr>
          <w:lang w:eastAsia="zh-CN"/>
        </w:rPr>
        <w:t>2</w:t>
      </w:r>
      <w:r w:rsidRPr="00B11016">
        <w:rPr>
          <w:lang w:eastAsia="zh-CN"/>
        </w:rPr>
        <w:tab/>
      </w:r>
      <w:bookmarkStart w:id="47" w:name="lt_pId059"/>
      <w:r w:rsidRPr="00B11016">
        <w:rPr>
          <w:rFonts w:hint="eastAsia"/>
          <w:lang w:eastAsia="zh-CN"/>
        </w:rPr>
        <w:t>为广播的</w:t>
      </w:r>
      <w:r w:rsidRPr="00B11016">
        <w:rPr>
          <w:lang w:eastAsia="zh-CN"/>
        </w:rPr>
        <w:t>未来</w:t>
      </w:r>
      <w:r w:rsidRPr="00B11016">
        <w:rPr>
          <w:rFonts w:hint="eastAsia"/>
          <w:lang w:eastAsia="zh-CN"/>
        </w:rPr>
        <w:t>系统、技术和应用</w:t>
      </w:r>
      <w:r w:rsidRPr="00B11016">
        <w:rPr>
          <w:lang w:eastAsia="zh-CN"/>
        </w:rPr>
        <w:t>制定</w:t>
      </w:r>
      <w:r w:rsidRPr="00B11016">
        <w:rPr>
          <w:rFonts w:hint="eastAsia"/>
          <w:lang w:eastAsia="zh-CN"/>
        </w:rPr>
        <w:t>建议书和报告须是一种持续和及时的</w:t>
      </w:r>
      <w:r>
        <w:rPr>
          <w:rFonts w:hint="eastAsia"/>
          <w:lang w:eastAsia="zh-CN"/>
        </w:rPr>
        <w:t>过</w:t>
      </w:r>
      <w:r w:rsidRPr="00B11016">
        <w:rPr>
          <w:rFonts w:hint="eastAsia"/>
          <w:lang w:eastAsia="zh-CN"/>
        </w:rPr>
        <w:t>程，其输出成果应</w:t>
      </w:r>
      <w:r w:rsidRPr="00B11016">
        <w:rPr>
          <w:lang w:eastAsia="zh-CN"/>
        </w:rPr>
        <w:t>考虑到</w:t>
      </w:r>
      <w:r w:rsidRPr="00B11016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之</w:t>
      </w:r>
      <w:r w:rsidRPr="00B11016">
        <w:rPr>
          <w:rFonts w:hint="eastAsia"/>
          <w:lang w:eastAsia="zh-CN"/>
        </w:rPr>
        <w:t>外</w:t>
      </w:r>
      <w:r>
        <w:rPr>
          <w:rFonts w:hint="eastAsia"/>
          <w:lang w:eastAsia="zh-CN"/>
        </w:rPr>
        <w:t>的</w:t>
      </w:r>
      <w:r w:rsidRPr="00B11016">
        <w:rPr>
          <w:lang w:eastAsia="zh-CN"/>
        </w:rPr>
        <w:t>发展状况</w:t>
      </w:r>
      <w:r w:rsidRPr="00B11016">
        <w:rPr>
          <w:rFonts w:hint="eastAsia"/>
          <w:lang w:eastAsia="zh-CN"/>
        </w:rPr>
        <w:t>，</w:t>
      </w:r>
    </w:p>
    <w:p w14:paraId="4ED95799" w14:textId="77777777" w:rsidR="00C4042A" w:rsidRDefault="00C404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lang w:eastAsia="zh-CN"/>
        </w:rPr>
      </w:pPr>
      <w:bookmarkStart w:id="48" w:name="lt_pId060"/>
      <w:bookmarkEnd w:id="47"/>
      <w:r>
        <w:rPr>
          <w:lang w:eastAsia="zh-CN"/>
        </w:rPr>
        <w:br w:type="page"/>
      </w:r>
    </w:p>
    <w:p w14:paraId="20BF2F15" w14:textId="046FC4B0" w:rsidR="00E86DD5" w:rsidRPr="00B11016" w:rsidRDefault="00E86DD5" w:rsidP="00E86DD5">
      <w:pPr>
        <w:pStyle w:val="Call"/>
        <w:rPr>
          <w:lang w:eastAsia="zh-CN"/>
        </w:rPr>
      </w:pPr>
      <w:r w:rsidRPr="00B11016">
        <w:rPr>
          <w:rFonts w:hint="eastAsia"/>
          <w:lang w:eastAsia="zh-CN"/>
        </w:rPr>
        <w:lastRenderedPageBreak/>
        <w:t>责成无线电通信局主任</w:t>
      </w:r>
      <w:bookmarkEnd w:id="48"/>
    </w:p>
    <w:p w14:paraId="617E06DA" w14:textId="77777777" w:rsidR="00E86DD5" w:rsidRPr="00B11016" w:rsidRDefault="00E86DD5" w:rsidP="00751C8A">
      <w:pPr>
        <w:rPr>
          <w:lang w:eastAsia="zh-CN"/>
        </w:rPr>
      </w:pPr>
      <w:r w:rsidRPr="00B11016">
        <w:rPr>
          <w:lang w:eastAsia="zh-CN"/>
        </w:rPr>
        <w:t>1</w:t>
      </w:r>
      <w:r w:rsidRPr="00B11016">
        <w:rPr>
          <w:lang w:eastAsia="zh-CN"/>
        </w:rPr>
        <w:tab/>
      </w:r>
      <w:bookmarkStart w:id="49" w:name="lt_pId062"/>
      <w:r w:rsidRPr="00B11016">
        <w:rPr>
          <w:rFonts w:hint="eastAsia"/>
          <w:lang w:eastAsia="zh-CN"/>
        </w:rPr>
        <w:t>按照</w:t>
      </w:r>
      <w:r w:rsidRPr="00B11016">
        <w:rPr>
          <w:rFonts w:hint="eastAsia"/>
          <w:lang w:eastAsia="zh-CN"/>
        </w:rPr>
        <w:t>ITU-R</w:t>
      </w:r>
      <w:r w:rsidRPr="00B11016">
        <w:rPr>
          <w:rFonts w:hint="eastAsia"/>
          <w:lang w:eastAsia="zh-CN"/>
        </w:rPr>
        <w:t>第</w:t>
      </w:r>
      <w:r w:rsidRPr="00B11016">
        <w:rPr>
          <w:rFonts w:hint="eastAsia"/>
          <w:lang w:eastAsia="zh-CN"/>
        </w:rPr>
        <w:t>1</w:t>
      </w:r>
      <w:r w:rsidRPr="00B11016">
        <w:rPr>
          <w:rFonts w:hint="eastAsia"/>
          <w:lang w:eastAsia="zh-CN"/>
        </w:rPr>
        <w:t>号决议，继续</w:t>
      </w:r>
      <w:r>
        <w:rPr>
          <w:rFonts w:hint="eastAsia"/>
          <w:lang w:eastAsia="zh-CN"/>
        </w:rPr>
        <w:t>向</w:t>
      </w:r>
      <w:r w:rsidRPr="00B11016">
        <w:rPr>
          <w:rFonts w:hint="eastAsia"/>
          <w:lang w:eastAsia="zh-CN"/>
        </w:rPr>
        <w:t>未来广播系统、技术和应用标准的提出者发布信息，并使他们了解国际电联的相关知识产权政策；</w:t>
      </w:r>
      <w:bookmarkEnd w:id="49"/>
    </w:p>
    <w:p w14:paraId="2A73103B" w14:textId="33581EA7" w:rsidR="001A50F9" w:rsidRPr="00970B63" w:rsidRDefault="00E86DD5" w:rsidP="00C4042A">
      <w:pPr>
        <w:rPr>
          <w:lang w:eastAsia="zh-CN"/>
        </w:rPr>
      </w:pPr>
      <w:r w:rsidRPr="00B11016">
        <w:rPr>
          <w:lang w:eastAsia="zh-CN"/>
        </w:rPr>
        <w:t>2</w:t>
      </w:r>
      <w:r w:rsidRPr="00B11016">
        <w:rPr>
          <w:lang w:eastAsia="zh-CN"/>
        </w:rPr>
        <w:tab/>
      </w:r>
      <w:bookmarkStart w:id="50" w:name="lt_pId064"/>
      <w:r w:rsidRPr="00B11016">
        <w:rPr>
          <w:rFonts w:hint="eastAsia"/>
          <w:lang w:eastAsia="zh-CN"/>
        </w:rPr>
        <w:t>为促进本决议的</w:t>
      </w:r>
      <w:r>
        <w:rPr>
          <w:rFonts w:hint="eastAsia"/>
          <w:lang w:eastAsia="zh-CN"/>
        </w:rPr>
        <w:t>实施</w:t>
      </w:r>
      <w:r w:rsidRPr="00B11016">
        <w:rPr>
          <w:rFonts w:hint="eastAsia"/>
          <w:lang w:eastAsia="zh-CN"/>
        </w:rPr>
        <w:t>提供必要支持。</w:t>
      </w:r>
      <w:bookmarkEnd w:id="50"/>
    </w:p>
    <w:sectPr w:rsidR="001A50F9" w:rsidRPr="00970B63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C779" w14:textId="77777777" w:rsidR="007A2B13" w:rsidRDefault="007A2B13">
      <w:r>
        <w:separator/>
      </w:r>
    </w:p>
  </w:endnote>
  <w:endnote w:type="continuationSeparator" w:id="0">
    <w:p w14:paraId="182E62E9" w14:textId="77777777" w:rsidR="007A2B13" w:rsidRDefault="007A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3ED0" w14:textId="667F6D00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503B6D">
      <w:rPr>
        <w:noProof/>
        <w:lang w:val="fr-FR"/>
      </w:rPr>
      <w:t>Document4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2094">
      <w:rPr>
        <w:noProof/>
      </w:rPr>
      <w:t>23.11.23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03B6D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B579" w14:textId="77777777" w:rsidR="007A2B13" w:rsidRDefault="007A2B13">
      <w:r>
        <w:rPr>
          <w:b/>
        </w:rPr>
        <w:t>_______________</w:t>
      </w:r>
    </w:p>
  </w:footnote>
  <w:footnote w:type="continuationSeparator" w:id="0">
    <w:p w14:paraId="0AC3F106" w14:textId="77777777" w:rsidR="007A2B13" w:rsidRDefault="007A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4DB6" w14:textId="65A6E15D" w:rsidR="00586689" w:rsidRPr="009447A3" w:rsidRDefault="00586689" w:rsidP="00B405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1585977">
    <w:abstractNumId w:val="0"/>
  </w:num>
  <w:num w:numId="2" w16cid:durableId="13810514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6D"/>
    <w:rsid w:val="000256D9"/>
    <w:rsid w:val="000D5773"/>
    <w:rsid w:val="00113D0C"/>
    <w:rsid w:val="001A41DD"/>
    <w:rsid w:val="001A50F9"/>
    <w:rsid w:val="001B225D"/>
    <w:rsid w:val="00213F8F"/>
    <w:rsid w:val="00216A28"/>
    <w:rsid w:val="003100E6"/>
    <w:rsid w:val="00316EE8"/>
    <w:rsid w:val="003322FF"/>
    <w:rsid w:val="00374BC9"/>
    <w:rsid w:val="00384865"/>
    <w:rsid w:val="003B5253"/>
    <w:rsid w:val="003D0F92"/>
    <w:rsid w:val="004228E5"/>
    <w:rsid w:val="00461B01"/>
    <w:rsid w:val="004844C1"/>
    <w:rsid w:val="004C3154"/>
    <w:rsid w:val="004F5689"/>
    <w:rsid w:val="00503B6D"/>
    <w:rsid w:val="00504C64"/>
    <w:rsid w:val="00541AC7"/>
    <w:rsid w:val="00582FB6"/>
    <w:rsid w:val="00586689"/>
    <w:rsid w:val="005A4291"/>
    <w:rsid w:val="005C5620"/>
    <w:rsid w:val="00637543"/>
    <w:rsid w:val="00641402"/>
    <w:rsid w:val="00645B0F"/>
    <w:rsid w:val="006462D9"/>
    <w:rsid w:val="00685565"/>
    <w:rsid w:val="00695143"/>
    <w:rsid w:val="006D2094"/>
    <w:rsid w:val="0071246B"/>
    <w:rsid w:val="00751C8A"/>
    <w:rsid w:val="00756B1C"/>
    <w:rsid w:val="00762F10"/>
    <w:rsid w:val="007A2B13"/>
    <w:rsid w:val="007A6322"/>
    <w:rsid w:val="00845350"/>
    <w:rsid w:val="0085101B"/>
    <w:rsid w:val="00860C1E"/>
    <w:rsid w:val="00877D12"/>
    <w:rsid w:val="008B1239"/>
    <w:rsid w:val="00943EBD"/>
    <w:rsid w:val="009447A3"/>
    <w:rsid w:val="00970B63"/>
    <w:rsid w:val="009C1E4D"/>
    <w:rsid w:val="009D1680"/>
    <w:rsid w:val="00A010EC"/>
    <w:rsid w:val="00A05CE9"/>
    <w:rsid w:val="00A07D93"/>
    <w:rsid w:val="00A314F0"/>
    <w:rsid w:val="00AC484B"/>
    <w:rsid w:val="00B16DF9"/>
    <w:rsid w:val="00B40530"/>
    <w:rsid w:val="00BC3047"/>
    <w:rsid w:val="00BC48ED"/>
    <w:rsid w:val="00BD2389"/>
    <w:rsid w:val="00BE5003"/>
    <w:rsid w:val="00C4042A"/>
    <w:rsid w:val="00C433E0"/>
    <w:rsid w:val="00CC60CE"/>
    <w:rsid w:val="00D471A9"/>
    <w:rsid w:val="00D77A06"/>
    <w:rsid w:val="00DE1C5C"/>
    <w:rsid w:val="00E66D8D"/>
    <w:rsid w:val="00E86DD5"/>
    <w:rsid w:val="00F04883"/>
    <w:rsid w:val="00F451F5"/>
    <w:rsid w:val="00FB4E64"/>
    <w:rsid w:val="00FF38F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2B8E1"/>
  <w15:docId w15:val="{1134F8B3-DFD0-468F-85FE-D73C53A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DNV-FT,Footnote Text Char Char1,Footnote Text Char Char1 Char1 Char Char,Footnote Text Char1,Footnote Text Char1 Char1 Char1 Char,Footnote Text Char1 Char1 Char1 Char Char Char1,Footnote Text Char4 Char Char,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DNV-FT Char,Footnote Text Char Char1 Char,Footnote Text Char Char1 Char1 Char Char Char,Footnote Text Char1 Char,Footnote Text Char1 Char1 Char1 Char Char,Footnote Text Char1 Char1 Char1 Char Char 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qFormat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Headingsplit">
    <w:name w:val="Heading_split"/>
    <w:basedOn w:val="Headingi"/>
    <w:qFormat/>
    <w:rsid w:val="00503B6D"/>
    <w:pPr>
      <w:keepNext w:val="0"/>
    </w:pPr>
    <w:rPr>
      <w:rFonts w:ascii="Times New Roman" w:eastAsia="Times New Roman" w:hAnsi="Times New Roman"/>
      <w:i/>
      <w:lang w:val="en-US"/>
    </w:rPr>
  </w:style>
  <w:style w:type="character" w:styleId="Hyperlink">
    <w:name w:val="Hyperlink"/>
    <w:basedOn w:val="DefaultParagraphFont"/>
    <w:unhideWhenUsed/>
    <w:rsid w:val="00503B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03B6D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qFormat/>
    <w:locked/>
    <w:rsid w:val="00503B6D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503B6D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DE1C5C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DE1C5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1148E-D13B-46EF-AC01-F18CC10030F9}">
  <ds:schemaRefs>
    <ds:schemaRef ds:uri="http://schemas.openxmlformats.org/package/2006/metadata/core-properties"/>
    <ds:schemaRef ds:uri="182c4cff-5844-4b4c-8c88-96909af4d9b9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49ABD3-8777-4E96-BDBE-60C22E26B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A1E8B-A9DA-432A-ADBB-1375CCE30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11</TotalTime>
  <Pages>3</Pages>
  <Words>1142</Words>
  <Characters>189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dc:description/>
  <cp:lastModifiedBy>Zhou, Ting</cp:lastModifiedBy>
  <cp:revision>6</cp:revision>
  <cp:lastPrinted>2007-04-05T14:30:00Z</cp:lastPrinted>
  <dcterms:created xsi:type="dcterms:W3CDTF">2023-11-21T05:26:00Z</dcterms:created>
  <dcterms:modified xsi:type="dcterms:W3CDTF">2023-11-23T14:31:00Z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