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358C" w14:textId="3DD89FE8" w:rsidR="00C079DA" w:rsidRDefault="00C079DA" w:rsidP="00C079DA">
      <w:pPr>
        <w:pStyle w:val="ResNo"/>
      </w:pPr>
      <w:r>
        <w:rPr>
          <w:rFonts w:hint="cs"/>
          <w:rtl/>
        </w:rPr>
        <w:t xml:space="preserve">القرار </w:t>
      </w:r>
      <w:r>
        <w:t>ITU-R 55-</w:t>
      </w:r>
      <w:r w:rsidR="00182100">
        <w:t>4</w:t>
      </w:r>
    </w:p>
    <w:p w14:paraId="238F4788" w14:textId="608D712A" w:rsidR="00C079DA" w:rsidRPr="001B7617" w:rsidRDefault="00C079DA" w:rsidP="001B7617">
      <w:pPr>
        <w:pStyle w:val="Reptitle"/>
      </w:pPr>
      <w:r w:rsidRPr="001B7617">
        <w:rPr>
          <w:rtl/>
        </w:rPr>
        <w:t>دراسات قطاع الاتصالات الراديوية بشأن التنبؤ بالكوارث واستشعارها</w:t>
      </w:r>
      <w:r w:rsidRPr="001B7617">
        <w:rPr>
          <w:rFonts w:hint="cs"/>
          <w:rtl/>
        </w:rPr>
        <w:t xml:space="preserve"> </w:t>
      </w:r>
      <w:r w:rsidRPr="001B7617">
        <w:rPr>
          <w:rtl/>
        </w:rPr>
        <w:br/>
        <w:t>والتخفيف من آثارها والإغاثة عند وقوعها</w:t>
      </w:r>
    </w:p>
    <w:p w14:paraId="62174F7C" w14:textId="4D5C6E1D" w:rsidR="00C079DA" w:rsidRPr="001B7617" w:rsidRDefault="00C079DA" w:rsidP="001B7617">
      <w:pPr>
        <w:pStyle w:val="Resdate"/>
        <w:rPr>
          <w:rtl/>
        </w:rPr>
      </w:pPr>
      <w:r w:rsidRPr="001B7617">
        <w:t>(2023-2019-2015-2012-2007)</w:t>
      </w:r>
    </w:p>
    <w:p w14:paraId="33514285" w14:textId="77777777" w:rsidR="00C079DA" w:rsidRPr="0091061F" w:rsidRDefault="00C079DA" w:rsidP="00C079DA">
      <w:pPr>
        <w:pStyle w:val="Normalaftertitle"/>
        <w:rPr>
          <w:lang w:bidi="ar-SY"/>
        </w:rPr>
      </w:pPr>
      <w:r w:rsidRPr="0091061F">
        <w:rPr>
          <w:rFonts w:hint="cs"/>
          <w:rtl/>
          <w:lang w:bidi="ar-SY"/>
        </w:rPr>
        <w:t>إن جمعية الاتصالات الراديوية للاتحاد الدولي للاتصالات،</w:t>
      </w:r>
    </w:p>
    <w:p w14:paraId="4F71AADA" w14:textId="77777777" w:rsidR="00C079DA" w:rsidRPr="0091061F" w:rsidRDefault="00C079DA" w:rsidP="00C079DA">
      <w:pPr>
        <w:pStyle w:val="Call"/>
        <w:rPr>
          <w:lang w:bidi="ar-EG"/>
        </w:rPr>
      </w:pPr>
      <w:r w:rsidRPr="0091061F">
        <w:rPr>
          <w:rFonts w:hint="cs"/>
          <w:rtl/>
        </w:rPr>
        <w:t>إذ تضع في اعتبارها</w:t>
      </w:r>
    </w:p>
    <w:p w14:paraId="56B4526C" w14:textId="5BD83F1B" w:rsidR="00C079DA" w:rsidRPr="0089281D" w:rsidRDefault="00C079DA" w:rsidP="00C079DA">
      <w:pPr>
        <w:rPr>
          <w:rtl/>
        </w:rPr>
      </w:pPr>
      <w:r w:rsidRPr="0091061F">
        <w:rPr>
          <w:rFonts w:hint="cs"/>
          <w:i/>
          <w:iCs/>
          <w:rtl/>
        </w:rPr>
        <w:t xml:space="preserve"> أ )</w:t>
      </w:r>
      <w:r w:rsidRPr="0091061F">
        <w:rPr>
          <w:rFonts w:hint="cs"/>
          <w:rtl/>
        </w:rPr>
        <w:tab/>
      </w:r>
      <w:r w:rsidRPr="0089281D">
        <w:rPr>
          <w:rtl/>
        </w:rPr>
        <w:t>أهمية أنظمة الاتصالات الراديوية في الإنذار المبكر</w:t>
      </w:r>
      <w:r>
        <w:rPr>
          <w:rFonts w:hint="cs"/>
          <w:rtl/>
          <w:lang w:bidi="ar-EG"/>
        </w:rPr>
        <w:t xml:space="preserve"> والتحذير من أجل إدارة حالات الكوارث</w:t>
      </w:r>
      <w:r w:rsidRPr="0089281D">
        <w:rPr>
          <w:rtl/>
        </w:rPr>
        <w:t xml:space="preserve"> والوقاية</w:t>
      </w:r>
      <w:r>
        <w:rPr>
          <w:rFonts w:hint="cs"/>
          <w:rtl/>
        </w:rPr>
        <w:t xml:space="preserve"> منها</w:t>
      </w:r>
      <w:r w:rsidRPr="0089281D">
        <w:rPr>
          <w:rtl/>
        </w:rPr>
        <w:t xml:space="preserve"> والتخفيف</w:t>
      </w:r>
      <w:r>
        <w:rPr>
          <w:rFonts w:hint="cs"/>
          <w:rtl/>
        </w:rPr>
        <w:t xml:space="preserve"> من آثارها</w:t>
      </w:r>
      <w:r w:rsidRPr="0089281D">
        <w:rPr>
          <w:rFonts w:hint="cs"/>
          <w:rtl/>
        </w:rPr>
        <w:t> </w:t>
      </w:r>
      <w:r w:rsidRPr="0089281D">
        <w:rPr>
          <w:rtl/>
        </w:rPr>
        <w:t>والإغاثة</w:t>
      </w:r>
      <w:r>
        <w:rPr>
          <w:rFonts w:hint="cs"/>
          <w:rtl/>
        </w:rPr>
        <w:t xml:space="preserve"> عند وقوعها</w:t>
      </w:r>
      <w:r w:rsidRPr="0089281D">
        <w:rPr>
          <w:rtl/>
        </w:rPr>
        <w:t>؛</w:t>
      </w:r>
    </w:p>
    <w:p w14:paraId="5ECAE248" w14:textId="77777777" w:rsidR="00C079DA" w:rsidRPr="00CC7ED2" w:rsidRDefault="00C079DA" w:rsidP="00C079DA">
      <w:pPr>
        <w:rPr>
          <w:spacing w:val="-4"/>
          <w:rtl/>
        </w:rPr>
      </w:pPr>
      <w:r w:rsidRPr="00CC7ED2">
        <w:rPr>
          <w:i/>
          <w:iCs/>
          <w:spacing w:val="-4"/>
          <w:rtl/>
        </w:rPr>
        <w:t>ب)</w:t>
      </w:r>
      <w:r w:rsidRPr="00CC7ED2">
        <w:rPr>
          <w:spacing w:val="-4"/>
          <w:rtl/>
        </w:rPr>
        <w:tab/>
        <w:t xml:space="preserve">أن لجان دراسات قطاع الاتصالات الراديوية تقوم بدور هام في إدارة </w:t>
      </w:r>
      <w:r w:rsidRPr="00CC7ED2">
        <w:rPr>
          <w:rFonts w:hint="cs"/>
          <w:spacing w:val="-4"/>
          <w:rtl/>
        </w:rPr>
        <w:t xml:space="preserve">حالات </w:t>
      </w:r>
      <w:r w:rsidRPr="00CC7ED2">
        <w:rPr>
          <w:spacing w:val="-4"/>
          <w:rtl/>
        </w:rPr>
        <w:t xml:space="preserve">الكوارث، ولا سيما في مجالات التنبؤ بوقوعها </w:t>
      </w:r>
      <w:r>
        <w:rPr>
          <w:rFonts w:hint="cs"/>
          <w:spacing w:val="-4"/>
          <w:rtl/>
        </w:rPr>
        <w:t xml:space="preserve">والتحذير منها </w:t>
      </w:r>
      <w:r w:rsidRPr="00CC7ED2">
        <w:rPr>
          <w:rFonts w:hint="cs"/>
          <w:spacing w:val="-4"/>
          <w:rtl/>
        </w:rPr>
        <w:t xml:space="preserve">واستشعارها </w:t>
      </w:r>
      <w:r w:rsidRPr="00CC7ED2">
        <w:rPr>
          <w:spacing w:val="-4"/>
          <w:rtl/>
        </w:rPr>
        <w:t>والتخفيف من آثارها وأنشطة الإغاثة الضرورية لتجاوز الحدث ولتقليل الخسائر في الأرواح والممتلكات إلى الحد الأدنى؛</w:t>
      </w:r>
    </w:p>
    <w:p w14:paraId="2857D753" w14:textId="77777777" w:rsidR="00C079DA" w:rsidRPr="0089281D" w:rsidRDefault="00C079DA" w:rsidP="00C079DA">
      <w:pPr>
        <w:rPr>
          <w:rtl/>
        </w:rPr>
      </w:pPr>
      <w:r w:rsidRPr="0089281D">
        <w:rPr>
          <w:i/>
          <w:iCs/>
          <w:rtl/>
        </w:rPr>
        <w:t>ج)</w:t>
      </w:r>
      <w:r w:rsidRPr="0089281D">
        <w:rPr>
          <w:rtl/>
        </w:rPr>
        <w:tab/>
        <w:t>أن كل لجنة من لجان دراسات قطاع الاتصالات الراديوية تسهم بما لديها من دراية في الآليات المعقدة المطلوبة لتوفير الإغاثة للمناطق المنكوبة؛</w:t>
      </w:r>
    </w:p>
    <w:p w14:paraId="4CEC4599" w14:textId="752FF756" w:rsidR="00C079DA" w:rsidRPr="0089281D" w:rsidRDefault="00C079DA" w:rsidP="00C079DA">
      <w:pPr>
        <w:rPr>
          <w:rtl/>
        </w:rPr>
      </w:pPr>
      <w:r w:rsidRPr="0089281D">
        <w:rPr>
          <w:i/>
          <w:iCs/>
          <w:rtl/>
        </w:rPr>
        <w:t>د )</w:t>
      </w:r>
      <w:r w:rsidRPr="0089281D">
        <w:rPr>
          <w:rtl/>
        </w:rPr>
        <w:tab/>
        <w:t xml:space="preserve">أن من الضرورة الحيوية </w:t>
      </w:r>
      <w:r>
        <w:rPr>
          <w:rFonts w:hint="cs"/>
          <w:rtl/>
        </w:rPr>
        <w:t>للأنظمة</w:t>
      </w:r>
      <w:r w:rsidRPr="0089281D">
        <w:rPr>
          <w:rtl/>
        </w:rPr>
        <w:t xml:space="preserve"> الراديوية </w:t>
      </w:r>
      <w:r>
        <w:rPr>
          <w:rFonts w:hint="cs"/>
          <w:rtl/>
        </w:rPr>
        <w:t>المستعملة للاتصالات في حالات الكوارث</w:t>
      </w:r>
      <w:r w:rsidRPr="0089281D">
        <w:rPr>
          <w:rtl/>
        </w:rPr>
        <w:t xml:space="preserve"> أن</w:t>
      </w:r>
      <w:r>
        <w:t> </w:t>
      </w:r>
      <w:r w:rsidRPr="0089281D">
        <w:rPr>
          <w:rtl/>
        </w:rPr>
        <w:t>يتوفر لها النفاذ إلى الطيف الراديوي</w:t>
      </w:r>
      <w:r>
        <w:rPr>
          <w:rFonts w:hint="cs"/>
          <w:rtl/>
        </w:rPr>
        <w:t xml:space="preserve"> الضروري</w:t>
      </w:r>
      <w:r w:rsidRPr="0089281D">
        <w:rPr>
          <w:rtl/>
        </w:rPr>
        <w:t xml:space="preserve"> للتمكن من التنبؤ بوقوع الكوارث والكشف عنها</w:t>
      </w:r>
      <w:r>
        <w:rPr>
          <w:rFonts w:hint="cs"/>
          <w:rtl/>
        </w:rPr>
        <w:t xml:space="preserve"> والتحذير منها</w:t>
      </w:r>
      <w:r w:rsidRPr="0089281D">
        <w:rPr>
          <w:rtl/>
        </w:rPr>
        <w:t xml:space="preserve"> والتخفيف من آثارها والنهوض بأعمال الإغاثة عند حدوثها،</w:t>
      </w:r>
    </w:p>
    <w:p w14:paraId="1F36CC23" w14:textId="77777777" w:rsidR="00C079DA" w:rsidRPr="0089281D" w:rsidRDefault="00C079DA" w:rsidP="00C079DA">
      <w:pPr>
        <w:pStyle w:val="Call"/>
        <w:rPr>
          <w:rtl/>
        </w:rPr>
      </w:pPr>
      <w:r w:rsidRPr="0089281D">
        <w:rPr>
          <w:rtl/>
        </w:rPr>
        <w:t>وإذ تشير</w:t>
      </w:r>
      <w:r>
        <w:rPr>
          <w:rFonts w:hint="cs"/>
          <w:rtl/>
        </w:rPr>
        <w:t xml:space="preserve"> </w:t>
      </w:r>
      <w:r w:rsidRPr="0089281D">
        <w:rPr>
          <w:rtl/>
        </w:rPr>
        <w:t>إلى</w:t>
      </w:r>
    </w:p>
    <w:p w14:paraId="14420E1E" w14:textId="10744D01" w:rsidR="00C079DA" w:rsidRPr="0089281D" w:rsidRDefault="00C079DA" w:rsidP="00C079DA">
      <w:pPr>
        <w:rPr>
          <w:rtl/>
        </w:rPr>
      </w:pPr>
      <w:r w:rsidRPr="0089281D">
        <w:rPr>
          <w:i/>
          <w:iCs/>
          <w:rtl/>
        </w:rPr>
        <w:t xml:space="preserve"> أ )</w:t>
      </w:r>
      <w:r w:rsidRPr="0089281D">
        <w:rPr>
          <w:rtl/>
        </w:rPr>
        <w:tab/>
        <w:t>القرار </w:t>
      </w:r>
      <w:r w:rsidRPr="0089281D">
        <w:t>34</w:t>
      </w:r>
      <w:r w:rsidRPr="0089281D">
        <w:rPr>
          <w:rtl/>
        </w:rPr>
        <w:t xml:space="preserve"> (المراجَع في</w:t>
      </w:r>
      <w:r>
        <w:rPr>
          <w:rFonts w:hint="cs"/>
          <w:rtl/>
        </w:rPr>
        <w:t xml:space="preserve"> كيغالي، </w:t>
      </w:r>
      <w:r>
        <w:t>2022</w:t>
      </w:r>
      <w:r w:rsidRPr="0089281D">
        <w:rPr>
          <w:rtl/>
        </w:rPr>
        <w:t xml:space="preserve">) الصادر عن المؤتمر العالمي لتنمية الاتصالات، </w:t>
      </w:r>
      <w:r w:rsidRPr="0089281D">
        <w:rPr>
          <w:rtl/>
          <w:lang w:bidi="ar-EG"/>
        </w:rPr>
        <w:t>بشأن</w:t>
      </w:r>
      <w:r w:rsidRPr="0089281D">
        <w:rPr>
          <w:rFonts w:hint="cs"/>
          <w:rtl/>
          <w:lang w:bidi="ar-EG"/>
        </w:rPr>
        <w:t xml:space="preserve"> </w:t>
      </w:r>
      <w:r w:rsidRPr="0089281D">
        <w:rPr>
          <w:rtl/>
        </w:rPr>
        <w:t>دور</w:t>
      </w:r>
      <w:r w:rsidRPr="0089281D">
        <w:rPr>
          <w:rFonts w:hint="cs"/>
          <w:rtl/>
        </w:rPr>
        <w:t xml:space="preserve"> </w:t>
      </w:r>
      <w:r w:rsidRPr="0089281D">
        <w:rPr>
          <w:rtl/>
        </w:rPr>
        <w:t>الاتصالات/تكنولوجيا المعلومات والاتصالات في التأهب للكوارث، والإنذار المبكر</w:t>
      </w:r>
      <w:r w:rsidRPr="0089281D">
        <w:rPr>
          <w:rFonts w:hint="cs"/>
          <w:rtl/>
        </w:rPr>
        <w:t xml:space="preserve"> بها</w:t>
      </w:r>
      <w:r w:rsidRPr="0089281D">
        <w:rPr>
          <w:rtl/>
        </w:rPr>
        <w:t xml:space="preserve">، </w:t>
      </w:r>
      <w:r w:rsidRPr="0089281D">
        <w:rPr>
          <w:rFonts w:hint="cs"/>
          <w:rtl/>
        </w:rPr>
        <w:t>وعمليات الإغاثة عند وقوعها</w:t>
      </w:r>
      <w:r w:rsidRPr="0089281D">
        <w:rPr>
          <w:rtl/>
        </w:rPr>
        <w:t xml:space="preserve">، وفي تخفيف </w:t>
      </w:r>
      <w:r w:rsidRPr="0089281D">
        <w:rPr>
          <w:rFonts w:hint="cs"/>
          <w:rtl/>
        </w:rPr>
        <w:t>آثارها والتصدي</w:t>
      </w:r>
      <w:r w:rsidRPr="0089281D">
        <w:rPr>
          <w:rFonts w:hint="eastAsia"/>
          <w:rtl/>
        </w:rPr>
        <w:t> </w:t>
      </w:r>
      <w:r w:rsidRPr="0089281D">
        <w:rPr>
          <w:rtl/>
        </w:rPr>
        <w:t>لها؛</w:t>
      </w:r>
    </w:p>
    <w:p w14:paraId="45245F9A" w14:textId="20B10845" w:rsidR="00C079DA" w:rsidRPr="0089281D" w:rsidRDefault="00C079DA" w:rsidP="001B7617">
      <w:pPr>
        <w:rPr>
          <w:rtl/>
          <w:lang w:bidi="ar-EG"/>
        </w:rPr>
      </w:pPr>
      <w:r w:rsidRPr="0089281D">
        <w:rPr>
          <w:i/>
          <w:iCs/>
          <w:rtl/>
        </w:rPr>
        <w:t>ب)</w:t>
      </w:r>
      <w:r w:rsidRPr="0089281D">
        <w:rPr>
          <w:rtl/>
        </w:rPr>
        <w:tab/>
      </w:r>
      <w:r>
        <w:rPr>
          <w:rFonts w:hint="cs"/>
          <w:rtl/>
          <w:lang w:bidi="ar-EG"/>
        </w:rPr>
        <w:t xml:space="preserve">منتدى </w:t>
      </w:r>
      <w:r w:rsidRPr="0089281D">
        <w:rPr>
          <w:rtl/>
        </w:rPr>
        <w:t>القمة العالمية لمجتمع المعلومات </w:t>
      </w:r>
      <w:r w:rsidRPr="0089281D">
        <w:t>(WSIS)</w:t>
      </w:r>
      <w:r>
        <w:rPr>
          <w:rFonts w:hint="cs"/>
          <w:rtl/>
        </w:rPr>
        <w:t xml:space="preserve"> لعام 2023:</w:t>
      </w:r>
      <w:r>
        <w:rPr>
          <w:rFonts w:hint="cs"/>
          <w:rtl/>
          <w:lang w:bidi="ar-EG"/>
        </w:rPr>
        <w:t xml:space="preserve"> </w:t>
      </w:r>
      <w:hyperlink r:id="rId10" w:history="1">
        <w:r w:rsidRPr="001B7617">
          <w:rPr>
            <w:rStyle w:val="Hyperlink"/>
            <w:rFonts w:hint="cs"/>
            <w:rtl/>
            <w:lang w:bidi="ar-EG"/>
          </w:rPr>
          <w:t>الوثيقة الختامية</w:t>
        </w:r>
      </w:hyperlink>
      <w:r>
        <w:rPr>
          <w:rFonts w:hint="cs"/>
          <w:rtl/>
          <w:lang w:bidi="ar-EG"/>
        </w:rPr>
        <w:t xml:space="preserve"> (بتاريخ 14 أغسطس 2023) بعنوان "المسار الخاص لتكنولوجيا المعلومات والاتصالات والتكنولوجيات النظيفة لمكافحة تغير المناخ: تغير المناخ وكيفية الحد من مخاطر الكوارث</w:t>
      </w:r>
      <w:r w:rsidR="00AE462E">
        <w:rPr>
          <w:rFonts w:hint="cs"/>
          <w:rtl/>
          <w:lang w:bidi="ar-EG"/>
        </w:rPr>
        <w:t>"</w:t>
      </w:r>
      <w:r w:rsidR="00442671">
        <w:rPr>
          <w:rFonts w:hint="cs"/>
          <w:rtl/>
          <w:lang w:bidi="ar-EG"/>
        </w:rPr>
        <w:t xml:space="preserve"> </w:t>
      </w:r>
      <w:r w:rsidR="00BE347C">
        <w:rPr>
          <w:rFonts w:hint="cs"/>
          <w:rtl/>
          <w:lang w:bidi="ar-EG"/>
        </w:rPr>
        <w:t>(</w:t>
      </w:r>
      <w:r w:rsidR="00A0521B">
        <w:rPr>
          <w:rFonts w:hint="cs"/>
          <w:rtl/>
          <w:lang w:bidi="ar-EG"/>
        </w:rPr>
        <w:t>مكتب الأمم المتحدة للحد من مخاطر الكوارث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(UNDRR)</w:t>
      </w:r>
      <w:r w:rsidR="00A0521B">
        <w:rPr>
          <w:rFonts w:hint="cs"/>
          <w:rtl/>
          <w:lang w:bidi="ar-EG"/>
        </w:rPr>
        <w:t>)</w:t>
      </w:r>
      <w:r w:rsidRPr="0089281D">
        <w:rPr>
          <w:rFonts w:hint="cs"/>
          <w:rtl/>
        </w:rPr>
        <w:t>؛</w:t>
      </w:r>
    </w:p>
    <w:p w14:paraId="1F747475" w14:textId="46A2966A" w:rsidR="00C079DA" w:rsidRPr="0089281D" w:rsidRDefault="00C079DA" w:rsidP="00C079DA">
      <w:pPr>
        <w:rPr>
          <w:spacing w:val="-2"/>
          <w:rtl/>
        </w:rPr>
      </w:pPr>
      <w:r>
        <w:rPr>
          <w:rFonts w:hint="cs"/>
          <w:i/>
          <w:iCs/>
          <w:rtl/>
        </w:rPr>
        <w:t>ج</w:t>
      </w:r>
      <w:r w:rsidRPr="0089281D">
        <w:rPr>
          <w:i/>
          <w:iCs/>
          <w:rtl/>
        </w:rPr>
        <w:t>)</w:t>
      </w:r>
      <w:r w:rsidRPr="0089281D">
        <w:rPr>
          <w:rtl/>
        </w:rPr>
        <w:tab/>
      </w:r>
      <w:r w:rsidRPr="0089281D">
        <w:rPr>
          <w:spacing w:val="-2"/>
          <w:rtl/>
        </w:rPr>
        <w:t>القرار </w:t>
      </w:r>
      <w:r w:rsidRPr="0089281D">
        <w:rPr>
          <w:spacing w:val="-2"/>
        </w:rPr>
        <w:t>136</w:t>
      </w:r>
      <w:r w:rsidRPr="0089281D">
        <w:rPr>
          <w:spacing w:val="-2"/>
          <w:rtl/>
        </w:rPr>
        <w:t xml:space="preserve"> (المراج</w:t>
      </w:r>
      <w:r w:rsidRPr="0089281D">
        <w:rPr>
          <w:rFonts w:hint="cs"/>
          <w:spacing w:val="-2"/>
          <w:rtl/>
        </w:rPr>
        <w:t>َ</w:t>
      </w:r>
      <w:r w:rsidRPr="0089281D">
        <w:rPr>
          <w:spacing w:val="-2"/>
          <w:rtl/>
        </w:rPr>
        <w:t>ع في</w:t>
      </w:r>
      <w:r>
        <w:rPr>
          <w:rFonts w:hint="cs"/>
          <w:spacing w:val="-2"/>
          <w:rtl/>
        </w:rPr>
        <w:t xml:space="preserve"> بوخارست، </w:t>
      </w:r>
      <w:r>
        <w:rPr>
          <w:spacing w:val="-2"/>
        </w:rPr>
        <w:t>2022</w:t>
      </w:r>
      <w:r w:rsidRPr="0089281D">
        <w:rPr>
          <w:spacing w:val="-2"/>
          <w:rtl/>
        </w:rPr>
        <w:t xml:space="preserve">) </w:t>
      </w:r>
      <w:r w:rsidRPr="0089281D">
        <w:rPr>
          <w:spacing w:val="-2"/>
          <w:rtl/>
          <w:lang w:bidi="ar-EG"/>
        </w:rPr>
        <w:t>لمؤتمر المندوبين المفوضين</w:t>
      </w:r>
      <w:r>
        <w:rPr>
          <w:rFonts w:hint="cs"/>
          <w:spacing w:val="-2"/>
          <w:rtl/>
          <w:lang w:bidi="ar-EG"/>
        </w:rPr>
        <w:t>،</w:t>
      </w:r>
      <w:r w:rsidRPr="0089281D">
        <w:rPr>
          <w:rFonts w:hint="cs"/>
          <w:spacing w:val="-2"/>
          <w:rtl/>
          <w:lang w:bidi="ar-EG"/>
        </w:rPr>
        <w:t xml:space="preserve"> بشأن</w:t>
      </w:r>
      <w:r w:rsidRPr="0089281D">
        <w:rPr>
          <w:spacing w:val="-2"/>
          <w:rtl/>
          <w:lang w:bidi="ar-EG"/>
        </w:rPr>
        <w:t xml:space="preserve"> </w:t>
      </w:r>
      <w:r w:rsidRPr="0089281D">
        <w:rPr>
          <w:spacing w:val="-2"/>
          <w:rtl/>
        </w:rPr>
        <w:t>استخدام الاتصالات/تكنولوجيا المعلومات والاتصالات</w:t>
      </w:r>
      <w:r>
        <w:rPr>
          <w:rFonts w:hint="cs"/>
          <w:spacing w:val="-2"/>
          <w:rtl/>
        </w:rPr>
        <w:t xml:space="preserve"> من أجل المساعدات الإنسانية</w:t>
      </w:r>
      <w:r w:rsidRPr="0089281D"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 xml:space="preserve">ومن أجل </w:t>
      </w:r>
      <w:r w:rsidRPr="0089281D">
        <w:rPr>
          <w:spacing w:val="-2"/>
          <w:rtl/>
        </w:rPr>
        <w:t xml:space="preserve">عمليات الرصد والإدارة </w:t>
      </w:r>
      <w:r>
        <w:rPr>
          <w:rFonts w:hint="cs"/>
          <w:spacing w:val="-2"/>
          <w:rtl/>
        </w:rPr>
        <w:t>في</w:t>
      </w:r>
      <w:r w:rsidRPr="0089281D">
        <w:rPr>
          <w:spacing w:val="-2"/>
          <w:rtl/>
        </w:rPr>
        <w:t xml:space="preserve"> حالات الطوارئ والكوارث</w:t>
      </w:r>
      <w:r>
        <w:rPr>
          <w:rFonts w:hint="cs"/>
          <w:spacing w:val="-2"/>
          <w:rtl/>
        </w:rPr>
        <w:t>، بما في ذلك الطوارئ المتعلقة بالصحة،</w:t>
      </w:r>
      <w:r w:rsidRPr="0089281D">
        <w:rPr>
          <w:spacing w:val="-2"/>
          <w:rtl/>
        </w:rPr>
        <w:t xml:space="preserve"> من</w:t>
      </w:r>
      <w:r>
        <w:rPr>
          <w:rFonts w:hint="cs"/>
          <w:spacing w:val="-2"/>
          <w:rtl/>
        </w:rPr>
        <w:t xml:space="preserve"> أجل</w:t>
      </w:r>
      <w:r w:rsidRPr="0089281D">
        <w:rPr>
          <w:spacing w:val="-2"/>
          <w:rtl/>
        </w:rPr>
        <w:t xml:space="preserve"> الإنذار المبكر </w:t>
      </w:r>
      <w:r>
        <w:rPr>
          <w:rFonts w:hint="cs"/>
          <w:spacing w:val="-2"/>
          <w:rtl/>
        </w:rPr>
        <w:t xml:space="preserve">بها </w:t>
      </w:r>
      <w:r w:rsidRPr="0089281D">
        <w:rPr>
          <w:spacing w:val="-2"/>
          <w:rtl/>
        </w:rPr>
        <w:t>والوقاية</w:t>
      </w:r>
      <w:r>
        <w:rPr>
          <w:rFonts w:hint="cs"/>
          <w:spacing w:val="-2"/>
          <w:rtl/>
        </w:rPr>
        <w:t xml:space="preserve"> منها</w:t>
      </w:r>
      <w:r w:rsidRPr="0089281D">
        <w:rPr>
          <w:spacing w:val="-2"/>
          <w:rtl/>
        </w:rPr>
        <w:t xml:space="preserve"> والتخفيف من آثارها والإغاثة </w:t>
      </w:r>
      <w:r>
        <w:rPr>
          <w:rFonts w:hint="cs"/>
          <w:spacing w:val="-2"/>
          <w:rtl/>
        </w:rPr>
        <w:t>عند وقوعها؛</w:t>
      </w:r>
    </w:p>
    <w:p w14:paraId="0C2CC981" w14:textId="140C89DF" w:rsidR="00BC34FD" w:rsidRDefault="00C079DA" w:rsidP="00C079DA">
      <w:pPr>
        <w:rPr>
          <w:rtl/>
        </w:rPr>
      </w:pPr>
      <w:r>
        <w:rPr>
          <w:rFonts w:hint="cs"/>
          <w:i/>
          <w:iCs/>
          <w:rtl/>
          <w:lang w:bidi="ar-EG"/>
        </w:rPr>
        <w:t>د )</w:t>
      </w:r>
      <w:r w:rsidRPr="0087202F">
        <w:rPr>
          <w:rtl/>
          <w:lang w:bidi="ar-EG"/>
        </w:rPr>
        <w:tab/>
      </w:r>
      <w:r>
        <w:rPr>
          <w:rFonts w:hint="cs"/>
          <w:rtl/>
        </w:rPr>
        <w:t>توصيات الاتحاد</w:t>
      </w:r>
      <w:r w:rsidR="00F84048">
        <w:rPr>
          <w:rFonts w:hint="cs"/>
          <w:rtl/>
        </w:rPr>
        <w:t xml:space="preserve"> وكتيباته</w:t>
      </w:r>
      <w:r>
        <w:rPr>
          <w:rFonts w:hint="cs"/>
          <w:rtl/>
        </w:rPr>
        <w:t xml:space="preserve"> وتقاريره ذات الصلة المبينة في ملحق هذا القرار،</w:t>
      </w:r>
    </w:p>
    <w:p w14:paraId="7726515E" w14:textId="77B431C7" w:rsidR="00BC34FD" w:rsidRDefault="00BC34FD" w:rsidP="00BC34FD">
      <w:pPr>
        <w:rPr>
          <w:rtl/>
        </w:rPr>
      </w:pPr>
      <w:r>
        <w:rPr>
          <w:rtl/>
        </w:rPr>
        <w:br w:type="page"/>
      </w:r>
    </w:p>
    <w:p w14:paraId="3A65E21E" w14:textId="77777777" w:rsidR="00C079DA" w:rsidRPr="0089281D" w:rsidRDefault="00C079DA" w:rsidP="00C079DA">
      <w:pPr>
        <w:pStyle w:val="Call"/>
        <w:rPr>
          <w:rtl/>
        </w:rPr>
      </w:pPr>
      <w:r w:rsidRPr="0089281D">
        <w:rPr>
          <w:rtl/>
        </w:rPr>
        <w:t>وإذ تأخذ في الحسبان</w:t>
      </w:r>
    </w:p>
    <w:p w14:paraId="71A06194" w14:textId="77777777" w:rsidR="00C079DA" w:rsidRDefault="00C079DA" w:rsidP="00C079DA">
      <w:pPr>
        <w:rPr>
          <w:rtl/>
        </w:rPr>
      </w:pPr>
      <w:r w:rsidRPr="0087202F">
        <w:rPr>
          <w:i/>
          <w:iCs/>
          <w:rtl/>
        </w:rPr>
        <w:t xml:space="preserve"> </w:t>
      </w:r>
      <w:r w:rsidRPr="0087202F">
        <w:rPr>
          <w:rFonts w:hint="eastAsia"/>
          <w:i/>
          <w:iCs/>
          <w:rtl/>
        </w:rPr>
        <w:t>أ</w:t>
      </w:r>
      <w:r w:rsidRPr="0087202F">
        <w:rPr>
          <w:i/>
          <w:iCs/>
          <w:rtl/>
        </w:rPr>
        <w:t xml:space="preserve"> )</w:t>
      </w:r>
      <w:r>
        <w:rPr>
          <w:rtl/>
        </w:rPr>
        <w:tab/>
      </w:r>
      <w:bookmarkStart w:id="0" w:name="_Toc36038419"/>
      <w:bookmarkStart w:id="1" w:name="_Toc40075913"/>
      <w:r w:rsidRPr="00ED11BB">
        <w:rPr>
          <w:rtl/>
        </w:rPr>
        <w:t xml:space="preserve">القـرار </w:t>
      </w:r>
      <w:r w:rsidRPr="0087202F">
        <w:rPr>
          <w:b/>
          <w:bCs/>
        </w:rPr>
        <w:t>646 (Rev.WRC-19)</w:t>
      </w:r>
      <w:bookmarkEnd w:id="0"/>
      <w:bookmarkEnd w:id="1"/>
      <w:r>
        <w:rPr>
          <w:rFonts w:hint="cs"/>
          <w:rtl/>
        </w:rPr>
        <w:t xml:space="preserve"> </w:t>
      </w:r>
      <w:bookmarkStart w:id="2" w:name="_Toc36038420"/>
      <w:bookmarkStart w:id="3" w:name="_Toc40075914"/>
      <w:r>
        <w:rPr>
          <w:rFonts w:hint="cs"/>
          <w:rtl/>
        </w:rPr>
        <w:t xml:space="preserve">بشأن </w:t>
      </w:r>
      <w:r w:rsidRPr="00ED11BB">
        <w:rPr>
          <w:rtl/>
        </w:rPr>
        <w:t>حماية الجمهور والإغاثة في حالات الكوارث</w:t>
      </w:r>
      <w:bookmarkEnd w:id="2"/>
      <w:bookmarkEnd w:id="3"/>
      <w:r>
        <w:rPr>
          <w:rFonts w:hint="cs"/>
          <w:rtl/>
        </w:rPr>
        <w:t>؛</w:t>
      </w:r>
    </w:p>
    <w:p w14:paraId="30CC4BF3" w14:textId="77777777" w:rsidR="00C079DA" w:rsidRDefault="00C079DA" w:rsidP="00C079DA">
      <w:pPr>
        <w:rPr>
          <w:rtl/>
        </w:rPr>
      </w:pPr>
      <w:r w:rsidRPr="0087202F">
        <w:rPr>
          <w:rFonts w:hint="eastAsia"/>
          <w:i/>
          <w:iCs/>
          <w:rtl/>
        </w:rPr>
        <w:t>ب</w:t>
      </w:r>
      <w:r w:rsidRPr="0087202F">
        <w:rPr>
          <w:i/>
          <w:iCs/>
          <w:rtl/>
        </w:rPr>
        <w:t>)</w:t>
      </w:r>
      <w:r>
        <w:rPr>
          <w:rtl/>
        </w:rPr>
        <w:tab/>
      </w:r>
      <w:bookmarkStart w:id="4" w:name="_Toc36038421"/>
      <w:bookmarkStart w:id="5" w:name="_Toc40075915"/>
      <w:r w:rsidRPr="00ED11BB">
        <w:rPr>
          <w:rtl/>
        </w:rPr>
        <w:t xml:space="preserve">القـرار </w:t>
      </w:r>
      <w:r w:rsidRPr="0087202F">
        <w:rPr>
          <w:b/>
          <w:bCs/>
        </w:rPr>
        <w:t>647 (Rev.WRC-19)</w:t>
      </w:r>
      <w:bookmarkEnd w:id="4"/>
      <w:bookmarkEnd w:id="5"/>
      <w:r>
        <w:rPr>
          <w:rFonts w:hint="cs"/>
          <w:rtl/>
        </w:rPr>
        <w:t xml:space="preserve"> </w:t>
      </w:r>
      <w:bookmarkStart w:id="6" w:name="_Toc36038422"/>
      <w:bookmarkStart w:id="7" w:name="_Toc40075916"/>
      <w:r>
        <w:rPr>
          <w:rFonts w:hint="cs"/>
          <w:rtl/>
        </w:rPr>
        <w:t xml:space="preserve">بشأن </w:t>
      </w:r>
      <w:r w:rsidRPr="00ED11BB">
        <w:rPr>
          <w:rFonts w:hint="cs"/>
          <w:rtl/>
        </w:rPr>
        <w:t>جوانب</w:t>
      </w:r>
      <w:r w:rsidRPr="00ED11BB">
        <w:rPr>
          <w:rtl/>
          <w:lang w:bidi="ar-EG"/>
        </w:rPr>
        <w:t xml:space="preserve"> الاتصالات الراديوية</w:t>
      </w:r>
      <w:r w:rsidRPr="00ED11BB">
        <w:rPr>
          <w:rFonts w:hint="cs"/>
          <w:rtl/>
          <w:lang w:bidi="ar-EG"/>
        </w:rPr>
        <w:t xml:space="preserve">، بما في ذلك </w:t>
      </w:r>
      <w:r w:rsidRPr="00ED11BB">
        <w:rPr>
          <w:rtl/>
        </w:rPr>
        <w:t>مبادئ توجيهية بشأن إدارة</w:t>
      </w:r>
      <w:r w:rsidRPr="00ED11BB">
        <w:rPr>
          <w:rFonts w:hint="cs"/>
          <w:rtl/>
          <w:lang w:bidi="ar-EG"/>
        </w:rPr>
        <w:t xml:space="preserve"> </w:t>
      </w:r>
      <w:r w:rsidRPr="00ED11BB">
        <w:rPr>
          <w:rtl/>
        </w:rPr>
        <w:t>الطيف</w:t>
      </w:r>
      <w:r>
        <w:rPr>
          <w:rFonts w:hint="cs"/>
          <w:rtl/>
        </w:rPr>
        <w:t xml:space="preserve"> </w:t>
      </w:r>
      <w:r w:rsidRPr="00ED11BB">
        <w:rPr>
          <w:rtl/>
        </w:rPr>
        <w:t xml:space="preserve">لأغراض الإنذار المبكر </w:t>
      </w:r>
      <w:r w:rsidRPr="00ED11BB">
        <w:rPr>
          <w:rFonts w:hint="cs"/>
          <w:rtl/>
        </w:rPr>
        <w:t>و</w:t>
      </w:r>
      <w:r w:rsidRPr="00ED11BB">
        <w:rPr>
          <w:rtl/>
        </w:rPr>
        <w:t xml:space="preserve">التنبؤ بالكوارث </w:t>
      </w:r>
      <w:r w:rsidRPr="00ED11BB">
        <w:rPr>
          <w:rFonts w:hint="cs"/>
          <w:rtl/>
          <w:lang w:bidi="ar-EG"/>
        </w:rPr>
        <w:t xml:space="preserve">واستشعارها </w:t>
      </w:r>
      <w:r w:rsidRPr="00ED11BB">
        <w:rPr>
          <w:rtl/>
        </w:rPr>
        <w:t>والتخفيف من آثارها</w:t>
      </w:r>
      <w:r>
        <w:rPr>
          <w:rFonts w:hint="cs"/>
          <w:rtl/>
        </w:rPr>
        <w:t xml:space="preserve"> </w:t>
      </w:r>
      <w:r w:rsidRPr="00ED11BB">
        <w:rPr>
          <w:rtl/>
        </w:rPr>
        <w:t>و</w:t>
      </w:r>
      <w:r w:rsidRPr="00ED11BB">
        <w:rPr>
          <w:rFonts w:hint="cs"/>
          <w:rtl/>
        </w:rPr>
        <w:t>عمليات</w:t>
      </w:r>
      <w:r w:rsidRPr="00ED11BB">
        <w:rPr>
          <w:rtl/>
        </w:rPr>
        <w:t xml:space="preserve"> الإغاثة ذات</w:t>
      </w:r>
      <w:r w:rsidRPr="00ED11BB">
        <w:rPr>
          <w:rFonts w:hint="cs"/>
          <w:rtl/>
        </w:rPr>
        <w:t> </w:t>
      </w:r>
      <w:r w:rsidRPr="00ED11BB">
        <w:rPr>
          <w:rtl/>
        </w:rPr>
        <w:t>الصلة</w:t>
      </w:r>
      <w:r w:rsidRPr="00ED11BB">
        <w:rPr>
          <w:rFonts w:hint="cs"/>
          <w:rtl/>
        </w:rPr>
        <w:t xml:space="preserve"> </w:t>
      </w:r>
      <w:r w:rsidRPr="00ED11BB">
        <w:rPr>
          <w:rtl/>
        </w:rPr>
        <w:t>بحالات الطوارئ والكوارث</w:t>
      </w:r>
      <w:bookmarkEnd w:id="6"/>
      <w:bookmarkEnd w:id="7"/>
      <w:r>
        <w:rPr>
          <w:rFonts w:hint="cs"/>
          <w:rtl/>
        </w:rPr>
        <w:t>؛</w:t>
      </w:r>
    </w:p>
    <w:p w14:paraId="288A7362" w14:textId="6F6492FF" w:rsidR="00C079DA" w:rsidRPr="0089281D" w:rsidRDefault="00C079DA" w:rsidP="00C079DA">
      <w:pPr>
        <w:rPr>
          <w:rtl/>
          <w:lang w:bidi="ar-JO"/>
        </w:rPr>
      </w:pPr>
      <w:r w:rsidRPr="00ED11BB">
        <w:rPr>
          <w:rFonts w:hint="cs"/>
          <w:i/>
          <w:iCs/>
          <w:rtl/>
        </w:rPr>
        <w:t>ج)</w:t>
      </w:r>
      <w:r w:rsidRPr="0089281D">
        <w:rPr>
          <w:rtl/>
        </w:rPr>
        <w:tab/>
      </w:r>
      <w:r w:rsidRPr="0089281D">
        <w:rPr>
          <w:rFonts w:hint="cs"/>
          <w:rtl/>
          <w:lang w:bidi="ar-JO"/>
        </w:rPr>
        <w:t xml:space="preserve">القرارات </w:t>
      </w:r>
      <w:r>
        <w:rPr>
          <w:rFonts w:hint="cs"/>
          <w:rtl/>
          <w:lang w:bidi="ar-JO"/>
        </w:rPr>
        <w:t xml:space="preserve">الأخرى </w:t>
      </w:r>
      <w:r w:rsidRPr="0089281D">
        <w:rPr>
          <w:rFonts w:hint="cs"/>
          <w:rtl/>
          <w:lang w:bidi="ar-JO"/>
        </w:rPr>
        <w:t>ذات الصلة الصادرة</w:t>
      </w:r>
      <w:r w:rsidRPr="0089281D">
        <w:rPr>
          <w:rtl/>
          <w:lang w:bidi="ar-JO"/>
        </w:rPr>
        <w:t xml:space="preserve"> عن المؤتمر العالمي للاتصالات الراديوية</w:t>
      </w:r>
      <w:r>
        <w:rPr>
          <w:rFonts w:hint="cs"/>
          <w:rtl/>
          <w:lang w:bidi="ar-JO"/>
        </w:rPr>
        <w:t>،</w:t>
      </w:r>
    </w:p>
    <w:p w14:paraId="6101C863" w14:textId="77777777" w:rsidR="00C079DA" w:rsidRPr="0089281D" w:rsidRDefault="00C079DA" w:rsidP="00C079DA">
      <w:pPr>
        <w:pStyle w:val="Call"/>
        <w:rPr>
          <w:rtl/>
        </w:rPr>
      </w:pPr>
      <w:r w:rsidRPr="0089281D">
        <w:rPr>
          <w:rtl/>
        </w:rPr>
        <w:t>وإذ تشدِّد</w:t>
      </w:r>
    </w:p>
    <w:p w14:paraId="1C71709C" w14:textId="1C600EBF" w:rsidR="00C079DA" w:rsidRPr="0089281D" w:rsidRDefault="00C079DA" w:rsidP="00C079DA">
      <w:pPr>
        <w:rPr>
          <w:rtl/>
          <w:lang w:bidi="ar-EG"/>
        </w:rPr>
      </w:pPr>
      <w:r w:rsidRPr="0089281D">
        <w:rPr>
          <w:rtl/>
          <w:lang w:bidi="ar-EG"/>
        </w:rPr>
        <w:t xml:space="preserve">على أن لجان دراسات قطاع الاتصالات الراديوية تؤدي دوراً هاماً في </w:t>
      </w:r>
      <w:r>
        <w:rPr>
          <w:rFonts w:hint="cs"/>
          <w:rtl/>
          <w:lang w:bidi="ar-EG"/>
        </w:rPr>
        <w:t>معالجة موضوع إدارة حالات</w:t>
      </w:r>
      <w:r w:rsidRPr="0089281D">
        <w:rPr>
          <w:rtl/>
          <w:lang w:bidi="ar-EG"/>
        </w:rPr>
        <w:t xml:space="preserve"> الكوارث من خلال دراساتها التقنية والتشغيلية</w:t>
      </w:r>
      <w:r>
        <w:rPr>
          <w:rFonts w:hint="cs"/>
          <w:rtl/>
          <w:lang w:bidi="ar-EG"/>
        </w:rPr>
        <w:t xml:space="preserve"> ومن خلال توصياتها</w:t>
      </w:r>
      <w:r w:rsidRPr="0089281D">
        <w:rPr>
          <w:rtl/>
          <w:lang w:bidi="ar-EG"/>
        </w:rPr>
        <w:t xml:space="preserve"> التي تدعم أنشطة التنبؤ بالكوارث </w:t>
      </w:r>
      <w:r w:rsidRPr="0089281D">
        <w:rPr>
          <w:rFonts w:hint="cs"/>
          <w:rtl/>
          <w:lang w:bidi="ar-EG"/>
        </w:rPr>
        <w:t>واستشعارها</w:t>
      </w:r>
      <w:r w:rsidRPr="0089281D">
        <w:rPr>
          <w:rtl/>
          <w:lang w:bidi="ar-EG"/>
        </w:rPr>
        <w:t xml:space="preserve"> والتخفيف من وطأتها والتصدّي لها، </w:t>
      </w:r>
      <w:r w:rsidRPr="0089281D">
        <w:rPr>
          <w:rFonts w:hint="cs"/>
          <w:rtl/>
          <w:lang w:bidi="ar-EG"/>
        </w:rPr>
        <w:t xml:space="preserve">وهي </w:t>
      </w:r>
      <w:r w:rsidRPr="0089281D">
        <w:rPr>
          <w:rtl/>
          <w:lang w:bidi="ar-EG"/>
        </w:rPr>
        <w:t>أنشطة حاسمة في</w:t>
      </w:r>
      <w:r w:rsidRPr="0089281D">
        <w:rPr>
          <w:rFonts w:hint="eastAsia"/>
          <w:rtl/>
          <w:lang w:bidi="ar-EG"/>
        </w:rPr>
        <w:t> </w:t>
      </w:r>
      <w:r w:rsidRPr="0089281D">
        <w:rPr>
          <w:rtl/>
          <w:lang w:bidi="ar-EG"/>
        </w:rPr>
        <w:t>تقليل الخسائر من الأرواح والممتلكات وفي توفير الإغاثة في المناطق المتضررة</w:t>
      </w:r>
      <w:r w:rsidRPr="0089281D">
        <w:rPr>
          <w:rFonts w:hint="eastAsia"/>
          <w:rtl/>
          <w:lang w:bidi="ar-EG"/>
        </w:rPr>
        <w:t> </w:t>
      </w:r>
      <w:r w:rsidRPr="0089281D">
        <w:rPr>
          <w:rtl/>
          <w:lang w:bidi="ar-EG"/>
        </w:rPr>
        <w:t>بالكوارث،</w:t>
      </w:r>
    </w:p>
    <w:p w14:paraId="46F9C0B3" w14:textId="77777777" w:rsidR="00C079DA" w:rsidRPr="0089281D" w:rsidRDefault="00C079DA" w:rsidP="00C079DA">
      <w:pPr>
        <w:pStyle w:val="Call"/>
        <w:rPr>
          <w:rtl/>
          <w:lang w:bidi="ar-EG"/>
        </w:rPr>
      </w:pPr>
      <w:r w:rsidRPr="0089281D">
        <w:rPr>
          <w:rtl/>
        </w:rPr>
        <w:lastRenderedPageBreak/>
        <w:t>وإذ تدرك</w:t>
      </w:r>
    </w:p>
    <w:p w14:paraId="1EE5D90E" w14:textId="77777777" w:rsidR="00C079DA" w:rsidRPr="0087202F" w:rsidRDefault="00C079DA" w:rsidP="00C079DA">
      <w:pPr>
        <w:rPr>
          <w:rtl/>
        </w:rPr>
      </w:pPr>
      <w:r>
        <w:rPr>
          <w:rFonts w:hint="cs"/>
          <w:i/>
          <w:iCs/>
          <w:rtl/>
        </w:rPr>
        <w:t xml:space="preserve"> أ )</w:t>
      </w:r>
      <w:r w:rsidRPr="0087202F">
        <w:rPr>
          <w:rtl/>
        </w:rPr>
        <w:tab/>
      </w:r>
      <w:r>
        <w:rPr>
          <w:rFonts w:hint="cs"/>
          <w:rtl/>
        </w:rPr>
        <w:t>أهمية الاستعمال الفعال لطيف التردد الراديوي من أجل الاتصالات الراديوية في التنبؤ بالكوارث واستشعارها والإنذار بها والتخفيف من آثارها والإغاثة عند وقوعها؛</w:t>
      </w:r>
    </w:p>
    <w:p w14:paraId="72C4C36D" w14:textId="77777777" w:rsidR="00C079DA" w:rsidRPr="0089281D" w:rsidRDefault="00C079DA" w:rsidP="00C079DA">
      <w:pPr>
        <w:rPr>
          <w:rtl/>
        </w:rPr>
      </w:pPr>
      <w:r w:rsidRPr="0089281D">
        <w:rPr>
          <w:i/>
          <w:iCs/>
          <w:rtl/>
        </w:rPr>
        <w:t>ب)</w:t>
      </w:r>
      <w:r w:rsidRPr="0089281D">
        <w:rPr>
          <w:rtl/>
        </w:rPr>
        <w:tab/>
        <w:t>أن إدارة الكوارث في ميدان الاتصالات الراديوية يشتمل على الجوانب التالية التي لا تقل أهمية:</w:t>
      </w:r>
    </w:p>
    <w:p w14:paraId="018A2888" w14:textId="77777777" w:rsidR="00C079DA" w:rsidRPr="0089281D" w:rsidRDefault="00C079DA" w:rsidP="00C079DA">
      <w:pPr>
        <w:pStyle w:val="enumlev1"/>
        <w:rPr>
          <w:rtl/>
          <w:lang w:bidi="ar-EG"/>
        </w:rPr>
      </w:pPr>
      <w:r w:rsidRPr="0089281D">
        <w:t>(1</w:t>
      </w:r>
      <w:r w:rsidRPr="0089281D">
        <w:rPr>
          <w:rtl/>
        </w:rPr>
        <w:tab/>
        <w:t>الإنذار المبكر والوقاية، من خلال:</w:t>
      </w:r>
    </w:p>
    <w:p w14:paraId="2C41ADAB" w14:textId="77777777" w:rsidR="00C079DA" w:rsidRPr="0089281D" w:rsidRDefault="00C079DA" w:rsidP="00C079DA">
      <w:pPr>
        <w:pStyle w:val="enumlev2"/>
      </w:pPr>
      <w:r w:rsidRPr="0089281D">
        <w:rPr>
          <w:rtl/>
        </w:rPr>
        <w:t>-</w:t>
      </w:r>
      <w:r w:rsidRPr="0089281D">
        <w:rPr>
          <w:rtl/>
        </w:rPr>
        <w:tab/>
        <w:t>التنبؤ بوقوع الكوارث، بما في ذلك الحصول على البيانات التي تتناول احتمال وقوع الكوارث في المستقبل ومكان وقوعها ومدتها ومعالجة هذه البيانات؛</w:t>
      </w:r>
    </w:p>
    <w:p w14:paraId="6EB03ECE" w14:textId="77777777" w:rsidR="00C079DA" w:rsidRPr="0089281D" w:rsidRDefault="00C079DA" w:rsidP="00C079DA">
      <w:pPr>
        <w:pStyle w:val="enumlev2"/>
        <w:rPr>
          <w:rtl/>
          <w:lang w:bidi="ar-EG"/>
        </w:rPr>
      </w:pPr>
      <w:r w:rsidRPr="0089281D">
        <w:rPr>
          <w:rtl/>
        </w:rPr>
        <w:t>-</w:t>
      </w:r>
      <w:r w:rsidRPr="0089281D">
        <w:rPr>
          <w:rtl/>
        </w:rPr>
        <w:tab/>
        <w:t>الكشف عن الكوارث، بما في ذلك التحليل المفصل لمكان وقوعها المحتمل وحدّتها؛</w:t>
      </w:r>
    </w:p>
    <w:p w14:paraId="7A664753" w14:textId="77777777" w:rsidR="00C079DA" w:rsidRPr="0089281D" w:rsidRDefault="00C079DA" w:rsidP="00C079DA">
      <w:pPr>
        <w:pStyle w:val="enumlev1"/>
        <w:rPr>
          <w:rtl/>
          <w:lang w:bidi="ar-EG"/>
        </w:rPr>
      </w:pPr>
      <w:r w:rsidRPr="0089281D">
        <w:t>(</w:t>
      </w:r>
      <w:r>
        <w:t>2</w:t>
      </w:r>
      <w:r w:rsidRPr="0089281D">
        <w:rPr>
          <w:rtl/>
        </w:rPr>
        <w:tab/>
      </w:r>
      <w:r>
        <w:rPr>
          <w:rFonts w:hint="cs"/>
          <w:rtl/>
        </w:rPr>
        <w:t>تحذير الجمهور والسلطات المختصة؛</w:t>
      </w:r>
    </w:p>
    <w:p w14:paraId="40CB45B2" w14:textId="7749277E" w:rsidR="00C079DA" w:rsidRPr="0089281D" w:rsidRDefault="00C079DA" w:rsidP="00C079DA">
      <w:pPr>
        <w:pStyle w:val="enumlev1"/>
        <w:rPr>
          <w:rtl/>
        </w:rPr>
      </w:pPr>
      <w:r w:rsidRPr="0089281D">
        <w:t>(</w:t>
      </w:r>
      <w:r>
        <w:t>3</w:t>
      </w:r>
      <w:r w:rsidRPr="0089281D">
        <w:rPr>
          <w:rtl/>
        </w:rPr>
        <w:tab/>
        <w:t>التخفيف من آثار الكوارث، بما في ذلك الإعلان سريعاً عن معلومات الكوارث الوشيكة والإنذارات المرتبطة بها وإبلاغها إلى وكالات الإغاثة في حالات الكوارث؛</w:t>
      </w:r>
    </w:p>
    <w:p w14:paraId="513D91F5" w14:textId="4C7D0149" w:rsidR="00C079DA" w:rsidRPr="0089281D" w:rsidRDefault="00C079DA" w:rsidP="00C079DA">
      <w:pPr>
        <w:pStyle w:val="enumlev1"/>
        <w:rPr>
          <w:rtl/>
        </w:rPr>
      </w:pPr>
      <w:r w:rsidRPr="0089281D">
        <w:t>(</w:t>
      </w:r>
      <w:r>
        <w:t>4</w:t>
      </w:r>
      <w:r w:rsidRPr="0089281D">
        <w:rPr>
          <w:rtl/>
        </w:rPr>
        <w:tab/>
        <w:t>الاتصالات الراديوية لعمليات الإغاثة في أعقاب الكوارث، بما في ذلك توفير أنظمة اتصالات أرضية وساتلية في عين المكان للمساعدة في الحفاظ على الأرواح والممتلكات وصونها في المنطقة المنكوبة،</w:t>
      </w:r>
    </w:p>
    <w:p w14:paraId="0201CA1E" w14:textId="77777777" w:rsidR="00C079DA" w:rsidRPr="004D0225" w:rsidRDefault="00C079DA" w:rsidP="00C079DA">
      <w:pPr>
        <w:pStyle w:val="Call"/>
        <w:rPr>
          <w:rtl/>
        </w:rPr>
      </w:pPr>
      <w:r w:rsidRPr="0089281D">
        <w:rPr>
          <w:rtl/>
        </w:rPr>
        <w:t>تقـرر</w:t>
      </w:r>
    </w:p>
    <w:p w14:paraId="1BC29C5C" w14:textId="5C8B83FB" w:rsidR="00C079DA" w:rsidRPr="0089281D" w:rsidRDefault="00C079DA" w:rsidP="001B7617">
      <w:pPr>
        <w:rPr>
          <w:rFonts w:eastAsiaTheme="minorEastAsia"/>
          <w:rtl/>
          <w:lang w:eastAsia="zh-CN" w:bidi="ar-SY"/>
        </w:rPr>
      </w:pPr>
      <w:r>
        <w:rPr>
          <w:rFonts w:eastAsiaTheme="minorEastAsia"/>
          <w:lang w:eastAsia="zh-CN" w:bidi="ar-SY"/>
        </w:rPr>
        <w:t>1</w:t>
      </w:r>
      <w:r w:rsidRPr="0089281D">
        <w:rPr>
          <w:rFonts w:eastAsiaTheme="minorEastAsia" w:hint="cs"/>
          <w:rtl/>
          <w:lang w:eastAsia="zh-CN" w:bidi="ar-SY"/>
        </w:rPr>
        <w:tab/>
      </w:r>
      <w:r w:rsidRPr="0089281D">
        <w:rPr>
          <w:rFonts w:eastAsiaTheme="minorEastAsia"/>
          <w:rtl/>
          <w:lang w:eastAsia="zh-CN" w:bidi="ar-SY"/>
        </w:rPr>
        <w:t>أن تقوم لجان دراسات قطاع الاتصالات الراديوية المعنية</w:t>
      </w:r>
      <w:r w:rsidRPr="0089281D">
        <w:rPr>
          <w:rFonts w:eastAsiaTheme="minorEastAsia" w:hint="cs"/>
          <w:rtl/>
          <w:lang w:eastAsia="zh-CN" w:bidi="ar-SY"/>
        </w:rPr>
        <w:t xml:space="preserve"> </w:t>
      </w:r>
      <w:r w:rsidRPr="0089281D">
        <w:rPr>
          <w:rFonts w:eastAsiaTheme="minorEastAsia"/>
          <w:rtl/>
          <w:lang w:eastAsia="zh-CN" w:bidi="ar-SY"/>
        </w:rPr>
        <w:t>ب</w:t>
      </w:r>
      <w:r w:rsidRPr="0089281D">
        <w:rPr>
          <w:rFonts w:eastAsiaTheme="minorEastAsia"/>
          <w:rtl/>
          <w:lang w:eastAsia="zh-CN" w:bidi="ar-JO"/>
        </w:rPr>
        <w:t xml:space="preserve">إجراء دراسات ووضع </w:t>
      </w:r>
      <w:r>
        <w:rPr>
          <w:rFonts w:eastAsiaTheme="minorEastAsia" w:hint="cs"/>
          <w:rtl/>
          <w:lang w:eastAsia="zh-CN" w:bidi="ar-JO"/>
        </w:rPr>
        <w:t>توصيات وتقارير، حسب الاقتضاء،</w:t>
      </w:r>
      <w:r w:rsidRPr="0089281D">
        <w:rPr>
          <w:rFonts w:eastAsiaTheme="minorEastAsia"/>
          <w:rtl/>
          <w:lang w:eastAsia="zh-CN" w:bidi="ar-JO"/>
        </w:rPr>
        <w:t xml:space="preserve"> فيما يتعلق </w:t>
      </w:r>
      <w:r w:rsidRPr="0089281D">
        <w:rPr>
          <w:rFonts w:eastAsiaTheme="minorEastAsia" w:hint="cs"/>
          <w:rtl/>
          <w:lang w:eastAsia="zh-CN" w:bidi="ar-JO"/>
        </w:rPr>
        <w:t xml:space="preserve">بإدارة </w:t>
      </w:r>
      <w:r w:rsidRPr="0089281D">
        <w:rPr>
          <w:rFonts w:eastAsiaTheme="minorEastAsia"/>
          <w:rtl/>
          <w:lang w:eastAsia="zh-CN" w:bidi="ar-JO"/>
        </w:rPr>
        <w:t xml:space="preserve">الاتصالات الراديوية </w:t>
      </w:r>
      <w:r w:rsidRPr="0089281D">
        <w:rPr>
          <w:rFonts w:eastAsiaTheme="minorEastAsia" w:hint="cs"/>
          <w:rtl/>
          <w:lang w:eastAsia="zh-CN" w:bidi="ar-JO"/>
        </w:rPr>
        <w:t xml:space="preserve">من أجل </w:t>
      </w:r>
      <w:r w:rsidRPr="0089281D">
        <w:rPr>
          <w:rFonts w:eastAsiaTheme="minorEastAsia"/>
          <w:rtl/>
          <w:lang w:eastAsia="zh-CN" w:bidi="ar-JO"/>
        </w:rPr>
        <w:t xml:space="preserve">التنبؤ بالكوارث </w:t>
      </w:r>
      <w:r w:rsidRPr="0089281D">
        <w:rPr>
          <w:rFonts w:eastAsiaTheme="minorEastAsia" w:hint="cs"/>
          <w:rtl/>
          <w:lang w:eastAsia="zh-CN" w:bidi="ar-JO"/>
        </w:rPr>
        <w:t>واستشعارها</w:t>
      </w:r>
      <w:r>
        <w:rPr>
          <w:rFonts w:eastAsiaTheme="minorEastAsia" w:hint="cs"/>
          <w:rtl/>
          <w:lang w:eastAsia="zh-CN" w:bidi="ar-JO"/>
        </w:rPr>
        <w:t xml:space="preserve"> والتحذير منها</w:t>
      </w:r>
      <w:r w:rsidRPr="0089281D">
        <w:rPr>
          <w:rFonts w:eastAsiaTheme="minorEastAsia"/>
          <w:rtl/>
          <w:lang w:eastAsia="zh-CN" w:bidi="ar-JO"/>
        </w:rPr>
        <w:t xml:space="preserve"> وتخفيف </w:t>
      </w:r>
      <w:r>
        <w:rPr>
          <w:rFonts w:eastAsiaTheme="minorEastAsia" w:hint="cs"/>
          <w:rtl/>
          <w:lang w:eastAsia="zh-CN" w:bidi="ar-JO"/>
        </w:rPr>
        <w:t>آثارها</w:t>
      </w:r>
      <w:r w:rsidRPr="0089281D">
        <w:rPr>
          <w:rFonts w:eastAsiaTheme="minorEastAsia"/>
          <w:rtl/>
          <w:lang w:eastAsia="zh-CN" w:bidi="ar-JO"/>
        </w:rPr>
        <w:t xml:space="preserve"> والإغاثة عند وقوعها</w:t>
      </w:r>
      <w:r w:rsidRPr="0089281D">
        <w:rPr>
          <w:rFonts w:eastAsiaTheme="minorEastAsia" w:hint="cs"/>
          <w:rtl/>
          <w:lang w:eastAsia="zh-CN" w:bidi="ar-SY"/>
        </w:rPr>
        <w:t>؛</w:t>
      </w:r>
    </w:p>
    <w:p w14:paraId="13F52F6B" w14:textId="6AFCFE68" w:rsidR="00BC34FD" w:rsidRDefault="00C079DA" w:rsidP="001B7617">
      <w:pPr>
        <w:rPr>
          <w:rFonts w:eastAsiaTheme="minorEastAsia"/>
          <w:rtl/>
          <w:lang w:eastAsia="zh-CN" w:bidi="ar-SY"/>
        </w:rPr>
      </w:pPr>
      <w:r>
        <w:rPr>
          <w:rFonts w:eastAsiaTheme="minorEastAsia"/>
          <w:lang w:eastAsia="zh-CN" w:bidi="ar-SY"/>
        </w:rPr>
        <w:t>2</w:t>
      </w:r>
      <w:r w:rsidRPr="0089281D">
        <w:rPr>
          <w:rFonts w:eastAsiaTheme="minorEastAsia" w:hint="cs"/>
          <w:rtl/>
          <w:lang w:eastAsia="zh-CN" w:bidi="ar-SY"/>
        </w:rPr>
        <w:tab/>
        <w:t xml:space="preserve">أن </w:t>
      </w:r>
      <w:r>
        <w:rPr>
          <w:rFonts w:eastAsiaTheme="minorEastAsia" w:hint="cs"/>
          <w:rtl/>
          <w:lang w:eastAsia="zh-CN" w:bidi="ar-SY"/>
        </w:rPr>
        <w:t>تواصل</w:t>
      </w:r>
      <w:r w:rsidRPr="0089281D">
        <w:rPr>
          <w:rFonts w:eastAsiaTheme="minorEastAsia" w:hint="cs"/>
          <w:rtl/>
          <w:lang w:eastAsia="zh-CN" w:bidi="ar-SY"/>
        </w:rPr>
        <w:t xml:space="preserve"> لجان دراسات قطاع الاتصالات الراديوية ذات الصلة إجراء دراسات بشأن التكنولوجيات الجديدة الناشئة التي يمكن أن تدعم التنبؤ بالكوارث</w:t>
      </w:r>
      <w:r>
        <w:rPr>
          <w:rFonts w:eastAsiaTheme="minorEastAsia" w:hint="cs"/>
          <w:rtl/>
          <w:lang w:eastAsia="zh-CN" w:bidi="ar-SY"/>
        </w:rPr>
        <w:t xml:space="preserve"> والتحذير منها</w:t>
      </w:r>
      <w:r w:rsidRPr="0089281D">
        <w:rPr>
          <w:rFonts w:eastAsiaTheme="minorEastAsia" w:hint="cs"/>
          <w:rtl/>
          <w:lang w:eastAsia="zh-CN" w:bidi="ar-SY"/>
        </w:rPr>
        <w:t xml:space="preserve"> واستشعارها والتخفيف من آثارها والإغاثة عند</w:t>
      </w:r>
      <w:r w:rsidRPr="0089281D">
        <w:rPr>
          <w:rFonts w:eastAsiaTheme="minorEastAsia" w:hint="cs"/>
          <w:spacing w:val="-4"/>
          <w:rtl/>
          <w:lang w:eastAsia="zh-CN" w:bidi="ar-SY"/>
        </w:rPr>
        <w:t> </w:t>
      </w:r>
      <w:r w:rsidRPr="0089281D">
        <w:rPr>
          <w:rFonts w:eastAsiaTheme="minorEastAsia" w:hint="cs"/>
          <w:rtl/>
          <w:lang w:eastAsia="zh-CN" w:bidi="ar-SY"/>
        </w:rPr>
        <w:t>وقوعها،</w:t>
      </w:r>
    </w:p>
    <w:p w14:paraId="2660CF4A" w14:textId="640E713C" w:rsidR="00BC34FD" w:rsidRDefault="00BC34FD" w:rsidP="00BC34FD">
      <w:pPr>
        <w:rPr>
          <w:rFonts w:eastAsiaTheme="minorEastAsia"/>
          <w:rtl/>
          <w:lang w:eastAsia="zh-CN" w:bidi="ar-SY"/>
        </w:rPr>
      </w:pPr>
      <w:r>
        <w:rPr>
          <w:rFonts w:eastAsiaTheme="minorEastAsia"/>
          <w:rtl/>
          <w:lang w:eastAsia="zh-CN" w:bidi="ar-SY"/>
        </w:rPr>
        <w:br w:type="page"/>
      </w:r>
    </w:p>
    <w:p w14:paraId="4028E5FA" w14:textId="77777777" w:rsidR="00C079DA" w:rsidRPr="00BC2768" w:rsidRDefault="00C079DA" w:rsidP="00BC2768">
      <w:pPr>
        <w:pStyle w:val="Call"/>
        <w:rPr>
          <w:rtl/>
        </w:rPr>
      </w:pPr>
      <w:r w:rsidRPr="00BC2768">
        <w:rPr>
          <w:rtl/>
        </w:rPr>
        <w:t>تدعو لجان الدراسات</w:t>
      </w:r>
    </w:p>
    <w:p w14:paraId="7C0B73F2" w14:textId="77777777" w:rsidR="00C079DA" w:rsidRDefault="00C079DA" w:rsidP="00C079DA">
      <w:pPr>
        <w:rPr>
          <w:rtl/>
        </w:rPr>
      </w:pPr>
      <w:r w:rsidRPr="0089281D">
        <w:rPr>
          <w:rtl/>
        </w:rPr>
        <w:t>إلى أن تأخذ في الاعتبار، عندما تقوم بوضع برامج عملها، نطاق الدراسات/الأنشطة الجارية الوارد ذكرها في </w:t>
      </w:r>
      <w:r w:rsidRPr="0089281D">
        <w:rPr>
          <w:rFonts w:hint="cs"/>
          <w:rtl/>
          <w:lang w:bidi="ar-JO"/>
        </w:rPr>
        <w:t xml:space="preserve">الصفحة الإلكترونية لقطاع </w:t>
      </w:r>
      <w:r w:rsidRPr="0089281D">
        <w:rPr>
          <w:rtl/>
          <w:lang w:bidi="ar-JO"/>
        </w:rPr>
        <w:t xml:space="preserve">الاتصالات الراديوية </w:t>
      </w:r>
      <w:r w:rsidRPr="0089281D">
        <w:rPr>
          <w:rFonts w:hint="cs"/>
          <w:rtl/>
          <w:lang w:bidi="ar-JO"/>
        </w:rPr>
        <w:t xml:space="preserve">الخاصة </w:t>
      </w:r>
      <w:r w:rsidRPr="0089281D">
        <w:rPr>
          <w:rtl/>
          <w:lang w:bidi="ar-JO"/>
        </w:rPr>
        <w:t>بالاتصالات الراديوية في حالات الطوارئ</w:t>
      </w:r>
      <w:r w:rsidRPr="0089281D">
        <w:rPr>
          <w:rFonts w:cs="Times New Roman"/>
          <w:position w:val="6"/>
          <w:sz w:val="18"/>
          <w:szCs w:val="18"/>
          <w:rtl/>
        </w:rPr>
        <w:footnoteReference w:customMarkFollows="1" w:id="1"/>
        <w:t>1</w:t>
      </w:r>
      <w:r w:rsidRPr="0089281D">
        <w:rPr>
          <w:rtl/>
        </w:rPr>
        <w:t xml:space="preserve"> والمعلومات التي يوفرها المكتب عن الأنشطة ذات الصلة التي يضطلع بها القطاعان الآخران والأمانة العامة، وذلك لكي تتجنب أي ازدواج في الجهود</w:t>
      </w:r>
      <w:r w:rsidRPr="0089281D">
        <w:rPr>
          <w:rFonts w:hint="cs"/>
          <w:spacing w:val="-4"/>
          <w:rtl/>
        </w:rPr>
        <w:t> </w:t>
      </w:r>
      <w:r w:rsidRPr="0089281D">
        <w:rPr>
          <w:rtl/>
        </w:rPr>
        <w:t>المبذولة.</w:t>
      </w:r>
    </w:p>
    <w:p w14:paraId="5E6BF9BB" w14:textId="77777777" w:rsidR="00C079DA" w:rsidRPr="0053483D" w:rsidRDefault="00C079DA" w:rsidP="0053483D">
      <w:pPr>
        <w:pStyle w:val="AnnexNo"/>
        <w:rPr>
          <w:rtl/>
        </w:rPr>
      </w:pPr>
      <w:r w:rsidRPr="0053483D">
        <w:rPr>
          <w:rFonts w:hint="cs"/>
          <w:rtl/>
        </w:rPr>
        <w:t>الملحق</w:t>
      </w:r>
    </w:p>
    <w:p w14:paraId="6F586DA5" w14:textId="77777777" w:rsidR="00C079DA" w:rsidRDefault="00C079DA" w:rsidP="00CB13AD">
      <w:pPr>
        <w:pStyle w:val="Headingb"/>
        <w:rPr>
          <w:rtl/>
        </w:rPr>
      </w:pPr>
      <w:r>
        <w:rPr>
          <w:rFonts w:hint="cs"/>
          <w:rtl/>
        </w:rPr>
        <w:t>قائمة التوصيات ذات الصلة لقطاع الاتصالات الراديوية</w:t>
      </w:r>
    </w:p>
    <w:p w14:paraId="2E7356AB" w14:textId="0B149EB7" w:rsidR="00C079DA" w:rsidRPr="000942B1" w:rsidRDefault="00C079DA" w:rsidP="00C079DA">
      <w:pPr>
        <w:pStyle w:val="enumlev1"/>
        <w:rPr>
          <w:spacing w:val="-3"/>
          <w:rtl/>
          <w:lang w:bidi="ar-EG"/>
        </w:rPr>
      </w:pPr>
      <w:r w:rsidRPr="000942B1">
        <w:rPr>
          <w:rFonts w:hint="cs"/>
          <w:spacing w:val="-3"/>
          <w:rtl/>
          <w:lang w:bidi="ar-EG"/>
        </w:rPr>
        <w:t>-</w:t>
      </w:r>
      <w:r w:rsidRPr="000942B1">
        <w:rPr>
          <w:spacing w:val="-3"/>
          <w:rtl/>
          <w:lang w:bidi="ar-EG"/>
        </w:rPr>
        <w:tab/>
      </w:r>
      <w:r w:rsidRPr="000942B1">
        <w:rPr>
          <w:rFonts w:hint="cs"/>
          <w:spacing w:val="-3"/>
          <w:rtl/>
          <w:lang w:bidi="ar-EG"/>
        </w:rPr>
        <w:t xml:space="preserve">التوصية </w:t>
      </w:r>
      <w:r w:rsidRPr="000942B1">
        <w:rPr>
          <w:spacing w:val="-3"/>
          <w:lang w:bidi="ar-EG"/>
        </w:rPr>
        <w:t>ITU-R BO.1774/BT.1774</w:t>
      </w:r>
      <w:r w:rsidRPr="000942B1">
        <w:rPr>
          <w:rFonts w:hint="cs"/>
          <w:spacing w:val="-3"/>
          <w:rtl/>
          <w:lang w:bidi="ar-EG"/>
        </w:rPr>
        <w:t>، "استعمال البنى التحتية الساتلية و</w:t>
      </w:r>
      <w:r w:rsidR="00A4248C">
        <w:rPr>
          <w:rFonts w:hint="cs"/>
          <w:spacing w:val="-3"/>
          <w:rtl/>
          <w:lang w:bidi="ar-EG"/>
        </w:rPr>
        <w:t xml:space="preserve">الأرضية </w:t>
      </w:r>
      <w:r w:rsidR="00727A02">
        <w:rPr>
          <w:rFonts w:hint="cs"/>
          <w:spacing w:val="-3"/>
          <w:rtl/>
          <w:lang w:bidi="ar-EG"/>
        </w:rPr>
        <w:t xml:space="preserve">للإذاعة </w:t>
      </w:r>
      <w:r w:rsidRPr="000942B1">
        <w:rPr>
          <w:rFonts w:hint="cs"/>
          <w:spacing w:val="-3"/>
          <w:rtl/>
          <w:lang w:bidi="ar-EG"/>
        </w:rPr>
        <w:t>لإنذار الجمهور والتخفيف من آثار الكوارث والإغاثة عند وقوعها"</w:t>
      </w:r>
    </w:p>
    <w:p w14:paraId="19D09E30" w14:textId="655EDBF5" w:rsidR="00C079DA" w:rsidRPr="00ED11BB" w:rsidRDefault="00C079DA" w:rsidP="00BC2768">
      <w:pPr>
        <w:pStyle w:val="enumlev1"/>
        <w:rPr>
          <w:rtl/>
          <w:lang w:bidi="ar-EG"/>
        </w:rPr>
      </w:pPr>
      <w:r w:rsidRPr="0087202F">
        <w:rPr>
          <w:rtl/>
          <w:lang w:bidi="ar-EG"/>
        </w:rPr>
        <w:t>-</w:t>
      </w:r>
      <w:r w:rsidRPr="00ED11BB">
        <w:rPr>
          <w:rtl/>
          <w:lang w:bidi="ar-EG"/>
        </w:rPr>
        <w:tab/>
      </w:r>
      <w:r w:rsidRPr="00ED11BB">
        <w:rPr>
          <w:rFonts w:hint="eastAsia"/>
          <w:rtl/>
          <w:lang w:bidi="ar-EG"/>
        </w:rPr>
        <w:t>التوصية</w:t>
      </w:r>
      <w:r w:rsidRPr="00ED11BB">
        <w:rPr>
          <w:rtl/>
          <w:lang w:bidi="ar-EG"/>
        </w:rPr>
        <w:t xml:space="preserve"> </w:t>
      </w:r>
      <w:r w:rsidRPr="00ED11BB">
        <w:rPr>
          <w:lang w:bidi="ar-EG"/>
        </w:rPr>
        <w:t>ITU-R BS.2107</w:t>
      </w:r>
      <w:r w:rsidRPr="00ED11BB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>"</w:t>
      </w:r>
      <w:r w:rsidRPr="00ED11BB">
        <w:rPr>
          <w:rtl/>
          <w:lang w:bidi="ar-EG"/>
        </w:rPr>
        <w:t>استعمال ترددات الاتصالات الراديوية الدولية للإغاثة في حالات الكوارث</w:t>
      </w:r>
      <w:r w:rsidRPr="00ED11BB">
        <w:rPr>
          <w:rFonts w:hint="cs"/>
          <w:rtl/>
          <w:lang w:bidi="ar-EG"/>
        </w:rPr>
        <w:t> </w:t>
      </w:r>
      <w:r w:rsidRPr="00ED11BB">
        <w:rPr>
          <w:lang w:bidi="ar-EG"/>
        </w:rPr>
        <w:t>(IRDR)</w:t>
      </w:r>
      <w:r w:rsidRPr="00ED11BB">
        <w:rPr>
          <w:rFonts w:hint="cs"/>
          <w:rtl/>
          <w:lang w:bidi="ar-EG"/>
        </w:rPr>
        <w:t xml:space="preserve"> </w:t>
      </w:r>
      <w:r w:rsidRPr="00ED11BB">
        <w:rPr>
          <w:rtl/>
          <w:lang w:bidi="ar-EG"/>
        </w:rPr>
        <w:t xml:space="preserve">لأغراض الإذاعة في نطاقات الترددات العالية </w:t>
      </w:r>
      <w:r w:rsidRPr="00ED11BB">
        <w:rPr>
          <w:lang w:bidi="ar-EG"/>
        </w:rPr>
        <w:t>(HF)</w:t>
      </w:r>
      <w:r w:rsidRPr="00ED11BB">
        <w:rPr>
          <w:rtl/>
          <w:lang w:bidi="ar-EG"/>
        </w:rPr>
        <w:t xml:space="preserve"> في حالات الطوارئ</w:t>
      </w:r>
      <w:r>
        <w:rPr>
          <w:rFonts w:hint="cs"/>
          <w:rtl/>
          <w:lang w:val="fr-FR"/>
        </w:rPr>
        <w:t>"</w:t>
      </w:r>
    </w:p>
    <w:p w14:paraId="73515686" w14:textId="77777777" w:rsidR="00C079DA" w:rsidRDefault="00C079DA" w:rsidP="00C079DA">
      <w:pPr>
        <w:pStyle w:val="enumlev1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Pr="00E354D8">
        <w:rPr>
          <w:rtl/>
        </w:rPr>
        <w:t xml:space="preserve">التوصية </w:t>
      </w:r>
      <w:r w:rsidRPr="00E354D8">
        <w:rPr>
          <w:lang w:bidi="ar-EG"/>
        </w:rPr>
        <w:t>ITU</w:t>
      </w:r>
      <w:r w:rsidRPr="00E354D8">
        <w:rPr>
          <w:lang w:bidi="ar-EG"/>
        </w:rPr>
        <w:noBreakHyphen/>
        <w:t>R F.1105</w:t>
      </w:r>
      <w:r>
        <w:rPr>
          <w:rFonts w:hint="cs"/>
          <w:rtl/>
          <w:lang w:bidi="ar-EG"/>
        </w:rPr>
        <w:t>،</w:t>
      </w:r>
      <w:r w:rsidRPr="00E354D8">
        <w:rPr>
          <w:rtl/>
        </w:rPr>
        <w:t xml:space="preserve"> </w:t>
      </w:r>
      <w:r>
        <w:rPr>
          <w:rFonts w:hint="cs"/>
          <w:rtl/>
        </w:rPr>
        <w:t>"</w:t>
      </w:r>
      <w:r w:rsidRPr="00E354D8">
        <w:rPr>
          <w:rtl/>
        </w:rPr>
        <w:t>الأنظمة اللاسلكية الثابتة لأغراض عمليات التخفيف من آثار الكوارث والإغاثة منها</w:t>
      </w:r>
      <w:r>
        <w:rPr>
          <w:rFonts w:hint="cs"/>
          <w:rtl/>
        </w:rPr>
        <w:t>"</w:t>
      </w:r>
    </w:p>
    <w:p w14:paraId="127150A3" w14:textId="77777777" w:rsidR="00C079DA" w:rsidRDefault="00C079DA" w:rsidP="00C079DA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330603">
        <w:rPr>
          <w:rFonts w:hint="cs"/>
          <w:rtl/>
        </w:rPr>
        <w:t xml:space="preserve">التوصيـة </w:t>
      </w:r>
      <w:r w:rsidRPr="00330603">
        <w:rPr>
          <w:lang w:val="fr-FR"/>
        </w:rPr>
        <w:t>ITU-R M.1042</w:t>
      </w:r>
      <w:r>
        <w:rPr>
          <w:rFonts w:hint="cs"/>
          <w:rtl/>
          <w:lang w:val="fr-FR"/>
        </w:rPr>
        <w:t>، "</w:t>
      </w:r>
      <w:r w:rsidRPr="00330603">
        <w:rPr>
          <w:rFonts w:hint="cs"/>
          <w:rtl/>
          <w:lang w:val="fr-FR"/>
        </w:rPr>
        <w:t>الاتصالات في حالات الكوارث في خدمة الهواة</w:t>
      </w:r>
      <w:r>
        <w:rPr>
          <w:rFonts w:hint="cs"/>
          <w:rtl/>
          <w:lang w:val="fr-FR"/>
        </w:rPr>
        <w:t xml:space="preserve"> </w:t>
      </w:r>
      <w:r w:rsidRPr="00330603">
        <w:rPr>
          <w:rFonts w:hint="cs"/>
          <w:rtl/>
          <w:lang w:val="fr-FR"/>
        </w:rPr>
        <w:t>وخدمة الهواة الساتلية</w:t>
      </w:r>
      <w:r>
        <w:rPr>
          <w:rFonts w:hint="cs"/>
          <w:rtl/>
          <w:lang w:val="fr-FR"/>
        </w:rPr>
        <w:t>"</w:t>
      </w:r>
    </w:p>
    <w:p w14:paraId="202F3DBB" w14:textId="77777777" w:rsidR="00C079DA" w:rsidRDefault="00C079DA" w:rsidP="00C079DA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A161C5">
        <w:rPr>
          <w:rtl/>
        </w:rPr>
        <w:t xml:space="preserve">التوصيـة </w:t>
      </w:r>
      <w:r w:rsidRPr="00A161C5">
        <w:t>ITU-R M.1637</w:t>
      </w:r>
      <w:r>
        <w:rPr>
          <w:rFonts w:hint="cs"/>
          <w:rtl/>
          <w:lang w:val="fr-FR"/>
        </w:rPr>
        <w:t>، "</w:t>
      </w:r>
      <w:r w:rsidRPr="00A161C5">
        <w:rPr>
          <w:rFonts w:hint="cs"/>
          <w:rtl/>
          <w:lang w:val="fr-FR"/>
        </w:rPr>
        <w:t>التنقل العالمي عبر الحدود لتجهيزات الاتصالات الراديوية</w:t>
      </w:r>
      <w:r>
        <w:rPr>
          <w:rFonts w:hint="cs"/>
          <w:rtl/>
          <w:lang w:val="fr-FR"/>
        </w:rPr>
        <w:t xml:space="preserve"> </w:t>
      </w:r>
      <w:r w:rsidRPr="00A161C5">
        <w:rPr>
          <w:rFonts w:hint="cs"/>
          <w:rtl/>
          <w:lang w:val="fr-FR"/>
        </w:rPr>
        <w:t>للاستعمال في حالات الطوارئ والإغاثة من الكوارث</w:t>
      </w:r>
      <w:r>
        <w:rPr>
          <w:rFonts w:hint="cs"/>
          <w:rtl/>
          <w:lang w:val="fr-FR"/>
        </w:rPr>
        <w:t>"</w:t>
      </w:r>
    </w:p>
    <w:p w14:paraId="4F5FF178" w14:textId="141A0CAE" w:rsidR="00C079DA" w:rsidRDefault="00C079DA" w:rsidP="00C079DA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5C662A">
        <w:rPr>
          <w:rtl/>
        </w:rPr>
        <w:t xml:space="preserve">التوصيـة </w:t>
      </w:r>
      <w:r w:rsidRPr="005C662A">
        <w:t>ITU-R M.1826</w:t>
      </w:r>
      <w:r>
        <w:rPr>
          <w:rFonts w:hint="cs"/>
          <w:rtl/>
          <w:lang w:val="fr-FR"/>
        </w:rPr>
        <w:t>، "</w:t>
      </w:r>
      <w:r w:rsidRPr="005C662A">
        <w:rPr>
          <w:rtl/>
          <w:lang w:val="fr-FR"/>
        </w:rPr>
        <w:t xml:space="preserve">خطة متناسقة </w:t>
      </w:r>
      <w:r w:rsidR="00402945">
        <w:rPr>
          <w:rFonts w:hint="cs"/>
          <w:rtl/>
          <w:lang w:val="fr-FR"/>
        </w:rPr>
        <w:t xml:space="preserve">لقنوات التردد </w:t>
      </w:r>
      <w:r w:rsidRPr="005C662A">
        <w:rPr>
          <w:rtl/>
          <w:lang w:val="fr-FR"/>
        </w:rPr>
        <w:t>في النطاق العريض لأغراض حماية</w:t>
      </w:r>
      <w:r w:rsidR="00F56793">
        <w:rPr>
          <w:rFonts w:hint="cs"/>
          <w:rtl/>
          <w:lang w:val="fr-FR"/>
        </w:rPr>
        <w:t xml:space="preserve"> الجمهور</w:t>
      </w:r>
      <w:r w:rsidRPr="005C662A">
        <w:rPr>
          <w:rtl/>
          <w:lang w:val="fr-FR"/>
        </w:rPr>
        <w:t xml:space="preserve"> وعمليات الإغاثة</w:t>
      </w:r>
      <w:r>
        <w:rPr>
          <w:rFonts w:hint="cs"/>
          <w:rtl/>
          <w:lang w:val="fr-FR"/>
        </w:rPr>
        <w:t xml:space="preserve"> </w:t>
      </w:r>
      <w:r w:rsidRPr="005C662A">
        <w:rPr>
          <w:rtl/>
          <w:lang w:val="fr-FR"/>
        </w:rPr>
        <w:t xml:space="preserve">في حالات الكوارث في النطاق </w:t>
      </w:r>
      <w:r w:rsidRPr="005C662A">
        <w:t>MHz 4 990-4 940</w:t>
      </w:r>
      <w:r w:rsidRPr="005C662A">
        <w:rPr>
          <w:rtl/>
          <w:lang w:val="fr-FR"/>
        </w:rPr>
        <w:t xml:space="preserve"> في الإقليمين </w:t>
      </w:r>
      <w:r w:rsidRPr="005C662A">
        <w:t>2</w:t>
      </w:r>
      <w:r w:rsidRPr="005C662A">
        <w:rPr>
          <w:rtl/>
          <w:lang w:val="fr-FR"/>
        </w:rPr>
        <w:t xml:space="preserve"> و</w:t>
      </w:r>
      <w:r w:rsidRPr="005C662A">
        <w:t>3</w:t>
      </w:r>
      <w:r>
        <w:rPr>
          <w:rFonts w:hint="cs"/>
          <w:rtl/>
          <w:lang w:val="fr-FR"/>
        </w:rPr>
        <w:t>"</w:t>
      </w:r>
    </w:p>
    <w:p w14:paraId="2EBF6DD3" w14:textId="77777777" w:rsidR="00C079DA" w:rsidRPr="000942B1" w:rsidRDefault="00C079DA" w:rsidP="00C079DA">
      <w:pPr>
        <w:pStyle w:val="enumlev1"/>
        <w:rPr>
          <w:spacing w:val="-2"/>
          <w:rtl/>
        </w:rPr>
      </w:pPr>
      <w:r w:rsidRPr="000942B1">
        <w:rPr>
          <w:rFonts w:hint="cs"/>
          <w:spacing w:val="-2"/>
          <w:rtl/>
        </w:rPr>
        <w:t>-</w:t>
      </w:r>
      <w:r w:rsidRPr="000942B1">
        <w:rPr>
          <w:spacing w:val="-2"/>
          <w:rtl/>
        </w:rPr>
        <w:tab/>
      </w:r>
      <w:bookmarkStart w:id="8" w:name="_Toc227480971"/>
      <w:r w:rsidRPr="000942B1">
        <w:rPr>
          <w:spacing w:val="-2"/>
          <w:rtl/>
        </w:rPr>
        <w:t>التوصيـة</w:t>
      </w:r>
      <w:r w:rsidRPr="000942B1">
        <w:rPr>
          <w:rFonts w:hint="cs"/>
          <w:spacing w:val="-2"/>
          <w:rtl/>
        </w:rPr>
        <w:t xml:space="preserve"> </w:t>
      </w:r>
      <w:r w:rsidRPr="000942B1">
        <w:rPr>
          <w:spacing w:val="-2"/>
        </w:rPr>
        <w:t>ITU-R M.</w:t>
      </w:r>
      <w:bookmarkEnd w:id="8"/>
      <w:r w:rsidRPr="000942B1">
        <w:rPr>
          <w:spacing w:val="-2"/>
        </w:rPr>
        <w:t>1854</w:t>
      </w:r>
      <w:r w:rsidRPr="000942B1">
        <w:rPr>
          <w:rFonts w:hint="cs"/>
          <w:spacing w:val="-2"/>
          <w:rtl/>
          <w:lang w:val="fr-FR"/>
        </w:rPr>
        <w:t xml:space="preserve">، "استعمال الخدمة المتنقلة الساتلية </w:t>
      </w:r>
      <w:r w:rsidRPr="000942B1">
        <w:rPr>
          <w:spacing w:val="-2"/>
        </w:rPr>
        <w:t>(MSS)</w:t>
      </w:r>
      <w:r w:rsidRPr="000942B1">
        <w:rPr>
          <w:rFonts w:hint="cs"/>
          <w:spacing w:val="-2"/>
          <w:rtl/>
          <w:lang w:val="fr-FR"/>
        </w:rPr>
        <w:t xml:space="preserve"> في الاستجابة للكوارث والإغاثة عند وقوعها"</w:t>
      </w:r>
    </w:p>
    <w:p w14:paraId="00E4FA58" w14:textId="77777777" w:rsidR="00C079DA" w:rsidRDefault="00C079DA" w:rsidP="00C079DA">
      <w:pPr>
        <w:pStyle w:val="enumlev1"/>
        <w:rPr>
          <w:rtl/>
        </w:rPr>
      </w:pPr>
      <w:r>
        <w:rPr>
          <w:rFonts w:hint="cs"/>
          <w:rtl/>
        </w:rPr>
        <w:lastRenderedPageBreak/>
        <w:t>-</w:t>
      </w:r>
      <w:r>
        <w:rPr>
          <w:rtl/>
        </w:rPr>
        <w:tab/>
      </w:r>
      <w:r w:rsidRPr="00E470A1">
        <w:rPr>
          <w:rtl/>
        </w:rPr>
        <w:t>التوصيـة</w:t>
      </w:r>
      <w:r w:rsidRPr="00E470A1">
        <w:rPr>
          <w:rFonts w:hint="cs"/>
          <w:rtl/>
        </w:rPr>
        <w:t xml:space="preserve"> </w:t>
      </w:r>
      <w:r w:rsidRPr="00E470A1">
        <w:t>ITU-R M.2009</w:t>
      </w:r>
      <w:r>
        <w:rPr>
          <w:rFonts w:hint="cs"/>
          <w:rtl/>
          <w:lang w:val="fr-FR"/>
        </w:rPr>
        <w:t>، "</w:t>
      </w:r>
      <w:r w:rsidRPr="00E470A1">
        <w:rPr>
          <w:rtl/>
          <w:lang w:val="fr-FR"/>
        </w:rPr>
        <w:t>معايير السطوح البينية</w:t>
      </w:r>
      <w:r w:rsidRPr="00E470A1">
        <w:rPr>
          <w:rFonts w:hint="cs"/>
          <w:rtl/>
          <w:lang w:val="fr-FR"/>
        </w:rPr>
        <w:t xml:space="preserve"> الراديوية</w:t>
      </w:r>
      <w:r w:rsidRPr="00E470A1">
        <w:rPr>
          <w:rtl/>
          <w:lang w:val="fr-FR"/>
        </w:rPr>
        <w:t xml:space="preserve"> للاستعمال في عمليات حماية الجمهور والإغاثة</w:t>
      </w:r>
      <w:r w:rsidRPr="00E470A1">
        <w:rPr>
          <w:rFonts w:hint="cs"/>
          <w:rtl/>
          <w:lang w:val="fr-FR"/>
        </w:rPr>
        <w:t> </w:t>
      </w:r>
      <w:r w:rsidRPr="00E470A1">
        <w:rPr>
          <w:rtl/>
          <w:lang w:val="fr-FR"/>
        </w:rPr>
        <w:t>في</w:t>
      </w:r>
      <w:r w:rsidRPr="00E470A1">
        <w:rPr>
          <w:rFonts w:hint="eastAsia"/>
          <w:rtl/>
          <w:lang w:val="fr-FR"/>
        </w:rPr>
        <w:t> </w:t>
      </w:r>
      <w:r w:rsidRPr="00E470A1">
        <w:rPr>
          <w:rtl/>
          <w:lang w:val="fr-FR"/>
        </w:rPr>
        <w:t xml:space="preserve">حالات الكوارث طبقاً للقرار </w:t>
      </w:r>
      <w:r w:rsidRPr="0087202F">
        <w:rPr>
          <w:b/>
          <w:bCs/>
        </w:rPr>
        <w:t>646 (Rev.WRC-15)</w:t>
      </w:r>
      <w:r>
        <w:rPr>
          <w:rFonts w:hint="cs"/>
          <w:rtl/>
          <w:lang w:val="fr-FR"/>
        </w:rPr>
        <w:t>"</w:t>
      </w:r>
    </w:p>
    <w:p w14:paraId="6B64A868" w14:textId="48CC1598" w:rsidR="00C079DA" w:rsidRDefault="00C079DA" w:rsidP="00C079DA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C43643">
        <w:rPr>
          <w:rtl/>
        </w:rPr>
        <w:t xml:space="preserve">التوصيـة </w:t>
      </w:r>
      <w:r w:rsidRPr="00C43643">
        <w:t>ITU-R M.2015</w:t>
      </w:r>
      <w:r>
        <w:rPr>
          <w:rFonts w:hint="cs"/>
          <w:rtl/>
          <w:lang w:val="fr-FR"/>
        </w:rPr>
        <w:t>، "</w:t>
      </w:r>
      <w:r w:rsidRPr="00C43643">
        <w:rPr>
          <w:rtl/>
          <w:lang w:val="fr-FR"/>
        </w:rPr>
        <w:t>ترتيبات الترددات الخاصة بأنظمة الاتصالات الراديوية لحماية الجمهور وعمليات</w:t>
      </w:r>
      <w:r w:rsidR="00BC2768">
        <w:rPr>
          <w:rFonts w:hint="cs"/>
          <w:rtl/>
          <w:lang w:val="fr-FR"/>
        </w:rPr>
        <w:t xml:space="preserve"> </w:t>
      </w:r>
      <w:r w:rsidRPr="00C43643">
        <w:rPr>
          <w:rtl/>
          <w:lang w:val="fr-FR"/>
        </w:rPr>
        <w:t>الإغاثة في حالات الكوارث طبقاً للقرار ‏</w:t>
      </w:r>
      <w:r w:rsidRPr="00C43643">
        <w:rPr>
          <w:cs/>
          <w:lang w:val="fr-FR"/>
        </w:rPr>
        <w:t>‎</w:t>
      </w:r>
      <w:r w:rsidRPr="0087202F">
        <w:rPr>
          <w:b/>
          <w:bCs/>
        </w:rPr>
        <w:t>646 (Rev.WRC</w:t>
      </w:r>
      <w:r w:rsidRPr="0087202F">
        <w:rPr>
          <w:b/>
          <w:bCs/>
        </w:rPr>
        <w:noBreakHyphen/>
        <w:t>15)</w:t>
      </w:r>
      <w:r w:rsidRPr="00C43643">
        <w:rPr>
          <w:cs/>
          <w:lang w:val="fr-FR"/>
        </w:rPr>
        <w:t>‎</w:t>
      </w:r>
      <w:r>
        <w:rPr>
          <w:rFonts w:hint="cs"/>
          <w:rtl/>
          <w:lang w:val="fr-FR"/>
        </w:rPr>
        <w:t>"</w:t>
      </w:r>
    </w:p>
    <w:p w14:paraId="0F9D7E98" w14:textId="77777777" w:rsidR="00C079DA" w:rsidRDefault="00C079DA" w:rsidP="00C079DA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330603">
        <w:rPr>
          <w:rFonts w:hint="cs"/>
          <w:rtl/>
        </w:rPr>
        <w:t xml:space="preserve">التوصيـة </w:t>
      </w:r>
      <w:r w:rsidRPr="00330603">
        <w:rPr>
          <w:lang w:val="fr-FR"/>
        </w:rPr>
        <w:t xml:space="preserve">ITU-R </w:t>
      </w:r>
      <w:r>
        <w:rPr>
          <w:lang w:val="fr-FR"/>
        </w:rPr>
        <w:t>RS</w:t>
      </w:r>
      <w:r w:rsidRPr="00330603">
        <w:rPr>
          <w:lang w:val="fr-FR"/>
        </w:rPr>
        <w:t>.</w:t>
      </w:r>
      <w:r>
        <w:rPr>
          <w:lang w:val="fr-FR"/>
        </w:rPr>
        <w:t>1859</w:t>
      </w:r>
      <w:r>
        <w:rPr>
          <w:rFonts w:hint="cs"/>
          <w:rtl/>
          <w:lang w:val="fr-FR"/>
        </w:rPr>
        <w:t>، "</w:t>
      </w:r>
      <w:r>
        <w:rPr>
          <w:rFonts w:hint="cs"/>
          <w:rtl/>
          <w:lang w:val="fr-FR" w:bidi="ar-EG"/>
        </w:rPr>
        <w:t>استعمال أنظمة الاستشعار عن بُعد من أجل جمع البيانات لاستعمالها في حالات الكوارث الطبيعية وحالات الطوارئ المماثلة</w:t>
      </w:r>
      <w:r>
        <w:rPr>
          <w:rFonts w:hint="cs"/>
          <w:rtl/>
          <w:lang w:val="fr-FR"/>
        </w:rPr>
        <w:t>"</w:t>
      </w:r>
    </w:p>
    <w:p w14:paraId="280E3FF2" w14:textId="6938D1EF" w:rsidR="0053483D" w:rsidRDefault="00C079DA" w:rsidP="00C079DA">
      <w:pPr>
        <w:pStyle w:val="enumlev1"/>
        <w:rPr>
          <w:rtl/>
          <w:lang w:val="fr-FR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330603">
        <w:rPr>
          <w:rFonts w:hint="cs"/>
          <w:rtl/>
        </w:rPr>
        <w:t xml:space="preserve">التوصيـة </w:t>
      </w:r>
      <w:r w:rsidRPr="00330603">
        <w:rPr>
          <w:lang w:val="fr-FR"/>
        </w:rPr>
        <w:t xml:space="preserve">ITU-R </w:t>
      </w:r>
      <w:r>
        <w:rPr>
          <w:lang w:val="fr-FR"/>
        </w:rPr>
        <w:t>S</w:t>
      </w:r>
      <w:r w:rsidRPr="00330603">
        <w:rPr>
          <w:lang w:val="fr-FR"/>
        </w:rPr>
        <w:t>.</w:t>
      </w:r>
      <w:r>
        <w:rPr>
          <w:lang w:val="fr-FR"/>
        </w:rPr>
        <w:t>1001</w:t>
      </w:r>
      <w:r>
        <w:rPr>
          <w:rFonts w:hint="cs"/>
          <w:rtl/>
          <w:lang w:val="fr-FR"/>
        </w:rPr>
        <w:t>، "استعمال أنظمة الخدمة الثابتة الساتلية في حالات الكوارث الطبيعية وحالات الطوارئ المماثلة من أجل عمليات الإنذار والإغاثة"</w:t>
      </w:r>
    </w:p>
    <w:p w14:paraId="307DE7F8" w14:textId="05945FCD" w:rsidR="0053483D" w:rsidRDefault="0053483D" w:rsidP="0053483D">
      <w:pPr>
        <w:rPr>
          <w:rtl/>
        </w:rPr>
      </w:pPr>
      <w:r>
        <w:rPr>
          <w:rtl/>
        </w:rPr>
        <w:br w:type="page"/>
      </w:r>
    </w:p>
    <w:p w14:paraId="45B7FFA1" w14:textId="77777777" w:rsidR="00C079DA" w:rsidRDefault="00C079DA" w:rsidP="00CB13AD">
      <w:pPr>
        <w:pStyle w:val="Headingb"/>
        <w:rPr>
          <w:rtl/>
        </w:rPr>
      </w:pPr>
      <w:r>
        <w:rPr>
          <w:rFonts w:hint="cs"/>
          <w:rtl/>
        </w:rPr>
        <w:t>قائمة التقارير ذات الصلة لقطاع الاتصالات الراديوية</w:t>
      </w:r>
    </w:p>
    <w:p w14:paraId="3ED69FBA" w14:textId="7FBBCCDF" w:rsidR="00C079DA" w:rsidRPr="00565CCE" w:rsidRDefault="00C079DA" w:rsidP="00BC2768">
      <w:pPr>
        <w:pStyle w:val="enumlev1"/>
        <w:rPr>
          <w:rFonts w:hint="cs"/>
          <w:rtl/>
          <w:lang w:bidi="ar-SY"/>
        </w:rPr>
      </w:pPr>
      <w:r>
        <w:rPr>
          <w:rFonts w:hint="cs"/>
          <w:i/>
          <w:iCs/>
          <w:rtl/>
          <w:lang w:bidi="ar-EG"/>
        </w:rPr>
        <w:t>-</w:t>
      </w:r>
      <w:r w:rsidRPr="00032E44">
        <w:rPr>
          <w:i/>
          <w:iCs/>
          <w:rtl/>
          <w:lang w:bidi="ar-EG"/>
        </w:rPr>
        <w:tab/>
      </w:r>
      <w:r w:rsidRPr="00032E44">
        <w:rPr>
          <w:rFonts w:eastAsia="SimSun"/>
          <w:rtl/>
          <w:lang w:eastAsia="zh-CN" w:bidi="ar-EG"/>
        </w:rPr>
        <w:t xml:space="preserve">التقرير </w:t>
      </w:r>
      <w:r w:rsidRPr="00032E44" w:rsidDel="0011681D">
        <w:rPr>
          <w:rFonts w:eastAsia="SimSun"/>
          <w:lang w:val="en-CA" w:eastAsia="zh-CN" w:bidi="ar-EG"/>
        </w:rPr>
        <w:t>ITU-R BT.2299</w:t>
      </w:r>
      <w:r w:rsidRPr="00032E44">
        <w:rPr>
          <w:rFonts w:eastAsia="SimSun" w:hint="cs"/>
          <w:rtl/>
          <w:lang w:val="en-CA" w:eastAsia="zh-CN" w:bidi="ar-EG"/>
        </w:rPr>
        <w:t xml:space="preserve">، </w:t>
      </w:r>
      <w:r>
        <w:rPr>
          <w:rFonts w:eastAsia="SimSun" w:hint="cs"/>
          <w:rtl/>
        </w:rPr>
        <w:t>"</w:t>
      </w:r>
      <w:r w:rsidRPr="00032E44">
        <w:rPr>
          <w:rFonts w:eastAsia="SimSun"/>
          <w:rtl/>
        </w:rPr>
        <w:t xml:space="preserve">الإذاعة من أجل إنذار الجمهور وتخفيف </w:t>
      </w:r>
      <w:r w:rsidRPr="00032E44">
        <w:rPr>
          <w:rFonts w:eastAsia="SimSun" w:hint="cs"/>
          <w:rtl/>
        </w:rPr>
        <w:t>آثار</w:t>
      </w:r>
      <w:r w:rsidRPr="00032E44">
        <w:rPr>
          <w:rFonts w:eastAsia="SimSun"/>
          <w:rtl/>
        </w:rPr>
        <w:t xml:space="preserve"> الكوارث والإغاثة</w:t>
      </w:r>
      <w:r>
        <w:rPr>
          <w:rFonts w:eastAsia="SimSun" w:hint="cs"/>
          <w:rtl/>
        </w:rPr>
        <w:t xml:space="preserve"> عند وقوعها"</w:t>
      </w:r>
    </w:p>
    <w:p w14:paraId="4ABA6D0C" w14:textId="77777777" w:rsidR="00C079DA" w:rsidRPr="0087202F" w:rsidRDefault="00C079DA" w:rsidP="00C079DA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التقرير</w:t>
      </w:r>
      <w:r w:rsidRPr="00330603">
        <w:rPr>
          <w:rFonts w:hint="cs"/>
          <w:rtl/>
        </w:rPr>
        <w:t xml:space="preserve"> </w:t>
      </w:r>
      <w:r w:rsidRPr="00330603">
        <w:rPr>
          <w:lang w:val="fr-FR"/>
        </w:rPr>
        <w:t xml:space="preserve">ITU-R </w:t>
      </w:r>
      <w:r>
        <w:rPr>
          <w:lang w:val="fr-FR"/>
        </w:rPr>
        <w:t>F</w:t>
      </w:r>
      <w:r w:rsidRPr="00330603">
        <w:rPr>
          <w:lang w:val="fr-FR"/>
        </w:rPr>
        <w:t>.</w:t>
      </w:r>
      <w:r>
        <w:rPr>
          <w:lang w:val="fr-FR"/>
        </w:rPr>
        <w:t>2061</w:t>
      </w:r>
      <w:r>
        <w:rPr>
          <w:rFonts w:hint="cs"/>
          <w:rtl/>
          <w:lang w:val="fr-FR"/>
        </w:rPr>
        <w:t xml:space="preserve">، "أنظمة الاتصالات الراديوية الثابتة العاملة على الموجات الديكامترية </w:t>
      </w:r>
      <w:r>
        <w:t>(HF)</w:t>
      </w:r>
      <w:r>
        <w:rPr>
          <w:rFonts w:hint="cs"/>
          <w:rtl/>
          <w:lang w:bidi="ar-EG"/>
        </w:rPr>
        <w:t>"</w:t>
      </w:r>
    </w:p>
    <w:p w14:paraId="6CF65453" w14:textId="77777777" w:rsidR="00C079DA" w:rsidRPr="006F335D" w:rsidRDefault="00C079DA" w:rsidP="00C079DA">
      <w:pPr>
        <w:pStyle w:val="enumlev1"/>
        <w:rPr>
          <w:spacing w:val="-5"/>
          <w:rtl/>
        </w:rPr>
      </w:pPr>
      <w:r w:rsidRPr="006F335D">
        <w:rPr>
          <w:rFonts w:hint="cs"/>
          <w:spacing w:val="-5"/>
          <w:rtl/>
        </w:rPr>
        <w:t>-</w:t>
      </w:r>
      <w:r w:rsidRPr="006F335D">
        <w:rPr>
          <w:spacing w:val="-5"/>
          <w:rtl/>
        </w:rPr>
        <w:tab/>
      </w:r>
      <w:r w:rsidRPr="006F335D">
        <w:rPr>
          <w:rFonts w:hint="cs"/>
          <w:spacing w:val="-5"/>
          <w:rtl/>
        </w:rPr>
        <w:t xml:space="preserve">التقرير </w:t>
      </w:r>
      <w:r w:rsidRPr="006F335D">
        <w:rPr>
          <w:spacing w:val="-5"/>
          <w:lang w:val="fr-FR"/>
        </w:rPr>
        <w:t>ITU-R F.2087</w:t>
      </w:r>
      <w:r w:rsidRPr="006F335D">
        <w:rPr>
          <w:rFonts w:hint="cs"/>
          <w:spacing w:val="-5"/>
          <w:rtl/>
          <w:lang w:val="fr-FR"/>
        </w:rPr>
        <w:t xml:space="preserve">، "متطلبات أنظمة الاتصالات الراديوية العاملة على الموجات الديكامترية </w:t>
      </w:r>
      <w:r w:rsidRPr="006F335D">
        <w:rPr>
          <w:spacing w:val="-5"/>
        </w:rPr>
        <w:t>(HF)</w:t>
      </w:r>
      <w:r w:rsidRPr="006F335D">
        <w:rPr>
          <w:rFonts w:hint="cs"/>
          <w:spacing w:val="-5"/>
          <w:rtl/>
          <w:lang w:val="fr-FR"/>
        </w:rPr>
        <w:t xml:space="preserve"> في الخدمة الثابتة"</w:t>
      </w:r>
    </w:p>
    <w:p w14:paraId="410DF4BB" w14:textId="77777777" w:rsidR="00C079DA" w:rsidRDefault="00C079DA" w:rsidP="00C079DA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التقرير</w:t>
      </w:r>
      <w:r w:rsidRPr="00330603">
        <w:rPr>
          <w:rFonts w:hint="cs"/>
          <w:rtl/>
        </w:rPr>
        <w:t xml:space="preserve"> </w:t>
      </w:r>
      <w:r w:rsidRPr="00330603">
        <w:rPr>
          <w:lang w:val="fr-FR"/>
        </w:rPr>
        <w:t xml:space="preserve">ITU-R </w:t>
      </w:r>
      <w:r>
        <w:rPr>
          <w:lang w:val="fr-FR"/>
        </w:rPr>
        <w:t>M</w:t>
      </w:r>
      <w:r w:rsidRPr="00330603">
        <w:rPr>
          <w:lang w:val="fr-FR"/>
        </w:rPr>
        <w:t>.</w:t>
      </w:r>
      <w:r>
        <w:rPr>
          <w:lang w:val="fr-FR"/>
        </w:rPr>
        <w:t>2085</w:t>
      </w:r>
      <w:r>
        <w:rPr>
          <w:rFonts w:hint="cs"/>
          <w:rtl/>
          <w:lang w:val="fr-FR"/>
        </w:rPr>
        <w:t>، "</w:t>
      </w:r>
      <w:r w:rsidRPr="0013356F">
        <w:rPr>
          <w:rtl/>
          <w:lang w:val="fr-FR"/>
        </w:rPr>
        <w:t>دور خدمة الهواة وخدمات الهواة الساتلية في دعم عمليات التخفيف من</w:t>
      </w:r>
      <w:r>
        <w:rPr>
          <w:rFonts w:hint="cs"/>
          <w:rtl/>
          <w:lang w:val="fr-FR"/>
        </w:rPr>
        <w:t xml:space="preserve"> آثار</w:t>
      </w:r>
      <w:r w:rsidRPr="0013356F">
        <w:rPr>
          <w:rtl/>
          <w:lang w:val="fr-FR"/>
        </w:rPr>
        <w:t xml:space="preserve"> الكوارث وعمليات الإغاثة</w:t>
      </w:r>
      <w:r>
        <w:rPr>
          <w:rFonts w:hint="cs"/>
          <w:rtl/>
          <w:lang w:val="fr-FR"/>
        </w:rPr>
        <w:t>"</w:t>
      </w:r>
    </w:p>
    <w:p w14:paraId="4F727815" w14:textId="42DEC89B" w:rsidR="00C079DA" w:rsidRDefault="00C079DA" w:rsidP="00C079DA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التقرير</w:t>
      </w:r>
      <w:r w:rsidRPr="00330603">
        <w:rPr>
          <w:rFonts w:hint="cs"/>
          <w:rtl/>
        </w:rPr>
        <w:t xml:space="preserve"> </w:t>
      </w:r>
      <w:r w:rsidRPr="00330603">
        <w:rPr>
          <w:lang w:val="fr-FR"/>
        </w:rPr>
        <w:t xml:space="preserve">ITU-R </w:t>
      </w:r>
      <w:r>
        <w:rPr>
          <w:lang w:val="fr-FR"/>
        </w:rPr>
        <w:t>M</w:t>
      </w:r>
      <w:r w:rsidRPr="00330603">
        <w:rPr>
          <w:lang w:val="fr-FR"/>
        </w:rPr>
        <w:t>.</w:t>
      </w:r>
      <w:r>
        <w:rPr>
          <w:lang w:val="fr-FR"/>
        </w:rPr>
        <w:t>2149</w:t>
      </w:r>
      <w:r>
        <w:rPr>
          <w:rFonts w:hint="cs"/>
          <w:rtl/>
          <w:lang w:val="fr-FR"/>
        </w:rPr>
        <w:t>، "</w:t>
      </w:r>
      <w:r w:rsidRPr="00091AF9">
        <w:rPr>
          <w:rtl/>
          <w:lang w:val="fr-FR"/>
        </w:rPr>
        <w:t xml:space="preserve">استعمال أنظمة الخدمة المتنقلة الساتلية، وأمثلة </w:t>
      </w:r>
      <w:r w:rsidR="009B58F7">
        <w:rPr>
          <w:rFonts w:hint="cs"/>
          <w:rtl/>
          <w:lang w:val="fr-FR"/>
        </w:rPr>
        <w:t>عليها</w:t>
      </w:r>
      <w:r w:rsidRPr="00091AF9">
        <w:rPr>
          <w:rtl/>
          <w:lang w:val="fr-FR"/>
        </w:rPr>
        <w:t>، في عمليات الإغاثة في حال وقوع الكوارث الطبيعية</w:t>
      </w:r>
      <w:r>
        <w:rPr>
          <w:rFonts w:hint="cs"/>
          <w:rtl/>
          <w:lang w:val="fr-FR"/>
        </w:rPr>
        <w:t>"</w:t>
      </w:r>
    </w:p>
    <w:p w14:paraId="7575A8C6" w14:textId="77777777" w:rsidR="00C079DA" w:rsidRDefault="00C079DA" w:rsidP="00C079DA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التقرير</w:t>
      </w:r>
      <w:r w:rsidRPr="00330603">
        <w:rPr>
          <w:rFonts w:hint="cs"/>
          <w:rtl/>
        </w:rPr>
        <w:t xml:space="preserve"> </w:t>
      </w:r>
      <w:r w:rsidRPr="00330603">
        <w:rPr>
          <w:lang w:val="fr-FR"/>
        </w:rPr>
        <w:t xml:space="preserve">ITU-R </w:t>
      </w:r>
      <w:r>
        <w:rPr>
          <w:lang w:val="fr-FR"/>
        </w:rPr>
        <w:t>M</w:t>
      </w:r>
      <w:r w:rsidRPr="00330603">
        <w:rPr>
          <w:lang w:val="fr-FR"/>
        </w:rPr>
        <w:t>.</w:t>
      </w:r>
      <w:r>
        <w:rPr>
          <w:lang w:val="fr-FR"/>
        </w:rPr>
        <w:t>2291</w:t>
      </w:r>
      <w:r>
        <w:rPr>
          <w:rFonts w:hint="cs"/>
          <w:rtl/>
          <w:lang w:val="fr-FR"/>
        </w:rPr>
        <w:t>، "</w:t>
      </w:r>
      <w:r w:rsidRPr="00515C0F">
        <w:rPr>
          <w:rFonts w:hint="cs"/>
          <w:rtl/>
          <w:lang w:val="fr-FR" w:bidi="ar-SY"/>
        </w:rPr>
        <w:t xml:space="preserve">استعمال الاتصالات المتنقلة الدولية </w:t>
      </w:r>
      <w:r w:rsidRPr="00515C0F">
        <w:t>(IMT)</w:t>
      </w:r>
      <w:r w:rsidRPr="00515C0F">
        <w:rPr>
          <w:rFonts w:hint="cs"/>
          <w:rtl/>
          <w:lang w:val="fr-FR" w:bidi="ar-SY"/>
        </w:rPr>
        <w:t xml:space="preserve"> في</w:t>
      </w:r>
      <w:r w:rsidRPr="00515C0F">
        <w:rPr>
          <w:rFonts w:hint="eastAsia"/>
          <w:rtl/>
          <w:lang w:val="fr-FR" w:bidi="ar-SY"/>
        </w:rPr>
        <w:t> </w:t>
      </w:r>
      <w:r w:rsidRPr="00515C0F">
        <w:rPr>
          <w:rFonts w:hint="cs"/>
          <w:rtl/>
          <w:lang w:val="fr-FR" w:bidi="ar-SY"/>
        </w:rPr>
        <w:t xml:space="preserve">تطبيقات النطاق العريض الخاصة بحماية الجمهور والإغاثة في حالات الكوارث </w:t>
      </w:r>
      <w:r w:rsidRPr="00515C0F">
        <w:t>(PPDR)</w:t>
      </w:r>
      <w:r>
        <w:rPr>
          <w:rFonts w:hint="cs"/>
          <w:rtl/>
          <w:lang w:val="fr-FR"/>
        </w:rPr>
        <w:t>"</w:t>
      </w:r>
    </w:p>
    <w:p w14:paraId="3DD8AA64" w14:textId="77777777" w:rsidR="00C079DA" w:rsidRDefault="00C079DA" w:rsidP="00C079DA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التقرير</w:t>
      </w:r>
      <w:r w:rsidRPr="00330603">
        <w:rPr>
          <w:rFonts w:hint="cs"/>
          <w:rtl/>
        </w:rPr>
        <w:t xml:space="preserve"> </w:t>
      </w:r>
      <w:r w:rsidRPr="00330603">
        <w:rPr>
          <w:lang w:val="fr-FR"/>
        </w:rPr>
        <w:t xml:space="preserve">ITU-R </w:t>
      </w:r>
      <w:r>
        <w:rPr>
          <w:lang w:val="fr-FR"/>
        </w:rPr>
        <w:t>M</w:t>
      </w:r>
      <w:r w:rsidRPr="00330603">
        <w:rPr>
          <w:lang w:val="fr-FR"/>
        </w:rPr>
        <w:t>.</w:t>
      </w:r>
      <w:r>
        <w:rPr>
          <w:lang w:val="fr-FR"/>
        </w:rPr>
        <w:t>2377</w:t>
      </w:r>
      <w:r>
        <w:rPr>
          <w:rFonts w:hint="cs"/>
          <w:rtl/>
          <w:lang w:val="fr-FR"/>
        </w:rPr>
        <w:t>، "</w:t>
      </w:r>
      <w:r w:rsidRPr="00423814">
        <w:rPr>
          <w:rFonts w:hint="cs"/>
          <w:rtl/>
          <w:lang w:val="fr-FR" w:bidi="ar-EG"/>
        </w:rPr>
        <w:t>أهداف ومتطلبات الاتصالات الراديوية من أجل حماية الجمهور والإغاثة في حالات الكوارث</w:t>
      </w:r>
      <w:r>
        <w:rPr>
          <w:rFonts w:hint="cs"/>
          <w:rtl/>
          <w:lang w:val="fr-FR" w:bidi="ar-EG"/>
        </w:rPr>
        <w:t xml:space="preserve"> </w:t>
      </w:r>
      <w:r w:rsidRPr="00515C0F">
        <w:t>(PPDR)</w:t>
      </w:r>
      <w:r>
        <w:rPr>
          <w:rFonts w:hint="cs"/>
          <w:rtl/>
          <w:lang w:val="fr-FR"/>
        </w:rPr>
        <w:t>"</w:t>
      </w:r>
    </w:p>
    <w:p w14:paraId="3C0D9EE9" w14:textId="77777777" w:rsidR="00C079DA" w:rsidRDefault="00C079DA" w:rsidP="00C079DA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التقرير</w:t>
      </w:r>
      <w:r w:rsidRPr="00330603">
        <w:rPr>
          <w:rFonts w:hint="cs"/>
          <w:rtl/>
        </w:rPr>
        <w:t xml:space="preserve"> </w:t>
      </w:r>
      <w:r w:rsidRPr="00330603">
        <w:rPr>
          <w:lang w:val="fr-FR"/>
        </w:rPr>
        <w:t xml:space="preserve">ITU-R </w:t>
      </w:r>
      <w:r>
        <w:rPr>
          <w:lang w:val="fr-FR"/>
        </w:rPr>
        <w:t>M</w:t>
      </w:r>
      <w:r w:rsidRPr="00330603">
        <w:rPr>
          <w:lang w:val="fr-FR"/>
        </w:rPr>
        <w:t>.</w:t>
      </w:r>
      <w:r>
        <w:rPr>
          <w:lang w:val="fr-FR"/>
        </w:rPr>
        <w:t>2415</w:t>
      </w:r>
      <w:r>
        <w:rPr>
          <w:rFonts w:hint="cs"/>
          <w:rtl/>
          <w:lang w:val="fr-FR"/>
        </w:rPr>
        <w:t>، "</w:t>
      </w:r>
      <w:r w:rsidRPr="00787251">
        <w:rPr>
          <w:rFonts w:hint="cs"/>
          <w:rtl/>
          <w:lang w:val="fr-FR" w:bidi="ar-EG"/>
        </w:rPr>
        <w:t xml:space="preserve">الاحتياجات اللازمة من الطيف لحماية الجمهور </w:t>
      </w:r>
      <w:r w:rsidRPr="00787251">
        <w:rPr>
          <w:rtl/>
          <w:lang w:val="fr-FR" w:bidi="ar-EG"/>
        </w:rPr>
        <w:t>والإغاثة في حالات الكوارث</w:t>
      </w:r>
      <w:r w:rsidRPr="00787251">
        <w:rPr>
          <w:rFonts w:hint="cs"/>
          <w:rtl/>
          <w:lang w:val="fr-FR" w:bidi="ar-EG"/>
        </w:rPr>
        <w:t xml:space="preserve"> </w:t>
      </w:r>
      <w:r w:rsidRPr="00787251">
        <w:rPr>
          <w:rFonts w:hint="cs"/>
          <w:lang w:val="en-GB"/>
        </w:rPr>
        <w:t>(</w:t>
      </w:r>
      <w:r w:rsidRPr="00787251">
        <w:rPr>
          <w:lang w:val="en-GB"/>
        </w:rPr>
        <w:t>PPDR</w:t>
      </w:r>
      <w:r w:rsidRPr="00787251">
        <w:rPr>
          <w:rFonts w:hint="cs"/>
          <w:lang w:val="en-GB"/>
        </w:rPr>
        <w:t>)</w:t>
      </w:r>
      <w:r>
        <w:rPr>
          <w:rFonts w:hint="cs"/>
          <w:rtl/>
          <w:lang w:val="fr-FR"/>
        </w:rPr>
        <w:t>"</w:t>
      </w:r>
    </w:p>
    <w:p w14:paraId="71962FA7" w14:textId="77777777" w:rsidR="00C079DA" w:rsidRDefault="00C079DA" w:rsidP="00C079DA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التقرير</w:t>
      </w:r>
      <w:r w:rsidRPr="00330603">
        <w:rPr>
          <w:rFonts w:hint="cs"/>
          <w:rtl/>
        </w:rPr>
        <w:t xml:space="preserve"> </w:t>
      </w:r>
      <w:r w:rsidRPr="00330603">
        <w:rPr>
          <w:lang w:val="fr-FR"/>
        </w:rPr>
        <w:t xml:space="preserve">ITU-R </w:t>
      </w:r>
      <w:r>
        <w:rPr>
          <w:lang w:val="fr-FR"/>
        </w:rPr>
        <w:t>M</w:t>
      </w:r>
      <w:r w:rsidRPr="00330603">
        <w:rPr>
          <w:lang w:val="fr-FR"/>
        </w:rPr>
        <w:t>.</w:t>
      </w:r>
      <w:r>
        <w:rPr>
          <w:lang w:val="fr-FR"/>
        </w:rPr>
        <w:t>2441</w:t>
      </w:r>
      <w:r>
        <w:rPr>
          <w:rFonts w:hint="cs"/>
          <w:rtl/>
          <w:lang w:val="fr-FR"/>
        </w:rPr>
        <w:t xml:space="preserve">، "الاستعمال الناشئ للمكون الأرضي للاتصالات المتنقلة الدولية </w:t>
      </w:r>
      <w:r>
        <w:t>(IMT)</w:t>
      </w:r>
      <w:r>
        <w:rPr>
          <w:rFonts w:hint="cs"/>
          <w:rtl/>
          <w:lang w:bidi="ar-EG"/>
        </w:rPr>
        <w:t>"</w:t>
      </w:r>
    </w:p>
    <w:p w14:paraId="29AEFFCC" w14:textId="5A0356F9" w:rsidR="00C079DA" w:rsidRPr="00C079DA" w:rsidRDefault="00C079DA" w:rsidP="00C079DA">
      <w:pPr>
        <w:pStyle w:val="enumlev1"/>
        <w:rPr>
          <w:color w:val="000000"/>
          <w:rtl/>
        </w:rPr>
      </w:pPr>
      <w:r w:rsidRPr="00CB13AD">
        <w:rPr>
          <w:lang w:bidi="ar-EG"/>
        </w:rPr>
        <w:t>-</w:t>
      </w:r>
      <w:r w:rsidRPr="00CB13AD">
        <w:rPr>
          <w:lang w:bidi="ar-EG"/>
        </w:rPr>
        <w:tab/>
      </w:r>
      <w:r w:rsidRPr="00CB13AD">
        <w:rPr>
          <w:rtl/>
        </w:rPr>
        <w:t xml:space="preserve">التقرير </w:t>
      </w:r>
      <w:r w:rsidRPr="00CB13AD">
        <w:rPr>
          <w:shd w:val="clear" w:color="auto" w:fill="FFFFFF"/>
          <w:lang w:eastAsia="zh-CN"/>
        </w:rPr>
        <w:t>ITU-R RS.2178</w:t>
      </w:r>
      <w:r w:rsidRPr="00CB13AD">
        <w:rPr>
          <w:rFonts w:hint="cs"/>
          <w:rtl/>
          <w:lang w:val="fr-FR"/>
        </w:rPr>
        <w:t>، "</w:t>
      </w:r>
      <w:r w:rsidRPr="00CB13AD">
        <w:rPr>
          <w:rFonts w:hint="cs"/>
          <w:rtl/>
        </w:rPr>
        <w:t>الدور الأساسي للطيف الراديوي وأهمية استعماله على الصعيد العالمي لمراقبة الأرض والتطبيقات ذات الصلة</w:t>
      </w:r>
      <w:r w:rsidRPr="00CB13AD">
        <w:t>"</w:t>
      </w:r>
    </w:p>
    <w:p w14:paraId="3997FEC4" w14:textId="77777777" w:rsidR="00C079DA" w:rsidRPr="00C079DA" w:rsidRDefault="00C079DA" w:rsidP="00C079DA">
      <w:pPr>
        <w:pStyle w:val="enumlev1"/>
        <w:rPr>
          <w:lang w:val="fr-FR"/>
        </w:rPr>
      </w:pPr>
      <w:r w:rsidRPr="00C079DA">
        <w:rPr>
          <w:rFonts w:hint="cs"/>
          <w:rtl/>
        </w:rPr>
        <w:t>-</w:t>
      </w:r>
      <w:r w:rsidRPr="00C079DA">
        <w:rPr>
          <w:rtl/>
        </w:rPr>
        <w:tab/>
      </w:r>
      <w:r w:rsidRPr="00C079DA">
        <w:rPr>
          <w:rFonts w:hint="cs"/>
          <w:rtl/>
        </w:rPr>
        <w:t xml:space="preserve">التقرير </w:t>
      </w:r>
      <w:r w:rsidRPr="00C079DA">
        <w:rPr>
          <w:lang w:val="fr-FR"/>
        </w:rPr>
        <w:t>ITU-R M.2151</w:t>
      </w:r>
      <w:r w:rsidRPr="00C079DA">
        <w:rPr>
          <w:rFonts w:hint="cs"/>
          <w:rtl/>
          <w:lang w:val="fr-FR"/>
        </w:rPr>
        <w:t xml:space="preserve">، "استعمال </w:t>
      </w:r>
      <w:r w:rsidRPr="00C079DA">
        <w:rPr>
          <w:rtl/>
          <w:lang w:val="fr-FR"/>
        </w:rPr>
        <w:t>أنظمة الخدمة الثابتة الساتلية في عمليات الإنذار والإغاثة في حالات الكوارث الطبيعية وحالات الطوارئ المشابهة لها وأمثلة عليها</w:t>
      </w:r>
      <w:r w:rsidRPr="00C079DA">
        <w:rPr>
          <w:rFonts w:hint="cs"/>
          <w:rtl/>
          <w:lang w:val="fr-FR"/>
        </w:rPr>
        <w:t>"</w:t>
      </w:r>
    </w:p>
    <w:p w14:paraId="17156DE3" w14:textId="77777777" w:rsidR="00C079DA" w:rsidRPr="00C079DA" w:rsidRDefault="00C079DA" w:rsidP="002C1CAE">
      <w:pPr>
        <w:pStyle w:val="Heading1"/>
        <w:rPr>
          <w:rtl/>
        </w:rPr>
      </w:pPr>
      <w:r w:rsidRPr="00C079DA">
        <w:rPr>
          <w:rFonts w:hint="cs"/>
          <w:rtl/>
        </w:rPr>
        <w:t>الكتيبات ذات الصلة لقطاع الاتصالات الراديوية</w:t>
      </w:r>
    </w:p>
    <w:p w14:paraId="2C255849" w14:textId="312BC99E" w:rsidR="00C079DA" w:rsidRDefault="00C079DA" w:rsidP="002C1CAE">
      <w:pPr>
        <w:pStyle w:val="enumlev1"/>
        <w:rPr>
          <w:lang w:val="fr-FR"/>
        </w:rPr>
      </w:pPr>
      <w:r w:rsidRPr="00C079DA">
        <w:rPr>
          <w:rFonts w:hint="cs"/>
          <w:rtl/>
          <w:lang w:val="fr-FR"/>
        </w:rPr>
        <w:t>-</w:t>
      </w:r>
      <w:r w:rsidRPr="00C079DA">
        <w:rPr>
          <w:rtl/>
          <w:lang w:val="fr-FR"/>
        </w:rPr>
        <w:tab/>
      </w:r>
      <w:r w:rsidR="002C1CAE">
        <w:rPr>
          <w:rFonts w:hint="cs"/>
          <w:rtl/>
          <w:lang w:val="fr-FR"/>
        </w:rPr>
        <w:t>"</w:t>
      </w:r>
      <w:r w:rsidRPr="00C079DA">
        <w:rPr>
          <w:rFonts w:hint="cs"/>
          <w:rtl/>
          <w:lang w:val="fr-FR"/>
        </w:rPr>
        <w:t>كتيب</w:t>
      </w:r>
      <w:r w:rsidR="002C1CAE">
        <w:rPr>
          <w:rFonts w:hint="cs"/>
          <w:rtl/>
          <w:lang w:val="fr-FR"/>
        </w:rPr>
        <w:t>:</w:t>
      </w:r>
      <w:r w:rsidRPr="00C079DA">
        <w:rPr>
          <w:rFonts w:hint="cs"/>
          <w:rtl/>
          <w:lang w:val="fr-FR"/>
        </w:rPr>
        <w:t xml:space="preserve"> خدمة استكشاف الأرض الساتلية"، الفصل 1.6</w:t>
      </w:r>
    </w:p>
    <w:p w14:paraId="2FB8B28D" w14:textId="1A7368A6" w:rsidR="00C079DA" w:rsidRPr="0087202F" w:rsidRDefault="00C079DA" w:rsidP="002C1CAE">
      <w:pPr>
        <w:pStyle w:val="enumlev1"/>
        <w:rPr>
          <w:lang w:bidi="ar-SY"/>
        </w:rPr>
      </w:pPr>
      <w:r w:rsidRPr="00C079DA">
        <w:rPr>
          <w:lang w:val="fr-FR"/>
        </w:rPr>
        <w:t>-</w:t>
      </w:r>
      <w:r w:rsidRPr="00C079DA">
        <w:rPr>
          <w:lang w:val="fr-FR"/>
        </w:rPr>
        <w:tab/>
      </w:r>
      <w:r w:rsidR="00A944F7">
        <w:rPr>
          <w:rFonts w:hint="cs"/>
          <w:rtl/>
          <w:lang w:val="fr-FR"/>
        </w:rPr>
        <w:t>"</w:t>
      </w:r>
      <w:r w:rsidRPr="00C079DA">
        <w:rPr>
          <w:rFonts w:hint="cs"/>
          <w:rtl/>
          <w:lang w:val="fr-FR"/>
        </w:rPr>
        <w:t>كتيب الاتحاد الدولي للاتصالات/منظمة الأرصاد العالمية بشأن استعمال الطيف الراديوي لأغراض الأرصاد الجوية:</w:t>
      </w:r>
      <w:r w:rsidRPr="00C079DA">
        <w:rPr>
          <w:rFonts w:hint="cs"/>
          <w:rtl/>
          <w:lang w:val="fr-FR" w:bidi="ar-EG"/>
        </w:rPr>
        <w:t xml:space="preserve"> مراقبة الطقس والماء والمناخ والتنبؤ بها</w:t>
      </w:r>
      <w:r w:rsidR="00A944F7">
        <w:rPr>
          <w:rFonts w:hint="cs"/>
          <w:rtl/>
          <w:lang w:val="fr-FR" w:bidi="ar-EG"/>
        </w:rPr>
        <w:t>"</w:t>
      </w:r>
    </w:p>
    <w:p w14:paraId="5BA69061" w14:textId="77777777" w:rsidR="00C079DA" w:rsidRDefault="00C079DA" w:rsidP="00CB13AD">
      <w:pPr>
        <w:pStyle w:val="Headingb"/>
        <w:rPr>
          <w:rtl/>
        </w:rPr>
      </w:pPr>
      <w:r>
        <w:rPr>
          <w:rFonts w:hint="cs"/>
          <w:rtl/>
        </w:rPr>
        <w:t>التقارير ذات الصلة لقطاع تنمية الاتصالات</w:t>
      </w:r>
    </w:p>
    <w:p w14:paraId="565ADEAE" w14:textId="7B1CC022" w:rsidR="0039465C" w:rsidRPr="0039465C" w:rsidRDefault="00C079DA" w:rsidP="00EC7ACF">
      <w:pPr>
        <w:pStyle w:val="enumlev1"/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التقرير النهائي</w:t>
      </w:r>
      <w:r w:rsidR="00A944F7">
        <w:rPr>
          <w:rFonts w:hint="cs"/>
          <w:rtl/>
        </w:rPr>
        <w:t xml:space="preserve"> للجنة الدراسات </w:t>
      </w:r>
      <w:r w:rsidR="00A944F7">
        <w:t>2</w:t>
      </w:r>
      <w:r>
        <w:rPr>
          <w:rFonts w:hint="cs"/>
          <w:rtl/>
        </w:rPr>
        <w:t xml:space="preserve"> لقطاع تنمية الاتصالات لفترة الدراسة 2018-202</w:t>
      </w:r>
      <w:r w:rsidR="0073143B">
        <w:rPr>
          <w:rFonts w:hint="cs"/>
          <w:rtl/>
        </w:rPr>
        <w:t>1</w:t>
      </w:r>
      <w:r>
        <w:rPr>
          <w:rFonts w:hint="cs"/>
          <w:rtl/>
        </w:rPr>
        <w:t xml:space="preserve">، </w:t>
      </w:r>
      <w:r w:rsidR="00A944F7">
        <w:rPr>
          <w:rFonts w:hint="cs"/>
          <w:rtl/>
        </w:rPr>
        <w:t xml:space="preserve">المسألة </w:t>
      </w:r>
      <w:r w:rsidR="00A944F7">
        <w:t>5/2</w:t>
      </w:r>
      <w:r w:rsidR="00A944F7">
        <w:rPr>
          <w:rFonts w:hint="cs"/>
          <w:rtl/>
          <w:lang w:bidi="ar-SY"/>
        </w:rPr>
        <w:t xml:space="preserve">: </w:t>
      </w:r>
      <w:r>
        <w:rPr>
          <w:rFonts w:hint="cs"/>
          <w:rtl/>
        </w:rPr>
        <w:t>"استعمال الاتصالات</w:t>
      </w:r>
      <w:r w:rsidR="00A944F7">
        <w:rPr>
          <w:rFonts w:hint="cs"/>
          <w:rtl/>
        </w:rPr>
        <w:t>/</w:t>
      </w:r>
      <w:r>
        <w:rPr>
          <w:rFonts w:hint="cs"/>
          <w:rtl/>
        </w:rPr>
        <w:t>تكنولوجيا المعلومات والاتصالات للحد من مخاطر الكوارث وإدارتها"</w:t>
      </w:r>
      <w:r>
        <w:tab/>
      </w:r>
      <w:r>
        <w:br/>
      </w:r>
      <w:r w:rsidRPr="00565C4B">
        <w:rPr>
          <w:rtl/>
        </w:rPr>
        <w:t>(</w:t>
      </w:r>
      <w:hyperlink r:id="rId11" w:history="1">
        <w:r w:rsidR="00A944F7" w:rsidRPr="00311A52">
          <w:rPr>
            <w:color w:val="0000FF"/>
            <w:lang w:eastAsia="zh-CN"/>
          </w:rPr>
          <w:t>https://www.itu.int/hub/publication/d-stg-sg02-05-2-2021/</w:t>
        </w:r>
      </w:hyperlink>
      <w:r w:rsidRPr="00565C4B">
        <w:rPr>
          <w:rtl/>
        </w:rPr>
        <w:t>)</w:t>
      </w:r>
    </w:p>
    <w:sectPr w:rsidR="0039465C" w:rsidRPr="0039465C" w:rsidSect="004D4AE6">
      <w:headerReference w:type="even" r:id="rId12"/>
      <w:headerReference w:type="default" r:id="rId13"/>
      <w:footerReference w:type="default" r:id="rId14"/>
      <w:footerReference w:type="first" r:id="rId15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1CA2" w14:textId="77777777" w:rsidR="00C47FC7" w:rsidRDefault="00C47FC7" w:rsidP="002919E1">
      <w:r>
        <w:separator/>
      </w:r>
    </w:p>
    <w:p w14:paraId="01FB712F" w14:textId="77777777" w:rsidR="00C47FC7" w:rsidRDefault="00C47FC7" w:rsidP="002919E1"/>
    <w:p w14:paraId="2631D525" w14:textId="77777777" w:rsidR="00C47FC7" w:rsidRDefault="00C47FC7" w:rsidP="002919E1"/>
    <w:p w14:paraId="60CAA157" w14:textId="77777777" w:rsidR="00C47FC7" w:rsidRDefault="00C47FC7"/>
  </w:endnote>
  <w:endnote w:type="continuationSeparator" w:id="0">
    <w:p w14:paraId="06FDEF9C" w14:textId="77777777" w:rsidR="00C47FC7" w:rsidRDefault="00C47FC7" w:rsidP="002919E1">
      <w:r>
        <w:continuationSeparator/>
      </w:r>
    </w:p>
    <w:p w14:paraId="56DDE37A" w14:textId="77777777" w:rsidR="00C47FC7" w:rsidRDefault="00C47FC7" w:rsidP="002919E1"/>
    <w:p w14:paraId="196C94D1" w14:textId="77777777" w:rsidR="00C47FC7" w:rsidRDefault="00C47FC7" w:rsidP="002919E1"/>
    <w:p w14:paraId="7595D310" w14:textId="77777777" w:rsidR="00C47FC7" w:rsidRDefault="00C47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altName w:val="Tahoma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2991" w14:textId="3228AC8F" w:rsidR="005738F3" w:rsidRPr="00EC7ACF" w:rsidRDefault="005738F3" w:rsidP="005738F3">
    <w:pPr>
      <w:pStyle w:val="Footer"/>
      <w:tabs>
        <w:tab w:val="clear" w:pos="1134"/>
        <w:tab w:val="clear" w:pos="1871"/>
        <w:tab w:val="clear" w:pos="2268"/>
        <w:tab w:val="clear" w:pos="5812"/>
        <w:tab w:val="center" w:pos="5670"/>
      </w:tabs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9098" w14:textId="2517FC12" w:rsidR="00281F5F" w:rsidRPr="00EC7ACF" w:rsidRDefault="00281F5F" w:rsidP="00A35E1F">
    <w:pPr>
      <w:pStyle w:val="Footer"/>
      <w:tabs>
        <w:tab w:val="clear" w:pos="1134"/>
        <w:tab w:val="clear" w:pos="1871"/>
        <w:tab w:val="clear" w:pos="2268"/>
        <w:tab w:val="clear" w:pos="5812"/>
        <w:tab w:val="center" w:pos="5670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E04F" w14:textId="77777777" w:rsidR="00C47FC7" w:rsidRDefault="00C47FC7" w:rsidP="002919E1">
      <w:r>
        <w:separator/>
      </w:r>
    </w:p>
  </w:footnote>
  <w:footnote w:type="continuationSeparator" w:id="0">
    <w:p w14:paraId="61ABB234" w14:textId="77777777" w:rsidR="00C47FC7" w:rsidRDefault="00C47FC7" w:rsidP="002919E1">
      <w:r>
        <w:continuationSeparator/>
      </w:r>
    </w:p>
    <w:p w14:paraId="12E06450" w14:textId="77777777" w:rsidR="00C47FC7" w:rsidRDefault="00C47FC7" w:rsidP="002919E1"/>
    <w:p w14:paraId="4575085C" w14:textId="77777777" w:rsidR="00C47FC7" w:rsidRDefault="00C47FC7" w:rsidP="002919E1"/>
    <w:p w14:paraId="35CE8D36" w14:textId="77777777" w:rsidR="00C47FC7" w:rsidRDefault="00C47FC7"/>
  </w:footnote>
  <w:footnote w:id="1">
    <w:p w14:paraId="4A7A62A4" w14:textId="77777777" w:rsidR="00C079DA" w:rsidRPr="00E13316" w:rsidRDefault="00C079DA" w:rsidP="00C079DA">
      <w:pPr>
        <w:pStyle w:val="FootnoteText"/>
        <w:rPr>
          <w:rtl/>
        </w:rPr>
      </w:pPr>
      <w:r>
        <w:rPr>
          <w:rStyle w:val="FootnoteReference"/>
        </w:rPr>
        <w:t>1</w:t>
      </w:r>
      <w:r>
        <w:tab/>
      </w:r>
      <w:hyperlink r:id="rId1" w:history="1">
        <w:r w:rsidRPr="00A334F1">
          <w:rPr>
            <w:rStyle w:val="Hyperlink"/>
          </w:rPr>
          <w:t>https://www.itu.int/en/ITU-R/information/Pages/emergency.aspx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029D" w14:textId="77777777" w:rsidR="00281F5F" w:rsidRDefault="00281F5F" w:rsidP="002919E1"/>
  <w:p w14:paraId="4B45122F" w14:textId="77777777" w:rsidR="00281F5F" w:rsidRDefault="00281F5F" w:rsidP="002919E1"/>
  <w:p w14:paraId="33D7640D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6A74" w14:textId="4FD0ACE5" w:rsidR="00281F5F" w:rsidRPr="0088384B" w:rsidRDefault="00281F5F" w:rsidP="005730DF">
    <w:pPr>
      <w:bidi w:val="0"/>
      <w:spacing w:after="240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B12C5">
      <w:rPr>
        <w:rStyle w:val="PageNumber"/>
        <w:noProof/>
      </w:rPr>
      <w:t>2</w:t>
    </w:r>
    <w:r w:rsidRPr="0088384B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DA"/>
    <w:rsid w:val="00004910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51907"/>
    <w:rsid w:val="00075A3F"/>
    <w:rsid w:val="000A1B16"/>
    <w:rsid w:val="000B389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545F"/>
    <w:rsid w:val="00136B82"/>
    <w:rsid w:val="00142828"/>
    <w:rsid w:val="001464F2"/>
    <w:rsid w:val="00167364"/>
    <w:rsid w:val="00182100"/>
    <w:rsid w:val="001903B2"/>
    <w:rsid w:val="001B5953"/>
    <w:rsid w:val="001B7617"/>
    <w:rsid w:val="001D746E"/>
    <w:rsid w:val="001E190C"/>
    <w:rsid w:val="001E51EE"/>
    <w:rsid w:val="001E54F6"/>
    <w:rsid w:val="001E5A8C"/>
    <w:rsid w:val="00201A0A"/>
    <w:rsid w:val="00204997"/>
    <w:rsid w:val="002075D4"/>
    <w:rsid w:val="00211B2A"/>
    <w:rsid w:val="00223C6C"/>
    <w:rsid w:val="002333A0"/>
    <w:rsid w:val="002543CF"/>
    <w:rsid w:val="0026062E"/>
    <w:rsid w:val="00260F50"/>
    <w:rsid w:val="00261EF7"/>
    <w:rsid w:val="0026603F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C1CAE"/>
    <w:rsid w:val="002D5F64"/>
    <w:rsid w:val="002D6BB4"/>
    <w:rsid w:val="002D6FBF"/>
    <w:rsid w:val="002E43DB"/>
    <w:rsid w:val="002E48BF"/>
    <w:rsid w:val="002E61C2"/>
    <w:rsid w:val="002F3031"/>
    <w:rsid w:val="002F3E46"/>
    <w:rsid w:val="0030601A"/>
    <w:rsid w:val="00311E3F"/>
    <w:rsid w:val="00314B1E"/>
    <w:rsid w:val="0033737F"/>
    <w:rsid w:val="00353652"/>
    <w:rsid w:val="003569E1"/>
    <w:rsid w:val="00360D2D"/>
    <w:rsid w:val="003815E2"/>
    <w:rsid w:val="00381FAD"/>
    <w:rsid w:val="00382A66"/>
    <w:rsid w:val="003923B1"/>
    <w:rsid w:val="0039465C"/>
    <w:rsid w:val="003965FE"/>
    <w:rsid w:val="003978DD"/>
    <w:rsid w:val="003B27AD"/>
    <w:rsid w:val="003B4F23"/>
    <w:rsid w:val="003C12F6"/>
    <w:rsid w:val="003C3A13"/>
    <w:rsid w:val="003E02EF"/>
    <w:rsid w:val="003E1D90"/>
    <w:rsid w:val="00400CD4"/>
    <w:rsid w:val="00402945"/>
    <w:rsid w:val="004147B9"/>
    <w:rsid w:val="00422C04"/>
    <w:rsid w:val="00423A40"/>
    <w:rsid w:val="00426144"/>
    <w:rsid w:val="00442671"/>
    <w:rsid w:val="004636E2"/>
    <w:rsid w:val="00464B03"/>
    <w:rsid w:val="00467578"/>
    <w:rsid w:val="00470CBD"/>
    <w:rsid w:val="0047407D"/>
    <w:rsid w:val="004909DD"/>
    <w:rsid w:val="004A05E6"/>
    <w:rsid w:val="004A2769"/>
    <w:rsid w:val="004A6230"/>
    <w:rsid w:val="004A6C66"/>
    <w:rsid w:val="004A7AA0"/>
    <w:rsid w:val="004C11BC"/>
    <w:rsid w:val="004C5C04"/>
    <w:rsid w:val="004D0448"/>
    <w:rsid w:val="004D4AE6"/>
    <w:rsid w:val="004F0BED"/>
    <w:rsid w:val="00505FCA"/>
    <w:rsid w:val="00510C2D"/>
    <w:rsid w:val="00516042"/>
    <w:rsid w:val="005166A4"/>
    <w:rsid w:val="005169F4"/>
    <w:rsid w:val="005210D1"/>
    <w:rsid w:val="00523146"/>
    <w:rsid w:val="00523275"/>
    <w:rsid w:val="00531DC7"/>
    <w:rsid w:val="0053483D"/>
    <w:rsid w:val="005350B0"/>
    <w:rsid w:val="005431B5"/>
    <w:rsid w:val="00546A99"/>
    <w:rsid w:val="00553411"/>
    <w:rsid w:val="00553F66"/>
    <w:rsid w:val="00554AE7"/>
    <w:rsid w:val="00564746"/>
    <w:rsid w:val="0056512C"/>
    <w:rsid w:val="00567F38"/>
    <w:rsid w:val="005730DF"/>
    <w:rsid w:val="005738F3"/>
    <w:rsid w:val="0057610B"/>
    <w:rsid w:val="00576D0A"/>
    <w:rsid w:val="00576FCC"/>
    <w:rsid w:val="00584333"/>
    <w:rsid w:val="005953EC"/>
    <w:rsid w:val="005B00A1"/>
    <w:rsid w:val="005C29C8"/>
    <w:rsid w:val="005C5D25"/>
    <w:rsid w:val="005C7267"/>
    <w:rsid w:val="005D2606"/>
    <w:rsid w:val="005D6D48"/>
    <w:rsid w:val="005D72A4"/>
    <w:rsid w:val="005F05CC"/>
    <w:rsid w:val="005F65DE"/>
    <w:rsid w:val="006103AC"/>
    <w:rsid w:val="00613492"/>
    <w:rsid w:val="00630905"/>
    <w:rsid w:val="006315B5"/>
    <w:rsid w:val="0064777A"/>
    <w:rsid w:val="0065562F"/>
    <w:rsid w:val="006577C0"/>
    <w:rsid w:val="006779A4"/>
    <w:rsid w:val="00680A66"/>
    <w:rsid w:val="00681391"/>
    <w:rsid w:val="00694690"/>
    <w:rsid w:val="0069526C"/>
    <w:rsid w:val="006A093D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26744"/>
    <w:rsid w:val="00727A02"/>
    <w:rsid w:val="00731150"/>
    <w:rsid w:val="0073143B"/>
    <w:rsid w:val="00734E41"/>
    <w:rsid w:val="007351CE"/>
    <w:rsid w:val="00736DCC"/>
    <w:rsid w:val="00741855"/>
    <w:rsid w:val="00742B73"/>
    <w:rsid w:val="0074309B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E6847"/>
    <w:rsid w:val="007E6B0A"/>
    <w:rsid w:val="007F08CA"/>
    <w:rsid w:val="007F7FC3"/>
    <w:rsid w:val="00801238"/>
    <w:rsid w:val="008054A7"/>
    <w:rsid w:val="00810482"/>
    <w:rsid w:val="00817568"/>
    <w:rsid w:val="0081767F"/>
    <w:rsid w:val="008204AC"/>
    <w:rsid w:val="008261C2"/>
    <w:rsid w:val="00827482"/>
    <w:rsid w:val="00830D96"/>
    <w:rsid w:val="0085569D"/>
    <w:rsid w:val="00855B59"/>
    <w:rsid w:val="0085774F"/>
    <w:rsid w:val="008614B8"/>
    <w:rsid w:val="008657CB"/>
    <w:rsid w:val="00873A6F"/>
    <w:rsid w:val="0088384B"/>
    <w:rsid w:val="00893E53"/>
    <w:rsid w:val="00893F8D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F4626"/>
    <w:rsid w:val="009004DF"/>
    <w:rsid w:val="00904AA5"/>
    <w:rsid w:val="00951718"/>
    <w:rsid w:val="00960962"/>
    <w:rsid w:val="00972CE0"/>
    <w:rsid w:val="00991C53"/>
    <w:rsid w:val="009A3D30"/>
    <w:rsid w:val="009B58F7"/>
    <w:rsid w:val="009D6348"/>
    <w:rsid w:val="009E5007"/>
    <w:rsid w:val="009E613F"/>
    <w:rsid w:val="009F042B"/>
    <w:rsid w:val="00A03F63"/>
    <w:rsid w:val="00A03FD6"/>
    <w:rsid w:val="00A04CF4"/>
    <w:rsid w:val="00A0521B"/>
    <w:rsid w:val="00A116A8"/>
    <w:rsid w:val="00A17E61"/>
    <w:rsid w:val="00A22AE9"/>
    <w:rsid w:val="00A26758"/>
    <w:rsid w:val="00A26D0E"/>
    <w:rsid w:val="00A27205"/>
    <w:rsid w:val="00A278E9"/>
    <w:rsid w:val="00A3451F"/>
    <w:rsid w:val="00A3584A"/>
    <w:rsid w:val="00A35E1F"/>
    <w:rsid w:val="00A36268"/>
    <w:rsid w:val="00A375BD"/>
    <w:rsid w:val="00A40B2C"/>
    <w:rsid w:val="00A4248C"/>
    <w:rsid w:val="00A42ADC"/>
    <w:rsid w:val="00A66D2B"/>
    <w:rsid w:val="00A809E8"/>
    <w:rsid w:val="00A870AD"/>
    <w:rsid w:val="00A90843"/>
    <w:rsid w:val="00A944F7"/>
    <w:rsid w:val="00A9645C"/>
    <w:rsid w:val="00AB2A33"/>
    <w:rsid w:val="00AC1275"/>
    <w:rsid w:val="00AC7395"/>
    <w:rsid w:val="00AD162B"/>
    <w:rsid w:val="00AD690F"/>
    <w:rsid w:val="00AD69DD"/>
    <w:rsid w:val="00AE462E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4B47"/>
    <w:rsid w:val="00B16045"/>
    <w:rsid w:val="00B1667D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C2768"/>
    <w:rsid w:val="00BC34FD"/>
    <w:rsid w:val="00BD6291"/>
    <w:rsid w:val="00BD6EF3"/>
    <w:rsid w:val="00BE1956"/>
    <w:rsid w:val="00BE347C"/>
    <w:rsid w:val="00BE69C3"/>
    <w:rsid w:val="00C079DA"/>
    <w:rsid w:val="00C1165E"/>
    <w:rsid w:val="00C22074"/>
    <w:rsid w:val="00C2377B"/>
    <w:rsid w:val="00C34E09"/>
    <w:rsid w:val="00C3693C"/>
    <w:rsid w:val="00C449F7"/>
    <w:rsid w:val="00C47FC7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13AD"/>
    <w:rsid w:val="00CB2BF9"/>
    <w:rsid w:val="00CB4300"/>
    <w:rsid w:val="00CB454E"/>
    <w:rsid w:val="00CC030E"/>
    <w:rsid w:val="00CC68C4"/>
    <w:rsid w:val="00CC7897"/>
    <w:rsid w:val="00CC79A4"/>
    <w:rsid w:val="00CD0FDE"/>
    <w:rsid w:val="00CD1574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6661A"/>
    <w:rsid w:val="00D81703"/>
    <w:rsid w:val="00D82929"/>
    <w:rsid w:val="00D84214"/>
    <w:rsid w:val="00D943E5"/>
    <w:rsid w:val="00DA1AE0"/>
    <w:rsid w:val="00DC29DD"/>
    <w:rsid w:val="00DC7C0E"/>
    <w:rsid w:val="00DE7387"/>
    <w:rsid w:val="00DF2A6A"/>
    <w:rsid w:val="00DF3B72"/>
    <w:rsid w:val="00E10821"/>
    <w:rsid w:val="00E2489D"/>
    <w:rsid w:val="00E26520"/>
    <w:rsid w:val="00E26732"/>
    <w:rsid w:val="00E343A3"/>
    <w:rsid w:val="00E47277"/>
    <w:rsid w:val="00E51BFA"/>
    <w:rsid w:val="00E621A3"/>
    <w:rsid w:val="00E833BC"/>
    <w:rsid w:val="00E8580E"/>
    <w:rsid w:val="00E97E21"/>
    <w:rsid w:val="00EA1B76"/>
    <w:rsid w:val="00EA77D7"/>
    <w:rsid w:val="00EC09B9"/>
    <w:rsid w:val="00EC7ACF"/>
    <w:rsid w:val="00ED048C"/>
    <w:rsid w:val="00EE1E95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56793"/>
    <w:rsid w:val="00F84048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73D3B"/>
  <w15:docId w15:val="{10065AAE-8D73-4E76-8F64-02FC52DA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aliases w:val="Appel note de bas de p,Footnote Reference/,Footnote symbol,Style 12,(NECG) Footnote Reference,Style 124,+ (Latin) 12,Appel note de bas de p + 11 pt,Italic,Appel note de bas de p1,Appel note de bas de p2,Appel note de bas de p3,o,fr"/>
    <w:basedOn w:val="DefaultParagraphFont"/>
    <w:qFormat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BE1956"/>
    <w:pPr>
      <w:keepLines/>
      <w:tabs>
        <w:tab w:val="clear" w:pos="1134"/>
        <w:tab w:val="clear" w:pos="1871"/>
        <w:tab w:val="clear" w:pos="2268"/>
        <w:tab w:val="left" w:pos="397"/>
      </w:tabs>
      <w:spacing w:before="60"/>
    </w:pPr>
    <w:rPr>
      <w:sz w:val="18"/>
      <w:szCs w:val="18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BE1956"/>
    <w:rPr>
      <w:rFonts w:ascii="Dubai" w:hAnsi="Dubai" w:cs="Dubai"/>
      <w:sz w:val="18"/>
      <w:szCs w:val="18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D51BB8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tabs>
        <w:tab w:val="clear" w:pos="1134"/>
        <w:tab w:val="clear" w:pos="1871"/>
        <w:tab w:val="clear" w:pos="2268"/>
      </w:tabs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6103AC"/>
    <w:pPr>
      <w:spacing w:before="240"/>
    </w:pPr>
  </w:style>
  <w:style w:type="paragraph" w:customStyle="1" w:styleId="Call">
    <w:name w:val="Call"/>
    <w:basedOn w:val="Normal"/>
    <w:next w:val="Normal"/>
    <w:link w:val="CallChar"/>
    <w:rsid w:val="00A27205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27205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5431B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5431B5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5431B5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5431B5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F97D1C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CC7897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6"/>
      <w:szCs w:val="26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CC7897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6"/>
      <w:szCs w:val="26"/>
    </w:rPr>
  </w:style>
  <w:style w:type="character" w:customStyle="1" w:styleId="AnnextitleChar">
    <w:name w:val="Annex_title Char"/>
    <w:basedOn w:val="DefaultParagraphFont"/>
    <w:link w:val="Annextitle"/>
    <w:rsid w:val="00CC7897"/>
    <w:rPr>
      <w:rFonts w:ascii="Dubai" w:hAnsi="Dubai" w:cs="Dubai"/>
      <w:b/>
      <w:bCs/>
      <w:sz w:val="26"/>
      <w:szCs w:val="26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8614B8"/>
    <w:pPr>
      <w:spacing w:after="360"/>
    </w:pPr>
  </w:style>
  <w:style w:type="paragraph" w:customStyle="1" w:styleId="Equationlegend">
    <w:name w:val="Equation_legend"/>
    <w:basedOn w:val="NormalIndent"/>
    <w:rsid w:val="002D6BB4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aliases w:val="超级链接,CEO_Hyperlink,ECC Hyperlink,n级链接,ECC Hyperlink + (Complex) 12 pt"/>
    <w:basedOn w:val="DefaultParagraphFont"/>
    <w:uiPriority w:val="99"/>
    <w:unhideWhenUsed/>
    <w:qFormat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date">
    <w:name w:val="Res_date"/>
    <w:basedOn w:val="Normal"/>
    <w:qFormat/>
    <w:rsid w:val="00EE1E95"/>
    <w:pPr>
      <w:jc w:val="right"/>
    </w:pPr>
    <w:rPr>
      <w:lang w:bidi="ar-EG"/>
    </w:rPr>
  </w:style>
  <w:style w:type="paragraph" w:customStyle="1" w:styleId="Ques">
    <w:name w:val="Ques"/>
    <w:basedOn w:val="Normal"/>
    <w:rsid w:val="00CC7897"/>
    <w:rPr>
      <w:lang w:bidi="ar-EG"/>
    </w:rPr>
  </w:style>
  <w:style w:type="paragraph" w:customStyle="1" w:styleId="QuestionNo">
    <w:name w:val="Question_No"/>
    <w:basedOn w:val="AnnexNo"/>
    <w:qFormat/>
    <w:rsid w:val="00CC7897"/>
    <w:pPr>
      <w:framePr w:hSpace="181" w:wrap="around" w:vAnchor="page" w:hAnchor="text" w:xAlign="right" w:y="721"/>
    </w:pPr>
  </w:style>
  <w:style w:type="paragraph" w:customStyle="1" w:styleId="Questiontitle">
    <w:name w:val="Question_title"/>
    <w:basedOn w:val="Annextitle"/>
    <w:qFormat/>
    <w:rsid w:val="00CC7897"/>
  </w:style>
  <w:style w:type="paragraph" w:customStyle="1" w:styleId="Title4">
    <w:name w:val="Title 4"/>
    <w:basedOn w:val="Title3"/>
    <w:rsid w:val="006103AC"/>
    <w:pPr>
      <w:framePr w:hSpace="181" w:wrap="around" w:vAnchor="page" w:hAnchor="text" w:xAlign="right" w:y="721"/>
    </w:pPr>
    <w:rPr>
      <w:b/>
      <w:bCs/>
    </w:rPr>
  </w:style>
  <w:style w:type="paragraph" w:styleId="Revision">
    <w:name w:val="Revision"/>
    <w:hidden/>
    <w:uiPriority w:val="99"/>
    <w:semiHidden/>
    <w:rsid w:val="00C079DA"/>
    <w:rPr>
      <w:rFonts w:ascii="Dubai" w:hAnsi="Dubai" w:cs="Duba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hub/publication/d-stg-sg02-05-2-2021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tu.int/net4/wsis/forum/2023/Files/outcomes/draft/WSISForum2023_OutcomeDocument_20230814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n/ITU-R/information/Pages/emergen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1E44D3260374C8AB15791486AF672" ma:contentTypeVersion="3" ma:contentTypeDescription="Create a new document." ma:contentTypeScope="" ma:versionID="f69fbecf095ace74c5cc90acc195c3fc">
  <xsd:schema xmlns:xsd="http://www.w3.org/2001/XMLSchema" xmlns:xs="http://www.w3.org/2001/XMLSchema" xmlns:p="http://schemas.microsoft.com/office/2006/metadata/properties" xmlns:ns2="182c4cff-5844-4b4c-8c88-96909af4d9b9" targetNamespace="http://schemas.microsoft.com/office/2006/metadata/properties" ma:root="true" ma:fieldsID="f50d2b9c15c5251ab789a43cebe36a3d" ns2:_="">
    <xsd:import namespace="182c4cff-5844-4b4c-8c88-96909af4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4cff-5844-4b4c-8c88-96909af4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3A09B-EEE6-4C53-B7B9-57B7D6E66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www.w3.org/XML/1998/namespace"/>
    <ds:schemaRef ds:uri="182c4cff-5844-4b4c-8c88-96909af4d9b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4015BD-A132-4699-A5A0-117E8B933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c4cff-5844-4b4c-8c88-96909af4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1147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Arabic-AAM</dc:creator>
  <cp:keywords>WRC-12</cp:keywords>
  <cp:lastModifiedBy>Arabic-AAM</cp:lastModifiedBy>
  <cp:revision>8</cp:revision>
  <cp:lastPrinted>2019-06-26T10:10:00Z</cp:lastPrinted>
  <dcterms:created xsi:type="dcterms:W3CDTF">2023-11-22T13:43:00Z</dcterms:created>
  <dcterms:modified xsi:type="dcterms:W3CDTF">2023-11-22T14:02:00Z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0x010100EE71E44D3260374C8AB15791486AF672</vt:lpwstr>
  </property>
  <property fmtid="{D5CDD505-2E9C-101B-9397-08002B2CF9AE}" pid="9" name="_dlc_DocIdItemGuid">
    <vt:lpwstr>8e895a51-0127-4b82-941e-db47618fc5d7</vt:lpwstr>
  </property>
</Properties>
</file>