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825E" w14:textId="25531513" w:rsidR="00FC49A6" w:rsidRPr="00FC49A6" w:rsidRDefault="00FC49A6" w:rsidP="00FC49A6">
      <w:pPr>
        <w:pStyle w:val="ResNo"/>
        <w:rPr>
          <w:rtl/>
          <w:lang w:val="en-GB"/>
        </w:rPr>
      </w:pPr>
      <w:r w:rsidRPr="00FC49A6">
        <w:rPr>
          <w:rtl/>
          <w:lang w:val="en-GB"/>
        </w:rPr>
        <w:t xml:space="preserve">القـرار </w:t>
      </w:r>
      <w:r w:rsidRPr="00FC49A6">
        <w:rPr>
          <w:lang w:val="en-GB"/>
        </w:rPr>
        <w:t>ITU</w:t>
      </w:r>
      <w:r w:rsidR="00370AD2">
        <w:rPr>
          <w:lang w:val="en-GB"/>
        </w:rPr>
        <w:noBreakHyphen/>
      </w:r>
      <w:r w:rsidRPr="00FC49A6">
        <w:rPr>
          <w:lang w:val="en-GB"/>
        </w:rPr>
        <w:t>R</w:t>
      </w:r>
      <w:r w:rsidR="000E241A">
        <w:rPr>
          <w:lang w:val="en-GB"/>
        </w:rPr>
        <w:t> </w:t>
      </w:r>
      <w:r w:rsidRPr="00FC49A6">
        <w:rPr>
          <w:lang w:val="en-GB"/>
        </w:rPr>
        <w:t>55-</w:t>
      </w:r>
      <w:r w:rsidR="009C1B1A">
        <w:rPr>
          <w:lang w:val="en-GB"/>
        </w:rPr>
        <w:t>3</w:t>
      </w:r>
    </w:p>
    <w:p w14:paraId="4AC6B66C" w14:textId="0DF6F42A" w:rsidR="00FC49A6" w:rsidRPr="00FC49A6" w:rsidRDefault="00FC49A6" w:rsidP="00FC49A6">
      <w:pPr>
        <w:pStyle w:val="Restitle"/>
        <w:rPr>
          <w:lang w:val="en-GB" w:bidi="ar-EG"/>
        </w:rPr>
      </w:pPr>
      <w:r w:rsidRPr="00FC49A6">
        <w:rPr>
          <w:rtl/>
          <w:lang w:val="en-GB" w:bidi="ar-EG"/>
        </w:rPr>
        <w:t>دراسات قطاع الاتصالات الراديوية بشأن التنبؤ بالكوارث واستشعارها</w:t>
      </w:r>
      <w:r>
        <w:rPr>
          <w:lang w:val="en-GB" w:bidi="ar-EG"/>
        </w:rPr>
        <w:br/>
      </w:r>
      <w:r w:rsidRPr="00FC49A6">
        <w:rPr>
          <w:rtl/>
          <w:lang w:val="en-GB" w:bidi="ar-EG"/>
        </w:rPr>
        <w:t>والتخفيف من آثارها والإغاثة عند وقوعها</w:t>
      </w:r>
    </w:p>
    <w:p w14:paraId="3E265231" w14:textId="2F428F49" w:rsidR="0089281D" w:rsidRPr="00FC49A6" w:rsidRDefault="00FC49A6" w:rsidP="00FC49A6">
      <w:pPr>
        <w:pStyle w:val="Resdate"/>
      </w:pPr>
      <w:r w:rsidRPr="00FC49A6">
        <w:t>(2019-2015-2012-2007)</w:t>
      </w:r>
    </w:p>
    <w:p w14:paraId="5F2BF904" w14:textId="77777777" w:rsidR="0089281D" w:rsidRPr="0089281D" w:rsidRDefault="0089281D" w:rsidP="00D60573">
      <w:pPr>
        <w:pStyle w:val="Normalaftertitle"/>
        <w:rPr>
          <w:rtl/>
          <w:lang w:bidi="ar-EG"/>
        </w:rPr>
      </w:pPr>
      <w:r w:rsidRPr="0089281D">
        <w:rPr>
          <w:rtl/>
          <w:lang w:bidi="ar-EG"/>
        </w:rPr>
        <w:t>إن جمعية الاتصالات الراديوية للاتحاد الدولي للاتصالات،</w:t>
      </w:r>
    </w:p>
    <w:p w14:paraId="34FCF8C7" w14:textId="77777777" w:rsidR="0089281D" w:rsidRPr="0089281D" w:rsidRDefault="0089281D" w:rsidP="0056360E">
      <w:pPr>
        <w:pStyle w:val="Call"/>
      </w:pPr>
      <w:r w:rsidRPr="0089281D">
        <w:rPr>
          <w:rtl/>
        </w:rPr>
        <w:t>إذ تضع في اعتبارها</w:t>
      </w:r>
    </w:p>
    <w:p w14:paraId="67E0BA77" w14:textId="77777777" w:rsidR="0089281D" w:rsidRPr="0089281D" w:rsidRDefault="0089281D" w:rsidP="0089281D">
      <w:pPr>
        <w:rPr>
          <w:rtl/>
        </w:rPr>
      </w:pPr>
      <w:r w:rsidRPr="0089281D">
        <w:rPr>
          <w:i/>
          <w:iCs/>
          <w:rtl/>
        </w:rPr>
        <w:t xml:space="preserve"> أ )</w:t>
      </w:r>
      <w:r w:rsidRPr="0089281D">
        <w:rPr>
          <w:rtl/>
        </w:rPr>
        <w:tab/>
        <w:t xml:space="preserve">أهمية أنظمة الاتصالات الراديوية في المساعدة على إدارة </w:t>
      </w:r>
      <w:r w:rsidRPr="0089281D">
        <w:rPr>
          <w:rFonts w:hint="cs"/>
          <w:rtl/>
        </w:rPr>
        <w:t xml:space="preserve">حالات </w:t>
      </w:r>
      <w:r w:rsidRPr="0089281D">
        <w:rPr>
          <w:rtl/>
        </w:rPr>
        <w:t>الكوارث من خلال تقنيات الإنذار المبكر والوقاية والتخفيف</w:t>
      </w:r>
      <w:r w:rsidRPr="0089281D">
        <w:rPr>
          <w:rFonts w:hint="cs"/>
          <w:rtl/>
        </w:rPr>
        <w:t> </w:t>
      </w:r>
      <w:r w:rsidRPr="0089281D">
        <w:rPr>
          <w:rtl/>
        </w:rPr>
        <w:t>والإغاثة؛</w:t>
      </w:r>
    </w:p>
    <w:p w14:paraId="335E4EB5" w14:textId="77777777" w:rsidR="0089281D" w:rsidRPr="00CC7ED2" w:rsidRDefault="0089281D" w:rsidP="0089281D">
      <w:pPr>
        <w:rPr>
          <w:spacing w:val="-4"/>
          <w:rtl/>
        </w:rPr>
      </w:pPr>
      <w:r w:rsidRPr="00CC7ED2">
        <w:rPr>
          <w:i/>
          <w:iCs/>
          <w:spacing w:val="-4"/>
          <w:rtl/>
        </w:rPr>
        <w:t>ب)</w:t>
      </w:r>
      <w:r w:rsidRPr="00CC7ED2">
        <w:rPr>
          <w:spacing w:val="-4"/>
          <w:rtl/>
        </w:rPr>
        <w:tab/>
        <w:t xml:space="preserve">أن لجان دراسات قطاع الاتصالات الراديوية تقوم بدور هام في إدارة </w:t>
      </w:r>
      <w:r w:rsidRPr="00CC7ED2">
        <w:rPr>
          <w:rFonts w:hint="cs"/>
          <w:spacing w:val="-4"/>
          <w:rtl/>
        </w:rPr>
        <w:t xml:space="preserve">حالات </w:t>
      </w:r>
      <w:r w:rsidRPr="00CC7ED2">
        <w:rPr>
          <w:spacing w:val="-4"/>
          <w:rtl/>
        </w:rPr>
        <w:t xml:space="preserve">الكوارث، ولا سيما في مجالات التنبؤ بوقوعها </w:t>
      </w:r>
      <w:r w:rsidRPr="00CC7ED2">
        <w:rPr>
          <w:rFonts w:hint="cs"/>
          <w:spacing w:val="-4"/>
          <w:rtl/>
        </w:rPr>
        <w:t xml:space="preserve">واستشعارها </w:t>
      </w:r>
      <w:r w:rsidRPr="00CC7ED2">
        <w:rPr>
          <w:spacing w:val="-4"/>
          <w:rtl/>
        </w:rPr>
        <w:t>والتخفيف من آثارها وأنشطة الإغاثة الضرورية لتجاوز الحدث ولتقليل الخسائر في الأرواح والممتلكات إلى الحد الأدنى؛</w:t>
      </w:r>
    </w:p>
    <w:p w14:paraId="43FE49AC" w14:textId="77777777" w:rsidR="0089281D" w:rsidRPr="0089281D" w:rsidRDefault="0089281D" w:rsidP="0089281D">
      <w:pPr>
        <w:rPr>
          <w:rtl/>
        </w:rPr>
      </w:pPr>
      <w:r w:rsidRPr="0089281D">
        <w:rPr>
          <w:i/>
          <w:iCs/>
          <w:rtl/>
        </w:rPr>
        <w:t>ج)</w:t>
      </w:r>
      <w:r w:rsidRPr="0089281D">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14:paraId="0D5D361C" w14:textId="77777777" w:rsidR="0089281D" w:rsidRPr="0089281D" w:rsidRDefault="0089281D" w:rsidP="0089281D">
      <w:pPr>
        <w:rPr>
          <w:rtl/>
        </w:rPr>
      </w:pPr>
      <w:r w:rsidRPr="0089281D">
        <w:rPr>
          <w:i/>
          <w:iCs/>
          <w:rtl/>
        </w:rPr>
        <w:t>د )</w:t>
      </w:r>
      <w:r w:rsidRPr="0089281D">
        <w:rPr>
          <w:rtl/>
        </w:rPr>
        <w:tab/>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14:paraId="4BF195DB" w14:textId="3266A485" w:rsidR="0089281D" w:rsidRPr="0089281D" w:rsidRDefault="0089281D" w:rsidP="0056360E">
      <w:pPr>
        <w:pStyle w:val="Call"/>
        <w:rPr>
          <w:rtl/>
        </w:rPr>
      </w:pPr>
      <w:r w:rsidRPr="0089281D">
        <w:rPr>
          <w:rtl/>
        </w:rPr>
        <w:t>وإذ تشير</w:t>
      </w:r>
      <w:r>
        <w:rPr>
          <w:rFonts w:hint="cs"/>
          <w:rtl/>
        </w:rPr>
        <w:t xml:space="preserve"> </w:t>
      </w:r>
      <w:r w:rsidRPr="0089281D">
        <w:rPr>
          <w:rtl/>
        </w:rPr>
        <w:t>إلى</w:t>
      </w:r>
    </w:p>
    <w:p w14:paraId="0E0EC98E" w14:textId="1F308AEC" w:rsidR="0089281D" w:rsidRPr="0089281D" w:rsidRDefault="0089281D" w:rsidP="0089281D">
      <w:pPr>
        <w:rPr>
          <w:rtl/>
        </w:rPr>
      </w:pPr>
      <w:r w:rsidRPr="0089281D">
        <w:rPr>
          <w:i/>
          <w:iCs/>
          <w:rtl/>
        </w:rPr>
        <w:t xml:space="preserve"> أ )</w:t>
      </w:r>
      <w:r w:rsidRPr="0089281D">
        <w:rPr>
          <w:rtl/>
        </w:rPr>
        <w:tab/>
        <w:t>القرار </w:t>
      </w:r>
      <w:r w:rsidRPr="0089281D">
        <w:t>34</w:t>
      </w:r>
      <w:r w:rsidRPr="0089281D">
        <w:rPr>
          <w:rtl/>
        </w:rPr>
        <w:t xml:space="preserve"> (المراجَع في</w:t>
      </w:r>
      <w:r>
        <w:rPr>
          <w:rFonts w:hint="cs"/>
          <w:rtl/>
        </w:rPr>
        <w:t xml:space="preserve"> </w:t>
      </w:r>
      <w:r w:rsidRPr="0089281D">
        <w:rPr>
          <w:rtl/>
        </w:rPr>
        <w:t>بوينس آيرس</w:t>
      </w:r>
      <w:r w:rsidRPr="0089281D">
        <w:rPr>
          <w:rFonts w:hint="cs"/>
          <w:rtl/>
        </w:rPr>
        <w:t xml:space="preserve">، </w:t>
      </w:r>
      <w:r w:rsidRPr="0089281D">
        <w:t>2017</w:t>
      </w:r>
      <w:r w:rsidRPr="0089281D">
        <w:rPr>
          <w:rtl/>
        </w:rPr>
        <w:t xml:space="preserve">) الصادر عن المؤتمر العالمي لتنمية الاتصالات، </w:t>
      </w:r>
      <w:r w:rsidRPr="0089281D">
        <w:rPr>
          <w:rtl/>
          <w:lang w:bidi="ar-EG"/>
        </w:rPr>
        <w:t>بشأن</w:t>
      </w:r>
      <w:r w:rsidRPr="0089281D">
        <w:rPr>
          <w:rFonts w:hint="cs"/>
          <w:rtl/>
          <w:lang w:bidi="ar-EG"/>
        </w:rPr>
        <w:t xml:space="preserve"> </w:t>
      </w:r>
      <w:r w:rsidRPr="0089281D">
        <w:rPr>
          <w:rtl/>
        </w:rPr>
        <w:t>دور</w:t>
      </w:r>
      <w:r w:rsidRPr="0089281D">
        <w:rPr>
          <w:rFonts w:hint="cs"/>
          <w:rtl/>
        </w:rPr>
        <w:t xml:space="preserve"> </w:t>
      </w:r>
      <w:r w:rsidRPr="0089281D">
        <w:rPr>
          <w:rtl/>
        </w:rPr>
        <w:t>الاتصالات/تكنولوجيا المعلومات والاتصالات في التأهب للكوارث، والإنذار المبكر</w:t>
      </w:r>
      <w:r w:rsidRPr="0089281D">
        <w:rPr>
          <w:rFonts w:hint="cs"/>
          <w:rtl/>
        </w:rPr>
        <w:t xml:space="preserve"> بها</w:t>
      </w:r>
      <w:r w:rsidRPr="0089281D">
        <w:rPr>
          <w:rtl/>
        </w:rPr>
        <w:t xml:space="preserve">، </w:t>
      </w:r>
      <w:r w:rsidRPr="0089281D">
        <w:rPr>
          <w:rFonts w:hint="cs"/>
          <w:rtl/>
        </w:rPr>
        <w:t>وعمليات الإغاثة عند وقوعها</w:t>
      </w:r>
      <w:r w:rsidRPr="0089281D">
        <w:rPr>
          <w:rtl/>
        </w:rPr>
        <w:t xml:space="preserve">، وفي تخفيف </w:t>
      </w:r>
      <w:r w:rsidRPr="0089281D">
        <w:rPr>
          <w:rFonts w:hint="cs"/>
          <w:rtl/>
        </w:rPr>
        <w:t>آثارها والتصدي</w:t>
      </w:r>
      <w:r w:rsidRPr="0089281D">
        <w:rPr>
          <w:rFonts w:hint="eastAsia"/>
          <w:rtl/>
        </w:rPr>
        <w:t> </w:t>
      </w:r>
      <w:r w:rsidRPr="0089281D">
        <w:rPr>
          <w:rtl/>
        </w:rPr>
        <w:t>لها؛</w:t>
      </w:r>
    </w:p>
    <w:p w14:paraId="6856FBA4" w14:textId="07707210" w:rsidR="0089281D" w:rsidRPr="0089281D" w:rsidRDefault="0089281D" w:rsidP="0089281D">
      <w:pPr>
        <w:rPr>
          <w:spacing w:val="-4"/>
          <w:rtl/>
          <w:lang w:bidi="ar-EG"/>
        </w:rPr>
      </w:pPr>
      <w:r w:rsidRPr="0089281D">
        <w:rPr>
          <w:i/>
          <w:iCs/>
          <w:spacing w:val="-4"/>
          <w:rtl/>
        </w:rPr>
        <w:t>ب)</w:t>
      </w:r>
      <w:r w:rsidRPr="0089281D">
        <w:rPr>
          <w:spacing w:val="-4"/>
          <w:rtl/>
        </w:rPr>
        <w:tab/>
        <w:t>الفقرة </w:t>
      </w:r>
      <w:r w:rsidRPr="0089281D">
        <w:rPr>
          <w:spacing w:val="-4"/>
        </w:rPr>
        <w:t>91</w:t>
      </w:r>
      <w:r w:rsidRPr="0089281D">
        <w:rPr>
          <w:spacing w:val="-4"/>
          <w:rtl/>
        </w:rPr>
        <w:t>ج) من برنامج عمل تونس في إطار القمة العالمية لمجتمع المعلومات </w:t>
      </w:r>
      <w:r w:rsidRPr="0089281D">
        <w:rPr>
          <w:spacing w:val="-4"/>
        </w:rPr>
        <w:t>(WSIS)</w:t>
      </w:r>
      <w:r w:rsidRPr="0089281D">
        <w:rPr>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w:t>
      </w:r>
      <w:r w:rsidRPr="0089281D">
        <w:rPr>
          <w:rFonts w:hint="cs"/>
          <w:spacing w:val="-4"/>
          <w:rtl/>
        </w:rPr>
        <w:t> </w:t>
      </w:r>
      <w:r w:rsidRPr="0089281D">
        <w:rPr>
          <w:spacing w:val="-4"/>
          <w:rtl/>
        </w:rPr>
        <w:t>للكوارث"</w:t>
      </w:r>
      <w:r w:rsidRPr="0089281D">
        <w:rPr>
          <w:rFonts w:hint="cs"/>
          <w:spacing w:val="-4"/>
          <w:rtl/>
        </w:rPr>
        <w:t>؛</w:t>
      </w:r>
    </w:p>
    <w:p w14:paraId="6C009F1D" w14:textId="244E3037" w:rsidR="0089281D" w:rsidRPr="0089281D" w:rsidRDefault="0089281D" w:rsidP="0089281D">
      <w:pPr>
        <w:rPr>
          <w:rtl/>
          <w:lang w:bidi="ar-EG"/>
        </w:rPr>
      </w:pPr>
      <w:r w:rsidRPr="0089281D">
        <w:rPr>
          <w:rFonts w:hint="cs"/>
          <w:i/>
          <w:iCs/>
          <w:rtl/>
        </w:rPr>
        <w:t>ج)</w:t>
      </w:r>
      <w:r w:rsidRPr="0089281D">
        <w:rPr>
          <w:rFonts w:hint="cs"/>
          <w:rtl/>
        </w:rPr>
        <w:tab/>
        <w:t xml:space="preserve">التوصية </w:t>
      </w:r>
      <w:r w:rsidRPr="0089281D">
        <w:t>ITU-R M.2083</w:t>
      </w:r>
      <w:r w:rsidRPr="0089281D">
        <w:rPr>
          <w:rFonts w:hint="cs"/>
          <w:rtl/>
          <w:lang w:bidi="ar-EG"/>
        </w:rPr>
        <w:t xml:space="preserve"> المتعلقة بالتنبؤ بالكوارث واستشعارها والتخفيف من آثارها والإغاثة عند</w:t>
      </w:r>
      <w:r w:rsidRPr="0089281D">
        <w:rPr>
          <w:rFonts w:hint="eastAsia"/>
          <w:rtl/>
          <w:lang w:bidi="ar-EG"/>
        </w:rPr>
        <w:t> </w:t>
      </w:r>
      <w:r w:rsidRPr="0089281D">
        <w:rPr>
          <w:rFonts w:hint="cs"/>
          <w:rtl/>
          <w:lang w:bidi="ar-EG"/>
        </w:rPr>
        <w:t>وقوعها؛</w:t>
      </w:r>
    </w:p>
    <w:p w14:paraId="6EE501E2" w14:textId="413298FB" w:rsidR="0089281D" w:rsidRPr="0046601A" w:rsidRDefault="0089281D" w:rsidP="00565CCE">
      <w:pPr>
        <w:rPr>
          <w:rtl/>
          <w:lang w:bidi="ar-EG"/>
        </w:rPr>
      </w:pPr>
      <w:r w:rsidRPr="00565CCE">
        <w:rPr>
          <w:rFonts w:hint="eastAsia"/>
          <w:i/>
          <w:iCs/>
          <w:spacing w:val="-4"/>
          <w:rtl/>
          <w:lang w:bidi="ar-EG"/>
        </w:rPr>
        <w:t>د</w:t>
      </w:r>
      <w:r w:rsidR="00D60573" w:rsidRPr="00565CCE">
        <w:rPr>
          <w:rFonts w:hint="cs"/>
          <w:i/>
          <w:iCs/>
          <w:spacing w:val="-4"/>
          <w:rtl/>
          <w:lang w:bidi="ar-EG"/>
        </w:rPr>
        <w:t xml:space="preserve"> </w:t>
      </w:r>
      <w:r w:rsidRPr="00565CCE">
        <w:rPr>
          <w:i/>
          <w:iCs/>
          <w:spacing w:val="-4"/>
          <w:rtl/>
          <w:lang w:bidi="ar-EG"/>
        </w:rPr>
        <w:t>)</w:t>
      </w:r>
      <w:r w:rsidRPr="00E44995">
        <w:rPr>
          <w:spacing w:val="-4"/>
          <w:rtl/>
          <w:lang w:bidi="ar-EG"/>
        </w:rPr>
        <w:tab/>
      </w:r>
      <w:r w:rsidRPr="00E44995">
        <w:rPr>
          <w:rFonts w:hint="eastAsia"/>
          <w:spacing w:val="-4"/>
          <w:rtl/>
          <w:lang w:bidi="ar-EG"/>
        </w:rPr>
        <w:t>التوصية</w:t>
      </w:r>
      <w:r w:rsidRPr="00E44995">
        <w:rPr>
          <w:spacing w:val="-4"/>
          <w:rtl/>
          <w:lang w:bidi="ar-EG"/>
        </w:rPr>
        <w:t xml:space="preserve"> </w:t>
      </w:r>
      <w:r w:rsidRPr="00E44995">
        <w:rPr>
          <w:spacing w:val="-4"/>
          <w:lang w:bidi="ar-EG"/>
        </w:rPr>
        <w:t>ITU-R BS.2107</w:t>
      </w:r>
      <w:r w:rsidR="00565CCE">
        <w:rPr>
          <w:rFonts w:hint="cs"/>
          <w:spacing w:val="-4"/>
          <w:rtl/>
          <w:lang w:bidi="ar-EG"/>
        </w:rPr>
        <w:t>، بشأن</w:t>
      </w:r>
      <w:r w:rsidRPr="00E44995">
        <w:rPr>
          <w:rFonts w:hint="cs"/>
          <w:spacing w:val="-4"/>
          <w:rtl/>
          <w:lang w:bidi="ar-EG"/>
        </w:rPr>
        <w:t xml:space="preserve"> </w:t>
      </w:r>
      <w:r w:rsidRPr="00E44995">
        <w:rPr>
          <w:spacing w:val="-4"/>
          <w:rtl/>
          <w:lang w:bidi="ar-EG"/>
        </w:rPr>
        <w:t xml:space="preserve">استعمال ترددات الاتصالات الراديوية الدولية </w:t>
      </w:r>
      <w:r w:rsidRPr="00E44995">
        <w:rPr>
          <w:rFonts w:hint="cs"/>
          <w:spacing w:val="-4"/>
          <w:rtl/>
          <w:lang w:bidi="ar-EG"/>
        </w:rPr>
        <w:t xml:space="preserve">المعدة </w:t>
      </w:r>
      <w:r w:rsidRPr="00E44995">
        <w:rPr>
          <w:spacing w:val="-4"/>
          <w:rtl/>
          <w:lang w:bidi="ar-EG"/>
        </w:rPr>
        <w:t>للإغاثة في حالات الكوارث</w:t>
      </w:r>
      <w:r w:rsidRPr="00E44995">
        <w:rPr>
          <w:rFonts w:hint="cs"/>
          <w:spacing w:val="-4"/>
          <w:rtl/>
          <w:lang w:bidi="ar-EG"/>
        </w:rPr>
        <w:t> </w:t>
      </w:r>
      <w:r w:rsidRPr="00E44995">
        <w:rPr>
          <w:spacing w:val="-4"/>
          <w:lang w:bidi="ar-EG"/>
        </w:rPr>
        <w:t>(IRDR)</w:t>
      </w:r>
      <w:r w:rsidRPr="00E44995">
        <w:rPr>
          <w:rFonts w:hint="cs"/>
          <w:spacing w:val="-4"/>
          <w:rtl/>
          <w:lang w:bidi="ar-EG"/>
        </w:rPr>
        <w:t xml:space="preserve"> </w:t>
      </w:r>
      <w:r w:rsidRPr="0046601A">
        <w:rPr>
          <w:rtl/>
          <w:lang w:bidi="ar-EG"/>
        </w:rPr>
        <w:t xml:space="preserve">لأغراض الإذاعة في نطاقات الترددات العالية </w:t>
      </w:r>
      <w:r w:rsidRPr="0046601A">
        <w:rPr>
          <w:lang w:bidi="ar-EG"/>
        </w:rPr>
        <w:t>(HF)</w:t>
      </w:r>
      <w:r w:rsidRPr="0046601A">
        <w:rPr>
          <w:rtl/>
          <w:lang w:bidi="ar-EG"/>
        </w:rPr>
        <w:t xml:space="preserve"> في حالات الطوارئ</w:t>
      </w:r>
      <w:r w:rsidRPr="0046601A">
        <w:rPr>
          <w:rFonts w:hint="cs"/>
          <w:rtl/>
          <w:lang w:bidi="ar-EG"/>
        </w:rPr>
        <w:t>، التي تحدد ترددات الاتصالات الراديوية الدولية المعدة للإغاثة في</w:t>
      </w:r>
      <w:r w:rsidR="0046601A" w:rsidRPr="0046601A">
        <w:rPr>
          <w:rFonts w:hint="eastAsia"/>
          <w:rtl/>
          <w:lang w:bidi="ar-EG"/>
        </w:rPr>
        <w:t> </w:t>
      </w:r>
      <w:r w:rsidRPr="0046601A">
        <w:rPr>
          <w:rFonts w:hint="cs"/>
          <w:rtl/>
          <w:lang w:bidi="ar-EG"/>
        </w:rPr>
        <w:t xml:space="preserve">حالات الكوارث </w:t>
      </w:r>
      <w:r w:rsidR="00BA4D27">
        <w:rPr>
          <w:rFonts w:hint="cs"/>
          <w:rtl/>
          <w:lang w:bidi="ar-EG"/>
        </w:rPr>
        <w:t>والممكن</w:t>
      </w:r>
      <w:r w:rsidRPr="0046601A">
        <w:rPr>
          <w:rFonts w:hint="cs"/>
          <w:rtl/>
          <w:lang w:bidi="ar-EG"/>
        </w:rPr>
        <w:t xml:space="preserve"> استعمالها لأغراض الإذاعة في الترددات العالية في حالات الطوارئ</w:t>
      </w:r>
      <w:r w:rsidRPr="0046601A">
        <w:rPr>
          <w:rFonts w:hint="eastAsia"/>
          <w:rtl/>
          <w:lang w:bidi="ar-EG"/>
        </w:rPr>
        <w:t>؛</w:t>
      </w:r>
    </w:p>
    <w:p w14:paraId="62864019" w14:textId="6D1F2F9C" w:rsidR="0089281D" w:rsidRPr="00565CCE" w:rsidRDefault="0089281D" w:rsidP="0089281D">
      <w:pPr>
        <w:rPr>
          <w:rtl/>
        </w:rPr>
      </w:pPr>
      <w:r w:rsidRPr="0089281D">
        <w:rPr>
          <w:rFonts w:hint="eastAsia"/>
          <w:i/>
          <w:iCs/>
          <w:rtl/>
          <w:lang w:bidi="ar-EG"/>
        </w:rPr>
        <w:t>ه</w:t>
      </w:r>
      <w:r w:rsidR="00D60573">
        <w:rPr>
          <w:rFonts w:hint="cs"/>
          <w:i/>
          <w:iCs/>
          <w:rtl/>
          <w:lang w:bidi="ar-EG"/>
        </w:rPr>
        <w:t xml:space="preserve"> </w:t>
      </w:r>
      <w:r w:rsidRPr="0089281D">
        <w:rPr>
          <w:i/>
          <w:iCs/>
          <w:rtl/>
          <w:lang w:bidi="ar-EG"/>
        </w:rPr>
        <w:t>)</w:t>
      </w:r>
      <w:r w:rsidRPr="0089281D">
        <w:rPr>
          <w:i/>
          <w:iCs/>
          <w:rtl/>
          <w:lang w:bidi="ar-EG"/>
        </w:rPr>
        <w:tab/>
      </w:r>
      <w:r w:rsidRPr="0089281D">
        <w:rPr>
          <w:rFonts w:eastAsia="SimSun"/>
          <w:rtl/>
          <w:lang w:eastAsia="zh-CN" w:bidi="ar-EG"/>
        </w:rPr>
        <w:t xml:space="preserve">التقرير </w:t>
      </w:r>
      <w:r w:rsidRPr="0089281D" w:rsidDel="0011681D">
        <w:rPr>
          <w:rFonts w:eastAsia="SimSun"/>
          <w:lang w:val="en-CA" w:eastAsia="zh-CN" w:bidi="ar-EG"/>
        </w:rPr>
        <w:t>ITU-R BT.2299</w:t>
      </w:r>
      <w:r w:rsidR="00565CCE">
        <w:rPr>
          <w:rFonts w:eastAsia="SimSun" w:hint="cs"/>
          <w:rtl/>
          <w:lang w:val="en-CA" w:eastAsia="zh-CN" w:bidi="ar-EG"/>
        </w:rPr>
        <w:t xml:space="preserve">، </w:t>
      </w:r>
      <w:r w:rsidR="00565CCE" w:rsidRPr="00565CCE">
        <w:rPr>
          <w:rFonts w:eastAsia="SimSun" w:hint="cs"/>
          <w:rtl/>
        </w:rPr>
        <w:t>بشأن</w:t>
      </w:r>
      <w:r w:rsidRPr="00565CCE">
        <w:rPr>
          <w:rFonts w:eastAsia="SimSun"/>
          <w:rtl/>
        </w:rPr>
        <w:t xml:space="preserve"> الإذاعة من أجل إنذار الجمهور وتخفيف </w:t>
      </w:r>
      <w:r w:rsidR="00BA4D27" w:rsidRPr="00565CCE">
        <w:rPr>
          <w:rFonts w:eastAsia="SimSun" w:hint="cs"/>
          <w:rtl/>
        </w:rPr>
        <w:t>آثار</w:t>
      </w:r>
      <w:r w:rsidRPr="00565CCE">
        <w:rPr>
          <w:rFonts w:eastAsia="SimSun"/>
          <w:rtl/>
        </w:rPr>
        <w:t xml:space="preserve"> الكوارث والإغاثة، </w:t>
      </w:r>
      <w:r w:rsidRPr="00565CCE">
        <w:rPr>
          <w:rFonts w:eastAsia="SimSun" w:hint="cs"/>
          <w:rtl/>
        </w:rPr>
        <w:t xml:space="preserve">الذي </w:t>
      </w:r>
      <w:r w:rsidRPr="00565CCE">
        <w:rPr>
          <w:rFonts w:eastAsia="SimSun"/>
          <w:rtl/>
        </w:rPr>
        <w:t>يوفر تجميعاً للأدلة الداعمة التي تبين أن الإذاعة تؤدي دوراً بالغ الأهمية في تعميم المعلومات على الجمهور إبان الطوارئ،</w:t>
      </w:r>
    </w:p>
    <w:p w14:paraId="5355E8CE" w14:textId="77777777" w:rsidR="0089281D" w:rsidRPr="0089281D" w:rsidRDefault="0089281D" w:rsidP="00727CE9">
      <w:pPr>
        <w:pStyle w:val="Call"/>
        <w:rPr>
          <w:rtl/>
        </w:rPr>
      </w:pPr>
      <w:r w:rsidRPr="0089281D">
        <w:rPr>
          <w:rtl/>
        </w:rPr>
        <w:t>وإذ تأخذ في الحسبان</w:t>
      </w:r>
    </w:p>
    <w:p w14:paraId="21D10BFE" w14:textId="77777777" w:rsidR="0089281D" w:rsidRPr="0089281D" w:rsidRDefault="0089281D" w:rsidP="00CC7ED2">
      <w:pPr>
        <w:pStyle w:val="enumlev1"/>
        <w:rPr>
          <w:rtl/>
          <w:lang w:bidi="ar-JO"/>
        </w:rPr>
      </w:pPr>
      <w:r w:rsidRPr="0089281D">
        <w:rPr>
          <w:rtl/>
        </w:rPr>
        <w:t>-</w:t>
      </w:r>
      <w:r w:rsidRPr="0089281D">
        <w:rPr>
          <w:rtl/>
        </w:rPr>
        <w:tab/>
      </w:r>
      <w:r w:rsidRPr="0089281D">
        <w:rPr>
          <w:rFonts w:hint="cs"/>
          <w:rtl/>
          <w:lang w:bidi="ar-JO"/>
        </w:rPr>
        <w:t>القرارات ذات الصلة الصادرة</w:t>
      </w:r>
      <w:r w:rsidRPr="0089281D">
        <w:rPr>
          <w:rtl/>
          <w:lang w:bidi="ar-JO"/>
        </w:rPr>
        <w:t xml:space="preserve"> عن المؤتمر العالمي للاتصالات الراديوية</w:t>
      </w:r>
      <w:r w:rsidRPr="0089281D">
        <w:rPr>
          <w:rFonts w:hint="cs"/>
          <w:rtl/>
          <w:lang w:bidi="ar-JO"/>
        </w:rPr>
        <w:t xml:space="preserve"> في هذا الصدد</w:t>
      </w:r>
      <w:r w:rsidRPr="0089281D">
        <w:rPr>
          <w:rtl/>
          <w:lang w:bidi="ar-JO"/>
        </w:rPr>
        <w:t>؛</w:t>
      </w:r>
    </w:p>
    <w:p w14:paraId="6BC5CAFD" w14:textId="77777777" w:rsidR="0089281D" w:rsidRPr="0089281D" w:rsidRDefault="0089281D" w:rsidP="00CC7ED2">
      <w:pPr>
        <w:pStyle w:val="enumlev1"/>
        <w:rPr>
          <w:rtl/>
          <w:lang w:bidi="ar-EG"/>
        </w:rPr>
      </w:pPr>
      <w:r w:rsidRPr="0089281D">
        <w:rPr>
          <w:rtl/>
        </w:rPr>
        <w:t>-</w:t>
      </w:r>
      <w:r w:rsidRPr="0089281D">
        <w:rPr>
          <w:rtl/>
        </w:rPr>
        <w:tab/>
        <w:t>القرار </w:t>
      </w:r>
      <w:r w:rsidRPr="0089281D">
        <w:t>ITU</w:t>
      </w:r>
      <w:r w:rsidRPr="0089281D">
        <w:noBreakHyphen/>
        <w:t>R 60</w:t>
      </w:r>
      <w:r w:rsidRPr="0089281D">
        <w:rPr>
          <w:rtl/>
          <w:lang w:bidi="ar-EG"/>
        </w:rPr>
        <w:t>،</w:t>
      </w:r>
      <w:bookmarkStart w:id="0" w:name="_GoBack"/>
      <w:bookmarkEnd w:id="0"/>
    </w:p>
    <w:p w14:paraId="1E094333" w14:textId="77777777" w:rsidR="0089281D" w:rsidRPr="0089281D" w:rsidRDefault="0089281D" w:rsidP="0056360E">
      <w:pPr>
        <w:pStyle w:val="Call"/>
        <w:rPr>
          <w:rtl/>
        </w:rPr>
      </w:pPr>
      <w:r w:rsidRPr="0089281D">
        <w:rPr>
          <w:rtl/>
        </w:rPr>
        <w:lastRenderedPageBreak/>
        <w:t>وإذ تشدِّد</w:t>
      </w:r>
    </w:p>
    <w:p w14:paraId="6463B598" w14:textId="77777777" w:rsidR="0089281D" w:rsidRPr="0089281D" w:rsidRDefault="0089281D" w:rsidP="0089281D">
      <w:pPr>
        <w:rPr>
          <w:rtl/>
          <w:lang w:bidi="ar-EG"/>
        </w:rPr>
      </w:pPr>
      <w:r w:rsidRPr="0089281D">
        <w:rPr>
          <w:rtl/>
          <w:lang w:bidi="ar-EG"/>
        </w:rPr>
        <w:t xml:space="preserve">على أن لجان دراسات قطاع الاتصالات الراديوية تؤدي دوراً هاماً في تدبُّر الكوارث من خلال دراساتها وتوصياتها التقنية والتشغيلية التي تدعم أنشطة التنبؤ بالكوارث </w:t>
      </w:r>
      <w:r w:rsidRPr="0089281D">
        <w:rPr>
          <w:rFonts w:hint="cs"/>
          <w:rtl/>
          <w:lang w:bidi="ar-EG"/>
        </w:rPr>
        <w:t>واستشعارها</w:t>
      </w:r>
      <w:r w:rsidRPr="0089281D">
        <w:rPr>
          <w:rtl/>
          <w:lang w:bidi="ar-EG"/>
        </w:rPr>
        <w:t xml:space="preserve"> والتخفيف من وطأتها والتصدّي لها، </w:t>
      </w:r>
      <w:r w:rsidRPr="0089281D">
        <w:rPr>
          <w:rFonts w:hint="cs"/>
          <w:rtl/>
          <w:lang w:bidi="ar-EG"/>
        </w:rPr>
        <w:t xml:space="preserve">وهي </w:t>
      </w:r>
      <w:r w:rsidRPr="0089281D">
        <w:rPr>
          <w:rtl/>
          <w:lang w:bidi="ar-EG"/>
        </w:rPr>
        <w:t>أنشطة حاسمة في</w:t>
      </w:r>
      <w:r w:rsidRPr="0089281D">
        <w:rPr>
          <w:rFonts w:hint="eastAsia"/>
          <w:rtl/>
          <w:lang w:bidi="ar-EG"/>
        </w:rPr>
        <w:t> </w:t>
      </w:r>
      <w:r w:rsidRPr="0089281D">
        <w:rPr>
          <w:rtl/>
          <w:lang w:bidi="ar-EG"/>
        </w:rPr>
        <w:t>تقليل الخسائر من الأرواح والممتلكات وفي توفير الإغاثة في المناطق المتضررة</w:t>
      </w:r>
      <w:r w:rsidRPr="0089281D">
        <w:rPr>
          <w:rFonts w:hint="eastAsia"/>
          <w:rtl/>
          <w:lang w:bidi="ar-EG"/>
        </w:rPr>
        <w:t> </w:t>
      </w:r>
      <w:r w:rsidRPr="0089281D">
        <w:rPr>
          <w:rtl/>
          <w:lang w:bidi="ar-EG"/>
        </w:rPr>
        <w:t>بالكوارث،</w:t>
      </w:r>
    </w:p>
    <w:p w14:paraId="603A7FA7" w14:textId="77777777" w:rsidR="0089281D" w:rsidRPr="0089281D" w:rsidRDefault="0089281D" w:rsidP="0056360E">
      <w:pPr>
        <w:pStyle w:val="Call"/>
        <w:rPr>
          <w:rtl/>
          <w:lang w:bidi="ar-EG"/>
        </w:rPr>
      </w:pPr>
      <w:r w:rsidRPr="0089281D">
        <w:rPr>
          <w:rtl/>
        </w:rPr>
        <w:t>وإذ تدرك</w:t>
      </w:r>
    </w:p>
    <w:p w14:paraId="3F40180A" w14:textId="5D4BE38B" w:rsidR="0089281D" w:rsidRPr="0089281D" w:rsidRDefault="0089281D" w:rsidP="0089281D">
      <w:pPr>
        <w:rPr>
          <w:spacing w:val="-2"/>
          <w:rtl/>
        </w:rPr>
      </w:pPr>
      <w:r w:rsidRPr="0089281D">
        <w:rPr>
          <w:i/>
          <w:iCs/>
          <w:rtl/>
        </w:rPr>
        <w:t xml:space="preserve"> أ )</w:t>
      </w:r>
      <w:r w:rsidRPr="0089281D">
        <w:rPr>
          <w:rtl/>
        </w:rPr>
        <w:tab/>
      </w:r>
      <w:r w:rsidRPr="0089281D">
        <w:rPr>
          <w:spacing w:val="-2"/>
          <w:rtl/>
        </w:rPr>
        <w:t>أن القرار </w:t>
      </w:r>
      <w:r w:rsidRPr="0089281D">
        <w:rPr>
          <w:spacing w:val="-2"/>
        </w:rPr>
        <w:t>136</w:t>
      </w:r>
      <w:r w:rsidRPr="0089281D">
        <w:rPr>
          <w:spacing w:val="-2"/>
          <w:rtl/>
        </w:rPr>
        <w:t xml:space="preserve"> (المراج</w:t>
      </w:r>
      <w:r w:rsidRPr="0089281D">
        <w:rPr>
          <w:rFonts w:hint="cs"/>
          <w:spacing w:val="-2"/>
          <w:rtl/>
        </w:rPr>
        <w:t>َ</w:t>
      </w:r>
      <w:r w:rsidRPr="0089281D">
        <w:rPr>
          <w:spacing w:val="-2"/>
          <w:rtl/>
        </w:rPr>
        <w:t>ع في</w:t>
      </w:r>
      <w:r w:rsidR="00D60573">
        <w:rPr>
          <w:rFonts w:hint="cs"/>
          <w:spacing w:val="-2"/>
          <w:rtl/>
        </w:rPr>
        <w:t xml:space="preserve"> </w:t>
      </w:r>
      <w:r w:rsidRPr="0089281D">
        <w:rPr>
          <w:rFonts w:hint="cs"/>
          <w:spacing w:val="-2"/>
          <w:rtl/>
        </w:rPr>
        <w:t xml:space="preserve">دبي، </w:t>
      </w:r>
      <w:r w:rsidRPr="0089281D">
        <w:rPr>
          <w:spacing w:val="-2"/>
        </w:rPr>
        <w:t>2018</w:t>
      </w:r>
      <w:r w:rsidRPr="0089281D">
        <w:rPr>
          <w:spacing w:val="-2"/>
          <w:rtl/>
        </w:rPr>
        <w:t xml:space="preserve">) </w:t>
      </w:r>
      <w:r w:rsidRPr="0089281D">
        <w:rPr>
          <w:spacing w:val="-2"/>
          <w:rtl/>
          <w:lang w:bidi="ar-EG"/>
        </w:rPr>
        <w:t>لمؤتمر المندوبين المفوضين</w:t>
      </w:r>
      <w:r w:rsidR="006D6C59">
        <w:rPr>
          <w:rFonts w:hint="cs"/>
          <w:spacing w:val="-2"/>
          <w:rtl/>
          <w:lang w:bidi="ar-EG"/>
        </w:rPr>
        <w:t>،</w:t>
      </w:r>
      <w:r w:rsidRPr="0089281D">
        <w:rPr>
          <w:rFonts w:hint="cs"/>
          <w:spacing w:val="-2"/>
          <w:rtl/>
          <w:lang w:bidi="ar-EG"/>
        </w:rPr>
        <w:t xml:space="preserve"> بشأن</w:t>
      </w:r>
      <w:r w:rsidRPr="0089281D">
        <w:rPr>
          <w:spacing w:val="-2"/>
          <w:rtl/>
          <w:lang w:bidi="ar-EG"/>
        </w:rPr>
        <w:t xml:space="preserve"> </w:t>
      </w:r>
      <w:r w:rsidRPr="0089281D">
        <w:rPr>
          <w:spacing w:val="-2"/>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w:t>
      </w:r>
      <w:r w:rsidRPr="0089281D">
        <w:rPr>
          <w:rFonts w:hint="eastAsia"/>
          <w:spacing w:val="-2"/>
          <w:rtl/>
          <w:lang w:bidi="ar-EG"/>
        </w:rPr>
        <w:t> </w:t>
      </w:r>
      <w:r w:rsidRPr="0089281D">
        <w:rPr>
          <w:spacing w:val="-2"/>
          <w:rtl/>
        </w:rPr>
        <w:t>المكاتب:</w:t>
      </w:r>
    </w:p>
    <w:p w14:paraId="18E70077" w14:textId="77777777" w:rsidR="0089281D" w:rsidRPr="0089281D" w:rsidRDefault="0089281D" w:rsidP="006D6C59">
      <w:pPr>
        <w:pStyle w:val="enumlev1"/>
        <w:rPr>
          <w:rtl/>
        </w:rPr>
      </w:pPr>
      <w:r w:rsidRPr="0089281D">
        <w:t>(1</w:t>
      </w:r>
      <w:r w:rsidRPr="0089281D">
        <w:tab/>
      </w:r>
      <w:r w:rsidRPr="0089281D">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89281D">
        <w:rPr>
          <w:rFonts w:hint="eastAsia"/>
          <w:rtl/>
          <w:lang w:bidi="ar-EG"/>
        </w:rPr>
        <w:t> </w:t>
      </w:r>
      <w:r w:rsidRPr="0089281D">
        <w:rPr>
          <w:rtl/>
        </w:rPr>
        <w:t>النامية؛</w:t>
      </w:r>
    </w:p>
    <w:p w14:paraId="71099DFC" w14:textId="77777777" w:rsidR="0089281D" w:rsidRPr="0089281D" w:rsidRDefault="0089281D" w:rsidP="006D6C59">
      <w:pPr>
        <w:pStyle w:val="enumlev1"/>
        <w:rPr>
          <w:spacing w:val="-4"/>
          <w:rtl/>
        </w:rPr>
      </w:pPr>
      <w:r w:rsidRPr="0089281D">
        <w:rPr>
          <w:spacing w:val="-4"/>
        </w:rPr>
        <w:t>(2</w:t>
      </w:r>
      <w:r w:rsidRPr="0089281D">
        <w:rPr>
          <w:spacing w:val="-4"/>
        </w:rPr>
        <w:tab/>
      </w:r>
      <w:r w:rsidRPr="0089281D">
        <w:rPr>
          <w:spacing w:val="-4"/>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w:t>
      </w:r>
      <w:r w:rsidRPr="0089281D">
        <w:rPr>
          <w:rFonts w:hint="eastAsia"/>
          <w:spacing w:val="-4"/>
          <w:rtl/>
          <w:lang w:bidi="ar-EG"/>
        </w:rPr>
        <w:t> </w:t>
      </w:r>
      <w:r w:rsidRPr="0089281D">
        <w:rPr>
          <w:spacing w:val="-4"/>
          <w:rtl/>
        </w:rPr>
        <w:t>في</w:t>
      </w:r>
      <w:r w:rsidRPr="0089281D">
        <w:rPr>
          <w:rFonts w:hint="eastAsia"/>
          <w:spacing w:val="-4"/>
          <w:rtl/>
          <w:lang w:bidi="ar-EG"/>
        </w:rPr>
        <w:t> </w:t>
      </w:r>
      <w:r w:rsidRPr="0089281D">
        <w:rPr>
          <w:spacing w:val="-4"/>
          <w:rtl/>
        </w:rPr>
        <w:t>ذلك أنظمة رصد وإدارة تتضمن استخدام الاتصالات/تكنولوجيا المعلومات والاتصالات (مثل الاستشعار عن بُعد</w:t>
      </w:r>
      <w:proofErr w:type="gramStart"/>
      <w:r w:rsidRPr="0089281D">
        <w:rPr>
          <w:spacing w:val="-4"/>
          <w:rtl/>
        </w:rPr>
        <w:t>)،</w:t>
      </w:r>
      <w:proofErr w:type="gramEnd"/>
      <w:r w:rsidRPr="0089281D">
        <w:rPr>
          <w:spacing w:val="-4"/>
          <w:rtl/>
        </w:rPr>
        <w:t xml:space="preserve"> وذلك بالتعاون مع الوكالات الدولية الأخرى بغية دعم التنسيق على الصعيدين العالمي</w:t>
      </w:r>
      <w:r w:rsidRPr="0089281D">
        <w:rPr>
          <w:rFonts w:hint="cs"/>
          <w:spacing w:val="-4"/>
          <w:rtl/>
        </w:rPr>
        <w:t> </w:t>
      </w:r>
      <w:r w:rsidRPr="0089281D">
        <w:rPr>
          <w:spacing w:val="-4"/>
          <w:rtl/>
        </w:rPr>
        <w:t>والإقليمي؛</w:t>
      </w:r>
    </w:p>
    <w:p w14:paraId="18FEB4B3" w14:textId="77777777" w:rsidR="0089281D" w:rsidRPr="0089281D" w:rsidRDefault="0089281D" w:rsidP="006D6C59">
      <w:pPr>
        <w:pStyle w:val="enumlev1"/>
        <w:rPr>
          <w:rtl/>
        </w:rPr>
      </w:pPr>
      <w:r w:rsidRPr="0089281D">
        <w:t>(3</w:t>
      </w:r>
      <w:r w:rsidRPr="0089281D">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w:t>
      </w:r>
      <w:r w:rsidRPr="0089281D">
        <w:rPr>
          <w:rFonts w:hint="cs"/>
          <w:spacing w:val="-4"/>
          <w:rtl/>
        </w:rPr>
        <w:t> </w:t>
      </w:r>
      <w:r w:rsidRPr="0089281D">
        <w:rPr>
          <w:rtl/>
        </w:rPr>
        <w:t>جميع حالات الكوارث والطوارئ؛</w:t>
      </w:r>
    </w:p>
    <w:p w14:paraId="7E66FD15" w14:textId="77777777" w:rsidR="0089281D" w:rsidRPr="0089281D" w:rsidRDefault="0089281D" w:rsidP="006D6C59">
      <w:pPr>
        <w:pStyle w:val="enumlev1"/>
        <w:rPr>
          <w:rtl/>
        </w:rPr>
      </w:pPr>
      <w:r w:rsidRPr="0089281D">
        <w:t>(4</w:t>
      </w:r>
      <w:r w:rsidRPr="0089281D">
        <w:rPr>
          <w:rtl/>
        </w:rPr>
        <w:tab/>
        <w:t>بمواصلة التعاون مع المنظمات العاملة في مجال معايير اتصالات الطوارئ/تكنولوجيا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p>
    <w:p w14:paraId="50080876" w14:textId="77777777" w:rsidR="0089281D" w:rsidRPr="0089281D" w:rsidRDefault="0089281D" w:rsidP="0089281D">
      <w:pPr>
        <w:rPr>
          <w:rtl/>
        </w:rPr>
      </w:pPr>
      <w:r w:rsidRPr="0089281D">
        <w:rPr>
          <w:i/>
          <w:iCs/>
          <w:rtl/>
        </w:rPr>
        <w:t>ب)</w:t>
      </w:r>
      <w:r w:rsidRPr="0089281D">
        <w:rPr>
          <w:rtl/>
        </w:rPr>
        <w:tab/>
        <w:t>أن إدارة الكوارث في ميدان الاتصالات الراديوية يشتمل على الجوانب التالية التي لا تقل أهمية:</w:t>
      </w:r>
    </w:p>
    <w:p w14:paraId="5F397E31" w14:textId="77777777" w:rsidR="0089281D" w:rsidRPr="0089281D" w:rsidRDefault="0089281D" w:rsidP="006D6C59">
      <w:pPr>
        <w:pStyle w:val="enumlev1"/>
        <w:rPr>
          <w:rtl/>
          <w:lang w:bidi="ar-EG"/>
        </w:rPr>
      </w:pPr>
      <w:r w:rsidRPr="0089281D">
        <w:t>(1</w:t>
      </w:r>
      <w:r w:rsidRPr="0089281D">
        <w:rPr>
          <w:rtl/>
        </w:rPr>
        <w:tab/>
        <w:t>الإنذار المبكر والوقاية، من خلال:</w:t>
      </w:r>
    </w:p>
    <w:p w14:paraId="3BAB0A26" w14:textId="77777777" w:rsidR="0089281D" w:rsidRPr="0089281D" w:rsidRDefault="0089281D" w:rsidP="006D6C59">
      <w:pPr>
        <w:pStyle w:val="enumlev2"/>
      </w:pPr>
      <w:r w:rsidRPr="0089281D">
        <w:rPr>
          <w:rtl/>
        </w:rPr>
        <w:t>-</w:t>
      </w:r>
      <w:r w:rsidRPr="0089281D">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14:paraId="2BB1204F" w14:textId="77777777" w:rsidR="0089281D" w:rsidRPr="0089281D" w:rsidRDefault="0089281D" w:rsidP="006D6C59">
      <w:pPr>
        <w:pStyle w:val="enumlev2"/>
        <w:rPr>
          <w:rtl/>
          <w:lang w:bidi="ar-EG"/>
        </w:rPr>
      </w:pPr>
      <w:r w:rsidRPr="0089281D">
        <w:rPr>
          <w:rtl/>
        </w:rPr>
        <w:t>-</w:t>
      </w:r>
      <w:r w:rsidRPr="0089281D">
        <w:rPr>
          <w:rtl/>
        </w:rPr>
        <w:tab/>
        <w:t>الكشف عن الكوارث، بما في ذلك التحليل المفصل لمكان وقوعها المحتمل وحدّتها؛</w:t>
      </w:r>
    </w:p>
    <w:p w14:paraId="45313BA2" w14:textId="77777777" w:rsidR="0089281D" w:rsidRPr="0089281D" w:rsidRDefault="0089281D" w:rsidP="006D6C59">
      <w:pPr>
        <w:pStyle w:val="enumlev1"/>
        <w:rPr>
          <w:rtl/>
        </w:rPr>
      </w:pPr>
      <w:r w:rsidRPr="0089281D">
        <w:t>(2</w:t>
      </w:r>
      <w:r w:rsidRPr="0089281D">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14:paraId="0CC993E4" w14:textId="77777777" w:rsidR="0089281D" w:rsidRPr="0089281D" w:rsidRDefault="0089281D" w:rsidP="006D6C59">
      <w:pPr>
        <w:pStyle w:val="enumlev1"/>
        <w:rPr>
          <w:rtl/>
        </w:rPr>
      </w:pPr>
      <w:r w:rsidRPr="0089281D">
        <w:t>(3</w:t>
      </w:r>
      <w:r w:rsidRPr="0089281D">
        <w:rPr>
          <w:rtl/>
        </w:rPr>
        <w:tab/>
        <w:t>الاتصالات الراديوية لعمليات الإغاثة في أعقاب الكوارث، بما في ذلك توفير أنظمة اتصالات أرضية وساتلية في عين المكان للمساعدة في الحفاظ على الأرواح والممتلكات وصونها في المنطقة المنكوبة،</w:t>
      </w:r>
    </w:p>
    <w:p w14:paraId="2C3B43BB" w14:textId="54B689A0" w:rsidR="0089281D" w:rsidRPr="0089281D" w:rsidRDefault="0089281D" w:rsidP="0056360E">
      <w:pPr>
        <w:pStyle w:val="Call"/>
        <w:rPr>
          <w:rtl/>
        </w:rPr>
      </w:pPr>
      <w:r w:rsidRPr="0089281D">
        <w:rPr>
          <w:rtl/>
        </w:rPr>
        <w:t xml:space="preserve">وإذ تدرك </w:t>
      </w:r>
      <w:r w:rsidR="00D60573">
        <w:rPr>
          <w:rFonts w:hint="cs"/>
          <w:rtl/>
        </w:rPr>
        <w:t>كذلك</w:t>
      </w:r>
    </w:p>
    <w:p w14:paraId="78A235B8" w14:textId="77777777" w:rsidR="0089281D" w:rsidRPr="0089281D" w:rsidRDefault="0089281D" w:rsidP="0089281D">
      <w:pPr>
        <w:rPr>
          <w:rtl/>
          <w:lang w:bidi="ar-EG"/>
        </w:rPr>
      </w:pPr>
      <w:r w:rsidRPr="0089281D">
        <w:rPr>
          <w:rtl/>
        </w:rPr>
        <w:t>أن التخفيف من آثار كارثة في أراضي بلد متقدم قد يكون له، عموماً، وقع أقل على الاقتصاد المحلي مما يكون عليه التخفيف من آثار كارثة مماثلة في أراضي بلد</w:t>
      </w:r>
      <w:r w:rsidRPr="0089281D">
        <w:rPr>
          <w:rFonts w:hint="cs"/>
          <w:spacing w:val="-4"/>
          <w:rtl/>
        </w:rPr>
        <w:t> </w:t>
      </w:r>
      <w:r w:rsidRPr="0089281D">
        <w:rPr>
          <w:rtl/>
        </w:rPr>
        <w:t>نام،</w:t>
      </w:r>
    </w:p>
    <w:p w14:paraId="01F3DD6B" w14:textId="4857368E" w:rsidR="0089281D" w:rsidRPr="004D0225" w:rsidRDefault="0089281D" w:rsidP="004D0225">
      <w:pPr>
        <w:pStyle w:val="Call"/>
        <w:rPr>
          <w:rtl/>
        </w:rPr>
      </w:pPr>
      <w:r w:rsidRPr="0089281D">
        <w:rPr>
          <w:rtl/>
        </w:rPr>
        <w:t>تقـرر</w:t>
      </w:r>
    </w:p>
    <w:p w14:paraId="0381F1DF" w14:textId="77777777" w:rsidR="0089281D" w:rsidRPr="0089281D" w:rsidRDefault="0089281D" w:rsidP="0089281D">
      <w:pPr>
        <w:rPr>
          <w:rtl/>
        </w:rPr>
      </w:pPr>
      <w:r w:rsidRPr="0089281D">
        <w:rPr>
          <w:rtl/>
        </w:rPr>
        <w:t xml:space="preserve">نظراً إلى أهمية </w:t>
      </w:r>
      <w:r w:rsidRPr="0089281D">
        <w:rPr>
          <w:rFonts w:hint="cs"/>
          <w:rtl/>
        </w:rPr>
        <w:t>ال</w:t>
      </w:r>
      <w:r w:rsidRPr="0089281D">
        <w:rPr>
          <w:rtl/>
        </w:rPr>
        <w:t xml:space="preserve">استعمال </w:t>
      </w:r>
      <w:r w:rsidRPr="0089281D">
        <w:rPr>
          <w:rFonts w:hint="cs"/>
          <w:rtl/>
        </w:rPr>
        <w:t>الفعّال ل</w:t>
      </w:r>
      <w:r w:rsidRPr="0089281D">
        <w:rPr>
          <w:rtl/>
        </w:rPr>
        <w:t>طيف الترددات الراديوية للاتصالات الراديوية في حالات الكوارث</w:t>
      </w:r>
      <w:r w:rsidRPr="0089281D">
        <w:rPr>
          <w:rFonts w:hint="cs"/>
          <w:rtl/>
        </w:rPr>
        <w:t>:</w:t>
      </w:r>
    </w:p>
    <w:p w14:paraId="2B289AA2" w14:textId="77777777" w:rsidR="0089281D" w:rsidRPr="0089281D" w:rsidRDefault="0089281D" w:rsidP="006D6C59">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r>
      <w:r w:rsidRPr="0089281D">
        <w:rPr>
          <w:rFonts w:eastAsiaTheme="minorEastAsia"/>
          <w:rtl/>
          <w:lang w:eastAsia="zh-CN" w:bidi="ar-SY"/>
        </w:rPr>
        <w:t>أن تقوم لجان دراسات قطاع الاتصالات الراديوية المعنية</w:t>
      </w:r>
      <w:r w:rsidRPr="0089281D">
        <w:rPr>
          <w:rFonts w:eastAsiaTheme="minorEastAsia" w:hint="cs"/>
          <w:rtl/>
          <w:lang w:eastAsia="zh-CN" w:bidi="ar-SY"/>
        </w:rPr>
        <w:t xml:space="preserve"> </w:t>
      </w:r>
      <w:r w:rsidRPr="0089281D">
        <w:rPr>
          <w:rFonts w:eastAsiaTheme="minorEastAsia"/>
          <w:rtl/>
          <w:lang w:eastAsia="zh-CN" w:bidi="ar-SY"/>
        </w:rPr>
        <w:t>ب</w:t>
      </w:r>
      <w:r w:rsidRPr="0089281D">
        <w:rPr>
          <w:rFonts w:eastAsiaTheme="minorEastAsia"/>
          <w:rtl/>
          <w:lang w:eastAsia="zh-CN" w:bidi="ar-JO"/>
        </w:rPr>
        <w:t xml:space="preserve">إجراء دراسات ووضع مبادئ توجيهية فيما يتعلق </w:t>
      </w:r>
      <w:r w:rsidRPr="0089281D">
        <w:rPr>
          <w:rFonts w:eastAsiaTheme="minorEastAsia" w:hint="cs"/>
          <w:rtl/>
          <w:lang w:eastAsia="zh-CN" w:bidi="ar-JO"/>
        </w:rPr>
        <w:t xml:space="preserve">بإدارة </w:t>
      </w:r>
      <w:r w:rsidRPr="0089281D">
        <w:rPr>
          <w:rFonts w:eastAsiaTheme="minorEastAsia"/>
          <w:rtl/>
          <w:lang w:eastAsia="zh-CN" w:bidi="ar-JO"/>
        </w:rPr>
        <w:t xml:space="preserve">الاتصالات الراديوية </w:t>
      </w:r>
      <w:r w:rsidRPr="0089281D">
        <w:rPr>
          <w:rFonts w:eastAsiaTheme="minorEastAsia" w:hint="cs"/>
          <w:rtl/>
          <w:lang w:eastAsia="zh-CN" w:bidi="ar-JO"/>
        </w:rPr>
        <w:t xml:space="preserve">من أجل </w:t>
      </w:r>
      <w:r w:rsidRPr="0089281D">
        <w:rPr>
          <w:rFonts w:eastAsiaTheme="minorEastAsia"/>
          <w:rtl/>
          <w:lang w:eastAsia="zh-CN" w:bidi="ar-JO"/>
        </w:rPr>
        <w:t xml:space="preserve">التنبؤ بالكوارث </w:t>
      </w:r>
      <w:r w:rsidRPr="0089281D">
        <w:rPr>
          <w:rFonts w:eastAsiaTheme="minorEastAsia" w:hint="cs"/>
          <w:rtl/>
          <w:lang w:eastAsia="zh-CN" w:bidi="ar-JO"/>
        </w:rPr>
        <w:t>واستشعارها</w:t>
      </w:r>
      <w:r w:rsidRPr="0089281D">
        <w:rPr>
          <w:rFonts w:eastAsiaTheme="minorEastAsia"/>
          <w:rtl/>
          <w:lang w:eastAsia="zh-CN" w:bidi="ar-JO"/>
        </w:rPr>
        <w:t xml:space="preserve"> وتخفيف </w:t>
      </w:r>
      <w:r w:rsidRPr="0089281D">
        <w:rPr>
          <w:rFonts w:eastAsiaTheme="minorEastAsia"/>
          <w:rtl/>
          <w:lang w:eastAsia="zh-CN" w:bidi="ar-JO"/>
        </w:rPr>
        <w:lastRenderedPageBreak/>
        <w:t>وطأتها والإغاثة عند وقوعها، على نحو تعاضدي وتعاوني ضمن الاتحاد ومع المنظمات من</w:t>
      </w:r>
      <w:r w:rsidRPr="0089281D">
        <w:rPr>
          <w:rFonts w:eastAsiaTheme="minorEastAsia" w:hint="cs"/>
          <w:spacing w:val="-4"/>
          <w:rtl/>
          <w:lang w:eastAsia="zh-CN" w:bidi="ar-SY"/>
        </w:rPr>
        <w:t> </w:t>
      </w:r>
      <w:r w:rsidRPr="0089281D">
        <w:rPr>
          <w:rFonts w:eastAsiaTheme="minorEastAsia"/>
          <w:rtl/>
          <w:lang w:eastAsia="zh-CN" w:bidi="ar-JO"/>
        </w:rPr>
        <w:t>خارجه</w:t>
      </w:r>
      <w:r w:rsidRPr="0089281D">
        <w:rPr>
          <w:rFonts w:eastAsiaTheme="minorEastAsia" w:hint="cs"/>
          <w:rtl/>
          <w:lang w:eastAsia="zh-CN" w:bidi="ar-SY"/>
        </w:rPr>
        <w:t>؛</w:t>
      </w:r>
    </w:p>
    <w:p w14:paraId="4FC1002C" w14:textId="77777777" w:rsidR="0089281D" w:rsidRPr="0089281D" w:rsidRDefault="0089281D" w:rsidP="006D6C59">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t>أن تقوم لجان دراسات قطاع الاتصالات الراديوية ذات الصلة بمواصلة إجراء دراسات بشأن التكنولوجيات الجديدة الناشئة التي يمكن أن تدعم التنبؤ بالكوارث واستشعارها والتخفيف من آثارها والإغاثة عند</w:t>
      </w:r>
      <w:r w:rsidRPr="0089281D">
        <w:rPr>
          <w:rFonts w:eastAsiaTheme="minorEastAsia" w:hint="cs"/>
          <w:spacing w:val="-4"/>
          <w:rtl/>
          <w:lang w:eastAsia="zh-CN" w:bidi="ar-SY"/>
        </w:rPr>
        <w:t> </w:t>
      </w:r>
      <w:r w:rsidRPr="0089281D">
        <w:rPr>
          <w:rFonts w:eastAsiaTheme="minorEastAsia" w:hint="cs"/>
          <w:rtl/>
          <w:lang w:eastAsia="zh-CN" w:bidi="ar-SY"/>
        </w:rPr>
        <w:t>وقوعها،</w:t>
      </w:r>
    </w:p>
    <w:p w14:paraId="3A3085F1" w14:textId="77777777" w:rsidR="0089281D" w:rsidRPr="0089281D" w:rsidRDefault="0089281D" w:rsidP="0056360E">
      <w:pPr>
        <w:pStyle w:val="Call"/>
        <w:rPr>
          <w:rtl/>
        </w:rPr>
      </w:pPr>
      <w:r w:rsidRPr="0089281D">
        <w:rPr>
          <w:rtl/>
        </w:rPr>
        <w:t>تدعو لجان الدراسات</w:t>
      </w:r>
    </w:p>
    <w:p w14:paraId="728F4A8F" w14:textId="49B4BF84" w:rsidR="0089281D" w:rsidRDefault="0089281D" w:rsidP="0089281D">
      <w:pPr>
        <w:rPr>
          <w:rtl/>
        </w:rPr>
      </w:pPr>
      <w:r w:rsidRPr="0089281D">
        <w:rPr>
          <w:rtl/>
        </w:rPr>
        <w:t>إلى أن تأخذ في الاعتبار، عندما تقوم بوضع برامج عملها، نطاق الدراسات/الأنشطة الجارية الوارد ذكرها في </w:t>
      </w:r>
      <w:r w:rsidRPr="0089281D">
        <w:rPr>
          <w:rFonts w:hint="cs"/>
          <w:rtl/>
          <w:lang w:bidi="ar-JO"/>
        </w:rPr>
        <w:t xml:space="preserve">الصفحة الإلكترونية لقطاع </w:t>
      </w:r>
      <w:r w:rsidRPr="0089281D">
        <w:rPr>
          <w:rtl/>
          <w:lang w:bidi="ar-JO"/>
        </w:rPr>
        <w:t xml:space="preserve">الاتصالات الراديوية </w:t>
      </w:r>
      <w:r w:rsidRPr="0089281D">
        <w:rPr>
          <w:rFonts w:hint="cs"/>
          <w:rtl/>
          <w:lang w:bidi="ar-JO"/>
        </w:rPr>
        <w:t xml:space="preserve">الخاصة </w:t>
      </w:r>
      <w:r w:rsidRPr="0089281D">
        <w:rPr>
          <w:rtl/>
          <w:lang w:bidi="ar-JO"/>
        </w:rPr>
        <w:t>بالاتصالات الراديوية في حالات الطوارئ</w:t>
      </w:r>
      <w:r w:rsidRPr="0089281D">
        <w:rPr>
          <w:rFonts w:cs="Times New Roman"/>
          <w:position w:val="6"/>
          <w:sz w:val="18"/>
          <w:szCs w:val="18"/>
          <w:rtl/>
        </w:rPr>
        <w:footnoteReference w:customMarkFollows="1" w:id="1"/>
        <w:t>1</w:t>
      </w:r>
      <w:r w:rsidRPr="0089281D">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sidRPr="0089281D">
        <w:rPr>
          <w:rFonts w:hint="cs"/>
          <w:spacing w:val="-4"/>
          <w:rtl/>
        </w:rPr>
        <w:t> </w:t>
      </w:r>
      <w:r w:rsidRPr="0089281D">
        <w:rPr>
          <w:rtl/>
        </w:rPr>
        <w:t>المبذولة.</w:t>
      </w:r>
    </w:p>
    <w:p w14:paraId="36241760" w14:textId="62C5B936" w:rsidR="00BA4D27" w:rsidRDefault="00CC7ED2" w:rsidP="00CC7ED2">
      <w:pPr>
        <w:spacing w:before="600"/>
        <w:jc w:val="center"/>
        <w:rPr>
          <w:rtl/>
        </w:rPr>
      </w:pPr>
      <w:r>
        <w:rPr>
          <w:rFonts w:hint="cs"/>
          <w:rtl/>
        </w:rPr>
        <w:t>___________</w:t>
      </w:r>
    </w:p>
    <w:sectPr w:rsidR="00BA4D27"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CA60" w14:textId="77777777" w:rsidR="0089281D" w:rsidRDefault="0089281D" w:rsidP="002919E1">
      <w:r>
        <w:separator/>
      </w:r>
    </w:p>
    <w:p w14:paraId="7434B6C3" w14:textId="77777777" w:rsidR="0089281D" w:rsidRDefault="0089281D" w:rsidP="002919E1"/>
    <w:p w14:paraId="25545AA4" w14:textId="77777777" w:rsidR="0089281D" w:rsidRDefault="0089281D" w:rsidP="002919E1"/>
    <w:p w14:paraId="30260C89" w14:textId="77777777" w:rsidR="0089281D" w:rsidRDefault="0089281D"/>
  </w:endnote>
  <w:endnote w:type="continuationSeparator" w:id="0">
    <w:p w14:paraId="4379FA70" w14:textId="77777777" w:rsidR="0089281D" w:rsidRDefault="0089281D" w:rsidP="002919E1">
      <w:r>
        <w:continuationSeparator/>
      </w:r>
    </w:p>
    <w:p w14:paraId="39897D98" w14:textId="77777777" w:rsidR="0089281D" w:rsidRDefault="0089281D" w:rsidP="002919E1"/>
    <w:p w14:paraId="6AA40110" w14:textId="77777777" w:rsidR="0089281D" w:rsidRDefault="0089281D" w:rsidP="002919E1"/>
    <w:p w14:paraId="30C9C2A4" w14:textId="77777777" w:rsidR="0089281D" w:rsidRDefault="0089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22C0" w14:textId="5438C1F7" w:rsidR="0089281D" w:rsidRDefault="00D60573" w:rsidP="002919E1">
      <w:r>
        <w:separator/>
      </w:r>
    </w:p>
  </w:footnote>
  <w:footnote w:type="continuationSeparator" w:id="0">
    <w:p w14:paraId="4812006A" w14:textId="77777777" w:rsidR="0089281D" w:rsidRDefault="0089281D" w:rsidP="002919E1">
      <w:r>
        <w:continuationSeparator/>
      </w:r>
    </w:p>
    <w:p w14:paraId="75A6BF6A" w14:textId="77777777" w:rsidR="0089281D" w:rsidRDefault="0089281D" w:rsidP="002919E1"/>
    <w:p w14:paraId="190A4EB4" w14:textId="77777777" w:rsidR="0089281D" w:rsidRDefault="0089281D" w:rsidP="002919E1"/>
    <w:p w14:paraId="3B7A1958" w14:textId="77777777" w:rsidR="0089281D" w:rsidRDefault="0089281D"/>
  </w:footnote>
  <w:footnote w:id="1">
    <w:p w14:paraId="3D9BBB61" w14:textId="5C722CD2" w:rsidR="0089281D" w:rsidRPr="00E13316" w:rsidRDefault="0089281D" w:rsidP="0089281D">
      <w:pPr>
        <w:pStyle w:val="FootnoteText"/>
        <w:rPr>
          <w:rtl/>
        </w:rPr>
      </w:pPr>
      <w:r>
        <w:rPr>
          <w:rStyle w:val="FootnoteReference"/>
        </w:rPr>
        <w:t>1</w:t>
      </w:r>
      <w:r>
        <w:tab/>
      </w:r>
      <w:hyperlink r:id="rId1" w:history="1">
        <w:r w:rsidRPr="00A334F1">
          <w:rPr>
            <w:rStyle w:val="Hyperlink"/>
          </w:rPr>
          <w:t>https://www.itu.int/en/ITU-R/information/Pages/emergency.aspx</w:t>
        </w:r>
      </w:hyperlink>
      <w:r w:rsidR="00370AD2" w:rsidRPr="00370AD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8D91" w14:textId="77777777" w:rsidR="00281F5F" w:rsidRDefault="00281F5F" w:rsidP="002919E1"/>
  <w:p w14:paraId="464799AA" w14:textId="77777777" w:rsidR="00281F5F" w:rsidRDefault="00281F5F" w:rsidP="002919E1"/>
  <w:p w14:paraId="43DEEC1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92DC" w14:textId="6EC5A3CB"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0461A">
      <w:rPr>
        <w:rStyle w:val="PageNumber"/>
        <w:noProof/>
      </w:rPr>
      <w:t>3</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8C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641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389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AEA4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70DD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1D"/>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41A"/>
    <w:rsid w:val="000E2AFC"/>
    <w:rsid w:val="000E6D30"/>
    <w:rsid w:val="000F05F5"/>
    <w:rsid w:val="000F518F"/>
    <w:rsid w:val="0010081C"/>
    <w:rsid w:val="001013E3"/>
    <w:rsid w:val="0010363F"/>
    <w:rsid w:val="00132B58"/>
    <w:rsid w:val="0014438C"/>
    <w:rsid w:val="001464F2"/>
    <w:rsid w:val="0016729C"/>
    <w:rsid w:val="00167364"/>
    <w:rsid w:val="001903B2"/>
    <w:rsid w:val="001E190C"/>
    <w:rsid w:val="001E51EE"/>
    <w:rsid w:val="001E54F6"/>
    <w:rsid w:val="001E5A8C"/>
    <w:rsid w:val="00201A0A"/>
    <w:rsid w:val="002075D4"/>
    <w:rsid w:val="00211B2A"/>
    <w:rsid w:val="00225901"/>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5DA6"/>
    <w:rsid w:val="002E61C2"/>
    <w:rsid w:val="002E7E8D"/>
    <w:rsid w:val="002F7960"/>
    <w:rsid w:val="0033737F"/>
    <w:rsid w:val="00353652"/>
    <w:rsid w:val="003569E1"/>
    <w:rsid w:val="00370AD2"/>
    <w:rsid w:val="003815E2"/>
    <w:rsid w:val="00381FAD"/>
    <w:rsid w:val="00382A66"/>
    <w:rsid w:val="003923B1"/>
    <w:rsid w:val="003965FE"/>
    <w:rsid w:val="003B27AD"/>
    <w:rsid w:val="003B4F23"/>
    <w:rsid w:val="003B7BAA"/>
    <w:rsid w:val="003C12F6"/>
    <w:rsid w:val="003C3A13"/>
    <w:rsid w:val="003E02EF"/>
    <w:rsid w:val="003E1D90"/>
    <w:rsid w:val="00400CD4"/>
    <w:rsid w:val="004147B9"/>
    <w:rsid w:val="00422C04"/>
    <w:rsid w:val="00426144"/>
    <w:rsid w:val="004636E2"/>
    <w:rsid w:val="0046601A"/>
    <w:rsid w:val="00470CBD"/>
    <w:rsid w:val="0047407D"/>
    <w:rsid w:val="004909DD"/>
    <w:rsid w:val="004A05E6"/>
    <w:rsid w:val="004A6C66"/>
    <w:rsid w:val="004A7AA0"/>
    <w:rsid w:val="004C11BC"/>
    <w:rsid w:val="004D0225"/>
    <w:rsid w:val="004D4AE6"/>
    <w:rsid w:val="00505FCA"/>
    <w:rsid w:val="00510C2D"/>
    <w:rsid w:val="005169F4"/>
    <w:rsid w:val="005210D1"/>
    <w:rsid w:val="00523146"/>
    <w:rsid w:val="00523275"/>
    <w:rsid w:val="00531DC7"/>
    <w:rsid w:val="005350B0"/>
    <w:rsid w:val="00546A99"/>
    <w:rsid w:val="00553411"/>
    <w:rsid w:val="00554AE7"/>
    <w:rsid w:val="0056360E"/>
    <w:rsid w:val="00564746"/>
    <w:rsid w:val="0056512C"/>
    <w:rsid w:val="00565CCE"/>
    <w:rsid w:val="00576D0A"/>
    <w:rsid w:val="00576FCC"/>
    <w:rsid w:val="00584333"/>
    <w:rsid w:val="005953EC"/>
    <w:rsid w:val="005B00A1"/>
    <w:rsid w:val="005C29C8"/>
    <w:rsid w:val="005C5D25"/>
    <w:rsid w:val="005D6D48"/>
    <w:rsid w:val="005D72A4"/>
    <w:rsid w:val="005F05CC"/>
    <w:rsid w:val="005F65DE"/>
    <w:rsid w:val="0060461A"/>
    <w:rsid w:val="00613492"/>
    <w:rsid w:val="006315B5"/>
    <w:rsid w:val="00642F92"/>
    <w:rsid w:val="0065562F"/>
    <w:rsid w:val="00680A66"/>
    <w:rsid w:val="00681391"/>
    <w:rsid w:val="006A12AC"/>
    <w:rsid w:val="006A2162"/>
    <w:rsid w:val="006A640D"/>
    <w:rsid w:val="006B4B90"/>
    <w:rsid w:val="006B658C"/>
    <w:rsid w:val="006D2674"/>
    <w:rsid w:val="006D33B8"/>
    <w:rsid w:val="006D6C59"/>
    <w:rsid w:val="006E38D0"/>
    <w:rsid w:val="006E465B"/>
    <w:rsid w:val="006F70BF"/>
    <w:rsid w:val="00716B1D"/>
    <w:rsid w:val="007248EC"/>
    <w:rsid w:val="00724CB6"/>
    <w:rsid w:val="00727CE9"/>
    <w:rsid w:val="00731150"/>
    <w:rsid w:val="00736DCC"/>
    <w:rsid w:val="00741855"/>
    <w:rsid w:val="00742B73"/>
    <w:rsid w:val="00751251"/>
    <w:rsid w:val="007610E7"/>
    <w:rsid w:val="00764079"/>
    <w:rsid w:val="00770AA0"/>
    <w:rsid w:val="00771828"/>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69B"/>
    <w:rsid w:val="00830D96"/>
    <w:rsid w:val="0085569D"/>
    <w:rsid w:val="00855B59"/>
    <w:rsid w:val="0085774F"/>
    <w:rsid w:val="008657CB"/>
    <w:rsid w:val="0088384B"/>
    <w:rsid w:val="0089281D"/>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C1B1A"/>
    <w:rsid w:val="009D6348"/>
    <w:rsid w:val="009E613F"/>
    <w:rsid w:val="009F042B"/>
    <w:rsid w:val="00A031E5"/>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0243"/>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4D27"/>
    <w:rsid w:val="00BA5B98"/>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B7B55"/>
    <w:rsid w:val="00CC030E"/>
    <w:rsid w:val="00CC68C4"/>
    <w:rsid w:val="00CC79A4"/>
    <w:rsid w:val="00CC7ED2"/>
    <w:rsid w:val="00CD0FDE"/>
    <w:rsid w:val="00CE0E68"/>
    <w:rsid w:val="00CE5BA4"/>
    <w:rsid w:val="00D073FE"/>
    <w:rsid w:val="00D25120"/>
    <w:rsid w:val="00D419CB"/>
    <w:rsid w:val="00D44350"/>
    <w:rsid w:val="00D44E3F"/>
    <w:rsid w:val="00D525F5"/>
    <w:rsid w:val="00D535D0"/>
    <w:rsid w:val="00D577D8"/>
    <w:rsid w:val="00D60573"/>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44995"/>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C49A6"/>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340408"/>
  <w15:docId w15:val="{26727816-6FAE-4098-8922-62CA9C7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A6"/>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Latin) 12,Appel note de bas de p + 11 pt,Italic,Appel note de bas de p1,Appel note de bas de p2,Appel note de bas de p3,o,fr"/>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FC49A6"/>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aliases w:val="CEO_Hyperlink"/>
    <w:basedOn w:val="DefaultParagraphFont"/>
    <w:unhideWhenUsed/>
    <w:rsid w:val="0089281D"/>
    <w:rPr>
      <w:color w:val="0000FF"/>
      <w:u w:val="single"/>
    </w:rPr>
  </w:style>
  <w:style w:type="character" w:customStyle="1" w:styleId="spelle">
    <w:name w:val="spelle"/>
    <w:basedOn w:val="DefaultParagraphFont"/>
    <w:rsid w:val="0089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www.w3.org/XML/1998/namespace"/>
    <ds:schemaRef ds:uri="http://schemas.microsoft.com/office/2006/documentManagement/types"/>
    <ds:schemaRef ds:uri="http://purl.org/dc/dcmitype/"/>
    <ds:schemaRef ds:uri="32a1a8c5-2265-4ebc-b7a0-2071e2c5c9bb"/>
    <ds:schemaRef ds:uri="996b2e75-67fd-4955-a3b0-5ab9934cb50b"/>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D574A22-F223-4174-BD41-16DCA868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15</TotalTime>
  <Pages>3</Pages>
  <Words>901</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Gomez, Yoanni</cp:lastModifiedBy>
  <cp:revision>7</cp:revision>
  <cp:lastPrinted>2019-10-21T18:27:00Z</cp:lastPrinted>
  <dcterms:created xsi:type="dcterms:W3CDTF">2019-10-28T13:03:00Z</dcterms:created>
  <dcterms:modified xsi:type="dcterms:W3CDTF">2019-10-30T13:26:00Z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