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7D" w:rsidRDefault="00D1577D" w:rsidP="00D1577D">
      <w:pPr>
        <w:pStyle w:val="ResNo"/>
      </w:pPr>
      <w:r w:rsidRPr="0085475C">
        <w:t xml:space="preserve">Resolution </w:t>
      </w:r>
      <w:r>
        <w:t>ITU</w:t>
      </w:r>
      <w:r>
        <w:noBreakHyphen/>
      </w:r>
      <w:r w:rsidRPr="0085475C">
        <w:t>R 52</w:t>
      </w:r>
      <w:r>
        <w:t>-1</w:t>
      </w:r>
    </w:p>
    <w:p w:rsidR="00D1577D" w:rsidRDefault="00D1577D" w:rsidP="00D1577D">
      <w:pPr>
        <w:pStyle w:val="Restitle"/>
      </w:pPr>
      <w:bookmarkStart w:id="0" w:name="_Toc180537924"/>
      <w:r w:rsidRPr="0085475C">
        <w:t xml:space="preserve">Authorization for the Radiocommunication Advisory Group (RAG) </w:t>
      </w:r>
      <w:r>
        <w:br/>
      </w:r>
      <w:r w:rsidRPr="0085475C">
        <w:t>to act between Radiocommunication Assemblies (RAs)</w:t>
      </w:r>
      <w:bookmarkEnd w:id="0"/>
    </w:p>
    <w:p w:rsidR="00D1577D" w:rsidRDefault="00D1577D" w:rsidP="00D1577D">
      <w:pPr>
        <w:pStyle w:val="Resdate"/>
      </w:pPr>
      <w:r w:rsidRPr="0085475C">
        <w:t>(2003</w:t>
      </w:r>
      <w:r>
        <w:t>-2015</w:t>
      </w:r>
      <w:r w:rsidRPr="0085475C">
        <w:t>)</w:t>
      </w:r>
    </w:p>
    <w:p w:rsidR="00D1577D" w:rsidRDefault="00D1577D" w:rsidP="00D1577D">
      <w:pPr>
        <w:pStyle w:val="Normalaftertitle"/>
      </w:pPr>
      <w:r w:rsidRPr="0085475C">
        <w:t>The ITU Radiocommunication Assembly,</w:t>
      </w:r>
    </w:p>
    <w:p w:rsidR="00D1577D" w:rsidRDefault="00D1577D" w:rsidP="00D1577D">
      <w:pPr>
        <w:pStyle w:val="Call"/>
      </w:pPr>
      <w:r w:rsidRPr="0085475C">
        <w:t>considering</w:t>
      </w:r>
    </w:p>
    <w:p w:rsidR="00D1577D" w:rsidRDefault="00D1577D" w:rsidP="00D1577D">
      <w:r w:rsidRPr="009D005C">
        <w:rPr>
          <w:i/>
          <w:iCs/>
        </w:rPr>
        <w:t>a)</w:t>
      </w:r>
      <w:r w:rsidRPr="0085475C">
        <w:tab/>
        <w:t xml:space="preserve">that the Radiocommunication Advisory Group can help to improve coordination of the study process and provide improved working and decision-making processes for the important areas of </w:t>
      </w:r>
      <w:r>
        <w:t>ITU</w:t>
      </w:r>
      <w:r>
        <w:noBreakHyphen/>
      </w:r>
      <w:r w:rsidRPr="0085475C">
        <w:t>R activities;</w:t>
      </w:r>
    </w:p>
    <w:p w:rsidR="00D1577D" w:rsidRDefault="00D1577D" w:rsidP="00D1577D">
      <w:r w:rsidRPr="009D005C">
        <w:rPr>
          <w:i/>
          <w:iCs/>
        </w:rPr>
        <w:t>b)</w:t>
      </w:r>
      <w:r w:rsidRPr="0085475C">
        <w:tab/>
        <w:t xml:space="preserve">that, under </w:t>
      </w:r>
      <w:r>
        <w:t>Article </w:t>
      </w:r>
      <w:r w:rsidRPr="0085475C">
        <w:t xml:space="preserve">8 </w:t>
      </w:r>
      <w:r>
        <w:t>No. </w:t>
      </w:r>
      <w:r w:rsidRPr="0085475C">
        <w:t>137A of the ITU Convention, adopted by the Plenipotentiary Conference (Rev.</w:t>
      </w:r>
      <w:r>
        <w:t> </w:t>
      </w:r>
      <w:r w:rsidRPr="0085475C">
        <w:t>Marrakesh, 2002)</w:t>
      </w:r>
      <w:r w:rsidRPr="009D005C">
        <w:rPr>
          <w:rStyle w:val="FootnoteReference"/>
        </w:rPr>
        <w:footnoteReference w:customMarkFollows="1" w:id="1"/>
        <w:t>*</w:t>
      </w:r>
      <w:r w:rsidRPr="0085475C">
        <w:t xml:space="preserve"> a “Radiocommunication Assembly may assign specific matters within its competence, except those relating to the procedures contained in the Radio Regulations to the Radiocommunication Advisory Group, indicating the action required on those matters”;</w:t>
      </w:r>
    </w:p>
    <w:p w:rsidR="00D1577D" w:rsidRPr="00FB6E34" w:rsidRDefault="00D1577D" w:rsidP="00D1577D">
      <w:r w:rsidRPr="009D005C">
        <w:rPr>
          <w:i/>
          <w:iCs/>
        </w:rPr>
        <w:t>c)</w:t>
      </w:r>
      <w:r w:rsidRPr="0085475C">
        <w:tab/>
        <w:t xml:space="preserve">that the Radiocommunication Sector has adopted detailed procedures for the approval of Recommendations by correspondence that take into account the fact that the vast majority of </w:t>
      </w:r>
      <w:r>
        <w:t>ITU</w:t>
      </w:r>
      <w:r>
        <w:noBreakHyphen/>
      </w:r>
      <w:r w:rsidRPr="0085475C">
        <w:t xml:space="preserve">R Recommendations may have policy or regulatory </w:t>
      </w:r>
      <w:r w:rsidRPr="00FB6E34">
        <w:t>implications and, in conformity with Article 20 of the ITU Convention, are of interest to all Member States,</w:t>
      </w:r>
    </w:p>
    <w:p w:rsidR="00D1577D" w:rsidRDefault="00D1577D" w:rsidP="00D1577D">
      <w:pPr>
        <w:pStyle w:val="Call"/>
      </w:pPr>
      <w:r w:rsidRPr="00FB6E34">
        <w:t>further considering</w:t>
      </w:r>
    </w:p>
    <w:p w:rsidR="00D1577D" w:rsidRDefault="00D1577D" w:rsidP="00D1577D">
      <w:r w:rsidRPr="0085475C">
        <w:t xml:space="preserve">that the RAG is tasked under </w:t>
      </w:r>
      <w:r>
        <w:t>Article </w:t>
      </w:r>
      <w:r w:rsidRPr="0085475C">
        <w:t>11A (Rev.</w:t>
      </w:r>
      <w:r>
        <w:t> </w:t>
      </w:r>
      <w:r w:rsidRPr="0085475C">
        <w:t>Marrakesh, 2002) of the ITU Convention with reviewing the implementation of the operational plan and advising the Director on necessary corrective measures,</w:t>
      </w:r>
    </w:p>
    <w:p w:rsidR="00D1577D" w:rsidRDefault="00D1577D" w:rsidP="00D1577D">
      <w:pPr>
        <w:pStyle w:val="Call"/>
      </w:pPr>
      <w:r w:rsidRPr="0085475C">
        <w:t>noting</w:t>
      </w:r>
    </w:p>
    <w:p w:rsidR="00D1577D" w:rsidRDefault="00D1577D" w:rsidP="00D1577D">
      <w:r w:rsidRPr="0085475C">
        <w:t xml:space="preserve">that pursuant to </w:t>
      </w:r>
      <w:r>
        <w:t>Article </w:t>
      </w:r>
      <w:r w:rsidRPr="0085475C">
        <w:t>11A (Minneapolis, 1998) of the ITU Convention, the RAG shall also review any specific matter directed by a conference of the Union, including a World Radiocommunication Conference, a Radiocommunication Assembly or the Council,</w:t>
      </w:r>
    </w:p>
    <w:p w:rsidR="00D1577D" w:rsidRDefault="00D1577D" w:rsidP="00D1577D">
      <w:pPr>
        <w:pStyle w:val="Call"/>
      </w:pPr>
      <w:r w:rsidRPr="0085475C">
        <w:t>conscious</w:t>
      </w:r>
    </w:p>
    <w:p w:rsidR="00D1577D" w:rsidRDefault="00D1577D" w:rsidP="00D1577D">
      <w:r w:rsidRPr="0085475C">
        <w:t>of the fact that the four-year interval until the next Radiocommunication Assembly could effectively preclude the possibility of addressing unforeseen issues requiring urgent action in that period,</w:t>
      </w:r>
    </w:p>
    <w:p w:rsidR="00D1577D" w:rsidRDefault="00D1577D" w:rsidP="00D1577D">
      <w:pPr>
        <w:pStyle w:val="Call"/>
      </w:pPr>
      <w:r w:rsidRPr="0085475C">
        <w:t>resolves</w:t>
      </w:r>
    </w:p>
    <w:p w:rsidR="00D1577D" w:rsidRDefault="00D1577D" w:rsidP="00D1577D">
      <w:pPr>
        <w:keepNext/>
      </w:pPr>
      <w:r w:rsidRPr="0085475C">
        <w:t>1</w:t>
      </w:r>
      <w:r w:rsidRPr="0085475C">
        <w:tab/>
        <w:t xml:space="preserve">to assign, in addition to the provisions of </w:t>
      </w:r>
      <w:r>
        <w:t>Article </w:t>
      </w:r>
      <w:r w:rsidRPr="0085475C">
        <w:t>11A, the following specific matters within its competence to the RAG between this Assembly and the next Assembly, and that the RAG should also take into account any specific matters as directed by a WRC to the RAG:</w:t>
      </w:r>
    </w:p>
    <w:p w:rsidR="00D1577D" w:rsidRDefault="00D1577D" w:rsidP="00D1577D">
      <w:pPr>
        <w:pStyle w:val="enumlev1"/>
      </w:pPr>
      <w:r w:rsidRPr="0085475C">
        <w:t>–</w:t>
      </w:r>
      <w:r w:rsidRPr="0085475C">
        <w:tab/>
        <w:t>maintain up-to-date, efficient and flexible working procedures in accordance with Resolutions and decisions approved by the Radiocommunication Assembly;</w:t>
      </w:r>
    </w:p>
    <w:p w:rsidR="00D1577D" w:rsidRDefault="00D1577D" w:rsidP="00D1577D">
      <w:pPr>
        <w:pStyle w:val="enumlev1"/>
      </w:pPr>
      <w:r w:rsidRPr="0085475C">
        <w:lastRenderedPageBreak/>
        <w:t>–</w:t>
      </w:r>
      <w:r w:rsidRPr="0085475C">
        <w:tab/>
        <w:t>consider and recommend modifications to the programme of work, in relation to the strategic and operational plans;</w:t>
      </w:r>
    </w:p>
    <w:p w:rsidR="00D1577D" w:rsidRDefault="00D1577D" w:rsidP="00D1577D">
      <w:pPr>
        <w:pStyle w:val="enumlev1"/>
      </w:pPr>
      <w:r w:rsidRPr="0085475C">
        <w:t>–</w:t>
      </w:r>
      <w:r w:rsidRPr="0085475C">
        <w:tab/>
        <w:t>keep under review the activities of the Radiocommunication Study Groups;</w:t>
      </w:r>
    </w:p>
    <w:p w:rsidR="00D1577D" w:rsidRDefault="00D1577D" w:rsidP="00D1577D">
      <w:pPr>
        <w:pStyle w:val="enumlev1"/>
      </w:pPr>
      <w:r w:rsidRPr="0085475C">
        <w:t>–</w:t>
      </w:r>
      <w:r w:rsidRPr="0085475C">
        <w:tab/>
        <w:t>decide on the need to maintain, terminate or establish groups other than Study Groups, CCV</w:t>
      </w:r>
      <w:r>
        <w:t xml:space="preserve"> or</w:t>
      </w:r>
      <w:r w:rsidRPr="0085475C">
        <w:t xml:space="preserve"> Conference Preparatory Meeting (CPM), and appoint their Chairmen and Vice-Chairmen, in accordance with CV136A and</w:t>
      </w:r>
      <w:r>
        <w:t> </w:t>
      </w:r>
      <w:r w:rsidRPr="0085475C">
        <w:t>CV136B (Marrakesh, 2002);</w:t>
      </w:r>
    </w:p>
    <w:p w:rsidR="00D1577D" w:rsidRDefault="00D1577D" w:rsidP="00D1577D">
      <w:pPr>
        <w:pStyle w:val="enumlev1"/>
      </w:pPr>
      <w:r w:rsidRPr="0085475C">
        <w:t>–</w:t>
      </w:r>
      <w:r w:rsidRPr="0085475C">
        <w:tab/>
        <w:t>consider other specific matters within the competence of the Radiocommunication Assembly, subject to prior consultation with, and to the unopposed agreement of, the Member States;</w:t>
      </w:r>
    </w:p>
    <w:p w:rsidR="00D1577D" w:rsidRDefault="00D1577D" w:rsidP="00D1577D">
      <w:r w:rsidRPr="0085475C">
        <w:t>2</w:t>
      </w:r>
      <w:r w:rsidRPr="0085475C">
        <w:tab/>
        <w:t>when dealing with these matters, the decisions taken in the RAG meetings shall be unopposed by any Member State,</w:t>
      </w:r>
    </w:p>
    <w:p w:rsidR="00D1577D" w:rsidRDefault="00D1577D" w:rsidP="00D1577D">
      <w:pPr>
        <w:pStyle w:val="Call"/>
      </w:pPr>
      <w:r w:rsidRPr="0085475C">
        <w:t>invites the RAG</w:t>
      </w:r>
    </w:p>
    <w:p w:rsidR="00D1577D" w:rsidRDefault="00D1577D" w:rsidP="00D1577D">
      <w:r w:rsidRPr="0085475C">
        <w:t>1</w:t>
      </w:r>
      <w:r w:rsidRPr="0085475C">
        <w:tab/>
        <w:t>in accordance with CV160G, to develop its own working procedures compatible with those adopted by the Radiocommunication Assembly;</w:t>
      </w:r>
    </w:p>
    <w:p w:rsidR="00D1577D" w:rsidRDefault="00D1577D" w:rsidP="00D1577D">
      <w:r w:rsidRPr="0085475C">
        <w:t>2</w:t>
      </w:r>
      <w:r w:rsidRPr="0085475C">
        <w:tab/>
        <w:t>to report to the next Radiocommunication Assembly on the results of implementing this Resolution.</w:t>
      </w:r>
    </w:p>
    <w:p w:rsidR="00D1577D" w:rsidRPr="00880578" w:rsidRDefault="00D1577D" w:rsidP="00D1577D"/>
    <w:p w:rsidR="00D50D44" w:rsidRPr="00880578" w:rsidRDefault="00D50D44" w:rsidP="00880578"/>
    <w:sectPr w:rsidR="00D50D44" w:rsidRPr="00880578"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7D" w:rsidRDefault="00D1577D">
      <w:r>
        <w:separator/>
      </w:r>
    </w:p>
  </w:endnote>
  <w:endnote w:type="continuationSeparator" w:id="0">
    <w:p w:rsidR="00D1577D" w:rsidRDefault="00D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1577D">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F90293">
      <w:rPr>
        <w:noProof/>
      </w:rPr>
      <w:t>04.11.15</w:t>
    </w:r>
    <w:r>
      <w:fldChar w:fldCharType="end"/>
    </w:r>
    <w:r w:rsidRPr="009447A3">
      <w:rPr>
        <w:lang w:val="es-ES_tradnl"/>
      </w:rPr>
      <w:tab/>
    </w:r>
    <w:r>
      <w:fldChar w:fldCharType="begin"/>
    </w:r>
    <w:r>
      <w:instrText xml:space="preserve"> PRINTDATE \@ DD.MM.YY </w:instrText>
    </w:r>
    <w:r>
      <w:fldChar w:fldCharType="separate"/>
    </w:r>
    <w:r w:rsidR="00D1577D">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96" w:rsidRDefault="00916196" w:rsidP="00916196">
    <w:pPr>
      <w:pStyle w:val="Header"/>
    </w:pPr>
  </w:p>
  <w:p w:rsidR="00916196" w:rsidRDefault="00916196" w:rsidP="00916196">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F90293" w:rsidRDefault="009447A3" w:rsidP="00F90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7D" w:rsidRDefault="00D1577D">
      <w:r>
        <w:rPr>
          <w:b/>
        </w:rPr>
        <w:t>_______________</w:t>
      </w:r>
    </w:p>
  </w:footnote>
  <w:footnote w:type="continuationSeparator" w:id="0">
    <w:p w:rsidR="00D1577D" w:rsidRDefault="00D1577D">
      <w:r>
        <w:continuationSeparator/>
      </w:r>
    </w:p>
  </w:footnote>
  <w:footnote w:id="1">
    <w:p w:rsidR="00D1577D" w:rsidRDefault="00D1577D" w:rsidP="00D1577D">
      <w:pPr>
        <w:pStyle w:val="FootnoteText"/>
        <w:jc w:val="both"/>
      </w:pPr>
      <w:r>
        <w:rPr>
          <w:rStyle w:val="FootnoteReference"/>
        </w:rPr>
        <w:t>*</w:t>
      </w:r>
      <w:r>
        <w:t xml:space="preserve"> </w:t>
      </w:r>
      <w:r>
        <w:tab/>
        <w:t>In force starting 1 January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93" w:rsidRDefault="00F90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512107"/>
      <w:docPartObj>
        <w:docPartGallery w:val="Page Numbers (Top of Page)"/>
        <w:docPartUnique/>
      </w:docPartObj>
    </w:sdtPr>
    <w:sdtEndPr>
      <w:rPr>
        <w:noProof/>
      </w:rPr>
    </w:sdtEndPr>
    <w:sdtContent>
      <w:p w:rsidR="00916196" w:rsidRDefault="00916196">
        <w:pPr>
          <w:pStyle w:val="Header"/>
        </w:pPr>
        <w:r>
          <w:fldChar w:fldCharType="begin"/>
        </w:r>
        <w:r>
          <w:instrText xml:space="preserve"> PAGE   \* MERGEFORMAT </w:instrText>
        </w:r>
        <w:r>
          <w:fldChar w:fldCharType="separate"/>
        </w:r>
        <w:r w:rsidR="00F90293">
          <w:rPr>
            <w:noProof/>
          </w:rPr>
          <w:t>2</w:t>
        </w:r>
        <w:r>
          <w:rPr>
            <w:noProof/>
          </w:rPr>
          <w:fldChar w:fldCharType="end"/>
        </w:r>
      </w:p>
    </w:sdtContent>
  </w:sdt>
  <w:p w:rsidR="00916196" w:rsidRDefault="00916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93" w:rsidRDefault="00F90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7D"/>
    <w:rsid w:val="000D1293"/>
    <w:rsid w:val="000D5C0C"/>
    <w:rsid w:val="001B225D"/>
    <w:rsid w:val="00206408"/>
    <w:rsid w:val="0030579C"/>
    <w:rsid w:val="00425F3D"/>
    <w:rsid w:val="004844C1"/>
    <w:rsid w:val="004D6FFE"/>
    <w:rsid w:val="005E0BE1"/>
    <w:rsid w:val="005F1974"/>
    <w:rsid w:val="0071246B"/>
    <w:rsid w:val="00756B1C"/>
    <w:rsid w:val="007C6911"/>
    <w:rsid w:val="008145E1"/>
    <w:rsid w:val="00880578"/>
    <w:rsid w:val="008A7B8E"/>
    <w:rsid w:val="00916196"/>
    <w:rsid w:val="009447A3"/>
    <w:rsid w:val="00993768"/>
    <w:rsid w:val="009E375D"/>
    <w:rsid w:val="00A05CE9"/>
    <w:rsid w:val="00BB03AF"/>
    <w:rsid w:val="00BE5003"/>
    <w:rsid w:val="00BF5E61"/>
    <w:rsid w:val="00C46060"/>
    <w:rsid w:val="00CB1338"/>
    <w:rsid w:val="00D1577D"/>
    <w:rsid w:val="00D262CE"/>
    <w:rsid w:val="00D471A9"/>
    <w:rsid w:val="00D50D44"/>
    <w:rsid w:val="00DA716F"/>
    <w:rsid w:val="00E123D4"/>
    <w:rsid w:val="00E424C3"/>
    <w:rsid w:val="00EE1A06"/>
    <w:rsid w:val="00EE4AD6"/>
    <w:rsid w:val="00F329B0"/>
    <w:rsid w:val="00F90293"/>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D2C93A7-FC64-4106-A4A0-963701D5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7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D1577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15</TotalTime>
  <Pages>2</Pages>
  <Words>464</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Silva, Alison</dc:creator>
  <cp:keywords/>
  <dc:description>PE_RA12.dotm  For: _x000d_Document date: _x000d_Saved by MM-106465 at 11:44:53 on 04/04/11</dc:description>
  <cp:lastModifiedBy>Santa Rita Fernandes, Augusto Cesar</cp:lastModifiedBy>
  <cp:revision>3</cp:revision>
  <cp:lastPrinted>2003-04-25T07:33:00Z</cp:lastPrinted>
  <dcterms:created xsi:type="dcterms:W3CDTF">2015-11-04T19:30:00Z</dcterms:created>
  <dcterms:modified xsi:type="dcterms:W3CDTF">2015-11-06T11:18:00Z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