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6DD1" w14:textId="307383D8" w:rsidR="000B0C1B" w:rsidRPr="005C764B" w:rsidRDefault="000B0C1B" w:rsidP="000B0C1B">
      <w:pPr>
        <w:pStyle w:val="ResNo"/>
        <w:rPr>
          <w:lang w:val="es-ES_tradnl"/>
        </w:rPr>
      </w:pPr>
      <w:r w:rsidRPr="005C764B">
        <w:rPr>
          <w:lang w:val="es-ES_tradnl"/>
        </w:rPr>
        <w:t>RESOLU</w:t>
      </w:r>
      <w:r w:rsidR="00C57870" w:rsidRPr="005C764B">
        <w:rPr>
          <w:lang w:val="es-ES_tradnl"/>
        </w:rPr>
        <w:t>ción UIT</w:t>
      </w:r>
      <w:r w:rsidRPr="005C764B">
        <w:rPr>
          <w:lang w:val="es-ES_tradnl"/>
        </w:rPr>
        <w:noBreakHyphen/>
        <w:t>R 4-</w:t>
      </w:r>
      <w:r w:rsidR="00C57870" w:rsidRPr="005C764B">
        <w:rPr>
          <w:lang w:val="es-ES_tradnl"/>
        </w:rPr>
        <w:t>9</w:t>
      </w:r>
    </w:p>
    <w:p w14:paraId="53579FD1" w14:textId="77777777" w:rsidR="00C57870" w:rsidRPr="005C764B" w:rsidRDefault="00C57870" w:rsidP="00C57870">
      <w:pPr>
        <w:pStyle w:val="Restitle"/>
        <w:rPr>
          <w:lang w:val="es-ES_tradnl"/>
        </w:rPr>
      </w:pPr>
      <w:bookmarkStart w:id="0" w:name="_Toc180535195"/>
      <w:bookmarkStart w:id="1" w:name="_Toc24031899"/>
      <w:r w:rsidRPr="005C764B">
        <w:rPr>
          <w:lang w:val="es-ES_tradnl"/>
        </w:rPr>
        <w:t>Estructura de las Comisiones de Estudio de Radiocomunicaciones</w:t>
      </w:r>
      <w:bookmarkEnd w:id="0"/>
      <w:bookmarkEnd w:id="1"/>
    </w:p>
    <w:p w14:paraId="28909080" w14:textId="430EFDA6" w:rsidR="00B95418" w:rsidRPr="005C764B" w:rsidRDefault="00B95418" w:rsidP="00B95418">
      <w:pPr>
        <w:pStyle w:val="Resdate"/>
        <w:spacing w:before="240"/>
        <w:rPr>
          <w:lang w:val="es-ES_tradnl"/>
        </w:rPr>
      </w:pPr>
      <w:r w:rsidRPr="005C764B">
        <w:rPr>
          <w:lang w:val="es-ES_tradnl"/>
        </w:rPr>
        <w:t>(1993-1995-1997-2000-2003-2007-2012-2015</w:t>
      </w:r>
      <w:r w:rsidR="000B0C1B" w:rsidRPr="005C764B">
        <w:rPr>
          <w:lang w:val="es-ES_tradnl"/>
        </w:rPr>
        <w:t>-2019</w:t>
      </w:r>
      <w:r w:rsidR="00C57870" w:rsidRPr="005C764B">
        <w:rPr>
          <w:lang w:val="es-ES_tradnl"/>
        </w:rPr>
        <w:t>-2023</w:t>
      </w:r>
      <w:r w:rsidRPr="005C764B">
        <w:rPr>
          <w:lang w:val="es-ES_tradnl"/>
        </w:rPr>
        <w:t>)</w:t>
      </w:r>
    </w:p>
    <w:p w14:paraId="4272A972" w14:textId="77777777" w:rsidR="00C57870" w:rsidRPr="005C764B" w:rsidRDefault="00C57870" w:rsidP="00C57870">
      <w:pPr>
        <w:pStyle w:val="Normalaftertitle"/>
        <w:rPr>
          <w:lang w:val="es-ES_tradnl"/>
        </w:rPr>
      </w:pPr>
      <w:r w:rsidRPr="005C764B">
        <w:rPr>
          <w:lang w:val="es-ES_tradnl"/>
        </w:rPr>
        <w:t>La Asamblea de Radiocomunicaciones de la UIT,</w:t>
      </w:r>
    </w:p>
    <w:p w14:paraId="43DB4963" w14:textId="40647E3F" w:rsidR="00C57870" w:rsidRPr="005C764B" w:rsidRDefault="00C57870" w:rsidP="00C57870">
      <w:pPr>
        <w:pStyle w:val="Call"/>
        <w:rPr>
          <w:lang w:val="es-ES_tradnl"/>
        </w:rPr>
      </w:pPr>
      <w:r w:rsidRPr="005C764B">
        <w:rPr>
          <w:lang w:val="es-ES_tradnl"/>
        </w:rPr>
        <w:t>considerando</w:t>
      </w:r>
    </w:p>
    <w:p w14:paraId="4E9B4609" w14:textId="77777777" w:rsidR="00C57870" w:rsidRPr="005C764B" w:rsidRDefault="00C57870" w:rsidP="00C57870">
      <w:pPr>
        <w:rPr>
          <w:lang w:val="es-ES_tradnl"/>
        </w:rPr>
      </w:pPr>
      <w:r w:rsidRPr="005C764B">
        <w:rPr>
          <w:i/>
          <w:iCs/>
          <w:lang w:val="es-ES_tradnl"/>
        </w:rPr>
        <w:t>a)</w:t>
      </w:r>
      <w:r w:rsidRPr="005C764B">
        <w:rPr>
          <w:lang w:val="es-ES_tradnl"/>
        </w:rPr>
        <w:tab/>
        <w:t>el número 133 y el Artículo 11 del Convenio de la UIT;</w:t>
      </w:r>
    </w:p>
    <w:p w14:paraId="35DAB6C4" w14:textId="77777777" w:rsidR="00C57870" w:rsidRPr="005C764B" w:rsidRDefault="00C57870" w:rsidP="00C57870">
      <w:pPr>
        <w:rPr>
          <w:lang w:val="es-ES_tradnl"/>
        </w:rPr>
      </w:pPr>
      <w:r w:rsidRPr="005C764B">
        <w:rPr>
          <w:i/>
          <w:iCs/>
          <w:lang w:val="es-ES_tradnl"/>
        </w:rPr>
        <w:t>b)</w:t>
      </w:r>
      <w:r w:rsidRPr="005C764B">
        <w:rPr>
          <w:lang w:val="es-ES_tradnl"/>
        </w:rPr>
        <w:tab/>
        <w:t>que las labores de las Comisiones de Estudio de Radiocomunicaciones versan sobre la preparación de las bases técnicas, de explotación y de procedimiento para la utilización eficaz del espectro radioeléctrico en el marco de las radiocomunicaciones terrenales y espaciales, de la órbita de los satélites geoestacionarios y de otras órbitas de satélites; y</w:t>
      </w:r>
    </w:p>
    <w:p w14:paraId="22A23B78" w14:textId="09DBC7B2" w:rsidR="00C57870" w:rsidRPr="005C764B" w:rsidRDefault="00C57870" w:rsidP="00C57870">
      <w:pPr>
        <w:rPr>
          <w:lang w:val="es-ES_tradnl"/>
        </w:rPr>
      </w:pPr>
      <w:r w:rsidRPr="005C764B">
        <w:rPr>
          <w:i/>
          <w:iCs/>
          <w:lang w:val="es-ES_tradnl"/>
        </w:rPr>
        <w:t>c)</w:t>
      </w:r>
      <w:r w:rsidRPr="005C764B">
        <w:rPr>
          <w:lang w:val="es-ES_tradnl"/>
        </w:rPr>
        <w:tab/>
        <w:t xml:space="preserve">que la cooperación entre el Sector de Radiocomunicaciones </w:t>
      </w:r>
      <w:r w:rsidR="007F52D4" w:rsidRPr="005C764B">
        <w:rPr>
          <w:lang w:val="es-ES_tradnl"/>
        </w:rPr>
        <w:t xml:space="preserve">de la UIT </w:t>
      </w:r>
      <w:r w:rsidRPr="005C764B">
        <w:rPr>
          <w:lang w:val="es-ES_tradnl"/>
        </w:rPr>
        <w:t>y las organizaciones internacionales y regionales en materia de elaboración de normas para los sistemas y operaciones de radiocomunicaciones resultará muy ventajosa,</w:t>
      </w:r>
    </w:p>
    <w:p w14:paraId="44D04243" w14:textId="77777777" w:rsidR="00C57870" w:rsidRPr="005C764B" w:rsidRDefault="00C57870" w:rsidP="00C57870">
      <w:pPr>
        <w:pStyle w:val="Call"/>
        <w:rPr>
          <w:lang w:val="es-ES_tradnl"/>
        </w:rPr>
      </w:pPr>
      <w:r w:rsidRPr="005C764B">
        <w:rPr>
          <w:lang w:val="es-ES_tradnl"/>
        </w:rPr>
        <w:t>resuelve</w:t>
      </w:r>
    </w:p>
    <w:p w14:paraId="048ACBC0" w14:textId="77777777" w:rsidR="00C57870" w:rsidRPr="005C764B" w:rsidRDefault="00C57870" w:rsidP="00C57870">
      <w:pPr>
        <w:rPr>
          <w:lang w:val="es-ES_tradnl"/>
        </w:rPr>
      </w:pPr>
      <w:r w:rsidRPr="005C764B">
        <w:rPr>
          <w:lang w:val="es-ES_tradnl"/>
        </w:rPr>
        <w:t>1</w:t>
      </w:r>
      <w:r w:rsidRPr="005C764B">
        <w:rPr>
          <w:lang w:val="es-ES_tradnl"/>
        </w:rPr>
        <w:tab/>
        <w:t>que se establezcan seis Comisiones de Estudio de Radiocomunicaciones, tal como se indica en el Anexo 1;</w:t>
      </w:r>
    </w:p>
    <w:p w14:paraId="5BB73C32" w14:textId="61154E30" w:rsidR="00C57870" w:rsidRPr="005C764B" w:rsidRDefault="00C57870" w:rsidP="00C57870">
      <w:pPr>
        <w:rPr>
          <w:lang w:val="es-ES_tradnl"/>
        </w:rPr>
      </w:pPr>
      <w:r w:rsidRPr="005C764B">
        <w:rPr>
          <w:lang w:val="es-ES_tradnl"/>
        </w:rPr>
        <w:t>2</w:t>
      </w:r>
      <w:r w:rsidRPr="005C764B">
        <w:rPr>
          <w:b/>
          <w:lang w:val="es-ES_tradnl"/>
        </w:rPr>
        <w:tab/>
      </w:r>
      <w:r w:rsidRPr="005C764B">
        <w:rPr>
          <w:lang w:val="es-ES_tradnl"/>
        </w:rPr>
        <w:t>que, en coordinación con el Sector de Normalización de las Telecomunicaciones</w:t>
      </w:r>
      <w:r w:rsidR="007F52D4" w:rsidRPr="005C764B">
        <w:rPr>
          <w:lang w:val="es-ES_tradnl"/>
        </w:rPr>
        <w:t xml:space="preserve"> de la</w:t>
      </w:r>
      <w:r w:rsidR="00B961D2">
        <w:rPr>
          <w:lang w:val="es-ES_tradnl"/>
        </w:rPr>
        <w:t> </w:t>
      </w:r>
      <w:r w:rsidR="007F52D4" w:rsidRPr="005C764B">
        <w:rPr>
          <w:lang w:val="es-ES_tradnl"/>
        </w:rPr>
        <w:t>UIT</w:t>
      </w:r>
      <w:r w:rsidRPr="005C764B">
        <w:rPr>
          <w:lang w:val="es-ES_tradnl"/>
        </w:rPr>
        <w:t>, el Sector de Desarrollo de las Telecomunicaciones</w:t>
      </w:r>
      <w:r w:rsidR="007F52D4" w:rsidRPr="005C764B">
        <w:rPr>
          <w:lang w:val="es-ES_tradnl"/>
        </w:rPr>
        <w:t xml:space="preserve"> de la UIT</w:t>
      </w:r>
      <w:r w:rsidRPr="005C764B">
        <w:rPr>
          <w:lang w:val="es-ES_tradnl"/>
        </w:rPr>
        <w:t>, la Secretaría General de la</w:t>
      </w:r>
      <w:r w:rsidR="00B961D2">
        <w:rPr>
          <w:lang w:val="es-ES_tradnl"/>
        </w:rPr>
        <w:t> </w:t>
      </w:r>
      <w:r w:rsidRPr="005C764B">
        <w:rPr>
          <w:lang w:val="es-ES_tradnl"/>
        </w:rPr>
        <w:t>UIT y otras organizaciones interesadas, la Oficina de Radiocomunicaciones organice el trabajo de un Comité de Coordinación para el Vocabulario, cuyo cometido se indica en el Anexo 2.</w:t>
      </w:r>
    </w:p>
    <w:p w14:paraId="4C24BDC0" w14:textId="77777777" w:rsidR="00B95418" w:rsidRPr="005C764B" w:rsidRDefault="00B95418" w:rsidP="00B95418">
      <w:pPr>
        <w:tabs>
          <w:tab w:val="clear" w:pos="1134"/>
          <w:tab w:val="clear" w:pos="1871"/>
          <w:tab w:val="clear" w:pos="2268"/>
        </w:tabs>
        <w:overflowPunct/>
        <w:autoSpaceDE/>
        <w:autoSpaceDN/>
        <w:adjustRightInd/>
        <w:spacing w:before="0"/>
        <w:textAlignment w:val="auto"/>
        <w:rPr>
          <w:lang w:val="es-ES_tradnl"/>
        </w:rPr>
      </w:pPr>
      <w:r w:rsidRPr="005C764B">
        <w:rPr>
          <w:lang w:val="es-ES_tradnl"/>
        </w:rPr>
        <w:br w:type="page"/>
      </w:r>
    </w:p>
    <w:p w14:paraId="3890564D" w14:textId="215A21D1" w:rsidR="00B95418" w:rsidRPr="005C764B" w:rsidRDefault="00B95418" w:rsidP="00B95418">
      <w:pPr>
        <w:pStyle w:val="AnnexNo"/>
        <w:rPr>
          <w:lang w:val="es-ES_tradnl"/>
        </w:rPr>
      </w:pPr>
      <w:r w:rsidRPr="005C764B">
        <w:rPr>
          <w:lang w:val="es-ES_tradnl"/>
        </w:rPr>
        <w:lastRenderedPageBreak/>
        <w:t>An</w:t>
      </w:r>
      <w:r w:rsidR="00C57870" w:rsidRPr="005C764B">
        <w:rPr>
          <w:lang w:val="es-ES_tradnl"/>
        </w:rPr>
        <w:t>EXO 1</w:t>
      </w:r>
    </w:p>
    <w:p w14:paraId="602D9BCD" w14:textId="77777777" w:rsidR="00C57870" w:rsidRPr="005C764B" w:rsidRDefault="00C57870" w:rsidP="00C57870">
      <w:pPr>
        <w:pStyle w:val="Annextitle"/>
        <w:rPr>
          <w:lang w:val="es-ES_tradnl"/>
        </w:rPr>
      </w:pPr>
      <w:r w:rsidRPr="005C764B">
        <w:rPr>
          <w:lang w:val="es-ES_tradnl"/>
        </w:rPr>
        <w:t>Comisiones de Estudio de Radiocomunicaciones</w:t>
      </w:r>
    </w:p>
    <w:p w14:paraId="34B3B86D" w14:textId="36357044" w:rsidR="00B95418" w:rsidRPr="005C764B" w:rsidRDefault="00C57870" w:rsidP="00B95418">
      <w:pPr>
        <w:pStyle w:val="Title4"/>
        <w:keepNext/>
        <w:rPr>
          <w:lang w:val="es-ES_tradnl"/>
        </w:rPr>
      </w:pPr>
      <w:r w:rsidRPr="005C764B">
        <w:rPr>
          <w:lang w:val="es-ES_tradnl"/>
        </w:rPr>
        <w:t>COMISIÓN DE ESTUDIO 1</w:t>
      </w:r>
    </w:p>
    <w:p w14:paraId="6DB6F3A7" w14:textId="33753D41" w:rsidR="00B95418" w:rsidRPr="005C764B" w:rsidRDefault="00C57870" w:rsidP="00B95418">
      <w:pPr>
        <w:pStyle w:val="Title3"/>
        <w:keepNext/>
        <w:rPr>
          <w:lang w:val="es-ES_tradnl"/>
        </w:rPr>
      </w:pPr>
      <w:r w:rsidRPr="005C764B">
        <w:rPr>
          <w:lang w:val="es-ES_tradnl"/>
        </w:rPr>
        <w:t>GESTION DEL ESPECTRO</w:t>
      </w:r>
    </w:p>
    <w:p w14:paraId="1EAE4781" w14:textId="297E4088" w:rsidR="00B95418" w:rsidRPr="005C764B" w:rsidRDefault="00B95418" w:rsidP="00B95418">
      <w:pPr>
        <w:keepNext/>
        <w:jc w:val="center"/>
        <w:rPr>
          <w:lang w:val="es-ES_tradnl"/>
        </w:rPr>
      </w:pPr>
      <w:r w:rsidRPr="005C764B">
        <w:rPr>
          <w:lang w:val="es-ES_tradnl"/>
        </w:rPr>
        <w:t>(</w:t>
      </w:r>
      <w:r w:rsidR="00C57870" w:rsidRPr="005C764B">
        <w:rPr>
          <w:lang w:val="es-ES_tradnl"/>
        </w:rPr>
        <w:t>Planificación, utilización, ingeniería, compartición y comprobación técnica del espectro</w:t>
      </w:r>
      <w:r w:rsidRPr="005C764B">
        <w:rPr>
          <w:lang w:val="es-ES_tradnl"/>
        </w:rPr>
        <w:t>)</w:t>
      </w:r>
    </w:p>
    <w:p w14:paraId="1EF9E0D4" w14:textId="34B90B95" w:rsidR="00B95418" w:rsidRPr="005C764B" w:rsidRDefault="00C57870" w:rsidP="00B95418">
      <w:pPr>
        <w:pStyle w:val="Headingi"/>
        <w:rPr>
          <w:lang w:val="es-ES_tradnl"/>
        </w:rPr>
      </w:pPr>
      <w:r w:rsidRPr="005C764B">
        <w:rPr>
          <w:lang w:val="es-ES_tradnl"/>
        </w:rPr>
        <w:t>Cometido</w:t>
      </w:r>
      <w:r w:rsidR="00B95418" w:rsidRPr="002657C6">
        <w:rPr>
          <w:i w:val="0"/>
          <w:iCs/>
          <w:lang w:val="es-ES_tradnl"/>
        </w:rPr>
        <w:t>:</w:t>
      </w:r>
    </w:p>
    <w:p w14:paraId="45BFF054" w14:textId="266A1D63" w:rsidR="00C57870" w:rsidRPr="005C764B" w:rsidRDefault="00C57870" w:rsidP="00C57870">
      <w:pPr>
        <w:spacing w:after="240"/>
        <w:rPr>
          <w:lang w:val="es-ES_tradnl"/>
        </w:rPr>
      </w:pPr>
      <w:r w:rsidRPr="005C764B">
        <w:rPr>
          <w:lang w:val="es-ES_tradnl"/>
        </w:rPr>
        <w:t>Principios y técnicas de gestión del espectro, principios generales de compartición, comprobación técnica del espectro, estrategias a largo plazo de utilización del espectro, planteamientos económicos de la gestión nacional del espectro, técnicas automatizadas y asistencia a los países en desarrollo en cooperación con el Sector de Desarrollo de las Telecomunicaciones</w:t>
      </w:r>
      <w:r w:rsidR="002B4C47" w:rsidRPr="005C764B">
        <w:rPr>
          <w:lang w:val="es-ES_tradnl"/>
        </w:rPr>
        <w:t xml:space="preserve"> de la UIT</w:t>
      </w:r>
      <w:r w:rsidRPr="005C764B">
        <w:rPr>
          <w:lang w:val="es-ES_tradnl"/>
        </w:rPr>
        <w:t>.</w:t>
      </w:r>
    </w:p>
    <w:tbl>
      <w:tblPr>
        <w:tblStyle w:val="TableGrid"/>
        <w:tblW w:w="0" w:type="auto"/>
        <w:jc w:val="center"/>
        <w:tblLook w:val="04A0" w:firstRow="1" w:lastRow="0" w:firstColumn="1" w:lastColumn="0" w:noHBand="0" w:noVBand="1"/>
      </w:tblPr>
      <w:tblGrid>
        <w:gridCol w:w="1984"/>
        <w:gridCol w:w="3691"/>
        <w:gridCol w:w="2835"/>
      </w:tblGrid>
      <w:tr w:rsidR="00B95418" w:rsidRPr="005C764B" w14:paraId="5C05C7BF" w14:textId="77777777" w:rsidTr="007B3089">
        <w:trPr>
          <w:trHeight w:val="288"/>
          <w:jc w:val="center"/>
        </w:trPr>
        <w:tc>
          <w:tcPr>
            <w:tcW w:w="1984" w:type="dxa"/>
            <w:noWrap/>
            <w:hideMark/>
          </w:tcPr>
          <w:p w14:paraId="3487B8E0" w14:textId="77777777" w:rsidR="00B95418" w:rsidRPr="005C764B" w:rsidRDefault="00B95418" w:rsidP="005C764B">
            <w:pPr>
              <w:pStyle w:val="Tablehead"/>
              <w:rPr>
                <w:lang w:val="es-ES_tradnl"/>
              </w:rPr>
            </w:pPr>
          </w:p>
        </w:tc>
        <w:tc>
          <w:tcPr>
            <w:tcW w:w="3691" w:type="dxa"/>
            <w:noWrap/>
            <w:hideMark/>
          </w:tcPr>
          <w:p w14:paraId="55CC2804" w14:textId="24A1B61A" w:rsidR="00B95418" w:rsidRPr="005C764B" w:rsidRDefault="00B95418" w:rsidP="005C764B">
            <w:pPr>
              <w:pStyle w:val="Tablehead"/>
              <w:rPr>
                <w:bCs/>
                <w:lang w:val="es-ES_tradnl"/>
              </w:rPr>
            </w:pPr>
            <w:r w:rsidRPr="005C764B">
              <w:rPr>
                <w:bCs/>
                <w:lang w:val="es-ES_tradnl"/>
              </w:rPr>
              <w:t>N</w:t>
            </w:r>
            <w:r w:rsidR="00C57870" w:rsidRPr="005C764B">
              <w:rPr>
                <w:bCs/>
                <w:lang w:val="es-ES_tradnl"/>
              </w:rPr>
              <w:t>ombre</w:t>
            </w:r>
          </w:p>
        </w:tc>
        <w:tc>
          <w:tcPr>
            <w:tcW w:w="2835" w:type="dxa"/>
            <w:noWrap/>
            <w:hideMark/>
          </w:tcPr>
          <w:p w14:paraId="1427F59A" w14:textId="5DD5F331" w:rsidR="00B95418" w:rsidRPr="005C764B" w:rsidRDefault="00C57870" w:rsidP="005C764B">
            <w:pPr>
              <w:pStyle w:val="Tablehead"/>
              <w:rPr>
                <w:bCs/>
                <w:lang w:val="es-ES_tradnl"/>
              </w:rPr>
            </w:pPr>
            <w:r w:rsidRPr="005C764B">
              <w:rPr>
                <w:bCs/>
                <w:lang w:val="es-ES_tradnl"/>
              </w:rPr>
              <w:t>País/</w:t>
            </w:r>
            <w:proofErr w:type="spellStart"/>
            <w:r w:rsidRPr="005C764B">
              <w:rPr>
                <w:bCs/>
                <w:lang w:val="es-ES_tradnl"/>
              </w:rPr>
              <w:t>Org</w:t>
            </w:r>
            <w:proofErr w:type="spellEnd"/>
            <w:r w:rsidRPr="005C764B">
              <w:rPr>
                <w:bCs/>
                <w:lang w:val="es-ES_tradnl"/>
              </w:rPr>
              <w:t>.</w:t>
            </w:r>
          </w:p>
        </w:tc>
      </w:tr>
      <w:tr w:rsidR="00B95418" w:rsidRPr="005C764B" w14:paraId="3C88D08D" w14:textId="77777777" w:rsidTr="007B3089">
        <w:trPr>
          <w:trHeight w:val="288"/>
          <w:jc w:val="center"/>
        </w:trPr>
        <w:tc>
          <w:tcPr>
            <w:tcW w:w="1984" w:type="dxa"/>
            <w:noWrap/>
          </w:tcPr>
          <w:p w14:paraId="64CCCA11" w14:textId="59AF0274" w:rsidR="00B95418" w:rsidRPr="005C764B" w:rsidRDefault="00C57870" w:rsidP="005C764B">
            <w:pPr>
              <w:pStyle w:val="Tabletext"/>
              <w:rPr>
                <w:highlight w:val="yellow"/>
                <w:lang w:val="es-ES_tradnl"/>
              </w:rPr>
            </w:pPr>
            <w:r w:rsidRPr="005C764B">
              <w:rPr>
                <w:lang w:val="es-ES_tradnl"/>
              </w:rPr>
              <w:t>Presidente</w:t>
            </w:r>
          </w:p>
        </w:tc>
        <w:tc>
          <w:tcPr>
            <w:tcW w:w="3691" w:type="dxa"/>
            <w:noWrap/>
          </w:tcPr>
          <w:p w14:paraId="1F70ECA8" w14:textId="2AC5D634" w:rsidR="00B95418" w:rsidRPr="005C764B" w:rsidRDefault="00C57870" w:rsidP="005C764B">
            <w:pPr>
              <w:pStyle w:val="Tabletext"/>
              <w:rPr>
                <w:lang w:val="es-ES_tradnl"/>
              </w:rPr>
            </w:pPr>
            <w:r w:rsidRPr="005C764B">
              <w:rPr>
                <w:lang w:val="es-ES_tradnl"/>
              </w:rPr>
              <w:t>Sr.</w:t>
            </w:r>
            <w:r w:rsidR="00B95418" w:rsidRPr="005C764B">
              <w:rPr>
                <w:lang w:val="es-ES_tradnl"/>
              </w:rPr>
              <w:t xml:space="preserve"> W. </w:t>
            </w:r>
            <w:proofErr w:type="spellStart"/>
            <w:r w:rsidR="00B95418" w:rsidRPr="005C764B">
              <w:rPr>
                <w:lang w:val="es-ES_tradnl"/>
              </w:rPr>
              <w:t>Sayed</w:t>
            </w:r>
            <w:proofErr w:type="spellEnd"/>
          </w:p>
        </w:tc>
        <w:tc>
          <w:tcPr>
            <w:tcW w:w="2835" w:type="dxa"/>
            <w:noWrap/>
          </w:tcPr>
          <w:p w14:paraId="4A33B3E2" w14:textId="32E33C3E" w:rsidR="00B95418" w:rsidRPr="005C764B" w:rsidRDefault="00B95418" w:rsidP="005C764B">
            <w:pPr>
              <w:pStyle w:val="Tabletext"/>
              <w:rPr>
                <w:lang w:val="es-ES_tradnl"/>
              </w:rPr>
            </w:pPr>
            <w:r w:rsidRPr="005C764B">
              <w:rPr>
                <w:lang w:val="es-ES_tradnl"/>
              </w:rPr>
              <w:t>Eg</w:t>
            </w:r>
            <w:r w:rsidR="00C57870" w:rsidRPr="005C764B">
              <w:rPr>
                <w:lang w:val="es-ES_tradnl"/>
              </w:rPr>
              <w:t>ipto</w:t>
            </w:r>
          </w:p>
        </w:tc>
      </w:tr>
    </w:tbl>
    <w:p w14:paraId="666777DC" w14:textId="1BAA5E96" w:rsidR="00C57870" w:rsidRPr="005C764B" w:rsidRDefault="00B95418" w:rsidP="00C57870">
      <w:pPr>
        <w:pStyle w:val="AnnexNo"/>
        <w:jc w:val="left"/>
        <w:rPr>
          <w:lang w:val="es-ES_tradnl"/>
        </w:rPr>
      </w:pPr>
      <w:r w:rsidRPr="005C764B">
        <w:rPr>
          <w:lang w:val="es-ES_tradnl"/>
        </w:rPr>
        <w:br w:type="page"/>
      </w:r>
    </w:p>
    <w:p w14:paraId="5B3F7986" w14:textId="21F9A2BB" w:rsidR="00B95418" w:rsidRPr="005C764B" w:rsidRDefault="00C57870" w:rsidP="00B95418">
      <w:pPr>
        <w:pStyle w:val="Title4"/>
        <w:keepNext/>
        <w:rPr>
          <w:lang w:val="es-ES_tradnl"/>
        </w:rPr>
      </w:pPr>
      <w:r w:rsidRPr="005C764B">
        <w:rPr>
          <w:lang w:val="es-ES_tradnl"/>
        </w:rPr>
        <w:lastRenderedPageBreak/>
        <w:t>COMISIÓN DE ESTUDIO</w:t>
      </w:r>
      <w:r w:rsidR="00B95418" w:rsidRPr="005C764B">
        <w:rPr>
          <w:lang w:val="es-ES_tradnl"/>
        </w:rPr>
        <w:t xml:space="preserve"> 3</w:t>
      </w:r>
    </w:p>
    <w:p w14:paraId="149E714F" w14:textId="77777777" w:rsidR="00C57870" w:rsidRPr="005C764B" w:rsidRDefault="00C57870" w:rsidP="00C57870">
      <w:pPr>
        <w:pStyle w:val="Title3"/>
        <w:keepNext/>
        <w:rPr>
          <w:lang w:val="es-ES_tradnl"/>
        </w:rPr>
      </w:pPr>
      <w:r w:rsidRPr="005C764B">
        <w:rPr>
          <w:lang w:val="es-ES_tradnl"/>
        </w:rPr>
        <w:t>PROPAGACIÓN DE LAS ONDAS RADIOELÉCTRICAS</w:t>
      </w:r>
    </w:p>
    <w:p w14:paraId="2287AC21" w14:textId="0ABF2FC8" w:rsidR="00B95418" w:rsidRPr="005C764B" w:rsidRDefault="00C57870" w:rsidP="00B95418">
      <w:pPr>
        <w:pStyle w:val="Headingi"/>
        <w:rPr>
          <w:lang w:val="es-ES_tradnl"/>
        </w:rPr>
      </w:pPr>
      <w:r w:rsidRPr="005C764B">
        <w:rPr>
          <w:lang w:val="es-ES_tradnl"/>
        </w:rPr>
        <w:t>Cometido</w:t>
      </w:r>
      <w:r w:rsidR="00B95418" w:rsidRPr="002657C6">
        <w:rPr>
          <w:i w:val="0"/>
          <w:iCs/>
          <w:lang w:val="es-ES_tradnl"/>
        </w:rPr>
        <w:t>:</w:t>
      </w:r>
    </w:p>
    <w:p w14:paraId="14B6ABC9" w14:textId="77777777" w:rsidR="00C57870" w:rsidRPr="005C764B" w:rsidRDefault="00C57870" w:rsidP="00C57870">
      <w:pPr>
        <w:spacing w:after="240"/>
        <w:rPr>
          <w:lang w:val="es-ES_tradnl"/>
        </w:rPr>
      </w:pPr>
      <w:r w:rsidRPr="005C764B">
        <w:rPr>
          <w:lang w:val="es-ES_tradnl"/>
        </w:rPr>
        <w:t>Propagación de las ondas radioeléctricas en medios ionizados y no ionizados y características del ruido radioeléctrico, a fin de mejorar los sistemas de radiocomunicación.</w:t>
      </w:r>
    </w:p>
    <w:tbl>
      <w:tblPr>
        <w:tblStyle w:val="TableGrid"/>
        <w:tblW w:w="0" w:type="auto"/>
        <w:jc w:val="center"/>
        <w:tblLook w:val="04A0" w:firstRow="1" w:lastRow="0" w:firstColumn="1" w:lastColumn="0" w:noHBand="0" w:noVBand="1"/>
      </w:tblPr>
      <w:tblGrid>
        <w:gridCol w:w="1984"/>
        <w:gridCol w:w="3691"/>
        <w:gridCol w:w="3109"/>
      </w:tblGrid>
      <w:tr w:rsidR="00B95418" w:rsidRPr="005C764B" w14:paraId="6FE69FDB" w14:textId="77777777" w:rsidTr="007B3089">
        <w:trPr>
          <w:trHeight w:val="288"/>
          <w:jc w:val="center"/>
        </w:trPr>
        <w:tc>
          <w:tcPr>
            <w:tcW w:w="1984" w:type="dxa"/>
            <w:noWrap/>
            <w:hideMark/>
          </w:tcPr>
          <w:p w14:paraId="12B43C47" w14:textId="77777777" w:rsidR="00B95418" w:rsidRPr="005C764B" w:rsidRDefault="00B95418" w:rsidP="005C764B">
            <w:pPr>
              <w:pStyle w:val="Tablehead"/>
              <w:rPr>
                <w:lang w:val="es-ES_tradnl"/>
              </w:rPr>
            </w:pPr>
          </w:p>
        </w:tc>
        <w:tc>
          <w:tcPr>
            <w:tcW w:w="3691" w:type="dxa"/>
            <w:noWrap/>
            <w:hideMark/>
          </w:tcPr>
          <w:p w14:paraId="27793747" w14:textId="51F8560E" w:rsidR="00B95418" w:rsidRPr="005C764B" w:rsidRDefault="00C57870" w:rsidP="005C764B">
            <w:pPr>
              <w:pStyle w:val="Tablehead"/>
              <w:rPr>
                <w:bCs/>
                <w:lang w:val="es-ES_tradnl"/>
              </w:rPr>
            </w:pPr>
            <w:r w:rsidRPr="005C764B">
              <w:rPr>
                <w:bCs/>
                <w:lang w:val="es-ES_tradnl"/>
              </w:rPr>
              <w:t>Nombre</w:t>
            </w:r>
          </w:p>
        </w:tc>
        <w:tc>
          <w:tcPr>
            <w:tcW w:w="3109" w:type="dxa"/>
            <w:noWrap/>
            <w:hideMark/>
          </w:tcPr>
          <w:p w14:paraId="704A5D35" w14:textId="38326A5B" w:rsidR="00B95418" w:rsidRPr="005C764B" w:rsidRDefault="00C57870" w:rsidP="005C764B">
            <w:pPr>
              <w:pStyle w:val="Tablehead"/>
              <w:rPr>
                <w:bCs/>
                <w:lang w:val="es-ES_tradnl"/>
              </w:rPr>
            </w:pPr>
            <w:r w:rsidRPr="005C764B">
              <w:rPr>
                <w:bCs/>
                <w:lang w:val="es-ES_tradnl"/>
              </w:rPr>
              <w:t>País/</w:t>
            </w:r>
            <w:proofErr w:type="spellStart"/>
            <w:r w:rsidRPr="005C764B">
              <w:rPr>
                <w:bCs/>
                <w:lang w:val="es-ES_tradnl"/>
              </w:rPr>
              <w:t>Org</w:t>
            </w:r>
            <w:proofErr w:type="spellEnd"/>
            <w:r w:rsidRPr="005C764B">
              <w:rPr>
                <w:bCs/>
                <w:lang w:val="es-ES_tradnl"/>
              </w:rPr>
              <w:t>.</w:t>
            </w:r>
          </w:p>
        </w:tc>
      </w:tr>
      <w:tr w:rsidR="007E5FB6" w:rsidRPr="005C764B" w14:paraId="0F163CFD" w14:textId="77777777" w:rsidTr="007B3089">
        <w:trPr>
          <w:trHeight w:val="288"/>
          <w:jc w:val="center"/>
        </w:trPr>
        <w:tc>
          <w:tcPr>
            <w:tcW w:w="1984" w:type="dxa"/>
            <w:noWrap/>
            <w:hideMark/>
          </w:tcPr>
          <w:p w14:paraId="7D8F7A15" w14:textId="66F3A926" w:rsidR="007E5FB6" w:rsidRPr="005C764B" w:rsidRDefault="00C57870" w:rsidP="005C764B">
            <w:pPr>
              <w:pStyle w:val="Tabletext"/>
              <w:rPr>
                <w:lang w:val="es-ES_tradnl"/>
              </w:rPr>
            </w:pPr>
            <w:r w:rsidRPr="005C764B">
              <w:rPr>
                <w:lang w:val="es-ES_tradnl"/>
              </w:rPr>
              <w:t>Presidente</w:t>
            </w:r>
          </w:p>
        </w:tc>
        <w:tc>
          <w:tcPr>
            <w:tcW w:w="3691" w:type="dxa"/>
            <w:noWrap/>
            <w:hideMark/>
          </w:tcPr>
          <w:p w14:paraId="044B7CA1" w14:textId="30DAAFB7" w:rsidR="007E5FB6" w:rsidRPr="005C764B" w:rsidRDefault="00C57870" w:rsidP="005C764B">
            <w:pPr>
              <w:pStyle w:val="Tabletext"/>
              <w:rPr>
                <w:lang w:val="es-ES_tradnl"/>
              </w:rPr>
            </w:pPr>
            <w:r w:rsidRPr="005C764B">
              <w:rPr>
                <w:lang w:val="es-ES_tradnl"/>
              </w:rPr>
              <w:t>Sra.</w:t>
            </w:r>
            <w:r w:rsidR="007E5FB6" w:rsidRPr="005C764B">
              <w:rPr>
                <w:lang w:val="es-ES_tradnl"/>
              </w:rPr>
              <w:t xml:space="preserve"> C. Allen</w:t>
            </w:r>
          </w:p>
        </w:tc>
        <w:tc>
          <w:tcPr>
            <w:tcW w:w="3109" w:type="dxa"/>
            <w:noWrap/>
            <w:hideMark/>
          </w:tcPr>
          <w:p w14:paraId="5EF8EFD9" w14:textId="4BF5BF7D" w:rsidR="007E5FB6" w:rsidRPr="005C764B" w:rsidRDefault="00C57870" w:rsidP="005C764B">
            <w:pPr>
              <w:pStyle w:val="Tabletext"/>
              <w:rPr>
                <w:lang w:val="es-ES_tradnl"/>
              </w:rPr>
            </w:pPr>
            <w:r w:rsidRPr="005C764B">
              <w:rPr>
                <w:lang w:val="es-ES_tradnl"/>
              </w:rPr>
              <w:t>Reino Unido</w:t>
            </w:r>
          </w:p>
        </w:tc>
      </w:tr>
    </w:tbl>
    <w:p w14:paraId="3B2DC066" w14:textId="77777777" w:rsidR="00B95418" w:rsidRPr="005C764B" w:rsidRDefault="00B95418">
      <w:pPr>
        <w:tabs>
          <w:tab w:val="clear" w:pos="1134"/>
          <w:tab w:val="clear" w:pos="1871"/>
          <w:tab w:val="clear" w:pos="2268"/>
        </w:tabs>
        <w:overflowPunct/>
        <w:autoSpaceDE/>
        <w:autoSpaceDN/>
        <w:adjustRightInd/>
        <w:spacing w:before="0"/>
        <w:textAlignment w:val="auto"/>
        <w:rPr>
          <w:lang w:val="es-ES_tradnl"/>
        </w:rPr>
      </w:pPr>
      <w:r w:rsidRPr="005C764B">
        <w:rPr>
          <w:lang w:val="es-ES_tradnl"/>
        </w:rPr>
        <w:br w:type="page"/>
      </w:r>
    </w:p>
    <w:p w14:paraId="653AD5EE" w14:textId="54A31882" w:rsidR="00B95418" w:rsidRPr="005C764B" w:rsidRDefault="00D0111A" w:rsidP="00E37802">
      <w:pPr>
        <w:pStyle w:val="Title4"/>
        <w:rPr>
          <w:lang w:val="es-ES_tradnl"/>
        </w:rPr>
      </w:pPr>
      <w:r w:rsidRPr="005C764B">
        <w:rPr>
          <w:lang w:val="es-ES_tradnl"/>
        </w:rPr>
        <w:lastRenderedPageBreak/>
        <w:t>COMISIÓN DE ESTUDIO 4</w:t>
      </w:r>
    </w:p>
    <w:p w14:paraId="1D2DF33D" w14:textId="6ECE302C" w:rsidR="00B95418" w:rsidRPr="005C764B" w:rsidRDefault="00D0111A" w:rsidP="00E37802">
      <w:pPr>
        <w:pStyle w:val="Title3"/>
        <w:rPr>
          <w:lang w:val="es-ES_tradnl"/>
        </w:rPr>
      </w:pPr>
      <w:r w:rsidRPr="005C764B">
        <w:rPr>
          <w:lang w:val="es-ES_tradnl"/>
        </w:rPr>
        <w:t xml:space="preserve">SERVICIOS POR </w:t>
      </w:r>
      <w:r w:rsidRPr="00694249">
        <w:rPr>
          <w:lang w:val="es-ES_tradnl"/>
        </w:rPr>
        <w:t>SATÉLITE</w:t>
      </w:r>
      <w:r w:rsidR="00B95418" w:rsidRPr="00694249">
        <w:rPr>
          <w:rStyle w:val="FootnoteReference"/>
          <w:lang w:val="es-ES_tradnl"/>
        </w:rPr>
        <w:footnoteReference w:customMarkFollows="1" w:id="1"/>
        <w:t>1</w:t>
      </w:r>
      <w:r w:rsidR="00991918" w:rsidRPr="00991918">
        <w:rPr>
          <w:rStyle w:val="FootnoteReference"/>
        </w:rPr>
        <w:t>,</w:t>
      </w:r>
      <w:r w:rsidR="002657C6" w:rsidRPr="00991918">
        <w:rPr>
          <w:rStyle w:val="FootnoteReference"/>
        </w:rPr>
        <w:t xml:space="preserve"> </w:t>
      </w:r>
      <w:r w:rsidR="007E5FB6" w:rsidRPr="00694249">
        <w:rPr>
          <w:rStyle w:val="FootnoteReference"/>
          <w:rFonts w:eastAsia="MS Mincho"/>
          <w:lang w:val="es-ES_tradnl"/>
        </w:rPr>
        <w:footnoteReference w:customMarkFollows="1" w:id="2"/>
        <w:t>2</w:t>
      </w:r>
    </w:p>
    <w:p w14:paraId="06D93498" w14:textId="373E184D" w:rsidR="00B95418" w:rsidRPr="005C764B" w:rsidRDefault="00D0111A" w:rsidP="00B95418">
      <w:pPr>
        <w:pStyle w:val="Headingi"/>
        <w:rPr>
          <w:lang w:val="es-ES_tradnl"/>
        </w:rPr>
      </w:pPr>
      <w:r w:rsidRPr="005C764B">
        <w:rPr>
          <w:lang w:val="es-ES_tradnl"/>
        </w:rPr>
        <w:t>Cometido</w:t>
      </w:r>
      <w:r w:rsidR="00B95418" w:rsidRPr="002657C6">
        <w:rPr>
          <w:i w:val="0"/>
          <w:iCs/>
          <w:lang w:val="es-ES_tradnl"/>
        </w:rPr>
        <w:t>:</w:t>
      </w:r>
    </w:p>
    <w:p w14:paraId="3AC9ABF0" w14:textId="7A41792A" w:rsidR="00D0111A" w:rsidRPr="005C764B" w:rsidRDefault="00D0111A" w:rsidP="00D0111A">
      <w:pPr>
        <w:spacing w:after="240"/>
        <w:rPr>
          <w:lang w:val="es-ES_tradnl"/>
        </w:rPr>
      </w:pPr>
      <w:r w:rsidRPr="005C764B">
        <w:rPr>
          <w:lang w:val="es-ES_tradnl"/>
        </w:rPr>
        <w:t>Sistemas y redes de los servicios fijo por satélite, móvil por satélite, de radiodifusión por satélite y de radiodeterminación por satélite, incluida la utilización conexa de enlaces del servicio entre satélites, según proceda.</w:t>
      </w:r>
    </w:p>
    <w:tbl>
      <w:tblPr>
        <w:tblStyle w:val="TableGrid"/>
        <w:tblW w:w="0" w:type="auto"/>
        <w:jc w:val="center"/>
        <w:tblLook w:val="04A0" w:firstRow="1" w:lastRow="0" w:firstColumn="1" w:lastColumn="0" w:noHBand="0" w:noVBand="1"/>
      </w:tblPr>
      <w:tblGrid>
        <w:gridCol w:w="1984"/>
        <w:gridCol w:w="3691"/>
        <w:gridCol w:w="3109"/>
      </w:tblGrid>
      <w:tr w:rsidR="004955C6" w:rsidRPr="005C764B" w14:paraId="6D5A636B" w14:textId="77777777" w:rsidTr="004955C6">
        <w:trPr>
          <w:trHeight w:val="288"/>
          <w:jc w:val="center"/>
        </w:trPr>
        <w:tc>
          <w:tcPr>
            <w:tcW w:w="1984" w:type="dxa"/>
            <w:shd w:val="clear" w:color="auto" w:fill="auto"/>
            <w:noWrap/>
          </w:tcPr>
          <w:p w14:paraId="430AF832" w14:textId="77777777" w:rsidR="004955C6" w:rsidRPr="005C764B" w:rsidRDefault="004955C6" w:rsidP="005C764B">
            <w:pPr>
              <w:pStyle w:val="Tablehead"/>
              <w:rPr>
                <w:lang w:val="es-ES_tradnl"/>
              </w:rPr>
            </w:pPr>
          </w:p>
        </w:tc>
        <w:tc>
          <w:tcPr>
            <w:tcW w:w="3691" w:type="dxa"/>
            <w:shd w:val="clear" w:color="auto" w:fill="auto"/>
            <w:noWrap/>
          </w:tcPr>
          <w:p w14:paraId="16E065E4" w14:textId="1378942A" w:rsidR="004955C6" w:rsidRPr="005C764B" w:rsidRDefault="004955C6" w:rsidP="005C764B">
            <w:pPr>
              <w:pStyle w:val="Tablehead"/>
              <w:rPr>
                <w:bCs/>
                <w:lang w:val="es-ES_tradnl"/>
              </w:rPr>
            </w:pPr>
            <w:r w:rsidRPr="005C764B">
              <w:rPr>
                <w:bCs/>
                <w:lang w:val="es-ES_tradnl"/>
              </w:rPr>
              <w:t>N</w:t>
            </w:r>
            <w:r w:rsidR="00D0111A" w:rsidRPr="005C764B">
              <w:rPr>
                <w:bCs/>
                <w:lang w:val="es-ES_tradnl"/>
              </w:rPr>
              <w:t>ombre</w:t>
            </w:r>
          </w:p>
        </w:tc>
        <w:tc>
          <w:tcPr>
            <w:tcW w:w="3109" w:type="dxa"/>
            <w:shd w:val="clear" w:color="auto" w:fill="auto"/>
            <w:noWrap/>
          </w:tcPr>
          <w:p w14:paraId="39B1997F" w14:textId="1B0B0D78" w:rsidR="004955C6" w:rsidRPr="005C764B" w:rsidRDefault="00D0111A" w:rsidP="005C764B">
            <w:pPr>
              <w:pStyle w:val="Tablehead"/>
              <w:rPr>
                <w:bCs/>
                <w:lang w:val="es-ES_tradnl"/>
              </w:rPr>
            </w:pPr>
            <w:r w:rsidRPr="005C764B">
              <w:rPr>
                <w:bCs/>
                <w:lang w:val="es-ES_tradnl"/>
              </w:rPr>
              <w:t>País/</w:t>
            </w:r>
            <w:proofErr w:type="spellStart"/>
            <w:r w:rsidRPr="005C764B">
              <w:rPr>
                <w:bCs/>
                <w:lang w:val="es-ES_tradnl"/>
              </w:rPr>
              <w:t>Org</w:t>
            </w:r>
            <w:proofErr w:type="spellEnd"/>
            <w:r w:rsidRPr="005C764B">
              <w:rPr>
                <w:bCs/>
                <w:lang w:val="es-ES_tradnl"/>
              </w:rPr>
              <w:t>.</w:t>
            </w:r>
          </w:p>
        </w:tc>
      </w:tr>
      <w:tr w:rsidR="00B95418" w:rsidRPr="005C764B" w14:paraId="4598DD62" w14:textId="77777777" w:rsidTr="007B3089">
        <w:trPr>
          <w:trHeight w:val="288"/>
          <w:jc w:val="center"/>
        </w:trPr>
        <w:tc>
          <w:tcPr>
            <w:tcW w:w="1984" w:type="dxa"/>
            <w:noWrap/>
          </w:tcPr>
          <w:p w14:paraId="3FA4E83F" w14:textId="6020C217" w:rsidR="00B95418" w:rsidRPr="005C764B" w:rsidRDefault="00D0111A" w:rsidP="005C764B">
            <w:pPr>
              <w:pStyle w:val="Tabletext"/>
              <w:rPr>
                <w:lang w:val="es-ES_tradnl"/>
              </w:rPr>
            </w:pPr>
            <w:r w:rsidRPr="005C764B">
              <w:rPr>
                <w:lang w:val="es-ES_tradnl"/>
              </w:rPr>
              <w:t>Presidente</w:t>
            </w:r>
          </w:p>
        </w:tc>
        <w:tc>
          <w:tcPr>
            <w:tcW w:w="3691" w:type="dxa"/>
            <w:noWrap/>
          </w:tcPr>
          <w:p w14:paraId="346E93C7" w14:textId="27775C66" w:rsidR="00B95418" w:rsidRPr="005C764B" w:rsidRDefault="00D0111A" w:rsidP="005C764B">
            <w:pPr>
              <w:pStyle w:val="Tabletext"/>
              <w:rPr>
                <w:rFonts w:cs="Times New Roman"/>
                <w:highlight w:val="yellow"/>
                <w:lang w:val="es-ES_tradnl"/>
              </w:rPr>
            </w:pPr>
            <w:r w:rsidRPr="005C764B">
              <w:rPr>
                <w:rFonts w:cs="Times New Roman"/>
                <w:lang w:val="es-ES_tradnl"/>
              </w:rPr>
              <w:t>Sr.</w:t>
            </w:r>
            <w:r w:rsidR="00B95418" w:rsidRPr="005C764B">
              <w:rPr>
                <w:rFonts w:cs="Times New Roman"/>
                <w:lang w:val="es-ES_tradnl"/>
              </w:rPr>
              <w:t xml:space="preserve"> V. </w:t>
            </w:r>
            <w:proofErr w:type="spellStart"/>
            <w:r w:rsidR="00B95418" w:rsidRPr="005C764B">
              <w:rPr>
                <w:rFonts w:cs="Times New Roman"/>
                <w:lang w:val="es-ES_tradnl"/>
              </w:rPr>
              <w:t>Strelets</w:t>
            </w:r>
            <w:proofErr w:type="spellEnd"/>
          </w:p>
        </w:tc>
        <w:tc>
          <w:tcPr>
            <w:tcW w:w="3109" w:type="dxa"/>
            <w:noWrap/>
          </w:tcPr>
          <w:p w14:paraId="1127F96F" w14:textId="09CA2BF9" w:rsidR="00B95418" w:rsidRPr="005C764B" w:rsidRDefault="00D0111A" w:rsidP="005C764B">
            <w:pPr>
              <w:pStyle w:val="Tabletext"/>
              <w:rPr>
                <w:rFonts w:cs="Times New Roman"/>
                <w:highlight w:val="yellow"/>
                <w:lang w:val="es-ES_tradnl"/>
              </w:rPr>
            </w:pPr>
            <w:r w:rsidRPr="005C764B">
              <w:rPr>
                <w:rFonts w:cs="Times New Roman"/>
                <w:lang w:val="es-ES_tradnl"/>
              </w:rPr>
              <w:t>Federación de Rusia</w:t>
            </w:r>
          </w:p>
        </w:tc>
      </w:tr>
    </w:tbl>
    <w:p w14:paraId="7FE00713" w14:textId="77777777" w:rsidR="007E5FB6" w:rsidRPr="005C764B" w:rsidRDefault="007E5FB6">
      <w:pPr>
        <w:tabs>
          <w:tab w:val="clear" w:pos="1134"/>
          <w:tab w:val="clear" w:pos="1871"/>
          <w:tab w:val="clear" w:pos="2268"/>
        </w:tabs>
        <w:overflowPunct/>
        <w:autoSpaceDE/>
        <w:autoSpaceDN/>
        <w:adjustRightInd/>
        <w:spacing w:before="0"/>
        <w:textAlignment w:val="auto"/>
        <w:rPr>
          <w:b/>
          <w:sz w:val="28"/>
          <w:lang w:val="es-ES_tradnl"/>
        </w:rPr>
      </w:pPr>
      <w:r w:rsidRPr="005C764B">
        <w:rPr>
          <w:lang w:val="es-ES_tradnl"/>
        </w:rPr>
        <w:br w:type="page"/>
      </w:r>
    </w:p>
    <w:p w14:paraId="41E47DF7" w14:textId="2E4E1F1D" w:rsidR="004E2053" w:rsidRPr="005C764B" w:rsidRDefault="00D0111A" w:rsidP="004E2053">
      <w:pPr>
        <w:pStyle w:val="Title4"/>
        <w:keepNext/>
        <w:rPr>
          <w:lang w:val="es-ES_tradnl"/>
        </w:rPr>
      </w:pPr>
      <w:r w:rsidRPr="005C764B">
        <w:rPr>
          <w:lang w:val="es-ES_tradnl"/>
        </w:rPr>
        <w:lastRenderedPageBreak/>
        <w:t>COMISIÓN DE ESTUDIO 5</w:t>
      </w:r>
    </w:p>
    <w:p w14:paraId="75C13DE0" w14:textId="6C4AE4D1" w:rsidR="004E2053" w:rsidRPr="005C764B" w:rsidRDefault="00D0111A" w:rsidP="004E2053">
      <w:pPr>
        <w:pStyle w:val="Title3"/>
        <w:keepNext/>
        <w:rPr>
          <w:lang w:val="es-ES_tradnl"/>
        </w:rPr>
      </w:pPr>
      <w:r w:rsidRPr="005C764B">
        <w:rPr>
          <w:lang w:val="es-ES_tradnl"/>
        </w:rPr>
        <w:t>SERVICIOS TERRENALES</w:t>
      </w:r>
    </w:p>
    <w:p w14:paraId="116FAFB7" w14:textId="582CB5F5" w:rsidR="004E2053" w:rsidRPr="005C764B" w:rsidRDefault="00D0111A" w:rsidP="004E2053">
      <w:pPr>
        <w:pStyle w:val="Headingi"/>
        <w:rPr>
          <w:lang w:val="es-ES_tradnl"/>
        </w:rPr>
      </w:pPr>
      <w:r w:rsidRPr="005C764B">
        <w:rPr>
          <w:lang w:val="es-ES_tradnl"/>
        </w:rPr>
        <w:t>Cometido</w:t>
      </w:r>
      <w:r w:rsidR="004E2053" w:rsidRPr="002657C6">
        <w:rPr>
          <w:i w:val="0"/>
          <w:iCs/>
          <w:lang w:val="es-ES_tradnl"/>
        </w:rPr>
        <w:t>:</w:t>
      </w:r>
    </w:p>
    <w:p w14:paraId="516C9DCC" w14:textId="77777777" w:rsidR="00D0111A" w:rsidRPr="005C764B" w:rsidRDefault="00D0111A" w:rsidP="00D0111A">
      <w:pPr>
        <w:spacing w:after="240"/>
        <w:rPr>
          <w:lang w:val="es-ES_tradnl"/>
        </w:rPr>
      </w:pPr>
      <w:r w:rsidRPr="005C764B">
        <w:rPr>
          <w:lang w:val="es-ES_tradnl"/>
        </w:rPr>
        <w:t>Sistemas y redes de los servicios fijo, móvil, de radiodeterminación, de aficionados y de aficionados por satélite.</w:t>
      </w:r>
    </w:p>
    <w:tbl>
      <w:tblPr>
        <w:tblStyle w:val="TableGrid"/>
        <w:tblW w:w="0" w:type="auto"/>
        <w:jc w:val="center"/>
        <w:tblLook w:val="04A0" w:firstRow="1" w:lastRow="0" w:firstColumn="1" w:lastColumn="0" w:noHBand="0" w:noVBand="1"/>
      </w:tblPr>
      <w:tblGrid>
        <w:gridCol w:w="1984"/>
        <w:gridCol w:w="3691"/>
        <w:gridCol w:w="3109"/>
      </w:tblGrid>
      <w:tr w:rsidR="004955C6" w:rsidRPr="005C764B" w14:paraId="6044301D" w14:textId="77777777" w:rsidTr="004955C6">
        <w:trPr>
          <w:trHeight w:val="288"/>
          <w:jc w:val="center"/>
        </w:trPr>
        <w:tc>
          <w:tcPr>
            <w:tcW w:w="1984" w:type="dxa"/>
            <w:shd w:val="clear" w:color="auto" w:fill="auto"/>
            <w:noWrap/>
          </w:tcPr>
          <w:p w14:paraId="2D6EE6DF" w14:textId="77777777" w:rsidR="004955C6" w:rsidRPr="005C764B" w:rsidRDefault="004955C6" w:rsidP="00FC1519">
            <w:pPr>
              <w:pStyle w:val="Tablehead"/>
              <w:rPr>
                <w:lang w:val="es-ES_tradnl"/>
              </w:rPr>
            </w:pPr>
          </w:p>
        </w:tc>
        <w:tc>
          <w:tcPr>
            <w:tcW w:w="3691" w:type="dxa"/>
            <w:shd w:val="clear" w:color="auto" w:fill="auto"/>
            <w:noWrap/>
          </w:tcPr>
          <w:p w14:paraId="129BD16E" w14:textId="24E2E867" w:rsidR="004955C6" w:rsidRPr="005C764B" w:rsidRDefault="004955C6" w:rsidP="00FC1519">
            <w:pPr>
              <w:pStyle w:val="Tablehead"/>
              <w:rPr>
                <w:bCs/>
                <w:lang w:val="es-ES_tradnl"/>
              </w:rPr>
            </w:pPr>
            <w:r w:rsidRPr="005C764B">
              <w:rPr>
                <w:bCs/>
                <w:lang w:val="es-ES_tradnl"/>
              </w:rPr>
              <w:t>N</w:t>
            </w:r>
            <w:r w:rsidR="00D0111A" w:rsidRPr="005C764B">
              <w:rPr>
                <w:bCs/>
                <w:lang w:val="es-ES_tradnl"/>
              </w:rPr>
              <w:t>ombre</w:t>
            </w:r>
          </w:p>
        </w:tc>
        <w:tc>
          <w:tcPr>
            <w:tcW w:w="3109" w:type="dxa"/>
            <w:shd w:val="clear" w:color="auto" w:fill="auto"/>
            <w:noWrap/>
          </w:tcPr>
          <w:p w14:paraId="7EBE2952" w14:textId="1877575D" w:rsidR="004955C6" w:rsidRPr="005C764B" w:rsidRDefault="00D0111A" w:rsidP="00FC1519">
            <w:pPr>
              <w:pStyle w:val="Tablehead"/>
              <w:rPr>
                <w:bCs/>
                <w:lang w:val="es-ES_tradnl"/>
              </w:rPr>
            </w:pPr>
            <w:r w:rsidRPr="005C764B">
              <w:rPr>
                <w:bCs/>
                <w:lang w:val="es-ES_tradnl"/>
              </w:rPr>
              <w:t>País/</w:t>
            </w:r>
            <w:proofErr w:type="spellStart"/>
            <w:r w:rsidRPr="005C764B">
              <w:rPr>
                <w:bCs/>
                <w:lang w:val="es-ES_tradnl"/>
              </w:rPr>
              <w:t>Org</w:t>
            </w:r>
            <w:proofErr w:type="spellEnd"/>
            <w:r w:rsidRPr="005C764B">
              <w:rPr>
                <w:bCs/>
                <w:lang w:val="es-ES_tradnl"/>
              </w:rPr>
              <w:t>.</w:t>
            </w:r>
          </w:p>
        </w:tc>
      </w:tr>
      <w:tr w:rsidR="007E5FB6" w:rsidRPr="005C764B" w14:paraId="3FAC1D01" w14:textId="77777777" w:rsidTr="007B3089">
        <w:trPr>
          <w:trHeight w:val="288"/>
          <w:jc w:val="center"/>
        </w:trPr>
        <w:tc>
          <w:tcPr>
            <w:tcW w:w="1984" w:type="dxa"/>
            <w:noWrap/>
            <w:hideMark/>
          </w:tcPr>
          <w:p w14:paraId="32F6B628" w14:textId="427940FD" w:rsidR="007E5FB6" w:rsidRPr="005C764B" w:rsidRDefault="00D0111A" w:rsidP="00FC1519">
            <w:pPr>
              <w:pStyle w:val="Tabletext"/>
              <w:rPr>
                <w:lang w:val="es-ES_tradnl"/>
              </w:rPr>
            </w:pPr>
            <w:r w:rsidRPr="005C764B">
              <w:rPr>
                <w:lang w:val="es-ES_tradnl"/>
              </w:rPr>
              <w:t>Presidente</w:t>
            </w:r>
          </w:p>
        </w:tc>
        <w:tc>
          <w:tcPr>
            <w:tcW w:w="3691" w:type="dxa"/>
            <w:noWrap/>
          </w:tcPr>
          <w:p w14:paraId="3DB6EC68" w14:textId="725CC2F3" w:rsidR="007E5FB6" w:rsidRPr="005C764B" w:rsidRDefault="007E5FB6" w:rsidP="00FC1519">
            <w:pPr>
              <w:pStyle w:val="Tabletext"/>
              <w:rPr>
                <w:rFonts w:cs="Times New Roman"/>
                <w:lang w:val="es-ES_tradnl"/>
              </w:rPr>
            </w:pPr>
            <w:r w:rsidRPr="005C764B">
              <w:rPr>
                <w:lang w:val="es-ES_tradnl"/>
              </w:rPr>
              <w:t>Dr</w:t>
            </w:r>
            <w:r w:rsidR="00370C38">
              <w:rPr>
                <w:lang w:val="es-ES_tradnl"/>
              </w:rPr>
              <w:t>.</w:t>
            </w:r>
            <w:r w:rsidRPr="005C764B">
              <w:rPr>
                <w:lang w:val="es-ES_tradnl"/>
              </w:rPr>
              <w:t xml:space="preserve"> K.-J. </w:t>
            </w:r>
            <w:proofErr w:type="spellStart"/>
            <w:r w:rsidRPr="005C764B">
              <w:rPr>
                <w:lang w:val="es-ES_tradnl"/>
              </w:rPr>
              <w:t>Wee</w:t>
            </w:r>
            <w:proofErr w:type="spellEnd"/>
          </w:p>
        </w:tc>
        <w:tc>
          <w:tcPr>
            <w:tcW w:w="3109" w:type="dxa"/>
            <w:noWrap/>
          </w:tcPr>
          <w:p w14:paraId="2D981D63" w14:textId="10699C84" w:rsidR="007E5FB6" w:rsidRPr="005C764B" w:rsidRDefault="00D0111A" w:rsidP="00FC1519">
            <w:pPr>
              <w:pStyle w:val="Tabletext"/>
              <w:rPr>
                <w:rFonts w:cs="Times New Roman"/>
                <w:lang w:val="es-ES_tradnl"/>
              </w:rPr>
            </w:pPr>
            <w:r w:rsidRPr="005C764B">
              <w:rPr>
                <w:lang w:val="es-ES_tradnl"/>
              </w:rPr>
              <w:t>Corea (República de)</w:t>
            </w:r>
          </w:p>
        </w:tc>
      </w:tr>
    </w:tbl>
    <w:p w14:paraId="130D0FEF" w14:textId="77777777" w:rsidR="004E2053" w:rsidRPr="005C764B" w:rsidRDefault="004E2053">
      <w:pPr>
        <w:tabs>
          <w:tab w:val="clear" w:pos="1134"/>
          <w:tab w:val="clear" w:pos="1871"/>
          <w:tab w:val="clear" w:pos="2268"/>
        </w:tabs>
        <w:overflowPunct/>
        <w:autoSpaceDE/>
        <w:autoSpaceDN/>
        <w:adjustRightInd/>
        <w:spacing w:before="0"/>
        <w:textAlignment w:val="auto"/>
        <w:rPr>
          <w:lang w:val="es-ES_tradnl"/>
        </w:rPr>
      </w:pPr>
      <w:r w:rsidRPr="005C764B">
        <w:rPr>
          <w:lang w:val="es-ES_tradnl"/>
        </w:rPr>
        <w:br w:type="page"/>
      </w:r>
    </w:p>
    <w:p w14:paraId="7728ECBB" w14:textId="3495FDAA" w:rsidR="004E2053" w:rsidRPr="005C764B" w:rsidRDefault="00D0111A" w:rsidP="004E2053">
      <w:pPr>
        <w:pStyle w:val="Title4"/>
        <w:keepNext/>
        <w:rPr>
          <w:lang w:val="es-ES_tradnl"/>
        </w:rPr>
      </w:pPr>
      <w:r w:rsidRPr="005C764B">
        <w:rPr>
          <w:lang w:val="es-ES_tradnl"/>
        </w:rPr>
        <w:lastRenderedPageBreak/>
        <w:t>Comisión de Estudio 6</w:t>
      </w:r>
    </w:p>
    <w:p w14:paraId="780EC8E0" w14:textId="6DAA40B4" w:rsidR="004E2053" w:rsidRPr="005C764B" w:rsidRDefault="00D0111A" w:rsidP="004E2053">
      <w:pPr>
        <w:pStyle w:val="Title3"/>
        <w:keepNext/>
        <w:rPr>
          <w:lang w:val="es-ES_tradnl"/>
        </w:rPr>
      </w:pPr>
      <w:r w:rsidRPr="005C764B">
        <w:rPr>
          <w:lang w:val="es-ES_tradnl"/>
        </w:rPr>
        <w:t>SERVICIO DE RADIODIFUSIÓN</w:t>
      </w:r>
      <w:r w:rsidR="004E2053" w:rsidRPr="005C764B">
        <w:rPr>
          <w:rStyle w:val="FootnoteReference"/>
          <w:lang w:val="es-ES_tradnl"/>
        </w:rPr>
        <w:t>1</w:t>
      </w:r>
    </w:p>
    <w:p w14:paraId="6A3D3ED2" w14:textId="400647A8" w:rsidR="004E2053" w:rsidRPr="005C764B" w:rsidRDefault="00D0111A" w:rsidP="004E2053">
      <w:pPr>
        <w:pStyle w:val="Headingi"/>
        <w:rPr>
          <w:lang w:val="es-ES_tradnl"/>
        </w:rPr>
      </w:pPr>
      <w:r w:rsidRPr="005C764B">
        <w:rPr>
          <w:lang w:val="es-ES_tradnl"/>
        </w:rPr>
        <w:t>Cometido</w:t>
      </w:r>
      <w:r w:rsidR="004E2053" w:rsidRPr="002657C6">
        <w:rPr>
          <w:i w:val="0"/>
          <w:iCs/>
          <w:lang w:val="es-ES_tradnl"/>
        </w:rPr>
        <w:t>:</w:t>
      </w:r>
    </w:p>
    <w:p w14:paraId="7130CE54" w14:textId="77777777" w:rsidR="00D0111A" w:rsidRPr="005C764B" w:rsidRDefault="00D0111A" w:rsidP="00D0111A">
      <w:pPr>
        <w:rPr>
          <w:lang w:val="es-ES_tradnl"/>
        </w:rPr>
      </w:pPr>
      <w:r w:rsidRPr="005C764B">
        <w:rPr>
          <w:lang w:val="es-ES_tradnl"/>
        </w:rPr>
        <w:t>La radiodifusión de radiocomunicaciones, incluidos los servicios de imagen, de sonido, multimedios y de datos destinados principalmente a la distribución de información al público en general.</w:t>
      </w:r>
    </w:p>
    <w:p w14:paraId="78686A51" w14:textId="77777777" w:rsidR="00D0111A" w:rsidRPr="005C764B" w:rsidRDefault="00D0111A" w:rsidP="00A0373C">
      <w:pPr>
        <w:rPr>
          <w:lang w:val="es-ES_tradnl"/>
        </w:rPr>
      </w:pPr>
      <w:r w:rsidRPr="005C764B">
        <w:rPr>
          <w:lang w:val="es-ES_tradnl"/>
        </w:rPr>
        <w:t>La radiodifusión utiliza la distribución de información en modo difusión, destinada a receptores de consumo de disponibilidad general. Cuando se requiere una capacidad de canal de retorno (por ejemplo, para el control de acceso, la interactividad, etc.), la radiodifusión suele utilizar una infraestructura de distribución asimétrica que permite una gran capacidad de distribución de información al público con un enlace de retorno de capacidad inferior hacia el proveedor del servicio. Esto incluye la producción y distribución de programas (imagen, sonido, multimedios, datos, etc.) así como circuitos de contribución entre estudios, circuitos de recogida de información (ENG, SNG, etc.), de distribución primaria a nodos de entrega y de distribución secundaria a los consumidores.</w:t>
      </w:r>
    </w:p>
    <w:p w14:paraId="58C3A4BA" w14:textId="77777777" w:rsidR="00D0111A" w:rsidRPr="005C764B" w:rsidRDefault="00D0111A" w:rsidP="00B961D2">
      <w:pPr>
        <w:spacing w:after="240"/>
        <w:rPr>
          <w:lang w:val="es-ES_tradnl"/>
        </w:rPr>
      </w:pPr>
      <w:r w:rsidRPr="005C764B">
        <w:rPr>
          <w:lang w:val="es-ES_tradnl"/>
        </w:rPr>
        <w:t>La Comisión de Estudio, teniendo en cuenta la radiodifusión por radiocomunicación, en todos los aspectos mencionados estudia los aspectos relacionados con la producción y la radiocomunicación, incluyendo el intercambio internacional de programas, así como la calidad general del servicio.</w:t>
      </w:r>
    </w:p>
    <w:tbl>
      <w:tblPr>
        <w:tblStyle w:val="TableGrid"/>
        <w:tblW w:w="0" w:type="auto"/>
        <w:jc w:val="center"/>
        <w:tblLook w:val="04A0" w:firstRow="1" w:lastRow="0" w:firstColumn="1" w:lastColumn="0" w:noHBand="0" w:noVBand="1"/>
      </w:tblPr>
      <w:tblGrid>
        <w:gridCol w:w="1984"/>
        <w:gridCol w:w="3691"/>
        <w:gridCol w:w="3109"/>
      </w:tblGrid>
      <w:tr w:rsidR="004955C6" w:rsidRPr="005C764B" w14:paraId="55F884D9" w14:textId="77777777" w:rsidTr="004955C6">
        <w:trPr>
          <w:trHeight w:val="288"/>
          <w:jc w:val="center"/>
        </w:trPr>
        <w:tc>
          <w:tcPr>
            <w:tcW w:w="1984" w:type="dxa"/>
            <w:shd w:val="clear" w:color="auto" w:fill="auto"/>
            <w:noWrap/>
          </w:tcPr>
          <w:p w14:paraId="3784F5C9" w14:textId="77777777" w:rsidR="004955C6" w:rsidRPr="005C764B" w:rsidRDefault="004955C6" w:rsidP="00FC1519">
            <w:pPr>
              <w:pStyle w:val="Tablehead"/>
              <w:rPr>
                <w:lang w:val="es-ES_tradnl"/>
              </w:rPr>
            </w:pPr>
          </w:p>
        </w:tc>
        <w:tc>
          <w:tcPr>
            <w:tcW w:w="3691" w:type="dxa"/>
            <w:shd w:val="clear" w:color="auto" w:fill="auto"/>
            <w:noWrap/>
          </w:tcPr>
          <w:p w14:paraId="02D5FF2F" w14:textId="57D0B8C7" w:rsidR="004955C6" w:rsidRPr="005C764B" w:rsidRDefault="004955C6" w:rsidP="00FC1519">
            <w:pPr>
              <w:pStyle w:val="Tablehead"/>
              <w:rPr>
                <w:bCs/>
                <w:lang w:val="es-ES_tradnl"/>
              </w:rPr>
            </w:pPr>
            <w:r w:rsidRPr="005C764B">
              <w:rPr>
                <w:bCs/>
                <w:lang w:val="es-ES_tradnl"/>
              </w:rPr>
              <w:t>N</w:t>
            </w:r>
            <w:r w:rsidR="00D0111A" w:rsidRPr="005C764B">
              <w:rPr>
                <w:bCs/>
                <w:lang w:val="es-ES_tradnl"/>
              </w:rPr>
              <w:t>ombre</w:t>
            </w:r>
          </w:p>
        </w:tc>
        <w:tc>
          <w:tcPr>
            <w:tcW w:w="3109" w:type="dxa"/>
            <w:shd w:val="clear" w:color="auto" w:fill="auto"/>
            <w:noWrap/>
          </w:tcPr>
          <w:p w14:paraId="66AB5569" w14:textId="4151A8F4" w:rsidR="004955C6" w:rsidRPr="005C764B" w:rsidRDefault="00D0111A" w:rsidP="00FC1519">
            <w:pPr>
              <w:pStyle w:val="Tablehead"/>
              <w:rPr>
                <w:bCs/>
                <w:lang w:val="es-ES_tradnl"/>
              </w:rPr>
            </w:pPr>
            <w:r w:rsidRPr="005C764B">
              <w:rPr>
                <w:bCs/>
                <w:lang w:val="es-ES_tradnl"/>
              </w:rPr>
              <w:t>País/</w:t>
            </w:r>
            <w:proofErr w:type="spellStart"/>
            <w:r w:rsidRPr="005C764B">
              <w:rPr>
                <w:bCs/>
                <w:lang w:val="es-ES_tradnl"/>
              </w:rPr>
              <w:t>Org</w:t>
            </w:r>
            <w:proofErr w:type="spellEnd"/>
            <w:r w:rsidRPr="005C764B">
              <w:rPr>
                <w:bCs/>
                <w:lang w:val="es-ES_tradnl"/>
              </w:rPr>
              <w:t>.</w:t>
            </w:r>
          </w:p>
        </w:tc>
      </w:tr>
      <w:tr w:rsidR="007E5FB6" w:rsidRPr="005C764B" w14:paraId="044CA7F3" w14:textId="77777777" w:rsidTr="007B3089">
        <w:trPr>
          <w:trHeight w:val="288"/>
          <w:jc w:val="center"/>
        </w:trPr>
        <w:tc>
          <w:tcPr>
            <w:tcW w:w="1984" w:type="dxa"/>
            <w:noWrap/>
            <w:hideMark/>
          </w:tcPr>
          <w:p w14:paraId="3A0D524C" w14:textId="30CE22E6" w:rsidR="007E5FB6" w:rsidRPr="005C764B" w:rsidRDefault="00D0111A" w:rsidP="00FC1519">
            <w:pPr>
              <w:pStyle w:val="Tabletext"/>
              <w:rPr>
                <w:lang w:val="es-ES_tradnl"/>
              </w:rPr>
            </w:pPr>
            <w:r w:rsidRPr="005C764B">
              <w:rPr>
                <w:lang w:val="es-ES_tradnl"/>
              </w:rPr>
              <w:t>Presidente</w:t>
            </w:r>
          </w:p>
        </w:tc>
        <w:tc>
          <w:tcPr>
            <w:tcW w:w="3691" w:type="dxa"/>
            <w:noWrap/>
            <w:hideMark/>
          </w:tcPr>
          <w:p w14:paraId="2C1B02CE" w14:textId="6A15728C" w:rsidR="007E5FB6" w:rsidRPr="005C764B" w:rsidRDefault="00D0111A" w:rsidP="00FC1519">
            <w:pPr>
              <w:pStyle w:val="Tabletext"/>
              <w:rPr>
                <w:rFonts w:cs="Times New Roman"/>
                <w:lang w:val="es-ES_tradnl"/>
              </w:rPr>
            </w:pPr>
            <w:r w:rsidRPr="005C764B">
              <w:rPr>
                <w:lang w:val="es-ES_tradnl"/>
              </w:rPr>
              <w:t>S</w:t>
            </w:r>
            <w:r w:rsidR="007E5FB6" w:rsidRPr="005C764B">
              <w:rPr>
                <w:lang w:val="es-ES_tradnl"/>
              </w:rPr>
              <w:t>r</w:t>
            </w:r>
            <w:r w:rsidRPr="005C764B">
              <w:rPr>
                <w:lang w:val="es-ES_tradnl"/>
              </w:rPr>
              <w:t>.</w:t>
            </w:r>
            <w:r w:rsidR="007E5FB6" w:rsidRPr="005C764B">
              <w:rPr>
                <w:lang w:val="es-ES_tradnl"/>
              </w:rPr>
              <w:t xml:space="preserve"> T. Aguiar Soares</w:t>
            </w:r>
          </w:p>
        </w:tc>
        <w:tc>
          <w:tcPr>
            <w:tcW w:w="3109" w:type="dxa"/>
            <w:noWrap/>
            <w:hideMark/>
          </w:tcPr>
          <w:p w14:paraId="23476078" w14:textId="54929A4E" w:rsidR="007E5FB6" w:rsidRPr="005C764B" w:rsidRDefault="007E5FB6" w:rsidP="00FC1519">
            <w:pPr>
              <w:pStyle w:val="Tabletext"/>
              <w:rPr>
                <w:rFonts w:cs="Times New Roman"/>
                <w:lang w:val="es-ES_tradnl"/>
              </w:rPr>
            </w:pPr>
            <w:r w:rsidRPr="005C764B">
              <w:rPr>
                <w:lang w:val="es-ES_tradnl"/>
              </w:rPr>
              <w:t>Bra</w:t>
            </w:r>
            <w:r w:rsidR="00370C38">
              <w:rPr>
                <w:lang w:val="es-ES_tradnl"/>
              </w:rPr>
              <w:t>s</w:t>
            </w:r>
            <w:r w:rsidRPr="005C764B">
              <w:rPr>
                <w:lang w:val="es-ES_tradnl"/>
              </w:rPr>
              <w:t>il</w:t>
            </w:r>
          </w:p>
        </w:tc>
      </w:tr>
    </w:tbl>
    <w:p w14:paraId="69535822" w14:textId="77777777" w:rsidR="00425FD6" w:rsidRPr="005C764B" w:rsidRDefault="00425FD6">
      <w:pPr>
        <w:tabs>
          <w:tab w:val="clear" w:pos="1134"/>
          <w:tab w:val="clear" w:pos="1871"/>
          <w:tab w:val="clear" w:pos="2268"/>
        </w:tabs>
        <w:overflowPunct/>
        <w:autoSpaceDE/>
        <w:autoSpaceDN/>
        <w:adjustRightInd/>
        <w:spacing w:before="0"/>
        <w:textAlignment w:val="auto"/>
        <w:rPr>
          <w:lang w:val="es-ES_tradnl"/>
        </w:rPr>
      </w:pPr>
      <w:r w:rsidRPr="005C764B">
        <w:rPr>
          <w:lang w:val="es-ES_tradnl"/>
        </w:rPr>
        <w:br w:type="page"/>
      </w:r>
    </w:p>
    <w:p w14:paraId="3D68FAAD" w14:textId="08BE69C3" w:rsidR="00425FD6" w:rsidRPr="005C764B" w:rsidRDefault="001C0CDA" w:rsidP="00425FD6">
      <w:pPr>
        <w:pStyle w:val="Title4"/>
        <w:keepNext/>
        <w:rPr>
          <w:lang w:val="es-ES_tradnl"/>
        </w:rPr>
      </w:pPr>
      <w:r w:rsidRPr="005C764B">
        <w:rPr>
          <w:lang w:val="es-ES_tradnl"/>
        </w:rPr>
        <w:lastRenderedPageBreak/>
        <w:t>COMISIÓN DE ESTUDIO</w:t>
      </w:r>
      <w:r w:rsidR="00425FD6" w:rsidRPr="005C764B">
        <w:rPr>
          <w:lang w:val="es-ES_tradnl"/>
        </w:rPr>
        <w:t xml:space="preserve"> 7</w:t>
      </w:r>
    </w:p>
    <w:p w14:paraId="211C6C07" w14:textId="77777777" w:rsidR="001C0CDA" w:rsidRPr="005C764B" w:rsidRDefault="001C0CDA" w:rsidP="001C0CDA">
      <w:pPr>
        <w:pStyle w:val="Title3"/>
        <w:keepNext/>
        <w:rPr>
          <w:lang w:val="es-ES_tradnl"/>
        </w:rPr>
      </w:pPr>
      <w:r w:rsidRPr="005C764B">
        <w:rPr>
          <w:lang w:val="es-ES_tradnl"/>
        </w:rPr>
        <w:t>SERVICIOS CIENTÍFICOS</w:t>
      </w:r>
    </w:p>
    <w:p w14:paraId="762C9A4A" w14:textId="3E6C400C" w:rsidR="00425FD6" w:rsidRPr="005C764B" w:rsidRDefault="00A0373C" w:rsidP="00425FD6">
      <w:pPr>
        <w:pStyle w:val="Headingi"/>
        <w:rPr>
          <w:lang w:val="es-ES_tradnl"/>
        </w:rPr>
      </w:pPr>
      <w:r w:rsidRPr="005C764B">
        <w:rPr>
          <w:lang w:val="es-ES_tradnl"/>
        </w:rPr>
        <w:t>Cometido</w:t>
      </w:r>
      <w:r w:rsidR="00425FD6" w:rsidRPr="002657C6">
        <w:rPr>
          <w:i w:val="0"/>
          <w:iCs/>
          <w:lang w:val="es-ES_tradnl"/>
        </w:rPr>
        <w:t>:</w:t>
      </w:r>
    </w:p>
    <w:p w14:paraId="60364D58" w14:textId="77777777" w:rsidR="001C0CDA" w:rsidRPr="005C764B" w:rsidRDefault="001C0CDA" w:rsidP="001C0CDA">
      <w:pPr>
        <w:rPr>
          <w:lang w:val="es-ES_tradnl"/>
        </w:rPr>
      </w:pPr>
      <w:r w:rsidRPr="005C764B">
        <w:rPr>
          <w:lang w:val="es-ES_tradnl"/>
        </w:rPr>
        <w:t>1</w:t>
      </w:r>
      <w:r w:rsidRPr="005C764B">
        <w:rPr>
          <w:lang w:val="es-ES_tradnl"/>
        </w:rPr>
        <w:tab/>
        <w:t>Sistemas para las operaciones espaciales, la investigación espacial, la exploración de la Tierra y la meteorología, incluida la utilización conexa de enlaces en el servicio entre satélites.</w:t>
      </w:r>
    </w:p>
    <w:p w14:paraId="1E420D60" w14:textId="77777777" w:rsidR="001C0CDA" w:rsidRPr="005C764B" w:rsidRDefault="001C0CDA" w:rsidP="001C0CDA">
      <w:pPr>
        <w:rPr>
          <w:lang w:val="es-ES_tradnl"/>
        </w:rPr>
      </w:pPr>
      <w:r w:rsidRPr="005C764B">
        <w:rPr>
          <w:lang w:val="es-ES_tradnl"/>
        </w:rPr>
        <w:t>2</w:t>
      </w:r>
      <w:r w:rsidRPr="005C764B">
        <w:rPr>
          <w:lang w:val="es-ES_tradnl"/>
        </w:rPr>
        <w:tab/>
        <w:t>Sistemas de teledetección, incluidos los sistemas de teledetección pasivos y activos, que funcionan en plataformas en tierra y espaciales.</w:t>
      </w:r>
    </w:p>
    <w:p w14:paraId="6707DEA2" w14:textId="77777777" w:rsidR="001C0CDA" w:rsidRPr="005C764B" w:rsidRDefault="001C0CDA" w:rsidP="001C0CDA">
      <w:pPr>
        <w:rPr>
          <w:lang w:val="es-ES_tradnl"/>
        </w:rPr>
      </w:pPr>
      <w:r w:rsidRPr="005C764B">
        <w:rPr>
          <w:lang w:val="es-ES_tradnl"/>
        </w:rPr>
        <w:t>3</w:t>
      </w:r>
      <w:r w:rsidRPr="005C764B">
        <w:rPr>
          <w:b/>
          <w:lang w:val="es-ES_tradnl"/>
        </w:rPr>
        <w:tab/>
      </w:r>
      <w:r w:rsidRPr="005C764B">
        <w:rPr>
          <w:lang w:val="es-ES_tradnl"/>
        </w:rPr>
        <w:t>Radioastronomía y astronomía por radar.</w:t>
      </w:r>
    </w:p>
    <w:p w14:paraId="33F4E6FC" w14:textId="77777777" w:rsidR="001C0CDA" w:rsidRPr="005C764B" w:rsidRDefault="001C0CDA" w:rsidP="001C0CDA">
      <w:pPr>
        <w:spacing w:after="240"/>
        <w:rPr>
          <w:lang w:val="es-ES_tradnl"/>
        </w:rPr>
      </w:pPr>
      <w:r w:rsidRPr="005C764B">
        <w:rPr>
          <w:lang w:val="es-ES_tradnl"/>
        </w:rPr>
        <w:t>4</w:t>
      </w:r>
      <w:r w:rsidRPr="005C764B">
        <w:rPr>
          <w:lang w:val="es-ES_tradnl"/>
        </w:rPr>
        <w:tab/>
        <w:t>Difusión, recepción y coordinación de los servicios de frecuencias patrón y señales horarias, incluida la aplicación de técnicas de satélite, a escala mundial.</w:t>
      </w:r>
    </w:p>
    <w:tbl>
      <w:tblPr>
        <w:tblStyle w:val="TableGrid"/>
        <w:tblW w:w="0" w:type="auto"/>
        <w:jc w:val="center"/>
        <w:tblLook w:val="04A0" w:firstRow="1" w:lastRow="0" w:firstColumn="1" w:lastColumn="0" w:noHBand="0" w:noVBand="1"/>
      </w:tblPr>
      <w:tblGrid>
        <w:gridCol w:w="1984"/>
        <w:gridCol w:w="3691"/>
        <w:gridCol w:w="3109"/>
      </w:tblGrid>
      <w:tr w:rsidR="004955C6" w:rsidRPr="005C764B" w14:paraId="284AB3F4" w14:textId="77777777" w:rsidTr="004955C6">
        <w:trPr>
          <w:trHeight w:val="288"/>
          <w:jc w:val="center"/>
        </w:trPr>
        <w:tc>
          <w:tcPr>
            <w:tcW w:w="1984" w:type="dxa"/>
            <w:shd w:val="clear" w:color="auto" w:fill="auto"/>
            <w:noWrap/>
          </w:tcPr>
          <w:p w14:paraId="2B84FB0A" w14:textId="77777777" w:rsidR="004955C6" w:rsidRPr="005C764B" w:rsidRDefault="004955C6" w:rsidP="00FC1519">
            <w:pPr>
              <w:pStyle w:val="Tablehead"/>
              <w:rPr>
                <w:lang w:val="es-ES_tradnl"/>
              </w:rPr>
            </w:pPr>
          </w:p>
        </w:tc>
        <w:tc>
          <w:tcPr>
            <w:tcW w:w="3691" w:type="dxa"/>
            <w:shd w:val="clear" w:color="auto" w:fill="auto"/>
            <w:noWrap/>
          </w:tcPr>
          <w:p w14:paraId="279F8241" w14:textId="2F81545C" w:rsidR="004955C6" w:rsidRPr="005C764B" w:rsidRDefault="004955C6" w:rsidP="00FC1519">
            <w:pPr>
              <w:pStyle w:val="Tablehead"/>
              <w:rPr>
                <w:bCs/>
                <w:lang w:val="es-ES_tradnl"/>
              </w:rPr>
            </w:pPr>
            <w:r w:rsidRPr="005C764B">
              <w:rPr>
                <w:bCs/>
                <w:lang w:val="es-ES_tradnl"/>
              </w:rPr>
              <w:t>N</w:t>
            </w:r>
            <w:r w:rsidR="001C0CDA" w:rsidRPr="005C764B">
              <w:rPr>
                <w:bCs/>
                <w:lang w:val="es-ES_tradnl"/>
              </w:rPr>
              <w:t>ombre</w:t>
            </w:r>
          </w:p>
        </w:tc>
        <w:tc>
          <w:tcPr>
            <w:tcW w:w="3109" w:type="dxa"/>
            <w:shd w:val="clear" w:color="auto" w:fill="auto"/>
            <w:noWrap/>
          </w:tcPr>
          <w:p w14:paraId="2D54C65D" w14:textId="1CE524D4" w:rsidR="004955C6" w:rsidRPr="005C764B" w:rsidRDefault="001C0CDA" w:rsidP="00FC1519">
            <w:pPr>
              <w:pStyle w:val="Tablehead"/>
              <w:rPr>
                <w:bCs/>
                <w:lang w:val="es-ES_tradnl"/>
              </w:rPr>
            </w:pPr>
            <w:r w:rsidRPr="005C764B">
              <w:rPr>
                <w:bCs/>
                <w:lang w:val="es-ES_tradnl"/>
              </w:rPr>
              <w:t>País/</w:t>
            </w:r>
            <w:proofErr w:type="spellStart"/>
            <w:r w:rsidRPr="005C764B">
              <w:rPr>
                <w:bCs/>
                <w:lang w:val="es-ES_tradnl"/>
              </w:rPr>
              <w:t>Org</w:t>
            </w:r>
            <w:proofErr w:type="spellEnd"/>
            <w:r w:rsidRPr="005C764B">
              <w:rPr>
                <w:bCs/>
                <w:lang w:val="es-ES_tradnl"/>
              </w:rPr>
              <w:t>.</w:t>
            </w:r>
          </w:p>
        </w:tc>
      </w:tr>
      <w:tr w:rsidR="007E5FB6" w:rsidRPr="005C764B" w14:paraId="146C5F3F" w14:textId="77777777" w:rsidTr="007B3089">
        <w:trPr>
          <w:trHeight w:val="288"/>
          <w:jc w:val="center"/>
        </w:trPr>
        <w:tc>
          <w:tcPr>
            <w:tcW w:w="1984" w:type="dxa"/>
            <w:noWrap/>
            <w:hideMark/>
          </w:tcPr>
          <w:p w14:paraId="54E66D22" w14:textId="181DD8A3" w:rsidR="007E5FB6" w:rsidRPr="005C764B" w:rsidRDefault="001C0CDA" w:rsidP="00FC1519">
            <w:pPr>
              <w:pStyle w:val="Tabletext"/>
              <w:rPr>
                <w:lang w:val="es-ES_tradnl"/>
              </w:rPr>
            </w:pPr>
            <w:r w:rsidRPr="005C764B">
              <w:rPr>
                <w:lang w:val="es-ES_tradnl"/>
              </w:rPr>
              <w:t>Presidente</w:t>
            </w:r>
          </w:p>
        </w:tc>
        <w:tc>
          <w:tcPr>
            <w:tcW w:w="3691" w:type="dxa"/>
            <w:noWrap/>
            <w:hideMark/>
          </w:tcPr>
          <w:p w14:paraId="26F594DC" w14:textId="42E9D737" w:rsidR="007E5FB6" w:rsidRPr="005C764B" w:rsidRDefault="001C0CDA" w:rsidP="00FC1519">
            <w:pPr>
              <w:pStyle w:val="Tabletext"/>
              <w:rPr>
                <w:rFonts w:cs="Times New Roman"/>
                <w:lang w:val="es-ES_tradnl"/>
              </w:rPr>
            </w:pPr>
            <w:r w:rsidRPr="005C764B">
              <w:rPr>
                <w:lang w:val="es-ES_tradnl"/>
              </w:rPr>
              <w:t>S</w:t>
            </w:r>
            <w:r w:rsidR="007E5FB6" w:rsidRPr="005C764B">
              <w:rPr>
                <w:lang w:val="es-ES_tradnl"/>
              </w:rPr>
              <w:t>r</w:t>
            </w:r>
            <w:r w:rsidRPr="005C764B">
              <w:rPr>
                <w:lang w:val="es-ES_tradnl"/>
              </w:rPr>
              <w:t>.</w:t>
            </w:r>
            <w:r w:rsidR="007E5FB6" w:rsidRPr="005C764B">
              <w:rPr>
                <w:lang w:val="es-ES_tradnl"/>
              </w:rPr>
              <w:t xml:space="preserve"> M. </w:t>
            </w:r>
            <w:proofErr w:type="spellStart"/>
            <w:r w:rsidR="007E5FB6" w:rsidRPr="005C764B">
              <w:rPr>
                <w:lang w:val="es-ES_tradnl"/>
              </w:rPr>
              <w:t>Dreis</w:t>
            </w:r>
            <w:proofErr w:type="spellEnd"/>
          </w:p>
        </w:tc>
        <w:tc>
          <w:tcPr>
            <w:tcW w:w="3109" w:type="dxa"/>
            <w:noWrap/>
            <w:hideMark/>
          </w:tcPr>
          <w:p w14:paraId="365C77CA" w14:textId="79E9F79C" w:rsidR="007E5FB6" w:rsidRPr="005C764B" w:rsidRDefault="007E5FB6" w:rsidP="00FC1519">
            <w:pPr>
              <w:pStyle w:val="Tabletext"/>
              <w:rPr>
                <w:rFonts w:cs="Times New Roman"/>
                <w:lang w:val="es-ES_tradnl"/>
              </w:rPr>
            </w:pPr>
            <w:r w:rsidRPr="005C764B">
              <w:rPr>
                <w:lang w:val="es-ES_tradnl"/>
              </w:rPr>
              <w:t>EUMETSAT</w:t>
            </w:r>
          </w:p>
        </w:tc>
      </w:tr>
    </w:tbl>
    <w:p w14:paraId="495D2A92" w14:textId="77777777" w:rsidR="004955C6" w:rsidRPr="005C764B" w:rsidRDefault="004955C6">
      <w:pPr>
        <w:tabs>
          <w:tab w:val="clear" w:pos="1134"/>
          <w:tab w:val="clear" w:pos="1871"/>
          <w:tab w:val="clear" w:pos="2268"/>
        </w:tabs>
        <w:overflowPunct/>
        <w:autoSpaceDE/>
        <w:autoSpaceDN/>
        <w:adjustRightInd/>
        <w:spacing w:before="0"/>
        <w:textAlignment w:val="auto"/>
        <w:rPr>
          <w:lang w:val="es-ES_tradnl"/>
        </w:rPr>
      </w:pPr>
      <w:r w:rsidRPr="005C764B">
        <w:rPr>
          <w:lang w:val="es-ES_tradnl"/>
        </w:rPr>
        <w:br w:type="page"/>
      </w:r>
    </w:p>
    <w:p w14:paraId="16370F51" w14:textId="7B9E7389" w:rsidR="004955C6" w:rsidRPr="005C764B" w:rsidRDefault="004955C6" w:rsidP="004A1CBD">
      <w:pPr>
        <w:pStyle w:val="AnnexNo"/>
        <w:rPr>
          <w:lang w:val="es-ES_tradnl"/>
        </w:rPr>
      </w:pPr>
      <w:r w:rsidRPr="005C764B">
        <w:rPr>
          <w:lang w:val="es-ES_tradnl"/>
        </w:rPr>
        <w:lastRenderedPageBreak/>
        <w:t>An</w:t>
      </w:r>
      <w:r w:rsidR="001C0CDA" w:rsidRPr="005C764B">
        <w:rPr>
          <w:lang w:val="es-ES_tradnl"/>
        </w:rPr>
        <w:t>exo</w:t>
      </w:r>
      <w:r w:rsidRPr="005C764B">
        <w:rPr>
          <w:lang w:val="es-ES_tradnl"/>
        </w:rPr>
        <w:t> 2</w:t>
      </w:r>
    </w:p>
    <w:p w14:paraId="1C8D9DA9" w14:textId="5A56F65F" w:rsidR="001C0CDA" w:rsidRPr="005C764B" w:rsidRDefault="001C0CDA" w:rsidP="001C0CDA">
      <w:pPr>
        <w:pStyle w:val="Title3"/>
        <w:keepNext/>
        <w:rPr>
          <w:lang w:val="es-ES_tradnl"/>
        </w:rPr>
      </w:pPr>
      <w:r w:rsidRPr="005C764B">
        <w:rPr>
          <w:lang w:val="es-ES_tradnl"/>
        </w:rPr>
        <w:t>COMITÉ DE COORDINACIÓN DEL VOCABULARIO</w:t>
      </w:r>
      <w:r w:rsidR="00544401" w:rsidRPr="005C764B">
        <w:rPr>
          <w:lang w:val="es-ES_tradnl"/>
        </w:rPr>
        <w:t xml:space="preserve"> (CCV)</w:t>
      </w:r>
    </w:p>
    <w:p w14:paraId="47AD4F26" w14:textId="5A6D6408" w:rsidR="004955C6" w:rsidRPr="00FC1519" w:rsidRDefault="001C0CDA" w:rsidP="004955C6">
      <w:pPr>
        <w:pStyle w:val="Headingi"/>
        <w:rPr>
          <w:lang w:val="es-ES_tradnl"/>
        </w:rPr>
      </w:pPr>
      <w:r w:rsidRPr="00FC1519">
        <w:rPr>
          <w:lang w:val="es-ES_tradnl"/>
        </w:rPr>
        <w:t>Cometido</w:t>
      </w:r>
      <w:r w:rsidR="004955C6" w:rsidRPr="002657C6">
        <w:rPr>
          <w:i w:val="0"/>
          <w:iCs/>
          <w:lang w:val="es-ES_tradnl"/>
        </w:rPr>
        <w:t>:</w:t>
      </w:r>
    </w:p>
    <w:p w14:paraId="6DCDA3A2" w14:textId="77777777" w:rsidR="001C0CDA" w:rsidRPr="005C764B" w:rsidRDefault="001C0CDA" w:rsidP="001C0CDA">
      <w:pPr>
        <w:rPr>
          <w:lang w:val="es-ES_tradnl"/>
        </w:rPr>
      </w:pPr>
      <w:r w:rsidRPr="005C764B">
        <w:rPr>
          <w:lang w:val="es-ES_tradnl"/>
        </w:rPr>
        <w:t>Coordinación y aprobación en estrecha colaboración con las Comisiones de Estudio de Radiocomunicaciones, la Secretaría General (Departamento de Conferencias y Publicaciones) y otras organizaciones interesadas (principalmente la Comisión Electrotécnica Internacional (CEI)), en relación con:</w:t>
      </w:r>
    </w:p>
    <w:p w14:paraId="050B80AE" w14:textId="77777777" w:rsidR="001C0CDA" w:rsidRPr="005C764B" w:rsidRDefault="001C0CDA" w:rsidP="001C0CDA">
      <w:pPr>
        <w:pStyle w:val="enumlev1"/>
        <w:rPr>
          <w:lang w:val="es-ES_tradnl"/>
        </w:rPr>
      </w:pPr>
      <w:r w:rsidRPr="005C764B">
        <w:rPr>
          <w:lang w:val="es-ES_tradnl"/>
        </w:rPr>
        <w:t>–</w:t>
      </w:r>
      <w:r w:rsidRPr="005C764B">
        <w:rPr>
          <w:lang w:val="es-ES_tradnl"/>
        </w:rPr>
        <w:tab/>
        <w:t>el vocabulario, incluidas las abreviaturas y siglas;</w:t>
      </w:r>
    </w:p>
    <w:p w14:paraId="25544C62" w14:textId="77777777" w:rsidR="001C0CDA" w:rsidRPr="005C764B" w:rsidRDefault="001C0CDA" w:rsidP="001C0CDA">
      <w:pPr>
        <w:pStyle w:val="enumlev1"/>
        <w:spacing w:after="240"/>
        <w:rPr>
          <w:lang w:val="es-ES_tradnl"/>
        </w:rPr>
      </w:pPr>
      <w:r w:rsidRPr="005C764B">
        <w:rPr>
          <w:lang w:val="es-ES_tradnl"/>
        </w:rPr>
        <w:t>–</w:t>
      </w:r>
      <w:r w:rsidRPr="005C764B">
        <w:rPr>
          <w:lang w:val="es-ES_tradnl"/>
        </w:rPr>
        <w:tab/>
        <w:t>las cuestiones afines (magnitudes y unidades, símbolos gráficos y literales).</w:t>
      </w:r>
    </w:p>
    <w:tbl>
      <w:tblPr>
        <w:tblStyle w:val="TableGrid"/>
        <w:tblW w:w="0" w:type="auto"/>
        <w:jc w:val="center"/>
        <w:tblLook w:val="04A0" w:firstRow="1" w:lastRow="0" w:firstColumn="1" w:lastColumn="0" w:noHBand="0" w:noVBand="1"/>
      </w:tblPr>
      <w:tblGrid>
        <w:gridCol w:w="1984"/>
        <w:gridCol w:w="3691"/>
        <w:gridCol w:w="3109"/>
      </w:tblGrid>
      <w:tr w:rsidR="004955C6" w:rsidRPr="005C764B" w14:paraId="7F6FD8DB" w14:textId="77777777" w:rsidTr="004955C6">
        <w:trPr>
          <w:trHeight w:val="288"/>
          <w:jc w:val="center"/>
        </w:trPr>
        <w:tc>
          <w:tcPr>
            <w:tcW w:w="1984" w:type="dxa"/>
            <w:shd w:val="clear" w:color="auto" w:fill="auto"/>
            <w:noWrap/>
          </w:tcPr>
          <w:p w14:paraId="3AD9D16E" w14:textId="77777777" w:rsidR="004955C6" w:rsidRPr="005C764B" w:rsidRDefault="004955C6" w:rsidP="00FC1519">
            <w:pPr>
              <w:pStyle w:val="Tablehead"/>
              <w:rPr>
                <w:lang w:val="es-ES_tradnl"/>
              </w:rPr>
            </w:pPr>
          </w:p>
        </w:tc>
        <w:tc>
          <w:tcPr>
            <w:tcW w:w="3691" w:type="dxa"/>
            <w:shd w:val="clear" w:color="auto" w:fill="auto"/>
            <w:noWrap/>
          </w:tcPr>
          <w:p w14:paraId="51443A8F" w14:textId="44484F7E" w:rsidR="004955C6" w:rsidRPr="005C764B" w:rsidRDefault="001C0CDA" w:rsidP="00FC1519">
            <w:pPr>
              <w:pStyle w:val="Tablehead"/>
              <w:rPr>
                <w:bCs/>
                <w:lang w:val="es-ES_tradnl"/>
              </w:rPr>
            </w:pPr>
            <w:r w:rsidRPr="005C764B">
              <w:rPr>
                <w:bCs/>
                <w:lang w:val="es-ES_tradnl"/>
              </w:rPr>
              <w:t>Nombre</w:t>
            </w:r>
          </w:p>
        </w:tc>
        <w:tc>
          <w:tcPr>
            <w:tcW w:w="3109" w:type="dxa"/>
            <w:shd w:val="clear" w:color="auto" w:fill="auto"/>
            <w:noWrap/>
          </w:tcPr>
          <w:p w14:paraId="4187525F" w14:textId="7F9588B5" w:rsidR="004955C6" w:rsidRPr="005C764B" w:rsidRDefault="001C0CDA" w:rsidP="00FC1519">
            <w:pPr>
              <w:pStyle w:val="Tablehead"/>
              <w:rPr>
                <w:bCs/>
                <w:lang w:val="es-ES_tradnl"/>
              </w:rPr>
            </w:pPr>
            <w:r w:rsidRPr="005C764B">
              <w:rPr>
                <w:bCs/>
                <w:lang w:val="es-ES_tradnl"/>
              </w:rPr>
              <w:t>País/</w:t>
            </w:r>
            <w:proofErr w:type="spellStart"/>
            <w:r w:rsidRPr="005C764B">
              <w:rPr>
                <w:bCs/>
                <w:lang w:val="es-ES_tradnl"/>
              </w:rPr>
              <w:t>Org</w:t>
            </w:r>
            <w:proofErr w:type="spellEnd"/>
            <w:r w:rsidRPr="005C764B">
              <w:rPr>
                <w:bCs/>
                <w:lang w:val="es-ES_tradnl"/>
              </w:rPr>
              <w:t>.</w:t>
            </w:r>
          </w:p>
        </w:tc>
      </w:tr>
      <w:tr w:rsidR="007E5FB6" w:rsidRPr="005C764B" w14:paraId="1BE76C8F" w14:textId="77777777" w:rsidTr="007B3089">
        <w:trPr>
          <w:trHeight w:val="288"/>
          <w:jc w:val="center"/>
        </w:trPr>
        <w:tc>
          <w:tcPr>
            <w:tcW w:w="1984" w:type="dxa"/>
            <w:shd w:val="clear" w:color="auto" w:fill="auto"/>
            <w:noWrap/>
          </w:tcPr>
          <w:p w14:paraId="00DF3B4E" w14:textId="47BB9027" w:rsidR="007E5FB6" w:rsidRPr="005C764B" w:rsidRDefault="001C0CDA" w:rsidP="00FC1519">
            <w:pPr>
              <w:pStyle w:val="Tabletext"/>
              <w:rPr>
                <w:lang w:val="es-ES_tradnl"/>
              </w:rPr>
            </w:pPr>
            <w:r w:rsidRPr="005C764B">
              <w:rPr>
                <w:lang w:val="es-ES_tradnl"/>
              </w:rPr>
              <w:t>Presidente</w:t>
            </w:r>
          </w:p>
        </w:tc>
        <w:tc>
          <w:tcPr>
            <w:tcW w:w="3691" w:type="dxa"/>
            <w:shd w:val="clear" w:color="auto" w:fill="auto"/>
            <w:noWrap/>
          </w:tcPr>
          <w:p w14:paraId="0EF2C8A0" w14:textId="537B92F7" w:rsidR="007E5FB6" w:rsidRPr="005C764B" w:rsidRDefault="001C0CDA" w:rsidP="00FC1519">
            <w:pPr>
              <w:pStyle w:val="Tabletext"/>
              <w:rPr>
                <w:rFonts w:cs="Times New Roman"/>
                <w:lang w:val="es-ES_tradnl"/>
              </w:rPr>
            </w:pPr>
            <w:r w:rsidRPr="005C764B">
              <w:rPr>
                <w:lang w:val="es-ES_tradnl"/>
              </w:rPr>
              <w:t>Sr.</w:t>
            </w:r>
            <w:r w:rsidR="007E5FB6" w:rsidRPr="005C764B">
              <w:rPr>
                <w:lang w:val="es-ES_tradnl"/>
              </w:rPr>
              <w:t xml:space="preserve"> E.H. </w:t>
            </w:r>
            <w:proofErr w:type="spellStart"/>
            <w:r w:rsidR="007E5FB6" w:rsidRPr="005C764B">
              <w:rPr>
                <w:lang w:val="es-ES_tradnl"/>
              </w:rPr>
              <w:t>Abdouramane</w:t>
            </w:r>
            <w:proofErr w:type="spellEnd"/>
          </w:p>
        </w:tc>
        <w:tc>
          <w:tcPr>
            <w:tcW w:w="3109" w:type="dxa"/>
            <w:shd w:val="clear" w:color="auto" w:fill="auto"/>
            <w:noWrap/>
          </w:tcPr>
          <w:p w14:paraId="130758D4" w14:textId="13D425DD" w:rsidR="007E5FB6" w:rsidRPr="005C764B" w:rsidRDefault="007E5FB6" w:rsidP="00FC1519">
            <w:pPr>
              <w:pStyle w:val="Tabletext"/>
              <w:rPr>
                <w:rFonts w:cs="Times New Roman"/>
                <w:lang w:val="es-ES_tradnl"/>
              </w:rPr>
            </w:pPr>
            <w:r w:rsidRPr="005C764B">
              <w:rPr>
                <w:lang w:val="es-ES_tradnl"/>
              </w:rPr>
              <w:t>Camer</w:t>
            </w:r>
            <w:r w:rsidR="001C0CDA" w:rsidRPr="005C764B">
              <w:rPr>
                <w:lang w:val="es-ES_tradnl"/>
              </w:rPr>
              <w:t>ún</w:t>
            </w:r>
          </w:p>
        </w:tc>
      </w:tr>
    </w:tbl>
    <w:p w14:paraId="085D2628" w14:textId="6B022125" w:rsidR="00A0373C" w:rsidRPr="005C764B" w:rsidRDefault="00A0373C" w:rsidP="00FC1519">
      <w:pPr>
        <w:rPr>
          <w:lang w:val="es-ES_tradnl"/>
        </w:rPr>
      </w:pPr>
    </w:p>
    <w:sectPr w:rsidR="00A0373C" w:rsidRPr="005C764B" w:rsidSect="00972542">
      <w:headerReference w:type="default" r:id="rId10"/>
      <w:footerReference w:type="even" r:id="rId11"/>
      <w:pgSz w:w="11907" w:h="16840" w:code="9"/>
      <w:pgMar w:top="1247" w:right="1134" w:bottom="124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C6AE" w14:textId="77777777" w:rsidR="00D51AAC" w:rsidRDefault="00D51AAC">
      <w:r>
        <w:separator/>
      </w:r>
    </w:p>
  </w:endnote>
  <w:endnote w:type="continuationSeparator" w:id="0">
    <w:p w14:paraId="75C4EFE6" w14:textId="77777777" w:rsidR="00D51AAC" w:rsidRDefault="00D5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C15F" w14:textId="6DDF2025" w:rsidR="009447A3" w:rsidRPr="00A0373C" w:rsidRDefault="009447A3">
    <w:r>
      <w:fldChar w:fldCharType="begin"/>
    </w:r>
    <w:r w:rsidRPr="00A0373C">
      <w:instrText xml:space="preserve"> FILENAME \p  \* MERGEFORMAT </w:instrText>
    </w:r>
    <w:r>
      <w:fldChar w:fldCharType="separate"/>
    </w:r>
    <w:r w:rsidR="00DD7A4E" w:rsidRPr="00A0373C">
      <w:rPr>
        <w:noProof/>
      </w:rPr>
      <w:t>Y:\APP\BR\BR Publications\RA Resolutions 2019\4\004V2E.DOCX</w:t>
    </w:r>
    <w:r>
      <w:fldChar w:fldCharType="end"/>
    </w:r>
    <w:r w:rsidRPr="00A0373C">
      <w:tab/>
    </w:r>
    <w:r>
      <w:fldChar w:fldCharType="begin"/>
    </w:r>
    <w:r>
      <w:instrText xml:space="preserve"> SAVEDATE \@ DD.MM.YY </w:instrText>
    </w:r>
    <w:r>
      <w:fldChar w:fldCharType="separate"/>
    </w:r>
    <w:r w:rsidR="00E8682F">
      <w:rPr>
        <w:noProof/>
      </w:rPr>
      <w:t>21.11.23</w:t>
    </w:r>
    <w:r>
      <w:fldChar w:fldCharType="end"/>
    </w:r>
    <w:r w:rsidRPr="00A0373C">
      <w:tab/>
    </w:r>
    <w:r>
      <w:fldChar w:fldCharType="begin"/>
    </w:r>
    <w:r>
      <w:instrText xml:space="preserve"> PRINTDATE \@ DD.MM.YY </w:instrText>
    </w:r>
    <w:r>
      <w:fldChar w:fldCharType="separate"/>
    </w:r>
    <w:r w:rsidR="00DD7A4E">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D0B9" w14:textId="77777777" w:rsidR="00D51AAC" w:rsidRDefault="00D51AAC">
      <w:r>
        <w:rPr>
          <w:b/>
        </w:rPr>
        <w:t>_______________</w:t>
      </w:r>
    </w:p>
  </w:footnote>
  <w:footnote w:type="continuationSeparator" w:id="0">
    <w:p w14:paraId="10A0CC6E" w14:textId="77777777" w:rsidR="00D51AAC" w:rsidRDefault="00D51AAC">
      <w:r>
        <w:continuationSeparator/>
      </w:r>
    </w:p>
  </w:footnote>
  <w:footnote w:id="1">
    <w:p w14:paraId="0994F39B" w14:textId="7EC9C9FF" w:rsidR="00B95418" w:rsidRPr="00D0111A" w:rsidRDefault="00B95418" w:rsidP="00B95418">
      <w:pPr>
        <w:pStyle w:val="FootnoteText"/>
        <w:rPr>
          <w:lang w:val="es-ES"/>
        </w:rPr>
      </w:pPr>
      <w:r w:rsidRPr="00D0111A">
        <w:rPr>
          <w:rStyle w:val="FootnoteReference"/>
          <w:lang w:val="es-ES"/>
        </w:rPr>
        <w:t>1</w:t>
      </w:r>
      <w:r w:rsidRPr="00D0111A">
        <w:rPr>
          <w:lang w:val="es-ES"/>
        </w:rPr>
        <w:tab/>
      </w:r>
      <w:r w:rsidR="00D0111A" w:rsidRPr="004C50B3">
        <w:rPr>
          <w:lang w:val="es-ES"/>
        </w:rPr>
        <w:t>Se invita a las Comisiones de Estudio 4 y 6 a colaborar en actividades conjuntas, incluidas posibles reuniones mixtas, para resolver la asignación de cuestiones relacionadas con el servicio de radiodifusión por satélite, con arreglo a las directrices siguientes:</w:t>
      </w:r>
    </w:p>
    <w:p w14:paraId="7B32E2B3" w14:textId="77777777" w:rsidR="00D0111A" w:rsidRPr="00013AE1" w:rsidRDefault="00D0111A" w:rsidP="000743F3">
      <w:pPr>
        <w:pStyle w:val="FootnoteText"/>
        <w:ind w:left="255" w:hanging="255"/>
        <w:rPr>
          <w:lang w:val="es-ES"/>
        </w:rPr>
      </w:pPr>
      <w:r w:rsidRPr="00013AE1">
        <w:rPr>
          <w:lang w:val="es-ES"/>
        </w:rPr>
        <w:t>1)</w:t>
      </w:r>
      <w:r w:rsidRPr="00013AE1">
        <w:rPr>
          <w:lang w:val="es-ES"/>
        </w:rPr>
        <w:tab/>
        <w:t>Todas las Cuestiones o partes de las Cuestiones sobre la compartición se asignarán a la Comisión de Estudio 4.</w:t>
      </w:r>
    </w:p>
    <w:p w14:paraId="6A2FF146" w14:textId="77777777" w:rsidR="00D0111A" w:rsidRPr="00013AE1" w:rsidRDefault="00D0111A" w:rsidP="000743F3">
      <w:pPr>
        <w:pStyle w:val="FootnoteText"/>
        <w:ind w:left="255" w:hanging="255"/>
        <w:rPr>
          <w:lang w:val="es-ES"/>
        </w:rPr>
      </w:pPr>
      <w:r w:rsidRPr="00013AE1">
        <w:rPr>
          <w:lang w:val="es-ES"/>
        </w:rPr>
        <w:t>2)</w:t>
      </w:r>
      <w:r w:rsidRPr="00013AE1">
        <w:rPr>
          <w:lang w:val="es-ES"/>
        </w:rPr>
        <w:tab/>
        <w:t>Todas las Cuestiones o partes de las Cuestiones sobre utilización de frecuencias se asignarán a la Comisión de Estudio 4.</w:t>
      </w:r>
    </w:p>
    <w:p w14:paraId="4C47FB32" w14:textId="77777777" w:rsidR="00D0111A" w:rsidRPr="00013AE1" w:rsidRDefault="00D0111A" w:rsidP="000743F3">
      <w:pPr>
        <w:pStyle w:val="FootnoteText"/>
        <w:ind w:left="255" w:hanging="255"/>
        <w:rPr>
          <w:lang w:val="es-ES"/>
        </w:rPr>
      </w:pPr>
      <w:r w:rsidRPr="00013AE1">
        <w:rPr>
          <w:lang w:val="es-ES"/>
        </w:rPr>
        <w:t>3)</w:t>
      </w:r>
      <w:r w:rsidRPr="00013AE1">
        <w:rPr>
          <w:lang w:val="es-ES"/>
        </w:rPr>
        <w:tab/>
        <w:t>Todas las Cuestiones o partes de las Cuestiones sobre objetivos de calidad de funcionamiento y calidad de servicio se asignarán a la Comisión de Estudio 6.</w:t>
      </w:r>
    </w:p>
    <w:p w14:paraId="6B53D20D" w14:textId="2CAD005E" w:rsidR="00B95418" w:rsidRPr="00D0111A" w:rsidRDefault="00D0111A" w:rsidP="000743F3">
      <w:pPr>
        <w:pStyle w:val="FootnoteText"/>
        <w:ind w:left="255" w:hanging="255"/>
        <w:rPr>
          <w:lang w:val="es-ES"/>
        </w:rPr>
      </w:pPr>
      <w:r w:rsidRPr="00013AE1">
        <w:rPr>
          <w:lang w:val="es-ES"/>
        </w:rPr>
        <w:t>4)</w:t>
      </w:r>
      <w:r w:rsidRPr="00013AE1">
        <w:rPr>
          <w:lang w:val="es-ES"/>
        </w:rPr>
        <w:tab/>
        <w:t>Todas las Cuestiones o partes de las Cuestiones sobre requisitos de calidad de funcionamiento de radiofrecuencia de enlaces de satélite para cumplir los requisitos de servicio especificados por la Comisión de Estudio 6, se asignarán a la Comisión de Estudio 4.</w:t>
      </w:r>
    </w:p>
  </w:footnote>
  <w:footnote w:id="2">
    <w:p w14:paraId="13ED04F4" w14:textId="7FA63550" w:rsidR="007E5FB6" w:rsidRPr="00D0111A" w:rsidRDefault="007E5FB6" w:rsidP="00013AE1">
      <w:pPr>
        <w:pStyle w:val="FootnoteText"/>
        <w:rPr>
          <w:lang w:val="es-ES"/>
        </w:rPr>
      </w:pPr>
      <w:r w:rsidRPr="00D0111A">
        <w:rPr>
          <w:rStyle w:val="FootnoteReference"/>
          <w:lang w:val="es-ES"/>
        </w:rPr>
        <w:t>2</w:t>
      </w:r>
      <w:r w:rsidRPr="00D0111A">
        <w:rPr>
          <w:szCs w:val="24"/>
          <w:lang w:val="es-ES"/>
        </w:rPr>
        <w:tab/>
      </w:r>
      <w:r w:rsidR="00D0111A" w:rsidRPr="00B760A5">
        <w:rPr>
          <w:lang w:val="es-ES"/>
        </w:rPr>
        <w:t xml:space="preserve">Se invita a las Comisiones de Estudio 4, 5 y 7 a </w:t>
      </w:r>
      <w:r w:rsidR="00D0111A">
        <w:rPr>
          <w:lang w:val="es-ES"/>
        </w:rPr>
        <w:t>colaborar</w:t>
      </w:r>
      <w:r w:rsidR="00BE3A19">
        <w:rPr>
          <w:lang w:val="es-ES"/>
        </w:rPr>
        <w:t>,</w:t>
      </w:r>
      <w:r w:rsidR="00D0111A" w:rsidRPr="00B760A5">
        <w:rPr>
          <w:lang w:val="es-ES"/>
        </w:rPr>
        <w:t xml:space="preserve"> </w:t>
      </w:r>
      <w:r w:rsidR="00BE3A19">
        <w:rPr>
          <w:lang w:val="es-ES"/>
        </w:rPr>
        <w:t>bajo el liderazgo de la</w:t>
      </w:r>
      <w:r w:rsidR="00BE3A19" w:rsidRPr="004C6D2A">
        <w:rPr>
          <w:lang w:val="es-ES"/>
        </w:rPr>
        <w:t xml:space="preserve"> Comisión de Estudio 4</w:t>
      </w:r>
      <w:r w:rsidR="00BE3A19">
        <w:rPr>
          <w:lang w:val="es-ES"/>
        </w:rPr>
        <w:t xml:space="preserve">, </w:t>
      </w:r>
      <w:r w:rsidR="00D0111A" w:rsidRPr="00B760A5">
        <w:rPr>
          <w:lang w:val="es-ES"/>
        </w:rPr>
        <w:t xml:space="preserve">en </w:t>
      </w:r>
      <w:r w:rsidR="00D0111A">
        <w:rPr>
          <w:lang w:val="es-ES"/>
        </w:rPr>
        <w:t>temas relacionados</w:t>
      </w:r>
      <w:r w:rsidR="00D0111A" w:rsidRPr="00B760A5">
        <w:rPr>
          <w:lang w:val="es-ES"/>
        </w:rPr>
        <w:t xml:space="preserve"> con la sostenibilidad del espectro de frecuencias radioeléctricas y los recursos</w:t>
      </w:r>
      <w:r w:rsidR="00D0111A">
        <w:rPr>
          <w:lang w:val="es-ES"/>
        </w:rPr>
        <w:t xml:space="preserve"> </w:t>
      </w:r>
      <w:r w:rsidR="00D0111A" w:rsidRPr="00B760A5">
        <w:rPr>
          <w:lang w:val="es-ES"/>
        </w:rPr>
        <w:t>asociados de las órbitas de satélites utilizados por los servicios espaciales (</w:t>
      </w:r>
      <w:r w:rsidR="00D0111A" w:rsidRPr="005C764B">
        <w:rPr>
          <w:lang w:val="es-ES"/>
        </w:rPr>
        <w:t>véase</w:t>
      </w:r>
      <w:r w:rsidR="00D0111A" w:rsidRPr="00B760A5">
        <w:rPr>
          <w:lang w:val="es-ES"/>
        </w:rPr>
        <w:t xml:space="preserve"> la Resolución 219 (Bucarest, 2022)</w:t>
      </w:r>
      <w:r w:rsidR="005B0309">
        <w:rPr>
          <w:lang w:val="es-ES"/>
        </w:rPr>
        <w:t xml:space="preserve"> de la Conferencia de Plenipotenciarios</w:t>
      </w:r>
      <w:r w:rsidR="00D0111A" w:rsidRPr="00B760A5">
        <w:rPr>
          <w:lang w:val="es-ES"/>
        </w:rPr>
        <w:t xml:space="preserve">) y que </w:t>
      </w:r>
      <w:r w:rsidR="00D0111A">
        <w:rPr>
          <w:lang w:val="es-ES"/>
        </w:rPr>
        <w:t>se hallen</w:t>
      </w:r>
      <w:r w:rsidR="00D0111A" w:rsidRPr="00B760A5">
        <w:rPr>
          <w:lang w:val="es-ES"/>
        </w:rPr>
        <w:t xml:space="preserve"> bajo la responsabilidad y el mandato del UIT-R, según proceda</w:t>
      </w:r>
      <w:r w:rsidR="00D0111A">
        <w:rPr>
          <w:lang w:val="es-ES"/>
        </w:rPr>
        <w:t>; ello bajo el liderazgo de la</w:t>
      </w:r>
      <w:r w:rsidR="00D0111A" w:rsidRPr="004C6D2A">
        <w:rPr>
          <w:lang w:val="es-ES"/>
        </w:rPr>
        <w:t xml:space="preserve"> Comisión de</w:t>
      </w:r>
      <w:r w:rsidR="002657C6">
        <w:rPr>
          <w:lang w:val="es-ES"/>
        </w:rPr>
        <w:t> </w:t>
      </w:r>
      <w:r w:rsidR="00D0111A" w:rsidRPr="004C6D2A">
        <w:rPr>
          <w:lang w:val="es-ES"/>
        </w:rPr>
        <w:t>Estudio 4</w:t>
      </w:r>
      <w:r w:rsidR="00D0111A" w:rsidRPr="00B760A5">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645A" w14:textId="5D3D5CD4" w:rsidR="00192E45" w:rsidRDefault="00192E45">
    <w:pPr>
      <w:pStyle w:val="Header"/>
    </w:pPr>
    <w:r>
      <w:fldChar w:fldCharType="begin"/>
    </w:r>
    <w:r>
      <w:instrText xml:space="preserve"> PAGE  \* MERGEFORMAT </w:instrText>
    </w:r>
    <w:r>
      <w:fldChar w:fldCharType="separate"/>
    </w:r>
    <w:r w:rsidR="00732BC7">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83024020">
    <w:abstractNumId w:val="0"/>
  </w:num>
  <w:num w:numId="2" w16cid:durableId="8688393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18"/>
    <w:rsid w:val="00013AE1"/>
    <w:rsid w:val="000743F3"/>
    <w:rsid w:val="000A38AB"/>
    <w:rsid w:val="000B0C1B"/>
    <w:rsid w:val="000C586E"/>
    <w:rsid w:val="000D1293"/>
    <w:rsid w:val="00192E45"/>
    <w:rsid w:val="001B225D"/>
    <w:rsid w:val="001C0CDA"/>
    <w:rsid w:val="00206408"/>
    <w:rsid w:val="002657C6"/>
    <w:rsid w:val="002B4C47"/>
    <w:rsid w:val="0030579C"/>
    <w:rsid w:val="00370C38"/>
    <w:rsid w:val="003C6C81"/>
    <w:rsid w:val="003C7C2D"/>
    <w:rsid w:val="00412228"/>
    <w:rsid w:val="00415DAE"/>
    <w:rsid w:val="00425F3D"/>
    <w:rsid w:val="00425FD6"/>
    <w:rsid w:val="00471425"/>
    <w:rsid w:val="00481BA2"/>
    <w:rsid w:val="004844C1"/>
    <w:rsid w:val="004908D9"/>
    <w:rsid w:val="004955C6"/>
    <w:rsid w:val="004A1CBD"/>
    <w:rsid w:val="004D6FFE"/>
    <w:rsid w:val="004E2053"/>
    <w:rsid w:val="0051789A"/>
    <w:rsid w:val="00521E96"/>
    <w:rsid w:val="00544401"/>
    <w:rsid w:val="005B0309"/>
    <w:rsid w:val="005B2761"/>
    <w:rsid w:val="005B755C"/>
    <w:rsid w:val="005C764B"/>
    <w:rsid w:val="005E0BE1"/>
    <w:rsid w:val="005F1974"/>
    <w:rsid w:val="00604237"/>
    <w:rsid w:val="006904BD"/>
    <w:rsid w:val="00693D14"/>
    <w:rsid w:val="00694249"/>
    <w:rsid w:val="0071246B"/>
    <w:rsid w:val="00732BC7"/>
    <w:rsid w:val="00756B1C"/>
    <w:rsid w:val="00757A7D"/>
    <w:rsid w:val="007C6911"/>
    <w:rsid w:val="007E5FB6"/>
    <w:rsid w:val="007F41CB"/>
    <w:rsid w:val="007F52D4"/>
    <w:rsid w:val="008118AB"/>
    <w:rsid w:val="008145E1"/>
    <w:rsid w:val="00880578"/>
    <w:rsid w:val="00891B8A"/>
    <w:rsid w:val="008A7B8E"/>
    <w:rsid w:val="008B1A14"/>
    <w:rsid w:val="008D76CA"/>
    <w:rsid w:val="008E470E"/>
    <w:rsid w:val="008F4351"/>
    <w:rsid w:val="009054E8"/>
    <w:rsid w:val="00913875"/>
    <w:rsid w:val="009447A3"/>
    <w:rsid w:val="009520DB"/>
    <w:rsid w:val="00972542"/>
    <w:rsid w:val="00991918"/>
    <w:rsid w:val="00993768"/>
    <w:rsid w:val="009E375D"/>
    <w:rsid w:val="009F14A3"/>
    <w:rsid w:val="00A0373C"/>
    <w:rsid w:val="00A05CE9"/>
    <w:rsid w:val="00A35F66"/>
    <w:rsid w:val="00AC62A2"/>
    <w:rsid w:val="00B1312C"/>
    <w:rsid w:val="00B22B06"/>
    <w:rsid w:val="00B95418"/>
    <w:rsid w:val="00B961D2"/>
    <w:rsid w:val="00BB03AF"/>
    <w:rsid w:val="00BB65FB"/>
    <w:rsid w:val="00BE3A19"/>
    <w:rsid w:val="00BE5003"/>
    <w:rsid w:val="00BF5E61"/>
    <w:rsid w:val="00C17E12"/>
    <w:rsid w:val="00C46060"/>
    <w:rsid w:val="00C51857"/>
    <w:rsid w:val="00C57870"/>
    <w:rsid w:val="00CA568B"/>
    <w:rsid w:val="00CB1338"/>
    <w:rsid w:val="00CF2CC9"/>
    <w:rsid w:val="00D0111A"/>
    <w:rsid w:val="00D262CE"/>
    <w:rsid w:val="00D471A9"/>
    <w:rsid w:val="00D50D44"/>
    <w:rsid w:val="00D51AAC"/>
    <w:rsid w:val="00D75602"/>
    <w:rsid w:val="00DA716F"/>
    <w:rsid w:val="00DB54DD"/>
    <w:rsid w:val="00DD7A4E"/>
    <w:rsid w:val="00E123D4"/>
    <w:rsid w:val="00E37802"/>
    <w:rsid w:val="00E424C3"/>
    <w:rsid w:val="00E8682F"/>
    <w:rsid w:val="00EB442E"/>
    <w:rsid w:val="00EE1A06"/>
    <w:rsid w:val="00EE4AD6"/>
    <w:rsid w:val="00F329B0"/>
    <w:rsid w:val="00F44EEA"/>
    <w:rsid w:val="00F62BBE"/>
    <w:rsid w:val="00F94CB9"/>
    <w:rsid w:val="00FC1519"/>
    <w:rsid w:val="00FD4869"/>
    <w:rsid w:val="00FF55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3FD17"/>
  <w15:docId w15:val="{CB0A1835-075C-48D3-9D90-2671C830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95418"/>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95418"/>
    <w:rPr>
      <w:rFonts w:ascii="Times New Roman" w:hAnsi="Times New Roman"/>
      <w:sz w:val="24"/>
      <w:lang w:val="en-GB" w:eastAsia="en-US"/>
    </w:rPr>
  </w:style>
  <w:style w:type="table" w:styleId="TableGrid">
    <w:name w:val="Table Grid"/>
    <w:basedOn w:val="TableNormal"/>
    <w:uiPriority w:val="39"/>
    <w:rsid w:val="00B95418"/>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4955C6"/>
    <w:rPr>
      <w:rFonts w:ascii="Times New Roman" w:hAnsi="Times New Roman"/>
      <w:sz w:val="24"/>
      <w:lang w:val="en-GB" w:eastAsia="en-US"/>
    </w:rPr>
  </w:style>
  <w:style w:type="paragraph" w:styleId="Revision">
    <w:name w:val="Revision"/>
    <w:hidden/>
    <w:uiPriority w:val="99"/>
    <w:semiHidden/>
    <w:rsid w:val="007E5FB6"/>
    <w:rPr>
      <w:rFonts w:ascii="Times New Roman" w:hAnsi="Times New Roman"/>
      <w:sz w:val="24"/>
      <w:lang w:val="en-GB" w:eastAsia="en-US"/>
    </w:rPr>
  </w:style>
  <w:style w:type="character" w:customStyle="1" w:styleId="RestitleChar">
    <w:name w:val="Res_title Char"/>
    <w:basedOn w:val="DefaultParagraphFont"/>
    <w:link w:val="Restitle"/>
    <w:locked/>
    <w:rsid w:val="00C57870"/>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6D680-78BF-4FD1-B37D-F0E774228623}">
  <ds:schemaRefs>
    <ds:schemaRef ds:uri="http://schemas.microsoft.com/sharepoint/v3/contenttype/forms"/>
  </ds:schemaRefs>
</ds:datastoreItem>
</file>

<file path=customXml/itemProps2.xml><?xml version="1.0" encoding="utf-8"?>
<ds:datastoreItem xmlns:ds="http://schemas.openxmlformats.org/officeDocument/2006/customXml" ds:itemID="{831D28E4-400B-4F2B-A941-0A0AB8AE0A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73AF7C-B90E-4C1C-9B39-A323849A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PE_RA19.dotx</Template>
  <TotalTime>3</TotalTime>
  <Pages>8</Pages>
  <Words>760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Spanish</cp:lastModifiedBy>
  <cp:revision>6</cp:revision>
  <cp:lastPrinted>2019-10-30T15:01:00Z</cp:lastPrinted>
  <dcterms:created xsi:type="dcterms:W3CDTF">2023-11-21T12:06:00Z</dcterms:created>
  <dcterms:modified xsi:type="dcterms:W3CDTF">2023-11-22T07:28:00Z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ies>
</file>