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5FAA" w14:textId="22D06CF1" w:rsidR="00B11F65" w:rsidRPr="000324AA" w:rsidRDefault="00BD5BA8" w:rsidP="00133BB2">
      <w:pPr>
        <w:pStyle w:val="ResNo"/>
      </w:pPr>
      <w:r w:rsidRPr="000324AA">
        <w:t>Résolution UIT-R 4-</w:t>
      </w:r>
      <w:r w:rsidR="00824272" w:rsidRPr="000324AA">
        <w:t>9</w:t>
      </w:r>
    </w:p>
    <w:p w14:paraId="10E2FA78" w14:textId="7D3047B9" w:rsidR="00BD5BA8" w:rsidRPr="000324AA" w:rsidRDefault="00BD5BA8" w:rsidP="00BD5BA8">
      <w:pPr>
        <w:pStyle w:val="Restitle"/>
      </w:pPr>
      <w:bookmarkStart w:id="0" w:name="_Toc180533391"/>
      <w:bookmarkStart w:id="1" w:name="_Toc180533507"/>
      <w:bookmarkStart w:id="2" w:name="_Toc180534270"/>
      <w:bookmarkStart w:id="3" w:name="_Toc180534568"/>
      <w:bookmarkStart w:id="4" w:name="_Toc180535512"/>
      <w:r w:rsidRPr="000324AA">
        <w:t xml:space="preserve">Structure des </w:t>
      </w:r>
      <w:r w:rsidR="00006CBF" w:rsidRPr="000324AA">
        <w:t xml:space="preserve">commissions </w:t>
      </w:r>
      <w:r w:rsidRPr="000324AA">
        <w:t>d'</w:t>
      </w:r>
      <w:r w:rsidR="008058B6" w:rsidRPr="000324AA">
        <w:t>é</w:t>
      </w:r>
      <w:r w:rsidRPr="000324AA">
        <w:t>tudes des radiocommunications</w:t>
      </w:r>
      <w:bookmarkEnd w:id="0"/>
      <w:bookmarkEnd w:id="1"/>
      <w:bookmarkEnd w:id="2"/>
      <w:bookmarkEnd w:id="3"/>
      <w:bookmarkEnd w:id="4"/>
    </w:p>
    <w:p w14:paraId="271177ED" w14:textId="6EA29B37" w:rsidR="00BD5BA8" w:rsidRPr="000324AA" w:rsidRDefault="00BD5BA8" w:rsidP="00BD5BA8">
      <w:pPr>
        <w:pStyle w:val="Resdate"/>
        <w:spacing w:before="360"/>
      </w:pPr>
      <w:r w:rsidRPr="000324AA">
        <w:t>(1993-1995-1997-2000-2003-2007-2012-2015</w:t>
      </w:r>
      <w:r w:rsidR="00A3195C" w:rsidRPr="000324AA">
        <w:t>-2019</w:t>
      </w:r>
      <w:r w:rsidR="00824272" w:rsidRPr="000324AA">
        <w:t>-2023</w:t>
      </w:r>
      <w:r w:rsidRPr="000324AA">
        <w:t>)</w:t>
      </w:r>
    </w:p>
    <w:p w14:paraId="64328228" w14:textId="4B1D27D5" w:rsidR="00BD5BA8" w:rsidRPr="000324AA" w:rsidRDefault="00BD5BA8" w:rsidP="00BD5BA8">
      <w:pPr>
        <w:pStyle w:val="Normalaftertitle"/>
      </w:pPr>
      <w:r w:rsidRPr="000324AA">
        <w:t>L'Assemblée des radiocommunications de l'UIT,</w:t>
      </w:r>
    </w:p>
    <w:p w14:paraId="00B8282E" w14:textId="77777777" w:rsidR="00BD5BA8" w:rsidRPr="000324AA" w:rsidRDefault="00BD5BA8" w:rsidP="00BD5BA8">
      <w:pPr>
        <w:pStyle w:val="Call"/>
      </w:pPr>
      <w:r w:rsidRPr="000324AA">
        <w:t>considérant</w:t>
      </w:r>
    </w:p>
    <w:p w14:paraId="33EA128D" w14:textId="77777777" w:rsidR="00BD5BA8" w:rsidRPr="000324AA" w:rsidRDefault="00BD5BA8" w:rsidP="00BD5BA8">
      <w:r w:rsidRPr="000324AA">
        <w:rPr>
          <w:i/>
          <w:iCs/>
        </w:rPr>
        <w:t>a)</w:t>
      </w:r>
      <w:r w:rsidRPr="000324AA">
        <w:tab/>
        <w:t>le numéro 133 et l'article 11 de la Convention de l'UIT;</w:t>
      </w:r>
    </w:p>
    <w:p w14:paraId="35D67AA6" w14:textId="40C8690A" w:rsidR="00BD5BA8" w:rsidRPr="000324AA" w:rsidRDefault="008058B6" w:rsidP="00BD5BA8">
      <w:r w:rsidRPr="000324AA">
        <w:rPr>
          <w:i/>
          <w:iCs/>
        </w:rPr>
        <w:t>b)</w:t>
      </w:r>
      <w:r w:rsidRPr="000324AA">
        <w:tab/>
        <w:t xml:space="preserve">que les travaux des </w:t>
      </w:r>
      <w:r w:rsidR="00006CBF" w:rsidRPr="000324AA">
        <w:t xml:space="preserve">commissions </w:t>
      </w:r>
      <w:r w:rsidRPr="000324AA">
        <w:t>d'études</w:t>
      </w:r>
      <w:r w:rsidR="002D3D2E" w:rsidRPr="000324AA">
        <w:t xml:space="preserve"> </w:t>
      </w:r>
      <w:r w:rsidRPr="000324AA">
        <w:t>des radiocommunications</w:t>
      </w:r>
      <w:r w:rsidR="002D3D2E" w:rsidRPr="000324AA">
        <w:t xml:space="preserve"> </w:t>
      </w:r>
      <w:r w:rsidRPr="000324AA">
        <w:t>sont liés à la définition des bases techniques, d'exploitation et de procédure pour l'utilisation efficace du spectre des fréquences radioélectriques par les services de radiocommunication de Terre et spatiaux, de l'orbite des satellites géostationnaires</w:t>
      </w:r>
      <w:r w:rsidRPr="000324AA">
        <w:rPr>
          <w:color w:val="000000"/>
        </w:rPr>
        <w:t xml:space="preserve"> </w:t>
      </w:r>
      <w:r w:rsidRPr="000324AA">
        <w:t>et d'autres orbites de satellites;</w:t>
      </w:r>
    </w:p>
    <w:p w14:paraId="002C05F7" w14:textId="384AEBD4" w:rsidR="00BD5BA8" w:rsidRPr="000324AA" w:rsidRDefault="00BD5BA8" w:rsidP="00BD5BA8">
      <w:r w:rsidRPr="000324AA">
        <w:rPr>
          <w:i/>
          <w:iCs/>
        </w:rPr>
        <w:t>c)</w:t>
      </w:r>
      <w:r w:rsidRPr="000324AA">
        <w:tab/>
        <w:t>que la coopération entre le Secteur des radiocommunications</w:t>
      </w:r>
      <w:r w:rsidR="002D3D2E" w:rsidRPr="000324AA">
        <w:t xml:space="preserve"> </w:t>
      </w:r>
      <w:r w:rsidR="00DE7A55" w:rsidRPr="000324AA">
        <w:t xml:space="preserve">de </w:t>
      </w:r>
      <w:r w:rsidR="00114001" w:rsidRPr="000324AA">
        <w:t>l'UIT</w:t>
      </w:r>
      <w:r w:rsidR="00DE7A55" w:rsidRPr="000324AA">
        <w:t xml:space="preserve"> </w:t>
      </w:r>
      <w:r w:rsidRPr="000324AA">
        <w:t>et les organisations internationales ou régionales dans le domaine de l'élaboration de normes applicables aux systèmes de radiocommunication et à leur exploitation présenterait des avantages considérables,</w:t>
      </w:r>
    </w:p>
    <w:p w14:paraId="33ED93D2" w14:textId="77777777" w:rsidR="00BD5BA8" w:rsidRPr="000324AA" w:rsidRDefault="00BD5BA8" w:rsidP="00BD5BA8">
      <w:pPr>
        <w:pStyle w:val="Call"/>
      </w:pPr>
      <w:r w:rsidRPr="000324AA">
        <w:t>décide</w:t>
      </w:r>
    </w:p>
    <w:p w14:paraId="3C4CB6E2" w14:textId="6459187F" w:rsidR="00BD5BA8" w:rsidRPr="000324AA" w:rsidRDefault="00BD5BA8" w:rsidP="00BD5BA8">
      <w:r w:rsidRPr="000324AA">
        <w:rPr>
          <w:bCs/>
        </w:rPr>
        <w:t>1</w:t>
      </w:r>
      <w:r w:rsidRPr="000324AA">
        <w:tab/>
        <w:t xml:space="preserve">que six </w:t>
      </w:r>
      <w:r w:rsidR="00114001" w:rsidRPr="000324AA">
        <w:t xml:space="preserve">commissions </w:t>
      </w:r>
      <w:r w:rsidRPr="000324AA">
        <w:t>d'études</w:t>
      </w:r>
      <w:r w:rsidR="002D3D2E" w:rsidRPr="000324AA">
        <w:t xml:space="preserve"> </w:t>
      </w:r>
      <w:r w:rsidRPr="000324AA">
        <w:t>des radiocommunications seront constituées comme indiqué à l'Annexe 1;</w:t>
      </w:r>
    </w:p>
    <w:p w14:paraId="6610CAED" w14:textId="0184E34A" w:rsidR="00BD5BA8" w:rsidRPr="000324AA" w:rsidRDefault="008058B6" w:rsidP="00BD5BA8">
      <w:r w:rsidRPr="000324AA">
        <w:rPr>
          <w:bCs/>
        </w:rPr>
        <w:t>2</w:t>
      </w:r>
      <w:r w:rsidRPr="000324AA">
        <w:rPr>
          <w:b/>
        </w:rPr>
        <w:tab/>
      </w:r>
      <w:r w:rsidRPr="000324AA">
        <w:t>que, en liaison avec le Secteur de la normalisation des télécommunications</w:t>
      </w:r>
      <w:r w:rsidR="00114001" w:rsidRPr="000324AA">
        <w:t xml:space="preserve"> de l'UIT</w:t>
      </w:r>
      <w:r w:rsidRPr="000324AA">
        <w:t>, le Secteur du développement des télécommunications</w:t>
      </w:r>
      <w:r w:rsidR="00400A66" w:rsidRPr="000324AA">
        <w:t xml:space="preserve"> de l'UIT</w:t>
      </w:r>
      <w:r w:rsidRPr="000324AA">
        <w:t>, le Secrétariat général de l'UIT et les autres organisations intéressées, le Bureau des radiocommunications organisera les travaux d'un Comité de coordination pour le vocabulaire, dont le domaine de compétence est spécifié à l'Annexe 2.</w:t>
      </w:r>
    </w:p>
    <w:p w14:paraId="685FA62B" w14:textId="77777777" w:rsidR="00BD5BA8" w:rsidRPr="000324AA" w:rsidRDefault="00BD5BA8" w:rsidP="00BD5BA8">
      <w:pPr>
        <w:tabs>
          <w:tab w:val="clear" w:pos="1134"/>
          <w:tab w:val="clear" w:pos="1871"/>
          <w:tab w:val="clear" w:pos="2268"/>
        </w:tabs>
        <w:overflowPunct/>
        <w:autoSpaceDE/>
        <w:autoSpaceDN/>
        <w:adjustRightInd/>
        <w:spacing w:before="0"/>
        <w:textAlignment w:val="auto"/>
      </w:pPr>
      <w:r w:rsidRPr="000324AA">
        <w:br w:type="page"/>
      </w:r>
    </w:p>
    <w:p w14:paraId="3876A380" w14:textId="77777777" w:rsidR="00BD5BA8" w:rsidRPr="000324AA" w:rsidRDefault="00BD5BA8" w:rsidP="00BD5BA8">
      <w:pPr>
        <w:pStyle w:val="AnnexNo"/>
      </w:pPr>
      <w:r w:rsidRPr="000324AA">
        <w:lastRenderedPageBreak/>
        <w:t>Annexe 1</w:t>
      </w:r>
    </w:p>
    <w:p w14:paraId="3A6B4436" w14:textId="77777777" w:rsidR="00BD5BA8" w:rsidRPr="000324AA" w:rsidRDefault="00BD5BA8" w:rsidP="00BD5BA8">
      <w:pPr>
        <w:pStyle w:val="Annextitle"/>
      </w:pPr>
      <w:r w:rsidRPr="000324AA">
        <w:t>Commissions d'études des radiocommunications</w:t>
      </w:r>
    </w:p>
    <w:p w14:paraId="402495DF" w14:textId="77777777" w:rsidR="00BD5BA8" w:rsidRPr="000324AA" w:rsidRDefault="00BD5BA8" w:rsidP="00BD5BA8">
      <w:pPr>
        <w:pStyle w:val="Title4"/>
      </w:pPr>
      <w:r w:rsidRPr="000324AA">
        <w:t>COMMISSION D'ÉTUDES 1</w:t>
      </w:r>
    </w:p>
    <w:p w14:paraId="56966613" w14:textId="77777777" w:rsidR="00BD5BA8" w:rsidRPr="000324AA" w:rsidRDefault="00BD5BA8" w:rsidP="00BD5BA8">
      <w:pPr>
        <w:pStyle w:val="Title3"/>
      </w:pPr>
      <w:r w:rsidRPr="000324AA">
        <w:t>GESTION DU SPECTRE</w:t>
      </w:r>
    </w:p>
    <w:p w14:paraId="62D6CD7A" w14:textId="77777777" w:rsidR="00BD5BA8" w:rsidRPr="000324AA" w:rsidRDefault="00BD5BA8" w:rsidP="00BD5BA8">
      <w:pPr>
        <w:jc w:val="center"/>
      </w:pPr>
      <w:r w:rsidRPr="000324AA">
        <w:t>(Planification, exploitation, ingénierie, partage et contrôle du spectre)</w:t>
      </w:r>
    </w:p>
    <w:p w14:paraId="6595B4B5" w14:textId="77777777" w:rsidR="00BD5BA8" w:rsidRPr="000324AA" w:rsidRDefault="00BD5BA8" w:rsidP="00BD5BA8">
      <w:pPr>
        <w:pStyle w:val="Headingi"/>
      </w:pPr>
      <w:r w:rsidRPr="000324AA">
        <w:t>Domaine de compétence</w:t>
      </w:r>
      <w:r w:rsidRPr="000324AA">
        <w:rPr>
          <w:i w:val="0"/>
          <w:iCs/>
        </w:rPr>
        <w:t>:</w:t>
      </w:r>
    </w:p>
    <w:p w14:paraId="3B427978" w14:textId="5A4FA0EF" w:rsidR="00BD5BA8" w:rsidRPr="000324AA" w:rsidRDefault="00BD5BA8" w:rsidP="00BD5BA8">
      <w:pPr>
        <w:spacing w:after="240"/>
      </w:pPr>
      <w:r w:rsidRPr="000324AA">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r w:rsidR="00842C4F" w:rsidRPr="000324AA">
        <w:t xml:space="preserve"> de l'UIT</w:t>
      </w:r>
      <w:r w:rsidRPr="000324AA">
        <w:t>.</w:t>
      </w:r>
    </w:p>
    <w:tbl>
      <w:tblPr>
        <w:tblStyle w:val="TableGrid"/>
        <w:tblW w:w="0" w:type="auto"/>
        <w:tblInd w:w="556" w:type="dxa"/>
        <w:tblLook w:val="04A0" w:firstRow="1" w:lastRow="0" w:firstColumn="1" w:lastColumn="0" w:noHBand="0" w:noVBand="1"/>
      </w:tblPr>
      <w:tblGrid>
        <w:gridCol w:w="1984"/>
        <w:gridCol w:w="3691"/>
        <w:gridCol w:w="2835"/>
      </w:tblGrid>
      <w:tr w:rsidR="00BD5BA8" w:rsidRPr="000324AA" w14:paraId="15E3E372" w14:textId="77777777" w:rsidTr="008058B6">
        <w:trPr>
          <w:trHeight w:val="288"/>
        </w:trPr>
        <w:tc>
          <w:tcPr>
            <w:tcW w:w="1984" w:type="dxa"/>
            <w:noWrap/>
            <w:hideMark/>
          </w:tcPr>
          <w:p w14:paraId="003AB1C9" w14:textId="77777777" w:rsidR="00BD5BA8" w:rsidRPr="000324AA" w:rsidRDefault="00BD5BA8" w:rsidP="00FB624F">
            <w:pPr>
              <w:spacing w:before="40" w:after="40"/>
              <w:ind w:left="960"/>
              <w:rPr>
                <w:sz w:val="20"/>
              </w:rPr>
            </w:pPr>
          </w:p>
        </w:tc>
        <w:tc>
          <w:tcPr>
            <w:tcW w:w="3691" w:type="dxa"/>
            <w:noWrap/>
            <w:hideMark/>
          </w:tcPr>
          <w:p w14:paraId="66C3208B" w14:textId="77777777" w:rsidR="00BD5BA8" w:rsidRPr="000324AA" w:rsidRDefault="00BD5BA8" w:rsidP="00FB624F">
            <w:pPr>
              <w:pStyle w:val="Tablehead"/>
            </w:pPr>
            <w:r w:rsidRPr="000324AA">
              <w:t>Nom</w:t>
            </w:r>
          </w:p>
        </w:tc>
        <w:tc>
          <w:tcPr>
            <w:tcW w:w="2835" w:type="dxa"/>
            <w:noWrap/>
            <w:hideMark/>
          </w:tcPr>
          <w:p w14:paraId="66C45AFF" w14:textId="77777777" w:rsidR="00BD5BA8" w:rsidRPr="000324AA" w:rsidRDefault="00BD5BA8" w:rsidP="00FB624F">
            <w:pPr>
              <w:pStyle w:val="Tablehead"/>
            </w:pPr>
            <w:r w:rsidRPr="000324AA">
              <w:t>Pays/Org.</w:t>
            </w:r>
          </w:p>
        </w:tc>
      </w:tr>
      <w:tr w:rsidR="00BD5BA8" w:rsidRPr="000324AA" w14:paraId="033754A9" w14:textId="77777777" w:rsidTr="008058B6">
        <w:trPr>
          <w:trHeight w:val="288"/>
        </w:trPr>
        <w:tc>
          <w:tcPr>
            <w:tcW w:w="1984" w:type="dxa"/>
            <w:noWrap/>
          </w:tcPr>
          <w:p w14:paraId="62995B16" w14:textId="77777777" w:rsidR="00BD5BA8" w:rsidRPr="000324AA" w:rsidRDefault="00BD5BA8" w:rsidP="00FB624F">
            <w:pPr>
              <w:pStyle w:val="Tabletext"/>
              <w:rPr>
                <w:highlight w:val="yellow"/>
              </w:rPr>
            </w:pPr>
            <w:r w:rsidRPr="000324AA">
              <w:t>Président</w:t>
            </w:r>
          </w:p>
        </w:tc>
        <w:tc>
          <w:tcPr>
            <w:tcW w:w="3691" w:type="dxa"/>
            <w:noWrap/>
          </w:tcPr>
          <w:p w14:paraId="3048508E" w14:textId="77777777" w:rsidR="00BD5BA8" w:rsidRPr="000324AA" w:rsidRDefault="00BD5BA8" w:rsidP="00FB624F">
            <w:pPr>
              <w:pStyle w:val="Tabletext"/>
            </w:pPr>
            <w:r w:rsidRPr="000324AA">
              <w:t>M. W. Sayed</w:t>
            </w:r>
          </w:p>
        </w:tc>
        <w:tc>
          <w:tcPr>
            <w:tcW w:w="2835" w:type="dxa"/>
            <w:noWrap/>
          </w:tcPr>
          <w:p w14:paraId="61473133" w14:textId="77777777" w:rsidR="00BD5BA8" w:rsidRPr="000324AA" w:rsidRDefault="00BD5BA8" w:rsidP="00FB624F">
            <w:pPr>
              <w:pStyle w:val="Tabletext"/>
            </w:pPr>
            <w:r w:rsidRPr="000324AA">
              <w:t>Égypte</w:t>
            </w:r>
          </w:p>
        </w:tc>
      </w:tr>
    </w:tbl>
    <w:p w14:paraId="398E8048" w14:textId="77777777" w:rsidR="00BD5BA8" w:rsidRPr="000324AA" w:rsidRDefault="00BD5BA8" w:rsidP="00BD5BA8">
      <w:pPr>
        <w:tabs>
          <w:tab w:val="clear" w:pos="1134"/>
          <w:tab w:val="clear" w:pos="1871"/>
          <w:tab w:val="clear" w:pos="2268"/>
        </w:tabs>
        <w:overflowPunct/>
        <w:autoSpaceDE/>
        <w:autoSpaceDN/>
        <w:adjustRightInd/>
        <w:spacing w:before="0"/>
        <w:textAlignment w:val="auto"/>
        <w:rPr>
          <w:b/>
          <w:sz w:val="28"/>
        </w:rPr>
      </w:pPr>
      <w:r w:rsidRPr="000324AA">
        <w:br w:type="page"/>
      </w:r>
    </w:p>
    <w:p w14:paraId="2ADC2B44" w14:textId="77777777" w:rsidR="00BD5BA8" w:rsidRPr="000324AA" w:rsidRDefault="00BD5BA8" w:rsidP="00BD5BA8">
      <w:pPr>
        <w:pStyle w:val="Title4"/>
      </w:pPr>
      <w:r w:rsidRPr="000324AA">
        <w:lastRenderedPageBreak/>
        <w:t>COMMISSION D'ÉTUDES 3</w:t>
      </w:r>
    </w:p>
    <w:p w14:paraId="5B7492C3" w14:textId="77777777" w:rsidR="00BD5BA8" w:rsidRPr="000324AA" w:rsidRDefault="00BD5BA8" w:rsidP="00BD5BA8">
      <w:pPr>
        <w:pStyle w:val="Title3"/>
      </w:pPr>
      <w:r w:rsidRPr="000324AA">
        <w:t>PROPAGATION DES ONDES RADIOÉLECTRIQUES</w:t>
      </w:r>
    </w:p>
    <w:p w14:paraId="222F327C" w14:textId="77777777" w:rsidR="00BD5BA8" w:rsidRPr="000324AA" w:rsidRDefault="00BD5BA8" w:rsidP="00BD5BA8">
      <w:pPr>
        <w:pStyle w:val="Headingi"/>
      </w:pPr>
      <w:r w:rsidRPr="000324AA">
        <w:t>Domaine de compétence</w:t>
      </w:r>
      <w:r w:rsidRPr="000324AA">
        <w:rPr>
          <w:i w:val="0"/>
          <w:iCs/>
        </w:rPr>
        <w:t>:</w:t>
      </w:r>
    </w:p>
    <w:p w14:paraId="07B08B41" w14:textId="77777777" w:rsidR="00BD5BA8" w:rsidRPr="000324AA" w:rsidRDefault="00BD5BA8" w:rsidP="00BD5BA8">
      <w:pPr>
        <w:spacing w:after="360"/>
      </w:pPr>
      <w:r w:rsidRPr="000324AA">
        <w:t>Propagation des ondes radioélectriques dans les milieux ionisés et les milieux non ionisés et caractéristiques du bruit radioélectrique, dans le but d'améliorer les systèmes de radiocommunication.</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148B57DE" w14:textId="77777777" w:rsidTr="008058B6">
        <w:trPr>
          <w:trHeight w:val="288"/>
        </w:trPr>
        <w:tc>
          <w:tcPr>
            <w:tcW w:w="1984" w:type="dxa"/>
            <w:noWrap/>
            <w:hideMark/>
          </w:tcPr>
          <w:p w14:paraId="1ADAE5AD" w14:textId="77777777" w:rsidR="00BD5BA8" w:rsidRPr="000324AA" w:rsidRDefault="00BD5BA8" w:rsidP="00FB624F">
            <w:pPr>
              <w:pStyle w:val="Tablehead"/>
            </w:pPr>
          </w:p>
        </w:tc>
        <w:tc>
          <w:tcPr>
            <w:tcW w:w="3691" w:type="dxa"/>
            <w:noWrap/>
            <w:hideMark/>
          </w:tcPr>
          <w:p w14:paraId="5AA9E601" w14:textId="77777777" w:rsidR="00BD5BA8" w:rsidRPr="000324AA" w:rsidRDefault="00BD5BA8" w:rsidP="00FB624F">
            <w:pPr>
              <w:pStyle w:val="Tablehead"/>
              <w:rPr>
                <w:bCs/>
              </w:rPr>
            </w:pPr>
            <w:r w:rsidRPr="000324AA">
              <w:rPr>
                <w:bCs/>
              </w:rPr>
              <w:t>Nom</w:t>
            </w:r>
          </w:p>
        </w:tc>
        <w:tc>
          <w:tcPr>
            <w:tcW w:w="3109" w:type="dxa"/>
            <w:noWrap/>
            <w:hideMark/>
          </w:tcPr>
          <w:p w14:paraId="42E98B21" w14:textId="77777777" w:rsidR="00BD5BA8" w:rsidRPr="000324AA" w:rsidRDefault="00BD5BA8" w:rsidP="00FB624F">
            <w:pPr>
              <w:pStyle w:val="Tablehead"/>
              <w:rPr>
                <w:bCs/>
              </w:rPr>
            </w:pPr>
            <w:r w:rsidRPr="000324AA">
              <w:rPr>
                <w:bCs/>
              </w:rPr>
              <w:t>Pays/Org.</w:t>
            </w:r>
          </w:p>
        </w:tc>
      </w:tr>
      <w:tr w:rsidR="00BD5BA8" w:rsidRPr="000324AA" w14:paraId="1F9FE494" w14:textId="77777777" w:rsidTr="008058B6">
        <w:trPr>
          <w:trHeight w:val="288"/>
        </w:trPr>
        <w:tc>
          <w:tcPr>
            <w:tcW w:w="1984" w:type="dxa"/>
            <w:hideMark/>
          </w:tcPr>
          <w:p w14:paraId="12DD64FE" w14:textId="575FE249" w:rsidR="00BD5BA8" w:rsidRPr="000324AA" w:rsidRDefault="00BD5BA8" w:rsidP="00FB624F">
            <w:pPr>
              <w:pStyle w:val="Tabletext"/>
            </w:pPr>
            <w:r w:rsidRPr="000324AA">
              <w:t>Président</w:t>
            </w:r>
            <w:r w:rsidR="008058B6" w:rsidRPr="000324AA">
              <w:t>e</w:t>
            </w:r>
          </w:p>
        </w:tc>
        <w:tc>
          <w:tcPr>
            <w:tcW w:w="3691" w:type="dxa"/>
            <w:noWrap/>
          </w:tcPr>
          <w:p w14:paraId="527831D3" w14:textId="77777777" w:rsidR="00BD5BA8" w:rsidRPr="000324AA" w:rsidRDefault="00BD5BA8" w:rsidP="00FB624F">
            <w:pPr>
              <w:pStyle w:val="Tabletext"/>
            </w:pPr>
            <w:r w:rsidRPr="000324AA">
              <w:t>Mme C. Allen</w:t>
            </w:r>
          </w:p>
        </w:tc>
        <w:tc>
          <w:tcPr>
            <w:tcW w:w="3109" w:type="dxa"/>
            <w:noWrap/>
          </w:tcPr>
          <w:p w14:paraId="681C456A" w14:textId="77777777" w:rsidR="00BD5BA8" w:rsidRPr="000324AA" w:rsidRDefault="00BD5BA8" w:rsidP="00FB624F">
            <w:pPr>
              <w:pStyle w:val="Tabletext"/>
            </w:pPr>
            <w:r w:rsidRPr="000324AA">
              <w:t>Royaume-Uni</w:t>
            </w:r>
          </w:p>
        </w:tc>
      </w:tr>
    </w:tbl>
    <w:p w14:paraId="57C0B318" w14:textId="77777777" w:rsidR="00BD5BA8" w:rsidRPr="000324AA" w:rsidRDefault="00BD5BA8" w:rsidP="00BD5BA8">
      <w:pPr>
        <w:rPr>
          <w:b/>
        </w:rPr>
      </w:pPr>
      <w:r w:rsidRPr="000324AA">
        <w:rPr>
          <w:b/>
        </w:rPr>
        <w:br w:type="page"/>
      </w:r>
    </w:p>
    <w:p w14:paraId="16A38E3E" w14:textId="77777777" w:rsidR="00BD5BA8" w:rsidRPr="000324AA" w:rsidRDefault="00BD5BA8" w:rsidP="00BD5BA8">
      <w:pPr>
        <w:pStyle w:val="Title4"/>
      </w:pPr>
      <w:r w:rsidRPr="000324AA">
        <w:lastRenderedPageBreak/>
        <w:t>COMMISSION D'ÉTUDES 4</w:t>
      </w:r>
    </w:p>
    <w:p w14:paraId="1B9490EE" w14:textId="12B742AF" w:rsidR="00BD5BA8" w:rsidRPr="000324AA" w:rsidRDefault="00BD5BA8" w:rsidP="00BD5BA8">
      <w:pPr>
        <w:pStyle w:val="Title3"/>
      </w:pPr>
      <w:r w:rsidRPr="000324AA">
        <w:t>SERVICES PAR SATELLITE</w:t>
      </w:r>
      <w:r w:rsidRPr="000324AA">
        <w:rPr>
          <w:rStyle w:val="FootnoteReference"/>
        </w:rPr>
        <w:footnoteReference w:customMarkFollows="1" w:id="1"/>
        <w:t>1</w:t>
      </w:r>
      <w:r w:rsidR="00617767" w:rsidRPr="000324AA">
        <w:rPr>
          <w:rStyle w:val="FootnoteReference"/>
        </w:rPr>
        <w:t>,</w:t>
      </w:r>
      <w:r w:rsidR="009533DD" w:rsidRPr="000324AA">
        <w:rPr>
          <w:rStyle w:val="FootnoteReference"/>
        </w:rPr>
        <w:t xml:space="preserve"> </w:t>
      </w:r>
      <w:r w:rsidR="008058B6" w:rsidRPr="000324AA">
        <w:rPr>
          <w:rStyle w:val="FootnoteReference"/>
        </w:rPr>
        <w:footnoteReference w:customMarkFollows="1" w:id="2"/>
        <w:t>2</w:t>
      </w:r>
    </w:p>
    <w:p w14:paraId="2D88BAFA" w14:textId="77777777" w:rsidR="00BD5BA8" w:rsidRPr="000324AA" w:rsidRDefault="00BD5BA8" w:rsidP="00BD5BA8">
      <w:pPr>
        <w:pStyle w:val="Headingi"/>
      </w:pPr>
      <w:r w:rsidRPr="000324AA">
        <w:t>Domaine de compétence</w:t>
      </w:r>
      <w:r w:rsidRPr="000324AA">
        <w:rPr>
          <w:i w:val="0"/>
          <w:iCs/>
        </w:rPr>
        <w:t>:</w:t>
      </w:r>
    </w:p>
    <w:p w14:paraId="7179CB5B" w14:textId="665395EF" w:rsidR="00BD5BA8" w:rsidRPr="000324AA" w:rsidRDefault="008058B6" w:rsidP="00BD5BA8">
      <w:pPr>
        <w:spacing w:after="360"/>
      </w:pPr>
      <w:r w:rsidRPr="000324AA">
        <w:t xml:space="preserve">Systèmes et réseaux du service fixe par satellite, du service mobile par satellite, du service de radiodiffusion par satellite et du service de radiorepérage par satellite, y compris l'utilisation </w:t>
      </w:r>
      <w:r w:rsidR="00CB2052" w:rsidRPr="000324AA">
        <w:t>connexe</w:t>
      </w:r>
      <w:r w:rsidR="002D3D2E" w:rsidRPr="000324AA">
        <w:t xml:space="preserve"> </w:t>
      </w:r>
      <w:r w:rsidRPr="000324AA">
        <w:t>de liaisons du service inter-satellites, le cas échéant.</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31891FCE" w14:textId="77777777" w:rsidTr="008058B6">
        <w:trPr>
          <w:trHeight w:val="288"/>
        </w:trPr>
        <w:tc>
          <w:tcPr>
            <w:tcW w:w="1984" w:type="dxa"/>
            <w:noWrap/>
          </w:tcPr>
          <w:p w14:paraId="687B4749" w14:textId="77777777" w:rsidR="00BD5BA8" w:rsidRPr="000324AA" w:rsidRDefault="00BD5BA8" w:rsidP="00FB624F">
            <w:pPr>
              <w:pStyle w:val="Tablehead"/>
            </w:pPr>
          </w:p>
        </w:tc>
        <w:tc>
          <w:tcPr>
            <w:tcW w:w="3691" w:type="dxa"/>
            <w:noWrap/>
          </w:tcPr>
          <w:p w14:paraId="5C6AA4A4" w14:textId="77777777" w:rsidR="00BD5BA8" w:rsidRPr="000324AA" w:rsidRDefault="00BD5BA8" w:rsidP="00FB624F">
            <w:pPr>
              <w:pStyle w:val="Tablehead"/>
              <w:rPr>
                <w:bCs/>
              </w:rPr>
            </w:pPr>
            <w:r w:rsidRPr="000324AA">
              <w:rPr>
                <w:bCs/>
              </w:rPr>
              <w:t>Nom</w:t>
            </w:r>
          </w:p>
        </w:tc>
        <w:tc>
          <w:tcPr>
            <w:tcW w:w="3109" w:type="dxa"/>
            <w:noWrap/>
          </w:tcPr>
          <w:p w14:paraId="023B21B7" w14:textId="77777777" w:rsidR="00BD5BA8" w:rsidRPr="000324AA" w:rsidRDefault="00BD5BA8" w:rsidP="00FB624F">
            <w:pPr>
              <w:pStyle w:val="Tablehead"/>
              <w:rPr>
                <w:bCs/>
              </w:rPr>
            </w:pPr>
            <w:r w:rsidRPr="000324AA">
              <w:rPr>
                <w:bCs/>
              </w:rPr>
              <w:t>Pays/Org.</w:t>
            </w:r>
          </w:p>
        </w:tc>
      </w:tr>
      <w:tr w:rsidR="00BD5BA8" w:rsidRPr="000324AA" w14:paraId="076239EB" w14:textId="77777777" w:rsidTr="008058B6">
        <w:trPr>
          <w:trHeight w:val="288"/>
        </w:trPr>
        <w:tc>
          <w:tcPr>
            <w:tcW w:w="1984" w:type="dxa"/>
            <w:noWrap/>
          </w:tcPr>
          <w:p w14:paraId="7495EFC3" w14:textId="77777777" w:rsidR="00BD5BA8" w:rsidRPr="000324AA" w:rsidRDefault="00BD5BA8" w:rsidP="00FB624F">
            <w:pPr>
              <w:pStyle w:val="Tabletext"/>
            </w:pPr>
            <w:r w:rsidRPr="000324AA">
              <w:t>Président</w:t>
            </w:r>
          </w:p>
        </w:tc>
        <w:tc>
          <w:tcPr>
            <w:tcW w:w="3691" w:type="dxa"/>
            <w:noWrap/>
          </w:tcPr>
          <w:p w14:paraId="371BF916" w14:textId="77777777" w:rsidR="00BD5BA8" w:rsidRPr="000324AA" w:rsidRDefault="00BD5BA8" w:rsidP="00FB624F">
            <w:pPr>
              <w:pStyle w:val="Tabletext"/>
              <w:rPr>
                <w:highlight w:val="yellow"/>
              </w:rPr>
            </w:pPr>
            <w:r w:rsidRPr="000324AA">
              <w:t>M. V. Strelets</w:t>
            </w:r>
          </w:p>
        </w:tc>
        <w:tc>
          <w:tcPr>
            <w:tcW w:w="3109" w:type="dxa"/>
            <w:noWrap/>
          </w:tcPr>
          <w:p w14:paraId="472F948A" w14:textId="77777777" w:rsidR="00BD5BA8" w:rsidRPr="000324AA" w:rsidRDefault="00BD5BA8" w:rsidP="00FB624F">
            <w:pPr>
              <w:pStyle w:val="Tabletext"/>
              <w:rPr>
                <w:highlight w:val="yellow"/>
              </w:rPr>
            </w:pPr>
            <w:r w:rsidRPr="000324AA">
              <w:t>Fédération de Russie</w:t>
            </w:r>
          </w:p>
        </w:tc>
      </w:tr>
    </w:tbl>
    <w:p w14:paraId="239C7C32" w14:textId="77777777" w:rsidR="00BD5BA8" w:rsidRPr="000324AA" w:rsidRDefault="00BD5BA8" w:rsidP="00BD5BA8">
      <w:pPr>
        <w:pStyle w:val="Title4"/>
      </w:pPr>
      <w:r w:rsidRPr="000324AA">
        <w:br w:type="page"/>
      </w:r>
      <w:r w:rsidRPr="000324AA">
        <w:lastRenderedPageBreak/>
        <w:t>COMMISSION D'ÉTUDES 5</w:t>
      </w:r>
    </w:p>
    <w:p w14:paraId="45555F82" w14:textId="77777777" w:rsidR="00BD5BA8" w:rsidRPr="000324AA" w:rsidRDefault="00BD5BA8" w:rsidP="00BD5BA8">
      <w:pPr>
        <w:pStyle w:val="Title3"/>
      </w:pPr>
      <w:r w:rsidRPr="000324AA">
        <w:t>SERVICES DE TERRE</w:t>
      </w:r>
    </w:p>
    <w:p w14:paraId="773DD3CB" w14:textId="77777777" w:rsidR="00BD5BA8" w:rsidRPr="000324AA" w:rsidRDefault="00BD5BA8" w:rsidP="00BD5BA8">
      <w:pPr>
        <w:pStyle w:val="Headingi"/>
      </w:pPr>
      <w:r w:rsidRPr="000324AA">
        <w:t>Domaine de compétence</w:t>
      </w:r>
      <w:r w:rsidRPr="000324AA">
        <w:rPr>
          <w:i w:val="0"/>
          <w:iCs/>
        </w:rPr>
        <w:t>:</w:t>
      </w:r>
    </w:p>
    <w:p w14:paraId="19F2FD39" w14:textId="77777777" w:rsidR="00BD5BA8" w:rsidRPr="000324AA" w:rsidRDefault="00BD5BA8" w:rsidP="00BD5BA8">
      <w:pPr>
        <w:spacing w:after="360"/>
      </w:pPr>
      <w:r w:rsidRPr="000324AA">
        <w:t>Systèmes et réseaux des services fixe, mobile, de radiorepérage, d'amateur et d'amateur par satellite.</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3D5EE347" w14:textId="77777777" w:rsidTr="008058B6">
        <w:trPr>
          <w:trHeight w:val="288"/>
        </w:trPr>
        <w:tc>
          <w:tcPr>
            <w:tcW w:w="1984" w:type="dxa"/>
            <w:noWrap/>
          </w:tcPr>
          <w:p w14:paraId="19E92B88" w14:textId="77777777" w:rsidR="00BD5BA8" w:rsidRPr="000324AA" w:rsidRDefault="00BD5BA8" w:rsidP="00FB624F">
            <w:pPr>
              <w:pStyle w:val="Tablehead"/>
            </w:pPr>
          </w:p>
        </w:tc>
        <w:tc>
          <w:tcPr>
            <w:tcW w:w="3691" w:type="dxa"/>
            <w:noWrap/>
          </w:tcPr>
          <w:p w14:paraId="2137C03F" w14:textId="77777777" w:rsidR="00BD5BA8" w:rsidRPr="000324AA" w:rsidRDefault="00BD5BA8" w:rsidP="00FB624F">
            <w:pPr>
              <w:pStyle w:val="Tablehead"/>
              <w:rPr>
                <w:bCs/>
              </w:rPr>
            </w:pPr>
            <w:r w:rsidRPr="000324AA">
              <w:rPr>
                <w:bCs/>
              </w:rPr>
              <w:t>Nom</w:t>
            </w:r>
          </w:p>
        </w:tc>
        <w:tc>
          <w:tcPr>
            <w:tcW w:w="3109" w:type="dxa"/>
            <w:noWrap/>
          </w:tcPr>
          <w:p w14:paraId="72D7016F" w14:textId="77777777" w:rsidR="00BD5BA8" w:rsidRPr="000324AA" w:rsidRDefault="00BD5BA8" w:rsidP="00FB624F">
            <w:pPr>
              <w:pStyle w:val="Tablehead"/>
              <w:rPr>
                <w:bCs/>
              </w:rPr>
            </w:pPr>
            <w:r w:rsidRPr="000324AA">
              <w:rPr>
                <w:bCs/>
              </w:rPr>
              <w:t>Pays/Org.</w:t>
            </w:r>
          </w:p>
        </w:tc>
      </w:tr>
      <w:tr w:rsidR="00BD5BA8" w:rsidRPr="000324AA" w14:paraId="3DDB455B" w14:textId="77777777" w:rsidTr="008058B6">
        <w:trPr>
          <w:trHeight w:val="288"/>
        </w:trPr>
        <w:tc>
          <w:tcPr>
            <w:tcW w:w="1984" w:type="dxa"/>
          </w:tcPr>
          <w:p w14:paraId="2EB5291B" w14:textId="6A88FF9E" w:rsidR="00BD5BA8" w:rsidRPr="000324AA" w:rsidRDefault="008058B6" w:rsidP="00FB624F">
            <w:pPr>
              <w:pStyle w:val="Tabletext"/>
              <w:rPr>
                <w:highlight w:val="yellow"/>
              </w:rPr>
            </w:pPr>
            <w:r w:rsidRPr="000324AA">
              <w:t>Président</w:t>
            </w:r>
          </w:p>
        </w:tc>
        <w:tc>
          <w:tcPr>
            <w:tcW w:w="3691" w:type="dxa"/>
            <w:noWrap/>
          </w:tcPr>
          <w:p w14:paraId="76F6C10E" w14:textId="6E65BE53" w:rsidR="00BD5BA8" w:rsidRPr="000324AA" w:rsidRDefault="008058B6" w:rsidP="00FB624F">
            <w:pPr>
              <w:pStyle w:val="Tabletext"/>
            </w:pPr>
            <w:r w:rsidRPr="000324AA">
              <w:t>M. K.-J. Wee</w:t>
            </w:r>
          </w:p>
        </w:tc>
        <w:tc>
          <w:tcPr>
            <w:tcW w:w="3109" w:type="dxa"/>
            <w:noWrap/>
          </w:tcPr>
          <w:p w14:paraId="73592487" w14:textId="77777777" w:rsidR="00BD5BA8" w:rsidRPr="000324AA" w:rsidRDefault="00BD5BA8" w:rsidP="00FB624F">
            <w:pPr>
              <w:pStyle w:val="Tabletext"/>
            </w:pPr>
            <w:r w:rsidRPr="000324AA">
              <w:t>Corée (Rép. de)</w:t>
            </w:r>
          </w:p>
        </w:tc>
      </w:tr>
    </w:tbl>
    <w:p w14:paraId="123DE57C" w14:textId="77777777" w:rsidR="00BD5BA8" w:rsidRPr="000324AA" w:rsidRDefault="00BD5BA8" w:rsidP="00BD5BA8">
      <w:pPr>
        <w:rPr>
          <w:b/>
        </w:rPr>
      </w:pPr>
      <w:r w:rsidRPr="000324AA">
        <w:br w:type="page"/>
      </w:r>
    </w:p>
    <w:p w14:paraId="6B998057" w14:textId="77777777" w:rsidR="00BD5BA8" w:rsidRPr="000324AA" w:rsidRDefault="00BD5BA8" w:rsidP="00BD5BA8">
      <w:pPr>
        <w:pStyle w:val="Title4"/>
      </w:pPr>
      <w:r w:rsidRPr="000324AA">
        <w:lastRenderedPageBreak/>
        <w:t>COMMISSION D'ÉTUDES 6</w:t>
      </w:r>
    </w:p>
    <w:p w14:paraId="7ADD6F94" w14:textId="77777777" w:rsidR="00BD5BA8" w:rsidRPr="000324AA" w:rsidRDefault="00BD5BA8" w:rsidP="00BD5BA8">
      <w:pPr>
        <w:pStyle w:val="Title3"/>
        <w:rPr>
          <w:vertAlign w:val="superscript"/>
        </w:rPr>
      </w:pPr>
      <w:r w:rsidRPr="000324AA">
        <w:t>SERVICE DE RADIODIFFUSION</w:t>
      </w:r>
      <w:r w:rsidRPr="000324AA">
        <w:rPr>
          <w:vertAlign w:val="superscript"/>
        </w:rPr>
        <w:t>1</w:t>
      </w:r>
    </w:p>
    <w:p w14:paraId="1C0E8936" w14:textId="77777777" w:rsidR="00BD5BA8" w:rsidRPr="000324AA" w:rsidRDefault="00BD5BA8" w:rsidP="00BD5BA8">
      <w:pPr>
        <w:pStyle w:val="Headingi"/>
      </w:pPr>
      <w:r w:rsidRPr="000324AA">
        <w:t>Domaine de compétence</w:t>
      </w:r>
      <w:r w:rsidRPr="000324AA">
        <w:rPr>
          <w:i w:val="0"/>
          <w:iCs/>
        </w:rPr>
        <w:t>:</w:t>
      </w:r>
    </w:p>
    <w:p w14:paraId="74B2AD9D" w14:textId="77777777" w:rsidR="00BD5BA8" w:rsidRPr="000324AA" w:rsidRDefault="00BD5BA8" w:rsidP="00BD5BA8">
      <w:r w:rsidRPr="000324AA">
        <w:t>Radiodiffusion par radiocommunications, y compris les services visuels, sonores, multimédias et de transmission de données conçus principalement pour être utilisés par le grand public.</w:t>
      </w:r>
    </w:p>
    <w:p w14:paraId="05BB4771" w14:textId="77777777" w:rsidR="00BD5BA8" w:rsidRPr="000324AA" w:rsidRDefault="00BD5BA8" w:rsidP="00BD5BA8">
      <w:r w:rsidRPr="000324AA">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nœuds de diffusion et la distribution secondaire aux consommateurs.</w:t>
      </w:r>
    </w:p>
    <w:p w14:paraId="7CB060A3" w14:textId="77777777" w:rsidR="00BD5BA8" w:rsidRPr="000324AA" w:rsidRDefault="00BD5BA8" w:rsidP="00BD5BA8">
      <w:pPr>
        <w:spacing w:after="360"/>
      </w:pPr>
      <w:r w:rsidRPr="000324AA">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6D4B2B39" w14:textId="77777777" w:rsidTr="008058B6">
        <w:trPr>
          <w:trHeight w:val="288"/>
        </w:trPr>
        <w:tc>
          <w:tcPr>
            <w:tcW w:w="1984" w:type="dxa"/>
            <w:noWrap/>
          </w:tcPr>
          <w:p w14:paraId="15783BF6" w14:textId="77777777" w:rsidR="00BD5BA8" w:rsidRPr="000324AA" w:rsidRDefault="00BD5BA8" w:rsidP="00FB624F">
            <w:pPr>
              <w:pStyle w:val="Tablehead"/>
            </w:pPr>
          </w:p>
        </w:tc>
        <w:tc>
          <w:tcPr>
            <w:tcW w:w="3691" w:type="dxa"/>
            <w:noWrap/>
          </w:tcPr>
          <w:p w14:paraId="40A111D3" w14:textId="77777777" w:rsidR="00BD5BA8" w:rsidRPr="000324AA" w:rsidRDefault="00BD5BA8" w:rsidP="00FB624F">
            <w:pPr>
              <w:pStyle w:val="Tablehead"/>
              <w:rPr>
                <w:bCs/>
              </w:rPr>
            </w:pPr>
            <w:r w:rsidRPr="000324AA">
              <w:rPr>
                <w:bCs/>
              </w:rPr>
              <w:t>Nom</w:t>
            </w:r>
          </w:p>
        </w:tc>
        <w:tc>
          <w:tcPr>
            <w:tcW w:w="3109" w:type="dxa"/>
            <w:noWrap/>
          </w:tcPr>
          <w:p w14:paraId="7E35B419" w14:textId="77777777" w:rsidR="00BD5BA8" w:rsidRPr="000324AA" w:rsidRDefault="00BD5BA8" w:rsidP="00FB624F">
            <w:pPr>
              <w:pStyle w:val="Tablehead"/>
              <w:rPr>
                <w:bCs/>
              </w:rPr>
            </w:pPr>
            <w:r w:rsidRPr="000324AA">
              <w:rPr>
                <w:bCs/>
              </w:rPr>
              <w:t>Pays/Org.</w:t>
            </w:r>
          </w:p>
        </w:tc>
      </w:tr>
      <w:tr w:rsidR="00BD5BA8" w:rsidRPr="000324AA" w14:paraId="507463E3" w14:textId="77777777" w:rsidTr="008058B6">
        <w:trPr>
          <w:trHeight w:val="288"/>
        </w:trPr>
        <w:tc>
          <w:tcPr>
            <w:tcW w:w="1984" w:type="dxa"/>
            <w:hideMark/>
          </w:tcPr>
          <w:p w14:paraId="30FE8122" w14:textId="5BC1E8D4" w:rsidR="00BD5BA8" w:rsidRPr="000324AA" w:rsidRDefault="00BD5BA8" w:rsidP="00FB624F">
            <w:pPr>
              <w:pStyle w:val="Tabletext"/>
            </w:pPr>
            <w:r w:rsidRPr="000324AA">
              <w:t>Président</w:t>
            </w:r>
          </w:p>
        </w:tc>
        <w:tc>
          <w:tcPr>
            <w:tcW w:w="3691" w:type="dxa"/>
            <w:noWrap/>
          </w:tcPr>
          <w:p w14:paraId="2EACC53A" w14:textId="77777777" w:rsidR="00BD5BA8" w:rsidRPr="000324AA" w:rsidRDefault="00BD5BA8" w:rsidP="00FB624F">
            <w:pPr>
              <w:pStyle w:val="Tabletext"/>
              <w:rPr>
                <w:highlight w:val="yellow"/>
              </w:rPr>
            </w:pPr>
            <w:r w:rsidRPr="000324AA">
              <w:t>M. T. Aguiar Soares</w:t>
            </w:r>
          </w:p>
        </w:tc>
        <w:tc>
          <w:tcPr>
            <w:tcW w:w="3109" w:type="dxa"/>
            <w:noWrap/>
          </w:tcPr>
          <w:p w14:paraId="35170DAD" w14:textId="77777777" w:rsidR="00BD5BA8" w:rsidRPr="000324AA" w:rsidRDefault="00BD5BA8" w:rsidP="00FB624F">
            <w:pPr>
              <w:pStyle w:val="Tabletext"/>
              <w:rPr>
                <w:highlight w:val="yellow"/>
              </w:rPr>
            </w:pPr>
            <w:r w:rsidRPr="000324AA">
              <w:t>Brésil</w:t>
            </w:r>
          </w:p>
        </w:tc>
      </w:tr>
    </w:tbl>
    <w:p w14:paraId="6678A810" w14:textId="77777777" w:rsidR="00BD5BA8" w:rsidRPr="000324AA" w:rsidRDefault="00BD5BA8" w:rsidP="00BD5BA8">
      <w:pPr>
        <w:rPr>
          <w:b/>
        </w:rPr>
      </w:pPr>
      <w:r w:rsidRPr="000324AA">
        <w:br w:type="page"/>
      </w:r>
    </w:p>
    <w:p w14:paraId="3DD45F7B" w14:textId="77777777" w:rsidR="00BD5BA8" w:rsidRPr="000324AA" w:rsidRDefault="00BD5BA8" w:rsidP="00BD5BA8">
      <w:pPr>
        <w:pStyle w:val="Title4"/>
      </w:pPr>
      <w:r w:rsidRPr="000324AA">
        <w:lastRenderedPageBreak/>
        <w:t>COMMISSION D'ÉTUDES 7</w:t>
      </w:r>
    </w:p>
    <w:p w14:paraId="175FBA38" w14:textId="77777777" w:rsidR="00BD5BA8" w:rsidRPr="000324AA" w:rsidRDefault="00BD5BA8" w:rsidP="00BD5BA8">
      <w:pPr>
        <w:pStyle w:val="Title3"/>
      </w:pPr>
      <w:r w:rsidRPr="000324AA">
        <w:t>SERVICES SCIENTIFIQUES</w:t>
      </w:r>
    </w:p>
    <w:p w14:paraId="4E77A33A" w14:textId="77777777" w:rsidR="00BD5BA8" w:rsidRPr="000324AA" w:rsidRDefault="00BD5BA8" w:rsidP="00BD5BA8">
      <w:pPr>
        <w:pStyle w:val="Headingi"/>
      </w:pPr>
      <w:r w:rsidRPr="000324AA">
        <w:t>Domaine de compétence:</w:t>
      </w:r>
    </w:p>
    <w:p w14:paraId="5EBDBA57" w14:textId="77777777" w:rsidR="00BD5BA8" w:rsidRPr="000324AA" w:rsidRDefault="00BD5BA8" w:rsidP="00BD5BA8">
      <w:r w:rsidRPr="000324AA">
        <w:rPr>
          <w:bCs/>
        </w:rPr>
        <w:t>1</w:t>
      </w:r>
      <w:r w:rsidRPr="000324AA">
        <w:tab/>
        <w:t>Systèmes d'exploitation et de recherche spatiales, d'exploration de la Terre et de météorologie, y compris l'utilisation corrélative des liaisons du service intersatellites.</w:t>
      </w:r>
    </w:p>
    <w:p w14:paraId="2FA28661" w14:textId="77777777" w:rsidR="00BD5BA8" w:rsidRPr="000324AA" w:rsidRDefault="00BD5BA8" w:rsidP="00BD5BA8">
      <w:r w:rsidRPr="000324AA">
        <w:rPr>
          <w:bCs/>
        </w:rPr>
        <w:t>2</w:t>
      </w:r>
      <w:r w:rsidRPr="000324AA">
        <w:tab/>
        <w:t>Systèmes de télédétection, y compris les systèmes de détection passive et les systèmes de détection active, fonctionnant sur des plates-formes au sol ou sur des plates-formes spatiales.</w:t>
      </w:r>
    </w:p>
    <w:p w14:paraId="090A0ADD" w14:textId="77777777" w:rsidR="00BD5BA8" w:rsidRPr="000324AA" w:rsidRDefault="00BD5BA8" w:rsidP="00BD5BA8">
      <w:r w:rsidRPr="000324AA">
        <w:t>3</w:t>
      </w:r>
      <w:r w:rsidRPr="000324AA">
        <w:tab/>
        <w:t>Radioastronomie et radarastronomie.</w:t>
      </w:r>
    </w:p>
    <w:p w14:paraId="614F68AB" w14:textId="77777777" w:rsidR="00BD5BA8" w:rsidRPr="000324AA" w:rsidRDefault="00BD5BA8" w:rsidP="00BD5BA8">
      <w:pPr>
        <w:spacing w:after="360"/>
      </w:pPr>
      <w:r w:rsidRPr="000324AA">
        <w:rPr>
          <w:bCs/>
        </w:rPr>
        <w:t>4</w:t>
      </w:r>
      <w:r w:rsidRPr="000324AA">
        <w:tab/>
        <w:t>Diffusion, réception et coordination des services de fréquences étalon et de signaux horaires, y compris l'application des techniques par satellite, à l'échelon mondial.</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56A8C349" w14:textId="77777777" w:rsidTr="008058B6">
        <w:trPr>
          <w:trHeight w:val="288"/>
        </w:trPr>
        <w:tc>
          <w:tcPr>
            <w:tcW w:w="1984" w:type="dxa"/>
            <w:noWrap/>
          </w:tcPr>
          <w:p w14:paraId="3E6F64A7" w14:textId="77777777" w:rsidR="00BD5BA8" w:rsidRPr="000324AA" w:rsidRDefault="00BD5BA8" w:rsidP="00DD03FC">
            <w:pPr>
              <w:pStyle w:val="Tablehead"/>
            </w:pPr>
          </w:p>
        </w:tc>
        <w:tc>
          <w:tcPr>
            <w:tcW w:w="3691" w:type="dxa"/>
            <w:noWrap/>
          </w:tcPr>
          <w:p w14:paraId="52753029" w14:textId="77777777" w:rsidR="00BD5BA8" w:rsidRPr="000324AA" w:rsidRDefault="00BD5BA8" w:rsidP="00DD03FC">
            <w:pPr>
              <w:pStyle w:val="Tablehead"/>
              <w:rPr>
                <w:bCs/>
              </w:rPr>
            </w:pPr>
            <w:r w:rsidRPr="000324AA">
              <w:rPr>
                <w:bCs/>
              </w:rPr>
              <w:t>Nom</w:t>
            </w:r>
          </w:p>
        </w:tc>
        <w:tc>
          <w:tcPr>
            <w:tcW w:w="3109" w:type="dxa"/>
            <w:noWrap/>
          </w:tcPr>
          <w:p w14:paraId="74C57865" w14:textId="77777777" w:rsidR="00BD5BA8" w:rsidRPr="000324AA" w:rsidRDefault="00BD5BA8" w:rsidP="00DD03FC">
            <w:pPr>
              <w:pStyle w:val="Tablehead"/>
              <w:rPr>
                <w:bCs/>
              </w:rPr>
            </w:pPr>
            <w:r w:rsidRPr="000324AA">
              <w:rPr>
                <w:bCs/>
              </w:rPr>
              <w:t>Pays/Org.</w:t>
            </w:r>
          </w:p>
        </w:tc>
      </w:tr>
      <w:tr w:rsidR="00BD5BA8" w:rsidRPr="000324AA" w14:paraId="7411902F" w14:textId="77777777" w:rsidTr="008058B6">
        <w:trPr>
          <w:trHeight w:val="288"/>
        </w:trPr>
        <w:tc>
          <w:tcPr>
            <w:tcW w:w="1984" w:type="dxa"/>
            <w:noWrap/>
            <w:hideMark/>
          </w:tcPr>
          <w:p w14:paraId="2358A675" w14:textId="77777777" w:rsidR="00BD5BA8" w:rsidRPr="000324AA" w:rsidRDefault="00BD5BA8" w:rsidP="00DD03FC">
            <w:pPr>
              <w:pStyle w:val="Tabletext"/>
            </w:pPr>
            <w:r w:rsidRPr="000324AA">
              <w:t>Président</w:t>
            </w:r>
          </w:p>
        </w:tc>
        <w:tc>
          <w:tcPr>
            <w:tcW w:w="3691" w:type="dxa"/>
            <w:noWrap/>
            <w:hideMark/>
          </w:tcPr>
          <w:p w14:paraId="1AF68F4D" w14:textId="1FD77DD3" w:rsidR="00BD5BA8" w:rsidRPr="000324AA" w:rsidRDefault="008058B6" w:rsidP="00DD03FC">
            <w:pPr>
              <w:pStyle w:val="Tabletext"/>
            </w:pPr>
            <w:r w:rsidRPr="000324AA">
              <w:t>M. M. Dreis</w:t>
            </w:r>
          </w:p>
        </w:tc>
        <w:tc>
          <w:tcPr>
            <w:tcW w:w="3109" w:type="dxa"/>
            <w:noWrap/>
            <w:hideMark/>
          </w:tcPr>
          <w:p w14:paraId="7FE44AAB" w14:textId="09255C90" w:rsidR="00BD5BA8" w:rsidRPr="000324AA" w:rsidRDefault="008058B6" w:rsidP="00DD03FC">
            <w:pPr>
              <w:pStyle w:val="Tabletext"/>
            </w:pPr>
            <w:r w:rsidRPr="000324AA">
              <w:t>EUMETSAT</w:t>
            </w:r>
          </w:p>
        </w:tc>
      </w:tr>
    </w:tbl>
    <w:p w14:paraId="78A2CCCA" w14:textId="77777777" w:rsidR="00BD5BA8" w:rsidRPr="000324AA" w:rsidRDefault="00BD5BA8" w:rsidP="00BD5BA8">
      <w:r w:rsidRPr="000324AA">
        <w:br w:type="page"/>
      </w:r>
    </w:p>
    <w:p w14:paraId="189759CC" w14:textId="77777777" w:rsidR="00BD5BA8" w:rsidRPr="000324AA" w:rsidRDefault="00BD5BA8" w:rsidP="00BD5BA8">
      <w:pPr>
        <w:pStyle w:val="AnnexNo"/>
      </w:pPr>
      <w:r w:rsidRPr="000324AA">
        <w:lastRenderedPageBreak/>
        <w:t>Annexe 2</w:t>
      </w:r>
    </w:p>
    <w:p w14:paraId="580DC4E3" w14:textId="432A3FB0" w:rsidR="00BD5BA8" w:rsidRPr="000324AA" w:rsidRDefault="00BD5BA8" w:rsidP="00BD5BA8">
      <w:pPr>
        <w:pStyle w:val="Title3"/>
      </w:pPr>
      <w:r w:rsidRPr="000324AA">
        <w:t>COMITÉ DE COORDINATION POUR LE VOCABULAIRE</w:t>
      </w:r>
      <w:r w:rsidR="005A259D" w:rsidRPr="000324AA">
        <w:t xml:space="preserve"> (CCV)</w:t>
      </w:r>
    </w:p>
    <w:p w14:paraId="23472856" w14:textId="77777777" w:rsidR="00BD5BA8" w:rsidRPr="000324AA" w:rsidRDefault="00BD5BA8" w:rsidP="00BD5BA8">
      <w:pPr>
        <w:pStyle w:val="Headingi"/>
      </w:pPr>
      <w:r w:rsidRPr="000324AA">
        <w:t>Domaine de compétence</w:t>
      </w:r>
      <w:r w:rsidRPr="000324AA">
        <w:rPr>
          <w:i w:val="0"/>
          <w:iCs/>
        </w:rPr>
        <w:t>:</w:t>
      </w:r>
    </w:p>
    <w:p w14:paraId="7BE33172" w14:textId="7CEFFD25" w:rsidR="00BD5BA8" w:rsidRPr="000324AA" w:rsidRDefault="00BD5BA8" w:rsidP="00BD5BA8">
      <w:r w:rsidRPr="000324AA">
        <w:t xml:space="preserve">Coordination et approbation en étroite collaboration avec les </w:t>
      </w:r>
      <w:r w:rsidR="00136507" w:rsidRPr="000324AA">
        <w:t xml:space="preserve">commissions </w:t>
      </w:r>
      <w:r w:rsidRPr="000324AA">
        <w:t>d'études des radiocommunications, le Secrétariat général (Département des conférences et des publications) et les autres organisations intéressées, principalement la Commission électrotechnique internationale (CEI), en ce qui concerne:</w:t>
      </w:r>
    </w:p>
    <w:p w14:paraId="55ECEA2F" w14:textId="77777777" w:rsidR="00BD5BA8" w:rsidRPr="000324AA" w:rsidRDefault="00BD5BA8" w:rsidP="00BD5BA8">
      <w:pPr>
        <w:pStyle w:val="enumlev1"/>
      </w:pPr>
      <w:r w:rsidRPr="000324AA">
        <w:t>–</w:t>
      </w:r>
      <w:r w:rsidRPr="000324AA">
        <w:tab/>
        <w:t>le vocabulaire, y compris les abréviations et sigles;</w:t>
      </w:r>
    </w:p>
    <w:p w14:paraId="7CE0EC01" w14:textId="77777777" w:rsidR="00BD5BA8" w:rsidRPr="000324AA" w:rsidRDefault="00BD5BA8" w:rsidP="00BD5BA8">
      <w:pPr>
        <w:pStyle w:val="enumlev1"/>
        <w:spacing w:after="240"/>
      </w:pPr>
      <w:r w:rsidRPr="000324AA">
        <w:t>–</w:t>
      </w:r>
      <w:r w:rsidRPr="000324AA">
        <w:tab/>
        <w:t>les sujets associés (grandeurs et unités, symboles graphiques et littéraux).</w:t>
      </w:r>
    </w:p>
    <w:tbl>
      <w:tblPr>
        <w:tblStyle w:val="TableGrid"/>
        <w:tblW w:w="0" w:type="auto"/>
        <w:tblInd w:w="419" w:type="dxa"/>
        <w:tblLook w:val="04A0" w:firstRow="1" w:lastRow="0" w:firstColumn="1" w:lastColumn="0" w:noHBand="0" w:noVBand="1"/>
      </w:tblPr>
      <w:tblGrid>
        <w:gridCol w:w="1984"/>
        <w:gridCol w:w="3691"/>
        <w:gridCol w:w="3109"/>
      </w:tblGrid>
      <w:tr w:rsidR="00BD5BA8" w:rsidRPr="000324AA" w14:paraId="725F029B" w14:textId="77777777" w:rsidTr="008058B6">
        <w:trPr>
          <w:trHeight w:val="288"/>
        </w:trPr>
        <w:tc>
          <w:tcPr>
            <w:tcW w:w="1984" w:type="dxa"/>
            <w:noWrap/>
          </w:tcPr>
          <w:p w14:paraId="5BCAE7E2" w14:textId="77777777" w:rsidR="00BD5BA8" w:rsidRPr="000324AA" w:rsidRDefault="00BD5BA8" w:rsidP="00FB624F">
            <w:pPr>
              <w:pStyle w:val="Tablehead"/>
              <w:rPr>
                <w:sz w:val="22"/>
                <w:szCs w:val="22"/>
              </w:rPr>
            </w:pPr>
          </w:p>
        </w:tc>
        <w:tc>
          <w:tcPr>
            <w:tcW w:w="3691" w:type="dxa"/>
            <w:noWrap/>
          </w:tcPr>
          <w:p w14:paraId="122EBD52" w14:textId="77777777" w:rsidR="00BD5BA8" w:rsidRPr="000324AA" w:rsidRDefault="00BD5BA8" w:rsidP="00FB624F">
            <w:pPr>
              <w:pStyle w:val="Tablehead"/>
              <w:rPr>
                <w:bCs/>
                <w:sz w:val="22"/>
                <w:szCs w:val="22"/>
              </w:rPr>
            </w:pPr>
            <w:r w:rsidRPr="000324AA">
              <w:rPr>
                <w:bCs/>
                <w:sz w:val="22"/>
                <w:szCs w:val="22"/>
              </w:rPr>
              <w:t>Nom</w:t>
            </w:r>
          </w:p>
        </w:tc>
        <w:tc>
          <w:tcPr>
            <w:tcW w:w="3109" w:type="dxa"/>
            <w:noWrap/>
          </w:tcPr>
          <w:p w14:paraId="26219BB4" w14:textId="77777777" w:rsidR="00BD5BA8" w:rsidRPr="000324AA" w:rsidRDefault="00BD5BA8" w:rsidP="00FB624F">
            <w:pPr>
              <w:pStyle w:val="Tablehead"/>
              <w:rPr>
                <w:bCs/>
                <w:sz w:val="22"/>
                <w:szCs w:val="22"/>
              </w:rPr>
            </w:pPr>
            <w:r w:rsidRPr="000324AA">
              <w:rPr>
                <w:bCs/>
                <w:sz w:val="22"/>
                <w:szCs w:val="22"/>
              </w:rPr>
              <w:t>Pays/Org.</w:t>
            </w:r>
          </w:p>
        </w:tc>
      </w:tr>
      <w:tr w:rsidR="008058B6" w:rsidRPr="000324AA" w14:paraId="4681F826" w14:textId="77777777" w:rsidTr="008058B6">
        <w:trPr>
          <w:trHeight w:val="288"/>
        </w:trPr>
        <w:tc>
          <w:tcPr>
            <w:tcW w:w="1984" w:type="dxa"/>
            <w:noWrap/>
          </w:tcPr>
          <w:p w14:paraId="41F3F9AE" w14:textId="77777777" w:rsidR="008058B6" w:rsidRPr="000324AA" w:rsidRDefault="008058B6" w:rsidP="00DD03FC">
            <w:pPr>
              <w:pStyle w:val="Tabletext"/>
            </w:pPr>
            <w:r w:rsidRPr="000324AA">
              <w:t>Président</w:t>
            </w:r>
          </w:p>
        </w:tc>
        <w:tc>
          <w:tcPr>
            <w:tcW w:w="3691" w:type="dxa"/>
            <w:noWrap/>
          </w:tcPr>
          <w:p w14:paraId="47BE6E57" w14:textId="195FADE2" w:rsidR="008058B6" w:rsidRPr="000324AA" w:rsidRDefault="008058B6" w:rsidP="00DD03FC">
            <w:pPr>
              <w:pStyle w:val="Tabletext"/>
            </w:pPr>
            <w:r w:rsidRPr="000324AA">
              <w:t>M. E.H. Abdouramane</w:t>
            </w:r>
          </w:p>
        </w:tc>
        <w:tc>
          <w:tcPr>
            <w:tcW w:w="3109" w:type="dxa"/>
            <w:noWrap/>
          </w:tcPr>
          <w:p w14:paraId="6F9BC92F" w14:textId="0637CF45" w:rsidR="008058B6" w:rsidRPr="000324AA" w:rsidRDefault="008058B6" w:rsidP="00DD03FC">
            <w:pPr>
              <w:pStyle w:val="Tabletext"/>
            </w:pPr>
            <w:r w:rsidRPr="000324AA">
              <w:t>Cameroun</w:t>
            </w:r>
          </w:p>
        </w:tc>
      </w:tr>
    </w:tbl>
    <w:p w14:paraId="72474C50" w14:textId="290CEA65" w:rsidR="00BD5BA8" w:rsidRPr="000324AA" w:rsidRDefault="00BD5BA8" w:rsidP="00DD03FC"/>
    <w:sectPr w:rsidR="00BD5BA8" w:rsidRPr="000324AA">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9FE3" w14:textId="77777777" w:rsidR="001E1AD2" w:rsidRDefault="001E1AD2">
      <w:r>
        <w:separator/>
      </w:r>
    </w:p>
  </w:endnote>
  <w:endnote w:type="continuationSeparator" w:id="0">
    <w:p w14:paraId="167AD45E" w14:textId="77777777" w:rsidR="001E1AD2" w:rsidRDefault="001E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C5AB" w14:textId="52B0772F" w:rsidR="00EC0EB4" w:rsidRDefault="00EC0EB4">
    <w:pPr>
      <w:rPr>
        <w:lang w:val="en-US"/>
      </w:rPr>
    </w:pPr>
    <w:r>
      <w:fldChar w:fldCharType="begin"/>
    </w:r>
    <w:r>
      <w:rPr>
        <w:lang w:val="en-US"/>
      </w:rPr>
      <w:instrText xml:space="preserve"> FILENAME \p  \* MERGEFORMAT </w:instrText>
    </w:r>
    <w:r>
      <w:fldChar w:fldCharType="separate"/>
    </w:r>
    <w:r w:rsidR="00B84A09">
      <w:rPr>
        <w:noProof/>
        <w:lang w:val="en-US"/>
      </w:rPr>
      <w:t>Y:\APP\BR\BR Publications\RA Resolutions 2019\4\004V2F.DOCX</w:t>
    </w:r>
    <w:r>
      <w:fldChar w:fldCharType="end"/>
    </w:r>
    <w:r>
      <w:rPr>
        <w:lang w:val="en-US"/>
      </w:rPr>
      <w:tab/>
    </w:r>
    <w:r>
      <w:fldChar w:fldCharType="begin"/>
    </w:r>
    <w:r>
      <w:instrText xml:space="preserve"> SAVEDATE \@ DD.MM.YY </w:instrText>
    </w:r>
    <w:r>
      <w:fldChar w:fldCharType="separate"/>
    </w:r>
    <w:r w:rsidR="00617767">
      <w:rPr>
        <w:noProof/>
      </w:rPr>
      <w:t>21.11.23</w:t>
    </w:r>
    <w:r>
      <w:fldChar w:fldCharType="end"/>
    </w:r>
    <w:r>
      <w:rPr>
        <w:lang w:val="en-US"/>
      </w:rPr>
      <w:tab/>
    </w:r>
    <w:r>
      <w:fldChar w:fldCharType="begin"/>
    </w:r>
    <w:r>
      <w:instrText xml:space="preserve"> PRINTDATE \@ DD.MM.YY </w:instrText>
    </w:r>
    <w:r>
      <w:fldChar w:fldCharType="separate"/>
    </w:r>
    <w:r w:rsidR="00B84A09">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265D" w14:textId="77777777" w:rsidR="001E1AD2" w:rsidRDefault="001E1AD2">
      <w:r>
        <w:rPr>
          <w:b/>
        </w:rPr>
        <w:t>_______________</w:t>
      </w:r>
    </w:p>
  </w:footnote>
  <w:footnote w:type="continuationSeparator" w:id="0">
    <w:p w14:paraId="5C68B22D" w14:textId="77777777" w:rsidR="001E1AD2" w:rsidRDefault="001E1AD2">
      <w:r>
        <w:continuationSeparator/>
      </w:r>
    </w:p>
  </w:footnote>
  <w:footnote w:id="1">
    <w:p w14:paraId="34477E24" w14:textId="77777777" w:rsidR="00BD5BA8" w:rsidRPr="00555685" w:rsidRDefault="00BD5BA8" w:rsidP="00BD5BA8">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14:paraId="35BF0644" w14:textId="77777777" w:rsidR="00BD5BA8" w:rsidRPr="009F2E21" w:rsidRDefault="00BD5BA8" w:rsidP="00DD03FC">
      <w:pPr>
        <w:pStyle w:val="FootnoteText"/>
        <w:tabs>
          <w:tab w:val="clear" w:pos="255"/>
        </w:tabs>
        <w:ind w:left="255" w:hanging="255"/>
        <w:rPr>
          <w:lang w:val="fr-CH"/>
        </w:rPr>
      </w:pPr>
      <w:r w:rsidRPr="009F2E21">
        <w:rPr>
          <w:lang w:val="fr-CH"/>
        </w:rPr>
        <w:t>1)</w:t>
      </w:r>
      <w:r w:rsidRPr="009F2E21">
        <w:rPr>
          <w:lang w:val="fr-CH"/>
        </w:rPr>
        <w:tab/>
        <w:t>L'ensemble ou une partie des Questions traitant de partage seront assignées à la Commission d'études 4.</w:t>
      </w:r>
    </w:p>
    <w:p w14:paraId="7C603AB6" w14:textId="77777777" w:rsidR="00BD5BA8" w:rsidRPr="009F2E21" w:rsidRDefault="00BD5BA8" w:rsidP="00DD03FC">
      <w:pPr>
        <w:pStyle w:val="FootnoteText"/>
        <w:tabs>
          <w:tab w:val="clear" w:pos="255"/>
        </w:tabs>
        <w:ind w:left="255" w:hanging="255"/>
        <w:rPr>
          <w:lang w:val="fr-CH"/>
        </w:rPr>
      </w:pPr>
      <w:r w:rsidRPr="009F2E21">
        <w:rPr>
          <w:lang w:val="fr-CH"/>
        </w:rPr>
        <w:t>2)</w:t>
      </w:r>
      <w:r w:rsidRPr="009F2E21">
        <w:rPr>
          <w:lang w:val="fr-CH"/>
        </w:rPr>
        <w:tab/>
        <w:t>L'ensemble ou une partie des Questions traitant d'utilisation des fréquences seront assignées à la Commission d'études 4.</w:t>
      </w:r>
    </w:p>
    <w:p w14:paraId="12B95A6C" w14:textId="77777777" w:rsidR="00BD5BA8" w:rsidRPr="009F2E21" w:rsidRDefault="00BD5BA8" w:rsidP="00DD03FC">
      <w:pPr>
        <w:pStyle w:val="FootnoteText"/>
        <w:tabs>
          <w:tab w:val="clear" w:pos="255"/>
        </w:tabs>
        <w:ind w:left="255" w:hanging="255"/>
        <w:rPr>
          <w:lang w:val="fr-CH"/>
        </w:rPr>
      </w:pPr>
      <w:r w:rsidRPr="009F2E21">
        <w:rPr>
          <w:lang w:val="fr-CH"/>
        </w:rPr>
        <w:t>3)</w:t>
      </w:r>
      <w:r w:rsidRPr="009F2E21">
        <w:rPr>
          <w:lang w:val="fr-CH"/>
        </w:rPr>
        <w:tab/>
        <w:t>L'ensemble ou une partie des Questions traitant d'objectifs de qualité de fonctionnement et de qualité de service seront assignées à la Commission d'études 6.</w:t>
      </w:r>
    </w:p>
    <w:p w14:paraId="6BCE8FEA" w14:textId="31A784A8" w:rsidR="00BD5BA8" w:rsidRPr="005F3DF4" w:rsidRDefault="00BD5BA8" w:rsidP="00DD03FC">
      <w:pPr>
        <w:pStyle w:val="FootnoteText"/>
        <w:tabs>
          <w:tab w:val="clear" w:pos="255"/>
        </w:tabs>
        <w:ind w:left="255" w:hanging="255"/>
        <w:rPr>
          <w:lang w:val="fr-CH"/>
        </w:rPr>
      </w:pPr>
      <w:r w:rsidRPr="009F2E21">
        <w:rPr>
          <w:lang w:val="fr-CH"/>
        </w:rPr>
        <w:t>4)</w:t>
      </w:r>
      <w:r w:rsidRPr="009F2E21">
        <w:rPr>
          <w:lang w:val="fr-CH"/>
        </w:rPr>
        <w:tab/>
        <w:t xml:space="preserve">L'ensemble ou une partie des Questions traitant des critères de qualité de fonctionnement radioélectrique des liaisons par satellite pour répondre aux exigences de service </w:t>
      </w:r>
      <w:r w:rsidR="003028DC" w:rsidRPr="009F2E21">
        <w:rPr>
          <w:lang w:val="fr-CH"/>
        </w:rPr>
        <w:t>indiquées</w:t>
      </w:r>
      <w:r w:rsidR="002D3D2E">
        <w:rPr>
          <w:lang w:val="fr-CH"/>
        </w:rPr>
        <w:t xml:space="preserve"> </w:t>
      </w:r>
      <w:r w:rsidRPr="009F2E21">
        <w:rPr>
          <w:lang w:val="fr-CH"/>
        </w:rPr>
        <w:t>par la Commission d'études 6 seront assignées à la Commission d'études 4.</w:t>
      </w:r>
    </w:p>
  </w:footnote>
  <w:footnote w:id="2">
    <w:p w14:paraId="39D89470" w14:textId="77777777" w:rsidR="008058B6" w:rsidRDefault="008058B6" w:rsidP="008058B6">
      <w:pPr>
        <w:pStyle w:val="FootnoteText"/>
      </w:pPr>
      <w:r>
        <w:rPr>
          <w:rStyle w:val="FootnoteReference"/>
        </w:rPr>
        <w:t>2</w:t>
      </w:r>
      <w:r>
        <w:tab/>
      </w:r>
      <w:r>
        <w:rPr>
          <w:iCs/>
        </w:rPr>
        <w:t>Les Commissions d'études 4, 5 et 7 sont invitées à coopérer sur les questions liées à la viabilité des ressources que constituent le spectre des fréquences radioélectriques et les orbites de satellites associées utilisées par les services spatiaux (voir la Résolution 219 (Bucarest, 2022) de la Conférence de plénipotentiaires) et relevant de la responsabilité et du mandat de l'UIT-R, selon qu'il conviendra, la Commission d'études 4 étant responsable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4BED" w14:textId="05555510" w:rsidR="0056236F" w:rsidRDefault="0056236F" w:rsidP="00AA124D">
    <w:pPr>
      <w:pStyle w:val="Header"/>
    </w:pPr>
    <w:r>
      <w:fldChar w:fldCharType="begin"/>
    </w:r>
    <w:r>
      <w:instrText xml:space="preserve"> PAGE  \* MERGEFORMAT </w:instrText>
    </w:r>
    <w:r>
      <w:fldChar w:fldCharType="separate"/>
    </w:r>
    <w:r w:rsidR="00B84A09">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42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249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2C1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DAD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848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02A6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007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C9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F0C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CAB2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55915021">
    <w:abstractNumId w:val="8"/>
  </w:num>
  <w:num w:numId="2" w16cid:durableId="1732295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67080585">
    <w:abstractNumId w:val="9"/>
  </w:num>
  <w:num w:numId="4" w16cid:durableId="344720701">
    <w:abstractNumId w:val="7"/>
  </w:num>
  <w:num w:numId="5" w16cid:durableId="712272513">
    <w:abstractNumId w:val="6"/>
  </w:num>
  <w:num w:numId="6" w16cid:durableId="1708948503">
    <w:abstractNumId w:val="5"/>
  </w:num>
  <w:num w:numId="7" w16cid:durableId="571895217">
    <w:abstractNumId w:val="4"/>
  </w:num>
  <w:num w:numId="8" w16cid:durableId="244613053">
    <w:abstractNumId w:val="3"/>
  </w:num>
  <w:num w:numId="9" w16cid:durableId="1052508265">
    <w:abstractNumId w:val="2"/>
  </w:num>
  <w:num w:numId="10" w16cid:durableId="8727507">
    <w:abstractNumId w:val="1"/>
  </w:num>
  <w:num w:numId="11" w16cid:durableId="448623847">
    <w:abstractNumId w:val="0"/>
  </w:num>
  <w:num w:numId="12" w16cid:durableId="215506038">
    <w:abstractNumId w:val="9"/>
  </w:num>
  <w:num w:numId="13" w16cid:durableId="2090929140">
    <w:abstractNumId w:val="7"/>
  </w:num>
  <w:num w:numId="14" w16cid:durableId="1824544651">
    <w:abstractNumId w:val="6"/>
  </w:num>
  <w:num w:numId="15" w16cid:durableId="544100123">
    <w:abstractNumId w:val="5"/>
  </w:num>
  <w:num w:numId="16" w16cid:durableId="1351562192">
    <w:abstractNumId w:val="4"/>
  </w:num>
  <w:num w:numId="17" w16cid:durableId="1595629654">
    <w:abstractNumId w:val="8"/>
  </w:num>
  <w:num w:numId="18" w16cid:durableId="192423302">
    <w:abstractNumId w:val="3"/>
  </w:num>
  <w:num w:numId="19" w16cid:durableId="2062289210">
    <w:abstractNumId w:val="2"/>
  </w:num>
  <w:num w:numId="20" w16cid:durableId="1899321259">
    <w:abstractNumId w:val="1"/>
  </w:num>
  <w:num w:numId="21" w16cid:durableId="296110247">
    <w:abstractNumId w:val="0"/>
  </w:num>
  <w:num w:numId="22" w16cid:durableId="1627463361">
    <w:abstractNumId w:val="9"/>
  </w:num>
  <w:num w:numId="23" w16cid:durableId="946038763">
    <w:abstractNumId w:val="7"/>
  </w:num>
  <w:num w:numId="24" w16cid:durableId="251202749">
    <w:abstractNumId w:val="6"/>
  </w:num>
  <w:num w:numId="25" w16cid:durableId="2027443910">
    <w:abstractNumId w:val="5"/>
  </w:num>
  <w:num w:numId="26" w16cid:durableId="2041124711">
    <w:abstractNumId w:val="4"/>
  </w:num>
  <w:num w:numId="27" w16cid:durableId="1977488647">
    <w:abstractNumId w:val="8"/>
  </w:num>
  <w:num w:numId="28" w16cid:durableId="1901860349">
    <w:abstractNumId w:val="3"/>
  </w:num>
  <w:num w:numId="29" w16cid:durableId="1427649377">
    <w:abstractNumId w:val="2"/>
  </w:num>
  <w:num w:numId="30" w16cid:durableId="1778019849">
    <w:abstractNumId w:val="1"/>
  </w:num>
  <w:num w:numId="31" w16cid:durableId="160872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A8"/>
    <w:rsid w:val="00006711"/>
    <w:rsid w:val="00006CBF"/>
    <w:rsid w:val="000324AA"/>
    <w:rsid w:val="00062376"/>
    <w:rsid w:val="000B1F11"/>
    <w:rsid w:val="000C2E44"/>
    <w:rsid w:val="00114001"/>
    <w:rsid w:val="00133BB2"/>
    <w:rsid w:val="0013523C"/>
    <w:rsid w:val="00136507"/>
    <w:rsid w:val="00160694"/>
    <w:rsid w:val="00190ED1"/>
    <w:rsid w:val="001E1AD2"/>
    <w:rsid w:val="00223DF9"/>
    <w:rsid w:val="002D3D2E"/>
    <w:rsid w:val="002F71EC"/>
    <w:rsid w:val="003028DC"/>
    <w:rsid w:val="00312771"/>
    <w:rsid w:val="003644F8"/>
    <w:rsid w:val="00394D58"/>
    <w:rsid w:val="00400A66"/>
    <w:rsid w:val="0052070D"/>
    <w:rsid w:val="00530E6D"/>
    <w:rsid w:val="0056236F"/>
    <w:rsid w:val="00587324"/>
    <w:rsid w:val="005A259D"/>
    <w:rsid w:val="005A46FB"/>
    <w:rsid w:val="005E0F3B"/>
    <w:rsid w:val="0060664A"/>
    <w:rsid w:val="00617767"/>
    <w:rsid w:val="00634495"/>
    <w:rsid w:val="006506F4"/>
    <w:rsid w:val="006B7103"/>
    <w:rsid w:val="006F73A7"/>
    <w:rsid w:val="007B5D3A"/>
    <w:rsid w:val="008058B6"/>
    <w:rsid w:val="00813C2F"/>
    <w:rsid w:val="00824272"/>
    <w:rsid w:val="00834966"/>
    <w:rsid w:val="00840A51"/>
    <w:rsid w:val="00842C4F"/>
    <w:rsid w:val="00852305"/>
    <w:rsid w:val="008637F6"/>
    <w:rsid w:val="008962EE"/>
    <w:rsid w:val="008C5FD1"/>
    <w:rsid w:val="009533DD"/>
    <w:rsid w:val="00992C42"/>
    <w:rsid w:val="009A5B60"/>
    <w:rsid w:val="009F1B19"/>
    <w:rsid w:val="009F2E21"/>
    <w:rsid w:val="00A3195C"/>
    <w:rsid w:val="00A36BF4"/>
    <w:rsid w:val="00A37D0C"/>
    <w:rsid w:val="00A57161"/>
    <w:rsid w:val="00A769F2"/>
    <w:rsid w:val="00A932B3"/>
    <w:rsid w:val="00AA124D"/>
    <w:rsid w:val="00AD26C8"/>
    <w:rsid w:val="00B11F65"/>
    <w:rsid w:val="00B33EF1"/>
    <w:rsid w:val="00B67A1E"/>
    <w:rsid w:val="00B82926"/>
    <w:rsid w:val="00B84A09"/>
    <w:rsid w:val="00B9065A"/>
    <w:rsid w:val="00BD5BA8"/>
    <w:rsid w:val="00CB2052"/>
    <w:rsid w:val="00CD0DFB"/>
    <w:rsid w:val="00D278A9"/>
    <w:rsid w:val="00D32DD4"/>
    <w:rsid w:val="00D54910"/>
    <w:rsid w:val="00DC4CBD"/>
    <w:rsid w:val="00DD03FC"/>
    <w:rsid w:val="00DE7A55"/>
    <w:rsid w:val="00E02AE3"/>
    <w:rsid w:val="00E35C5C"/>
    <w:rsid w:val="00E55DDC"/>
    <w:rsid w:val="00EC0468"/>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B03C2"/>
  <w15:docId w15:val="{FE728369-B24F-4AA7-B6C4-CD3DD57E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table" w:styleId="TableGrid">
    <w:name w:val="Table Grid"/>
    <w:basedOn w:val="TableNormal"/>
    <w:uiPriority w:val="39"/>
    <w:rsid w:val="00BD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427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otobe\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CDF9B-32D9-4E2B-85A1-18CDB51B9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1ADEA-12E3-4A7F-A9DE-55D626CD92C0}">
  <ds:schemaRefs>
    <ds:schemaRef ds:uri="http://schemas.microsoft.com/sharepoint/v3/contenttype/forms"/>
  </ds:schemaRefs>
</ds:datastoreItem>
</file>

<file path=customXml/itemProps3.xml><?xml version="1.0" encoding="utf-8"?>
<ds:datastoreItem xmlns:ds="http://schemas.openxmlformats.org/officeDocument/2006/customXml" ds:itemID="{E9DFC4FC-D69A-455C-B621-C1D19F9D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PF_RA19.dotx</Template>
  <TotalTime>65</TotalTime>
  <Pages>8</Pages>
  <Words>781</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12</cp:revision>
  <cp:lastPrinted>2019-10-30T14:07:00Z</cp:lastPrinted>
  <dcterms:created xsi:type="dcterms:W3CDTF">2023-11-21T07:37:00Z</dcterms:created>
  <dcterms:modified xsi:type="dcterms:W3CDTF">2023-11-21T12:52:00Z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