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CA" w:rsidRDefault="00E649CA" w:rsidP="00E649CA">
      <w:pPr>
        <w:pStyle w:val="ResNo"/>
        <w:rPr>
          <w:lang w:eastAsia="zh-CN"/>
        </w:rPr>
      </w:pPr>
      <w:r>
        <w:rPr>
          <w:lang w:eastAsia="zh-CN"/>
        </w:rPr>
        <w:t>ITU-R</w:t>
      </w:r>
      <w:r>
        <w:rPr>
          <w:rFonts w:hint="eastAsia"/>
          <w:lang w:eastAsia="zh-CN"/>
        </w:rPr>
        <w:t>第</w:t>
      </w:r>
      <w:r>
        <w:rPr>
          <w:lang w:eastAsia="zh-CN"/>
        </w:rPr>
        <w:t>11-</w:t>
      </w:r>
      <w:r>
        <w:rPr>
          <w:rFonts w:hint="eastAsia"/>
          <w:lang w:eastAsia="zh-CN"/>
        </w:rPr>
        <w:t>5</w:t>
      </w:r>
      <w:r>
        <w:rPr>
          <w:rFonts w:hint="eastAsia"/>
          <w:lang w:eastAsia="zh-CN"/>
        </w:rPr>
        <w:t>号决议</w:t>
      </w:r>
    </w:p>
    <w:p w:rsidR="00E649CA" w:rsidRPr="00E649CA" w:rsidRDefault="00E649CA" w:rsidP="00E649CA">
      <w:pPr>
        <w:pStyle w:val="Restitle"/>
        <w:rPr>
          <w:lang w:eastAsia="zh-CN"/>
        </w:rPr>
      </w:pPr>
      <w:r w:rsidRPr="007816F0">
        <w:rPr>
          <w:rFonts w:hint="eastAsia"/>
          <w:lang w:eastAsia="zh-CN"/>
        </w:rPr>
        <w:t>进一步为发展中国家开发频谱管理系统</w:t>
      </w:r>
    </w:p>
    <w:p w:rsidR="00D32842" w:rsidRDefault="00D32842" w:rsidP="007816F0">
      <w:pPr>
        <w:pStyle w:val="Resdate"/>
        <w:rPr>
          <w:lang w:eastAsia="zh-CN"/>
        </w:rPr>
      </w:pPr>
      <w:r>
        <w:rPr>
          <w:rFonts w:hint="eastAsia"/>
          <w:lang w:eastAsia="zh-CN"/>
        </w:rPr>
        <w:t>（</w:t>
      </w:r>
      <w:r>
        <w:rPr>
          <w:lang w:eastAsia="zh-CN"/>
        </w:rPr>
        <w:t>1993-1995-1997-2003-2007</w:t>
      </w:r>
      <w:r w:rsidR="00D0605D">
        <w:rPr>
          <w:lang w:eastAsia="zh-CN"/>
        </w:rPr>
        <w:t>-2015</w:t>
      </w:r>
      <w:r>
        <w:rPr>
          <w:rFonts w:hint="eastAsia"/>
          <w:lang w:eastAsia="zh-CN"/>
        </w:rPr>
        <w:t>年）</w:t>
      </w:r>
    </w:p>
    <w:p w:rsidR="00D7524C" w:rsidRDefault="00D7524C" w:rsidP="00D7524C">
      <w:pPr>
        <w:pStyle w:val="Normalaftertitle"/>
        <w:rPr>
          <w:lang w:eastAsia="zh-CN"/>
        </w:rPr>
      </w:pPr>
      <w:r>
        <w:rPr>
          <w:rFonts w:hint="eastAsia"/>
          <w:lang w:val="fr-FR" w:eastAsia="zh-CN"/>
        </w:rPr>
        <w:t>国际电联无线电通信全会，</w:t>
      </w:r>
    </w:p>
    <w:p w:rsidR="00D7524C" w:rsidRDefault="00D7524C" w:rsidP="00D7524C">
      <w:pPr>
        <w:pStyle w:val="Call"/>
        <w:rPr>
          <w:i/>
          <w:lang w:eastAsia="zh-CN"/>
        </w:rPr>
      </w:pPr>
      <w:r>
        <w:rPr>
          <w:rFonts w:hint="eastAsia"/>
          <w:lang w:eastAsia="zh-CN"/>
        </w:rPr>
        <w:t>考虑到</w:t>
      </w:r>
    </w:p>
    <w:p w:rsidR="00D7524C" w:rsidRDefault="00D7524C" w:rsidP="00D7524C">
      <w:pPr>
        <w:jc w:val="both"/>
        <w:rPr>
          <w:lang w:eastAsia="zh-CN"/>
        </w:rPr>
      </w:pPr>
      <w:r>
        <w:rPr>
          <w:i/>
          <w:iCs/>
          <w:lang w:eastAsia="zh-CN"/>
        </w:rPr>
        <w:t>a)</w:t>
      </w:r>
      <w:r>
        <w:rPr>
          <w:lang w:eastAsia="zh-CN"/>
        </w:rPr>
        <w:tab/>
      </w:r>
      <w:r>
        <w:rPr>
          <w:rFonts w:hint="eastAsia"/>
          <w:lang w:val="fr-FR" w:eastAsia="zh-CN"/>
        </w:rPr>
        <w:t>更高级频谱管理系统将包含对当前发展中国家的频谱管理系统（</w:t>
      </w:r>
      <w:r>
        <w:rPr>
          <w:lang w:val="fr-FR" w:eastAsia="zh-CN"/>
        </w:rPr>
        <w:t>SMS4DC</w:t>
      </w:r>
      <w:r>
        <w:rPr>
          <w:rFonts w:hint="eastAsia"/>
          <w:lang w:val="fr-FR" w:eastAsia="zh-CN"/>
        </w:rPr>
        <w:t>）进行软件修改，以支持并促进更高级的国家频谱的管理与监测、各主管部门之间的协调以及向无线电通信局（</w:t>
      </w:r>
      <w:r>
        <w:rPr>
          <w:lang w:val="fr-FR" w:eastAsia="zh-CN"/>
        </w:rPr>
        <w:t>BR</w:t>
      </w:r>
      <w:r>
        <w:rPr>
          <w:rFonts w:hint="eastAsia"/>
          <w:lang w:val="fr-FR" w:eastAsia="zh-CN"/>
        </w:rPr>
        <w:t>）报送资料的工作；</w:t>
      </w:r>
    </w:p>
    <w:p w:rsidR="00D7524C" w:rsidRDefault="00D7524C" w:rsidP="00D7524C">
      <w:pPr>
        <w:jc w:val="both"/>
        <w:rPr>
          <w:lang w:eastAsia="zh-CN"/>
        </w:rPr>
      </w:pPr>
      <w:r>
        <w:rPr>
          <w:i/>
          <w:iCs/>
          <w:lang w:eastAsia="zh-CN"/>
        </w:rPr>
        <w:t>b)</w:t>
      </w:r>
      <w:r>
        <w:rPr>
          <w:lang w:eastAsia="zh-CN"/>
        </w:rPr>
        <w:tab/>
      </w:r>
      <w:r>
        <w:rPr>
          <w:rFonts w:hint="eastAsia"/>
          <w:lang w:eastAsia="zh-CN"/>
        </w:rPr>
        <w:t>基于</w:t>
      </w:r>
      <w:r>
        <w:rPr>
          <w:lang w:eastAsia="zh-CN"/>
        </w:rPr>
        <w:t>ITU-R</w:t>
      </w:r>
      <w:r>
        <w:rPr>
          <w:rFonts w:hint="eastAsia"/>
          <w:lang w:eastAsia="zh-CN"/>
        </w:rPr>
        <w:t>和</w:t>
      </w:r>
      <w:r>
        <w:rPr>
          <w:lang w:eastAsia="zh-CN"/>
        </w:rPr>
        <w:t>ITU-D</w:t>
      </w:r>
      <w:r>
        <w:rPr>
          <w:rFonts w:hint="eastAsia"/>
          <w:lang w:eastAsia="zh-CN"/>
        </w:rPr>
        <w:t>专家组制定的技术规范，并通过与无线电通信局的紧密合作，电信发展局（</w:t>
      </w:r>
      <w:r>
        <w:rPr>
          <w:lang w:eastAsia="zh-CN"/>
        </w:rPr>
        <w:t>BDT</w:t>
      </w:r>
      <w:r>
        <w:rPr>
          <w:rFonts w:hint="eastAsia"/>
          <w:lang w:eastAsia="zh-CN"/>
        </w:rPr>
        <w:t>）利用统一字符码标准（</w:t>
      </w:r>
      <w:r>
        <w:rPr>
          <w:lang w:eastAsia="zh-CN"/>
        </w:rPr>
        <w:t>Unicode</w:t>
      </w:r>
      <w:r>
        <w:rPr>
          <w:rFonts w:hint="eastAsia"/>
          <w:lang w:eastAsia="zh-CN"/>
        </w:rPr>
        <w:t>）开发了</w:t>
      </w:r>
      <w:r>
        <w:rPr>
          <w:lang w:eastAsia="zh-CN"/>
        </w:rPr>
        <w:t>SMS4DC</w:t>
      </w:r>
      <w:r>
        <w:rPr>
          <w:rFonts w:hint="eastAsia"/>
          <w:lang w:eastAsia="zh-CN"/>
        </w:rPr>
        <w:t>；</w:t>
      </w:r>
    </w:p>
    <w:p w:rsidR="00D7524C" w:rsidRDefault="00D7524C" w:rsidP="00D7524C">
      <w:pPr>
        <w:jc w:val="both"/>
        <w:rPr>
          <w:lang w:eastAsia="zh-CN"/>
        </w:rPr>
      </w:pPr>
      <w:r>
        <w:rPr>
          <w:i/>
          <w:iCs/>
          <w:lang w:eastAsia="zh-CN"/>
        </w:rPr>
        <w:t>c)</w:t>
      </w:r>
      <w:r>
        <w:rPr>
          <w:lang w:eastAsia="zh-CN"/>
        </w:rPr>
        <w:tab/>
      </w:r>
      <w:r>
        <w:rPr>
          <w:rFonts w:hint="eastAsia"/>
          <w:lang w:val="fr-FR" w:eastAsia="zh-CN"/>
        </w:rPr>
        <w:t>用于</w:t>
      </w:r>
      <w:r>
        <w:rPr>
          <w:lang w:val="fr-FR" w:eastAsia="zh-CN"/>
        </w:rPr>
        <w:t>SMS4DC</w:t>
      </w:r>
      <w:r>
        <w:rPr>
          <w:rFonts w:hint="eastAsia"/>
          <w:lang w:val="fr-FR" w:eastAsia="zh-CN"/>
        </w:rPr>
        <w:t>的数据元素是以</w:t>
      </w:r>
      <w:r>
        <w:rPr>
          <w:lang w:val="fr-FR" w:eastAsia="zh-CN"/>
        </w:rPr>
        <w:t>ITU-R</w:t>
      </w:r>
      <w:r>
        <w:rPr>
          <w:rFonts w:hint="eastAsia"/>
          <w:lang w:val="fr-FR" w:eastAsia="zh-CN"/>
        </w:rPr>
        <w:t>有关频谱管理的建议书为基础的，包括那些用于通知和协调的数据元素；</w:t>
      </w:r>
    </w:p>
    <w:p w:rsidR="00D7524C" w:rsidRDefault="00D7524C" w:rsidP="00D7524C">
      <w:pPr>
        <w:jc w:val="both"/>
        <w:rPr>
          <w:lang w:eastAsia="zh-CN"/>
        </w:rPr>
      </w:pPr>
      <w:r>
        <w:rPr>
          <w:i/>
          <w:iCs/>
          <w:lang w:eastAsia="zh-CN"/>
        </w:rPr>
        <w:t>d)</w:t>
      </w:r>
      <w:r>
        <w:rPr>
          <w:lang w:eastAsia="zh-CN"/>
        </w:rPr>
        <w:tab/>
      </w:r>
      <w:r>
        <w:rPr>
          <w:rFonts w:hint="eastAsia"/>
          <w:caps/>
          <w:lang w:val="fr-FR" w:eastAsia="zh-CN"/>
        </w:rPr>
        <w:t>在开发和维护其国家频谱</w:t>
      </w:r>
      <w:r>
        <w:rPr>
          <w:rFonts w:hint="eastAsia"/>
          <w:lang w:eastAsia="zh-CN"/>
        </w:rPr>
        <w:t>管理</w:t>
      </w:r>
      <w:r>
        <w:rPr>
          <w:rFonts w:hint="eastAsia"/>
          <w:caps/>
          <w:lang w:val="fr-FR" w:eastAsia="zh-CN"/>
        </w:rPr>
        <w:t>数据方面，许多主管部门已成功地实施了自动数据库管理系统（</w:t>
      </w:r>
      <w:r>
        <w:rPr>
          <w:caps/>
          <w:lang w:val="fr-FR" w:eastAsia="zh-CN"/>
        </w:rPr>
        <w:t>DBMS</w:t>
      </w:r>
      <w:r>
        <w:rPr>
          <w:rFonts w:hint="eastAsia"/>
          <w:caps/>
          <w:lang w:val="fr-FR" w:eastAsia="zh-CN"/>
        </w:rPr>
        <w:t>），</w:t>
      </w:r>
    </w:p>
    <w:p w:rsidR="00D7524C" w:rsidRDefault="00D7524C" w:rsidP="00D7524C">
      <w:pPr>
        <w:pStyle w:val="Call"/>
        <w:rPr>
          <w:i/>
          <w:iCs/>
          <w:lang w:eastAsia="zh-CN"/>
        </w:rPr>
      </w:pPr>
      <w:r>
        <w:rPr>
          <w:rFonts w:hint="eastAsia"/>
          <w:lang w:eastAsia="zh-CN"/>
        </w:rPr>
        <w:t>注意到</w:t>
      </w:r>
    </w:p>
    <w:p w:rsidR="00D7524C" w:rsidRDefault="004B75F6" w:rsidP="004B75F6">
      <w:pPr>
        <w:jc w:val="both"/>
        <w:rPr>
          <w:lang w:eastAsia="zh-CN"/>
        </w:rPr>
      </w:pPr>
      <w:r w:rsidRPr="002C721D">
        <w:rPr>
          <w:i/>
          <w:iCs/>
          <w:lang w:eastAsia="zh-CN"/>
        </w:rPr>
        <w:t>a)</w:t>
      </w:r>
      <w:r w:rsidRPr="0085475C">
        <w:rPr>
          <w:lang w:eastAsia="zh-CN"/>
        </w:rPr>
        <w:tab/>
      </w:r>
      <w:r w:rsidR="00D7524C">
        <w:rPr>
          <w:rFonts w:hint="eastAsia"/>
          <w:lang w:eastAsia="zh-CN"/>
        </w:rPr>
        <w:t>有关无线电波传播地</w:t>
      </w:r>
      <w:r w:rsidR="00D7524C">
        <w:rPr>
          <w:lang w:eastAsia="zh-CN"/>
        </w:rPr>
        <w:t>图</w:t>
      </w:r>
      <w:r w:rsidR="00D7524C">
        <w:rPr>
          <w:rFonts w:hint="eastAsia"/>
          <w:lang w:eastAsia="zh-CN"/>
        </w:rPr>
        <w:t>和</w:t>
      </w:r>
      <w:r w:rsidR="00D7524C">
        <w:rPr>
          <w:lang w:eastAsia="zh-CN"/>
        </w:rPr>
        <w:t>数字地形</w:t>
      </w:r>
      <w:r w:rsidR="00D7524C">
        <w:rPr>
          <w:rFonts w:hint="eastAsia"/>
          <w:lang w:eastAsia="zh-CN"/>
        </w:rPr>
        <w:t>的</w:t>
      </w:r>
      <w:r w:rsidR="00D7524C">
        <w:rPr>
          <w:lang w:eastAsia="zh-CN"/>
        </w:rPr>
        <w:t>ITU-R</w:t>
      </w:r>
      <w:r w:rsidR="00D7524C">
        <w:rPr>
          <w:rFonts w:hint="eastAsia"/>
          <w:lang w:eastAsia="zh-CN"/>
        </w:rPr>
        <w:t>建议书在系统开发中得到了考虑，</w:t>
      </w:r>
    </w:p>
    <w:p w:rsidR="00D7524C" w:rsidRDefault="00D7524C" w:rsidP="00D7524C">
      <w:pPr>
        <w:pStyle w:val="Call"/>
        <w:rPr>
          <w:i/>
          <w:iCs/>
          <w:lang w:eastAsia="zh-CN"/>
        </w:rPr>
      </w:pPr>
      <w:r>
        <w:rPr>
          <w:rFonts w:hint="eastAsia"/>
          <w:lang w:eastAsia="zh-CN"/>
        </w:rPr>
        <w:t>做出决议</w:t>
      </w:r>
    </w:p>
    <w:p w:rsidR="00D7524C" w:rsidRDefault="00D7524C" w:rsidP="00D7524C">
      <w:pPr>
        <w:jc w:val="both"/>
        <w:rPr>
          <w:caps/>
          <w:lang w:val="fr-FR" w:eastAsia="zh-CN"/>
        </w:rPr>
      </w:pPr>
      <w:r>
        <w:rPr>
          <w:bCs/>
          <w:lang w:eastAsia="zh-CN"/>
        </w:rPr>
        <w:t>1</w:t>
      </w:r>
      <w:r>
        <w:rPr>
          <w:b/>
          <w:lang w:eastAsia="zh-CN"/>
        </w:rPr>
        <w:tab/>
      </w:r>
      <w:r>
        <w:rPr>
          <w:rFonts w:hint="eastAsia"/>
          <w:caps/>
          <w:lang w:val="fr-FR" w:eastAsia="zh-CN"/>
        </w:rPr>
        <w:t>第</w:t>
      </w:r>
      <w:r>
        <w:rPr>
          <w:caps/>
          <w:lang w:val="fr-FR" w:eastAsia="zh-CN"/>
        </w:rPr>
        <w:t>1</w:t>
      </w:r>
      <w:r>
        <w:rPr>
          <w:rFonts w:hint="eastAsia"/>
          <w:caps/>
          <w:lang w:val="fr-FR" w:eastAsia="zh-CN"/>
        </w:rPr>
        <w:t>研究组和无线电通信局的专家应继续按照世界无线电通信大会（</w:t>
      </w:r>
      <w:r>
        <w:rPr>
          <w:caps/>
          <w:lang w:val="fr-FR" w:eastAsia="zh-CN"/>
        </w:rPr>
        <w:t>WRC</w:t>
      </w:r>
      <w:r>
        <w:rPr>
          <w:rFonts w:hint="eastAsia"/>
          <w:caps/>
          <w:lang w:val="fr-FR" w:eastAsia="zh-CN"/>
        </w:rPr>
        <w:t>）的各项决定和相关</w:t>
      </w:r>
      <w:r>
        <w:rPr>
          <w:caps/>
          <w:lang w:val="fr-FR" w:eastAsia="zh-CN"/>
        </w:rPr>
        <w:t>ITU-R</w:t>
      </w:r>
      <w:r>
        <w:rPr>
          <w:rFonts w:hint="eastAsia"/>
          <w:caps/>
          <w:lang w:val="fr-FR" w:eastAsia="zh-CN"/>
        </w:rPr>
        <w:t>建议书、手册与报告协助进一步开发</w:t>
      </w:r>
      <w:r>
        <w:rPr>
          <w:caps/>
          <w:lang w:val="fr-FR" w:eastAsia="zh-CN"/>
        </w:rPr>
        <w:t>SMS4DC</w:t>
      </w:r>
      <w:r>
        <w:rPr>
          <w:rFonts w:hint="eastAsia"/>
          <w:caps/>
          <w:lang w:val="fr-FR" w:eastAsia="zh-CN"/>
        </w:rPr>
        <w:t>；</w:t>
      </w:r>
    </w:p>
    <w:p w:rsidR="00151D81" w:rsidRDefault="00D7524C" w:rsidP="00D7524C">
      <w:pPr>
        <w:jc w:val="both"/>
        <w:rPr>
          <w:caps/>
          <w:lang w:val="fr-FR" w:eastAsia="zh-CN"/>
        </w:rPr>
      </w:pPr>
      <w:r>
        <w:rPr>
          <w:lang w:eastAsia="zh-CN"/>
        </w:rPr>
        <w:t>2</w:t>
      </w:r>
      <w:r>
        <w:rPr>
          <w:lang w:eastAsia="zh-CN"/>
        </w:rPr>
        <w:tab/>
      </w:r>
      <w:r>
        <w:rPr>
          <w:rFonts w:hint="eastAsia"/>
          <w:caps/>
          <w:lang w:val="fr-FR" w:eastAsia="zh-CN"/>
        </w:rPr>
        <w:t>无线电通信局应继续</w:t>
      </w:r>
      <w:r>
        <w:rPr>
          <w:rFonts w:hint="eastAsia"/>
          <w:lang w:eastAsia="zh-CN"/>
        </w:rPr>
        <w:t>通过</w:t>
      </w:r>
      <w:r>
        <w:rPr>
          <w:rFonts w:hint="eastAsia"/>
          <w:caps/>
          <w:lang w:val="fr-FR" w:eastAsia="zh-CN"/>
        </w:rPr>
        <w:t>第</w:t>
      </w:r>
      <w:r>
        <w:rPr>
          <w:caps/>
          <w:lang w:val="fr-FR" w:eastAsia="zh-CN"/>
        </w:rPr>
        <w:t>1</w:t>
      </w:r>
      <w:r>
        <w:rPr>
          <w:rFonts w:hint="eastAsia"/>
          <w:caps/>
          <w:lang w:val="fr-FR" w:eastAsia="zh-CN"/>
        </w:rPr>
        <w:t>研究组和无线电通信局的专家参与诸如</w:t>
      </w:r>
      <w:r>
        <w:rPr>
          <w:caps/>
          <w:lang w:val="fr-FR" w:eastAsia="zh-CN"/>
        </w:rPr>
        <w:t>国际电联学院之类的</w:t>
      </w:r>
      <w:r>
        <w:rPr>
          <w:rFonts w:hint="eastAsia"/>
          <w:caps/>
          <w:lang w:val="fr-FR" w:eastAsia="zh-CN"/>
        </w:rPr>
        <w:t>培训项目来协助电信发展局在各国实施频谱管理系统。</w:t>
      </w:r>
    </w:p>
    <w:p w:rsidR="003D6A5B" w:rsidRDefault="003D6A5B" w:rsidP="004A38A2">
      <w:pPr>
        <w:pStyle w:val="Reasons"/>
        <w:rPr>
          <w:lang w:eastAsia="zh-CN"/>
        </w:rPr>
      </w:pPr>
    </w:p>
    <w:p w:rsidR="004A38A2" w:rsidRPr="00151D81" w:rsidRDefault="004A38A2" w:rsidP="004A38A2">
      <w:pPr>
        <w:rPr>
          <w:lang w:eastAsia="zh-CN"/>
        </w:rPr>
      </w:pPr>
    </w:p>
    <w:sectPr w:rsidR="004A38A2" w:rsidRPr="00151D81"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01094C">
      <w:rPr>
        <w:noProof/>
        <w:lang w:val="en-US"/>
      </w:rPr>
      <w:t>P:\CHI\ITU-R\CONF-R\AR15\PLEN\000\038C.docx</w:t>
    </w:r>
    <w:r>
      <w:fldChar w:fldCharType="end"/>
    </w:r>
    <w:r w:rsidRPr="0038510B">
      <w:rPr>
        <w:lang w:val="en-US"/>
      </w:rPr>
      <w:tab/>
    </w:r>
    <w:r>
      <w:fldChar w:fldCharType="begin"/>
    </w:r>
    <w:r>
      <w:instrText xml:space="preserve"> SAVEDATE \@ DD.MM.YY </w:instrText>
    </w:r>
    <w:r>
      <w:fldChar w:fldCharType="separate"/>
    </w:r>
    <w:r w:rsidR="00167529">
      <w:rPr>
        <w:noProof/>
      </w:rPr>
      <w:t>31.10.15</w:t>
    </w:r>
    <w:r>
      <w:fldChar w:fldCharType="end"/>
    </w:r>
    <w:r w:rsidRPr="0038510B">
      <w:rPr>
        <w:lang w:val="en-US"/>
      </w:rPr>
      <w:tab/>
    </w:r>
    <w:r>
      <w:fldChar w:fldCharType="begin"/>
    </w:r>
    <w:r>
      <w:instrText xml:space="preserve"> PRINTDATE \@ DD.MM.YY </w:instrText>
    </w:r>
    <w:r>
      <w:fldChar w:fldCharType="separate"/>
    </w:r>
    <w:r w:rsidR="0001094C">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D6A5B" w:rsidRDefault="004A38A2" w:rsidP="003D6A5B">
    <w:pPr>
      <w:pStyle w:val="Footer"/>
    </w:pPr>
    <w:fldSimple w:instr=" FILENAME \p  \* MERGEFORMAT ">
      <w:r w:rsidR="0001094C">
        <w:t>P:\CHI\ITU-R\CONF-R\AR15\PLEN\000\038C.docx</w:t>
      </w:r>
    </w:fldSimple>
    <w:r w:rsidR="003D6A5B">
      <w:rPr>
        <w:rFonts w:hint="eastAsia"/>
        <w:lang w:eastAsia="zh-CN"/>
      </w:rPr>
      <w:t xml:space="preserve"> </w:t>
    </w:r>
    <w:r w:rsidR="003D6A5B">
      <w:t>(38</w:t>
    </w:r>
    <w:r w:rsidR="00151D81">
      <w:rPr>
        <w:lang w:eastAsia="zh-CN"/>
      </w:rPr>
      <w:t>9275</w:t>
    </w:r>
    <w:r w:rsidR="003D6A5B">
      <w:t>)</w:t>
    </w:r>
    <w:r w:rsidR="003D6A5B">
      <w:tab/>
    </w:r>
    <w:r w:rsidR="003D6A5B">
      <w:fldChar w:fldCharType="begin"/>
    </w:r>
    <w:r w:rsidR="003D6A5B">
      <w:instrText xml:space="preserve"> SAVEDATE \@ DD.MM.YY </w:instrText>
    </w:r>
    <w:r w:rsidR="003D6A5B">
      <w:fldChar w:fldCharType="separate"/>
    </w:r>
    <w:r w:rsidR="00167529">
      <w:t>31.10.15</w:t>
    </w:r>
    <w:r w:rsidR="003D6A5B">
      <w:fldChar w:fldCharType="end"/>
    </w:r>
    <w:r w:rsidR="003D6A5B">
      <w:tab/>
    </w:r>
    <w:r w:rsidR="003D6A5B">
      <w:fldChar w:fldCharType="begin"/>
    </w:r>
    <w:r w:rsidR="003D6A5B">
      <w:instrText xml:space="preserve"> PRINTDATE \@ DD.MM.YY </w:instrText>
    </w:r>
    <w:r w:rsidR="003D6A5B">
      <w:fldChar w:fldCharType="separate"/>
    </w:r>
    <w:r w:rsidR="0001094C">
      <w:t>26.10.15</w:t>
    </w:r>
    <w:r w:rsidR="003D6A5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167529" w:rsidRDefault="003322FF" w:rsidP="00167529">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29" w:rsidRDefault="00167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772475">
      <w:rPr>
        <w:noProof/>
        <w:lang w:val="en-US"/>
      </w:rPr>
      <w:t>2</w:t>
    </w:r>
    <w:r>
      <w:rPr>
        <w:lang w:val="en-US"/>
      </w:rPr>
      <w:fldChar w:fldCharType="end"/>
    </w:r>
  </w:p>
  <w:p w:rsidR="00586689" w:rsidRPr="009447A3" w:rsidRDefault="00151D81" w:rsidP="00D54683">
    <w:pPr>
      <w:pStyle w:val="Header"/>
      <w:rPr>
        <w:lang w:val="en-US"/>
      </w:rPr>
    </w:pPr>
    <w:r>
      <w:rPr>
        <w:lang w:val="en-US" w:eastAsia="zh-CN"/>
      </w:rPr>
      <w:t>RA15</w:t>
    </w:r>
    <w:r w:rsidR="00877D12">
      <w:rPr>
        <w:lang w:val="en-US"/>
      </w:rPr>
      <w:t>/</w:t>
    </w:r>
    <w:r>
      <w:rPr>
        <w:lang w:val="en-US"/>
      </w:rPr>
      <w:t>PLEN/38</w:t>
    </w:r>
    <w:r w:rsidR="00877D12">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29" w:rsidRDefault="00167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094C"/>
    <w:rsid w:val="000140FA"/>
    <w:rsid w:val="00020596"/>
    <w:rsid w:val="00023017"/>
    <w:rsid w:val="00035065"/>
    <w:rsid w:val="00072A12"/>
    <w:rsid w:val="00076CF5"/>
    <w:rsid w:val="00080287"/>
    <w:rsid w:val="000B26B6"/>
    <w:rsid w:val="000F5309"/>
    <w:rsid w:val="00144500"/>
    <w:rsid w:val="00151D81"/>
    <w:rsid w:val="00167529"/>
    <w:rsid w:val="001A41DD"/>
    <w:rsid w:val="001A50F9"/>
    <w:rsid w:val="001B225D"/>
    <w:rsid w:val="00213F8F"/>
    <w:rsid w:val="002C5F84"/>
    <w:rsid w:val="002E00B2"/>
    <w:rsid w:val="002E33C3"/>
    <w:rsid w:val="00301167"/>
    <w:rsid w:val="003176FB"/>
    <w:rsid w:val="003322FF"/>
    <w:rsid w:val="00377E74"/>
    <w:rsid w:val="0038510B"/>
    <w:rsid w:val="003B252C"/>
    <w:rsid w:val="003C1A9E"/>
    <w:rsid w:val="003D6A5B"/>
    <w:rsid w:val="004253F3"/>
    <w:rsid w:val="00427B94"/>
    <w:rsid w:val="00452823"/>
    <w:rsid w:val="00465410"/>
    <w:rsid w:val="00472745"/>
    <w:rsid w:val="004844C1"/>
    <w:rsid w:val="00491C71"/>
    <w:rsid w:val="004A38A2"/>
    <w:rsid w:val="004B75F6"/>
    <w:rsid w:val="005179BA"/>
    <w:rsid w:val="0052439D"/>
    <w:rsid w:val="00541AC7"/>
    <w:rsid w:val="00543141"/>
    <w:rsid w:val="00561D0C"/>
    <w:rsid w:val="00586689"/>
    <w:rsid w:val="005A72B7"/>
    <w:rsid w:val="005B61DD"/>
    <w:rsid w:val="005C5620"/>
    <w:rsid w:val="00637543"/>
    <w:rsid w:val="00645B0F"/>
    <w:rsid w:val="006462D9"/>
    <w:rsid w:val="006464A0"/>
    <w:rsid w:val="00651B92"/>
    <w:rsid w:val="00653D15"/>
    <w:rsid w:val="006755C4"/>
    <w:rsid w:val="0068175D"/>
    <w:rsid w:val="006B6517"/>
    <w:rsid w:val="0071246B"/>
    <w:rsid w:val="00731476"/>
    <w:rsid w:val="00756B1C"/>
    <w:rsid w:val="00772475"/>
    <w:rsid w:val="007816F0"/>
    <w:rsid w:val="00795D0A"/>
    <w:rsid w:val="007D2D12"/>
    <w:rsid w:val="00813030"/>
    <w:rsid w:val="008445BE"/>
    <w:rsid w:val="00845350"/>
    <w:rsid w:val="00877D12"/>
    <w:rsid w:val="008B1239"/>
    <w:rsid w:val="008C4C7E"/>
    <w:rsid w:val="008D12BE"/>
    <w:rsid w:val="008E3D02"/>
    <w:rsid w:val="0091298F"/>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610E9"/>
    <w:rsid w:val="00A64AE1"/>
    <w:rsid w:val="00AA3E3B"/>
    <w:rsid w:val="00AC4E0E"/>
    <w:rsid w:val="00AD3BBA"/>
    <w:rsid w:val="00B062D9"/>
    <w:rsid w:val="00B16DF9"/>
    <w:rsid w:val="00B508B5"/>
    <w:rsid w:val="00BD2389"/>
    <w:rsid w:val="00BD4152"/>
    <w:rsid w:val="00BD635D"/>
    <w:rsid w:val="00BE5003"/>
    <w:rsid w:val="00BF42F7"/>
    <w:rsid w:val="00C00A4E"/>
    <w:rsid w:val="00C15E28"/>
    <w:rsid w:val="00C37018"/>
    <w:rsid w:val="00C631FC"/>
    <w:rsid w:val="00CE2582"/>
    <w:rsid w:val="00CE67CA"/>
    <w:rsid w:val="00D0605D"/>
    <w:rsid w:val="00D16B4F"/>
    <w:rsid w:val="00D32842"/>
    <w:rsid w:val="00D4619C"/>
    <w:rsid w:val="00D471A9"/>
    <w:rsid w:val="00D53CA4"/>
    <w:rsid w:val="00D54683"/>
    <w:rsid w:val="00D7524C"/>
    <w:rsid w:val="00E02522"/>
    <w:rsid w:val="00E13604"/>
    <w:rsid w:val="00E649CA"/>
    <w:rsid w:val="00EB2D6E"/>
    <w:rsid w:val="00ED7297"/>
    <w:rsid w:val="00F0704D"/>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9D2B7B6-4E86-47BF-8ED1-20C22A67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B535-5999-4D91-A840-A3C2FD64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15</TotalTime>
  <Pages>1</Pages>
  <Words>442</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Santa Rita Fernandes, Augusto Cesar</cp:lastModifiedBy>
  <cp:revision>14</cp:revision>
  <cp:lastPrinted>2015-10-26T19:59:00Z</cp:lastPrinted>
  <dcterms:created xsi:type="dcterms:W3CDTF">2015-10-30T17:02:00Z</dcterms:created>
  <dcterms:modified xsi:type="dcterms:W3CDTF">2015-11-02T16:11:00Z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