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F26A50" w14:textId="77777777" w:rsidR="004C2370" w:rsidRPr="00FD62C4" w:rsidRDefault="004C2370" w:rsidP="004C2370">
      <w:bookmarkStart w:id="0" w:name="irecnoe"/>
      <w:bookmarkEnd w:id="0"/>
    </w:p>
    <w:p w14:paraId="4CE583FC" w14:textId="77777777" w:rsidR="004C2370" w:rsidRPr="00FD62C4" w:rsidRDefault="004C2370" w:rsidP="004C2370">
      <w:pPr>
        <w:tabs>
          <w:tab w:val="clear" w:pos="794"/>
          <w:tab w:val="clear" w:pos="1191"/>
          <w:tab w:val="clear" w:pos="1588"/>
          <w:tab w:val="clear" w:pos="1985"/>
        </w:tabs>
      </w:pPr>
    </w:p>
    <w:p w14:paraId="1C053D61" w14:textId="47AF497F" w:rsidR="004C2370" w:rsidRPr="00FD62C4" w:rsidRDefault="004C2370" w:rsidP="004C2370">
      <w:pPr>
        <w:pStyle w:val="CoverNumber"/>
        <w:rPr>
          <w:lang w:val="en-GB"/>
        </w:rPr>
      </w:pPr>
      <w:bookmarkStart w:id="1" w:name="_Toc235619758"/>
      <w:bookmarkStart w:id="2" w:name="_Toc235620199"/>
      <w:r w:rsidRPr="00FD62C4">
        <w:rPr>
          <w:lang w:val="en-GB"/>
        </w:rPr>
        <w:t>Report ITU-R SM.</w:t>
      </w:r>
      <w:r w:rsidR="00703FC2" w:rsidRPr="00FD62C4">
        <w:rPr>
          <w:lang w:val="en-GB"/>
        </w:rPr>
        <w:t>2570-0</w:t>
      </w:r>
      <w:bookmarkEnd w:id="1"/>
      <w:bookmarkEnd w:id="2"/>
    </w:p>
    <w:p w14:paraId="10107C1F" w14:textId="5EB28871" w:rsidR="004C2370" w:rsidRPr="00FD62C4" w:rsidRDefault="00F611A5" w:rsidP="004C2370">
      <w:pPr>
        <w:pStyle w:val="CoverDate"/>
        <w:rPr>
          <w:lang w:val="en-GB"/>
        </w:rPr>
      </w:pPr>
      <w:r w:rsidRPr="00FD62C4">
        <w:rPr>
          <w:lang w:val="en-GB"/>
        </w:rPr>
        <w:t>(06/2026)</w:t>
      </w:r>
    </w:p>
    <w:p w14:paraId="6376687B" w14:textId="77777777" w:rsidR="004C2370" w:rsidRPr="00FD62C4" w:rsidRDefault="004C2370" w:rsidP="004C2370">
      <w:pPr>
        <w:pStyle w:val="CoverSeries"/>
        <w:rPr>
          <w:lang w:val="en-GB"/>
        </w:rPr>
      </w:pPr>
      <w:r w:rsidRPr="00FD62C4">
        <w:rPr>
          <w:lang w:val="en-GB"/>
        </w:rPr>
        <w:t xml:space="preserve">SM Series: </w:t>
      </w:r>
      <w:r w:rsidRPr="00FD62C4">
        <w:rPr>
          <w:iCs/>
          <w:lang w:val="en-GB"/>
        </w:rPr>
        <w:t>Spectrum management</w:t>
      </w:r>
    </w:p>
    <w:p w14:paraId="509331DD" w14:textId="2C9E9BC3" w:rsidR="004C2370" w:rsidRPr="00FD62C4" w:rsidRDefault="00703FC2" w:rsidP="004C2370">
      <w:pPr>
        <w:pStyle w:val="CoverTitle"/>
        <w:rPr>
          <w:lang w:val="en-GB"/>
        </w:rPr>
      </w:pPr>
      <w:r w:rsidRPr="00FD62C4">
        <w:rPr>
          <w:lang w:val="en-GB"/>
        </w:rPr>
        <w:t>Methodologies for assessing or predicting spectrum availability countries</w:t>
      </w:r>
    </w:p>
    <w:p w14:paraId="39ECDCCD" w14:textId="77777777" w:rsidR="004C2370" w:rsidRPr="00FD62C4" w:rsidRDefault="004C2370" w:rsidP="004C2370"/>
    <w:p w14:paraId="4EDF856E" w14:textId="77777777" w:rsidR="004C2370" w:rsidRPr="00FD62C4" w:rsidRDefault="004C2370" w:rsidP="004C2370"/>
    <w:p w14:paraId="700EA872" w14:textId="77777777" w:rsidR="004C2370" w:rsidRPr="00FD62C4" w:rsidRDefault="004C2370" w:rsidP="004C2370">
      <w:pPr>
        <w:sectPr w:rsidR="004C2370" w:rsidRPr="00FD62C4" w:rsidSect="004C2370">
          <w:headerReference w:type="even" r:id="rId8"/>
          <w:headerReference w:type="default" r:id="rId9"/>
          <w:footerReference w:type="default" r:id="rId10"/>
          <w:pgSz w:w="11907" w:h="16840" w:code="9"/>
          <w:pgMar w:top="1089" w:right="1089" w:bottom="284" w:left="1089" w:header="737" w:footer="284" w:gutter="0"/>
          <w:pgNumType w:start="1"/>
          <w:cols w:space="720"/>
          <w:docGrid w:linePitch="326"/>
        </w:sectPr>
      </w:pPr>
    </w:p>
    <w:p w14:paraId="7D61154C" w14:textId="77777777" w:rsidR="004C2370" w:rsidRPr="00FD62C4" w:rsidRDefault="004C2370" w:rsidP="004C2370">
      <w:pPr>
        <w:pStyle w:val="Tablehead"/>
        <w:tabs>
          <w:tab w:val="clear" w:pos="284"/>
          <w:tab w:val="clear" w:pos="567"/>
          <w:tab w:val="clear" w:pos="851"/>
          <w:tab w:val="clear" w:pos="1134"/>
          <w:tab w:val="clear" w:pos="1418"/>
          <w:tab w:val="clear" w:pos="1701"/>
          <w:tab w:val="left" w:pos="794"/>
          <w:tab w:val="left" w:pos="1191"/>
          <w:tab w:val="left" w:pos="1588"/>
        </w:tabs>
        <w:spacing w:before="240" w:after="0"/>
        <w:rPr>
          <w:bCs/>
          <w:sz w:val="24"/>
          <w:szCs w:val="24"/>
        </w:rPr>
      </w:pPr>
      <w:bookmarkStart w:id="3" w:name="c2tope"/>
      <w:bookmarkEnd w:id="3"/>
      <w:r w:rsidRPr="00FD62C4">
        <w:rPr>
          <w:bCs/>
          <w:sz w:val="24"/>
          <w:szCs w:val="24"/>
        </w:rPr>
        <w:lastRenderedPageBreak/>
        <w:t>Foreword</w:t>
      </w:r>
    </w:p>
    <w:p w14:paraId="107AF66E" w14:textId="77777777" w:rsidR="004C2370" w:rsidRPr="00FD62C4" w:rsidRDefault="004C2370" w:rsidP="004C2370">
      <w:pPr>
        <w:spacing w:before="240"/>
        <w:rPr>
          <w:sz w:val="20"/>
        </w:rPr>
      </w:pPr>
      <w:r w:rsidRPr="00FD62C4">
        <w:rPr>
          <w:sz w:val="20"/>
        </w:rPr>
        <w:t>The role of the Radiocommunication Sector is to ensure the rational, equitable, efficient and economical use of the radio-frequency spectrum by all radiocommunication services, including satellite services, and carry out studies without limit of frequency range on the basis of which Recommendations are adopted.</w:t>
      </w:r>
    </w:p>
    <w:p w14:paraId="584C8A24" w14:textId="77777777" w:rsidR="004C2370" w:rsidRPr="00FD62C4" w:rsidRDefault="004C2370" w:rsidP="004C2370">
      <w:pPr>
        <w:rPr>
          <w:sz w:val="20"/>
        </w:rPr>
      </w:pPr>
      <w:r w:rsidRPr="00FD62C4">
        <w:rPr>
          <w:sz w:val="20"/>
        </w:rPr>
        <w:t>The regulatory and policy functions of the Radiocommunication Sector are performed by World and Regional Radiocommunication Conferences and Radiocommunication Assemblies supported by Study Groups.</w:t>
      </w:r>
    </w:p>
    <w:p w14:paraId="0B5C590E" w14:textId="77777777" w:rsidR="004C2370" w:rsidRPr="00FD62C4" w:rsidRDefault="004C2370" w:rsidP="004C2370">
      <w:pPr>
        <w:pStyle w:val="Heading1"/>
        <w:spacing w:before="400"/>
        <w:jc w:val="center"/>
        <w:rPr>
          <w:szCs w:val="24"/>
        </w:rPr>
      </w:pPr>
    </w:p>
    <w:p w14:paraId="70D1169F" w14:textId="77777777" w:rsidR="004C2370" w:rsidRPr="00FD62C4" w:rsidRDefault="004C2370" w:rsidP="004C2370">
      <w:pPr>
        <w:pStyle w:val="Heading1"/>
        <w:spacing w:before="540"/>
        <w:jc w:val="center"/>
        <w:rPr>
          <w:szCs w:val="24"/>
        </w:rPr>
      </w:pPr>
      <w:bookmarkStart w:id="4" w:name="_Toc235619759"/>
      <w:bookmarkStart w:id="5" w:name="_Toc235620200"/>
      <w:r w:rsidRPr="00FD62C4">
        <w:rPr>
          <w:szCs w:val="24"/>
        </w:rPr>
        <w:t>Policy on Intellectual Property Right (IPR)</w:t>
      </w:r>
      <w:bookmarkEnd w:id="4"/>
      <w:bookmarkEnd w:id="5"/>
    </w:p>
    <w:p w14:paraId="205DB5DE" w14:textId="0E7218E9" w:rsidR="004C2370" w:rsidRPr="00FD62C4" w:rsidRDefault="004C2370" w:rsidP="004C2370">
      <w:pPr>
        <w:tabs>
          <w:tab w:val="left" w:pos="720"/>
        </w:tabs>
        <w:spacing w:before="240"/>
        <w:rPr>
          <w:sz w:val="20"/>
        </w:rPr>
      </w:pPr>
      <w:r w:rsidRPr="00FD62C4">
        <w:rPr>
          <w:sz w:val="20"/>
        </w:rPr>
        <w:t>ITU-R policy on IPR is described in the Common Patent Policy for ITU-T/ITU-R/ISO/IEC referenced in Resolution ITU</w:t>
      </w:r>
      <w:r w:rsidRPr="00FD62C4">
        <w:rPr>
          <w:sz w:val="20"/>
        </w:rPr>
        <w:noBreakHyphen/>
        <w:t xml:space="preserve">R 1. Forms to be used for the submission of patent statements and licensing declarations by patent holders are available from </w:t>
      </w:r>
      <w:hyperlink r:id="rId11" w:history="1">
        <w:r w:rsidR="00F75409" w:rsidRPr="00FD62C4">
          <w:rPr>
            <w:rStyle w:val="Hyperlink"/>
            <w:sz w:val="20"/>
          </w:rPr>
          <w:t>https://www.itu.int/ITU-R/go/patents/en</w:t>
        </w:r>
      </w:hyperlink>
      <w:r w:rsidRPr="00FD62C4">
        <w:rPr>
          <w:sz w:val="20"/>
        </w:rPr>
        <w:t xml:space="preserve"> where the Guidelines for Implementation of the Common Patent Policy for ITU</w:t>
      </w:r>
      <w:r w:rsidRPr="00FD62C4">
        <w:rPr>
          <w:sz w:val="20"/>
        </w:rPr>
        <w:noBreakHyphen/>
        <w:t>T/ITU</w:t>
      </w:r>
      <w:r w:rsidRPr="00FD62C4">
        <w:rPr>
          <w:sz w:val="20"/>
        </w:rPr>
        <w:noBreakHyphen/>
        <w:t xml:space="preserve">R/ISO/IEC and the ITU-R patent information database can also be found. </w:t>
      </w:r>
    </w:p>
    <w:p w14:paraId="4616D2E6" w14:textId="77777777" w:rsidR="004C2370" w:rsidRPr="00FD62C4" w:rsidRDefault="004C2370" w:rsidP="004C2370">
      <w:pPr>
        <w:jc w:val="center"/>
        <w:rPr>
          <w:sz w:val="22"/>
        </w:rPr>
      </w:pPr>
    </w:p>
    <w:p w14:paraId="74A5A5CE" w14:textId="77777777" w:rsidR="004C2370" w:rsidRPr="00FD62C4" w:rsidRDefault="004C2370" w:rsidP="004C2370">
      <w:pPr>
        <w:jc w:val="center"/>
        <w:rPr>
          <w:sz w:val="22"/>
        </w:rPr>
      </w:pPr>
    </w:p>
    <w:p w14:paraId="11D6D164" w14:textId="77777777" w:rsidR="004C2370" w:rsidRPr="00FD62C4" w:rsidRDefault="004C2370" w:rsidP="004C2370">
      <w:pPr>
        <w:jc w:val="center"/>
        <w:rPr>
          <w:sz w:val="22"/>
        </w:rPr>
      </w:pPr>
    </w:p>
    <w:tbl>
      <w:tblPr>
        <w:tblW w:w="5000" w:type="pct"/>
        <w:tblBorders>
          <w:top w:val="single" w:sz="12" w:space="0" w:color="000080"/>
          <w:left w:val="single" w:sz="12" w:space="0" w:color="000080"/>
          <w:bottom w:val="single" w:sz="12" w:space="0" w:color="000080"/>
          <w:right w:val="single" w:sz="12" w:space="0" w:color="000080"/>
        </w:tblBorders>
        <w:tblLook w:val="0020" w:firstRow="1" w:lastRow="0" w:firstColumn="0" w:lastColumn="0" w:noHBand="0" w:noVBand="0"/>
      </w:tblPr>
      <w:tblGrid>
        <w:gridCol w:w="1170"/>
        <w:gridCol w:w="8439"/>
      </w:tblGrid>
      <w:tr w:rsidR="004C2370" w:rsidRPr="00FD62C4" w14:paraId="1BC92957" w14:textId="77777777" w:rsidTr="008C18E6">
        <w:tc>
          <w:tcPr>
            <w:tcW w:w="9360" w:type="dxa"/>
            <w:gridSpan w:val="2"/>
            <w:tcBorders>
              <w:top w:val="single" w:sz="12" w:space="0" w:color="000080"/>
              <w:left w:val="single" w:sz="12" w:space="0" w:color="000080"/>
              <w:bottom w:val="nil"/>
              <w:right w:val="single" w:sz="12" w:space="0" w:color="000080"/>
            </w:tcBorders>
          </w:tcPr>
          <w:p w14:paraId="792B9F0C" w14:textId="77777777" w:rsidR="004C2370" w:rsidRPr="00FD62C4" w:rsidRDefault="004C2370" w:rsidP="008C18E6">
            <w:pPr>
              <w:pStyle w:val="ChapNo"/>
              <w:spacing w:before="240"/>
              <w:rPr>
                <w:sz w:val="22"/>
                <w:szCs w:val="22"/>
              </w:rPr>
            </w:pPr>
            <w:r w:rsidRPr="00FD62C4">
              <w:rPr>
                <w:sz w:val="22"/>
                <w:szCs w:val="22"/>
              </w:rPr>
              <w:t xml:space="preserve">Series of ITU-R Reports </w:t>
            </w:r>
          </w:p>
          <w:p w14:paraId="198198A1" w14:textId="77777777" w:rsidR="004C2370" w:rsidRPr="00FD62C4" w:rsidRDefault="004C2370" w:rsidP="008C18E6">
            <w:pPr>
              <w:pStyle w:val="Tablehead"/>
              <w:tabs>
                <w:tab w:val="clear" w:pos="284"/>
                <w:tab w:val="clear" w:pos="567"/>
                <w:tab w:val="clear" w:pos="851"/>
                <w:tab w:val="clear" w:pos="1134"/>
                <w:tab w:val="clear" w:pos="1418"/>
                <w:tab w:val="clear" w:pos="1701"/>
                <w:tab w:val="left" w:pos="794"/>
                <w:tab w:val="left" w:pos="1191"/>
                <w:tab w:val="left" w:pos="1588"/>
              </w:tabs>
              <w:spacing w:before="120" w:after="60"/>
              <w:rPr>
                <w:bCs/>
                <w:sz w:val="18"/>
                <w:szCs w:val="18"/>
              </w:rPr>
            </w:pPr>
            <w:r w:rsidRPr="00FD62C4">
              <w:rPr>
                <w:b w:val="0"/>
                <w:sz w:val="18"/>
                <w:szCs w:val="18"/>
              </w:rPr>
              <w:t xml:space="preserve">(Also available online at </w:t>
            </w:r>
            <w:hyperlink r:id="rId12" w:history="1">
              <w:r w:rsidRPr="00FD62C4">
                <w:rPr>
                  <w:rStyle w:val="Hyperlink"/>
                  <w:b w:val="0"/>
                  <w:bCs/>
                  <w:sz w:val="18"/>
                  <w:szCs w:val="18"/>
                </w:rPr>
                <w:t>https://www.itu.int/publ/R-REP/en</w:t>
              </w:r>
            </w:hyperlink>
            <w:r w:rsidRPr="00FD62C4">
              <w:rPr>
                <w:b w:val="0"/>
                <w:sz w:val="18"/>
                <w:szCs w:val="18"/>
              </w:rPr>
              <w:t>)</w:t>
            </w:r>
          </w:p>
        </w:tc>
      </w:tr>
      <w:tr w:rsidR="004C2370" w:rsidRPr="00FD62C4" w14:paraId="6FE33EE8" w14:textId="77777777" w:rsidTr="008C18E6">
        <w:tc>
          <w:tcPr>
            <w:tcW w:w="1140" w:type="dxa"/>
            <w:tcBorders>
              <w:top w:val="nil"/>
              <w:left w:val="single" w:sz="12" w:space="0" w:color="000080"/>
              <w:bottom w:val="nil"/>
              <w:right w:val="nil"/>
            </w:tcBorders>
            <w:vAlign w:val="bottom"/>
          </w:tcPr>
          <w:p w14:paraId="0F43A1B6" w14:textId="77777777" w:rsidR="004C2370" w:rsidRPr="00FD62C4" w:rsidRDefault="004C2370" w:rsidP="008C18E6">
            <w:pPr>
              <w:spacing w:before="200" w:after="100"/>
              <w:ind w:left="57"/>
              <w:jc w:val="left"/>
              <w:rPr>
                <w:b/>
                <w:bCs/>
                <w:sz w:val="20"/>
              </w:rPr>
            </w:pPr>
            <w:r w:rsidRPr="00FD62C4">
              <w:rPr>
                <w:b/>
                <w:bCs/>
                <w:sz w:val="20"/>
              </w:rPr>
              <w:t>Series</w:t>
            </w:r>
          </w:p>
        </w:tc>
        <w:tc>
          <w:tcPr>
            <w:tcW w:w="8220" w:type="dxa"/>
            <w:tcBorders>
              <w:top w:val="nil"/>
              <w:left w:val="nil"/>
              <w:bottom w:val="nil"/>
              <w:right w:val="single" w:sz="12" w:space="0" w:color="000080"/>
            </w:tcBorders>
            <w:vAlign w:val="bottom"/>
          </w:tcPr>
          <w:p w14:paraId="309F71F3" w14:textId="77777777" w:rsidR="004C2370" w:rsidRPr="00FD62C4" w:rsidRDefault="004C2370" w:rsidP="008C18E6">
            <w:pPr>
              <w:pStyle w:val="Tablehead"/>
              <w:tabs>
                <w:tab w:val="clear" w:pos="284"/>
                <w:tab w:val="clear" w:pos="567"/>
                <w:tab w:val="clear" w:pos="851"/>
                <w:tab w:val="clear" w:pos="1134"/>
                <w:tab w:val="clear" w:pos="1418"/>
                <w:tab w:val="clear" w:pos="1701"/>
                <w:tab w:val="left" w:pos="794"/>
                <w:tab w:val="left" w:pos="1191"/>
                <w:tab w:val="left" w:pos="1588"/>
              </w:tabs>
              <w:spacing w:before="140" w:after="100"/>
              <w:rPr>
                <w:bCs/>
                <w:sz w:val="20"/>
              </w:rPr>
            </w:pPr>
            <w:r w:rsidRPr="00FD62C4">
              <w:rPr>
                <w:bCs/>
                <w:sz w:val="20"/>
              </w:rPr>
              <w:t>Title</w:t>
            </w:r>
          </w:p>
        </w:tc>
      </w:tr>
      <w:tr w:rsidR="004C2370" w:rsidRPr="00FD62C4" w14:paraId="3F49FFDC" w14:textId="77777777" w:rsidTr="008C18E6">
        <w:tc>
          <w:tcPr>
            <w:tcW w:w="1140" w:type="dxa"/>
            <w:tcBorders>
              <w:top w:val="nil"/>
              <w:left w:val="single" w:sz="12" w:space="0" w:color="000080"/>
              <w:bottom w:val="nil"/>
              <w:right w:val="nil"/>
            </w:tcBorders>
            <w:shd w:val="clear" w:color="auto" w:fill="FFFFFF" w:themeFill="background1"/>
          </w:tcPr>
          <w:p w14:paraId="7BF13CFE" w14:textId="77777777" w:rsidR="004C2370" w:rsidRPr="00FD62C4" w:rsidRDefault="004C2370" w:rsidP="008C18E6">
            <w:pPr>
              <w:spacing w:before="30" w:after="30"/>
              <w:ind w:left="57"/>
              <w:jc w:val="left"/>
              <w:rPr>
                <w:rFonts w:ascii="Times New Roman Bold" w:hAnsi="Times New Roman Bold" w:cs="Times New Roman Bold"/>
                <w:b/>
                <w:bCs/>
                <w:sz w:val="20"/>
              </w:rPr>
            </w:pPr>
            <w:r w:rsidRPr="00FD62C4">
              <w:rPr>
                <w:rFonts w:ascii="Times New Roman Bold" w:hAnsi="Times New Roman Bold" w:cs="Times New Roman Bold"/>
                <w:b/>
                <w:bCs/>
                <w:sz w:val="20"/>
              </w:rPr>
              <w:t>BO</w:t>
            </w:r>
          </w:p>
        </w:tc>
        <w:tc>
          <w:tcPr>
            <w:tcW w:w="8220" w:type="dxa"/>
            <w:tcBorders>
              <w:top w:val="nil"/>
              <w:left w:val="nil"/>
              <w:bottom w:val="nil"/>
              <w:right w:val="single" w:sz="12" w:space="0" w:color="000080"/>
            </w:tcBorders>
            <w:shd w:val="clear" w:color="auto" w:fill="FFFFFF" w:themeFill="background1"/>
          </w:tcPr>
          <w:p w14:paraId="70BDE012" w14:textId="77777777" w:rsidR="004C2370" w:rsidRPr="00FD62C4" w:rsidRDefault="004C2370" w:rsidP="008C18E6">
            <w:pPr>
              <w:pStyle w:val="Tablehead"/>
              <w:tabs>
                <w:tab w:val="clear" w:pos="284"/>
                <w:tab w:val="clear" w:pos="567"/>
                <w:tab w:val="clear" w:pos="851"/>
                <w:tab w:val="clear" w:pos="1134"/>
                <w:tab w:val="clear" w:pos="1418"/>
                <w:tab w:val="clear" w:pos="1701"/>
                <w:tab w:val="left" w:pos="794"/>
                <w:tab w:val="left" w:pos="1191"/>
                <w:tab w:val="left" w:pos="1588"/>
              </w:tabs>
              <w:spacing w:before="30" w:after="30"/>
              <w:jc w:val="left"/>
              <w:rPr>
                <w:b w:val="0"/>
                <w:sz w:val="20"/>
              </w:rPr>
            </w:pPr>
            <w:r w:rsidRPr="00FD62C4">
              <w:rPr>
                <w:b w:val="0"/>
                <w:sz w:val="20"/>
              </w:rPr>
              <w:t>Satellite delivery</w:t>
            </w:r>
          </w:p>
        </w:tc>
      </w:tr>
      <w:tr w:rsidR="004C2370" w:rsidRPr="00FD62C4" w14:paraId="7B05801A" w14:textId="77777777" w:rsidTr="008C18E6">
        <w:tc>
          <w:tcPr>
            <w:tcW w:w="1140" w:type="dxa"/>
            <w:tcBorders>
              <w:top w:val="nil"/>
              <w:left w:val="single" w:sz="12" w:space="0" w:color="000080"/>
              <w:bottom w:val="nil"/>
              <w:right w:val="nil"/>
            </w:tcBorders>
            <w:shd w:val="clear" w:color="auto" w:fill="FFFFFF" w:themeFill="background1"/>
          </w:tcPr>
          <w:p w14:paraId="14E9755D" w14:textId="77777777" w:rsidR="004C2370" w:rsidRPr="00FD62C4" w:rsidRDefault="004C2370" w:rsidP="008C18E6">
            <w:pPr>
              <w:spacing w:before="30" w:after="30"/>
              <w:ind w:left="57"/>
              <w:jc w:val="left"/>
              <w:rPr>
                <w:b/>
                <w:bCs/>
                <w:color w:val="000080"/>
                <w:sz w:val="20"/>
              </w:rPr>
            </w:pPr>
            <w:r w:rsidRPr="00FD62C4">
              <w:rPr>
                <w:rFonts w:ascii="Times New Roman Bold" w:hAnsi="Times New Roman Bold" w:cs="Times New Roman Bold"/>
                <w:b/>
                <w:bCs/>
                <w:sz w:val="20"/>
              </w:rPr>
              <w:t>BR</w:t>
            </w:r>
          </w:p>
        </w:tc>
        <w:tc>
          <w:tcPr>
            <w:tcW w:w="8220" w:type="dxa"/>
            <w:tcBorders>
              <w:top w:val="nil"/>
              <w:left w:val="nil"/>
              <w:bottom w:val="nil"/>
              <w:right w:val="single" w:sz="12" w:space="0" w:color="000080"/>
            </w:tcBorders>
            <w:shd w:val="clear" w:color="auto" w:fill="FFFFFF" w:themeFill="background1"/>
          </w:tcPr>
          <w:p w14:paraId="5B482D7A" w14:textId="77777777" w:rsidR="004C2370" w:rsidRPr="00FD62C4" w:rsidRDefault="004C2370" w:rsidP="008C18E6">
            <w:pPr>
              <w:pStyle w:val="Tablehead"/>
              <w:tabs>
                <w:tab w:val="clear" w:pos="284"/>
                <w:tab w:val="clear" w:pos="567"/>
                <w:tab w:val="clear" w:pos="851"/>
                <w:tab w:val="clear" w:pos="1134"/>
                <w:tab w:val="clear" w:pos="1418"/>
                <w:tab w:val="clear" w:pos="1701"/>
                <w:tab w:val="left" w:pos="794"/>
                <w:tab w:val="left" w:pos="1191"/>
                <w:tab w:val="left" w:pos="1588"/>
              </w:tabs>
              <w:spacing w:before="30" w:after="30"/>
              <w:jc w:val="left"/>
              <w:rPr>
                <w:b w:val="0"/>
                <w:bCs/>
                <w:color w:val="000080"/>
                <w:sz w:val="20"/>
              </w:rPr>
            </w:pPr>
            <w:r w:rsidRPr="00FD62C4">
              <w:rPr>
                <w:b w:val="0"/>
                <w:sz w:val="20"/>
              </w:rPr>
              <w:t>Recording for production, archival and play-out; film for television</w:t>
            </w:r>
          </w:p>
        </w:tc>
      </w:tr>
      <w:tr w:rsidR="004C2370" w:rsidRPr="00FD62C4" w14:paraId="4DF858C8" w14:textId="77777777" w:rsidTr="008C18E6">
        <w:tc>
          <w:tcPr>
            <w:tcW w:w="1140" w:type="dxa"/>
            <w:tcBorders>
              <w:top w:val="nil"/>
              <w:left w:val="single" w:sz="12" w:space="0" w:color="000080"/>
              <w:bottom w:val="nil"/>
              <w:right w:val="nil"/>
            </w:tcBorders>
            <w:shd w:val="clear" w:color="auto" w:fill="FFFFFF" w:themeFill="background1"/>
          </w:tcPr>
          <w:p w14:paraId="1D105D09" w14:textId="77777777" w:rsidR="004C2370" w:rsidRPr="00FD62C4" w:rsidRDefault="004C2370" w:rsidP="008C18E6">
            <w:pPr>
              <w:spacing w:before="30" w:after="30"/>
              <w:ind w:left="57"/>
              <w:jc w:val="left"/>
              <w:rPr>
                <w:rFonts w:ascii="Times New Roman Bold" w:hAnsi="Times New Roman Bold" w:cs="Times New Roman Bold"/>
                <w:b/>
                <w:bCs/>
                <w:sz w:val="20"/>
              </w:rPr>
            </w:pPr>
            <w:r w:rsidRPr="00FD62C4">
              <w:rPr>
                <w:rFonts w:ascii="Times New Roman Bold" w:hAnsi="Times New Roman Bold" w:cs="Times New Roman Bold"/>
                <w:b/>
                <w:bCs/>
                <w:sz w:val="20"/>
              </w:rPr>
              <w:t>BS</w:t>
            </w:r>
          </w:p>
        </w:tc>
        <w:tc>
          <w:tcPr>
            <w:tcW w:w="8220" w:type="dxa"/>
            <w:tcBorders>
              <w:top w:val="nil"/>
              <w:left w:val="nil"/>
              <w:bottom w:val="nil"/>
              <w:right w:val="single" w:sz="12" w:space="0" w:color="000080"/>
            </w:tcBorders>
            <w:shd w:val="clear" w:color="auto" w:fill="FFFFFF" w:themeFill="background1"/>
          </w:tcPr>
          <w:p w14:paraId="17CDD1DA" w14:textId="77777777" w:rsidR="004C2370" w:rsidRPr="00FD62C4" w:rsidRDefault="004C2370" w:rsidP="008C18E6">
            <w:pPr>
              <w:pStyle w:val="Tabletext"/>
              <w:tabs>
                <w:tab w:val="clear" w:pos="284"/>
                <w:tab w:val="clear" w:pos="567"/>
                <w:tab w:val="clear" w:pos="851"/>
                <w:tab w:val="clear" w:pos="1134"/>
                <w:tab w:val="clear" w:pos="1418"/>
                <w:tab w:val="clear" w:pos="1701"/>
                <w:tab w:val="left" w:pos="794"/>
                <w:tab w:val="left" w:pos="1191"/>
                <w:tab w:val="left" w:pos="1588"/>
              </w:tabs>
              <w:spacing w:before="30" w:after="30"/>
              <w:rPr>
                <w:b/>
                <w:bCs/>
                <w:color w:val="000080"/>
                <w:sz w:val="20"/>
              </w:rPr>
            </w:pPr>
            <w:r w:rsidRPr="00FD62C4">
              <w:rPr>
                <w:sz w:val="20"/>
              </w:rPr>
              <w:t>Broadcasting service (sound)</w:t>
            </w:r>
          </w:p>
        </w:tc>
      </w:tr>
      <w:tr w:rsidR="004C2370" w:rsidRPr="00FD62C4" w14:paraId="0713E973" w14:textId="77777777" w:rsidTr="008C18E6">
        <w:tc>
          <w:tcPr>
            <w:tcW w:w="1140" w:type="dxa"/>
            <w:tcBorders>
              <w:top w:val="nil"/>
              <w:left w:val="single" w:sz="12" w:space="0" w:color="000080"/>
              <w:bottom w:val="nil"/>
              <w:right w:val="nil"/>
            </w:tcBorders>
            <w:shd w:val="clear" w:color="auto" w:fill="FFFFFF" w:themeFill="background1"/>
          </w:tcPr>
          <w:p w14:paraId="4B72E086" w14:textId="77777777" w:rsidR="004C2370" w:rsidRPr="00FD62C4" w:rsidRDefault="004C2370" w:rsidP="008C18E6">
            <w:pPr>
              <w:spacing w:before="30" w:after="30"/>
              <w:ind w:left="57"/>
              <w:jc w:val="left"/>
              <w:rPr>
                <w:sz w:val="20"/>
              </w:rPr>
            </w:pPr>
            <w:r w:rsidRPr="00FD62C4">
              <w:rPr>
                <w:rFonts w:ascii="Times New Roman Bold" w:hAnsi="Times New Roman Bold" w:cs="Times New Roman Bold"/>
                <w:b/>
                <w:bCs/>
                <w:sz w:val="20"/>
              </w:rPr>
              <w:t>BT</w:t>
            </w:r>
          </w:p>
        </w:tc>
        <w:tc>
          <w:tcPr>
            <w:tcW w:w="8220" w:type="dxa"/>
            <w:tcBorders>
              <w:top w:val="nil"/>
              <w:left w:val="nil"/>
              <w:bottom w:val="nil"/>
              <w:right w:val="single" w:sz="12" w:space="0" w:color="000080"/>
            </w:tcBorders>
            <w:shd w:val="clear" w:color="auto" w:fill="FFFFFF" w:themeFill="background1"/>
          </w:tcPr>
          <w:p w14:paraId="111C55CA" w14:textId="77777777" w:rsidR="004C2370" w:rsidRPr="00FD62C4" w:rsidRDefault="004C2370" w:rsidP="008C18E6">
            <w:pPr>
              <w:pStyle w:val="Tabletext"/>
              <w:tabs>
                <w:tab w:val="clear" w:pos="284"/>
                <w:tab w:val="clear" w:pos="567"/>
                <w:tab w:val="clear" w:pos="851"/>
                <w:tab w:val="clear" w:pos="1134"/>
                <w:tab w:val="clear" w:pos="1418"/>
                <w:tab w:val="clear" w:pos="1701"/>
                <w:tab w:val="left" w:pos="794"/>
                <w:tab w:val="left" w:pos="1191"/>
                <w:tab w:val="left" w:pos="1588"/>
              </w:tabs>
              <w:spacing w:before="30" w:after="30"/>
              <w:rPr>
                <w:sz w:val="20"/>
              </w:rPr>
            </w:pPr>
            <w:r w:rsidRPr="00FD62C4">
              <w:rPr>
                <w:sz w:val="20"/>
              </w:rPr>
              <w:t>Broadcasting service (television)</w:t>
            </w:r>
          </w:p>
        </w:tc>
      </w:tr>
      <w:tr w:rsidR="004C2370" w:rsidRPr="00FD62C4" w14:paraId="0A198713" w14:textId="77777777" w:rsidTr="008C18E6">
        <w:tc>
          <w:tcPr>
            <w:tcW w:w="1140" w:type="dxa"/>
            <w:tcBorders>
              <w:top w:val="nil"/>
              <w:left w:val="single" w:sz="12" w:space="0" w:color="000080"/>
              <w:bottom w:val="nil"/>
              <w:right w:val="nil"/>
            </w:tcBorders>
            <w:shd w:val="clear" w:color="auto" w:fill="FFFFFF" w:themeFill="background1"/>
          </w:tcPr>
          <w:p w14:paraId="21EF83B2" w14:textId="77777777" w:rsidR="004C2370" w:rsidRPr="00FD62C4" w:rsidRDefault="004C2370" w:rsidP="008C18E6">
            <w:pPr>
              <w:spacing w:before="30" w:after="30"/>
              <w:ind w:left="57"/>
              <w:jc w:val="left"/>
              <w:rPr>
                <w:b/>
                <w:bCs/>
                <w:sz w:val="20"/>
              </w:rPr>
            </w:pPr>
            <w:r w:rsidRPr="00FD62C4">
              <w:rPr>
                <w:b/>
                <w:bCs/>
                <w:sz w:val="20"/>
              </w:rPr>
              <w:t>F</w:t>
            </w:r>
          </w:p>
        </w:tc>
        <w:tc>
          <w:tcPr>
            <w:tcW w:w="8220" w:type="dxa"/>
            <w:tcBorders>
              <w:top w:val="nil"/>
              <w:left w:val="nil"/>
              <w:bottom w:val="nil"/>
              <w:right w:val="single" w:sz="12" w:space="0" w:color="000080"/>
            </w:tcBorders>
            <w:shd w:val="clear" w:color="auto" w:fill="FFFFFF" w:themeFill="background1"/>
          </w:tcPr>
          <w:p w14:paraId="7C9C0FDD" w14:textId="77777777" w:rsidR="004C2370" w:rsidRPr="00FD62C4" w:rsidRDefault="004C2370" w:rsidP="008C18E6">
            <w:pPr>
              <w:pStyle w:val="Tabletext"/>
              <w:tabs>
                <w:tab w:val="clear" w:pos="284"/>
                <w:tab w:val="clear" w:pos="567"/>
                <w:tab w:val="clear" w:pos="851"/>
                <w:tab w:val="clear" w:pos="1134"/>
                <w:tab w:val="clear" w:pos="1418"/>
                <w:tab w:val="clear" w:pos="1701"/>
                <w:tab w:val="left" w:pos="794"/>
                <w:tab w:val="left" w:pos="1191"/>
                <w:tab w:val="left" w:pos="1588"/>
              </w:tabs>
              <w:spacing w:before="30" w:after="30"/>
              <w:rPr>
                <w:sz w:val="20"/>
              </w:rPr>
            </w:pPr>
            <w:r w:rsidRPr="00FD62C4">
              <w:rPr>
                <w:sz w:val="20"/>
              </w:rPr>
              <w:t>Fixed service</w:t>
            </w:r>
          </w:p>
        </w:tc>
      </w:tr>
      <w:tr w:rsidR="004C2370" w:rsidRPr="00FD62C4" w14:paraId="7DEE2EDB" w14:textId="77777777" w:rsidTr="008C18E6">
        <w:tc>
          <w:tcPr>
            <w:tcW w:w="1140" w:type="dxa"/>
            <w:tcBorders>
              <w:top w:val="nil"/>
              <w:left w:val="single" w:sz="12" w:space="0" w:color="000080"/>
              <w:bottom w:val="nil"/>
              <w:right w:val="nil"/>
            </w:tcBorders>
            <w:shd w:val="clear" w:color="auto" w:fill="FFFFFF" w:themeFill="background1"/>
          </w:tcPr>
          <w:p w14:paraId="105FAC10" w14:textId="77777777" w:rsidR="004C2370" w:rsidRPr="00FD62C4" w:rsidRDefault="004C2370" w:rsidP="008C18E6">
            <w:pPr>
              <w:spacing w:before="30" w:after="30"/>
              <w:ind w:left="57"/>
              <w:jc w:val="left"/>
              <w:rPr>
                <w:b/>
                <w:bCs/>
                <w:sz w:val="20"/>
              </w:rPr>
            </w:pPr>
            <w:r w:rsidRPr="00FD62C4">
              <w:rPr>
                <w:b/>
                <w:bCs/>
                <w:sz w:val="20"/>
              </w:rPr>
              <w:t>M</w:t>
            </w:r>
          </w:p>
        </w:tc>
        <w:tc>
          <w:tcPr>
            <w:tcW w:w="8220" w:type="dxa"/>
            <w:tcBorders>
              <w:top w:val="nil"/>
              <w:left w:val="nil"/>
              <w:bottom w:val="nil"/>
              <w:right w:val="single" w:sz="12" w:space="0" w:color="000080"/>
            </w:tcBorders>
            <w:shd w:val="clear" w:color="auto" w:fill="FFFFFF" w:themeFill="background1"/>
          </w:tcPr>
          <w:p w14:paraId="41589237" w14:textId="77777777" w:rsidR="004C2370" w:rsidRPr="00FD62C4" w:rsidRDefault="004C2370" w:rsidP="008C18E6">
            <w:pPr>
              <w:pStyle w:val="Tabletext"/>
              <w:tabs>
                <w:tab w:val="clear" w:pos="284"/>
                <w:tab w:val="clear" w:pos="567"/>
                <w:tab w:val="clear" w:pos="851"/>
                <w:tab w:val="clear" w:pos="1134"/>
                <w:tab w:val="clear" w:pos="1418"/>
                <w:tab w:val="clear" w:pos="1701"/>
                <w:tab w:val="left" w:pos="794"/>
                <w:tab w:val="left" w:pos="1191"/>
                <w:tab w:val="left" w:pos="1588"/>
              </w:tabs>
              <w:spacing w:before="30" w:after="30"/>
              <w:rPr>
                <w:b/>
                <w:sz w:val="20"/>
              </w:rPr>
            </w:pPr>
            <w:r w:rsidRPr="00FD62C4">
              <w:rPr>
                <w:sz w:val="20"/>
              </w:rPr>
              <w:t>Mobile, radiodetermination, amateur and related satellite services</w:t>
            </w:r>
          </w:p>
        </w:tc>
      </w:tr>
      <w:tr w:rsidR="004C2370" w:rsidRPr="00FD62C4" w14:paraId="4C3477FC" w14:textId="77777777" w:rsidTr="008C18E6">
        <w:tc>
          <w:tcPr>
            <w:tcW w:w="1140" w:type="dxa"/>
            <w:tcBorders>
              <w:top w:val="nil"/>
              <w:left w:val="single" w:sz="12" w:space="0" w:color="000080"/>
              <w:bottom w:val="nil"/>
              <w:right w:val="nil"/>
            </w:tcBorders>
            <w:shd w:val="clear" w:color="auto" w:fill="FFFFFF" w:themeFill="background1"/>
          </w:tcPr>
          <w:p w14:paraId="35887076" w14:textId="77777777" w:rsidR="004C2370" w:rsidRPr="00FD62C4" w:rsidRDefault="004C2370" w:rsidP="008C18E6">
            <w:pPr>
              <w:spacing w:before="30" w:after="30"/>
              <w:ind w:left="57"/>
              <w:jc w:val="left"/>
              <w:rPr>
                <w:rFonts w:ascii="Times New Roman Bold" w:hAnsi="Times New Roman Bold" w:cs="Times New Roman Bold"/>
                <w:b/>
                <w:bCs/>
                <w:sz w:val="20"/>
              </w:rPr>
            </w:pPr>
            <w:r w:rsidRPr="00FD62C4">
              <w:rPr>
                <w:rFonts w:ascii="Times New Roman Bold" w:hAnsi="Times New Roman Bold" w:cs="Times New Roman Bold"/>
                <w:b/>
                <w:bCs/>
                <w:sz w:val="20"/>
              </w:rPr>
              <w:t>P</w:t>
            </w:r>
          </w:p>
        </w:tc>
        <w:tc>
          <w:tcPr>
            <w:tcW w:w="8220" w:type="dxa"/>
            <w:tcBorders>
              <w:top w:val="nil"/>
              <w:left w:val="nil"/>
              <w:bottom w:val="nil"/>
              <w:right w:val="single" w:sz="12" w:space="0" w:color="000080"/>
            </w:tcBorders>
            <w:shd w:val="clear" w:color="auto" w:fill="FFFFFF" w:themeFill="background1"/>
          </w:tcPr>
          <w:p w14:paraId="4E4F1DBB" w14:textId="74A9C69B" w:rsidR="004C2370" w:rsidRPr="00FD62C4" w:rsidRDefault="004C2370" w:rsidP="008C18E6">
            <w:pPr>
              <w:spacing w:before="30" w:after="30"/>
              <w:jc w:val="left"/>
              <w:rPr>
                <w:sz w:val="20"/>
              </w:rPr>
            </w:pPr>
            <w:r w:rsidRPr="00FD62C4">
              <w:rPr>
                <w:sz w:val="20"/>
              </w:rPr>
              <w:t>Radio</w:t>
            </w:r>
            <w:r w:rsidR="00BF571B">
              <w:rPr>
                <w:sz w:val="20"/>
              </w:rPr>
              <w:t>-</w:t>
            </w:r>
            <w:r w:rsidRPr="00FD62C4">
              <w:rPr>
                <w:sz w:val="20"/>
              </w:rPr>
              <w:t>wave propagation</w:t>
            </w:r>
          </w:p>
        </w:tc>
      </w:tr>
      <w:tr w:rsidR="004C2370" w:rsidRPr="00FD62C4" w14:paraId="05C390A2" w14:textId="77777777" w:rsidTr="008C18E6">
        <w:tc>
          <w:tcPr>
            <w:tcW w:w="1140" w:type="dxa"/>
            <w:tcBorders>
              <w:top w:val="nil"/>
              <w:left w:val="single" w:sz="12" w:space="0" w:color="000080"/>
              <w:bottom w:val="nil"/>
              <w:right w:val="nil"/>
            </w:tcBorders>
            <w:shd w:val="clear" w:color="auto" w:fill="FFFFFF" w:themeFill="background1"/>
          </w:tcPr>
          <w:p w14:paraId="13EBCB5A" w14:textId="77777777" w:rsidR="004C2370" w:rsidRPr="00FD62C4" w:rsidRDefault="004C2370" w:rsidP="008C18E6">
            <w:pPr>
              <w:spacing w:before="30" w:after="30"/>
              <w:ind w:left="57"/>
              <w:jc w:val="left"/>
              <w:rPr>
                <w:rFonts w:ascii="Times New Roman Bold" w:hAnsi="Times New Roman Bold" w:cs="Times New Roman Bold"/>
                <w:b/>
                <w:bCs/>
                <w:sz w:val="20"/>
              </w:rPr>
            </w:pPr>
            <w:r w:rsidRPr="00FD62C4">
              <w:rPr>
                <w:rFonts w:ascii="Times New Roman Bold" w:hAnsi="Times New Roman Bold" w:cs="Times New Roman Bold"/>
                <w:b/>
                <w:bCs/>
                <w:sz w:val="20"/>
              </w:rPr>
              <w:t>RA</w:t>
            </w:r>
          </w:p>
        </w:tc>
        <w:tc>
          <w:tcPr>
            <w:tcW w:w="8220" w:type="dxa"/>
            <w:tcBorders>
              <w:top w:val="nil"/>
              <w:left w:val="nil"/>
              <w:bottom w:val="nil"/>
              <w:right w:val="single" w:sz="12" w:space="0" w:color="000080"/>
            </w:tcBorders>
            <w:shd w:val="clear" w:color="auto" w:fill="FFFFFF" w:themeFill="background1"/>
          </w:tcPr>
          <w:p w14:paraId="57E4F623" w14:textId="77777777" w:rsidR="004C2370" w:rsidRPr="00FD62C4" w:rsidRDefault="004C2370" w:rsidP="008C18E6">
            <w:pPr>
              <w:pStyle w:val="Tabletext"/>
              <w:tabs>
                <w:tab w:val="clear" w:pos="284"/>
                <w:tab w:val="clear" w:pos="567"/>
                <w:tab w:val="clear" w:pos="851"/>
                <w:tab w:val="clear" w:pos="1134"/>
                <w:tab w:val="clear" w:pos="1418"/>
                <w:tab w:val="clear" w:pos="1701"/>
                <w:tab w:val="left" w:pos="794"/>
                <w:tab w:val="left" w:pos="1191"/>
                <w:tab w:val="left" w:pos="1588"/>
              </w:tabs>
              <w:spacing w:before="30" w:after="30"/>
              <w:rPr>
                <w:sz w:val="20"/>
              </w:rPr>
            </w:pPr>
            <w:r w:rsidRPr="00FD62C4">
              <w:rPr>
                <w:sz w:val="20"/>
              </w:rPr>
              <w:t>Radio astronomy</w:t>
            </w:r>
          </w:p>
        </w:tc>
      </w:tr>
      <w:tr w:rsidR="004C2370" w:rsidRPr="00FD62C4" w14:paraId="026482F1" w14:textId="77777777" w:rsidTr="008C18E6">
        <w:tc>
          <w:tcPr>
            <w:tcW w:w="1140" w:type="dxa"/>
            <w:tcBorders>
              <w:top w:val="nil"/>
              <w:left w:val="single" w:sz="12" w:space="0" w:color="000080"/>
              <w:bottom w:val="nil"/>
              <w:right w:val="nil"/>
            </w:tcBorders>
            <w:shd w:val="clear" w:color="auto" w:fill="FFFFFF" w:themeFill="background1"/>
          </w:tcPr>
          <w:p w14:paraId="3A904A41" w14:textId="77777777" w:rsidR="004C2370" w:rsidRPr="00FD62C4" w:rsidRDefault="004C2370" w:rsidP="008C18E6">
            <w:pPr>
              <w:spacing w:before="30" w:after="30"/>
              <w:ind w:left="57"/>
              <w:jc w:val="left"/>
              <w:rPr>
                <w:b/>
                <w:bCs/>
                <w:color w:val="000080"/>
                <w:sz w:val="20"/>
              </w:rPr>
            </w:pPr>
            <w:r w:rsidRPr="00FD62C4">
              <w:rPr>
                <w:rFonts w:ascii="Times New Roman Bold" w:hAnsi="Times New Roman Bold" w:cs="Times New Roman Bold"/>
                <w:b/>
                <w:bCs/>
                <w:sz w:val="20"/>
              </w:rPr>
              <w:t>RS</w:t>
            </w:r>
          </w:p>
        </w:tc>
        <w:tc>
          <w:tcPr>
            <w:tcW w:w="8220" w:type="dxa"/>
            <w:tcBorders>
              <w:top w:val="nil"/>
              <w:left w:val="nil"/>
              <w:bottom w:val="nil"/>
              <w:right w:val="single" w:sz="12" w:space="0" w:color="000080"/>
            </w:tcBorders>
            <w:shd w:val="clear" w:color="auto" w:fill="FFFFFF" w:themeFill="background1"/>
          </w:tcPr>
          <w:p w14:paraId="4C7D6A51" w14:textId="77777777" w:rsidR="004C2370" w:rsidRPr="00FD62C4" w:rsidRDefault="004C2370" w:rsidP="008C18E6">
            <w:pPr>
              <w:spacing w:before="30" w:after="30"/>
              <w:jc w:val="left"/>
              <w:rPr>
                <w:b/>
                <w:bCs/>
                <w:color w:val="000080"/>
                <w:sz w:val="20"/>
              </w:rPr>
            </w:pPr>
            <w:r w:rsidRPr="00FD62C4">
              <w:rPr>
                <w:sz w:val="20"/>
              </w:rPr>
              <w:t>Remote sensing systems</w:t>
            </w:r>
          </w:p>
        </w:tc>
      </w:tr>
      <w:tr w:rsidR="004C2370" w:rsidRPr="00FD62C4" w14:paraId="1C3848DF" w14:textId="77777777" w:rsidTr="008C18E6">
        <w:tc>
          <w:tcPr>
            <w:tcW w:w="1140" w:type="dxa"/>
            <w:tcBorders>
              <w:top w:val="nil"/>
              <w:left w:val="single" w:sz="12" w:space="0" w:color="000080"/>
              <w:bottom w:val="nil"/>
              <w:right w:val="nil"/>
            </w:tcBorders>
            <w:shd w:val="clear" w:color="auto" w:fill="FFFFFF" w:themeFill="background1"/>
          </w:tcPr>
          <w:p w14:paraId="64FFFF09" w14:textId="77777777" w:rsidR="004C2370" w:rsidRPr="00FD62C4" w:rsidRDefault="004C2370" w:rsidP="008C18E6">
            <w:pPr>
              <w:spacing w:before="30" w:after="30"/>
              <w:ind w:left="57"/>
              <w:jc w:val="left"/>
              <w:rPr>
                <w:b/>
                <w:bCs/>
                <w:sz w:val="20"/>
              </w:rPr>
            </w:pPr>
            <w:r w:rsidRPr="00FD62C4">
              <w:rPr>
                <w:b/>
                <w:bCs/>
                <w:sz w:val="20"/>
              </w:rPr>
              <w:t>S</w:t>
            </w:r>
          </w:p>
        </w:tc>
        <w:tc>
          <w:tcPr>
            <w:tcW w:w="8220" w:type="dxa"/>
            <w:tcBorders>
              <w:top w:val="nil"/>
              <w:left w:val="nil"/>
              <w:bottom w:val="nil"/>
              <w:right w:val="single" w:sz="12" w:space="0" w:color="000080"/>
            </w:tcBorders>
            <w:shd w:val="clear" w:color="auto" w:fill="FFFFFF" w:themeFill="background1"/>
          </w:tcPr>
          <w:p w14:paraId="4BE7F1E9" w14:textId="77777777" w:rsidR="004C2370" w:rsidRPr="00FD62C4" w:rsidRDefault="004C2370" w:rsidP="008C18E6">
            <w:pPr>
              <w:spacing w:before="30" w:after="30"/>
              <w:jc w:val="left"/>
              <w:rPr>
                <w:sz w:val="20"/>
              </w:rPr>
            </w:pPr>
            <w:r w:rsidRPr="00FD62C4">
              <w:rPr>
                <w:sz w:val="20"/>
              </w:rPr>
              <w:t>Fixed-satellite service</w:t>
            </w:r>
          </w:p>
        </w:tc>
      </w:tr>
      <w:tr w:rsidR="004C2370" w:rsidRPr="00FD62C4" w14:paraId="60DBABB4" w14:textId="77777777" w:rsidTr="008C18E6">
        <w:tc>
          <w:tcPr>
            <w:tcW w:w="1140" w:type="dxa"/>
            <w:tcBorders>
              <w:top w:val="nil"/>
              <w:left w:val="single" w:sz="12" w:space="0" w:color="000080"/>
              <w:bottom w:val="nil"/>
              <w:right w:val="nil"/>
            </w:tcBorders>
            <w:shd w:val="clear" w:color="auto" w:fill="FFFFFF" w:themeFill="background1"/>
          </w:tcPr>
          <w:p w14:paraId="36504298" w14:textId="77777777" w:rsidR="004C2370" w:rsidRPr="00FD62C4" w:rsidRDefault="004C2370" w:rsidP="008C18E6">
            <w:pPr>
              <w:spacing w:before="30" w:after="30"/>
              <w:ind w:left="57"/>
              <w:jc w:val="left"/>
              <w:rPr>
                <w:b/>
                <w:bCs/>
                <w:color w:val="000080"/>
                <w:sz w:val="20"/>
              </w:rPr>
            </w:pPr>
            <w:r w:rsidRPr="00FD62C4">
              <w:rPr>
                <w:b/>
                <w:bCs/>
                <w:sz w:val="20"/>
              </w:rPr>
              <w:t>SA</w:t>
            </w:r>
          </w:p>
        </w:tc>
        <w:tc>
          <w:tcPr>
            <w:tcW w:w="8220" w:type="dxa"/>
            <w:tcBorders>
              <w:top w:val="nil"/>
              <w:left w:val="nil"/>
              <w:bottom w:val="nil"/>
              <w:right w:val="single" w:sz="12" w:space="0" w:color="000080"/>
            </w:tcBorders>
            <w:shd w:val="clear" w:color="auto" w:fill="FFFFFF" w:themeFill="background1"/>
          </w:tcPr>
          <w:p w14:paraId="401781CF" w14:textId="77777777" w:rsidR="004C2370" w:rsidRPr="00FD62C4" w:rsidRDefault="004C2370" w:rsidP="008C18E6">
            <w:pPr>
              <w:spacing w:before="30" w:after="30"/>
              <w:jc w:val="left"/>
              <w:rPr>
                <w:sz w:val="20"/>
              </w:rPr>
            </w:pPr>
            <w:r w:rsidRPr="00FD62C4">
              <w:rPr>
                <w:sz w:val="20"/>
              </w:rPr>
              <w:t>Space applications and meteorology</w:t>
            </w:r>
          </w:p>
        </w:tc>
      </w:tr>
      <w:tr w:rsidR="004C2370" w:rsidRPr="00FD62C4" w14:paraId="0AA16B99" w14:textId="77777777" w:rsidTr="008C18E6">
        <w:tc>
          <w:tcPr>
            <w:tcW w:w="1140" w:type="dxa"/>
            <w:tcBorders>
              <w:top w:val="nil"/>
              <w:left w:val="single" w:sz="12" w:space="0" w:color="000080"/>
              <w:bottom w:val="nil"/>
              <w:right w:val="nil"/>
            </w:tcBorders>
            <w:shd w:val="clear" w:color="auto" w:fill="FFFFFF" w:themeFill="background1"/>
          </w:tcPr>
          <w:p w14:paraId="6656F97F" w14:textId="77777777" w:rsidR="004C2370" w:rsidRPr="00FD62C4" w:rsidRDefault="004C2370" w:rsidP="008C18E6">
            <w:pPr>
              <w:spacing w:before="30" w:after="30"/>
              <w:ind w:left="57"/>
              <w:jc w:val="left"/>
              <w:rPr>
                <w:b/>
                <w:bCs/>
                <w:sz w:val="20"/>
              </w:rPr>
            </w:pPr>
            <w:r w:rsidRPr="00FD62C4">
              <w:rPr>
                <w:b/>
                <w:bCs/>
                <w:color w:val="000080"/>
                <w:sz w:val="20"/>
              </w:rPr>
              <w:t>SF</w:t>
            </w:r>
          </w:p>
        </w:tc>
        <w:tc>
          <w:tcPr>
            <w:tcW w:w="8220" w:type="dxa"/>
            <w:tcBorders>
              <w:top w:val="nil"/>
              <w:left w:val="nil"/>
              <w:bottom w:val="nil"/>
              <w:right w:val="single" w:sz="12" w:space="0" w:color="000080"/>
            </w:tcBorders>
            <w:shd w:val="clear" w:color="auto" w:fill="FFFFFF" w:themeFill="background1"/>
          </w:tcPr>
          <w:p w14:paraId="31AE6690" w14:textId="77777777" w:rsidR="004C2370" w:rsidRPr="00FD62C4" w:rsidRDefault="004C2370" w:rsidP="008C18E6">
            <w:pPr>
              <w:spacing w:before="30" w:after="30"/>
              <w:jc w:val="left"/>
              <w:rPr>
                <w:sz w:val="20"/>
              </w:rPr>
            </w:pPr>
            <w:r w:rsidRPr="00FD62C4">
              <w:rPr>
                <w:sz w:val="20"/>
              </w:rPr>
              <w:t>Frequency sharing and coordination between fixed-satellite and fixed service systems</w:t>
            </w:r>
          </w:p>
        </w:tc>
      </w:tr>
      <w:tr w:rsidR="004C2370" w:rsidRPr="00FD62C4" w14:paraId="0396E38E" w14:textId="77777777" w:rsidTr="008C18E6">
        <w:tc>
          <w:tcPr>
            <w:tcW w:w="1140" w:type="dxa"/>
            <w:tcBorders>
              <w:top w:val="nil"/>
              <w:left w:val="single" w:sz="12" w:space="0" w:color="000080"/>
              <w:bottom w:val="nil"/>
              <w:right w:val="nil"/>
            </w:tcBorders>
            <w:shd w:val="clear" w:color="auto" w:fill="D9D9D9" w:themeFill="background1" w:themeFillShade="D9"/>
          </w:tcPr>
          <w:p w14:paraId="6DA9726B" w14:textId="77777777" w:rsidR="004C2370" w:rsidRPr="00FD62C4" w:rsidRDefault="004C2370" w:rsidP="008C18E6">
            <w:pPr>
              <w:spacing w:before="30" w:after="30"/>
              <w:ind w:left="57"/>
              <w:jc w:val="left"/>
              <w:rPr>
                <w:b/>
                <w:bCs/>
                <w:color w:val="000080"/>
                <w:sz w:val="20"/>
              </w:rPr>
            </w:pPr>
            <w:r w:rsidRPr="00FD62C4">
              <w:rPr>
                <w:b/>
                <w:bCs/>
                <w:color w:val="000080"/>
                <w:sz w:val="20"/>
              </w:rPr>
              <w:t>SM</w:t>
            </w:r>
          </w:p>
        </w:tc>
        <w:tc>
          <w:tcPr>
            <w:tcW w:w="8220" w:type="dxa"/>
            <w:tcBorders>
              <w:top w:val="nil"/>
              <w:left w:val="nil"/>
              <w:bottom w:val="nil"/>
              <w:right w:val="single" w:sz="12" w:space="0" w:color="000080"/>
            </w:tcBorders>
            <w:shd w:val="clear" w:color="auto" w:fill="D9D9D9" w:themeFill="background1" w:themeFillShade="D9"/>
          </w:tcPr>
          <w:p w14:paraId="189768A9" w14:textId="77777777" w:rsidR="004C2370" w:rsidRPr="00FD62C4" w:rsidRDefault="004C2370" w:rsidP="008C18E6">
            <w:pPr>
              <w:pStyle w:val="Tabletext"/>
              <w:tabs>
                <w:tab w:val="clear" w:pos="284"/>
                <w:tab w:val="clear" w:pos="567"/>
                <w:tab w:val="clear" w:pos="851"/>
                <w:tab w:val="clear" w:pos="1134"/>
                <w:tab w:val="clear" w:pos="1418"/>
                <w:tab w:val="clear" w:pos="1701"/>
                <w:tab w:val="left" w:pos="794"/>
                <w:tab w:val="left" w:pos="1191"/>
                <w:tab w:val="left" w:pos="1588"/>
              </w:tabs>
              <w:spacing w:before="30" w:after="30"/>
              <w:rPr>
                <w:sz w:val="20"/>
              </w:rPr>
            </w:pPr>
            <w:r w:rsidRPr="00FD62C4">
              <w:rPr>
                <w:b/>
                <w:bCs/>
                <w:color w:val="000080"/>
                <w:sz w:val="20"/>
              </w:rPr>
              <w:t>Spectrum management</w:t>
            </w:r>
          </w:p>
        </w:tc>
      </w:tr>
      <w:tr w:rsidR="004C2370" w:rsidRPr="00FD62C4" w14:paraId="3DD0F5EB" w14:textId="77777777" w:rsidTr="008C18E6">
        <w:tc>
          <w:tcPr>
            <w:tcW w:w="1140" w:type="dxa"/>
            <w:tcBorders>
              <w:top w:val="nil"/>
              <w:left w:val="single" w:sz="12" w:space="0" w:color="000080"/>
              <w:bottom w:val="single" w:sz="12" w:space="0" w:color="000080"/>
              <w:right w:val="nil"/>
            </w:tcBorders>
          </w:tcPr>
          <w:p w14:paraId="4EA46EFD" w14:textId="77777777" w:rsidR="004C2370" w:rsidRPr="00FD62C4" w:rsidRDefault="004C2370" w:rsidP="008C18E6">
            <w:pPr>
              <w:spacing w:before="30" w:after="30"/>
              <w:ind w:left="57"/>
              <w:jc w:val="left"/>
              <w:rPr>
                <w:b/>
                <w:bCs/>
                <w:sz w:val="20"/>
              </w:rPr>
            </w:pPr>
            <w:r w:rsidRPr="00FD62C4">
              <w:rPr>
                <w:b/>
                <w:bCs/>
                <w:sz w:val="20"/>
              </w:rPr>
              <w:t>TF</w:t>
            </w:r>
          </w:p>
        </w:tc>
        <w:tc>
          <w:tcPr>
            <w:tcW w:w="8220" w:type="dxa"/>
            <w:tcBorders>
              <w:top w:val="nil"/>
              <w:left w:val="nil"/>
              <w:bottom w:val="single" w:sz="12" w:space="0" w:color="000080"/>
              <w:right w:val="single" w:sz="12" w:space="0" w:color="000080"/>
            </w:tcBorders>
          </w:tcPr>
          <w:p w14:paraId="1542C6CA" w14:textId="77777777" w:rsidR="004C2370" w:rsidRPr="00FD62C4" w:rsidRDefault="004C2370" w:rsidP="008C18E6">
            <w:pPr>
              <w:spacing w:before="30" w:after="180"/>
              <w:jc w:val="left"/>
              <w:rPr>
                <w:sz w:val="20"/>
              </w:rPr>
            </w:pPr>
            <w:r w:rsidRPr="00FD62C4">
              <w:rPr>
                <w:sz w:val="20"/>
              </w:rPr>
              <w:t>Time signals and frequency standards emissions</w:t>
            </w:r>
          </w:p>
        </w:tc>
      </w:tr>
    </w:tbl>
    <w:p w14:paraId="14771D9A" w14:textId="77777777" w:rsidR="004C2370" w:rsidRPr="00FD62C4" w:rsidRDefault="004C2370" w:rsidP="004C2370">
      <w:pPr>
        <w:spacing w:before="30" w:after="30"/>
        <w:jc w:val="center"/>
        <w:rPr>
          <w:sz w:val="20"/>
        </w:rPr>
      </w:pPr>
    </w:p>
    <w:p w14:paraId="38B75FA2" w14:textId="77777777" w:rsidR="004C2370" w:rsidRPr="00FD62C4" w:rsidRDefault="004C2370" w:rsidP="004C2370">
      <w:pPr>
        <w:spacing w:before="0"/>
        <w:jc w:val="center"/>
        <w:rPr>
          <w:sz w:val="22"/>
        </w:rPr>
      </w:pPr>
    </w:p>
    <w:tbl>
      <w:tblPr>
        <w:tblW w:w="5000" w:type="pct"/>
        <w:tblBorders>
          <w:top w:val="single" w:sz="12" w:space="0" w:color="000080"/>
          <w:left w:val="single" w:sz="12" w:space="0" w:color="000080"/>
          <w:bottom w:val="single" w:sz="12" w:space="0" w:color="000080"/>
          <w:right w:val="single" w:sz="12" w:space="0" w:color="000080"/>
          <w:insideH w:val="single" w:sz="4" w:space="0" w:color="auto"/>
          <w:insideV w:val="single" w:sz="4" w:space="0" w:color="auto"/>
        </w:tblBorders>
        <w:tblLook w:val="01E0" w:firstRow="1" w:lastRow="1" w:firstColumn="1" w:lastColumn="1" w:noHBand="0" w:noVBand="0"/>
      </w:tblPr>
      <w:tblGrid>
        <w:gridCol w:w="9609"/>
      </w:tblGrid>
      <w:tr w:rsidR="004C2370" w:rsidRPr="00FD62C4" w14:paraId="428C657A" w14:textId="77777777" w:rsidTr="008C18E6">
        <w:tc>
          <w:tcPr>
            <w:tcW w:w="9360" w:type="dxa"/>
            <w:tcBorders>
              <w:top w:val="single" w:sz="12" w:space="0" w:color="000080"/>
              <w:left w:val="single" w:sz="12" w:space="0" w:color="000080"/>
              <w:bottom w:val="single" w:sz="12" w:space="0" w:color="000080"/>
              <w:right w:val="single" w:sz="12" w:space="0" w:color="000080"/>
            </w:tcBorders>
          </w:tcPr>
          <w:p w14:paraId="6DDC96A7" w14:textId="77777777" w:rsidR="004C2370" w:rsidRPr="00FD62C4" w:rsidRDefault="004C2370" w:rsidP="008C18E6">
            <w:pPr>
              <w:spacing w:after="120"/>
              <w:rPr>
                <w:b/>
                <w:bCs/>
                <w:sz w:val="20"/>
              </w:rPr>
            </w:pPr>
            <w:r w:rsidRPr="00FD62C4">
              <w:rPr>
                <w:b/>
                <w:bCs/>
                <w:i/>
                <w:iCs/>
                <w:sz w:val="20"/>
              </w:rPr>
              <w:t>Note</w:t>
            </w:r>
            <w:r w:rsidRPr="00FD62C4">
              <w:rPr>
                <w:i/>
                <w:iCs/>
                <w:sz w:val="20"/>
              </w:rPr>
              <w:t>: This ITU-R Report was approved in English by the Study Group under the procedure detailed in Resolution ITU</w:t>
            </w:r>
            <w:r w:rsidRPr="00FD62C4">
              <w:rPr>
                <w:i/>
                <w:iCs/>
                <w:sz w:val="20"/>
              </w:rPr>
              <w:noBreakHyphen/>
              <w:t>R 1.</w:t>
            </w:r>
          </w:p>
        </w:tc>
      </w:tr>
    </w:tbl>
    <w:p w14:paraId="1F1DC6E0" w14:textId="77777777" w:rsidR="004C2370" w:rsidRPr="00FD62C4" w:rsidRDefault="004C2370" w:rsidP="004C2370">
      <w:pPr>
        <w:spacing w:before="0"/>
        <w:jc w:val="center"/>
        <w:rPr>
          <w:sz w:val="22"/>
        </w:rPr>
      </w:pPr>
    </w:p>
    <w:p w14:paraId="546332C6" w14:textId="77777777" w:rsidR="004C2370" w:rsidRPr="00FD62C4" w:rsidRDefault="004C2370" w:rsidP="004C2370">
      <w:pPr>
        <w:spacing w:before="0"/>
        <w:jc w:val="right"/>
        <w:rPr>
          <w:i/>
          <w:iCs/>
          <w:sz w:val="20"/>
        </w:rPr>
      </w:pPr>
      <w:r w:rsidRPr="00FD62C4">
        <w:rPr>
          <w:i/>
          <w:iCs/>
          <w:sz w:val="20"/>
        </w:rPr>
        <w:t>Electronic Publication</w:t>
      </w:r>
    </w:p>
    <w:p w14:paraId="7C9FC6FE" w14:textId="17697A33" w:rsidR="004C2370" w:rsidRPr="00FD62C4" w:rsidRDefault="004C2370" w:rsidP="004C2370">
      <w:pPr>
        <w:spacing w:before="0"/>
        <w:jc w:val="right"/>
        <w:rPr>
          <w:sz w:val="20"/>
        </w:rPr>
      </w:pPr>
      <w:r w:rsidRPr="00FD62C4">
        <w:rPr>
          <w:sz w:val="20"/>
        </w:rPr>
        <w:t>Geneva, 202</w:t>
      </w:r>
      <w:r w:rsidR="00703FC2" w:rsidRPr="00FD62C4">
        <w:rPr>
          <w:sz w:val="20"/>
        </w:rPr>
        <w:t>6</w:t>
      </w:r>
    </w:p>
    <w:p w14:paraId="18A20226" w14:textId="647668A1" w:rsidR="004C2370" w:rsidRPr="00FD62C4" w:rsidRDefault="004C2370" w:rsidP="004C2370">
      <w:pPr>
        <w:jc w:val="center"/>
        <w:rPr>
          <w:sz w:val="20"/>
        </w:rPr>
      </w:pPr>
      <w:r w:rsidRPr="00FD62C4">
        <w:rPr>
          <w:sz w:val="20"/>
        </w:rPr>
        <w:sym w:font="Symbol" w:char="00E3"/>
      </w:r>
      <w:r w:rsidRPr="00FD62C4">
        <w:rPr>
          <w:sz w:val="20"/>
        </w:rPr>
        <w:t xml:space="preserve"> ITU </w:t>
      </w:r>
      <w:bookmarkStart w:id="6" w:name="iiannee"/>
      <w:bookmarkEnd w:id="6"/>
      <w:r w:rsidRPr="00FD62C4">
        <w:rPr>
          <w:sz w:val="20"/>
        </w:rPr>
        <w:t>202</w:t>
      </w:r>
      <w:r w:rsidR="00703FC2" w:rsidRPr="00FD62C4">
        <w:rPr>
          <w:sz w:val="20"/>
        </w:rPr>
        <w:t>6</w:t>
      </w:r>
    </w:p>
    <w:p w14:paraId="1A3939A8" w14:textId="77777777" w:rsidR="004C2370" w:rsidRPr="00FD62C4" w:rsidRDefault="004C2370" w:rsidP="004C2370">
      <w:pPr>
        <w:rPr>
          <w:sz w:val="18"/>
          <w:szCs w:val="18"/>
        </w:rPr>
      </w:pPr>
      <w:r w:rsidRPr="00FD62C4">
        <w:rPr>
          <w:sz w:val="18"/>
          <w:szCs w:val="18"/>
        </w:rPr>
        <w:t>All rights reserved. No part of this publication may be reproduced, by any means whatsoever, without written permission of ITU.</w:t>
      </w:r>
    </w:p>
    <w:p w14:paraId="2065B14F" w14:textId="77777777" w:rsidR="004C2370" w:rsidRPr="00FD62C4" w:rsidRDefault="004C2370" w:rsidP="004C2370">
      <w:pPr>
        <w:spacing w:before="160"/>
        <w:rPr>
          <w:i/>
          <w:sz w:val="20"/>
        </w:rPr>
        <w:sectPr w:rsidR="004C2370" w:rsidRPr="00FD62C4" w:rsidSect="004C2370">
          <w:headerReference w:type="even" r:id="rId13"/>
          <w:headerReference w:type="default" r:id="rId14"/>
          <w:footerReference w:type="even" r:id="rId15"/>
          <w:pgSz w:w="11907" w:h="16834" w:code="9"/>
          <w:pgMar w:top="1418" w:right="1134" w:bottom="1134" w:left="1134" w:header="720" w:footer="482" w:gutter="0"/>
          <w:paperSrc w:first="15" w:other="15"/>
          <w:pgNumType w:fmt="lowerRoman" w:start="2"/>
          <w:cols w:space="720"/>
        </w:sectPr>
      </w:pPr>
    </w:p>
    <w:p w14:paraId="5E283698" w14:textId="23084C7C" w:rsidR="001A213A" w:rsidRPr="00FD62C4" w:rsidRDefault="004C2370" w:rsidP="005E2A2B">
      <w:pPr>
        <w:pStyle w:val="RepNo"/>
      </w:pPr>
      <w:r w:rsidRPr="00FD62C4">
        <w:lastRenderedPageBreak/>
        <w:t xml:space="preserve">REPORT  </w:t>
      </w:r>
      <w:r w:rsidRPr="00FD62C4">
        <w:rPr>
          <w:rStyle w:val="href"/>
        </w:rPr>
        <w:t>ITU-R  SM.</w:t>
      </w:r>
      <w:r w:rsidR="001A213A" w:rsidRPr="00FD62C4">
        <w:rPr>
          <w:rStyle w:val="href"/>
        </w:rPr>
        <w:t>2</w:t>
      </w:r>
      <w:r w:rsidR="00BF01B4" w:rsidRPr="00FD62C4">
        <w:rPr>
          <w:rStyle w:val="href"/>
        </w:rPr>
        <w:t>57</w:t>
      </w:r>
      <w:r w:rsidR="001A213A" w:rsidRPr="00FD62C4">
        <w:rPr>
          <w:rStyle w:val="href"/>
        </w:rPr>
        <w:t>0-</w:t>
      </w:r>
      <w:r w:rsidR="00BF01B4" w:rsidRPr="00FD62C4">
        <w:rPr>
          <w:rStyle w:val="href"/>
        </w:rPr>
        <w:t>0</w:t>
      </w:r>
    </w:p>
    <w:p w14:paraId="47C33E15" w14:textId="51B450F3" w:rsidR="001A213A" w:rsidRPr="00FD62C4" w:rsidRDefault="00BF01B4" w:rsidP="001A213A">
      <w:pPr>
        <w:pStyle w:val="Reptitle"/>
      </w:pPr>
      <w:r w:rsidRPr="00FD62C4">
        <w:rPr>
          <w:lang w:eastAsia="zh-CN"/>
        </w:rPr>
        <w:t>Methodologies for assessing or predicting spectrum availability</w:t>
      </w:r>
      <w:r w:rsidR="001A213A" w:rsidRPr="00FD62C4">
        <w:rPr>
          <w:lang w:eastAsia="zh-CN"/>
        </w:rPr>
        <w:t xml:space="preserve"> countries</w:t>
      </w:r>
    </w:p>
    <w:p w14:paraId="089FBCF0" w14:textId="3483BE95" w:rsidR="001A213A" w:rsidRPr="00FD62C4" w:rsidRDefault="001A213A" w:rsidP="001A213A">
      <w:pPr>
        <w:pStyle w:val="Repdate"/>
      </w:pPr>
      <w:r w:rsidRPr="00FD62C4">
        <w:t>(</w:t>
      </w:r>
      <w:r w:rsidR="00AD4063" w:rsidRPr="00FD62C4">
        <w:t>202</w:t>
      </w:r>
      <w:r w:rsidR="00BF01B4" w:rsidRPr="00FD62C4">
        <w:t>6</w:t>
      </w:r>
      <w:r w:rsidRPr="00FD62C4">
        <w:t>)</w:t>
      </w:r>
    </w:p>
    <w:p w14:paraId="2F434708" w14:textId="77777777" w:rsidR="001A213A" w:rsidRPr="00FD62C4" w:rsidRDefault="001A213A" w:rsidP="001A213A">
      <w:pPr>
        <w:jc w:val="center"/>
        <w:rPr>
          <w:lang w:eastAsia="zh-CN"/>
        </w:rPr>
      </w:pPr>
      <w:r w:rsidRPr="00FD62C4">
        <w:rPr>
          <w:lang w:eastAsia="zh-CN"/>
        </w:rPr>
        <w:t>TABLE OF CONTENTS</w:t>
      </w:r>
    </w:p>
    <w:p w14:paraId="4308C144" w14:textId="77777777" w:rsidR="001A213A" w:rsidRPr="00FD62C4" w:rsidRDefault="001A213A" w:rsidP="001A213A">
      <w:pPr>
        <w:pStyle w:val="toc0"/>
        <w:jc w:val="right"/>
        <w:rPr>
          <w:lang w:eastAsia="zh-CN"/>
        </w:rPr>
      </w:pPr>
      <w:r w:rsidRPr="00FD62C4">
        <w:rPr>
          <w:lang w:eastAsia="zh-CN"/>
        </w:rPr>
        <w:t>Page</w:t>
      </w:r>
    </w:p>
    <w:p w14:paraId="5C621678" w14:textId="56BE1F11" w:rsidR="00F91225" w:rsidRDefault="00F95312">
      <w:pPr>
        <w:pStyle w:val="TOC1"/>
        <w:rPr>
          <w:rFonts w:asciiTheme="minorHAnsi" w:eastAsiaTheme="minorEastAsia" w:hAnsiTheme="minorHAnsi" w:cstheme="minorBidi"/>
          <w:noProof/>
          <w:kern w:val="2"/>
          <w:szCs w:val="24"/>
          <w:lang w:val="en-GB" w:eastAsia="en-GB"/>
          <w14:ligatures w14:val="standardContextual"/>
        </w:rPr>
      </w:pPr>
      <w:r>
        <w:rPr>
          <w:lang w:eastAsia="zh-CN"/>
        </w:rPr>
        <w:fldChar w:fldCharType="begin"/>
      </w:r>
      <w:r>
        <w:rPr>
          <w:lang w:eastAsia="zh-CN"/>
        </w:rPr>
        <w:instrText xml:space="preserve"> TOC \o "1-3" \h \z \u </w:instrText>
      </w:r>
      <w:r>
        <w:rPr>
          <w:lang w:eastAsia="zh-CN"/>
        </w:rPr>
        <w:fldChar w:fldCharType="separate"/>
      </w:r>
      <w:hyperlink w:anchor="_Toc235620201" w:history="1">
        <w:r w:rsidR="00F91225" w:rsidRPr="00060317">
          <w:rPr>
            <w:rStyle w:val="Hyperlink"/>
            <w:noProof/>
          </w:rPr>
          <w:t>1</w:t>
        </w:r>
        <w:r w:rsidR="00F91225">
          <w:rPr>
            <w:rFonts w:asciiTheme="minorHAnsi" w:eastAsiaTheme="minorEastAsia" w:hAnsiTheme="minorHAnsi" w:cstheme="minorBidi"/>
            <w:noProof/>
            <w:kern w:val="2"/>
            <w:szCs w:val="24"/>
            <w:lang w:val="en-GB" w:eastAsia="en-GB"/>
            <w14:ligatures w14:val="standardContextual"/>
          </w:rPr>
          <w:tab/>
        </w:r>
        <w:r w:rsidR="00F91225" w:rsidRPr="00060317">
          <w:rPr>
            <w:rStyle w:val="Hyperlink"/>
            <w:noProof/>
          </w:rPr>
          <w:t>Introduction</w:t>
        </w:r>
        <w:r w:rsidR="00F91225">
          <w:rPr>
            <w:noProof/>
            <w:webHidden/>
          </w:rPr>
          <w:tab/>
        </w:r>
        <w:r w:rsidR="00F91225">
          <w:rPr>
            <w:noProof/>
            <w:webHidden/>
          </w:rPr>
          <w:tab/>
        </w:r>
        <w:r w:rsidR="00F91225">
          <w:rPr>
            <w:noProof/>
            <w:webHidden/>
          </w:rPr>
          <w:fldChar w:fldCharType="begin"/>
        </w:r>
        <w:r w:rsidR="00F91225">
          <w:rPr>
            <w:noProof/>
            <w:webHidden/>
          </w:rPr>
          <w:instrText xml:space="preserve"> PAGEREF _Toc235620201 \h </w:instrText>
        </w:r>
        <w:r w:rsidR="00F91225">
          <w:rPr>
            <w:noProof/>
            <w:webHidden/>
          </w:rPr>
        </w:r>
        <w:r w:rsidR="00F91225">
          <w:rPr>
            <w:noProof/>
            <w:webHidden/>
          </w:rPr>
          <w:fldChar w:fldCharType="separate"/>
        </w:r>
        <w:r w:rsidR="008F480E">
          <w:rPr>
            <w:noProof/>
            <w:webHidden/>
          </w:rPr>
          <w:t>2</w:t>
        </w:r>
        <w:r w:rsidR="00F91225">
          <w:rPr>
            <w:noProof/>
            <w:webHidden/>
          </w:rPr>
          <w:fldChar w:fldCharType="end"/>
        </w:r>
      </w:hyperlink>
    </w:p>
    <w:p w14:paraId="3A04D59B" w14:textId="56457E55" w:rsidR="00F91225" w:rsidRDefault="00F91225">
      <w:pPr>
        <w:pStyle w:val="TOC1"/>
        <w:rPr>
          <w:rFonts w:asciiTheme="minorHAnsi" w:eastAsiaTheme="minorEastAsia" w:hAnsiTheme="minorHAnsi" w:cstheme="minorBidi"/>
          <w:noProof/>
          <w:kern w:val="2"/>
          <w:szCs w:val="24"/>
          <w:lang w:val="en-GB" w:eastAsia="en-GB"/>
          <w14:ligatures w14:val="standardContextual"/>
        </w:rPr>
      </w:pPr>
      <w:hyperlink w:anchor="_Toc235620202" w:history="1">
        <w:r w:rsidRPr="00060317">
          <w:rPr>
            <w:rStyle w:val="Hyperlink"/>
            <w:noProof/>
          </w:rPr>
          <w:t>2</w:t>
        </w:r>
        <w:r>
          <w:rPr>
            <w:rFonts w:asciiTheme="minorHAnsi" w:eastAsiaTheme="minorEastAsia" w:hAnsiTheme="minorHAnsi" w:cstheme="minorBidi"/>
            <w:noProof/>
            <w:kern w:val="2"/>
            <w:szCs w:val="24"/>
            <w:lang w:val="en-GB" w:eastAsia="en-GB"/>
            <w14:ligatures w14:val="standardContextual"/>
          </w:rPr>
          <w:tab/>
        </w:r>
        <w:r w:rsidRPr="00060317">
          <w:rPr>
            <w:rStyle w:val="Hyperlink"/>
            <w:noProof/>
          </w:rPr>
          <w:t>Methodologies for assessing or predicting spectrum availability</w:t>
        </w:r>
        <w:r>
          <w:rPr>
            <w:noProof/>
            <w:webHidden/>
          </w:rPr>
          <w:tab/>
        </w:r>
        <w:r>
          <w:rPr>
            <w:noProof/>
            <w:webHidden/>
          </w:rPr>
          <w:tab/>
        </w:r>
        <w:r>
          <w:rPr>
            <w:noProof/>
            <w:webHidden/>
          </w:rPr>
          <w:fldChar w:fldCharType="begin"/>
        </w:r>
        <w:r>
          <w:rPr>
            <w:noProof/>
            <w:webHidden/>
          </w:rPr>
          <w:instrText xml:space="preserve"> PAGEREF _Toc235620202 \h </w:instrText>
        </w:r>
        <w:r>
          <w:rPr>
            <w:noProof/>
            <w:webHidden/>
          </w:rPr>
        </w:r>
        <w:r>
          <w:rPr>
            <w:noProof/>
            <w:webHidden/>
          </w:rPr>
          <w:fldChar w:fldCharType="separate"/>
        </w:r>
        <w:r w:rsidR="008F480E">
          <w:rPr>
            <w:noProof/>
            <w:webHidden/>
          </w:rPr>
          <w:t>2</w:t>
        </w:r>
        <w:r>
          <w:rPr>
            <w:noProof/>
            <w:webHidden/>
          </w:rPr>
          <w:fldChar w:fldCharType="end"/>
        </w:r>
      </w:hyperlink>
    </w:p>
    <w:p w14:paraId="6683773E" w14:textId="4FEE46BE" w:rsidR="00F91225" w:rsidRDefault="00F91225">
      <w:pPr>
        <w:pStyle w:val="TOC2"/>
        <w:rPr>
          <w:rFonts w:asciiTheme="minorHAnsi" w:eastAsiaTheme="minorEastAsia" w:hAnsiTheme="minorHAnsi" w:cstheme="minorBidi"/>
          <w:noProof/>
          <w:kern w:val="2"/>
          <w:szCs w:val="24"/>
          <w:lang w:val="en-GB" w:eastAsia="en-GB"/>
          <w14:ligatures w14:val="standardContextual"/>
        </w:rPr>
      </w:pPr>
      <w:hyperlink w:anchor="_Toc235620203" w:history="1">
        <w:r w:rsidRPr="00060317">
          <w:rPr>
            <w:rStyle w:val="Hyperlink"/>
            <w:noProof/>
          </w:rPr>
          <w:t>2.1</w:t>
        </w:r>
        <w:r>
          <w:rPr>
            <w:rFonts w:asciiTheme="minorHAnsi" w:eastAsiaTheme="minorEastAsia" w:hAnsiTheme="minorHAnsi" w:cstheme="minorBidi"/>
            <w:noProof/>
            <w:kern w:val="2"/>
            <w:szCs w:val="24"/>
            <w:lang w:val="en-GB" w:eastAsia="en-GB"/>
            <w14:ligatures w14:val="standardContextual"/>
          </w:rPr>
          <w:tab/>
        </w:r>
        <w:r w:rsidRPr="00060317">
          <w:rPr>
            <w:rStyle w:val="Hyperlink"/>
            <w:noProof/>
          </w:rPr>
          <w:t>Terminology</w:t>
        </w:r>
        <w:r>
          <w:rPr>
            <w:noProof/>
            <w:webHidden/>
          </w:rPr>
          <w:tab/>
        </w:r>
        <w:r>
          <w:rPr>
            <w:noProof/>
            <w:webHidden/>
          </w:rPr>
          <w:tab/>
        </w:r>
        <w:r>
          <w:rPr>
            <w:noProof/>
            <w:webHidden/>
          </w:rPr>
          <w:fldChar w:fldCharType="begin"/>
        </w:r>
        <w:r>
          <w:rPr>
            <w:noProof/>
            <w:webHidden/>
          </w:rPr>
          <w:instrText xml:space="preserve"> PAGEREF _Toc235620203 \h </w:instrText>
        </w:r>
        <w:r>
          <w:rPr>
            <w:noProof/>
            <w:webHidden/>
          </w:rPr>
        </w:r>
        <w:r>
          <w:rPr>
            <w:noProof/>
            <w:webHidden/>
          </w:rPr>
          <w:fldChar w:fldCharType="separate"/>
        </w:r>
        <w:r w:rsidR="008F480E">
          <w:rPr>
            <w:noProof/>
            <w:webHidden/>
          </w:rPr>
          <w:t>2</w:t>
        </w:r>
        <w:r>
          <w:rPr>
            <w:noProof/>
            <w:webHidden/>
          </w:rPr>
          <w:fldChar w:fldCharType="end"/>
        </w:r>
      </w:hyperlink>
    </w:p>
    <w:p w14:paraId="5C8280DB" w14:textId="02CBFCB1" w:rsidR="00F91225" w:rsidRDefault="00F91225">
      <w:pPr>
        <w:pStyle w:val="TOC2"/>
        <w:rPr>
          <w:rFonts w:asciiTheme="minorHAnsi" w:eastAsiaTheme="minorEastAsia" w:hAnsiTheme="minorHAnsi" w:cstheme="minorBidi"/>
          <w:noProof/>
          <w:kern w:val="2"/>
          <w:szCs w:val="24"/>
          <w:lang w:val="en-GB" w:eastAsia="en-GB"/>
          <w14:ligatures w14:val="standardContextual"/>
        </w:rPr>
      </w:pPr>
      <w:hyperlink w:anchor="_Toc235620204" w:history="1">
        <w:r w:rsidRPr="00060317">
          <w:rPr>
            <w:rStyle w:val="Hyperlink"/>
            <w:noProof/>
          </w:rPr>
          <w:t>2.2</w:t>
        </w:r>
        <w:r>
          <w:rPr>
            <w:rFonts w:asciiTheme="minorHAnsi" w:eastAsiaTheme="minorEastAsia" w:hAnsiTheme="minorHAnsi" w:cstheme="minorBidi"/>
            <w:noProof/>
            <w:kern w:val="2"/>
            <w:szCs w:val="24"/>
            <w:lang w:val="en-GB" w:eastAsia="en-GB"/>
            <w14:ligatures w14:val="standardContextual"/>
          </w:rPr>
          <w:tab/>
        </w:r>
        <w:r w:rsidRPr="00060317">
          <w:rPr>
            <w:rStyle w:val="Hyperlink"/>
            <w:noProof/>
            <w:lang w:eastAsia="ko-KR"/>
          </w:rPr>
          <w:t>Approaches for assessing or predicting spectrum availability</w:t>
        </w:r>
        <w:r>
          <w:rPr>
            <w:noProof/>
            <w:webHidden/>
          </w:rPr>
          <w:tab/>
        </w:r>
        <w:r>
          <w:rPr>
            <w:noProof/>
            <w:webHidden/>
          </w:rPr>
          <w:tab/>
        </w:r>
        <w:r>
          <w:rPr>
            <w:noProof/>
            <w:webHidden/>
          </w:rPr>
          <w:fldChar w:fldCharType="begin"/>
        </w:r>
        <w:r>
          <w:rPr>
            <w:noProof/>
            <w:webHidden/>
          </w:rPr>
          <w:instrText xml:space="preserve"> PAGEREF _Toc235620204 \h </w:instrText>
        </w:r>
        <w:r>
          <w:rPr>
            <w:noProof/>
            <w:webHidden/>
          </w:rPr>
        </w:r>
        <w:r>
          <w:rPr>
            <w:noProof/>
            <w:webHidden/>
          </w:rPr>
          <w:fldChar w:fldCharType="separate"/>
        </w:r>
        <w:r w:rsidR="008F480E">
          <w:rPr>
            <w:noProof/>
            <w:webHidden/>
          </w:rPr>
          <w:t>3</w:t>
        </w:r>
        <w:r>
          <w:rPr>
            <w:noProof/>
            <w:webHidden/>
          </w:rPr>
          <w:fldChar w:fldCharType="end"/>
        </w:r>
      </w:hyperlink>
    </w:p>
    <w:p w14:paraId="3CEEFB05" w14:textId="19FB6D21" w:rsidR="00F91225" w:rsidRDefault="00F91225">
      <w:pPr>
        <w:pStyle w:val="TOC1"/>
        <w:rPr>
          <w:rFonts w:asciiTheme="minorHAnsi" w:eastAsiaTheme="minorEastAsia" w:hAnsiTheme="minorHAnsi" w:cstheme="minorBidi"/>
          <w:noProof/>
          <w:kern w:val="2"/>
          <w:szCs w:val="24"/>
          <w:lang w:val="en-GB" w:eastAsia="en-GB"/>
          <w14:ligatures w14:val="standardContextual"/>
        </w:rPr>
      </w:pPr>
      <w:hyperlink w:anchor="_Toc235620206" w:history="1">
        <w:r w:rsidRPr="00060317">
          <w:rPr>
            <w:rStyle w:val="Hyperlink"/>
            <w:noProof/>
          </w:rPr>
          <w:t>3</w:t>
        </w:r>
        <w:r>
          <w:rPr>
            <w:rFonts w:asciiTheme="minorHAnsi" w:eastAsiaTheme="minorEastAsia" w:hAnsiTheme="minorHAnsi" w:cstheme="minorBidi"/>
            <w:noProof/>
            <w:kern w:val="2"/>
            <w:szCs w:val="24"/>
            <w:lang w:val="en-GB" w:eastAsia="en-GB"/>
            <w14:ligatures w14:val="standardContextual"/>
          </w:rPr>
          <w:tab/>
        </w:r>
        <w:r w:rsidRPr="00060317">
          <w:rPr>
            <w:rStyle w:val="Hyperlink"/>
            <w:noProof/>
          </w:rPr>
          <w:t>Summary</w:t>
        </w:r>
        <w:r>
          <w:rPr>
            <w:noProof/>
            <w:webHidden/>
          </w:rPr>
          <w:tab/>
        </w:r>
        <w:r>
          <w:rPr>
            <w:noProof/>
            <w:webHidden/>
          </w:rPr>
          <w:tab/>
        </w:r>
        <w:r>
          <w:rPr>
            <w:noProof/>
            <w:webHidden/>
          </w:rPr>
          <w:fldChar w:fldCharType="begin"/>
        </w:r>
        <w:r>
          <w:rPr>
            <w:noProof/>
            <w:webHidden/>
          </w:rPr>
          <w:instrText xml:space="preserve"> PAGEREF _Toc235620206 \h </w:instrText>
        </w:r>
        <w:r>
          <w:rPr>
            <w:noProof/>
            <w:webHidden/>
          </w:rPr>
        </w:r>
        <w:r>
          <w:rPr>
            <w:noProof/>
            <w:webHidden/>
          </w:rPr>
          <w:fldChar w:fldCharType="separate"/>
        </w:r>
        <w:r w:rsidR="008F480E">
          <w:rPr>
            <w:noProof/>
            <w:webHidden/>
          </w:rPr>
          <w:t>4</w:t>
        </w:r>
        <w:r>
          <w:rPr>
            <w:noProof/>
            <w:webHidden/>
          </w:rPr>
          <w:fldChar w:fldCharType="end"/>
        </w:r>
      </w:hyperlink>
    </w:p>
    <w:p w14:paraId="3720CB0E" w14:textId="6AE3CA80" w:rsidR="00F91225" w:rsidRDefault="00F91225">
      <w:pPr>
        <w:pStyle w:val="TOC1"/>
        <w:rPr>
          <w:rFonts w:asciiTheme="minorHAnsi" w:eastAsiaTheme="minorEastAsia" w:hAnsiTheme="minorHAnsi" w:cstheme="minorBidi"/>
          <w:noProof/>
          <w:kern w:val="2"/>
          <w:szCs w:val="24"/>
          <w:lang w:val="en-GB" w:eastAsia="en-GB"/>
          <w14:ligatures w14:val="standardContextual"/>
        </w:rPr>
      </w:pPr>
      <w:hyperlink w:anchor="_Toc235620207" w:history="1">
        <w:r w:rsidRPr="00060317">
          <w:rPr>
            <w:rStyle w:val="Hyperlink"/>
            <w:noProof/>
          </w:rPr>
          <w:t>Annex 1</w:t>
        </w:r>
        <w:r w:rsidRPr="00060317">
          <w:rPr>
            <w:rStyle w:val="Hyperlink"/>
            <w:noProof/>
            <w:lang w:eastAsia="zh-CN"/>
          </w:rPr>
          <w:t xml:space="preserve"> </w:t>
        </w:r>
        <w:r w:rsidRPr="00F91225">
          <w:rPr>
            <w:rStyle w:val="Hyperlink"/>
            <w:noProof/>
            <w:lang w:eastAsia="zh-CN"/>
          </w:rPr>
          <w:t>–</w:t>
        </w:r>
        <w:r w:rsidRPr="00060317">
          <w:rPr>
            <w:rStyle w:val="Hyperlink"/>
            <w:noProof/>
            <w:lang w:eastAsia="zh-CN"/>
          </w:rPr>
          <w:t xml:space="preserve"> </w:t>
        </w:r>
        <w:r w:rsidRPr="00060317">
          <w:rPr>
            <w:rStyle w:val="Hyperlink"/>
            <w:noProof/>
            <w:lang w:eastAsia="ko-KR"/>
          </w:rPr>
          <w:t>Case studies from Korea (Republic of)</w:t>
        </w:r>
        <w:r>
          <w:rPr>
            <w:noProof/>
            <w:webHidden/>
          </w:rPr>
          <w:tab/>
        </w:r>
        <w:r>
          <w:rPr>
            <w:noProof/>
            <w:webHidden/>
          </w:rPr>
          <w:tab/>
        </w:r>
        <w:r>
          <w:rPr>
            <w:noProof/>
            <w:webHidden/>
          </w:rPr>
          <w:fldChar w:fldCharType="begin"/>
        </w:r>
        <w:r>
          <w:rPr>
            <w:noProof/>
            <w:webHidden/>
          </w:rPr>
          <w:instrText xml:space="preserve"> PAGEREF _Toc235620207 \h </w:instrText>
        </w:r>
        <w:r>
          <w:rPr>
            <w:noProof/>
            <w:webHidden/>
          </w:rPr>
        </w:r>
        <w:r>
          <w:rPr>
            <w:noProof/>
            <w:webHidden/>
          </w:rPr>
          <w:fldChar w:fldCharType="separate"/>
        </w:r>
        <w:r w:rsidR="008F480E">
          <w:rPr>
            <w:noProof/>
            <w:webHidden/>
          </w:rPr>
          <w:t>5</w:t>
        </w:r>
        <w:r>
          <w:rPr>
            <w:noProof/>
            <w:webHidden/>
          </w:rPr>
          <w:fldChar w:fldCharType="end"/>
        </w:r>
      </w:hyperlink>
    </w:p>
    <w:p w14:paraId="001AA292" w14:textId="0849C1F0" w:rsidR="00F91225" w:rsidRDefault="00F91225">
      <w:pPr>
        <w:pStyle w:val="TOC2"/>
        <w:rPr>
          <w:rFonts w:asciiTheme="minorHAnsi" w:eastAsiaTheme="minorEastAsia" w:hAnsiTheme="minorHAnsi" w:cstheme="minorBidi"/>
          <w:noProof/>
          <w:kern w:val="2"/>
          <w:szCs w:val="24"/>
          <w:lang w:val="en-GB" w:eastAsia="en-GB"/>
          <w14:ligatures w14:val="standardContextual"/>
        </w:rPr>
      </w:pPr>
      <w:hyperlink w:anchor="_Toc235620208" w:history="1">
        <w:r w:rsidRPr="00060317">
          <w:rPr>
            <w:rStyle w:val="Hyperlink"/>
            <w:noProof/>
            <w:lang w:eastAsia="ko-KR"/>
          </w:rPr>
          <w:t>A1.1</w:t>
        </w:r>
        <w:r>
          <w:rPr>
            <w:rFonts w:asciiTheme="minorHAnsi" w:eastAsiaTheme="minorEastAsia" w:hAnsiTheme="minorHAnsi" w:cstheme="minorBidi"/>
            <w:noProof/>
            <w:kern w:val="2"/>
            <w:szCs w:val="24"/>
            <w:lang w:val="en-GB" w:eastAsia="en-GB"/>
            <w14:ligatures w14:val="standardContextual"/>
          </w:rPr>
          <w:tab/>
        </w:r>
        <w:r w:rsidRPr="00060317">
          <w:rPr>
            <w:rStyle w:val="Hyperlink"/>
            <w:noProof/>
          </w:rPr>
          <w:t>Background</w:t>
        </w:r>
        <w:r>
          <w:rPr>
            <w:noProof/>
            <w:webHidden/>
          </w:rPr>
          <w:tab/>
        </w:r>
        <w:r>
          <w:rPr>
            <w:noProof/>
            <w:webHidden/>
          </w:rPr>
          <w:tab/>
        </w:r>
        <w:r>
          <w:rPr>
            <w:noProof/>
            <w:webHidden/>
          </w:rPr>
          <w:fldChar w:fldCharType="begin"/>
        </w:r>
        <w:r>
          <w:rPr>
            <w:noProof/>
            <w:webHidden/>
          </w:rPr>
          <w:instrText xml:space="preserve"> PAGEREF _Toc235620208 \h </w:instrText>
        </w:r>
        <w:r>
          <w:rPr>
            <w:noProof/>
            <w:webHidden/>
          </w:rPr>
        </w:r>
        <w:r>
          <w:rPr>
            <w:noProof/>
            <w:webHidden/>
          </w:rPr>
          <w:fldChar w:fldCharType="separate"/>
        </w:r>
        <w:r w:rsidR="008F480E">
          <w:rPr>
            <w:noProof/>
            <w:webHidden/>
          </w:rPr>
          <w:t>5</w:t>
        </w:r>
        <w:r>
          <w:rPr>
            <w:noProof/>
            <w:webHidden/>
          </w:rPr>
          <w:fldChar w:fldCharType="end"/>
        </w:r>
      </w:hyperlink>
    </w:p>
    <w:p w14:paraId="4FEEB207" w14:textId="2BBD1C2E" w:rsidR="00F91225" w:rsidRDefault="00F91225">
      <w:pPr>
        <w:pStyle w:val="TOC2"/>
        <w:rPr>
          <w:rFonts w:asciiTheme="minorHAnsi" w:eastAsiaTheme="minorEastAsia" w:hAnsiTheme="minorHAnsi" w:cstheme="minorBidi"/>
          <w:noProof/>
          <w:kern w:val="2"/>
          <w:szCs w:val="24"/>
          <w:lang w:val="en-GB" w:eastAsia="en-GB"/>
          <w14:ligatures w14:val="standardContextual"/>
        </w:rPr>
      </w:pPr>
      <w:hyperlink w:anchor="_Toc235620211" w:history="1">
        <w:r w:rsidRPr="00060317">
          <w:rPr>
            <w:rStyle w:val="Hyperlink"/>
            <w:noProof/>
          </w:rPr>
          <w:t>A1.2</w:t>
        </w:r>
        <w:r>
          <w:rPr>
            <w:rFonts w:asciiTheme="minorHAnsi" w:eastAsiaTheme="minorEastAsia" w:hAnsiTheme="minorHAnsi" w:cstheme="minorBidi"/>
            <w:noProof/>
            <w:kern w:val="2"/>
            <w:szCs w:val="24"/>
            <w:lang w:val="en-GB" w:eastAsia="en-GB"/>
            <w14:ligatures w14:val="standardContextual"/>
          </w:rPr>
          <w:tab/>
        </w:r>
        <w:r w:rsidRPr="00060317">
          <w:rPr>
            <w:rStyle w:val="Hyperlink"/>
            <w:noProof/>
          </w:rPr>
          <w:t>Criteria</w:t>
        </w:r>
        <w:r>
          <w:rPr>
            <w:noProof/>
            <w:webHidden/>
          </w:rPr>
          <w:tab/>
        </w:r>
        <w:r>
          <w:rPr>
            <w:noProof/>
            <w:webHidden/>
          </w:rPr>
          <w:tab/>
        </w:r>
        <w:r>
          <w:rPr>
            <w:noProof/>
            <w:webHidden/>
          </w:rPr>
          <w:fldChar w:fldCharType="begin"/>
        </w:r>
        <w:r>
          <w:rPr>
            <w:noProof/>
            <w:webHidden/>
          </w:rPr>
          <w:instrText xml:space="preserve"> PAGEREF _Toc235620211 \h </w:instrText>
        </w:r>
        <w:r>
          <w:rPr>
            <w:noProof/>
            <w:webHidden/>
          </w:rPr>
        </w:r>
        <w:r>
          <w:rPr>
            <w:noProof/>
            <w:webHidden/>
          </w:rPr>
          <w:fldChar w:fldCharType="separate"/>
        </w:r>
        <w:r w:rsidR="008F480E">
          <w:rPr>
            <w:noProof/>
            <w:webHidden/>
          </w:rPr>
          <w:t>6</w:t>
        </w:r>
        <w:r>
          <w:rPr>
            <w:noProof/>
            <w:webHidden/>
          </w:rPr>
          <w:fldChar w:fldCharType="end"/>
        </w:r>
      </w:hyperlink>
    </w:p>
    <w:p w14:paraId="40C7D4AB" w14:textId="33F48B15" w:rsidR="00F91225" w:rsidRDefault="00F91225">
      <w:pPr>
        <w:pStyle w:val="TOC2"/>
        <w:rPr>
          <w:rFonts w:asciiTheme="minorHAnsi" w:eastAsiaTheme="minorEastAsia" w:hAnsiTheme="minorHAnsi" w:cstheme="minorBidi"/>
          <w:noProof/>
          <w:kern w:val="2"/>
          <w:szCs w:val="24"/>
          <w:lang w:val="en-GB" w:eastAsia="en-GB"/>
          <w14:ligatures w14:val="standardContextual"/>
        </w:rPr>
      </w:pPr>
      <w:hyperlink w:anchor="_Toc235620215" w:history="1">
        <w:r w:rsidRPr="00060317">
          <w:rPr>
            <w:rStyle w:val="Hyperlink"/>
            <w:noProof/>
          </w:rPr>
          <w:t>A1.3</w:t>
        </w:r>
        <w:r>
          <w:rPr>
            <w:rFonts w:asciiTheme="minorHAnsi" w:eastAsiaTheme="minorEastAsia" w:hAnsiTheme="minorHAnsi" w:cstheme="minorBidi"/>
            <w:noProof/>
            <w:kern w:val="2"/>
            <w:szCs w:val="24"/>
            <w:lang w:val="en-GB" w:eastAsia="en-GB"/>
            <w14:ligatures w14:val="standardContextual"/>
          </w:rPr>
          <w:tab/>
        </w:r>
        <w:r w:rsidRPr="00060317">
          <w:rPr>
            <w:rStyle w:val="Hyperlink"/>
            <w:noProof/>
          </w:rPr>
          <w:t>Methodologies and required information</w:t>
        </w:r>
        <w:r>
          <w:rPr>
            <w:noProof/>
            <w:webHidden/>
          </w:rPr>
          <w:tab/>
        </w:r>
        <w:r>
          <w:rPr>
            <w:noProof/>
            <w:webHidden/>
          </w:rPr>
          <w:tab/>
        </w:r>
        <w:r>
          <w:rPr>
            <w:noProof/>
            <w:webHidden/>
          </w:rPr>
          <w:fldChar w:fldCharType="begin"/>
        </w:r>
        <w:r>
          <w:rPr>
            <w:noProof/>
            <w:webHidden/>
          </w:rPr>
          <w:instrText xml:space="preserve"> PAGEREF _Toc235620215 \h </w:instrText>
        </w:r>
        <w:r>
          <w:rPr>
            <w:noProof/>
            <w:webHidden/>
          </w:rPr>
        </w:r>
        <w:r>
          <w:rPr>
            <w:noProof/>
            <w:webHidden/>
          </w:rPr>
          <w:fldChar w:fldCharType="separate"/>
        </w:r>
        <w:r w:rsidR="008F480E">
          <w:rPr>
            <w:noProof/>
            <w:webHidden/>
          </w:rPr>
          <w:t>9</w:t>
        </w:r>
        <w:r>
          <w:rPr>
            <w:noProof/>
            <w:webHidden/>
          </w:rPr>
          <w:fldChar w:fldCharType="end"/>
        </w:r>
      </w:hyperlink>
    </w:p>
    <w:p w14:paraId="0D21FE88" w14:textId="5A65B365" w:rsidR="00F91225" w:rsidRDefault="00F91225">
      <w:pPr>
        <w:pStyle w:val="TOC2"/>
        <w:rPr>
          <w:rFonts w:asciiTheme="minorHAnsi" w:eastAsiaTheme="minorEastAsia" w:hAnsiTheme="minorHAnsi" w:cstheme="minorBidi"/>
          <w:noProof/>
          <w:kern w:val="2"/>
          <w:szCs w:val="24"/>
          <w:lang w:val="en-GB" w:eastAsia="en-GB"/>
          <w14:ligatures w14:val="standardContextual"/>
        </w:rPr>
      </w:pPr>
      <w:hyperlink w:anchor="_Toc235620219" w:history="1">
        <w:r w:rsidRPr="00060317">
          <w:rPr>
            <w:rStyle w:val="Hyperlink"/>
            <w:noProof/>
            <w:lang w:eastAsia="zh-CN"/>
          </w:rPr>
          <w:t>A1.</w:t>
        </w:r>
        <w:r w:rsidRPr="00060317">
          <w:rPr>
            <w:rStyle w:val="Hyperlink"/>
            <w:noProof/>
          </w:rPr>
          <w:t>4</w:t>
        </w:r>
        <w:r>
          <w:rPr>
            <w:rFonts w:asciiTheme="minorHAnsi" w:eastAsiaTheme="minorEastAsia" w:hAnsiTheme="minorHAnsi" w:cstheme="minorBidi"/>
            <w:noProof/>
            <w:kern w:val="2"/>
            <w:szCs w:val="24"/>
            <w:lang w:val="en-GB" w:eastAsia="en-GB"/>
            <w14:ligatures w14:val="standardContextual"/>
          </w:rPr>
          <w:tab/>
        </w:r>
        <w:r w:rsidRPr="00060317">
          <w:rPr>
            <w:rStyle w:val="Hyperlink"/>
            <w:noProof/>
          </w:rPr>
          <w:t>Technical approaches that improve spectrum availability</w:t>
        </w:r>
        <w:r>
          <w:rPr>
            <w:noProof/>
            <w:webHidden/>
          </w:rPr>
          <w:tab/>
        </w:r>
        <w:r>
          <w:rPr>
            <w:noProof/>
            <w:webHidden/>
          </w:rPr>
          <w:tab/>
        </w:r>
        <w:r>
          <w:rPr>
            <w:noProof/>
            <w:webHidden/>
          </w:rPr>
          <w:fldChar w:fldCharType="begin"/>
        </w:r>
        <w:r>
          <w:rPr>
            <w:noProof/>
            <w:webHidden/>
          </w:rPr>
          <w:instrText xml:space="preserve"> PAGEREF _Toc235620219 \h </w:instrText>
        </w:r>
        <w:r>
          <w:rPr>
            <w:noProof/>
            <w:webHidden/>
          </w:rPr>
        </w:r>
        <w:r>
          <w:rPr>
            <w:noProof/>
            <w:webHidden/>
          </w:rPr>
          <w:fldChar w:fldCharType="separate"/>
        </w:r>
        <w:r w:rsidR="008F480E">
          <w:rPr>
            <w:noProof/>
            <w:webHidden/>
          </w:rPr>
          <w:t>24</w:t>
        </w:r>
        <w:r>
          <w:rPr>
            <w:noProof/>
            <w:webHidden/>
          </w:rPr>
          <w:fldChar w:fldCharType="end"/>
        </w:r>
      </w:hyperlink>
    </w:p>
    <w:p w14:paraId="6C2E6B10" w14:textId="384123BE" w:rsidR="00F91225" w:rsidRDefault="00F91225">
      <w:pPr>
        <w:pStyle w:val="TOC2"/>
        <w:rPr>
          <w:rFonts w:asciiTheme="minorHAnsi" w:eastAsiaTheme="minorEastAsia" w:hAnsiTheme="minorHAnsi" w:cstheme="minorBidi"/>
          <w:noProof/>
          <w:kern w:val="2"/>
          <w:szCs w:val="24"/>
          <w:lang w:val="en-GB" w:eastAsia="en-GB"/>
          <w14:ligatures w14:val="standardContextual"/>
        </w:rPr>
      </w:pPr>
      <w:hyperlink w:anchor="_Toc235620220" w:history="1">
        <w:r w:rsidRPr="00060317">
          <w:rPr>
            <w:rStyle w:val="Hyperlink"/>
            <w:noProof/>
            <w:lang w:eastAsia="zh-CN"/>
          </w:rPr>
          <w:t>A1.</w:t>
        </w:r>
        <w:r w:rsidRPr="00060317">
          <w:rPr>
            <w:rStyle w:val="Hyperlink"/>
            <w:noProof/>
          </w:rPr>
          <w:t>5</w:t>
        </w:r>
        <w:r>
          <w:rPr>
            <w:rFonts w:asciiTheme="minorHAnsi" w:eastAsiaTheme="minorEastAsia" w:hAnsiTheme="minorHAnsi" w:cstheme="minorBidi"/>
            <w:noProof/>
            <w:kern w:val="2"/>
            <w:szCs w:val="24"/>
            <w:lang w:val="en-GB" w:eastAsia="en-GB"/>
            <w14:ligatures w14:val="standardContextual"/>
          </w:rPr>
          <w:tab/>
        </w:r>
        <w:r w:rsidRPr="00060317">
          <w:rPr>
            <w:rStyle w:val="Hyperlink"/>
            <w:noProof/>
          </w:rPr>
          <w:t>References</w:t>
        </w:r>
        <w:r>
          <w:rPr>
            <w:noProof/>
            <w:webHidden/>
          </w:rPr>
          <w:tab/>
        </w:r>
        <w:r>
          <w:rPr>
            <w:noProof/>
            <w:webHidden/>
          </w:rPr>
          <w:tab/>
        </w:r>
        <w:r>
          <w:rPr>
            <w:noProof/>
            <w:webHidden/>
          </w:rPr>
          <w:fldChar w:fldCharType="begin"/>
        </w:r>
        <w:r>
          <w:rPr>
            <w:noProof/>
            <w:webHidden/>
          </w:rPr>
          <w:instrText xml:space="preserve"> PAGEREF _Toc235620220 \h </w:instrText>
        </w:r>
        <w:r>
          <w:rPr>
            <w:noProof/>
            <w:webHidden/>
          </w:rPr>
        </w:r>
        <w:r>
          <w:rPr>
            <w:noProof/>
            <w:webHidden/>
          </w:rPr>
          <w:fldChar w:fldCharType="separate"/>
        </w:r>
        <w:r w:rsidR="008F480E">
          <w:rPr>
            <w:noProof/>
            <w:webHidden/>
          </w:rPr>
          <w:t>24</w:t>
        </w:r>
        <w:r>
          <w:rPr>
            <w:noProof/>
            <w:webHidden/>
          </w:rPr>
          <w:fldChar w:fldCharType="end"/>
        </w:r>
      </w:hyperlink>
    </w:p>
    <w:p w14:paraId="4BCE45D7" w14:textId="78C2E730" w:rsidR="00F91225" w:rsidRDefault="00F91225">
      <w:pPr>
        <w:pStyle w:val="TOC1"/>
        <w:rPr>
          <w:rFonts w:asciiTheme="minorHAnsi" w:eastAsiaTheme="minorEastAsia" w:hAnsiTheme="minorHAnsi" w:cstheme="minorBidi"/>
          <w:noProof/>
          <w:kern w:val="2"/>
          <w:szCs w:val="24"/>
          <w:lang w:val="en-GB" w:eastAsia="en-GB"/>
          <w14:ligatures w14:val="standardContextual"/>
        </w:rPr>
      </w:pPr>
      <w:hyperlink w:anchor="_Toc235620221" w:history="1">
        <w:r w:rsidRPr="00060317">
          <w:rPr>
            <w:rStyle w:val="Hyperlink"/>
            <w:noProof/>
            <w:lang w:eastAsia="ko-KR"/>
          </w:rPr>
          <w:t xml:space="preserve">Annex 2 </w:t>
        </w:r>
        <w:r w:rsidRPr="00F91225">
          <w:rPr>
            <w:rStyle w:val="Hyperlink"/>
            <w:noProof/>
            <w:lang w:eastAsia="ko-KR"/>
          </w:rPr>
          <w:t>–</w:t>
        </w:r>
        <w:r w:rsidRPr="00060317">
          <w:rPr>
            <w:rStyle w:val="Hyperlink"/>
            <w:noProof/>
            <w:lang w:eastAsia="ko-KR"/>
          </w:rPr>
          <w:t xml:space="preserve"> Case studies from China (People’s Republic of)</w:t>
        </w:r>
        <w:r>
          <w:rPr>
            <w:noProof/>
            <w:webHidden/>
          </w:rPr>
          <w:tab/>
        </w:r>
        <w:r>
          <w:rPr>
            <w:noProof/>
            <w:webHidden/>
          </w:rPr>
          <w:tab/>
        </w:r>
        <w:r>
          <w:rPr>
            <w:noProof/>
            <w:webHidden/>
          </w:rPr>
          <w:fldChar w:fldCharType="begin"/>
        </w:r>
        <w:r>
          <w:rPr>
            <w:noProof/>
            <w:webHidden/>
          </w:rPr>
          <w:instrText xml:space="preserve"> PAGEREF _Toc235620221 \h </w:instrText>
        </w:r>
        <w:r>
          <w:rPr>
            <w:noProof/>
            <w:webHidden/>
          </w:rPr>
        </w:r>
        <w:r>
          <w:rPr>
            <w:noProof/>
            <w:webHidden/>
          </w:rPr>
          <w:fldChar w:fldCharType="separate"/>
        </w:r>
        <w:r w:rsidR="008F480E">
          <w:rPr>
            <w:noProof/>
            <w:webHidden/>
          </w:rPr>
          <w:t>26</w:t>
        </w:r>
        <w:r>
          <w:rPr>
            <w:noProof/>
            <w:webHidden/>
          </w:rPr>
          <w:fldChar w:fldCharType="end"/>
        </w:r>
      </w:hyperlink>
    </w:p>
    <w:p w14:paraId="435A1ADA" w14:textId="0019E855" w:rsidR="00F91225" w:rsidRDefault="00F91225">
      <w:pPr>
        <w:pStyle w:val="TOC2"/>
        <w:rPr>
          <w:rFonts w:asciiTheme="minorHAnsi" w:eastAsiaTheme="minorEastAsia" w:hAnsiTheme="minorHAnsi" w:cstheme="minorBidi"/>
          <w:noProof/>
          <w:kern w:val="2"/>
          <w:szCs w:val="24"/>
          <w:lang w:val="en-GB" w:eastAsia="en-GB"/>
          <w14:ligatures w14:val="standardContextual"/>
        </w:rPr>
      </w:pPr>
      <w:hyperlink w:anchor="_Toc235620222" w:history="1">
        <w:r w:rsidRPr="00060317">
          <w:rPr>
            <w:rStyle w:val="Hyperlink"/>
            <w:noProof/>
            <w:lang w:eastAsia="zh-CN"/>
          </w:rPr>
          <w:t>A2.</w:t>
        </w:r>
        <w:r w:rsidRPr="00060317">
          <w:rPr>
            <w:rStyle w:val="Hyperlink"/>
            <w:rFonts w:eastAsia="Malgun Gothic"/>
            <w:noProof/>
          </w:rPr>
          <w:t>1</w:t>
        </w:r>
        <w:r>
          <w:rPr>
            <w:rFonts w:asciiTheme="minorHAnsi" w:eastAsiaTheme="minorEastAsia" w:hAnsiTheme="minorHAnsi" w:cstheme="minorBidi"/>
            <w:noProof/>
            <w:kern w:val="2"/>
            <w:szCs w:val="24"/>
            <w:lang w:val="en-GB" w:eastAsia="en-GB"/>
            <w14:ligatures w14:val="standardContextual"/>
          </w:rPr>
          <w:tab/>
        </w:r>
        <w:r w:rsidRPr="00060317">
          <w:rPr>
            <w:rStyle w:val="Hyperlink"/>
            <w:rFonts w:eastAsia="Malgun Gothic"/>
            <w:noProof/>
          </w:rPr>
          <w:t>Indicators for assessing or predicting spectrum availability</w:t>
        </w:r>
        <w:r>
          <w:rPr>
            <w:noProof/>
            <w:webHidden/>
          </w:rPr>
          <w:tab/>
        </w:r>
        <w:r>
          <w:rPr>
            <w:noProof/>
            <w:webHidden/>
          </w:rPr>
          <w:tab/>
        </w:r>
        <w:r>
          <w:rPr>
            <w:noProof/>
            <w:webHidden/>
          </w:rPr>
          <w:fldChar w:fldCharType="begin"/>
        </w:r>
        <w:r>
          <w:rPr>
            <w:noProof/>
            <w:webHidden/>
          </w:rPr>
          <w:instrText xml:space="preserve"> PAGEREF _Toc235620222 \h </w:instrText>
        </w:r>
        <w:r>
          <w:rPr>
            <w:noProof/>
            <w:webHidden/>
          </w:rPr>
        </w:r>
        <w:r>
          <w:rPr>
            <w:noProof/>
            <w:webHidden/>
          </w:rPr>
          <w:fldChar w:fldCharType="separate"/>
        </w:r>
        <w:r w:rsidR="008F480E">
          <w:rPr>
            <w:noProof/>
            <w:webHidden/>
          </w:rPr>
          <w:t>26</w:t>
        </w:r>
        <w:r>
          <w:rPr>
            <w:noProof/>
            <w:webHidden/>
          </w:rPr>
          <w:fldChar w:fldCharType="end"/>
        </w:r>
      </w:hyperlink>
    </w:p>
    <w:p w14:paraId="72C4FD8D" w14:textId="042788CD" w:rsidR="00F91225" w:rsidRDefault="00F91225">
      <w:pPr>
        <w:pStyle w:val="TOC2"/>
        <w:rPr>
          <w:rFonts w:asciiTheme="minorHAnsi" w:eastAsiaTheme="minorEastAsia" w:hAnsiTheme="minorHAnsi" w:cstheme="minorBidi"/>
          <w:noProof/>
          <w:kern w:val="2"/>
          <w:szCs w:val="24"/>
          <w:lang w:val="en-GB" w:eastAsia="en-GB"/>
          <w14:ligatures w14:val="standardContextual"/>
        </w:rPr>
      </w:pPr>
      <w:hyperlink w:anchor="_Toc235620223" w:history="1">
        <w:r w:rsidRPr="00060317">
          <w:rPr>
            <w:rStyle w:val="Hyperlink"/>
            <w:noProof/>
            <w:lang w:eastAsia="zh-CN"/>
          </w:rPr>
          <w:t>A2.</w:t>
        </w:r>
        <w:r w:rsidRPr="00060317">
          <w:rPr>
            <w:rStyle w:val="Hyperlink"/>
            <w:rFonts w:eastAsia="Malgun Gothic"/>
            <w:noProof/>
            <w:lang w:eastAsia="ko-KR"/>
          </w:rPr>
          <w:t>2</w:t>
        </w:r>
        <w:r>
          <w:rPr>
            <w:rFonts w:asciiTheme="minorHAnsi" w:eastAsiaTheme="minorEastAsia" w:hAnsiTheme="minorHAnsi" w:cstheme="minorBidi"/>
            <w:noProof/>
            <w:kern w:val="2"/>
            <w:szCs w:val="24"/>
            <w:lang w:val="en-GB" w:eastAsia="en-GB"/>
            <w14:ligatures w14:val="standardContextual"/>
          </w:rPr>
          <w:tab/>
        </w:r>
        <w:r w:rsidRPr="00060317">
          <w:rPr>
            <w:rStyle w:val="Hyperlink"/>
            <w:rFonts w:eastAsia="Malgun Gothic"/>
            <w:noProof/>
            <w:lang w:eastAsia="ko-KR"/>
          </w:rPr>
          <w:t>A space-time correlation-based algorithm for</w:t>
        </w:r>
        <w:r w:rsidRPr="00060317">
          <w:rPr>
            <w:rStyle w:val="Hyperlink"/>
            <w:noProof/>
            <w:lang w:eastAsia="zh-CN"/>
          </w:rPr>
          <w:t xml:space="preserve"> predicti</w:t>
        </w:r>
        <w:r w:rsidRPr="00060317">
          <w:rPr>
            <w:rStyle w:val="Hyperlink"/>
            <w:rFonts w:eastAsia="Malgun Gothic"/>
            <w:noProof/>
            <w:lang w:eastAsia="ko-KR"/>
          </w:rPr>
          <w:t>ng</w:t>
        </w:r>
        <w:r w:rsidRPr="00060317">
          <w:rPr>
            <w:rStyle w:val="Hyperlink"/>
            <w:noProof/>
            <w:lang w:eastAsia="zh-CN"/>
          </w:rPr>
          <w:t xml:space="preserve"> availability of radio spectrum</w:t>
        </w:r>
        <w:r>
          <w:rPr>
            <w:noProof/>
            <w:webHidden/>
          </w:rPr>
          <w:tab/>
        </w:r>
        <w:r>
          <w:rPr>
            <w:noProof/>
            <w:webHidden/>
          </w:rPr>
          <w:tab/>
        </w:r>
        <w:r>
          <w:rPr>
            <w:noProof/>
            <w:webHidden/>
          </w:rPr>
          <w:fldChar w:fldCharType="begin"/>
        </w:r>
        <w:r>
          <w:rPr>
            <w:noProof/>
            <w:webHidden/>
          </w:rPr>
          <w:instrText xml:space="preserve"> PAGEREF _Toc235620223 \h </w:instrText>
        </w:r>
        <w:r>
          <w:rPr>
            <w:noProof/>
            <w:webHidden/>
          </w:rPr>
        </w:r>
        <w:r>
          <w:rPr>
            <w:noProof/>
            <w:webHidden/>
          </w:rPr>
          <w:fldChar w:fldCharType="separate"/>
        </w:r>
        <w:r w:rsidR="008F480E">
          <w:rPr>
            <w:noProof/>
            <w:webHidden/>
          </w:rPr>
          <w:t>27</w:t>
        </w:r>
        <w:r>
          <w:rPr>
            <w:noProof/>
            <w:webHidden/>
          </w:rPr>
          <w:fldChar w:fldCharType="end"/>
        </w:r>
      </w:hyperlink>
    </w:p>
    <w:p w14:paraId="0A3FFAB2" w14:textId="5450F9B6" w:rsidR="00F91225" w:rsidRDefault="00F91225">
      <w:pPr>
        <w:pStyle w:val="TOC1"/>
        <w:rPr>
          <w:rFonts w:asciiTheme="minorHAnsi" w:eastAsiaTheme="minorEastAsia" w:hAnsiTheme="minorHAnsi" w:cstheme="minorBidi"/>
          <w:noProof/>
          <w:kern w:val="2"/>
          <w:szCs w:val="24"/>
          <w:lang w:val="en-GB" w:eastAsia="en-GB"/>
          <w14:ligatures w14:val="standardContextual"/>
        </w:rPr>
      </w:pPr>
      <w:hyperlink w:anchor="_Toc235620224" w:history="1">
        <w:r w:rsidRPr="00060317">
          <w:rPr>
            <w:rStyle w:val="Hyperlink"/>
            <w:noProof/>
          </w:rPr>
          <w:t>Annex</w:t>
        </w:r>
        <w:r w:rsidRPr="00060317">
          <w:rPr>
            <w:rStyle w:val="Hyperlink"/>
            <w:noProof/>
            <w:lang w:eastAsia="ko-KR"/>
          </w:rPr>
          <w:t xml:space="preserve"> 3 </w:t>
        </w:r>
        <w:r w:rsidRPr="00F91225">
          <w:rPr>
            <w:rStyle w:val="Hyperlink"/>
            <w:noProof/>
            <w:lang w:eastAsia="ko-KR"/>
          </w:rPr>
          <w:t>–</w:t>
        </w:r>
        <w:r w:rsidRPr="00060317">
          <w:rPr>
            <w:rStyle w:val="Hyperlink"/>
            <w:noProof/>
            <w:lang w:eastAsia="ko-KR"/>
          </w:rPr>
          <w:t xml:space="preserve"> Case studies from Indonesia (Republic of)</w:t>
        </w:r>
        <w:r>
          <w:rPr>
            <w:noProof/>
            <w:webHidden/>
          </w:rPr>
          <w:tab/>
        </w:r>
        <w:r>
          <w:rPr>
            <w:noProof/>
            <w:webHidden/>
          </w:rPr>
          <w:tab/>
        </w:r>
        <w:r>
          <w:rPr>
            <w:noProof/>
            <w:webHidden/>
          </w:rPr>
          <w:fldChar w:fldCharType="begin"/>
        </w:r>
        <w:r>
          <w:rPr>
            <w:noProof/>
            <w:webHidden/>
          </w:rPr>
          <w:instrText xml:space="preserve"> PAGEREF _Toc235620224 \h </w:instrText>
        </w:r>
        <w:r>
          <w:rPr>
            <w:noProof/>
            <w:webHidden/>
          </w:rPr>
        </w:r>
        <w:r>
          <w:rPr>
            <w:noProof/>
            <w:webHidden/>
          </w:rPr>
          <w:fldChar w:fldCharType="separate"/>
        </w:r>
        <w:r w:rsidR="008F480E">
          <w:rPr>
            <w:noProof/>
            <w:webHidden/>
          </w:rPr>
          <w:t>28</w:t>
        </w:r>
        <w:r>
          <w:rPr>
            <w:noProof/>
            <w:webHidden/>
          </w:rPr>
          <w:fldChar w:fldCharType="end"/>
        </w:r>
      </w:hyperlink>
    </w:p>
    <w:p w14:paraId="53812481" w14:textId="2F31D367" w:rsidR="00F91225" w:rsidRDefault="00F91225">
      <w:pPr>
        <w:pStyle w:val="TOC2"/>
        <w:rPr>
          <w:rFonts w:asciiTheme="minorHAnsi" w:eastAsiaTheme="minorEastAsia" w:hAnsiTheme="minorHAnsi" w:cstheme="minorBidi"/>
          <w:noProof/>
          <w:kern w:val="2"/>
          <w:szCs w:val="24"/>
          <w:lang w:val="en-GB" w:eastAsia="en-GB"/>
          <w14:ligatures w14:val="standardContextual"/>
        </w:rPr>
      </w:pPr>
      <w:hyperlink w:anchor="_Toc235620225" w:history="1">
        <w:r w:rsidRPr="00060317">
          <w:rPr>
            <w:rStyle w:val="Hyperlink"/>
            <w:noProof/>
            <w:lang w:eastAsia="zh-CN"/>
          </w:rPr>
          <w:t>A3.1</w:t>
        </w:r>
        <w:r>
          <w:rPr>
            <w:rFonts w:asciiTheme="minorHAnsi" w:eastAsiaTheme="minorEastAsia" w:hAnsiTheme="minorHAnsi" w:cstheme="minorBidi"/>
            <w:noProof/>
            <w:kern w:val="2"/>
            <w:szCs w:val="24"/>
            <w:lang w:val="en-GB" w:eastAsia="en-GB"/>
            <w14:ligatures w14:val="standardContextual"/>
          </w:rPr>
          <w:tab/>
        </w:r>
        <w:r w:rsidRPr="00060317">
          <w:rPr>
            <w:rStyle w:val="Hyperlink"/>
            <w:noProof/>
            <w:lang w:eastAsia="zh-CN"/>
          </w:rPr>
          <w:t>Introduction</w:t>
        </w:r>
        <w:r>
          <w:rPr>
            <w:noProof/>
            <w:webHidden/>
          </w:rPr>
          <w:tab/>
        </w:r>
        <w:r>
          <w:rPr>
            <w:noProof/>
            <w:webHidden/>
          </w:rPr>
          <w:tab/>
        </w:r>
        <w:r>
          <w:rPr>
            <w:noProof/>
            <w:webHidden/>
          </w:rPr>
          <w:fldChar w:fldCharType="begin"/>
        </w:r>
        <w:r>
          <w:rPr>
            <w:noProof/>
            <w:webHidden/>
          </w:rPr>
          <w:instrText xml:space="preserve"> PAGEREF _Toc235620225 \h </w:instrText>
        </w:r>
        <w:r>
          <w:rPr>
            <w:noProof/>
            <w:webHidden/>
          </w:rPr>
        </w:r>
        <w:r>
          <w:rPr>
            <w:noProof/>
            <w:webHidden/>
          </w:rPr>
          <w:fldChar w:fldCharType="separate"/>
        </w:r>
        <w:r w:rsidR="008F480E">
          <w:rPr>
            <w:noProof/>
            <w:webHidden/>
          </w:rPr>
          <w:t>28</w:t>
        </w:r>
        <w:r>
          <w:rPr>
            <w:noProof/>
            <w:webHidden/>
          </w:rPr>
          <w:fldChar w:fldCharType="end"/>
        </w:r>
      </w:hyperlink>
    </w:p>
    <w:p w14:paraId="1C62384A" w14:textId="68A641D7" w:rsidR="00F91225" w:rsidRDefault="00F91225">
      <w:pPr>
        <w:pStyle w:val="TOC2"/>
        <w:rPr>
          <w:rFonts w:asciiTheme="minorHAnsi" w:eastAsiaTheme="minorEastAsia" w:hAnsiTheme="minorHAnsi" w:cstheme="minorBidi"/>
          <w:noProof/>
          <w:kern w:val="2"/>
          <w:szCs w:val="24"/>
          <w:lang w:val="en-GB" w:eastAsia="en-GB"/>
          <w14:ligatures w14:val="standardContextual"/>
        </w:rPr>
      </w:pPr>
      <w:hyperlink w:anchor="_Toc235620226" w:history="1">
        <w:r w:rsidRPr="00060317">
          <w:rPr>
            <w:rStyle w:val="Hyperlink"/>
            <w:noProof/>
            <w:lang w:eastAsia="zh-CN"/>
          </w:rPr>
          <w:t>A3.2</w:t>
        </w:r>
        <w:r>
          <w:rPr>
            <w:rFonts w:asciiTheme="minorHAnsi" w:eastAsiaTheme="minorEastAsia" w:hAnsiTheme="minorHAnsi" w:cstheme="minorBidi"/>
            <w:noProof/>
            <w:kern w:val="2"/>
            <w:szCs w:val="24"/>
            <w:lang w:val="en-GB" w:eastAsia="en-GB"/>
            <w14:ligatures w14:val="standardContextual"/>
          </w:rPr>
          <w:tab/>
        </w:r>
        <w:r w:rsidRPr="00060317">
          <w:rPr>
            <w:rStyle w:val="Hyperlink"/>
            <w:noProof/>
            <w:lang w:eastAsia="zh-CN"/>
          </w:rPr>
          <w:t>Implementation</w:t>
        </w:r>
        <w:r>
          <w:rPr>
            <w:noProof/>
            <w:webHidden/>
          </w:rPr>
          <w:tab/>
        </w:r>
        <w:r>
          <w:rPr>
            <w:noProof/>
            <w:webHidden/>
          </w:rPr>
          <w:tab/>
        </w:r>
        <w:r>
          <w:rPr>
            <w:noProof/>
            <w:webHidden/>
          </w:rPr>
          <w:fldChar w:fldCharType="begin"/>
        </w:r>
        <w:r>
          <w:rPr>
            <w:noProof/>
            <w:webHidden/>
          </w:rPr>
          <w:instrText xml:space="preserve"> PAGEREF _Toc235620226 \h </w:instrText>
        </w:r>
        <w:r>
          <w:rPr>
            <w:noProof/>
            <w:webHidden/>
          </w:rPr>
        </w:r>
        <w:r>
          <w:rPr>
            <w:noProof/>
            <w:webHidden/>
          </w:rPr>
          <w:fldChar w:fldCharType="separate"/>
        </w:r>
        <w:r w:rsidR="008F480E">
          <w:rPr>
            <w:noProof/>
            <w:webHidden/>
          </w:rPr>
          <w:t>28</w:t>
        </w:r>
        <w:r>
          <w:rPr>
            <w:noProof/>
            <w:webHidden/>
          </w:rPr>
          <w:fldChar w:fldCharType="end"/>
        </w:r>
      </w:hyperlink>
    </w:p>
    <w:p w14:paraId="7F163709" w14:textId="14F230B0" w:rsidR="00F91225" w:rsidRDefault="00F91225">
      <w:pPr>
        <w:pStyle w:val="TOC2"/>
        <w:rPr>
          <w:rFonts w:asciiTheme="minorHAnsi" w:eastAsiaTheme="minorEastAsia" w:hAnsiTheme="minorHAnsi" w:cstheme="minorBidi"/>
          <w:noProof/>
          <w:kern w:val="2"/>
          <w:szCs w:val="24"/>
          <w:lang w:val="en-GB" w:eastAsia="en-GB"/>
          <w14:ligatures w14:val="standardContextual"/>
        </w:rPr>
      </w:pPr>
      <w:hyperlink w:anchor="_Toc235620227" w:history="1">
        <w:r w:rsidRPr="00060317">
          <w:rPr>
            <w:rStyle w:val="Hyperlink"/>
            <w:noProof/>
            <w:lang w:eastAsia="zh-CN"/>
          </w:rPr>
          <w:t>A3.3</w:t>
        </w:r>
        <w:r>
          <w:rPr>
            <w:rFonts w:asciiTheme="minorHAnsi" w:eastAsiaTheme="minorEastAsia" w:hAnsiTheme="minorHAnsi" w:cstheme="minorBidi"/>
            <w:noProof/>
            <w:kern w:val="2"/>
            <w:szCs w:val="24"/>
            <w:lang w:val="en-GB" w:eastAsia="en-GB"/>
            <w14:ligatures w14:val="standardContextual"/>
          </w:rPr>
          <w:tab/>
        </w:r>
        <w:r w:rsidRPr="00060317">
          <w:rPr>
            <w:rStyle w:val="Hyperlink"/>
            <w:noProof/>
          </w:rPr>
          <w:t>Summary</w:t>
        </w:r>
        <w:r>
          <w:rPr>
            <w:noProof/>
            <w:webHidden/>
          </w:rPr>
          <w:tab/>
        </w:r>
        <w:r>
          <w:rPr>
            <w:noProof/>
            <w:webHidden/>
          </w:rPr>
          <w:tab/>
        </w:r>
        <w:r>
          <w:rPr>
            <w:noProof/>
            <w:webHidden/>
          </w:rPr>
          <w:fldChar w:fldCharType="begin"/>
        </w:r>
        <w:r>
          <w:rPr>
            <w:noProof/>
            <w:webHidden/>
          </w:rPr>
          <w:instrText xml:space="preserve"> PAGEREF _Toc235620227 \h </w:instrText>
        </w:r>
        <w:r>
          <w:rPr>
            <w:noProof/>
            <w:webHidden/>
          </w:rPr>
        </w:r>
        <w:r>
          <w:rPr>
            <w:noProof/>
            <w:webHidden/>
          </w:rPr>
          <w:fldChar w:fldCharType="separate"/>
        </w:r>
        <w:r w:rsidR="008F480E">
          <w:rPr>
            <w:noProof/>
            <w:webHidden/>
          </w:rPr>
          <w:t>32</w:t>
        </w:r>
        <w:r>
          <w:rPr>
            <w:noProof/>
            <w:webHidden/>
          </w:rPr>
          <w:fldChar w:fldCharType="end"/>
        </w:r>
      </w:hyperlink>
    </w:p>
    <w:p w14:paraId="124A5167" w14:textId="586CE080" w:rsidR="00F91225" w:rsidRDefault="00F91225">
      <w:pPr>
        <w:pStyle w:val="TOC1"/>
        <w:rPr>
          <w:rFonts w:asciiTheme="minorHAnsi" w:eastAsiaTheme="minorEastAsia" w:hAnsiTheme="minorHAnsi" w:cstheme="minorBidi"/>
          <w:noProof/>
          <w:kern w:val="2"/>
          <w:szCs w:val="24"/>
          <w:lang w:val="en-GB" w:eastAsia="en-GB"/>
          <w14:ligatures w14:val="standardContextual"/>
        </w:rPr>
      </w:pPr>
      <w:hyperlink w:anchor="_Toc235620228" w:history="1">
        <w:r w:rsidRPr="00060317">
          <w:rPr>
            <w:rStyle w:val="Hyperlink"/>
            <w:noProof/>
            <w:lang w:eastAsia="ko-KR"/>
          </w:rPr>
          <w:t xml:space="preserve">Annex 4 </w:t>
        </w:r>
        <w:r w:rsidRPr="00F91225">
          <w:rPr>
            <w:rStyle w:val="Hyperlink"/>
            <w:noProof/>
            <w:lang w:eastAsia="ko-KR"/>
          </w:rPr>
          <w:t>–</w:t>
        </w:r>
        <w:r w:rsidRPr="00060317">
          <w:rPr>
            <w:rStyle w:val="Hyperlink"/>
            <w:noProof/>
            <w:lang w:eastAsia="ko-KR"/>
          </w:rPr>
          <w:t xml:space="preserve"> Case studies from Brazil </w:t>
        </w:r>
        <w:r w:rsidRPr="00060317">
          <w:rPr>
            <w:rStyle w:val="Hyperlink"/>
            <w:noProof/>
            <w:lang w:eastAsia="zh-CN"/>
          </w:rPr>
          <w:t>(Federative Republic of)</w:t>
        </w:r>
        <w:r>
          <w:rPr>
            <w:noProof/>
            <w:webHidden/>
          </w:rPr>
          <w:tab/>
        </w:r>
        <w:r>
          <w:rPr>
            <w:noProof/>
            <w:webHidden/>
          </w:rPr>
          <w:tab/>
        </w:r>
        <w:r>
          <w:rPr>
            <w:noProof/>
            <w:webHidden/>
          </w:rPr>
          <w:fldChar w:fldCharType="begin"/>
        </w:r>
        <w:r>
          <w:rPr>
            <w:noProof/>
            <w:webHidden/>
          </w:rPr>
          <w:instrText xml:space="preserve"> PAGEREF _Toc235620228 \h </w:instrText>
        </w:r>
        <w:r>
          <w:rPr>
            <w:noProof/>
            <w:webHidden/>
          </w:rPr>
        </w:r>
        <w:r>
          <w:rPr>
            <w:noProof/>
            <w:webHidden/>
          </w:rPr>
          <w:fldChar w:fldCharType="separate"/>
        </w:r>
        <w:r w:rsidR="008F480E">
          <w:rPr>
            <w:noProof/>
            <w:webHidden/>
          </w:rPr>
          <w:t>33</w:t>
        </w:r>
        <w:r>
          <w:rPr>
            <w:noProof/>
            <w:webHidden/>
          </w:rPr>
          <w:fldChar w:fldCharType="end"/>
        </w:r>
      </w:hyperlink>
    </w:p>
    <w:p w14:paraId="48219D15" w14:textId="28E1FF96" w:rsidR="00F91225" w:rsidRDefault="00F91225">
      <w:pPr>
        <w:pStyle w:val="TOC1"/>
        <w:rPr>
          <w:rFonts w:asciiTheme="minorHAnsi" w:eastAsiaTheme="minorEastAsia" w:hAnsiTheme="minorHAnsi" w:cstheme="minorBidi"/>
          <w:noProof/>
          <w:kern w:val="2"/>
          <w:szCs w:val="24"/>
          <w:lang w:val="en-GB" w:eastAsia="en-GB"/>
          <w14:ligatures w14:val="standardContextual"/>
        </w:rPr>
      </w:pPr>
      <w:hyperlink w:anchor="_Toc235620229" w:history="1">
        <w:r w:rsidRPr="00060317">
          <w:rPr>
            <w:rStyle w:val="Hyperlink"/>
            <w:noProof/>
            <w:lang w:eastAsia="ko-KR"/>
          </w:rPr>
          <w:t xml:space="preserve">Annex 5 </w:t>
        </w:r>
        <w:r w:rsidRPr="00F91225">
          <w:rPr>
            <w:rStyle w:val="Hyperlink"/>
            <w:noProof/>
            <w:lang w:eastAsia="ko-KR"/>
          </w:rPr>
          <w:t>–</w:t>
        </w:r>
        <w:r w:rsidRPr="00060317">
          <w:rPr>
            <w:rStyle w:val="Hyperlink"/>
            <w:noProof/>
            <w:lang w:eastAsia="ko-KR"/>
          </w:rPr>
          <w:t xml:space="preserve"> Case studies from India (Republic of)</w:t>
        </w:r>
        <w:r>
          <w:rPr>
            <w:noProof/>
            <w:webHidden/>
          </w:rPr>
          <w:tab/>
        </w:r>
        <w:r>
          <w:rPr>
            <w:noProof/>
            <w:webHidden/>
          </w:rPr>
          <w:tab/>
        </w:r>
        <w:r>
          <w:rPr>
            <w:noProof/>
            <w:webHidden/>
          </w:rPr>
          <w:fldChar w:fldCharType="begin"/>
        </w:r>
        <w:r>
          <w:rPr>
            <w:noProof/>
            <w:webHidden/>
          </w:rPr>
          <w:instrText xml:space="preserve"> PAGEREF _Toc235620229 \h </w:instrText>
        </w:r>
        <w:r>
          <w:rPr>
            <w:noProof/>
            <w:webHidden/>
          </w:rPr>
        </w:r>
        <w:r>
          <w:rPr>
            <w:noProof/>
            <w:webHidden/>
          </w:rPr>
          <w:fldChar w:fldCharType="separate"/>
        </w:r>
        <w:r w:rsidR="008F480E">
          <w:rPr>
            <w:noProof/>
            <w:webHidden/>
          </w:rPr>
          <w:t>36</w:t>
        </w:r>
        <w:r>
          <w:rPr>
            <w:noProof/>
            <w:webHidden/>
          </w:rPr>
          <w:fldChar w:fldCharType="end"/>
        </w:r>
      </w:hyperlink>
    </w:p>
    <w:p w14:paraId="4C93FF1A" w14:textId="654FB543" w:rsidR="00F91225" w:rsidRDefault="00F91225">
      <w:pPr>
        <w:pStyle w:val="TOC2"/>
        <w:rPr>
          <w:rFonts w:asciiTheme="minorHAnsi" w:eastAsiaTheme="minorEastAsia" w:hAnsiTheme="minorHAnsi" w:cstheme="minorBidi"/>
          <w:noProof/>
          <w:kern w:val="2"/>
          <w:szCs w:val="24"/>
          <w:lang w:val="en-GB" w:eastAsia="en-GB"/>
          <w14:ligatures w14:val="standardContextual"/>
        </w:rPr>
      </w:pPr>
      <w:hyperlink w:anchor="_Toc235620230" w:history="1">
        <w:r w:rsidRPr="00060317">
          <w:rPr>
            <w:rStyle w:val="Hyperlink"/>
            <w:noProof/>
            <w:lang w:eastAsia="zh-CN"/>
          </w:rPr>
          <w:t>A5.</w:t>
        </w:r>
        <w:r w:rsidRPr="00060317">
          <w:rPr>
            <w:rStyle w:val="Hyperlink"/>
            <w:rFonts w:eastAsia="Malgun Gothic"/>
            <w:noProof/>
          </w:rPr>
          <w:t>1</w:t>
        </w:r>
        <w:r>
          <w:rPr>
            <w:rFonts w:asciiTheme="minorHAnsi" w:eastAsiaTheme="minorEastAsia" w:hAnsiTheme="minorHAnsi" w:cstheme="minorBidi"/>
            <w:noProof/>
            <w:kern w:val="2"/>
            <w:szCs w:val="24"/>
            <w:lang w:val="en-GB" w:eastAsia="en-GB"/>
            <w14:ligatures w14:val="standardContextual"/>
          </w:rPr>
          <w:tab/>
        </w:r>
        <w:r w:rsidRPr="00060317">
          <w:rPr>
            <w:rStyle w:val="Hyperlink"/>
            <w:rFonts w:eastAsia="Malgun Gothic"/>
            <w:noProof/>
          </w:rPr>
          <w:t>Spectrum surrender option</w:t>
        </w:r>
        <w:r>
          <w:rPr>
            <w:noProof/>
            <w:webHidden/>
          </w:rPr>
          <w:tab/>
        </w:r>
        <w:r>
          <w:rPr>
            <w:noProof/>
            <w:webHidden/>
          </w:rPr>
          <w:tab/>
        </w:r>
        <w:r>
          <w:rPr>
            <w:noProof/>
            <w:webHidden/>
          </w:rPr>
          <w:fldChar w:fldCharType="begin"/>
        </w:r>
        <w:r>
          <w:rPr>
            <w:noProof/>
            <w:webHidden/>
          </w:rPr>
          <w:instrText xml:space="preserve"> PAGEREF _Toc235620230 \h </w:instrText>
        </w:r>
        <w:r>
          <w:rPr>
            <w:noProof/>
            <w:webHidden/>
          </w:rPr>
        </w:r>
        <w:r>
          <w:rPr>
            <w:noProof/>
            <w:webHidden/>
          </w:rPr>
          <w:fldChar w:fldCharType="separate"/>
        </w:r>
        <w:r w:rsidR="008F480E">
          <w:rPr>
            <w:noProof/>
            <w:webHidden/>
          </w:rPr>
          <w:t>37</w:t>
        </w:r>
        <w:r>
          <w:rPr>
            <w:noProof/>
            <w:webHidden/>
          </w:rPr>
          <w:fldChar w:fldCharType="end"/>
        </w:r>
      </w:hyperlink>
    </w:p>
    <w:p w14:paraId="64AE656E" w14:textId="49279F30" w:rsidR="00F91225" w:rsidRDefault="00F91225">
      <w:pPr>
        <w:pStyle w:val="TOC2"/>
        <w:rPr>
          <w:rFonts w:asciiTheme="minorHAnsi" w:eastAsiaTheme="minorEastAsia" w:hAnsiTheme="minorHAnsi" w:cstheme="minorBidi"/>
          <w:noProof/>
          <w:kern w:val="2"/>
          <w:szCs w:val="24"/>
          <w:lang w:val="en-GB" w:eastAsia="en-GB"/>
          <w14:ligatures w14:val="standardContextual"/>
        </w:rPr>
      </w:pPr>
      <w:hyperlink w:anchor="_Toc235620231" w:history="1">
        <w:r w:rsidRPr="00060317">
          <w:rPr>
            <w:rStyle w:val="Hyperlink"/>
            <w:noProof/>
            <w:lang w:eastAsia="zh-CN"/>
          </w:rPr>
          <w:t>A5.</w:t>
        </w:r>
        <w:r w:rsidRPr="00060317">
          <w:rPr>
            <w:rStyle w:val="Hyperlink"/>
            <w:rFonts w:eastAsia="Malgun Gothic"/>
            <w:noProof/>
          </w:rPr>
          <w:t>2</w:t>
        </w:r>
        <w:r>
          <w:rPr>
            <w:rFonts w:asciiTheme="minorHAnsi" w:eastAsiaTheme="minorEastAsia" w:hAnsiTheme="minorHAnsi" w:cstheme="minorBidi"/>
            <w:noProof/>
            <w:kern w:val="2"/>
            <w:szCs w:val="24"/>
            <w:lang w:val="en-GB" w:eastAsia="en-GB"/>
            <w14:ligatures w14:val="standardContextual"/>
          </w:rPr>
          <w:tab/>
        </w:r>
        <w:r w:rsidRPr="00060317">
          <w:rPr>
            <w:rStyle w:val="Hyperlink"/>
            <w:rFonts w:eastAsia="Malgun Gothic"/>
            <w:noProof/>
          </w:rPr>
          <w:t>Spectrum lease option</w:t>
        </w:r>
        <w:r>
          <w:rPr>
            <w:noProof/>
            <w:webHidden/>
          </w:rPr>
          <w:tab/>
        </w:r>
        <w:r>
          <w:rPr>
            <w:noProof/>
            <w:webHidden/>
          </w:rPr>
          <w:tab/>
        </w:r>
        <w:r>
          <w:rPr>
            <w:noProof/>
            <w:webHidden/>
          </w:rPr>
          <w:fldChar w:fldCharType="begin"/>
        </w:r>
        <w:r>
          <w:rPr>
            <w:noProof/>
            <w:webHidden/>
          </w:rPr>
          <w:instrText xml:space="preserve"> PAGEREF _Toc235620231 \h </w:instrText>
        </w:r>
        <w:r>
          <w:rPr>
            <w:noProof/>
            <w:webHidden/>
          </w:rPr>
        </w:r>
        <w:r>
          <w:rPr>
            <w:noProof/>
            <w:webHidden/>
          </w:rPr>
          <w:fldChar w:fldCharType="separate"/>
        </w:r>
        <w:r w:rsidR="008F480E">
          <w:rPr>
            <w:noProof/>
            <w:webHidden/>
          </w:rPr>
          <w:t>37</w:t>
        </w:r>
        <w:r>
          <w:rPr>
            <w:noProof/>
            <w:webHidden/>
          </w:rPr>
          <w:fldChar w:fldCharType="end"/>
        </w:r>
      </w:hyperlink>
    </w:p>
    <w:p w14:paraId="117616C3" w14:textId="3F184D97" w:rsidR="00F91225" w:rsidRDefault="00F91225">
      <w:pPr>
        <w:pStyle w:val="TOC2"/>
        <w:rPr>
          <w:rFonts w:asciiTheme="minorHAnsi" w:eastAsiaTheme="minorEastAsia" w:hAnsiTheme="minorHAnsi" w:cstheme="minorBidi"/>
          <w:noProof/>
          <w:kern w:val="2"/>
          <w:szCs w:val="24"/>
          <w:lang w:val="en-GB" w:eastAsia="en-GB"/>
          <w14:ligatures w14:val="standardContextual"/>
        </w:rPr>
      </w:pPr>
      <w:hyperlink w:anchor="_Toc235620232" w:history="1">
        <w:r w:rsidRPr="00060317">
          <w:rPr>
            <w:rStyle w:val="Hyperlink"/>
            <w:noProof/>
            <w:lang w:eastAsia="zh-CN"/>
          </w:rPr>
          <w:t>A5.</w:t>
        </w:r>
        <w:r w:rsidRPr="00060317">
          <w:rPr>
            <w:rStyle w:val="Hyperlink"/>
            <w:rFonts w:eastAsia="Malgun Gothic"/>
            <w:noProof/>
          </w:rPr>
          <w:t>3</w:t>
        </w:r>
        <w:r>
          <w:rPr>
            <w:rFonts w:asciiTheme="minorHAnsi" w:eastAsiaTheme="minorEastAsia" w:hAnsiTheme="minorHAnsi" w:cstheme="minorBidi"/>
            <w:noProof/>
            <w:kern w:val="2"/>
            <w:szCs w:val="24"/>
            <w:lang w:val="en-GB" w:eastAsia="en-GB"/>
            <w14:ligatures w14:val="standardContextual"/>
          </w:rPr>
          <w:tab/>
        </w:r>
        <w:r w:rsidRPr="00060317">
          <w:rPr>
            <w:rStyle w:val="Hyperlink"/>
            <w:rFonts w:eastAsia="Malgun Gothic"/>
            <w:noProof/>
          </w:rPr>
          <w:t>Spectrum sharing option</w:t>
        </w:r>
        <w:r>
          <w:rPr>
            <w:noProof/>
            <w:webHidden/>
          </w:rPr>
          <w:tab/>
        </w:r>
        <w:r>
          <w:rPr>
            <w:noProof/>
            <w:webHidden/>
          </w:rPr>
          <w:tab/>
        </w:r>
        <w:r>
          <w:rPr>
            <w:noProof/>
            <w:webHidden/>
          </w:rPr>
          <w:fldChar w:fldCharType="begin"/>
        </w:r>
        <w:r>
          <w:rPr>
            <w:noProof/>
            <w:webHidden/>
          </w:rPr>
          <w:instrText xml:space="preserve"> PAGEREF _Toc235620232 \h </w:instrText>
        </w:r>
        <w:r>
          <w:rPr>
            <w:noProof/>
            <w:webHidden/>
          </w:rPr>
        </w:r>
        <w:r>
          <w:rPr>
            <w:noProof/>
            <w:webHidden/>
          </w:rPr>
          <w:fldChar w:fldCharType="separate"/>
        </w:r>
        <w:r w:rsidR="008F480E">
          <w:rPr>
            <w:noProof/>
            <w:webHidden/>
          </w:rPr>
          <w:t>37</w:t>
        </w:r>
        <w:r>
          <w:rPr>
            <w:noProof/>
            <w:webHidden/>
          </w:rPr>
          <w:fldChar w:fldCharType="end"/>
        </w:r>
      </w:hyperlink>
    </w:p>
    <w:p w14:paraId="32884CF3" w14:textId="7A53FC98" w:rsidR="001A213A" w:rsidRPr="00FD62C4" w:rsidRDefault="00F95312" w:rsidP="001A213A">
      <w:pPr>
        <w:rPr>
          <w:lang w:eastAsia="zh-CN"/>
        </w:rPr>
      </w:pPr>
      <w:r>
        <w:rPr>
          <w:lang w:eastAsia="zh-CN"/>
        </w:rPr>
        <w:fldChar w:fldCharType="end"/>
      </w:r>
    </w:p>
    <w:p w14:paraId="3C746535" w14:textId="0D575FDA" w:rsidR="008615CC" w:rsidRPr="00FD62C4" w:rsidRDefault="000A0982" w:rsidP="000A0982">
      <w:pPr>
        <w:pStyle w:val="HeadingSum"/>
        <w:rPr>
          <w:lang w:val="en-GB" w:eastAsia="zh-CN"/>
        </w:rPr>
      </w:pPr>
      <w:r w:rsidRPr="00FD62C4">
        <w:rPr>
          <w:lang w:val="en-GB" w:eastAsia="zh-CN"/>
        </w:rPr>
        <w:lastRenderedPageBreak/>
        <w:t>Scope</w:t>
      </w:r>
    </w:p>
    <w:p w14:paraId="23B771F0" w14:textId="4F592BAC" w:rsidR="00DC6825" w:rsidRPr="00FD62C4" w:rsidRDefault="00DC6825" w:rsidP="00DC6825">
      <w:pPr>
        <w:pStyle w:val="Summary"/>
        <w:rPr>
          <w:rFonts w:eastAsiaTheme="minorEastAsia"/>
          <w:lang w:eastAsia="zh-CN"/>
        </w:rPr>
      </w:pPr>
      <w:r w:rsidRPr="00FD62C4">
        <w:t xml:space="preserve">This Report discusses several methodologies for assessing and predicting spectrum availability. </w:t>
      </w:r>
      <w:r w:rsidRPr="00FD62C4">
        <w:rPr>
          <w:rFonts w:eastAsiaTheme="minorEastAsia"/>
          <w:lang w:eastAsia="zh-CN"/>
        </w:rPr>
        <w:t>Detailed s</w:t>
      </w:r>
      <w:r w:rsidRPr="00FD62C4">
        <w:t xml:space="preserve">tudies conducted by </w:t>
      </w:r>
      <w:r w:rsidRPr="00FD62C4">
        <w:rPr>
          <w:rFonts w:eastAsiaTheme="minorEastAsia"/>
          <w:lang w:eastAsia="zh-CN"/>
        </w:rPr>
        <w:t xml:space="preserve">some </w:t>
      </w:r>
      <w:r w:rsidRPr="00FD62C4">
        <w:t xml:space="preserve">administrations are included in the </w:t>
      </w:r>
      <w:r w:rsidR="00EA06DA" w:rsidRPr="00FD62C4">
        <w:t>A</w:t>
      </w:r>
      <w:r w:rsidRPr="00FD62C4">
        <w:t>nnexes</w:t>
      </w:r>
      <w:r w:rsidRPr="00FD62C4">
        <w:rPr>
          <w:rFonts w:eastAsiaTheme="minorEastAsia"/>
          <w:lang w:eastAsia="zh-CN"/>
        </w:rPr>
        <w:t xml:space="preserve"> for information only. </w:t>
      </w:r>
    </w:p>
    <w:p w14:paraId="4F9AD509" w14:textId="349DDDA1" w:rsidR="00DC6825" w:rsidRPr="00FD62C4" w:rsidRDefault="00DC6825" w:rsidP="00DC6825">
      <w:pPr>
        <w:pStyle w:val="Note"/>
        <w:rPr>
          <w:b/>
          <w:sz w:val="28"/>
        </w:rPr>
      </w:pPr>
      <w:r w:rsidRPr="00FD62C4">
        <w:rPr>
          <w:rFonts w:eastAsiaTheme="minorEastAsia"/>
          <w:lang w:eastAsia="zh-CN"/>
        </w:rPr>
        <w:t>NOTE</w:t>
      </w:r>
      <w:r w:rsidR="00FD62C4" w:rsidRPr="00FD62C4">
        <w:rPr>
          <w:rFonts w:eastAsiaTheme="minorEastAsia"/>
          <w:lang w:eastAsia="zh-CN"/>
        </w:rPr>
        <w:t xml:space="preserve"> – </w:t>
      </w:r>
      <w:r w:rsidRPr="00FD62C4">
        <w:rPr>
          <w:rFonts w:eastAsiaTheme="minorEastAsia"/>
          <w:lang w:eastAsia="zh-CN"/>
        </w:rPr>
        <w:t xml:space="preserve">It is recognized that the methodologies for assessing and </w:t>
      </w:r>
      <w:r w:rsidRPr="00FD62C4">
        <w:rPr>
          <w:lang w:eastAsia="ko-KR"/>
        </w:rPr>
        <w:t>predicting spectrum availability vary from country to country depending on the state of economy/development of telecommunications/ICT in a country.</w:t>
      </w:r>
      <w:r w:rsidRPr="00FD62C4">
        <w:rPr>
          <w:rFonts w:eastAsiaTheme="minorEastAsia"/>
          <w:lang w:eastAsia="zh-CN"/>
        </w:rPr>
        <w:t xml:space="preserve"> This </w:t>
      </w:r>
      <w:r w:rsidR="0028335E" w:rsidRPr="00FD62C4">
        <w:rPr>
          <w:rFonts w:eastAsiaTheme="minorEastAsia"/>
          <w:lang w:eastAsia="zh-CN"/>
        </w:rPr>
        <w:t>Report</w:t>
      </w:r>
      <w:r w:rsidRPr="00FD62C4">
        <w:rPr>
          <w:rFonts w:eastAsiaTheme="minorEastAsia"/>
          <w:lang w:eastAsia="zh-CN"/>
        </w:rPr>
        <w:t xml:space="preserve"> merely reflects the views of some administrations and </w:t>
      </w:r>
      <w:r w:rsidRPr="00FD62C4">
        <w:rPr>
          <w:rFonts w:eastAsia="Malgun Gothic"/>
          <w:lang w:eastAsia="ko-KR"/>
        </w:rPr>
        <w:t>in</w:t>
      </w:r>
      <w:r w:rsidRPr="00FD62C4">
        <w:rPr>
          <w:rFonts w:eastAsiaTheme="minorEastAsia"/>
          <w:lang w:eastAsia="zh-CN"/>
        </w:rPr>
        <w:t xml:space="preserve"> no way reflects the views of other administrations. Therefore, the case studies are provided for information purposes only.</w:t>
      </w:r>
    </w:p>
    <w:p w14:paraId="58573BE8" w14:textId="77777777" w:rsidR="001A213A" w:rsidRPr="00FD62C4" w:rsidRDefault="001A213A" w:rsidP="001A213A">
      <w:pPr>
        <w:pStyle w:val="Heading1"/>
        <w:rPr>
          <w:rFonts w:eastAsiaTheme="minorEastAsia"/>
        </w:rPr>
      </w:pPr>
      <w:bookmarkStart w:id="7" w:name="_Toc10203692"/>
      <w:bookmarkStart w:id="8" w:name="_Toc530469862"/>
      <w:bookmarkStart w:id="9" w:name="_Toc469305143"/>
      <w:bookmarkStart w:id="10" w:name="_Toc426446509"/>
      <w:bookmarkStart w:id="11" w:name="_Toc136358620"/>
      <w:bookmarkStart w:id="12" w:name="_Toc184629703"/>
      <w:bookmarkStart w:id="13" w:name="_Toc184629919"/>
      <w:bookmarkStart w:id="14" w:name="_Toc235620201"/>
      <w:r w:rsidRPr="00FD62C4">
        <w:rPr>
          <w:rFonts w:eastAsiaTheme="minorEastAsia"/>
        </w:rPr>
        <w:t>1</w:t>
      </w:r>
      <w:r w:rsidRPr="00FD62C4">
        <w:rPr>
          <w:rFonts w:eastAsiaTheme="minorEastAsia"/>
        </w:rPr>
        <w:tab/>
        <w:t>Introduction</w:t>
      </w:r>
      <w:bookmarkEnd w:id="7"/>
      <w:bookmarkEnd w:id="8"/>
      <w:bookmarkEnd w:id="9"/>
      <w:bookmarkEnd w:id="10"/>
      <w:bookmarkEnd w:id="11"/>
      <w:bookmarkEnd w:id="12"/>
      <w:bookmarkEnd w:id="13"/>
      <w:bookmarkEnd w:id="14"/>
    </w:p>
    <w:p w14:paraId="028B69C8" w14:textId="23BC5A7C" w:rsidR="00774996" w:rsidRPr="00FD62C4" w:rsidRDefault="00774996" w:rsidP="00774996">
      <w:pPr>
        <w:rPr>
          <w:b/>
          <w:lang w:eastAsia="ko-KR"/>
        </w:rPr>
      </w:pPr>
      <w:r w:rsidRPr="00FD62C4">
        <w:rPr>
          <w:lang w:eastAsia="ko-KR"/>
        </w:rPr>
        <w:t xml:space="preserve">Question </w:t>
      </w:r>
      <w:hyperlink r:id="rId16" w:history="1">
        <w:r w:rsidRPr="00FD62C4">
          <w:rPr>
            <w:rStyle w:val="Hyperlink"/>
            <w:color w:val="auto"/>
            <w:u w:val="none"/>
            <w:lang w:eastAsia="ko-KR"/>
          </w:rPr>
          <w:t>ITU-R 241/1</w:t>
        </w:r>
      </w:hyperlink>
      <w:r w:rsidRPr="00FD62C4">
        <w:rPr>
          <w:lang w:eastAsia="ko-KR"/>
        </w:rPr>
        <w:t xml:space="preserve"> entitled </w:t>
      </w:r>
      <w:r w:rsidRPr="00FD62C4">
        <w:rPr>
          <w:bCs/>
          <w:lang w:eastAsia="ko-KR"/>
        </w:rPr>
        <w:t>Methodologies for assessing or predicting spectrum availability was developed by ITU-R Study Group 1 and approved in 2019.</w:t>
      </w:r>
    </w:p>
    <w:p w14:paraId="3965CC0A" w14:textId="77777777" w:rsidR="00774996" w:rsidRPr="00FD62C4" w:rsidRDefault="00774996" w:rsidP="00774996">
      <w:pPr>
        <w:rPr>
          <w:rFonts w:eastAsia="Malgun Gothic"/>
          <w:lang w:eastAsia="ko-KR"/>
        </w:rPr>
      </w:pPr>
      <w:r w:rsidRPr="00FD62C4">
        <w:rPr>
          <w:rFonts w:asciiTheme="majorBidi" w:eastAsia="Malgun Gothic" w:hAnsiTheme="majorBidi" w:cstheme="majorBidi"/>
          <w:lang w:eastAsia="ko-KR"/>
        </w:rPr>
        <w:t>Radio frequency</w:t>
      </w:r>
      <w:r w:rsidRPr="00FD62C4">
        <w:rPr>
          <w:rFonts w:asciiTheme="majorBidi" w:eastAsia="Calibri" w:hAnsiTheme="majorBidi" w:cstheme="majorBidi"/>
          <w:lang w:eastAsia="zh-CN"/>
        </w:rPr>
        <w:t xml:space="preserve"> spectrum is a limited but infinitely renewable resource that is available only in finite amounts of frequency bandwidth during any given time interval and within any given volume of space</w:t>
      </w:r>
      <w:r w:rsidRPr="00FD62C4">
        <w:rPr>
          <w:rFonts w:asciiTheme="majorBidi" w:eastAsia="Malgun Gothic" w:hAnsiTheme="majorBidi" w:cstheme="majorBidi"/>
          <w:lang w:eastAsia="ko-KR"/>
        </w:rPr>
        <w:t xml:space="preserve">. </w:t>
      </w:r>
      <w:r w:rsidRPr="00FD62C4">
        <w:rPr>
          <w:lang w:eastAsia="ko-KR"/>
        </w:rPr>
        <w:t>Taking into account</w:t>
      </w:r>
      <w:r w:rsidRPr="00FD62C4">
        <w:rPr>
          <w:rFonts w:eastAsia="Malgun Gothic"/>
          <w:lang w:eastAsia="ko-KR"/>
        </w:rPr>
        <w:t xml:space="preserve"> </w:t>
      </w:r>
      <w:r w:rsidRPr="00FD62C4">
        <w:rPr>
          <w:rFonts w:asciiTheme="majorBidi" w:hAnsiTheme="majorBidi" w:cstheme="majorBidi"/>
          <w:lang w:eastAsia="zh-CN"/>
        </w:rPr>
        <w:t xml:space="preserve">that </w:t>
      </w:r>
      <w:r w:rsidRPr="00FD62C4">
        <w:rPr>
          <w:rFonts w:asciiTheme="majorBidi" w:hAnsiTheme="majorBidi" w:cstheme="majorBidi"/>
          <w:lang w:eastAsia="ko-KR"/>
        </w:rPr>
        <w:t xml:space="preserve">some </w:t>
      </w:r>
      <w:r w:rsidRPr="00FD62C4">
        <w:rPr>
          <w:rFonts w:asciiTheme="majorBidi" w:hAnsiTheme="majorBidi" w:cstheme="majorBidi"/>
          <w:lang w:eastAsia="zh-CN"/>
        </w:rPr>
        <w:t xml:space="preserve">administrations are </w:t>
      </w:r>
      <w:r w:rsidRPr="00FD62C4">
        <w:rPr>
          <w:rFonts w:asciiTheme="majorBidi" w:hAnsiTheme="majorBidi" w:cstheme="majorBidi"/>
          <w:lang w:eastAsia="ko-KR"/>
        </w:rPr>
        <w:t xml:space="preserve">challenged in </w:t>
      </w:r>
      <w:r w:rsidRPr="00FD62C4">
        <w:rPr>
          <w:rFonts w:asciiTheme="majorBidi" w:hAnsiTheme="majorBidi" w:cstheme="majorBidi"/>
          <w:lang w:eastAsia="zh-CN"/>
        </w:rPr>
        <w:t>assessing</w:t>
      </w:r>
      <w:r w:rsidRPr="00FD62C4">
        <w:rPr>
          <w:rFonts w:asciiTheme="majorBidi" w:hAnsiTheme="majorBidi" w:cstheme="majorBidi"/>
          <w:lang w:eastAsia="ko-KR"/>
        </w:rPr>
        <w:t xml:space="preserve"> or </w:t>
      </w:r>
      <w:r w:rsidRPr="00FD62C4">
        <w:rPr>
          <w:rFonts w:asciiTheme="majorBidi" w:hAnsiTheme="majorBidi" w:cstheme="majorBidi"/>
          <w:lang w:eastAsia="zh-CN"/>
        </w:rPr>
        <w:t xml:space="preserve">predicting the </w:t>
      </w:r>
      <w:r w:rsidRPr="00FD62C4">
        <w:rPr>
          <w:rFonts w:asciiTheme="majorBidi" w:hAnsiTheme="majorBidi" w:cstheme="majorBidi"/>
          <w:lang w:eastAsia="ko-KR"/>
        </w:rPr>
        <w:t xml:space="preserve">availability </w:t>
      </w:r>
      <w:r w:rsidRPr="00FD62C4">
        <w:rPr>
          <w:rFonts w:asciiTheme="majorBidi" w:hAnsiTheme="majorBidi" w:cstheme="majorBidi"/>
          <w:lang w:eastAsia="zh-CN"/>
        </w:rPr>
        <w:t>of the radio frequency spectrum</w:t>
      </w:r>
      <w:r w:rsidRPr="00FD62C4">
        <w:rPr>
          <w:rFonts w:asciiTheme="majorBidi" w:hAnsiTheme="majorBidi" w:cstheme="majorBidi"/>
          <w:lang w:eastAsia="ko-KR"/>
        </w:rPr>
        <w:t xml:space="preserve">, and </w:t>
      </w:r>
      <w:r w:rsidRPr="00FD62C4">
        <w:rPr>
          <w:rFonts w:asciiTheme="majorBidi" w:hAnsiTheme="majorBidi" w:cstheme="majorBidi"/>
          <w:lang w:eastAsia="zh-CN"/>
        </w:rPr>
        <w:t xml:space="preserve">that </w:t>
      </w:r>
      <w:r w:rsidRPr="00FD62C4">
        <w:rPr>
          <w:rFonts w:asciiTheme="majorBidi" w:hAnsiTheme="majorBidi" w:cstheme="majorBidi"/>
          <w:lang w:eastAsia="ko-KR"/>
        </w:rPr>
        <w:t xml:space="preserve">there </w:t>
      </w:r>
      <w:r w:rsidRPr="00FD62C4">
        <w:rPr>
          <w:rFonts w:asciiTheme="majorBidi" w:hAnsiTheme="majorBidi" w:cstheme="majorBidi"/>
          <w:lang w:eastAsia="zh-CN"/>
        </w:rPr>
        <w:t>is</w:t>
      </w:r>
      <w:r w:rsidRPr="00FD62C4">
        <w:rPr>
          <w:rFonts w:asciiTheme="majorBidi" w:hAnsiTheme="majorBidi" w:cstheme="majorBidi"/>
          <w:lang w:eastAsia="ko-KR"/>
        </w:rPr>
        <w:t xml:space="preserve"> lack of methodologies</w:t>
      </w:r>
      <w:r w:rsidRPr="00FD62C4">
        <w:rPr>
          <w:rFonts w:asciiTheme="majorBidi" w:hAnsiTheme="majorBidi" w:cstheme="majorBidi"/>
          <w:lang w:eastAsia="zh-CN"/>
        </w:rPr>
        <w:t xml:space="preserve"> </w:t>
      </w:r>
      <w:r w:rsidRPr="00FD62C4">
        <w:rPr>
          <w:rFonts w:asciiTheme="majorBidi" w:hAnsiTheme="majorBidi" w:cstheme="majorBidi"/>
          <w:lang w:eastAsia="ko-KR"/>
        </w:rPr>
        <w:t xml:space="preserve">for </w:t>
      </w:r>
      <w:r w:rsidRPr="00FD62C4">
        <w:rPr>
          <w:rFonts w:asciiTheme="majorBidi" w:hAnsiTheme="majorBidi" w:cstheme="majorBidi"/>
          <w:lang w:eastAsia="zh-CN"/>
        </w:rPr>
        <w:t>assessment</w:t>
      </w:r>
      <w:r w:rsidRPr="00FD62C4">
        <w:rPr>
          <w:rFonts w:asciiTheme="majorBidi" w:hAnsiTheme="majorBidi" w:cstheme="majorBidi"/>
          <w:lang w:eastAsia="ko-KR"/>
        </w:rPr>
        <w:t xml:space="preserve"> or </w:t>
      </w:r>
      <w:r w:rsidRPr="00FD62C4">
        <w:rPr>
          <w:rFonts w:asciiTheme="majorBidi" w:hAnsiTheme="majorBidi" w:cstheme="majorBidi"/>
          <w:lang w:eastAsia="zh-CN"/>
        </w:rPr>
        <w:t>prediction of spectrum availability</w:t>
      </w:r>
      <w:r w:rsidRPr="00FD62C4">
        <w:rPr>
          <w:rFonts w:asciiTheme="majorBidi" w:hAnsiTheme="majorBidi" w:cstheme="majorBidi"/>
          <w:lang w:eastAsia="ko-KR"/>
        </w:rPr>
        <w:t>, the ITU-R Question decides to study the following aspects:</w:t>
      </w:r>
    </w:p>
    <w:p w14:paraId="7436B85B" w14:textId="4BB37671" w:rsidR="00774996" w:rsidRPr="00FD62C4" w:rsidRDefault="002D11B9" w:rsidP="00D533E7">
      <w:pPr>
        <w:pStyle w:val="enumlev1"/>
        <w:rPr>
          <w:lang w:eastAsia="ko-KR"/>
        </w:rPr>
      </w:pPr>
      <w:r w:rsidRPr="00FD62C4">
        <w:rPr>
          <w:rFonts w:eastAsia="Batang"/>
        </w:rPr>
        <w:t>–</w:t>
      </w:r>
      <w:r w:rsidR="00D533E7" w:rsidRPr="00FD62C4">
        <w:rPr>
          <w:rFonts w:eastAsia="Batang"/>
        </w:rPr>
        <w:tab/>
      </w:r>
      <w:r w:rsidRPr="00FD62C4">
        <w:rPr>
          <w:lang w:eastAsia="ko-KR"/>
        </w:rPr>
        <w:t xml:space="preserve">What criteria and information should administrations consider for </w:t>
      </w:r>
      <w:r w:rsidRPr="00FD62C4">
        <w:rPr>
          <w:lang w:eastAsia="zh-CN"/>
        </w:rPr>
        <w:t>assessing</w:t>
      </w:r>
      <w:r w:rsidRPr="00FD62C4">
        <w:rPr>
          <w:lang w:eastAsia="ko-KR"/>
        </w:rPr>
        <w:t xml:space="preserve"> or predicting the availability of the radio frequency spectrum?</w:t>
      </w:r>
    </w:p>
    <w:p w14:paraId="37434BED" w14:textId="541F2057" w:rsidR="002D11B9" w:rsidRPr="00FD62C4" w:rsidRDefault="002D11B9" w:rsidP="00D533E7">
      <w:pPr>
        <w:pStyle w:val="enumlev1"/>
        <w:rPr>
          <w:rFonts w:eastAsia="Batang"/>
        </w:rPr>
      </w:pPr>
      <w:r w:rsidRPr="00FD62C4">
        <w:rPr>
          <w:rFonts w:eastAsia="Batang"/>
        </w:rPr>
        <w:t>–</w:t>
      </w:r>
      <w:r w:rsidRPr="00FD62C4">
        <w:rPr>
          <w:rFonts w:eastAsia="Batang"/>
        </w:rPr>
        <w:tab/>
      </w:r>
      <w:r w:rsidR="001B1F3D" w:rsidRPr="00FD62C4">
        <w:rPr>
          <w:lang w:eastAsia="ko-KR"/>
        </w:rPr>
        <w:t xml:space="preserve">What are the methodologies for </w:t>
      </w:r>
      <w:r w:rsidR="001B1F3D" w:rsidRPr="00FD62C4">
        <w:rPr>
          <w:lang w:eastAsia="zh-CN"/>
        </w:rPr>
        <w:t>assessing</w:t>
      </w:r>
      <w:r w:rsidR="001B1F3D" w:rsidRPr="00FD62C4">
        <w:rPr>
          <w:lang w:eastAsia="ko-KR"/>
        </w:rPr>
        <w:t xml:space="preserve"> or predicting the availability of the radio frequency spectrum?</w:t>
      </w:r>
    </w:p>
    <w:p w14:paraId="32F1B80E" w14:textId="1FA98AB3" w:rsidR="002D11B9" w:rsidRPr="00FD62C4" w:rsidRDefault="002D11B9" w:rsidP="00D533E7">
      <w:pPr>
        <w:pStyle w:val="enumlev1"/>
        <w:rPr>
          <w:rFonts w:eastAsia="Batang"/>
        </w:rPr>
      </w:pPr>
      <w:r w:rsidRPr="00FD62C4">
        <w:rPr>
          <w:rFonts w:eastAsia="Batang"/>
        </w:rPr>
        <w:t>–</w:t>
      </w:r>
      <w:r w:rsidRPr="00FD62C4">
        <w:rPr>
          <w:rFonts w:eastAsia="Batang"/>
        </w:rPr>
        <w:tab/>
      </w:r>
      <w:r w:rsidR="00427E15" w:rsidRPr="00FD62C4">
        <w:rPr>
          <w:lang w:eastAsia="zh-CN"/>
        </w:rPr>
        <w:t xml:space="preserve">What </w:t>
      </w:r>
      <w:r w:rsidR="00427E15" w:rsidRPr="00FD62C4">
        <w:rPr>
          <w:lang w:eastAsia="ko-KR"/>
        </w:rPr>
        <w:t xml:space="preserve">are the technical </w:t>
      </w:r>
      <w:r w:rsidR="00427E15" w:rsidRPr="00FD62C4">
        <w:rPr>
          <w:lang w:eastAsia="zh-CN"/>
        </w:rPr>
        <w:t>approach</w:t>
      </w:r>
      <w:r w:rsidR="00427E15" w:rsidRPr="00FD62C4">
        <w:rPr>
          <w:lang w:eastAsia="ko-KR"/>
        </w:rPr>
        <w:t>es, such as</w:t>
      </w:r>
      <w:r w:rsidR="00427E15" w:rsidRPr="00FD62C4">
        <w:rPr>
          <w:lang w:eastAsia="zh-CN"/>
        </w:rPr>
        <w:t xml:space="preserve"> </w:t>
      </w:r>
      <w:r w:rsidR="00427E15" w:rsidRPr="00FD62C4">
        <w:rPr>
          <w:lang w:eastAsia="ko-KR"/>
        </w:rPr>
        <w:t xml:space="preserve">data-driven management, that </w:t>
      </w:r>
      <w:r w:rsidR="00427E15" w:rsidRPr="00FD62C4">
        <w:rPr>
          <w:lang w:eastAsia="zh-CN"/>
        </w:rPr>
        <w:t>may improve overall spectrum utilization?</w:t>
      </w:r>
    </w:p>
    <w:p w14:paraId="595F8233" w14:textId="6182CFE8" w:rsidR="00774996" w:rsidRPr="00FD62C4" w:rsidRDefault="004460D0" w:rsidP="001A213A">
      <w:pPr>
        <w:rPr>
          <w:lang w:eastAsia="ko-KR"/>
        </w:rPr>
      </w:pPr>
      <w:r w:rsidRPr="00FD62C4">
        <w:rPr>
          <w:lang w:eastAsia="ko-KR"/>
        </w:rPr>
        <w:t>As the determination of spectrum availability is a part of the spectrum planning process required to accommodate spectrum needs, the study of methodologies for assessing or predicting spectrum availability is essential. In addition, technical approaches that may improve overall spectrum utilization to increase spectrum availability, such as data-driven management, are drawing attention to accommodate increasing spectrum requirements.</w:t>
      </w:r>
    </w:p>
    <w:p w14:paraId="2AA372AE" w14:textId="437AE561" w:rsidR="004460D0" w:rsidRPr="00FD62C4" w:rsidRDefault="0045665A" w:rsidP="001A213A">
      <w:pPr>
        <w:rPr>
          <w:rFonts w:eastAsia="Batang"/>
        </w:rPr>
      </w:pPr>
      <w:r w:rsidRPr="00FD62C4">
        <w:rPr>
          <w:lang w:eastAsia="ko-KR"/>
        </w:rPr>
        <w:t xml:space="preserve">The methodologies for assessing and predicting the availability of spectrum vary </w:t>
      </w:r>
      <w:r w:rsidR="009B7B3D" w:rsidRPr="00FD62C4">
        <w:rPr>
          <w:lang w:eastAsia="ko-KR"/>
        </w:rPr>
        <w:t>ac</w:t>
      </w:r>
      <w:r w:rsidR="00AD010A" w:rsidRPr="00FD62C4">
        <w:rPr>
          <w:lang w:eastAsia="ko-KR"/>
        </w:rPr>
        <w:t>ross</w:t>
      </w:r>
      <w:r w:rsidRPr="00FD62C4">
        <w:rPr>
          <w:lang w:eastAsia="ko-KR"/>
        </w:rPr>
        <w:t xml:space="preserve"> different </w:t>
      </w:r>
      <w:r w:rsidR="00A437F2" w:rsidRPr="00FD62C4">
        <w:rPr>
          <w:lang w:eastAsia="ko-KR"/>
        </w:rPr>
        <w:t>a</w:t>
      </w:r>
      <w:r w:rsidRPr="00FD62C4">
        <w:rPr>
          <w:lang w:eastAsia="ko-KR"/>
        </w:rPr>
        <w:t>dministrations. Several methodologies were presented, as information, in the Annex</w:t>
      </w:r>
      <w:r w:rsidR="00EF0F4C" w:rsidRPr="00FD62C4">
        <w:rPr>
          <w:lang w:eastAsia="ko-KR"/>
        </w:rPr>
        <w:t>es</w:t>
      </w:r>
      <w:r w:rsidRPr="00FD62C4">
        <w:rPr>
          <w:lang w:eastAsia="ko-KR"/>
        </w:rPr>
        <w:t xml:space="preserve"> to this Report.</w:t>
      </w:r>
    </w:p>
    <w:p w14:paraId="7C421999" w14:textId="3FB66F57" w:rsidR="001A213A" w:rsidRPr="00FD62C4" w:rsidRDefault="001A213A" w:rsidP="001A213A">
      <w:pPr>
        <w:pStyle w:val="Heading1"/>
        <w:rPr>
          <w:rFonts w:eastAsiaTheme="minorEastAsia"/>
        </w:rPr>
      </w:pPr>
      <w:bookmarkStart w:id="15" w:name="_Toc10203693"/>
      <w:bookmarkStart w:id="16" w:name="_Toc530469863"/>
      <w:bookmarkStart w:id="17" w:name="_Toc469305144"/>
      <w:bookmarkStart w:id="18" w:name="_Toc426446510"/>
      <w:bookmarkStart w:id="19" w:name="_Toc136358621"/>
      <w:bookmarkStart w:id="20" w:name="_Toc184629704"/>
      <w:bookmarkStart w:id="21" w:name="_Toc184629920"/>
      <w:bookmarkStart w:id="22" w:name="_Toc235620202"/>
      <w:r w:rsidRPr="00FD62C4">
        <w:rPr>
          <w:rFonts w:eastAsiaTheme="minorEastAsia"/>
        </w:rPr>
        <w:t>2</w:t>
      </w:r>
      <w:r w:rsidRPr="00FD62C4">
        <w:rPr>
          <w:rFonts w:eastAsiaTheme="minorEastAsia"/>
        </w:rPr>
        <w:tab/>
      </w:r>
      <w:bookmarkEnd w:id="15"/>
      <w:bookmarkEnd w:id="16"/>
      <w:bookmarkEnd w:id="17"/>
      <w:bookmarkEnd w:id="18"/>
      <w:bookmarkEnd w:id="19"/>
      <w:bookmarkEnd w:id="20"/>
      <w:bookmarkEnd w:id="21"/>
      <w:r w:rsidR="000906D9" w:rsidRPr="00FD62C4">
        <w:t>Methodologies for assessing or predicting spectrum availability</w:t>
      </w:r>
      <w:bookmarkEnd w:id="22"/>
    </w:p>
    <w:p w14:paraId="7A2ECEE0" w14:textId="3545D44A" w:rsidR="00B43A59" w:rsidRPr="00FD62C4" w:rsidRDefault="00B43A59" w:rsidP="00B43A59">
      <w:pPr>
        <w:pStyle w:val="Heading2"/>
      </w:pPr>
      <w:bookmarkStart w:id="23" w:name="_Toc235620203"/>
      <w:r w:rsidRPr="00FD62C4">
        <w:t>2.1</w:t>
      </w:r>
      <w:r w:rsidRPr="00FD62C4">
        <w:tab/>
        <w:t>Terminology</w:t>
      </w:r>
      <w:bookmarkEnd w:id="23"/>
    </w:p>
    <w:p w14:paraId="56748891" w14:textId="77777777" w:rsidR="00657CB1" w:rsidRPr="00FD62C4" w:rsidRDefault="00657CB1" w:rsidP="00657CB1">
      <w:pPr>
        <w:rPr>
          <w:lang w:eastAsia="ko-KR"/>
        </w:rPr>
      </w:pPr>
      <w:r w:rsidRPr="00FD62C4">
        <w:rPr>
          <w:lang w:eastAsia="ko-KR"/>
        </w:rPr>
        <w:t>To support consistent terminology across the methodologies presented by different administrations, the following definitions are introduced and used in this Report.</w:t>
      </w:r>
    </w:p>
    <w:p w14:paraId="4FA808BA" w14:textId="3F905593" w:rsidR="00657CB1" w:rsidRPr="00FD62C4" w:rsidRDefault="00657CB1" w:rsidP="00657CB1">
      <w:pPr>
        <w:rPr>
          <w:lang w:eastAsia="ko-KR"/>
        </w:rPr>
      </w:pPr>
      <w:r w:rsidRPr="00FD62C4">
        <w:rPr>
          <w:i/>
          <w:iCs/>
          <w:lang w:eastAsia="zh-CN"/>
        </w:rPr>
        <w:t xml:space="preserve">Spectrum </w:t>
      </w:r>
      <w:r w:rsidR="00106661" w:rsidRPr="00FD62C4">
        <w:rPr>
          <w:i/>
          <w:iCs/>
          <w:lang w:eastAsia="zh-CN"/>
        </w:rPr>
        <w:t>a</w:t>
      </w:r>
      <w:r w:rsidRPr="00FD62C4">
        <w:rPr>
          <w:i/>
          <w:iCs/>
          <w:lang w:eastAsia="zh-CN"/>
        </w:rPr>
        <w:t>ssessment</w:t>
      </w:r>
      <w:r w:rsidRPr="00FD62C4">
        <w:rPr>
          <w:lang w:eastAsia="zh-CN"/>
        </w:rPr>
        <w:t xml:space="preserve"> is a comprehensive process which systematically evaluates how </w:t>
      </w:r>
      <w:r w:rsidR="00106661" w:rsidRPr="00FD62C4">
        <w:rPr>
          <w:lang w:eastAsia="zh-CN"/>
        </w:rPr>
        <w:t>s</w:t>
      </w:r>
      <w:r w:rsidRPr="00FD62C4">
        <w:rPr>
          <w:lang w:eastAsia="zh-CN"/>
        </w:rPr>
        <w:t xml:space="preserve">pectrum is currently getting used and how effectively it is being used, what is the intended future use and long-term strategy for meeting the future requirements. Spectrum </w:t>
      </w:r>
      <w:r w:rsidR="00106661" w:rsidRPr="00FD62C4">
        <w:rPr>
          <w:lang w:eastAsia="zh-CN"/>
        </w:rPr>
        <w:t>a</w:t>
      </w:r>
      <w:r w:rsidRPr="00FD62C4">
        <w:rPr>
          <w:lang w:eastAsia="zh-CN"/>
        </w:rPr>
        <w:t xml:space="preserve">ssessment is usually done considering the requirement for different application of services which require spectrum. This becomes particularly important as </w:t>
      </w:r>
      <w:r w:rsidR="00106661" w:rsidRPr="00FD62C4">
        <w:rPr>
          <w:lang w:eastAsia="zh-CN"/>
        </w:rPr>
        <w:t>s</w:t>
      </w:r>
      <w:r w:rsidRPr="00FD62C4">
        <w:rPr>
          <w:lang w:eastAsia="zh-CN"/>
        </w:rPr>
        <w:t xml:space="preserve">pectrum is </w:t>
      </w:r>
      <w:r w:rsidR="009F5D28" w:rsidRPr="00FD62C4">
        <w:rPr>
          <w:lang w:eastAsia="zh-CN"/>
        </w:rPr>
        <w:t xml:space="preserve">a </w:t>
      </w:r>
      <w:r w:rsidRPr="00FD62C4">
        <w:rPr>
          <w:lang w:eastAsia="zh-CN"/>
        </w:rPr>
        <w:t xml:space="preserve">finite and highly valuable resource for all </w:t>
      </w:r>
      <w:r w:rsidRPr="00FD62C4">
        <w:rPr>
          <w:lang w:eastAsia="ko-KR"/>
        </w:rPr>
        <w:t>radio</w:t>
      </w:r>
      <w:r w:rsidRPr="00FD62C4">
        <w:rPr>
          <w:lang w:eastAsia="zh-CN"/>
        </w:rPr>
        <w:t xml:space="preserve"> communications. This assessment becomes the foundation based on which </w:t>
      </w:r>
      <w:r w:rsidR="009F5D28" w:rsidRPr="00FD62C4">
        <w:rPr>
          <w:lang w:eastAsia="zh-CN"/>
        </w:rPr>
        <w:t xml:space="preserve">spectrum management </w:t>
      </w:r>
      <w:r w:rsidRPr="00FD62C4">
        <w:rPr>
          <w:lang w:eastAsia="zh-CN"/>
        </w:rPr>
        <w:t xml:space="preserve">and </w:t>
      </w:r>
      <w:r w:rsidR="009F5D28" w:rsidRPr="00FD62C4">
        <w:rPr>
          <w:lang w:eastAsia="zh-CN"/>
        </w:rPr>
        <w:t xml:space="preserve">policy </w:t>
      </w:r>
      <w:r w:rsidRPr="00FD62C4">
        <w:rPr>
          <w:lang w:eastAsia="zh-CN"/>
        </w:rPr>
        <w:t>formulation is done considering technological changes and societal requirements.</w:t>
      </w:r>
    </w:p>
    <w:p w14:paraId="7C63B08B" w14:textId="7173F179" w:rsidR="00657CB1" w:rsidRPr="00FD62C4" w:rsidRDefault="00657CB1" w:rsidP="00691FD0">
      <w:pPr>
        <w:keepNext/>
        <w:keepLines/>
        <w:rPr>
          <w:lang w:eastAsia="ko-KR"/>
        </w:rPr>
      </w:pPr>
      <w:r w:rsidRPr="00FD62C4">
        <w:rPr>
          <w:i/>
          <w:iCs/>
          <w:lang w:eastAsia="ko-KR"/>
        </w:rPr>
        <w:lastRenderedPageBreak/>
        <w:t xml:space="preserve">Spectrum availability </w:t>
      </w:r>
      <w:r w:rsidRPr="00FD62C4">
        <w:t>refers to the possibility for a radiocommunication service to operate within a pre-defined spectrum, for a certain geography and a fixed time duration, subject to technical, regulatory and operational conditions.</w:t>
      </w:r>
      <w:r w:rsidRPr="00FD62C4">
        <w:rPr>
          <w:lang w:eastAsia="ko-KR"/>
        </w:rPr>
        <w:t xml:space="preserve"> The term </w:t>
      </w:r>
      <w:r w:rsidRPr="00FD62C4">
        <w:rPr>
          <w:i/>
          <w:iCs/>
          <w:lang w:eastAsia="ko-KR"/>
        </w:rPr>
        <w:t>spectrum</w:t>
      </w:r>
      <w:r w:rsidRPr="00FD62C4">
        <w:rPr>
          <w:lang w:eastAsia="ko-KR"/>
        </w:rPr>
        <w:t xml:space="preserve"> in this context may broadly refer to a frequency band, or more narrowly to a specific channel. Depending on the context of the assessment, spectrum availability may refer to the general availability of spectrum for any service or its availability for a specific radiocommunication service.</w:t>
      </w:r>
    </w:p>
    <w:p w14:paraId="1778B0B2" w14:textId="77777777" w:rsidR="00657CB1" w:rsidRPr="00FD62C4" w:rsidRDefault="00657CB1" w:rsidP="00657CB1">
      <w:pPr>
        <w:rPr>
          <w:lang w:eastAsia="ko-KR"/>
        </w:rPr>
      </w:pPr>
      <w:r w:rsidRPr="00FD62C4">
        <w:rPr>
          <w:i/>
          <w:iCs/>
          <w:lang w:eastAsia="ko-KR"/>
        </w:rPr>
        <w:t xml:space="preserve">Methodology for assessing spectrum availability </w:t>
      </w:r>
      <w:r w:rsidRPr="00FD62C4">
        <w:rPr>
          <w:lang w:eastAsia="ko-KR"/>
        </w:rPr>
        <w:t>refers to the process or approach used to quantify indicators defined in the criteria for assessing spectrum availability, based on measurable parameters or relevant information, and to apply the criteria.</w:t>
      </w:r>
    </w:p>
    <w:p w14:paraId="0C1F5B3C" w14:textId="22B364CF" w:rsidR="00657CB1" w:rsidRPr="00FD62C4" w:rsidRDefault="00657CB1" w:rsidP="00657CB1">
      <w:pPr>
        <w:rPr>
          <w:lang w:eastAsia="ko-KR"/>
        </w:rPr>
      </w:pPr>
      <w:r w:rsidRPr="00FD62C4">
        <w:rPr>
          <w:i/>
          <w:iCs/>
          <w:lang w:eastAsia="ko-KR"/>
        </w:rPr>
        <w:t xml:space="preserve">Methodology for predicting spectrum availability </w:t>
      </w:r>
      <w:r w:rsidRPr="00FD62C4">
        <w:rPr>
          <w:lang w:eastAsia="ko-KR"/>
        </w:rPr>
        <w:t>refers to the process or approach used to estimate the future parameters or relevant information based on historical or contextual data, that are required to quantify the indicators at a future point in time for assessing future spectrum availability. This may involve statistical techniques, machine learning algorithms or other forecasting tools.</w:t>
      </w:r>
    </w:p>
    <w:p w14:paraId="20988FA0" w14:textId="328A18B0" w:rsidR="008568B8" w:rsidRPr="00FD62C4" w:rsidRDefault="008568B8" w:rsidP="008568B8">
      <w:pPr>
        <w:pStyle w:val="Heading2"/>
      </w:pPr>
      <w:bookmarkStart w:id="24" w:name="_Toc235620204"/>
      <w:r w:rsidRPr="00FD62C4">
        <w:t>2.2</w:t>
      </w:r>
      <w:r w:rsidRPr="00FD62C4">
        <w:tab/>
      </w:r>
      <w:r w:rsidR="009C2A39" w:rsidRPr="00FD62C4">
        <w:rPr>
          <w:lang w:eastAsia="ko-KR"/>
        </w:rPr>
        <w:t>Approaches for assessing or predicting spectrum availability</w:t>
      </w:r>
      <w:bookmarkEnd w:id="24"/>
    </w:p>
    <w:p w14:paraId="1CAD60A5" w14:textId="77777777" w:rsidR="00A608A3" w:rsidRPr="00FD62C4" w:rsidRDefault="00A608A3" w:rsidP="00A608A3">
      <w:pPr>
        <w:rPr>
          <w:lang w:eastAsia="ko-KR"/>
        </w:rPr>
      </w:pPr>
      <w:r w:rsidRPr="00FD62C4">
        <w:rPr>
          <w:lang w:eastAsia="ko-KR"/>
        </w:rPr>
        <w:t xml:space="preserve">Several approaches are </w:t>
      </w:r>
      <w:r w:rsidRPr="00FD62C4">
        <w:rPr>
          <w:rFonts w:eastAsiaTheme="minorEastAsia"/>
        </w:rPr>
        <w:t>illustrated</w:t>
      </w:r>
      <w:r w:rsidRPr="00FD62C4">
        <w:rPr>
          <w:lang w:eastAsia="ko-KR"/>
        </w:rPr>
        <w:t xml:space="preserve"> for assessing or predicting spectrum availability on the basis of indicator/criteria, spectrum grid, and non-linear mathematical model.</w:t>
      </w:r>
    </w:p>
    <w:p w14:paraId="4261628C" w14:textId="77777777" w:rsidR="00A608A3" w:rsidRPr="00FD62C4" w:rsidRDefault="00A608A3" w:rsidP="00A608A3">
      <w:pPr>
        <w:rPr>
          <w:lang w:eastAsia="ko-KR"/>
        </w:rPr>
      </w:pPr>
      <w:r w:rsidRPr="00FD62C4">
        <w:rPr>
          <w:lang w:eastAsia="ko-KR"/>
        </w:rPr>
        <w:t xml:space="preserve">There are five different </w:t>
      </w:r>
      <w:r w:rsidRPr="00FD62C4">
        <w:rPr>
          <w:rFonts w:eastAsiaTheme="minorEastAsia"/>
        </w:rPr>
        <w:t>case</w:t>
      </w:r>
      <w:r w:rsidRPr="00FD62C4">
        <w:rPr>
          <w:lang w:eastAsia="ko-KR"/>
        </w:rPr>
        <w:t xml:space="preserve"> studies provided by administrations.</w:t>
      </w:r>
    </w:p>
    <w:p w14:paraId="2D0E6F13" w14:textId="2664C13D" w:rsidR="00A608A3" w:rsidRPr="00FD62C4" w:rsidRDefault="00A608A3" w:rsidP="00A608A3">
      <w:pPr>
        <w:rPr>
          <w:lang w:eastAsia="ko-KR"/>
        </w:rPr>
      </w:pPr>
      <w:r w:rsidRPr="00FD62C4">
        <w:rPr>
          <w:lang w:eastAsia="ko-KR"/>
        </w:rPr>
        <w:t xml:space="preserve">Case </w:t>
      </w:r>
      <w:r w:rsidR="00114552" w:rsidRPr="00FD62C4">
        <w:rPr>
          <w:lang w:eastAsia="ko-KR"/>
        </w:rPr>
        <w:t xml:space="preserve">Study </w:t>
      </w:r>
      <w:r w:rsidRPr="00FD62C4">
        <w:rPr>
          <w:lang w:eastAsia="ko-KR"/>
        </w:rPr>
        <w:t>1 presents indicators and criteria for assessing spectrum availability in different licensing regimes, and proposes methodologies for its assessment and prediction.</w:t>
      </w:r>
    </w:p>
    <w:p w14:paraId="1DC7FA0E" w14:textId="54CCADC0" w:rsidR="00A608A3" w:rsidRPr="00FD62C4" w:rsidRDefault="00A608A3" w:rsidP="00A608A3">
      <w:pPr>
        <w:rPr>
          <w:rFonts w:eastAsiaTheme="minorEastAsia"/>
          <w:lang w:eastAsia="zh-CN"/>
        </w:rPr>
      </w:pPr>
      <w:r w:rsidRPr="00FD62C4">
        <w:rPr>
          <w:lang w:eastAsia="ko-KR"/>
        </w:rPr>
        <w:t xml:space="preserve">Case </w:t>
      </w:r>
      <w:r w:rsidR="00114552" w:rsidRPr="00FD62C4">
        <w:rPr>
          <w:lang w:eastAsia="ko-KR"/>
        </w:rPr>
        <w:t xml:space="preserve">Study </w:t>
      </w:r>
      <w:r w:rsidRPr="00FD62C4">
        <w:rPr>
          <w:lang w:eastAsia="ko-KR"/>
        </w:rPr>
        <w:t xml:space="preserve">2 illustrates the indicators for assessing or predicting spectrum availability and a specific correlation-based </w:t>
      </w:r>
      <w:r w:rsidRPr="00FD62C4">
        <w:rPr>
          <w:rFonts w:eastAsiaTheme="minorEastAsia"/>
        </w:rPr>
        <w:t>spectrum</w:t>
      </w:r>
      <w:r w:rsidRPr="00FD62C4">
        <w:rPr>
          <w:lang w:eastAsia="ko-KR"/>
        </w:rPr>
        <w:t xml:space="preserve"> availability predicting method.</w:t>
      </w:r>
    </w:p>
    <w:p w14:paraId="1BD0AFDF" w14:textId="24C0B29F" w:rsidR="00A608A3" w:rsidRPr="00FD62C4" w:rsidRDefault="00A608A3" w:rsidP="00A608A3">
      <w:pPr>
        <w:rPr>
          <w:rFonts w:eastAsia="Malgun Gothic"/>
          <w:spacing w:val="-4"/>
          <w:lang w:eastAsia="ko-KR"/>
        </w:rPr>
      </w:pPr>
      <w:r w:rsidRPr="00FD62C4">
        <w:rPr>
          <w:rFonts w:eastAsiaTheme="minorEastAsia"/>
          <w:spacing w:val="-4"/>
          <w:lang w:eastAsia="zh-CN"/>
        </w:rPr>
        <w:t xml:space="preserve">Case </w:t>
      </w:r>
      <w:r w:rsidR="00114552" w:rsidRPr="00FD62C4">
        <w:rPr>
          <w:rFonts w:eastAsiaTheme="minorEastAsia"/>
          <w:spacing w:val="-4"/>
          <w:lang w:eastAsia="zh-CN"/>
        </w:rPr>
        <w:t xml:space="preserve">Study </w:t>
      </w:r>
      <w:r w:rsidRPr="00FD62C4">
        <w:rPr>
          <w:rFonts w:eastAsiaTheme="minorEastAsia"/>
          <w:spacing w:val="-4"/>
          <w:lang w:eastAsia="zh-CN"/>
        </w:rPr>
        <w:t xml:space="preserve">3 </w:t>
      </w:r>
      <w:r w:rsidRPr="00FD62C4">
        <w:rPr>
          <w:rFonts w:eastAsiaTheme="minorEastAsia"/>
        </w:rPr>
        <w:t>introduces</w:t>
      </w:r>
      <w:r w:rsidRPr="00FD62C4">
        <w:rPr>
          <w:rFonts w:eastAsiaTheme="minorEastAsia"/>
          <w:spacing w:val="-4"/>
          <w:lang w:eastAsia="zh-CN"/>
        </w:rPr>
        <w:t xml:space="preserve"> spectrum grid approach to minimize spectrum license application rejection in interference assessment caused by GPS tolerance</w:t>
      </w:r>
      <w:r w:rsidR="00140F00" w:rsidRPr="00FD62C4">
        <w:rPr>
          <w:rFonts w:eastAsiaTheme="minorEastAsia"/>
          <w:spacing w:val="-4"/>
          <w:lang w:eastAsia="zh-CN"/>
        </w:rPr>
        <w:t xml:space="preserve">. </w:t>
      </w:r>
      <w:r w:rsidR="006837A0" w:rsidRPr="00FD62C4">
        <w:rPr>
          <w:rFonts w:eastAsiaTheme="minorEastAsia"/>
          <w:spacing w:val="-4"/>
          <w:lang w:eastAsia="zh-CN"/>
        </w:rPr>
        <w:t>This approach</w:t>
      </w:r>
      <w:r w:rsidRPr="00FD62C4">
        <w:rPr>
          <w:rFonts w:eastAsiaTheme="minorEastAsia"/>
          <w:spacing w:val="-4"/>
          <w:lang w:eastAsia="zh-CN"/>
        </w:rPr>
        <w:t xml:space="preserve"> may increase the density of spectrum usage within the grid and provide spectrum availability in the specific bands.</w:t>
      </w:r>
    </w:p>
    <w:p w14:paraId="2FF7CE1D" w14:textId="6B441B22" w:rsidR="00A608A3" w:rsidRPr="00FD62C4" w:rsidRDefault="00A608A3" w:rsidP="00A608A3">
      <w:pPr>
        <w:rPr>
          <w:rFonts w:eastAsia="Malgun Gothic"/>
          <w:lang w:eastAsia="ko-KR"/>
        </w:rPr>
      </w:pPr>
      <w:r w:rsidRPr="00FD62C4">
        <w:rPr>
          <w:rFonts w:eastAsiaTheme="minorEastAsia"/>
          <w:lang w:eastAsia="zh-CN"/>
        </w:rPr>
        <w:t xml:space="preserve">Case </w:t>
      </w:r>
      <w:r w:rsidR="00114552" w:rsidRPr="00FD62C4">
        <w:rPr>
          <w:rFonts w:eastAsiaTheme="minorEastAsia"/>
          <w:lang w:eastAsia="zh-CN"/>
        </w:rPr>
        <w:t xml:space="preserve">Study </w:t>
      </w:r>
      <w:r w:rsidRPr="00FD62C4">
        <w:rPr>
          <w:rFonts w:eastAsiaTheme="minorEastAsia"/>
          <w:lang w:eastAsia="zh-CN"/>
        </w:rPr>
        <w:t xml:space="preserve">4 </w:t>
      </w:r>
      <w:r w:rsidRPr="00FD62C4">
        <w:rPr>
          <w:rFonts w:eastAsiaTheme="minorEastAsia"/>
        </w:rPr>
        <w:t>introduces</w:t>
      </w:r>
      <w:r w:rsidRPr="00FD62C4">
        <w:rPr>
          <w:rFonts w:eastAsiaTheme="minorEastAsia"/>
          <w:lang w:eastAsia="zh-CN"/>
        </w:rPr>
        <w:t xml:space="preserve"> the efficiency temporal index (ETI) that tracks the spectrum utilization efficiency (SUE) over time as a mean to compute spectrum usage and demand to support the methodology presented in Case Study 1.</w:t>
      </w:r>
    </w:p>
    <w:p w14:paraId="50AAE8AE" w14:textId="21FF010E" w:rsidR="00A608A3" w:rsidRPr="00FD62C4" w:rsidRDefault="00A608A3" w:rsidP="00A608A3">
      <w:pPr>
        <w:rPr>
          <w:rFonts w:eastAsia="Malgun Gothic"/>
          <w:lang w:eastAsia="ko-KR"/>
        </w:rPr>
      </w:pPr>
      <w:r w:rsidRPr="00FD62C4">
        <w:rPr>
          <w:rFonts w:eastAsiaTheme="minorEastAsia"/>
          <w:lang w:eastAsia="zh-CN"/>
        </w:rPr>
        <w:t xml:space="preserve">Case </w:t>
      </w:r>
      <w:r w:rsidR="00C908AA" w:rsidRPr="00FD62C4">
        <w:rPr>
          <w:rFonts w:eastAsiaTheme="minorEastAsia"/>
          <w:lang w:eastAsia="zh-CN"/>
        </w:rPr>
        <w:t xml:space="preserve">Study </w:t>
      </w:r>
      <w:r w:rsidRPr="00FD62C4">
        <w:rPr>
          <w:rFonts w:eastAsiaTheme="minorEastAsia"/>
          <w:lang w:eastAsia="zh-CN"/>
        </w:rPr>
        <w:t xml:space="preserve">5 </w:t>
      </w:r>
      <w:r w:rsidRPr="00FD62C4">
        <w:rPr>
          <w:rFonts w:eastAsiaTheme="minorEastAsia"/>
        </w:rPr>
        <w:t>introduces</w:t>
      </w:r>
      <w:r w:rsidRPr="00FD62C4">
        <w:rPr>
          <w:rFonts w:eastAsiaTheme="minorEastAsia"/>
          <w:lang w:eastAsia="zh-CN"/>
        </w:rPr>
        <w:t xml:space="preserve"> various approaches</w:t>
      </w:r>
      <w:r w:rsidRPr="00FD62C4">
        <w:rPr>
          <w:rFonts w:eastAsia="Malgun Gothic"/>
          <w:lang w:eastAsia="ko-KR"/>
        </w:rPr>
        <w:t xml:space="preserve"> based on nonlinear mathematical models</w:t>
      </w:r>
      <w:r w:rsidRPr="00FD62C4">
        <w:rPr>
          <w:rFonts w:eastAsiaTheme="minorEastAsia"/>
          <w:lang w:eastAsia="zh-CN"/>
        </w:rPr>
        <w:t xml:space="preserve"> that can improve the spectrum availability.</w:t>
      </w:r>
    </w:p>
    <w:p w14:paraId="47AD3340" w14:textId="77777777" w:rsidR="00A608A3" w:rsidRPr="00FD62C4" w:rsidRDefault="00A608A3" w:rsidP="00A608A3">
      <w:pPr>
        <w:rPr>
          <w:rFonts w:eastAsia="Malgun Gothic"/>
          <w:lang w:eastAsia="ko-KR"/>
        </w:rPr>
      </w:pPr>
      <w:r w:rsidRPr="00FD62C4">
        <w:rPr>
          <w:rFonts w:eastAsia="Malgun Gothic"/>
          <w:lang w:eastAsia="ko-KR"/>
        </w:rPr>
        <w:t>The detailed information is indicated in the Annexes 1 to 5.</w:t>
      </w:r>
    </w:p>
    <w:p w14:paraId="6368BAAA" w14:textId="2D491993" w:rsidR="00657CB1" w:rsidRPr="00FD62C4" w:rsidRDefault="00C63214" w:rsidP="00C63214">
      <w:pPr>
        <w:pStyle w:val="Heading3"/>
        <w:rPr>
          <w:rFonts w:eastAsiaTheme="minorEastAsia"/>
        </w:rPr>
      </w:pPr>
      <w:bookmarkStart w:id="25" w:name="_Toc235620205"/>
      <w:r w:rsidRPr="00FD62C4">
        <w:rPr>
          <w:rFonts w:eastAsiaTheme="minorEastAsia"/>
        </w:rPr>
        <w:t>2.2.1</w:t>
      </w:r>
      <w:r w:rsidR="0006197C" w:rsidRPr="00FD62C4">
        <w:rPr>
          <w:rFonts w:eastAsiaTheme="minorEastAsia"/>
        </w:rPr>
        <w:tab/>
      </w:r>
      <w:r w:rsidR="00EA3AA8" w:rsidRPr="00FD62C4">
        <w:rPr>
          <w:lang w:eastAsia="ko-KR"/>
        </w:rPr>
        <w:t>General process derived from above case studies (for information purposes only)</w:t>
      </w:r>
      <w:bookmarkEnd w:id="25"/>
    </w:p>
    <w:p w14:paraId="460125B6" w14:textId="61A62C75" w:rsidR="00E300B3" w:rsidRPr="00FD62C4" w:rsidRDefault="00E300B3" w:rsidP="00E300B3">
      <w:pPr>
        <w:rPr>
          <w:lang w:eastAsia="ko-KR"/>
        </w:rPr>
      </w:pPr>
      <w:r w:rsidRPr="00FD62C4">
        <w:rPr>
          <w:lang w:eastAsia="ko-KR"/>
        </w:rPr>
        <w:t xml:space="preserve">A </w:t>
      </w:r>
      <w:r w:rsidRPr="00FD62C4">
        <w:rPr>
          <w:rFonts w:eastAsiaTheme="minorEastAsia"/>
        </w:rPr>
        <w:t>general</w:t>
      </w:r>
      <w:r w:rsidRPr="00FD62C4">
        <w:rPr>
          <w:lang w:eastAsia="ko-KR"/>
        </w:rPr>
        <w:t xml:space="preserve"> process for assessing or predicting spectrum availability can be identified by analysing common elements across the approaches presented in the case studies provided by administrations. This process is included for information purposes only and is intended to illustrate common features observed among the case studies. It consists of four major steps, each of which </w:t>
      </w:r>
      <w:r w:rsidR="00020282">
        <w:rPr>
          <w:lang w:eastAsia="ko-KR"/>
        </w:rPr>
        <w:t xml:space="preserve">is </w:t>
      </w:r>
      <w:r w:rsidRPr="00FD62C4">
        <w:rPr>
          <w:lang w:eastAsia="ko-KR"/>
        </w:rPr>
        <w:t>illustrated with practical examples drawn from the case studies.</w:t>
      </w:r>
    </w:p>
    <w:p w14:paraId="3510A2A4" w14:textId="77777777" w:rsidR="00E300B3" w:rsidRPr="00FD62C4" w:rsidRDefault="00E300B3" w:rsidP="00E300B3">
      <w:pPr>
        <w:rPr>
          <w:lang w:eastAsia="ko-KR"/>
        </w:rPr>
      </w:pPr>
      <w:r w:rsidRPr="00FD62C4">
        <w:rPr>
          <w:lang w:eastAsia="ko-KR"/>
        </w:rPr>
        <w:t xml:space="preserve">The </w:t>
      </w:r>
      <w:r w:rsidRPr="00FD62C4">
        <w:rPr>
          <w:rFonts w:eastAsiaTheme="minorEastAsia"/>
        </w:rPr>
        <w:t>process</w:t>
      </w:r>
      <w:r w:rsidRPr="00FD62C4">
        <w:rPr>
          <w:lang w:eastAsia="ko-KR"/>
        </w:rPr>
        <w:t xml:space="preserve"> can be outlined as follows.</w:t>
      </w:r>
    </w:p>
    <w:p w14:paraId="76AE205A" w14:textId="2188B506" w:rsidR="000F0D32" w:rsidRPr="00FD62C4" w:rsidRDefault="000F0D32" w:rsidP="000F0D32">
      <w:pPr>
        <w:pStyle w:val="Headingb"/>
      </w:pPr>
      <w:r w:rsidRPr="00FD62C4">
        <w:t>Step</w:t>
      </w:r>
      <w:r w:rsidR="00944FC8" w:rsidRPr="00FD62C4">
        <w:t xml:space="preserve"> </w:t>
      </w:r>
      <w:r w:rsidRPr="00FD62C4">
        <w:t>1: Definition of scope and context</w:t>
      </w:r>
    </w:p>
    <w:p w14:paraId="111C04B3" w14:textId="2E011B4B" w:rsidR="000F0D32" w:rsidRPr="00FD62C4" w:rsidRDefault="000F0D32" w:rsidP="000F0D32">
      <w:pPr>
        <w:rPr>
          <w:lang w:eastAsia="ko-KR"/>
        </w:rPr>
      </w:pPr>
      <w:r w:rsidRPr="00FD62C4">
        <w:t>The assessment begins with clearly defining the target spectrum (e.g. frequency band or channel), geographic area, time duration and the radiocommunication service under consideration. It is also necessary to clarify whether the evaluation targets general spectrum availability across several services, or availability specific to a given radiocommunication service.</w:t>
      </w:r>
    </w:p>
    <w:p w14:paraId="7AECFEFF" w14:textId="49CF51E4" w:rsidR="000F0D32" w:rsidRPr="00FD62C4" w:rsidRDefault="000F0D32" w:rsidP="000F0D32">
      <w:pPr>
        <w:pStyle w:val="Headingb"/>
      </w:pPr>
      <w:r w:rsidRPr="00FD62C4">
        <w:rPr>
          <w:lang w:eastAsia="ko-KR"/>
        </w:rPr>
        <w:lastRenderedPageBreak/>
        <w:t>Step</w:t>
      </w:r>
      <w:r w:rsidR="00944FC8" w:rsidRPr="00FD62C4">
        <w:rPr>
          <w:lang w:eastAsia="ko-KR"/>
        </w:rPr>
        <w:t xml:space="preserve"> </w:t>
      </w:r>
      <w:r w:rsidRPr="00FD62C4">
        <w:rPr>
          <w:lang w:eastAsia="ko-KR"/>
        </w:rPr>
        <w:t xml:space="preserve">2: </w:t>
      </w:r>
      <w:r w:rsidRPr="00FD62C4">
        <w:t xml:space="preserve">Establishment of </w:t>
      </w:r>
      <w:r w:rsidRPr="00FD62C4">
        <w:rPr>
          <w:lang w:eastAsia="ko-KR"/>
        </w:rPr>
        <w:t>a</w:t>
      </w:r>
      <w:r w:rsidRPr="00FD62C4">
        <w:t xml:space="preserve">ssessment </w:t>
      </w:r>
      <w:r w:rsidRPr="00FD62C4">
        <w:rPr>
          <w:lang w:eastAsia="ko-KR"/>
        </w:rPr>
        <w:t>c</w:t>
      </w:r>
      <w:r w:rsidRPr="00FD62C4">
        <w:t>riteria</w:t>
      </w:r>
    </w:p>
    <w:p w14:paraId="70FF70C6" w14:textId="31F43E67" w:rsidR="000F0D32" w:rsidRPr="00FD62C4" w:rsidRDefault="000F0D32" w:rsidP="000F0D32">
      <w:r w:rsidRPr="00FD62C4">
        <w:t>Criteria for assessing spectrum availability are established based on technical, regulatory and operational factors. These criteria are supported by quantifiable indicators, such as:</w:t>
      </w:r>
    </w:p>
    <w:p w14:paraId="12964AC0" w14:textId="78A923BE" w:rsidR="000F0D32" w:rsidRPr="00FD62C4" w:rsidRDefault="00FD62C4" w:rsidP="000F0D32">
      <w:pPr>
        <w:pStyle w:val="enumlev1"/>
        <w:rPr>
          <w:lang w:eastAsia="ko-KR"/>
        </w:rPr>
      </w:pPr>
      <w:r w:rsidRPr="00FD62C4">
        <w:rPr>
          <w:lang w:eastAsia="ko-KR"/>
        </w:rPr>
        <w:t>–</w:t>
      </w:r>
      <w:r w:rsidR="000F0D32" w:rsidRPr="00FD62C4">
        <w:rPr>
          <w:lang w:eastAsia="ko-KR"/>
        </w:rPr>
        <w:tab/>
      </w:r>
      <w:r w:rsidR="00605559" w:rsidRPr="00FD62C4">
        <w:rPr>
          <w:lang w:eastAsia="ko-KR"/>
        </w:rPr>
        <w:t>i</w:t>
      </w:r>
      <w:r w:rsidR="000F0D32" w:rsidRPr="00FD62C4">
        <w:rPr>
          <w:lang w:eastAsia="ko-KR"/>
        </w:rPr>
        <w:t>nterference levels derived from analysis of coexistence or coordination scenarios</w:t>
      </w:r>
      <w:r w:rsidR="00605559" w:rsidRPr="00FD62C4">
        <w:rPr>
          <w:lang w:eastAsia="ko-KR"/>
        </w:rPr>
        <w:t>; and</w:t>
      </w:r>
    </w:p>
    <w:p w14:paraId="2ABE741B" w14:textId="25DD3F95" w:rsidR="000F0D32" w:rsidRPr="00FD62C4" w:rsidRDefault="00FD62C4" w:rsidP="000F0D32">
      <w:pPr>
        <w:pStyle w:val="enumlev1"/>
        <w:rPr>
          <w:lang w:eastAsia="ko-KR"/>
        </w:rPr>
      </w:pPr>
      <w:r w:rsidRPr="00FD62C4">
        <w:rPr>
          <w:lang w:eastAsia="ko-KR"/>
        </w:rPr>
        <w:t>–</w:t>
      </w:r>
      <w:r w:rsidR="000F0D32" w:rsidRPr="00FD62C4">
        <w:rPr>
          <w:lang w:eastAsia="ko-KR"/>
        </w:rPr>
        <w:tab/>
      </w:r>
      <w:r w:rsidR="00605559" w:rsidRPr="00FD62C4">
        <w:rPr>
          <w:lang w:eastAsia="ko-KR"/>
        </w:rPr>
        <w:t>s</w:t>
      </w:r>
      <w:r w:rsidR="000F0D32" w:rsidRPr="00FD62C4">
        <w:rPr>
          <w:lang w:eastAsia="ko-KR"/>
        </w:rPr>
        <w:t>pectrum utilization measured in terms of frequency, time, and spatial occupancy.</w:t>
      </w:r>
    </w:p>
    <w:p w14:paraId="6778E6CE" w14:textId="3707A3EE" w:rsidR="000F0D32" w:rsidRPr="00FD62C4" w:rsidRDefault="000F0D32" w:rsidP="000F0D32">
      <w:pPr>
        <w:pStyle w:val="Headingb"/>
      </w:pPr>
      <w:r w:rsidRPr="00FD62C4">
        <w:rPr>
          <w:lang w:eastAsia="ko-KR"/>
        </w:rPr>
        <w:t>Step</w:t>
      </w:r>
      <w:r w:rsidR="00944FC8" w:rsidRPr="00FD62C4">
        <w:rPr>
          <w:lang w:eastAsia="ko-KR"/>
        </w:rPr>
        <w:t xml:space="preserve"> </w:t>
      </w:r>
      <w:r w:rsidRPr="00FD62C4">
        <w:rPr>
          <w:lang w:eastAsia="ko-KR"/>
        </w:rPr>
        <w:t xml:space="preserve">3: </w:t>
      </w:r>
      <w:r w:rsidRPr="00FD62C4">
        <w:t xml:space="preserve">Application of </w:t>
      </w:r>
      <w:r w:rsidRPr="00FD62C4">
        <w:rPr>
          <w:lang w:eastAsia="ko-KR"/>
        </w:rPr>
        <w:t>a</w:t>
      </w:r>
      <w:r w:rsidRPr="00FD62C4">
        <w:t xml:space="preserve">ssessment </w:t>
      </w:r>
      <w:r w:rsidRPr="00FD62C4">
        <w:rPr>
          <w:lang w:eastAsia="ko-KR"/>
        </w:rPr>
        <w:t>m</w:t>
      </w:r>
      <w:r w:rsidRPr="00FD62C4">
        <w:t>ethodology</w:t>
      </w:r>
    </w:p>
    <w:p w14:paraId="243B531D" w14:textId="77777777" w:rsidR="000F0D32" w:rsidRPr="00FD62C4" w:rsidRDefault="000F0D32" w:rsidP="000F0D32">
      <w:r w:rsidRPr="00FD62C4">
        <w:rPr>
          <w:lang w:eastAsia="ko-KR"/>
        </w:rPr>
        <w:t xml:space="preserve">Applying a </w:t>
      </w:r>
      <w:r w:rsidRPr="00FD62C4">
        <w:t>structured methodology</w:t>
      </w:r>
      <w:r w:rsidRPr="00FD62C4">
        <w:rPr>
          <w:lang w:eastAsia="ko-KR"/>
        </w:rPr>
        <w:t>, the indicators are quantified from</w:t>
      </w:r>
      <w:r w:rsidRPr="00FD62C4">
        <w:t xml:space="preserve"> the relevant parameters and</w:t>
      </w:r>
      <w:r w:rsidRPr="00FD62C4">
        <w:rPr>
          <w:lang w:eastAsia="ko-KR"/>
        </w:rPr>
        <w:t xml:space="preserve"> available</w:t>
      </w:r>
      <w:r w:rsidRPr="00FD62C4">
        <w:t xml:space="preserve"> information</w:t>
      </w:r>
      <w:r w:rsidRPr="00FD62C4">
        <w:rPr>
          <w:lang w:eastAsia="ko-KR"/>
        </w:rPr>
        <w:t>, providing the basis for applying the criteria established earlier.</w:t>
      </w:r>
      <w:r w:rsidRPr="00FD62C4">
        <w:t xml:space="preserve"> This may involve:</w:t>
      </w:r>
    </w:p>
    <w:p w14:paraId="12F0570E" w14:textId="5735E9D9" w:rsidR="000F0D32" w:rsidRPr="00FD62C4" w:rsidRDefault="000F0D32" w:rsidP="000F0D32">
      <w:pPr>
        <w:pStyle w:val="enumlev1"/>
        <w:rPr>
          <w:lang w:eastAsia="ko-KR"/>
        </w:rPr>
      </w:pPr>
      <w:r w:rsidRPr="00FD62C4">
        <w:rPr>
          <w:lang w:eastAsia="ko-KR"/>
        </w:rPr>
        <w:t>‒</w:t>
      </w:r>
      <w:r w:rsidRPr="00FD62C4">
        <w:rPr>
          <w:lang w:eastAsia="ko-KR"/>
        </w:rPr>
        <w:tab/>
        <w:t>Measurement campaigns or monitoring data</w:t>
      </w:r>
      <w:r w:rsidR="00DF3277" w:rsidRPr="00FD62C4">
        <w:rPr>
          <w:lang w:eastAsia="ko-KR"/>
        </w:rPr>
        <w:t>;</w:t>
      </w:r>
    </w:p>
    <w:p w14:paraId="29486D8F" w14:textId="48CB811E" w:rsidR="000F0D32" w:rsidRPr="00FD62C4" w:rsidRDefault="000F0D32" w:rsidP="000F0D32">
      <w:pPr>
        <w:pStyle w:val="enumlev1"/>
        <w:rPr>
          <w:lang w:eastAsia="ko-KR"/>
        </w:rPr>
      </w:pPr>
      <w:r w:rsidRPr="00FD62C4">
        <w:rPr>
          <w:lang w:eastAsia="ko-KR"/>
        </w:rPr>
        <w:t>‒</w:t>
      </w:r>
      <w:r w:rsidRPr="00FD62C4">
        <w:rPr>
          <w:lang w:eastAsia="ko-KR"/>
        </w:rPr>
        <w:tab/>
        <w:t>Database queries of licensing or regulatory frameworks</w:t>
      </w:r>
      <w:r w:rsidR="00DF3277" w:rsidRPr="00FD62C4">
        <w:rPr>
          <w:lang w:eastAsia="ko-KR"/>
        </w:rPr>
        <w:t>;</w:t>
      </w:r>
    </w:p>
    <w:p w14:paraId="5A9FC6A3" w14:textId="182B96B5" w:rsidR="000F0D32" w:rsidRPr="00FD62C4" w:rsidRDefault="000F0D32" w:rsidP="000F0D32">
      <w:pPr>
        <w:pStyle w:val="enumlev1"/>
        <w:rPr>
          <w:lang w:eastAsia="ko-KR"/>
        </w:rPr>
      </w:pPr>
      <w:r w:rsidRPr="00FD62C4">
        <w:rPr>
          <w:lang w:eastAsia="ko-KR"/>
        </w:rPr>
        <w:t>‒</w:t>
      </w:r>
      <w:r w:rsidRPr="00FD62C4">
        <w:rPr>
          <w:lang w:eastAsia="ko-KR"/>
        </w:rPr>
        <w:tab/>
        <w:t>Mathematical analysis or simulation models (e.g. interference analysis, coexistence scenarios).</w:t>
      </w:r>
    </w:p>
    <w:p w14:paraId="3E944431" w14:textId="77777777" w:rsidR="000F0D32" w:rsidRPr="00FD62C4" w:rsidRDefault="000F0D32" w:rsidP="000F0D32">
      <w:pPr>
        <w:rPr>
          <w:lang w:eastAsia="ko-KR"/>
        </w:rPr>
      </w:pPr>
      <w:r w:rsidRPr="00FD62C4">
        <w:rPr>
          <w:lang w:eastAsia="ko-KR"/>
        </w:rPr>
        <w:t>These quantified indicators are then evaluated using the criteria established in the previous step to determine current spectrum availability.</w:t>
      </w:r>
    </w:p>
    <w:p w14:paraId="5908D1A2" w14:textId="2FF71120" w:rsidR="000F0D32" w:rsidRPr="00FD62C4" w:rsidRDefault="000F0D32" w:rsidP="000F0D32">
      <w:pPr>
        <w:pStyle w:val="Headingb"/>
      </w:pPr>
      <w:r w:rsidRPr="00FD62C4">
        <w:t>Step</w:t>
      </w:r>
      <w:r w:rsidR="00944FC8" w:rsidRPr="00FD62C4">
        <w:t xml:space="preserve"> </w:t>
      </w:r>
      <w:r w:rsidRPr="00FD62C4">
        <w:t>4: Application of prediction methodology</w:t>
      </w:r>
    </w:p>
    <w:p w14:paraId="425F18C8" w14:textId="77777777" w:rsidR="000F0D32" w:rsidRPr="00FD62C4" w:rsidRDefault="000F0D32" w:rsidP="000F0D32">
      <w:r w:rsidRPr="00FD62C4">
        <w:t>For future-oriented analysis, a prediction methodology is adopted. This includes:</w:t>
      </w:r>
    </w:p>
    <w:p w14:paraId="55467DD5" w14:textId="6BBBAD9C" w:rsidR="000F0D32" w:rsidRPr="00FD62C4" w:rsidRDefault="000F0D32" w:rsidP="000F0D32">
      <w:pPr>
        <w:pStyle w:val="enumlev1"/>
        <w:rPr>
          <w:lang w:eastAsia="ko-KR"/>
        </w:rPr>
      </w:pPr>
      <w:r w:rsidRPr="00FD62C4">
        <w:rPr>
          <w:lang w:eastAsia="ko-KR"/>
        </w:rPr>
        <w:t>‒</w:t>
      </w:r>
      <w:r w:rsidRPr="00FD62C4">
        <w:rPr>
          <w:lang w:eastAsia="ko-KR"/>
        </w:rPr>
        <w:tab/>
      </w:r>
      <w:r w:rsidR="00DF3277" w:rsidRPr="00FD62C4">
        <w:rPr>
          <w:lang w:eastAsia="ko-KR"/>
        </w:rPr>
        <w:t>c</w:t>
      </w:r>
      <w:r w:rsidRPr="00FD62C4">
        <w:rPr>
          <w:lang w:eastAsia="ko-KR"/>
        </w:rPr>
        <w:t>ollecting and analysing historical indicators or the underlying parameters used in their quantification</w:t>
      </w:r>
      <w:r w:rsidR="00DF3277" w:rsidRPr="00FD62C4">
        <w:rPr>
          <w:lang w:eastAsia="ko-KR"/>
        </w:rPr>
        <w:t>;</w:t>
      </w:r>
      <w:r w:rsidR="00003054" w:rsidRPr="00FD62C4">
        <w:rPr>
          <w:lang w:eastAsia="ko-KR"/>
        </w:rPr>
        <w:t xml:space="preserve"> and</w:t>
      </w:r>
    </w:p>
    <w:p w14:paraId="0C5631AB" w14:textId="5AA49253" w:rsidR="000F0D32" w:rsidRPr="00FD62C4" w:rsidRDefault="000F0D32" w:rsidP="000F0D32">
      <w:pPr>
        <w:pStyle w:val="enumlev1"/>
        <w:rPr>
          <w:lang w:eastAsia="ko-KR"/>
        </w:rPr>
      </w:pPr>
      <w:r w:rsidRPr="00FD62C4">
        <w:rPr>
          <w:lang w:eastAsia="ko-KR"/>
        </w:rPr>
        <w:t>‒</w:t>
      </w:r>
      <w:r w:rsidRPr="00FD62C4">
        <w:rPr>
          <w:lang w:eastAsia="ko-KR"/>
        </w:rPr>
        <w:tab/>
      </w:r>
      <w:r w:rsidR="00003054" w:rsidRPr="00FD62C4">
        <w:rPr>
          <w:lang w:eastAsia="ko-KR"/>
        </w:rPr>
        <w:t>a</w:t>
      </w:r>
      <w:r w:rsidRPr="00FD62C4">
        <w:rPr>
          <w:lang w:eastAsia="ko-KR"/>
        </w:rPr>
        <w:t>pplying statistical forecasting, machine learning, or other forecasting tools to estimate the future values of the parameters and indicators.</w:t>
      </w:r>
    </w:p>
    <w:p w14:paraId="61BC2611" w14:textId="77777777" w:rsidR="000F0D32" w:rsidRPr="00FD62C4" w:rsidRDefault="000F0D32" w:rsidP="000F0D32">
      <w:pPr>
        <w:rPr>
          <w:lang w:eastAsia="ko-KR"/>
        </w:rPr>
      </w:pPr>
      <w:r w:rsidRPr="00FD62C4">
        <w:t>The predicted indicators are subsequently assessed using the same criteria as in current availability assessments, yielding an estimation of future spectrum availability.</w:t>
      </w:r>
    </w:p>
    <w:p w14:paraId="0A0D35D1" w14:textId="77777777" w:rsidR="000F0D32" w:rsidRPr="00FD62C4" w:rsidDel="001B7198" w:rsidRDefault="000F0D32" w:rsidP="000F0D32">
      <w:pPr>
        <w:rPr>
          <w:rFonts w:eastAsia="Batang"/>
          <w:lang w:eastAsia="ko-KR"/>
        </w:rPr>
      </w:pPr>
      <w:r w:rsidRPr="00FD62C4">
        <w:rPr>
          <w:lang w:eastAsia="ko-KR"/>
        </w:rPr>
        <w:t>The general process described above has been derived from the case studies currently included in this Report and is provided for information purposes only. As additional case studies become available, the descriptions and examples provided in this section may be updated accordingly.</w:t>
      </w:r>
    </w:p>
    <w:p w14:paraId="0047E9A3" w14:textId="127C542E" w:rsidR="001A213A" w:rsidRPr="00FD62C4" w:rsidRDefault="001A213A" w:rsidP="00254D24">
      <w:pPr>
        <w:pStyle w:val="Heading1"/>
        <w:rPr>
          <w:rFonts w:eastAsiaTheme="minorEastAsia"/>
        </w:rPr>
      </w:pPr>
      <w:bookmarkStart w:id="26" w:name="_Toc10203699"/>
      <w:bookmarkStart w:id="27" w:name="_Toc530469869"/>
      <w:bookmarkStart w:id="28" w:name="_Toc469305150"/>
      <w:bookmarkStart w:id="29" w:name="_Toc426446516"/>
      <w:bookmarkStart w:id="30" w:name="_Toc136358627"/>
      <w:bookmarkStart w:id="31" w:name="_Toc184629710"/>
      <w:bookmarkStart w:id="32" w:name="_Toc184629926"/>
      <w:bookmarkStart w:id="33" w:name="_Toc235620206"/>
      <w:r w:rsidRPr="00FD62C4">
        <w:rPr>
          <w:rFonts w:eastAsiaTheme="minorEastAsia"/>
        </w:rPr>
        <w:t>3</w:t>
      </w:r>
      <w:r w:rsidRPr="00FD62C4">
        <w:rPr>
          <w:rFonts w:eastAsiaTheme="minorEastAsia"/>
        </w:rPr>
        <w:tab/>
      </w:r>
      <w:r w:rsidR="00944FC8" w:rsidRPr="00FD62C4">
        <w:rPr>
          <w:rFonts w:eastAsiaTheme="minorEastAsia"/>
        </w:rPr>
        <w:t>Summar</w:t>
      </w:r>
      <w:r w:rsidRPr="00FD62C4">
        <w:rPr>
          <w:rFonts w:eastAsiaTheme="minorEastAsia"/>
        </w:rPr>
        <w:t>y</w:t>
      </w:r>
      <w:bookmarkEnd w:id="26"/>
      <w:bookmarkEnd w:id="27"/>
      <w:bookmarkEnd w:id="28"/>
      <w:bookmarkEnd w:id="29"/>
      <w:bookmarkEnd w:id="30"/>
      <w:bookmarkEnd w:id="31"/>
      <w:bookmarkEnd w:id="32"/>
      <w:bookmarkEnd w:id="33"/>
    </w:p>
    <w:p w14:paraId="3D770538" w14:textId="77777777" w:rsidR="007A15D9" w:rsidRPr="00FD62C4" w:rsidRDefault="007A15D9" w:rsidP="00254D24">
      <w:pPr>
        <w:keepNext/>
        <w:keepLines/>
        <w:rPr>
          <w:lang w:eastAsia="zh-CN"/>
        </w:rPr>
      </w:pPr>
      <w:r w:rsidRPr="00FD62C4">
        <w:rPr>
          <w:lang w:eastAsia="zh-CN"/>
        </w:rPr>
        <w:t xml:space="preserve">In response to the increasing demand for spectrum and the diversity of spectrum usage environments, Question ITU-R 241/1 was established to study methodologies for assessing or predicting spectrum availability. This Report </w:t>
      </w:r>
      <w:r w:rsidRPr="00FD62C4">
        <w:rPr>
          <w:rFonts w:eastAsiaTheme="minorEastAsia"/>
        </w:rPr>
        <w:t>provides</w:t>
      </w:r>
      <w:r w:rsidRPr="00FD62C4">
        <w:rPr>
          <w:lang w:eastAsia="zh-CN"/>
        </w:rPr>
        <w:t xml:space="preserve"> an overview of the results of that study, including the clarification of key concepts and the introduction of related methodologies.</w:t>
      </w:r>
    </w:p>
    <w:p w14:paraId="1A101913" w14:textId="77777777" w:rsidR="007A15D9" w:rsidRPr="00FD62C4" w:rsidRDefault="007A15D9" w:rsidP="007A15D9">
      <w:pPr>
        <w:rPr>
          <w:rFonts w:eastAsia="Malgun Gothic"/>
          <w:lang w:eastAsia="ko-KR"/>
        </w:rPr>
      </w:pPr>
      <w:r w:rsidRPr="00FD62C4">
        <w:rPr>
          <w:rFonts w:eastAsia="Malgun Gothic"/>
          <w:lang w:eastAsia="ko-KR"/>
        </w:rPr>
        <w:t xml:space="preserve">This Report defines key terms such as spectrum availability, criteria for its assessment, and </w:t>
      </w:r>
      <w:r w:rsidRPr="00FD62C4">
        <w:rPr>
          <w:rFonts w:eastAsiaTheme="minorEastAsia"/>
        </w:rPr>
        <w:t>methodologies</w:t>
      </w:r>
      <w:r w:rsidRPr="00FD62C4">
        <w:rPr>
          <w:rFonts w:eastAsia="Malgun Gothic"/>
          <w:lang w:eastAsia="ko-KR"/>
        </w:rPr>
        <w:t xml:space="preserve"> for assessment and prediction, and also describes, for information purposes only, a general process applicable to spectrum availability assessment or prediction, derived from national case studies.</w:t>
      </w:r>
    </w:p>
    <w:p w14:paraId="769EBEAC" w14:textId="12F373B5" w:rsidR="007A15D9" w:rsidRPr="00FD62C4" w:rsidRDefault="007A15D9" w:rsidP="007A15D9">
      <w:pPr>
        <w:rPr>
          <w:lang w:eastAsia="ko-KR"/>
        </w:rPr>
      </w:pPr>
      <w:r w:rsidRPr="00FD62C4">
        <w:rPr>
          <w:rFonts w:eastAsia="Malgun Gothic"/>
          <w:lang w:eastAsia="ko-KR"/>
        </w:rPr>
        <w:t xml:space="preserve">National case studies included in the Annexes illustrate how these concepts and methodologies are interpreted </w:t>
      </w:r>
      <w:r w:rsidRPr="00FD62C4">
        <w:rPr>
          <w:rFonts w:eastAsiaTheme="minorEastAsia"/>
        </w:rPr>
        <w:t>and</w:t>
      </w:r>
      <w:r w:rsidRPr="00FD62C4">
        <w:rPr>
          <w:rFonts w:eastAsia="Malgun Gothic"/>
          <w:lang w:eastAsia="ko-KR"/>
        </w:rPr>
        <w:t xml:space="preserve"> applied in practice. The examples reflect varying national conditions and perspectives, including differences in policy, regulatory environments and spectrum usage characteristics. Taking into account the rapid development of new technologies, administrations are encouraged to submit contributions on the technologies and related practical experiences on the spectrum availability assessments and predictions.</w:t>
      </w:r>
    </w:p>
    <w:p w14:paraId="21E65B0A" w14:textId="77777777" w:rsidR="007A15D9" w:rsidRPr="00FD62C4" w:rsidRDefault="007A15D9" w:rsidP="007A15D9">
      <w:pPr>
        <w:rPr>
          <w:rFonts w:eastAsiaTheme="minorEastAsia"/>
        </w:rPr>
      </w:pPr>
      <w:bookmarkStart w:id="34" w:name="_Toc10203700"/>
      <w:bookmarkStart w:id="35" w:name="_Toc136358628"/>
      <w:bookmarkStart w:id="36" w:name="_Toc184629711"/>
      <w:bookmarkStart w:id="37" w:name="_Toc184629927"/>
    </w:p>
    <w:p w14:paraId="396E6C24" w14:textId="0BC0296E" w:rsidR="001A213A" w:rsidRPr="00FD62C4" w:rsidRDefault="001A213A" w:rsidP="001A213A">
      <w:pPr>
        <w:pStyle w:val="AnnexNoTitle"/>
        <w:rPr>
          <w:rFonts w:eastAsiaTheme="minorEastAsia"/>
        </w:rPr>
      </w:pPr>
      <w:bookmarkStart w:id="38" w:name="_Toc235620207"/>
      <w:r w:rsidRPr="00FD62C4">
        <w:rPr>
          <w:rFonts w:eastAsiaTheme="minorEastAsia"/>
        </w:rPr>
        <w:lastRenderedPageBreak/>
        <w:t>Annex 1</w:t>
      </w:r>
      <w:r w:rsidRPr="00FD62C4">
        <w:rPr>
          <w:rFonts w:eastAsiaTheme="minorEastAsia"/>
          <w:lang w:eastAsia="zh-CN"/>
        </w:rPr>
        <w:t xml:space="preserve"> </w:t>
      </w:r>
      <w:r w:rsidRPr="00FD62C4">
        <w:rPr>
          <w:rFonts w:eastAsiaTheme="minorEastAsia"/>
          <w:lang w:eastAsia="zh-CN"/>
        </w:rPr>
        <w:br/>
      </w:r>
      <w:r w:rsidRPr="00FD62C4">
        <w:rPr>
          <w:rFonts w:eastAsiaTheme="minorEastAsia"/>
          <w:lang w:eastAsia="zh-CN"/>
        </w:rPr>
        <w:br/>
      </w:r>
      <w:r w:rsidR="00545047" w:rsidRPr="00FD62C4">
        <w:rPr>
          <w:lang w:eastAsia="ko-KR"/>
        </w:rPr>
        <w:t>Case studies from Korea (Republic of)</w:t>
      </w:r>
      <w:bookmarkEnd w:id="34"/>
      <w:bookmarkEnd w:id="35"/>
      <w:bookmarkEnd w:id="36"/>
      <w:bookmarkEnd w:id="37"/>
      <w:bookmarkEnd w:id="38"/>
    </w:p>
    <w:p w14:paraId="4A45BD6A" w14:textId="13034C23" w:rsidR="00EB5C9F" w:rsidRPr="00FD62C4" w:rsidRDefault="00EB5C9F" w:rsidP="001A213A">
      <w:pPr>
        <w:spacing w:before="360"/>
        <w:rPr>
          <w:lang w:eastAsia="ko-KR"/>
        </w:rPr>
      </w:pPr>
      <w:r w:rsidRPr="00FD62C4">
        <w:rPr>
          <w:lang w:eastAsia="ko-KR"/>
        </w:rPr>
        <w:t>This Annex presents studies conducted from Korea (Republic of). It discusses the spectrum availability across different categories of spectrum usage, classified by licensing conditions and modes of use. It also provides methodologies for assessing or predicting the spectrum availability and introduces technical approaches to increase the spectrum utilization. The spectrum usage categories discussed in this Annex are classified into the following three types:</w:t>
      </w:r>
    </w:p>
    <w:p w14:paraId="398ADD74" w14:textId="42CA5725" w:rsidR="00260E37" w:rsidRPr="00FD62C4" w:rsidRDefault="001710AD" w:rsidP="00260E37">
      <w:pPr>
        <w:pStyle w:val="enumlev1"/>
        <w:rPr>
          <w:rFonts w:eastAsiaTheme="minorEastAsia"/>
        </w:rPr>
      </w:pPr>
      <w:r w:rsidRPr="00FD62C4">
        <w:t>‒</w:t>
      </w:r>
      <w:r w:rsidRPr="00FD62C4">
        <w:tab/>
      </w:r>
      <w:r w:rsidR="0045691F" w:rsidRPr="00FD62C4">
        <w:t>Exclusive use of licensed spectrum</w:t>
      </w:r>
      <w:r w:rsidR="00540E27" w:rsidRPr="00FD62C4">
        <w:t>;</w:t>
      </w:r>
    </w:p>
    <w:p w14:paraId="2D8E5172" w14:textId="7D55522A" w:rsidR="00260E37" w:rsidRPr="00FD62C4" w:rsidRDefault="001710AD" w:rsidP="00260E37">
      <w:pPr>
        <w:pStyle w:val="enumlev1"/>
        <w:rPr>
          <w:rFonts w:eastAsiaTheme="minorEastAsia"/>
        </w:rPr>
      </w:pPr>
      <w:r w:rsidRPr="00FD62C4">
        <w:rPr>
          <w:lang w:eastAsia="ko-KR"/>
        </w:rPr>
        <w:t>‒</w:t>
      </w:r>
      <w:r w:rsidRPr="00FD62C4">
        <w:rPr>
          <w:lang w:eastAsia="ko-KR"/>
        </w:rPr>
        <w:tab/>
      </w:r>
      <w:r w:rsidR="00497292" w:rsidRPr="00FD62C4">
        <w:t>Shared use of licensed spectrum</w:t>
      </w:r>
      <w:r w:rsidR="00540E27" w:rsidRPr="00FD62C4">
        <w:t>;</w:t>
      </w:r>
    </w:p>
    <w:p w14:paraId="74970434" w14:textId="309D2AE3" w:rsidR="00260E37" w:rsidRPr="00FD62C4" w:rsidRDefault="001710AD" w:rsidP="00260E37">
      <w:pPr>
        <w:pStyle w:val="enumlev1"/>
      </w:pPr>
      <w:r w:rsidRPr="00FD62C4">
        <w:rPr>
          <w:lang w:eastAsia="ko-KR"/>
        </w:rPr>
        <w:t>‒</w:t>
      </w:r>
      <w:r w:rsidRPr="00FD62C4">
        <w:rPr>
          <w:lang w:eastAsia="ko-KR"/>
        </w:rPr>
        <w:tab/>
      </w:r>
      <w:r w:rsidR="00912541" w:rsidRPr="00FD62C4">
        <w:t>Shared use of unlicensed spectrum</w:t>
      </w:r>
      <w:r w:rsidR="00540E27" w:rsidRPr="00FD62C4">
        <w:t>.</w:t>
      </w:r>
    </w:p>
    <w:p w14:paraId="6B5F8C3E" w14:textId="17F9A654" w:rsidR="00912541" w:rsidRPr="00FD62C4" w:rsidRDefault="00207EEF" w:rsidP="00912541">
      <w:r w:rsidRPr="00FD62C4">
        <w:t>Each category was formulated with reference to the following sources, respectively:</w:t>
      </w:r>
    </w:p>
    <w:p w14:paraId="11226573" w14:textId="6D9ED32C" w:rsidR="00912541" w:rsidRPr="00FD62C4" w:rsidRDefault="00207EEF" w:rsidP="00260E37">
      <w:pPr>
        <w:pStyle w:val="enumlev1"/>
      </w:pPr>
      <w:r w:rsidRPr="00FD62C4">
        <w:rPr>
          <w:lang w:eastAsia="ko-KR"/>
        </w:rPr>
        <w:t>‒</w:t>
      </w:r>
      <w:r w:rsidRPr="00FD62C4">
        <w:rPr>
          <w:lang w:eastAsia="ko-KR"/>
        </w:rPr>
        <w:tab/>
      </w:r>
      <w:r w:rsidR="00AC4E54" w:rsidRPr="00FD62C4">
        <w:rPr>
          <w:bCs/>
          <w:lang w:eastAsia="ja-JP"/>
        </w:rPr>
        <w:t>Report ITU-R M.2290</w:t>
      </w:r>
      <w:r w:rsidR="00AC4E54" w:rsidRPr="00FD62C4">
        <w:rPr>
          <w:lang w:eastAsia="ja-JP"/>
        </w:rPr>
        <w:t xml:space="preserve"> and reference documents [</w:t>
      </w:r>
      <w:r w:rsidR="00AC4E54" w:rsidRPr="00FD62C4">
        <w:rPr>
          <w:lang w:eastAsia="ko-KR"/>
        </w:rPr>
        <w:t>20</w:t>
      </w:r>
      <w:r w:rsidR="00AC4E54" w:rsidRPr="00FD62C4">
        <w:rPr>
          <w:lang w:eastAsia="ja-JP"/>
        </w:rPr>
        <w:t>]</w:t>
      </w:r>
      <w:r w:rsidR="009014D3" w:rsidRPr="00FD62C4">
        <w:rPr>
          <w:lang w:eastAsia="ja-JP"/>
        </w:rPr>
        <w:t xml:space="preserve"> and </w:t>
      </w:r>
      <w:r w:rsidR="00AC4E54" w:rsidRPr="00FD62C4">
        <w:rPr>
          <w:lang w:eastAsia="ja-JP"/>
        </w:rPr>
        <w:t>[</w:t>
      </w:r>
      <w:r w:rsidR="00AC4E54" w:rsidRPr="00FD62C4">
        <w:rPr>
          <w:lang w:eastAsia="ko-KR"/>
        </w:rPr>
        <w:t>23</w:t>
      </w:r>
      <w:r w:rsidR="00AC4E54" w:rsidRPr="00FD62C4">
        <w:rPr>
          <w:lang w:eastAsia="ja-JP"/>
        </w:rPr>
        <w:t>] from Korea.</w:t>
      </w:r>
    </w:p>
    <w:p w14:paraId="1E1EF2DB" w14:textId="6EED3F7D" w:rsidR="00912541" w:rsidRPr="00FD62C4" w:rsidRDefault="00207EEF" w:rsidP="00260E37">
      <w:pPr>
        <w:pStyle w:val="enumlev1"/>
      </w:pPr>
      <w:r w:rsidRPr="00FD62C4">
        <w:rPr>
          <w:lang w:eastAsia="ko-KR"/>
        </w:rPr>
        <w:t>‒</w:t>
      </w:r>
      <w:r w:rsidRPr="00FD62C4">
        <w:rPr>
          <w:lang w:eastAsia="ko-KR"/>
        </w:rPr>
        <w:tab/>
      </w:r>
      <w:r w:rsidR="00EC740E" w:rsidRPr="00FD62C4">
        <w:rPr>
          <w:lang w:eastAsia="ko-KR"/>
        </w:rPr>
        <w:t>NTIA, Quantitative Assessments of Spectrum Usage, Nov. 2016.</w:t>
      </w:r>
    </w:p>
    <w:p w14:paraId="30C529D9" w14:textId="15855A5C" w:rsidR="00912541" w:rsidRPr="00FD62C4" w:rsidRDefault="00207EEF" w:rsidP="00260E37">
      <w:pPr>
        <w:pStyle w:val="enumlev1"/>
        <w:rPr>
          <w:lang w:eastAsia="ko-KR"/>
        </w:rPr>
      </w:pPr>
      <w:r w:rsidRPr="00FD62C4">
        <w:rPr>
          <w:lang w:eastAsia="ko-KR"/>
        </w:rPr>
        <w:t>‒</w:t>
      </w:r>
      <w:r w:rsidRPr="00FD62C4">
        <w:rPr>
          <w:lang w:eastAsia="ko-KR"/>
        </w:rPr>
        <w:tab/>
      </w:r>
      <w:r w:rsidR="00DD346B" w:rsidRPr="00FD62C4">
        <w:t>Ofcom, Spectrum Commons Classes for Licence-Exemption, Nov. 2008</w:t>
      </w:r>
      <w:r w:rsidR="00F1767A" w:rsidRPr="00FD62C4">
        <w:t>.</w:t>
      </w:r>
    </w:p>
    <w:p w14:paraId="3789C208" w14:textId="7B8D2BE2" w:rsidR="00207EEF" w:rsidRPr="00FD62C4" w:rsidRDefault="00DD346B" w:rsidP="00254D24">
      <w:pPr>
        <w:pStyle w:val="Heading2"/>
        <w:rPr>
          <w:lang w:eastAsia="ko-KR"/>
        </w:rPr>
      </w:pPr>
      <w:bookmarkStart w:id="39" w:name="_Toc235620208"/>
      <w:r w:rsidRPr="00FD62C4">
        <w:rPr>
          <w:lang w:eastAsia="ko-KR"/>
        </w:rPr>
        <w:t>A1</w:t>
      </w:r>
      <w:r w:rsidR="00281D09" w:rsidRPr="00FD62C4">
        <w:rPr>
          <w:lang w:eastAsia="ko-KR"/>
        </w:rPr>
        <w:t>.</w:t>
      </w:r>
      <w:r w:rsidRPr="00FD62C4">
        <w:rPr>
          <w:lang w:eastAsia="ko-KR"/>
        </w:rPr>
        <w:t>1</w:t>
      </w:r>
      <w:r w:rsidRPr="00FD62C4">
        <w:rPr>
          <w:lang w:eastAsia="ko-KR"/>
        </w:rPr>
        <w:tab/>
      </w:r>
      <w:r w:rsidR="001F338E" w:rsidRPr="00FD62C4">
        <w:t>Background</w:t>
      </w:r>
      <w:bookmarkEnd w:id="39"/>
    </w:p>
    <w:p w14:paraId="6FAA1B6C" w14:textId="6CEEBFC5" w:rsidR="00207EEF" w:rsidRPr="00FD62C4" w:rsidRDefault="00887456" w:rsidP="00254D24">
      <w:pPr>
        <w:pStyle w:val="Heading3"/>
        <w:rPr>
          <w:rFonts w:eastAsiaTheme="minorEastAsia"/>
        </w:rPr>
      </w:pPr>
      <w:bookmarkStart w:id="40" w:name="_Toc235620209"/>
      <w:r w:rsidRPr="00FD62C4">
        <w:rPr>
          <w:rFonts w:eastAsiaTheme="minorEastAsia"/>
        </w:rPr>
        <w:t>A1</w:t>
      </w:r>
      <w:r w:rsidR="00281D09" w:rsidRPr="00FD62C4">
        <w:rPr>
          <w:rFonts w:eastAsiaTheme="minorEastAsia"/>
        </w:rPr>
        <w:t>.</w:t>
      </w:r>
      <w:r w:rsidRPr="00FD62C4">
        <w:rPr>
          <w:rFonts w:eastAsiaTheme="minorEastAsia"/>
        </w:rPr>
        <w:t>1.1</w:t>
      </w:r>
      <w:r w:rsidRPr="00FD62C4">
        <w:rPr>
          <w:rFonts w:eastAsiaTheme="minorEastAsia"/>
        </w:rPr>
        <w:tab/>
        <w:t>Factors to be considered</w:t>
      </w:r>
      <w:bookmarkEnd w:id="40"/>
    </w:p>
    <w:p w14:paraId="738F416B" w14:textId="77777777" w:rsidR="00A812FA" w:rsidRPr="00FD62C4" w:rsidRDefault="00A812FA" w:rsidP="00A812FA">
      <w:pPr>
        <w:pStyle w:val="Headingb"/>
      </w:pPr>
      <w:r w:rsidRPr="00FD62C4">
        <w:t>Spectrum demand</w:t>
      </w:r>
    </w:p>
    <w:p w14:paraId="59CD9A9C" w14:textId="77777777" w:rsidR="00A812FA" w:rsidRPr="00FD62C4" w:rsidRDefault="00A812FA" w:rsidP="00A812FA">
      <w:pPr>
        <w:rPr>
          <w:lang w:eastAsia="ko-KR"/>
        </w:rPr>
      </w:pPr>
      <w:r w:rsidRPr="00FD62C4">
        <w:rPr>
          <w:lang w:eastAsia="ko-KR"/>
        </w:rPr>
        <w:t>Demand for spectrum is generally not for the spectrum itself, but for the radiocommunication service, which translates into the required spectrum amount depending on various factors related to the service. If the spectrum amount provided by a frequency band is insufficient to meet the required spectrum amount, the radiocommunication service cannot operate within that frequency band. This implies that the spectrum demand is one of the factors affecting spectrum availability.</w:t>
      </w:r>
    </w:p>
    <w:p w14:paraId="3FB12C83" w14:textId="77777777" w:rsidR="00A812FA" w:rsidRPr="00FD62C4" w:rsidRDefault="00A812FA" w:rsidP="00A812FA">
      <w:pPr>
        <w:pStyle w:val="Headingb"/>
      </w:pPr>
      <w:r w:rsidRPr="00FD62C4">
        <w:t>Spectrum sharing</w:t>
      </w:r>
    </w:p>
    <w:p w14:paraId="0B056F44" w14:textId="32EFA5E0" w:rsidR="00A812FA" w:rsidRPr="00FD62C4" w:rsidRDefault="00A812FA" w:rsidP="00A812FA">
      <w:pPr>
        <w:rPr>
          <w:lang w:eastAsia="ko-KR"/>
        </w:rPr>
      </w:pPr>
      <w:r w:rsidRPr="00FD62C4">
        <w:rPr>
          <w:lang w:eastAsia="ko-KR"/>
        </w:rPr>
        <w:t>Various radiocommunication services share spectrum, and the resulting interference limits their performance. Interference is related to the spectrum use of radiocommunication services, which consist of three independent components: frequency use, temporal use and geographical use. Interference occurs when an undesired signal appears at the spatial location of a receiver, within its receiver channel frequency, and at the time the desired signal is present. In other words, interference happens when the spectrum use of one radiocommunication service overlaps with that of another. Therefore, the spectrum use of radiocommunication services that share a frequency band is another factor affecting spectrum availability.</w:t>
      </w:r>
    </w:p>
    <w:p w14:paraId="6A8A36BA" w14:textId="507F25C2" w:rsidR="00A812FA" w:rsidRPr="00FD62C4" w:rsidRDefault="00A812FA" w:rsidP="00254D24">
      <w:pPr>
        <w:pStyle w:val="Heading3"/>
      </w:pPr>
      <w:bookmarkStart w:id="41" w:name="_Toc232493283"/>
      <w:bookmarkStart w:id="42" w:name="_Toc235620210"/>
      <w:r w:rsidRPr="00FD62C4">
        <w:t>A1</w:t>
      </w:r>
      <w:r w:rsidR="00281D09" w:rsidRPr="00FD62C4">
        <w:t>.</w:t>
      </w:r>
      <w:r w:rsidRPr="00FD62C4">
        <w:t>1.</w:t>
      </w:r>
      <w:r w:rsidRPr="00FD62C4">
        <w:rPr>
          <w:lang w:eastAsia="ko-KR"/>
        </w:rPr>
        <w:t>2</w:t>
      </w:r>
      <w:r w:rsidRPr="00FD62C4">
        <w:tab/>
        <w:t>Major factors for each license regime</w:t>
      </w:r>
      <w:bookmarkEnd w:id="41"/>
      <w:bookmarkEnd w:id="42"/>
    </w:p>
    <w:p w14:paraId="53627228" w14:textId="7B6F3FF3" w:rsidR="00A812FA" w:rsidRPr="00FD62C4" w:rsidRDefault="00A812FA" w:rsidP="00A812FA">
      <w:pPr>
        <w:rPr>
          <w:lang w:eastAsia="ko-KR"/>
        </w:rPr>
      </w:pPr>
      <w:r w:rsidRPr="00FD62C4">
        <w:rPr>
          <w:lang w:eastAsia="ko-KR"/>
        </w:rPr>
        <w:t>There are three types of spectrum use: “exclusive use of licensed spectrum”, “shared use of licensed spectrum” and “shared use of unlicensed spectrum”. Each type of spectrum use has a different major factor to be considered when assessing spectrum availability.</w:t>
      </w:r>
    </w:p>
    <w:p w14:paraId="02C25AA7" w14:textId="77777777" w:rsidR="00A812FA" w:rsidRPr="00FD62C4" w:rsidRDefault="00A812FA" w:rsidP="00A812FA">
      <w:pPr>
        <w:pStyle w:val="Headingb"/>
      </w:pPr>
      <w:r w:rsidRPr="00FD62C4">
        <w:t>Exclusive use of licensed spectrum</w:t>
      </w:r>
    </w:p>
    <w:p w14:paraId="751C5E47" w14:textId="77777777" w:rsidR="00A812FA" w:rsidRPr="00FD62C4" w:rsidRDefault="00A812FA" w:rsidP="00A812FA">
      <w:pPr>
        <w:rPr>
          <w:lang w:eastAsia="ko-KR"/>
        </w:rPr>
      </w:pPr>
      <w:r w:rsidRPr="00FD62C4">
        <w:rPr>
          <w:lang w:eastAsia="ko-KR"/>
        </w:rPr>
        <w:t xml:space="preserve">In the case of “exclusive use of licensed spectrum”, a radiocommunication service holds a license and uses a frequency band under that license. Radiocommunication services using spectrum in this manner include mobile telecommunication and broadcasting service. In this context, the radiocommunication service is referred to as the “license owner”, and the frequency band is termed </w:t>
      </w:r>
      <w:r w:rsidRPr="00FD62C4">
        <w:rPr>
          <w:lang w:eastAsia="ko-KR"/>
        </w:rPr>
        <w:lastRenderedPageBreak/>
        <w:t>the “licensed spectrum”. License owners have the exclusive right to use the licensed spectrum within a defined geographical area and period of time. Therefore, interference caused by sharing spectrum with other radiocommunication services does not need to be a concern. This implies that spectrum demand is the major factor to be considered when assessing the availability of a licensed spectrum for a license owner.</w:t>
      </w:r>
    </w:p>
    <w:p w14:paraId="5C59D10A" w14:textId="77777777" w:rsidR="00A812FA" w:rsidRPr="00FD62C4" w:rsidRDefault="00A812FA" w:rsidP="00A812FA">
      <w:pPr>
        <w:pStyle w:val="Headingb"/>
      </w:pPr>
      <w:r w:rsidRPr="00FD62C4">
        <w:t>Shared use of licensed spectrum</w:t>
      </w:r>
    </w:p>
    <w:p w14:paraId="7CB55827" w14:textId="77777777" w:rsidR="00A812FA" w:rsidRPr="00FD62C4" w:rsidRDefault="00A812FA" w:rsidP="00A812FA">
      <w:pPr>
        <w:rPr>
          <w:lang w:eastAsia="ko-KR"/>
        </w:rPr>
      </w:pPr>
      <w:r w:rsidRPr="00FD62C4">
        <w:rPr>
          <w:lang w:eastAsia="ko-KR"/>
        </w:rPr>
        <w:t>In the case of “shared use of licensed spectrum”, a radiocommunication service wishes to use a licensed spectrum for which a license owner already exists. This radiocommunication service may be a potential license purchaser, or a secondary user, such as citizens broadband radiocommunication system, which uses the licensed spectrum without holding a license. In this context, the license owner is referred to as the “primary user”, and the licensed spectrum is termed the “shared licensed spectrum”. The rights of the primary user must not be violated. Therefore, potential license purchasers or secondary users must ensure that the primary user’s performance is not deteriorated. This means that the spectrum use of primary users is the major factor to be considered when assessing the availability of a shared licensed spectrum for a potential license purchaser or a secondary user.</w:t>
      </w:r>
    </w:p>
    <w:p w14:paraId="5403C31B" w14:textId="77777777" w:rsidR="00A812FA" w:rsidRPr="00FD62C4" w:rsidRDefault="00A812FA" w:rsidP="00F95312">
      <w:pPr>
        <w:pStyle w:val="Headingb"/>
      </w:pPr>
      <w:r w:rsidRPr="00FD62C4">
        <w:t>Shared use of unlicensed spectrum</w:t>
      </w:r>
    </w:p>
    <w:p w14:paraId="2F60D53A" w14:textId="77777777" w:rsidR="00A812FA" w:rsidRPr="00FD62C4" w:rsidRDefault="00A812FA" w:rsidP="00F95312">
      <w:pPr>
        <w:keepNext/>
        <w:keepLines/>
        <w:rPr>
          <w:lang w:eastAsia="ko-KR"/>
        </w:rPr>
      </w:pPr>
      <w:r w:rsidRPr="00FD62C4">
        <w:rPr>
          <w:lang w:eastAsia="ko-KR"/>
        </w:rPr>
        <w:t>In the case of “shared use of unlicensed spectrum”, a radiocommunication service shares a frequency band, which does not require a license, with other radiocommunication services fairly. Radiocommunication services using spectrum in this way include Wi</w:t>
      </w:r>
      <w:r w:rsidRPr="00FD62C4">
        <w:rPr>
          <w:lang w:eastAsia="ko-KR"/>
        </w:rPr>
        <w:noBreakHyphen/>
        <w:t>Fi, NR-U, and Bluetooth. In this context, the radiocommunication service is referred to as the “spectrum sharer”, and the frequency band is termed the “unlicensed spectrum”. Any radiocommunication service can be a spectrum sharer as long as it does not impair fair coexistence with other spectrum sharers</w:t>
      </w:r>
      <w:r w:rsidRPr="00FD62C4">
        <w:rPr>
          <w:rStyle w:val="FootnoteReference"/>
          <w:lang w:eastAsia="ko-KR"/>
        </w:rPr>
        <w:footnoteReference w:id="1"/>
      </w:r>
      <w:r w:rsidRPr="00FD62C4">
        <w:rPr>
          <w:lang w:eastAsia="ko-KR"/>
        </w:rPr>
        <w:t>, and it can access the unlicensed spectrum without external regulation. This spectrum use by spectrum sharers may lead to interference and limit their performance. Therefore, when assessing the availability of an unlicensed spectrum for a spectrum sharer, the spectrum use of other spectrum sharers is the major factor to be considered.</w:t>
      </w:r>
    </w:p>
    <w:p w14:paraId="30E0D38F" w14:textId="28E12AE0" w:rsidR="00A812FA" w:rsidRPr="00FD62C4" w:rsidRDefault="00A812FA" w:rsidP="00254D24">
      <w:pPr>
        <w:pStyle w:val="Heading2"/>
      </w:pPr>
      <w:bookmarkStart w:id="43" w:name="_Toc453154546"/>
      <w:bookmarkStart w:id="44" w:name="_Toc10071348"/>
      <w:bookmarkStart w:id="45" w:name="_Toc57621786"/>
      <w:bookmarkStart w:id="46" w:name="_Toc106624172"/>
      <w:bookmarkStart w:id="47" w:name="_Toc137196259"/>
      <w:bookmarkStart w:id="48" w:name="_Toc167886250"/>
      <w:bookmarkStart w:id="49" w:name="_Toc182401689"/>
      <w:bookmarkStart w:id="50" w:name="_Toc182401806"/>
      <w:bookmarkStart w:id="51" w:name="_Toc232493284"/>
      <w:bookmarkStart w:id="52" w:name="_Toc235620211"/>
      <w:r w:rsidRPr="00FD62C4">
        <w:t>A1</w:t>
      </w:r>
      <w:r w:rsidR="00281D09" w:rsidRPr="00FD62C4">
        <w:t>.</w:t>
      </w:r>
      <w:r w:rsidRPr="00FD62C4">
        <w:t>2</w:t>
      </w:r>
      <w:r w:rsidRPr="00FD62C4">
        <w:tab/>
      </w:r>
      <w:bookmarkEnd w:id="43"/>
      <w:bookmarkEnd w:id="44"/>
      <w:bookmarkEnd w:id="45"/>
      <w:r w:rsidRPr="00FD62C4">
        <w:t>Criteria</w:t>
      </w:r>
      <w:bookmarkEnd w:id="46"/>
      <w:bookmarkEnd w:id="47"/>
      <w:bookmarkEnd w:id="48"/>
      <w:bookmarkEnd w:id="49"/>
      <w:bookmarkEnd w:id="50"/>
      <w:bookmarkEnd w:id="51"/>
      <w:bookmarkEnd w:id="52"/>
    </w:p>
    <w:p w14:paraId="3C20E559" w14:textId="4739CF10" w:rsidR="00A812FA" w:rsidRPr="00FD62C4" w:rsidRDefault="00A812FA" w:rsidP="00A812FA">
      <w:r w:rsidRPr="00FD62C4">
        <w:t xml:space="preserve">This </w:t>
      </w:r>
      <w:r w:rsidR="00632602" w:rsidRPr="00FD62C4">
        <w:t>section</w:t>
      </w:r>
      <w:r w:rsidRPr="00FD62C4">
        <w:t xml:space="preserve"> establishes criteria for assessing spectrum availability </w:t>
      </w:r>
      <w:r w:rsidRPr="00FD62C4">
        <w:rPr>
          <w:lang w:eastAsia="ko-KR"/>
        </w:rPr>
        <w:t>across different types of spectrum use: exclusive use of licensed spectrum, shared use of licensed spectrum, and shared use of unlicensed spectrum</w:t>
      </w:r>
      <w:r w:rsidRPr="00FD62C4">
        <w:rPr>
          <w:rStyle w:val="FootnoteReference"/>
          <w:lang w:eastAsia="ko-KR"/>
        </w:rPr>
        <w:footnoteReference w:id="2"/>
      </w:r>
      <w:r w:rsidRPr="00FD62C4">
        <w:rPr>
          <w:lang w:eastAsia="ko-KR"/>
        </w:rPr>
        <w:t>.</w:t>
      </w:r>
    </w:p>
    <w:p w14:paraId="550B5D59" w14:textId="237C961B" w:rsidR="00A812FA" w:rsidRPr="00FD62C4" w:rsidRDefault="00A812FA" w:rsidP="00254D24">
      <w:pPr>
        <w:pStyle w:val="Heading3"/>
      </w:pPr>
      <w:bookmarkStart w:id="53" w:name="_Toc57621789"/>
      <w:bookmarkStart w:id="54" w:name="_Toc453154549"/>
      <w:bookmarkStart w:id="55" w:name="_Toc516054953"/>
      <w:bookmarkStart w:id="56" w:name="_Toc10071351"/>
      <w:bookmarkStart w:id="57" w:name="_Toc106624173"/>
      <w:bookmarkStart w:id="58" w:name="_Toc137196260"/>
      <w:bookmarkStart w:id="59" w:name="_Toc167886251"/>
      <w:bookmarkStart w:id="60" w:name="_Toc232493285"/>
      <w:bookmarkStart w:id="61" w:name="_Toc235620212"/>
      <w:r w:rsidRPr="00FD62C4">
        <w:t>A1</w:t>
      </w:r>
      <w:r w:rsidR="00281D09" w:rsidRPr="00FD62C4">
        <w:t>.</w:t>
      </w:r>
      <w:r w:rsidRPr="00FD62C4">
        <w:t>2.1</w:t>
      </w:r>
      <w:r w:rsidRPr="00FD62C4">
        <w:tab/>
      </w:r>
      <w:bookmarkEnd w:id="53"/>
      <w:bookmarkEnd w:id="54"/>
      <w:bookmarkEnd w:id="55"/>
      <w:bookmarkEnd w:id="56"/>
      <w:r w:rsidRPr="00FD62C4">
        <w:t>Exclusive use of licensed spectrum</w:t>
      </w:r>
      <w:bookmarkEnd w:id="57"/>
      <w:bookmarkEnd w:id="58"/>
      <w:bookmarkEnd w:id="59"/>
      <w:bookmarkEnd w:id="60"/>
      <w:bookmarkEnd w:id="61"/>
    </w:p>
    <w:p w14:paraId="30090D41" w14:textId="77777777" w:rsidR="00A812FA" w:rsidRPr="00FD62C4" w:rsidRDefault="00A812FA" w:rsidP="00A812FA">
      <w:pPr>
        <w:rPr>
          <w:lang w:eastAsia="ko-KR"/>
        </w:rPr>
      </w:pPr>
      <w:r w:rsidRPr="00FD62C4">
        <w:rPr>
          <w:lang w:eastAsia="ko-KR"/>
        </w:rPr>
        <w:t>This section presents a criterion and an index for assessing spectrum availability in the case of “exclusive use of licensed spectrum”.</w:t>
      </w:r>
    </w:p>
    <w:p w14:paraId="664E3BFF" w14:textId="77777777" w:rsidR="00A812FA" w:rsidRPr="00FD62C4" w:rsidRDefault="00A812FA" w:rsidP="00A812FA">
      <w:pPr>
        <w:rPr>
          <w:lang w:eastAsia="ko-KR"/>
        </w:rPr>
      </w:pPr>
      <w:r w:rsidRPr="00FD62C4">
        <w:rPr>
          <w:lang w:eastAsia="ko-KR"/>
        </w:rPr>
        <w:t>When assessing the availability of a licensed spectrum for a license owner, spectrum demand is the major factor to be considered, as it influences the possibility for service within the given bandwidth of the licensed spectrum. Based on this consideration, the criterion for assessing spectrum availability is established by comparing spectrum supply and demand. Specifically, if spectrum supply exceeds spectrum demand, it can be concluded that the licensed spectrum is available for the license owner:</w:t>
      </w:r>
    </w:p>
    <w:p w14:paraId="6260871E" w14:textId="77777777" w:rsidR="00A812FA" w:rsidRPr="00FD62C4" w:rsidRDefault="00A812FA" w:rsidP="00A812FA">
      <w:pPr>
        <w:pStyle w:val="Equation"/>
      </w:pPr>
      <w:r w:rsidRPr="00FD62C4">
        <w:tab/>
      </w:r>
      <w:r w:rsidRPr="00FD62C4">
        <w:tab/>
      </w:r>
      <w:r w:rsidRPr="00FD62C4">
        <w:rPr>
          <w:b/>
          <w:bCs/>
        </w:rPr>
        <w:t>Criterion</w:t>
      </w:r>
      <w:r w:rsidRPr="00FD62C4">
        <w:t xml:space="preserve">: Spectrum is available if and only if </w:t>
      </w:r>
      <m:oMath>
        <m:r>
          <w:rPr>
            <w:rFonts w:ascii="Cambria Math" w:hAnsi="Cambria Math"/>
          </w:rPr>
          <m:t>D&lt;S</m:t>
        </m:r>
      </m:oMath>
      <w:r w:rsidRPr="00FD62C4">
        <w:tab/>
        <w:t>(C-1)</w:t>
      </w:r>
    </w:p>
    <w:p w14:paraId="2C2C6FCD" w14:textId="77777777" w:rsidR="00A812FA" w:rsidRPr="00FD62C4" w:rsidRDefault="00A812FA" w:rsidP="00A812FA">
      <w:r w:rsidRPr="00FD62C4">
        <w:lastRenderedPageBreak/>
        <w:t>where:</w:t>
      </w:r>
    </w:p>
    <w:p w14:paraId="3FC9E683" w14:textId="77777777" w:rsidR="00A812FA" w:rsidRPr="00FD62C4" w:rsidRDefault="00A812FA" w:rsidP="00A812FA">
      <w:pPr>
        <w:pStyle w:val="Equationlegend"/>
        <w:rPr>
          <w:lang w:val="en-GB"/>
        </w:rPr>
      </w:pPr>
      <w:r w:rsidRPr="00FD62C4">
        <w:rPr>
          <w:i/>
          <w:lang w:val="en-GB"/>
        </w:rPr>
        <w:tab/>
      </w:r>
      <m:oMath>
        <m:r>
          <w:rPr>
            <w:rFonts w:ascii="Cambria Math" w:hAnsi="Cambria Math"/>
            <w:lang w:val="en-GB"/>
          </w:rPr>
          <m:t>D</m:t>
        </m:r>
      </m:oMath>
      <w:r w:rsidRPr="00FD62C4">
        <w:rPr>
          <w:rFonts w:ascii="Tms Rmn" w:hAnsi="Tms Rmn"/>
          <w:sz w:val="12"/>
          <w:lang w:val="en-GB"/>
        </w:rPr>
        <w:t> </w:t>
      </w:r>
      <w:r w:rsidRPr="00FD62C4">
        <w:rPr>
          <w:lang w:val="en-GB"/>
        </w:rPr>
        <w:t>:</w:t>
      </w:r>
      <w:r w:rsidRPr="00FD62C4">
        <w:rPr>
          <w:lang w:val="en-GB"/>
        </w:rPr>
        <w:tab/>
        <w:t>spectrum demand</w:t>
      </w:r>
    </w:p>
    <w:p w14:paraId="3F9CFDAA" w14:textId="77777777" w:rsidR="00A812FA" w:rsidRPr="00FD62C4" w:rsidRDefault="00A812FA" w:rsidP="00A812FA">
      <w:pPr>
        <w:pStyle w:val="Equationlegend"/>
        <w:rPr>
          <w:lang w:val="en-GB"/>
        </w:rPr>
      </w:pPr>
      <w:r w:rsidRPr="00FD62C4">
        <w:rPr>
          <w:i/>
          <w:lang w:val="en-GB"/>
        </w:rPr>
        <w:tab/>
      </w:r>
      <m:oMath>
        <m:r>
          <w:rPr>
            <w:rFonts w:ascii="Cambria Math" w:hAnsi="Cambria Math"/>
            <w:lang w:val="en-GB"/>
          </w:rPr>
          <m:t>S</m:t>
        </m:r>
      </m:oMath>
      <w:r w:rsidRPr="00FD62C4">
        <w:rPr>
          <w:rFonts w:ascii="Tms Rmn" w:hAnsi="Tms Rmn"/>
          <w:sz w:val="12"/>
          <w:lang w:val="en-GB"/>
        </w:rPr>
        <w:t> </w:t>
      </w:r>
      <w:r w:rsidRPr="00FD62C4">
        <w:rPr>
          <w:lang w:val="en-GB"/>
        </w:rPr>
        <w:t>:</w:t>
      </w:r>
      <w:r w:rsidRPr="00FD62C4">
        <w:rPr>
          <w:rFonts w:ascii="Courier" w:hAnsi="Courier"/>
          <w:lang w:val="en-GB"/>
        </w:rPr>
        <w:tab/>
      </w:r>
      <w:r w:rsidRPr="00FD62C4">
        <w:rPr>
          <w:lang w:val="en-GB"/>
        </w:rPr>
        <w:t>spectrum supply.</w:t>
      </w:r>
    </w:p>
    <w:p w14:paraId="04BC46F1" w14:textId="77777777" w:rsidR="00A812FA" w:rsidRPr="00FD62C4" w:rsidRDefault="00A812FA" w:rsidP="00A812FA">
      <w:pPr>
        <w:rPr>
          <w:lang w:eastAsia="ko-KR"/>
        </w:rPr>
      </w:pPr>
      <w:r w:rsidRPr="00FD62C4">
        <w:rPr>
          <w:lang w:eastAsia="ko-KR"/>
        </w:rPr>
        <w:t>Additionally, spectrum availability can be quantified by the extent to which spectrum supply surpasses spectrum demand. This approach is employed because a greater oversupply increases the likelihood that the licensed spectrum will accommodate growing demand</w:t>
      </w:r>
      <w:r w:rsidRPr="00FD62C4">
        <w:t>, thereby indicating greater spectrum availability:</w:t>
      </w:r>
      <w:bookmarkStart w:id="62" w:name="f002"/>
    </w:p>
    <w:p w14:paraId="45FA3968" w14:textId="77777777" w:rsidR="00A812FA" w:rsidRPr="00FD62C4" w:rsidRDefault="00A812FA" w:rsidP="00A812FA">
      <w:pPr>
        <w:pStyle w:val="Equation"/>
      </w:pPr>
      <w:r w:rsidRPr="00FD62C4">
        <w:rPr>
          <w:i/>
        </w:rPr>
        <w:tab/>
      </w:r>
      <w:r w:rsidRPr="00FD62C4">
        <w:rPr>
          <w:i/>
        </w:rPr>
        <w:tab/>
      </w:r>
      <w:r w:rsidRPr="00FD62C4">
        <w:rPr>
          <w:b/>
          <w:bCs/>
        </w:rPr>
        <w:t>Index</w:t>
      </w:r>
      <w:r w:rsidRPr="00FD62C4">
        <w:t xml:space="preserve">:  </w:t>
      </w:r>
      <m:oMath>
        <m:r>
          <w:rPr>
            <w:rFonts w:ascii="Cambria Math" w:hAnsi="Cambria Math"/>
          </w:rPr>
          <m:t>SA</m:t>
        </m:r>
        <m:sSub>
          <m:sSubPr>
            <m:ctrlPr>
              <w:rPr>
                <w:rFonts w:ascii="Cambria Math" w:hAnsi="Cambria Math"/>
                <w:i/>
              </w:rPr>
            </m:ctrlPr>
          </m:sSubPr>
          <m:e>
            <m:r>
              <w:rPr>
                <w:rFonts w:ascii="Cambria Math" w:hAnsi="Cambria Math"/>
              </w:rPr>
              <m:t>I</m:t>
            </m:r>
          </m:e>
          <m:sub>
            <m:r>
              <w:rPr>
                <w:rFonts w:ascii="Cambria Math" w:hAnsi="Cambria Math"/>
              </w:rPr>
              <m:t>EL</m:t>
            </m:r>
          </m:sub>
        </m:sSub>
        <m:r>
          <w:rPr>
            <w:rFonts w:ascii="Cambria Math" w:hAnsi="Cambria Math"/>
          </w:rPr>
          <m:t>=</m:t>
        </m:r>
        <m:d>
          <m:dPr>
            <m:begChr m:val="{"/>
            <m:endChr m:val=""/>
            <m:ctrlPr>
              <w:rPr>
                <w:rFonts w:ascii="Cambria Math" w:hAnsi="Cambria Math"/>
                <w:i/>
              </w:rPr>
            </m:ctrlPr>
          </m:dPr>
          <m:e>
            <m:eqArr>
              <m:eqArrPr>
                <m:ctrlPr>
                  <w:rPr>
                    <w:rFonts w:ascii="Cambria Math" w:hAnsi="Cambria Math"/>
                    <w:i/>
                  </w:rPr>
                </m:ctrlPr>
              </m:eqArrPr>
              <m:e>
                <m:f>
                  <m:fPr>
                    <m:ctrlPr>
                      <w:rPr>
                        <w:rFonts w:ascii="Cambria Math" w:hAnsi="Cambria Math"/>
                        <w:i/>
                      </w:rPr>
                    </m:ctrlPr>
                  </m:fPr>
                  <m:num>
                    <m:r>
                      <w:rPr>
                        <w:rFonts w:ascii="Cambria Math" w:hAnsi="Cambria Math"/>
                      </w:rPr>
                      <m:t>S-D</m:t>
                    </m:r>
                  </m:num>
                  <m:den>
                    <m:r>
                      <w:rPr>
                        <w:rFonts w:ascii="Cambria Math" w:hAnsi="Cambria Math"/>
                      </w:rPr>
                      <m:t>S</m:t>
                    </m:r>
                  </m:den>
                </m:f>
                <m:r>
                  <w:rPr>
                    <w:rFonts w:ascii="Cambria Math" w:hAnsi="Cambria Math"/>
                  </w:rPr>
                  <m:t>,  &amp;D&lt;S</m:t>
                </m:r>
              </m:e>
              <m:e>
                <m:r>
                  <w:rPr>
                    <w:rFonts w:ascii="Cambria Math" w:hAnsi="Cambria Math"/>
                  </w:rPr>
                  <m:t>0,  &amp;D≥S</m:t>
                </m:r>
              </m:e>
            </m:eqArr>
          </m:e>
        </m:d>
      </m:oMath>
      <w:r w:rsidRPr="00FD62C4">
        <w:tab/>
        <w:t>(I-1)</w:t>
      </w:r>
    </w:p>
    <w:bookmarkEnd w:id="62"/>
    <w:p w14:paraId="2B792AEA" w14:textId="77777777" w:rsidR="00A812FA" w:rsidRPr="00FD62C4" w:rsidRDefault="00A812FA" w:rsidP="00A812FA">
      <w:r w:rsidRPr="00FD62C4">
        <w:t>where:</w:t>
      </w:r>
    </w:p>
    <w:p w14:paraId="62702E92" w14:textId="77777777" w:rsidR="00A812FA" w:rsidRPr="00FD62C4" w:rsidRDefault="00A812FA" w:rsidP="00A812FA">
      <w:pPr>
        <w:pStyle w:val="Equationlegend"/>
        <w:rPr>
          <w:iCs/>
          <w:lang w:val="en-GB"/>
        </w:rPr>
      </w:pPr>
      <w:r w:rsidRPr="00FD62C4">
        <w:rPr>
          <w:i/>
          <w:iCs/>
          <w:lang w:val="en-GB"/>
        </w:rPr>
        <w:tab/>
      </w:r>
      <m:oMath>
        <m:r>
          <w:rPr>
            <w:rFonts w:ascii="Cambria Math" w:hAnsi="Cambria Math"/>
            <w:lang w:val="en-GB"/>
          </w:rPr>
          <m:t>SA</m:t>
        </m:r>
        <m:sSub>
          <m:sSubPr>
            <m:ctrlPr>
              <w:rPr>
                <w:rFonts w:ascii="Cambria Math" w:hAnsi="Cambria Math"/>
                <w:i/>
                <w:lang w:val="en-GB"/>
              </w:rPr>
            </m:ctrlPr>
          </m:sSubPr>
          <m:e>
            <m:r>
              <w:rPr>
                <w:rFonts w:ascii="Cambria Math" w:hAnsi="Cambria Math"/>
                <w:lang w:val="en-GB"/>
              </w:rPr>
              <m:t>I</m:t>
            </m:r>
          </m:e>
          <m:sub>
            <m:r>
              <w:rPr>
                <w:rFonts w:ascii="Cambria Math" w:hAnsi="Cambria Math"/>
                <w:lang w:val="en-GB"/>
              </w:rPr>
              <m:t>EL</m:t>
            </m:r>
          </m:sub>
        </m:sSub>
      </m:oMath>
      <w:r w:rsidRPr="00FD62C4">
        <w:rPr>
          <w:lang w:val="en-GB"/>
        </w:rPr>
        <w:t>:</w:t>
      </w:r>
      <w:r w:rsidRPr="00FD62C4">
        <w:rPr>
          <w:i/>
          <w:iCs/>
          <w:lang w:val="en-GB"/>
        </w:rPr>
        <w:tab/>
      </w:r>
      <w:r w:rsidRPr="00FD62C4">
        <w:rPr>
          <w:lang w:val="en-GB"/>
        </w:rPr>
        <w:t xml:space="preserve">spectrum availability index in the case of </w:t>
      </w:r>
      <w:r w:rsidRPr="00FD62C4">
        <w:rPr>
          <w:lang w:val="en-GB" w:eastAsia="ko-KR"/>
        </w:rPr>
        <w:t>“exclusive use of licensed spectrum”</w:t>
      </w:r>
    </w:p>
    <w:p w14:paraId="04B76F89" w14:textId="1DB6DE24" w:rsidR="00A812FA" w:rsidRPr="00FD62C4" w:rsidRDefault="00A812FA" w:rsidP="00A812FA">
      <w:pPr>
        <w:pStyle w:val="Equationlegend"/>
        <w:rPr>
          <w:lang w:val="en-GB"/>
        </w:rPr>
      </w:pPr>
      <w:r w:rsidRPr="00FD62C4">
        <w:rPr>
          <w:i/>
          <w:iCs/>
          <w:lang w:val="en-GB"/>
        </w:rPr>
        <w:tab/>
      </w:r>
      <w:r w:rsidRPr="00FD62C4">
        <w:rPr>
          <w:rFonts w:ascii="Cambria Math" w:hAnsi="Cambria Math"/>
          <w:i/>
          <w:lang w:val="en-GB"/>
        </w:rPr>
        <w:t>D</w:t>
      </w:r>
      <w:r w:rsidR="0065234D" w:rsidRPr="00FD62C4">
        <w:rPr>
          <w:rFonts w:ascii="Cambria Math" w:hAnsi="Cambria Math"/>
          <w:i/>
          <w:lang w:val="en-GB"/>
        </w:rPr>
        <w:t xml:space="preserve"> </w:t>
      </w:r>
      <w:r w:rsidRPr="00FD62C4">
        <w:rPr>
          <w:lang w:val="en-GB"/>
        </w:rPr>
        <w:t>:</w:t>
      </w:r>
      <w:r w:rsidRPr="00FD62C4">
        <w:rPr>
          <w:i/>
          <w:iCs/>
          <w:lang w:val="en-GB"/>
        </w:rPr>
        <w:tab/>
      </w:r>
      <w:r w:rsidRPr="00FD62C4">
        <w:rPr>
          <w:lang w:val="en-GB"/>
        </w:rPr>
        <w:t>spectrum demand</w:t>
      </w:r>
    </w:p>
    <w:p w14:paraId="0C3E7BBE" w14:textId="5573784C" w:rsidR="00A812FA" w:rsidRPr="00FD62C4" w:rsidRDefault="00A812FA" w:rsidP="00A812FA">
      <w:pPr>
        <w:pStyle w:val="Equationlegend"/>
        <w:rPr>
          <w:lang w:val="en-GB"/>
        </w:rPr>
      </w:pPr>
      <w:r w:rsidRPr="00FD62C4">
        <w:rPr>
          <w:i/>
          <w:iCs/>
          <w:lang w:val="en-GB"/>
        </w:rPr>
        <w:tab/>
      </w:r>
      <w:r w:rsidRPr="00FD62C4">
        <w:rPr>
          <w:rFonts w:ascii="Cambria Math" w:hAnsi="Cambria Math"/>
          <w:i/>
          <w:lang w:val="en-GB"/>
        </w:rPr>
        <w:t>S</w:t>
      </w:r>
      <w:r w:rsidR="0065234D" w:rsidRPr="00FD62C4">
        <w:rPr>
          <w:rFonts w:ascii="Cambria Math" w:hAnsi="Cambria Math"/>
          <w:i/>
          <w:lang w:val="en-GB"/>
        </w:rPr>
        <w:t xml:space="preserve"> </w:t>
      </w:r>
      <w:r w:rsidRPr="00FD62C4">
        <w:rPr>
          <w:lang w:val="en-GB"/>
        </w:rPr>
        <w:t>:</w:t>
      </w:r>
      <w:r w:rsidRPr="00FD62C4">
        <w:rPr>
          <w:i/>
          <w:iCs/>
          <w:lang w:val="en-GB"/>
        </w:rPr>
        <w:tab/>
      </w:r>
      <w:r w:rsidRPr="00FD62C4">
        <w:rPr>
          <w:lang w:val="en-GB"/>
        </w:rPr>
        <w:t>spectrum supply.</w:t>
      </w:r>
    </w:p>
    <w:p w14:paraId="541DD880" w14:textId="61C80869" w:rsidR="00A812FA" w:rsidRPr="00FD62C4" w:rsidRDefault="00A812FA" w:rsidP="00A812FA">
      <w:r w:rsidRPr="00FD62C4">
        <w:rPr>
          <w:lang w:eastAsia="ko-KR"/>
        </w:rPr>
        <w:t xml:space="preserve">To apply the above criterion, spectrum demand and supply must first be quantified based on information related to the license owner and the licensed spectrum to enable comparison. This methodology is detailed in </w:t>
      </w:r>
      <w:r w:rsidR="003E014C" w:rsidRPr="00FD62C4">
        <w:rPr>
          <w:lang w:eastAsia="ko-KR"/>
        </w:rPr>
        <w:t>§</w:t>
      </w:r>
      <w:r w:rsidRPr="00FD62C4">
        <w:rPr>
          <w:lang w:eastAsia="ko-KR"/>
        </w:rPr>
        <w:t xml:space="preserve"> A1</w:t>
      </w:r>
      <w:r w:rsidR="000D0A9A" w:rsidRPr="00FD62C4">
        <w:rPr>
          <w:lang w:eastAsia="ko-KR"/>
        </w:rPr>
        <w:t>.</w:t>
      </w:r>
      <w:r w:rsidRPr="00FD62C4">
        <w:rPr>
          <w:lang w:eastAsia="ko-KR"/>
        </w:rPr>
        <w:t>3.1.</w:t>
      </w:r>
    </w:p>
    <w:p w14:paraId="18079459" w14:textId="5E35B8A4" w:rsidR="00A812FA" w:rsidRPr="00FD62C4" w:rsidRDefault="00A812FA" w:rsidP="00254D24">
      <w:pPr>
        <w:pStyle w:val="Heading3"/>
      </w:pPr>
      <w:bookmarkStart w:id="63" w:name="_Toc106624174"/>
      <w:bookmarkStart w:id="64" w:name="_Toc137196261"/>
      <w:bookmarkStart w:id="65" w:name="_Toc167886252"/>
      <w:bookmarkStart w:id="66" w:name="_Toc232493286"/>
      <w:bookmarkStart w:id="67" w:name="_Toc235620213"/>
      <w:r w:rsidRPr="00FD62C4">
        <w:t>A1</w:t>
      </w:r>
      <w:r w:rsidR="00281D09" w:rsidRPr="00FD62C4">
        <w:t>.</w:t>
      </w:r>
      <w:r w:rsidRPr="00FD62C4">
        <w:t>2.2</w:t>
      </w:r>
      <w:r w:rsidRPr="00FD62C4">
        <w:tab/>
        <w:t>Shared use of licensed spectrum</w:t>
      </w:r>
      <w:bookmarkEnd w:id="63"/>
      <w:bookmarkEnd w:id="64"/>
      <w:bookmarkEnd w:id="65"/>
      <w:bookmarkEnd w:id="66"/>
      <w:bookmarkEnd w:id="67"/>
    </w:p>
    <w:p w14:paraId="75D2D8BF" w14:textId="423D0E17" w:rsidR="00A812FA" w:rsidRPr="00FD62C4" w:rsidRDefault="00A812FA" w:rsidP="00A812FA">
      <w:pPr>
        <w:rPr>
          <w:lang w:eastAsia="ko-KR"/>
        </w:rPr>
      </w:pPr>
      <w:r w:rsidRPr="00FD62C4">
        <w:rPr>
          <w:lang w:eastAsia="ko-KR"/>
        </w:rPr>
        <w:t xml:space="preserve">This </w:t>
      </w:r>
      <w:r w:rsidR="002F197B" w:rsidRPr="00FD62C4">
        <w:rPr>
          <w:lang w:eastAsia="ko-KR"/>
        </w:rPr>
        <w:t>sub-</w:t>
      </w:r>
      <w:r w:rsidRPr="00FD62C4">
        <w:rPr>
          <w:lang w:eastAsia="ko-KR"/>
        </w:rPr>
        <w:t>section presents a criterion and an index for assessing spectrum availability in the case of “shared use of licensed spectrum”.</w:t>
      </w:r>
    </w:p>
    <w:p w14:paraId="34D1FCFE" w14:textId="734DCA62" w:rsidR="00A812FA" w:rsidRPr="00FD62C4" w:rsidRDefault="00A812FA" w:rsidP="00A812FA">
      <w:pPr>
        <w:rPr>
          <w:lang w:eastAsia="ko-KR"/>
        </w:rPr>
      </w:pPr>
      <w:r w:rsidRPr="00FD62C4">
        <w:rPr>
          <w:lang w:eastAsia="ko-KR"/>
        </w:rPr>
        <w:t>When assessing the availability of a shared licensed spectrum for the service in question, which refers to a potential license purchaser or a secondary user, the spectrum use of the primary user is the major factor to be considered due to the regulatory requirement for their protection. Based on this consideration, the criterion for assessing spectrum availability is established by comparing the spectrum use of the primary user with that of the service in question. Spectrum use consists of three independent components: frequency, temporal</w:t>
      </w:r>
      <w:r w:rsidR="00297F3A" w:rsidRPr="00FD62C4">
        <w:rPr>
          <w:lang w:eastAsia="ko-KR"/>
        </w:rPr>
        <w:t xml:space="preserve"> use</w:t>
      </w:r>
      <w:r w:rsidRPr="00FD62C4">
        <w:rPr>
          <w:lang w:eastAsia="ko-KR"/>
        </w:rPr>
        <w:t xml:space="preserve"> and geographic use. Therefore, one unit of spectrum use can be represented as a point in the three-dimensional coordinate plane. Let us refer to the collection of all points corresponding to spectrum use units as the “total spectrum use space”, and the collection of points corresponding to units occupied by a radiocommunication service as the “spectrum use region occupied by a radiocommunication service”</w:t>
      </w:r>
      <w:r w:rsidRPr="00FD62C4">
        <w:rPr>
          <w:rStyle w:val="FootnoteReference"/>
          <w:lang w:eastAsia="ko-KR"/>
        </w:rPr>
        <w:footnoteReference w:id="3"/>
      </w:r>
      <w:r w:rsidRPr="00FD62C4">
        <w:rPr>
          <w:lang w:eastAsia="ko-KR"/>
        </w:rPr>
        <w:t>. If the spectrum use region occupied by the service in question does not intersect with that of the primary user, it can be concluded that the shared licensed spectrum is available for the service in question:</w:t>
      </w:r>
    </w:p>
    <w:p w14:paraId="76E35B6F" w14:textId="77777777" w:rsidR="00A812FA" w:rsidRPr="00FD62C4" w:rsidRDefault="00A812FA" w:rsidP="00A812FA">
      <w:pPr>
        <w:pStyle w:val="Equation"/>
      </w:pPr>
      <w:r w:rsidRPr="00FD62C4">
        <w:tab/>
      </w:r>
      <w:r w:rsidRPr="00FD62C4">
        <w:tab/>
      </w:r>
      <w:r w:rsidRPr="00FD62C4">
        <w:rPr>
          <w:b/>
          <w:bCs/>
        </w:rPr>
        <w:t>Criterion</w:t>
      </w:r>
      <w:r w:rsidRPr="00774CD5">
        <w:t>:</w:t>
      </w:r>
      <w:r w:rsidRPr="00FD62C4">
        <w:t xml:space="preserve"> Spectrum is available if and only if </w:t>
      </w:r>
      <m:oMath>
        <m:sSub>
          <m:sSubPr>
            <m:ctrlPr>
              <w:rPr>
                <w:rFonts w:ascii="Cambria Math" w:hAnsi="Cambria Math"/>
                <w:i/>
              </w:rPr>
            </m:ctrlPr>
          </m:sSubPr>
          <m:e>
            <m:r>
              <w:rPr>
                <w:rFonts w:ascii="Cambria Math" w:hAnsi="Cambria Math"/>
              </w:rPr>
              <m:t>U</m:t>
            </m:r>
          </m:e>
          <m:sub>
            <m:r>
              <w:rPr>
                <w:rFonts w:ascii="Cambria Math" w:hAnsi="Cambria Math"/>
              </w:rPr>
              <m:t>su</m:t>
            </m:r>
          </m:sub>
        </m:sSub>
      </m:oMath>
      <w:r w:rsidRPr="00FD62C4">
        <w:t xml:space="preserve"> </w:t>
      </w:r>
      <w:r w:rsidRPr="00FD62C4">
        <w:rPr>
          <w:lang w:eastAsia="ko-KR"/>
        </w:rPr>
        <w:t xml:space="preserve">does not intersect with </w:t>
      </w:r>
      <m:oMath>
        <m:sSub>
          <m:sSubPr>
            <m:ctrlPr>
              <w:rPr>
                <w:rFonts w:ascii="Cambria Math" w:hAnsi="Cambria Math"/>
                <w:i/>
              </w:rPr>
            </m:ctrlPr>
          </m:sSubPr>
          <m:e>
            <m:r>
              <w:rPr>
                <w:rFonts w:ascii="Cambria Math" w:hAnsi="Cambria Math"/>
              </w:rPr>
              <m:t>U</m:t>
            </m:r>
          </m:e>
          <m:sub>
            <m:r>
              <w:rPr>
                <w:rFonts w:ascii="Cambria Math" w:hAnsi="Cambria Math"/>
              </w:rPr>
              <m:t>pu</m:t>
            </m:r>
          </m:sub>
        </m:sSub>
      </m:oMath>
      <w:r w:rsidRPr="00FD62C4">
        <w:tab/>
        <w:t>(C-2)</w:t>
      </w:r>
    </w:p>
    <w:p w14:paraId="0B37B640" w14:textId="77777777" w:rsidR="00A812FA" w:rsidRPr="00FD62C4" w:rsidRDefault="00A812FA" w:rsidP="00A812FA">
      <w:pPr>
        <w:keepNext/>
      </w:pPr>
      <w:r w:rsidRPr="00FD62C4">
        <w:t>where:</w:t>
      </w:r>
    </w:p>
    <w:p w14:paraId="735771B7" w14:textId="77777777" w:rsidR="00A812FA" w:rsidRPr="00FD62C4" w:rsidRDefault="00A812FA" w:rsidP="00A812FA">
      <w:pPr>
        <w:pStyle w:val="Equationlegend"/>
        <w:rPr>
          <w:lang w:val="en-GB"/>
        </w:rPr>
      </w:pPr>
      <w:r w:rsidRPr="00FD62C4">
        <w:rPr>
          <w:i/>
          <w:lang w:val="en-GB"/>
        </w:rPr>
        <w:tab/>
      </w:r>
      <m:oMath>
        <m:sSub>
          <m:sSubPr>
            <m:ctrlPr>
              <w:rPr>
                <w:rFonts w:ascii="Cambria Math" w:hAnsi="Cambria Math"/>
                <w:i/>
                <w:lang w:val="en-GB"/>
              </w:rPr>
            </m:ctrlPr>
          </m:sSubPr>
          <m:e>
            <m:r>
              <w:rPr>
                <w:rFonts w:ascii="Cambria Math" w:hAnsi="Cambria Math"/>
                <w:lang w:val="en-GB"/>
              </w:rPr>
              <m:t>U</m:t>
            </m:r>
          </m:e>
          <m:sub>
            <m:r>
              <w:rPr>
                <w:rFonts w:ascii="Cambria Math" w:hAnsi="Cambria Math"/>
                <w:lang w:val="en-GB"/>
              </w:rPr>
              <m:t>su</m:t>
            </m:r>
          </m:sub>
        </m:sSub>
      </m:oMath>
      <w:r w:rsidRPr="00FD62C4">
        <w:rPr>
          <w:lang w:val="en-GB"/>
        </w:rPr>
        <w:t>:</w:t>
      </w:r>
      <w:r w:rsidRPr="00FD62C4">
        <w:rPr>
          <w:lang w:val="en-GB"/>
        </w:rPr>
        <w:tab/>
        <w:t>spectrum use region occupied by the service in question</w:t>
      </w:r>
    </w:p>
    <w:p w14:paraId="7CB269B8" w14:textId="77777777" w:rsidR="00A812FA" w:rsidRPr="00FD62C4" w:rsidRDefault="00A812FA" w:rsidP="00A812FA">
      <w:pPr>
        <w:pStyle w:val="Equationlegend"/>
        <w:rPr>
          <w:lang w:val="en-GB"/>
        </w:rPr>
      </w:pPr>
      <w:r w:rsidRPr="00FD62C4">
        <w:rPr>
          <w:i/>
          <w:lang w:val="en-GB"/>
        </w:rPr>
        <w:tab/>
      </w:r>
      <m:oMath>
        <m:sSub>
          <m:sSubPr>
            <m:ctrlPr>
              <w:rPr>
                <w:rFonts w:ascii="Cambria Math" w:hAnsi="Cambria Math"/>
                <w:i/>
                <w:lang w:val="en-GB"/>
              </w:rPr>
            </m:ctrlPr>
          </m:sSubPr>
          <m:e>
            <m:r>
              <w:rPr>
                <w:rFonts w:ascii="Cambria Math" w:hAnsi="Cambria Math"/>
                <w:lang w:val="en-GB"/>
              </w:rPr>
              <m:t>U</m:t>
            </m:r>
          </m:e>
          <m:sub>
            <m:r>
              <w:rPr>
                <w:rFonts w:ascii="Cambria Math" w:hAnsi="Cambria Math"/>
                <w:lang w:val="en-GB"/>
              </w:rPr>
              <m:t>pu</m:t>
            </m:r>
          </m:sub>
        </m:sSub>
      </m:oMath>
      <w:r w:rsidRPr="00FD62C4">
        <w:rPr>
          <w:lang w:val="en-GB"/>
        </w:rPr>
        <w:t>:</w:t>
      </w:r>
      <w:r w:rsidRPr="00FD62C4">
        <w:rPr>
          <w:lang w:val="en-GB"/>
        </w:rPr>
        <w:tab/>
        <w:t>spectrum use region occupied by the primary user.</w:t>
      </w:r>
    </w:p>
    <w:p w14:paraId="638EBBF1" w14:textId="77777777" w:rsidR="00A812FA" w:rsidRPr="00FD62C4" w:rsidRDefault="00A812FA" w:rsidP="00A812FA">
      <w:pPr>
        <w:rPr>
          <w:lang w:eastAsia="ko-KR"/>
        </w:rPr>
      </w:pPr>
      <w:r w:rsidRPr="00FD62C4">
        <w:rPr>
          <w:lang w:eastAsia="ko-KR"/>
        </w:rPr>
        <w:t xml:space="preserve">To confirm that </w:t>
      </w:r>
      <m:oMath>
        <m:sSub>
          <m:sSubPr>
            <m:ctrlPr>
              <w:rPr>
                <w:rFonts w:ascii="Cambria Math" w:hAnsi="Cambria Math"/>
                <w:i/>
              </w:rPr>
            </m:ctrlPr>
          </m:sSubPr>
          <m:e>
            <m:r>
              <w:rPr>
                <w:rFonts w:ascii="Cambria Math" w:hAnsi="Cambria Math"/>
              </w:rPr>
              <m:t>U</m:t>
            </m:r>
          </m:e>
          <m:sub>
            <m:r>
              <w:rPr>
                <w:rFonts w:ascii="Cambria Math" w:hAnsi="Cambria Math"/>
              </w:rPr>
              <m:t>su</m:t>
            </m:r>
          </m:sub>
        </m:sSub>
      </m:oMath>
      <w:r w:rsidRPr="00FD62C4">
        <w:t xml:space="preserve"> </w:t>
      </w:r>
      <w:r w:rsidRPr="00FD62C4">
        <w:rPr>
          <w:lang w:eastAsia="ko-KR"/>
        </w:rPr>
        <w:t xml:space="preserve">does not intersect with </w:t>
      </w:r>
      <m:oMath>
        <m:sSub>
          <m:sSubPr>
            <m:ctrlPr>
              <w:rPr>
                <w:rFonts w:ascii="Cambria Math" w:hAnsi="Cambria Math"/>
                <w:i/>
              </w:rPr>
            </m:ctrlPr>
          </m:sSubPr>
          <m:e>
            <m:r>
              <w:rPr>
                <w:rFonts w:ascii="Cambria Math" w:hAnsi="Cambria Math"/>
              </w:rPr>
              <m:t>U</m:t>
            </m:r>
          </m:e>
          <m:sub>
            <m:r>
              <w:rPr>
                <w:rFonts w:ascii="Cambria Math" w:hAnsi="Cambria Math"/>
              </w:rPr>
              <m:t>pu</m:t>
            </m:r>
          </m:sub>
        </m:sSub>
      </m:oMath>
      <w:r w:rsidRPr="00FD62C4">
        <w:rPr>
          <w:lang w:eastAsia="ko-KR"/>
        </w:rPr>
        <w:t>, two conditions must be checked:</w:t>
      </w:r>
    </w:p>
    <w:p w14:paraId="75CCEF61" w14:textId="382A5385" w:rsidR="00A812FA" w:rsidRPr="00FD62C4" w:rsidRDefault="00A812FA" w:rsidP="00A812FA">
      <w:pPr>
        <w:pStyle w:val="enumlev1"/>
        <w:rPr>
          <w:lang w:eastAsia="ko-KR"/>
        </w:rPr>
      </w:pPr>
      <w:r w:rsidRPr="00FD62C4">
        <w:rPr>
          <w:lang w:eastAsia="ko-KR"/>
        </w:rPr>
        <w:t>1)</w:t>
      </w:r>
      <w:r w:rsidRPr="00FD62C4">
        <w:rPr>
          <w:lang w:eastAsia="ko-KR"/>
        </w:rPr>
        <w:tab/>
        <w:t>There exists a system, referred to as a “spectrum-sharing system”, that enables the service in question to utilize unoccupied units.</w:t>
      </w:r>
    </w:p>
    <w:p w14:paraId="52084C7B" w14:textId="54B625C0" w:rsidR="00A812FA" w:rsidRPr="00FD62C4" w:rsidRDefault="00A812FA" w:rsidP="00A812FA">
      <w:pPr>
        <w:pStyle w:val="enumlev1"/>
        <w:rPr>
          <w:lang w:eastAsia="ko-KR"/>
        </w:rPr>
      </w:pPr>
      <w:r w:rsidRPr="00FD62C4">
        <w:rPr>
          <w:lang w:eastAsia="ko-KR"/>
        </w:rPr>
        <w:lastRenderedPageBreak/>
        <w:t>2)</w:t>
      </w:r>
      <w:r w:rsidRPr="00FD62C4">
        <w:rPr>
          <w:lang w:eastAsia="ko-KR"/>
        </w:rPr>
        <w:tab/>
        <w:t>The area of the region not occupied by the primary user is larger than the area required for the service in question.</w:t>
      </w:r>
    </w:p>
    <w:p w14:paraId="236AE86C" w14:textId="77777777" w:rsidR="00A812FA" w:rsidRPr="00FD62C4" w:rsidRDefault="00A812FA" w:rsidP="00A812FA">
      <w:pPr>
        <w:rPr>
          <w:lang w:eastAsia="ko-KR"/>
        </w:rPr>
      </w:pPr>
      <w:r w:rsidRPr="00FD62C4">
        <w:rPr>
          <w:lang w:eastAsia="ko-KR"/>
        </w:rPr>
        <w:t>Hence, the above criterion can be rewritten as follows:</w:t>
      </w:r>
    </w:p>
    <w:p w14:paraId="576333A0" w14:textId="0E6550FE" w:rsidR="00A812FA" w:rsidRPr="00FD62C4" w:rsidRDefault="00A812FA" w:rsidP="00A812FA">
      <w:pPr>
        <w:pStyle w:val="Equation"/>
        <w:ind w:left="240" w:hangingChars="100" w:hanging="240"/>
      </w:pPr>
      <w:r w:rsidRPr="00FD62C4">
        <w:tab/>
      </w:r>
      <w:r w:rsidRPr="00FD62C4">
        <w:tab/>
      </w:r>
      <w:r w:rsidRPr="00FD62C4">
        <w:rPr>
          <w:b/>
          <w:bCs/>
        </w:rPr>
        <w:t>Criterion</w:t>
      </w:r>
      <w:r w:rsidRPr="00FD62C4">
        <w:t>: Spectrum is available if and only if condition 1 and 2 are satisfied</w:t>
      </w:r>
      <w:r w:rsidRPr="00FD62C4">
        <w:tab/>
        <w:t>(C-2</w:t>
      </w:r>
      <w:r w:rsidR="00020282">
        <w:t>̕</w:t>
      </w:r>
      <w:r w:rsidRPr="00FD62C4">
        <w:t>)</w:t>
      </w:r>
    </w:p>
    <w:p w14:paraId="13C06A67" w14:textId="77777777" w:rsidR="00A812FA" w:rsidRPr="00FD62C4" w:rsidRDefault="00A812FA" w:rsidP="00A812FA">
      <w:pPr>
        <w:keepNext/>
      </w:pPr>
      <w:r w:rsidRPr="00FD62C4">
        <w:t>where:</w:t>
      </w:r>
    </w:p>
    <w:p w14:paraId="57BEACC3" w14:textId="77777777" w:rsidR="00A812FA" w:rsidRPr="00FD62C4" w:rsidRDefault="00A812FA" w:rsidP="00A812FA">
      <w:pPr>
        <w:pStyle w:val="Equationlegend"/>
        <w:rPr>
          <w:lang w:val="en-GB"/>
        </w:rPr>
      </w:pPr>
      <w:r w:rsidRPr="00FD62C4">
        <w:rPr>
          <w:i/>
          <w:lang w:val="en-GB"/>
        </w:rPr>
        <w:tab/>
      </w:r>
      <w:r w:rsidRPr="00FD62C4">
        <w:rPr>
          <w:iCs/>
          <w:lang w:val="en-GB"/>
        </w:rPr>
        <w:t>condition 1:</w:t>
      </w:r>
      <w:r w:rsidRPr="00FD62C4">
        <w:rPr>
          <w:lang w:val="en-GB"/>
        </w:rPr>
        <w:tab/>
        <w:t>there exists a spectrum-sharing system for utilizing unoccupied units</w:t>
      </w:r>
    </w:p>
    <w:p w14:paraId="48F68949" w14:textId="77777777" w:rsidR="00A812FA" w:rsidRPr="005E2A2B" w:rsidRDefault="00A812FA" w:rsidP="00A812FA">
      <w:pPr>
        <w:pStyle w:val="Equationlegend"/>
        <w:rPr>
          <w:lang w:val="fr-CH"/>
        </w:rPr>
      </w:pPr>
      <w:r w:rsidRPr="00FD62C4">
        <w:rPr>
          <w:i/>
          <w:lang w:val="en-GB"/>
        </w:rPr>
        <w:tab/>
      </w:r>
      <w:r w:rsidRPr="005E2A2B">
        <w:rPr>
          <w:iCs/>
          <w:lang w:val="fr-CH"/>
        </w:rPr>
        <w:t>condition 2:</w:t>
      </w:r>
      <w:r w:rsidRPr="005E2A2B">
        <w:rPr>
          <w:lang w:val="fr-CH"/>
        </w:rPr>
        <w:tab/>
      </w:r>
      <m:oMath>
        <m:r>
          <m:rPr>
            <m:sty m:val="p"/>
          </m:rPr>
          <w:rPr>
            <w:rFonts w:ascii="Cambria Math" w:hAnsi="Cambria Math"/>
            <w:lang w:val="fr-CH"/>
          </w:rPr>
          <m:t>Area</m:t>
        </m:r>
        <m:d>
          <m:dPr>
            <m:ctrlPr>
              <w:rPr>
                <w:rFonts w:ascii="Cambria Math" w:hAnsi="Cambria Math"/>
                <w:i/>
                <w:lang w:val="en-GB"/>
              </w:rPr>
            </m:ctrlPr>
          </m:dPr>
          <m:e>
            <m:sSub>
              <m:sSubPr>
                <m:ctrlPr>
                  <w:rPr>
                    <w:rFonts w:ascii="Cambria Math" w:hAnsi="Cambria Math"/>
                    <w:i/>
                    <w:lang w:val="en-GB"/>
                  </w:rPr>
                </m:ctrlPr>
              </m:sSubPr>
              <m:e>
                <m:r>
                  <w:rPr>
                    <w:rFonts w:ascii="Cambria Math" w:hAnsi="Cambria Math"/>
                    <w:lang w:val="en-GB"/>
                  </w:rPr>
                  <m:t>U</m:t>
                </m:r>
              </m:e>
              <m:sub>
                <m:r>
                  <w:rPr>
                    <w:rFonts w:ascii="Cambria Math" w:hAnsi="Cambria Math"/>
                    <w:lang w:val="en-GB"/>
                  </w:rPr>
                  <m:t>t</m:t>
                </m:r>
              </m:sub>
            </m:sSub>
          </m:e>
        </m:d>
        <m:r>
          <w:rPr>
            <w:rFonts w:ascii="Cambria Math" w:hAnsi="Cambria Math"/>
            <w:lang w:val="fr-CH"/>
          </w:rPr>
          <m:t>-</m:t>
        </m:r>
        <m:r>
          <m:rPr>
            <m:sty m:val="p"/>
          </m:rPr>
          <w:rPr>
            <w:rFonts w:ascii="Cambria Math" w:hAnsi="Cambria Math"/>
            <w:lang w:val="fr-CH"/>
          </w:rPr>
          <m:t>Area</m:t>
        </m:r>
        <m:r>
          <w:rPr>
            <w:rFonts w:ascii="Cambria Math" w:hAnsi="Cambria Math"/>
            <w:lang w:val="fr-CH"/>
          </w:rPr>
          <m:t>(</m:t>
        </m:r>
        <m:sSub>
          <m:sSubPr>
            <m:ctrlPr>
              <w:rPr>
                <w:rFonts w:ascii="Cambria Math" w:hAnsi="Cambria Math"/>
                <w:i/>
                <w:lang w:val="en-GB"/>
              </w:rPr>
            </m:ctrlPr>
          </m:sSubPr>
          <m:e>
            <m:r>
              <w:rPr>
                <w:rFonts w:ascii="Cambria Math" w:hAnsi="Cambria Math"/>
                <w:lang w:val="en-GB"/>
              </w:rPr>
              <m:t>U</m:t>
            </m:r>
          </m:e>
          <m:sub>
            <m:r>
              <w:rPr>
                <w:rFonts w:ascii="Cambria Math" w:hAnsi="Cambria Math"/>
                <w:lang w:val="en-GB"/>
              </w:rPr>
              <m:t>pu</m:t>
            </m:r>
          </m:sub>
        </m:sSub>
        <m:r>
          <w:rPr>
            <w:rFonts w:ascii="Cambria Math" w:hAnsi="Cambria Math"/>
            <w:lang w:val="fr-CH"/>
          </w:rPr>
          <m:t>)&gt;</m:t>
        </m:r>
        <m:r>
          <m:rPr>
            <m:sty m:val="p"/>
          </m:rPr>
          <w:rPr>
            <w:rFonts w:ascii="Cambria Math" w:hAnsi="Cambria Math"/>
            <w:lang w:val="fr-CH"/>
          </w:rPr>
          <m:t>Area</m:t>
        </m:r>
        <m:r>
          <w:rPr>
            <w:rFonts w:ascii="Cambria Math" w:hAnsi="Cambria Math"/>
            <w:lang w:val="fr-CH"/>
          </w:rPr>
          <m:t>(</m:t>
        </m:r>
        <m:sSub>
          <m:sSubPr>
            <m:ctrlPr>
              <w:rPr>
                <w:rFonts w:ascii="Cambria Math" w:hAnsi="Cambria Math"/>
                <w:i/>
                <w:lang w:val="en-GB"/>
              </w:rPr>
            </m:ctrlPr>
          </m:sSubPr>
          <m:e>
            <m:r>
              <w:rPr>
                <w:rFonts w:ascii="Cambria Math" w:hAnsi="Cambria Math"/>
                <w:lang w:val="en-GB"/>
              </w:rPr>
              <m:t>U</m:t>
            </m:r>
          </m:e>
          <m:sub>
            <m:r>
              <w:rPr>
                <w:rFonts w:ascii="Cambria Math" w:hAnsi="Cambria Math"/>
                <w:lang w:val="en-GB"/>
              </w:rPr>
              <m:t>su</m:t>
            </m:r>
          </m:sub>
        </m:sSub>
        <m:r>
          <w:rPr>
            <w:rFonts w:ascii="Cambria Math" w:hAnsi="Cambria Math"/>
            <w:lang w:val="fr-CH"/>
          </w:rPr>
          <m:t>)</m:t>
        </m:r>
      </m:oMath>
    </w:p>
    <w:p w14:paraId="34FD8432" w14:textId="77777777" w:rsidR="00A812FA" w:rsidRPr="00FD62C4" w:rsidRDefault="00A812FA" w:rsidP="00A812FA">
      <w:pPr>
        <w:pStyle w:val="Equationlegend"/>
        <w:rPr>
          <w:lang w:val="en-GB"/>
        </w:rPr>
      </w:pPr>
      <w:r w:rsidRPr="005E2A2B">
        <w:rPr>
          <w:i/>
          <w:lang w:val="fr-CH"/>
        </w:rPr>
        <w:tab/>
      </w:r>
      <m:oMath>
        <m:r>
          <m:rPr>
            <m:sty m:val="p"/>
          </m:rPr>
          <w:rPr>
            <w:rFonts w:ascii="Cambria Math" w:hAnsi="Cambria Math"/>
            <w:lang w:val="en-GB"/>
          </w:rPr>
          <m:t>Area</m:t>
        </m:r>
        <m:r>
          <w:rPr>
            <w:rFonts w:ascii="Cambria Math" w:hAnsi="Cambria Math"/>
            <w:lang w:val="en-GB"/>
          </w:rPr>
          <m:t>(U)</m:t>
        </m:r>
      </m:oMath>
      <w:r w:rsidRPr="00FD62C4">
        <w:rPr>
          <w:lang w:val="en-GB"/>
        </w:rPr>
        <w:t>:</w:t>
      </w:r>
      <w:r w:rsidRPr="00FD62C4">
        <w:rPr>
          <w:lang w:val="en-GB"/>
        </w:rPr>
        <w:tab/>
        <w:t xml:space="preserve">area of spectrum use region </w:t>
      </w:r>
      <m:oMath>
        <m:r>
          <w:rPr>
            <w:rFonts w:ascii="Cambria Math" w:hAnsi="Cambria Math"/>
            <w:lang w:val="en-GB"/>
          </w:rPr>
          <m:t>U</m:t>
        </m:r>
      </m:oMath>
    </w:p>
    <w:p w14:paraId="7CC5415C" w14:textId="77777777" w:rsidR="00A812FA" w:rsidRPr="00FD62C4" w:rsidRDefault="00A812FA" w:rsidP="00A812FA">
      <w:pPr>
        <w:pStyle w:val="Equationlegend"/>
        <w:rPr>
          <w:lang w:val="en-GB"/>
        </w:rPr>
      </w:pPr>
      <w:r w:rsidRPr="00FD62C4">
        <w:rPr>
          <w:i/>
          <w:lang w:val="en-GB"/>
        </w:rPr>
        <w:tab/>
      </w:r>
      <m:oMath>
        <m:sSub>
          <m:sSubPr>
            <m:ctrlPr>
              <w:rPr>
                <w:rFonts w:ascii="Cambria Math" w:hAnsi="Cambria Math"/>
                <w:i/>
                <w:lang w:val="en-GB"/>
              </w:rPr>
            </m:ctrlPr>
          </m:sSubPr>
          <m:e>
            <m:r>
              <w:rPr>
                <w:rFonts w:ascii="Cambria Math" w:hAnsi="Cambria Math"/>
                <w:lang w:val="en-GB"/>
              </w:rPr>
              <m:t>U</m:t>
            </m:r>
          </m:e>
          <m:sub>
            <m:r>
              <w:rPr>
                <w:rFonts w:ascii="Cambria Math" w:hAnsi="Cambria Math"/>
                <w:lang w:val="en-GB"/>
              </w:rPr>
              <m:t>t</m:t>
            </m:r>
          </m:sub>
        </m:sSub>
      </m:oMath>
      <w:r w:rsidRPr="00FD62C4">
        <w:rPr>
          <w:lang w:val="en-GB"/>
        </w:rPr>
        <w:t>:</w:t>
      </w:r>
      <w:r w:rsidRPr="00FD62C4">
        <w:rPr>
          <w:lang w:val="en-GB"/>
        </w:rPr>
        <w:tab/>
        <w:t>total spectrum use space</w:t>
      </w:r>
    </w:p>
    <w:p w14:paraId="36696666" w14:textId="77777777" w:rsidR="00A812FA" w:rsidRPr="00FD62C4" w:rsidRDefault="00A812FA" w:rsidP="00A812FA">
      <w:pPr>
        <w:pStyle w:val="Equationlegend"/>
        <w:rPr>
          <w:lang w:val="en-GB"/>
        </w:rPr>
      </w:pPr>
      <w:r w:rsidRPr="00FD62C4">
        <w:rPr>
          <w:i/>
          <w:lang w:val="en-GB"/>
        </w:rPr>
        <w:tab/>
      </w:r>
      <m:oMath>
        <m:sSub>
          <m:sSubPr>
            <m:ctrlPr>
              <w:rPr>
                <w:rFonts w:ascii="Cambria Math" w:hAnsi="Cambria Math"/>
                <w:i/>
                <w:lang w:val="en-GB"/>
              </w:rPr>
            </m:ctrlPr>
          </m:sSubPr>
          <m:e>
            <m:r>
              <w:rPr>
                <w:rFonts w:ascii="Cambria Math" w:hAnsi="Cambria Math"/>
                <w:lang w:val="en-GB"/>
              </w:rPr>
              <m:t>U</m:t>
            </m:r>
          </m:e>
          <m:sub>
            <m:r>
              <w:rPr>
                <w:rFonts w:ascii="Cambria Math" w:hAnsi="Cambria Math"/>
                <w:lang w:val="en-GB"/>
              </w:rPr>
              <m:t>pu</m:t>
            </m:r>
          </m:sub>
        </m:sSub>
      </m:oMath>
      <w:r w:rsidRPr="00FD62C4">
        <w:rPr>
          <w:lang w:val="en-GB"/>
        </w:rPr>
        <w:t>:</w:t>
      </w:r>
      <w:r w:rsidRPr="00FD62C4">
        <w:rPr>
          <w:lang w:val="en-GB"/>
        </w:rPr>
        <w:tab/>
        <w:t>spectrum use region occupied by the primary user</w:t>
      </w:r>
    </w:p>
    <w:p w14:paraId="048A3A30" w14:textId="77777777" w:rsidR="00A812FA" w:rsidRPr="00FD62C4" w:rsidRDefault="00A812FA" w:rsidP="00A812FA">
      <w:pPr>
        <w:pStyle w:val="Equationlegend"/>
        <w:rPr>
          <w:lang w:val="en-GB" w:eastAsia="ko-KR"/>
        </w:rPr>
      </w:pPr>
      <w:r w:rsidRPr="00FD62C4">
        <w:rPr>
          <w:i/>
          <w:lang w:val="en-GB"/>
        </w:rPr>
        <w:tab/>
      </w:r>
      <m:oMath>
        <m:sSub>
          <m:sSubPr>
            <m:ctrlPr>
              <w:rPr>
                <w:rFonts w:ascii="Cambria Math" w:hAnsi="Cambria Math"/>
                <w:i/>
                <w:lang w:val="en-GB"/>
              </w:rPr>
            </m:ctrlPr>
          </m:sSubPr>
          <m:e>
            <m:r>
              <w:rPr>
                <w:rFonts w:ascii="Cambria Math" w:hAnsi="Cambria Math"/>
                <w:lang w:val="en-GB"/>
              </w:rPr>
              <m:t>U</m:t>
            </m:r>
          </m:e>
          <m:sub>
            <m:r>
              <w:rPr>
                <w:rFonts w:ascii="Cambria Math" w:hAnsi="Cambria Math"/>
                <w:lang w:val="en-GB"/>
              </w:rPr>
              <m:t>su</m:t>
            </m:r>
          </m:sub>
        </m:sSub>
      </m:oMath>
      <w:r w:rsidRPr="00FD62C4">
        <w:rPr>
          <w:lang w:val="en-GB"/>
        </w:rPr>
        <w:t>:</w:t>
      </w:r>
      <w:r w:rsidRPr="00FD62C4">
        <w:rPr>
          <w:lang w:val="en-GB"/>
        </w:rPr>
        <w:tab/>
        <w:t>spectrum use region occupied by the service in question.</w:t>
      </w:r>
    </w:p>
    <w:p w14:paraId="45E702D4" w14:textId="77777777" w:rsidR="00A812FA" w:rsidRPr="00FD62C4" w:rsidRDefault="00A812FA" w:rsidP="00F95312">
      <w:pPr>
        <w:keepNext/>
        <w:keepLines/>
        <w:rPr>
          <w:lang w:eastAsia="ko-KR"/>
        </w:rPr>
      </w:pPr>
      <w:r w:rsidRPr="00FD62C4">
        <w:rPr>
          <w:lang w:eastAsia="ko-KR"/>
        </w:rPr>
        <w:t>Additionally, spectrum availability can be quantified by the area of the remaining unoccupied region. This approach is employed because a larger remaining area indicates a greater margin between the regions occupied by the primary user and the service in question, thereby suggesting a higher likelihood that the primary user will not be interfered with:</w:t>
      </w:r>
    </w:p>
    <w:p w14:paraId="4A644C1E" w14:textId="77777777" w:rsidR="00A812FA" w:rsidRPr="00FD62C4" w:rsidRDefault="00A812FA" w:rsidP="00A812FA">
      <w:pPr>
        <w:pStyle w:val="Equation"/>
      </w:pPr>
      <w:r w:rsidRPr="00FD62C4">
        <w:tab/>
      </w:r>
      <w:r w:rsidRPr="00FD62C4">
        <w:tab/>
      </w:r>
      <w:r w:rsidRPr="00FD62C4">
        <w:rPr>
          <w:b/>
          <w:bCs/>
        </w:rPr>
        <w:t>Index</w:t>
      </w:r>
      <w:r w:rsidRPr="00FD62C4">
        <w:t xml:space="preserve">:  </w:t>
      </w:r>
      <m:oMath>
        <m:r>
          <w:rPr>
            <w:rFonts w:ascii="Cambria Math" w:hAnsi="Cambria Math"/>
          </w:rPr>
          <m:t>SA</m:t>
        </m:r>
        <m:sSub>
          <m:sSubPr>
            <m:ctrlPr>
              <w:rPr>
                <w:rFonts w:ascii="Cambria Math" w:hAnsi="Cambria Math"/>
                <w:i/>
              </w:rPr>
            </m:ctrlPr>
          </m:sSubPr>
          <m:e>
            <m:r>
              <w:rPr>
                <w:rFonts w:ascii="Cambria Math" w:hAnsi="Cambria Math"/>
              </w:rPr>
              <m:t>I</m:t>
            </m:r>
          </m:e>
          <m:sub>
            <m:r>
              <w:rPr>
                <w:rFonts w:ascii="Cambria Math" w:hAnsi="Cambria Math"/>
              </w:rPr>
              <m:t>SL</m:t>
            </m:r>
          </m:sub>
        </m:sSub>
        <m:r>
          <w:rPr>
            <w:rFonts w:ascii="Cambria Math" w:hAnsi="Cambria Math"/>
          </w:rPr>
          <m:t>=</m:t>
        </m:r>
        <m:d>
          <m:dPr>
            <m:begChr m:val="{"/>
            <m:endChr m:val=""/>
            <m:ctrlPr>
              <w:rPr>
                <w:rFonts w:ascii="Cambria Math" w:hAnsi="Cambria Math"/>
                <w:i/>
              </w:rPr>
            </m:ctrlPr>
          </m:dPr>
          <m:e>
            <m:eqArr>
              <m:eqArrPr>
                <m:ctrlPr>
                  <w:rPr>
                    <w:rFonts w:ascii="Cambria Math" w:hAnsi="Cambria Math"/>
                    <w:i/>
                  </w:rPr>
                </m:ctrlPr>
              </m:eqArrPr>
              <m:e>
                <m:f>
                  <m:fPr>
                    <m:ctrlPr>
                      <w:rPr>
                        <w:rFonts w:ascii="Cambria Math" w:hAnsi="Cambria Math"/>
                        <w:i/>
                      </w:rPr>
                    </m:ctrlPr>
                  </m:fPr>
                  <m:num>
                    <m:r>
                      <m:rPr>
                        <m:sty m:val="p"/>
                      </m:rPr>
                      <w:rPr>
                        <w:rFonts w:ascii="Cambria Math" w:hAnsi="Cambria Math"/>
                      </w:rPr>
                      <m:t>Area</m:t>
                    </m:r>
                    <m:d>
                      <m:dPr>
                        <m:ctrlPr>
                          <w:rPr>
                            <w:rFonts w:ascii="Cambria Math" w:hAnsi="Cambria Math"/>
                            <w:i/>
                          </w:rPr>
                        </m:ctrlPr>
                      </m:dPr>
                      <m:e>
                        <m:sSub>
                          <m:sSubPr>
                            <m:ctrlPr>
                              <w:rPr>
                                <w:rFonts w:ascii="Cambria Math" w:hAnsi="Cambria Math"/>
                                <w:i/>
                              </w:rPr>
                            </m:ctrlPr>
                          </m:sSubPr>
                          <m:e>
                            <m:r>
                              <w:rPr>
                                <w:rFonts w:ascii="Cambria Math" w:hAnsi="Cambria Math"/>
                              </w:rPr>
                              <m:t>U</m:t>
                            </m:r>
                          </m:e>
                          <m:sub>
                            <m:r>
                              <w:rPr>
                                <w:rFonts w:ascii="Cambria Math" w:hAnsi="Cambria Math"/>
                              </w:rPr>
                              <m:t>t</m:t>
                            </m:r>
                          </m:sub>
                        </m:sSub>
                      </m:e>
                    </m:d>
                    <m:r>
                      <w:rPr>
                        <w:rFonts w:ascii="Cambria Math" w:hAnsi="Cambria Math"/>
                      </w:rPr>
                      <m:t>-</m:t>
                    </m:r>
                    <m:r>
                      <m:rPr>
                        <m:sty m:val="p"/>
                      </m:rPr>
                      <w:rPr>
                        <w:rFonts w:ascii="Cambria Math" w:hAnsi="Cambria Math"/>
                      </w:rPr>
                      <m:t>Area</m:t>
                    </m:r>
                    <m:r>
                      <w:rPr>
                        <w:rFonts w:ascii="Cambria Math" w:hAnsi="Cambria Math"/>
                      </w:rPr>
                      <m:t>(</m:t>
                    </m:r>
                    <m:sSub>
                      <m:sSubPr>
                        <m:ctrlPr>
                          <w:rPr>
                            <w:rFonts w:ascii="Cambria Math" w:hAnsi="Cambria Math"/>
                            <w:i/>
                          </w:rPr>
                        </m:ctrlPr>
                      </m:sSubPr>
                      <m:e>
                        <m:r>
                          <w:rPr>
                            <w:rFonts w:ascii="Cambria Math" w:hAnsi="Cambria Math"/>
                          </w:rPr>
                          <m:t>U</m:t>
                        </m:r>
                      </m:e>
                      <m:sub>
                        <m:r>
                          <w:rPr>
                            <w:rFonts w:ascii="Cambria Math" w:hAnsi="Cambria Math"/>
                          </w:rPr>
                          <m:t>pu</m:t>
                        </m:r>
                      </m:sub>
                    </m:sSub>
                    <m:r>
                      <w:rPr>
                        <w:rFonts w:ascii="Cambria Math" w:hAnsi="Cambria Math"/>
                      </w:rPr>
                      <m:t>)-</m:t>
                    </m:r>
                    <m:r>
                      <m:rPr>
                        <m:sty m:val="p"/>
                      </m:rPr>
                      <w:rPr>
                        <w:rFonts w:ascii="Cambria Math" w:hAnsi="Cambria Math"/>
                      </w:rPr>
                      <m:t>Area</m:t>
                    </m:r>
                    <m:r>
                      <w:rPr>
                        <w:rFonts w:ascii="Cambria Math" w:hAnsi="Cambria Math"/>
                      </w:rPr>
                      <m:t>(</m:t>
                    </m:r>
                    <m:sSub>
                      <m:sSubPr>
                        <m:ctrlPr>
                          <w:rPr>
                            <w:rFonts w:ascii="Cambria Math" w:hAnsi="Cambria Math"/>
                            <w:i/>
                          </w:rPr>
                        </m:ctrlPr>
                      </m:sSubPr>
                      <m:e>
                        <m:r>
                          <w:rPr>
                            <w:rFonts w:ascii="Cambria Math" w:hAnsi="Cambria Math"/>
                          </w:rPr>
                          <m:t>U</m:t>
                        </m:r>
                      </m:e>
                      <m:sub>
                        <m:r>
                          <w:rPr>
                            <w:rFonts w:ascii="Cambria Math" w:hAnsi="Cambria Math"/>
                          </w:rPr>
                          <m:t>su</m:t>
                        </m:r>
                      </m:sub>
                    </m:sSub>
                    <m:r>
                      <w:rPr>
                        <w:rFonts w:ascii="Cambria Math" w:hAnsi="Cambria Math"/>
                      </w:rPr>
                      <m:t>)</m:t>
                    </m:r>
                  </m:num>
                  <m:den>
                    <m:r>
                      <m:rPr>
                        <m:sty m:val="p"/>
                      </m:rPr>
                      <w:rPr>
                        <w:rFonts w:ascii="Cambria Math" w:hAnsi="Cambria Math"/>
                      </w:rPr>
                      <m:t>Area</m:t>
                    </m:r>
                    <m:r>
                      <w:rPr>
                        <w:rFonts w:ascii="Cambria Math" w:hAnsi="Cambria Math"/>
                      </w:rPr>
                      <m:t>(</m:t>
                    </m:r>
                    <m:sSub>
                      <m:sSubPr>
                        <m:ctrlPr>
                          <w:rPr>
                            <w:rFonts w:ascii="Cambria Math" w:hAnsi="Cambria Math"/>
                            <w:i/>
                          </w:rPr>
                        </m:ctrlPr>
                      </m:sSubPr>
                      <m:e>
                        <m:r>
                          <w:rPr>
                            <w:rFonts w:ascii="Cambria Math" w:hAnsi="Cambria Math"/>
                          </w:rPr>
                          <m:t>U</m:t>
                        </m:r>
                      </m:e>
                      <m:sub>
                        <m:r>
                          <w:rPr>
                            <w:rFonts w:ascii="Cambria Math" w:hAnsi="Cambria Math"/>
                          </w:rPr>
                          <m:t>t</m:t>
                        </m:r>
                      </m:sub>
                    </m:sSub>
                    <m:r>
                      <w:rPr>
                        <w:rFonts w:ascii="Cambria Math" w:hAnsi="Cambria Math"/>
                      </w:rPr>
                      <m:t>)</m:t>
                    </m:r>
                  </m:den>
                </m:f>
                <m:r>
                  <w:rPr>
                    <w:rFonts w:ascii="Cambria Math" w:hAnsi="Cambria Math"/>
                  </w:rPr>
                  <m:t xml:space="preserve"> </m:t>
                </m:r>
                <m:r>
                  <m:rPr>
                    <m:sty m:val="p"/>
                  </m:rPr>
                  <w:rPr>
                    <w:rFonts w:ascii="Cambria Math" w:hAnsi="Cambria Math"/>
                  </w:rPr>
                  <m:t>if condition 1 and 2 are satisfied</m:t>
                </m:r>
              </m:e>
              <m:e>
                <m:r>
                  <w:rPr>
                    <w:rFonts w:ascii="Cambria Math" w:hAnsi="Cambria Math"/>
                  </w:rPr>
                  <m:t xml:space="preserve">0 </m:t>
                </m:r>
                <m:r>
                  <m:rPr>
                    <m:sty m:val="p"/>
                  </m:rPr>
                  <w:rPr>
                    <w:rFonts w:ascii="Cambria Math" w:hAnsi="Cambria Math"/>
                  </w:rPr>
                  <m:t>if condition 1 or 2 is not satisfied</m:t>
                </m:r>
              </m:e>
            </m:eqArr>
          </m:e>
        </m:d>
      </m:oMath>
      <w:r w:rsidRPr="00FD62C4">
        <w:tab/>
        <w:t>(I-2)</w:t>
      </w:r>
    </w:p>
    <w:p w14:paraId="04C8F138" w14:textId="77777777" w:rsidR="00A812FA" w:rsidRPr="00FD62C4" w:rsidRDefault="00A812FA" w:rsidP="00A812FA">
      <w:r w:rsidRPr="00FD62C4">
        <w:t>where:</w:t>
      </w:r>
    </w:p>
    <w:p w14:paraId="2BDAAE69" w14:textId="77777777" w:rsidR="00A812FA" w:rsidRPr="00FD62C4" w:rsidRDefault="00A812FA" w:rsidP="00A812FA">
      <w:pPr>
        <w:pStyle w:val="Equationlegend"/>
        <w:rPr>
          <w:lang w:val="en-GB" w:eastAsia="ko-KR"/>
        </w:rPr>
      </w:pPr>
      <w:r w:rsidRPr="00FD62C4">
        <w:rPr>
          <w:i/>
          <w:iCs/>
          <w:lang w:val="en-GB"/>
        </w:rPr>
        <w:tab/>
      </w:r>
      <m:oMath>
        <m:r>
          <w:rPr>
            <w:rFonts w:ascii="Cambria Math" w:hAnsi="Cambria Math"/>
            <w:lang w:val="en-GB"/>
          </w:rPr>
          <m:t>SA</m:t>
        </m:r>
        <m:sSub>
          <m:sSubPr>
            <m:ctrlPr>
              <w:rPr>
                <w:rFonts w:ascii="Cambria Math" w:hAnsi="Cambria Math"/>
                <w:i/>
                <w:lang w:val="en-GB"/>
              </w:rPr>
            </m:ctrlPr>
          </m:sSubPr>
          <m:e>
            <m:r>
              <w:rPr>
                <w:rFonts w:ascii="Cambria Math" w:hAnsi="Cambria Math"/>
                <w:lang w:val="en-GB"/>
              </w:rPr>
              <m:t>I</m:t>
            </m:r>
          </m:e>
          <m:sub>
            <m:r>
              <w:rPr>
                <w:rFonts w:ascii="Cambria Math" w:hAnsi="Cambria Math"/>
                <w:lang w:val="en-GB"/>
              </w:rPr>
              <m:t>SL</m:t>
            </m:r>
          </m:sub>
        </m:sSub>
      </m:oMath>
      <w:r w:rsidRPr="00FD62C4">
        <w:rPr>
          <w:lang w:val="en-GB"/>
        </w:rPr>
        <w:t>:</w:t>
      </w:r>
      <w:r w:rsidRPr="00FD62C4">
        <w:rPr>
          <w:i/>
          <w:iCs/>
          <w:lang w:val="en-GB"/>
        </w:rPr>
        <w:tab/>
      </w:r>
      <w:r w:rsidRPr="00FD62C4">
        <w:rPr>
          <w:lang w:val="en-GB"/>
        </w:rPr>
        <w:t xml:space="preserve">spectrum availability index in the case of </w:t>
      </w:r>
      <w:r w:rsidRPr="00FD62C4">
        <w:rPr>
          <w:lang w:val="en-GB" w:eastAsia="ko-KR"/>
        </w:rPr>
        <w:t>“shared use of licensed spectrum”</w:t>
      </w:r>
    </w:p>
    <w:p w14:paraId="7F61CD67" w14:textId="77777777" w:rsidR="00A812FA" w:rsidRPr="00FD62C4" w:rsidRDefault="00A812FA" w:rsidP="00A812FA">
      <w:pPr>
        <w:pStyle w:val="Equationlegend"/>
        <w:rPr>
          <w:lang w:val="en-GB"/>
        </w:rPr>
      </w:pPr>
      <w:r w:rsidRPr="00FD62C4">
        <w:rPr>
          <w:i/>
          <w:lang w:val="en-GB"/>
        </w:rPr>
        <w:tab/>
      </w:r>
      <m:oMath>
        <m:r>
          <m:rPr>
            <m:sty m:val="p"/>
          </m:rPr>
          <w:rPr>
            <w:rFonts w:ascii="Cambria Math" w:hAnsi="Cambria Math"/>
            <w:lang w:val="en-GB"/>
          </w:rPr>
          <m:t>Area</m:t>
        </m:r>
        <m:r>
          <w:rPr>
            <w:rFonts w:ascii="Cambria Math" w:hAnsi="Cambria Math"/>
            <w:lang w:val="en-GB"/>
          </w:rPr>
          <m:t>(U)</m:t>
        </m:r>
      </m:oMath>
      <w:r w:rsidRPr="00FD62C4">
        <w:rPr>
          <w:lang w:val="en-GB"/>
        </w:rPr>
        <w:t>:</w:t>
      </w:r>
      <w:r w:rsidRPr="00FD62C4">
        <w:rPr>
          <w:lang w:val="en-GB"/>
        </w:rPr>
        <w:tab/>
        <w:t xml:space="preserve">area of spectrum use region </w:t>
      </w:r>
      <m:oMath>
        <m:r>
          <w:rPr>
            <w:rFonts w:ascii="Cambria Math" w:hAnsi="Cambria Math"/>
            <w:lang w:val="en-GB"/>
          </w:rPr>
          <m:t>U</m:t>
        </m:r>
      </m:oMath>
    </w:p>
    <w:p w14:paraId="6611F1C2" w14:textId="77777777" w:rsidR="00A812FA" w:rsidRPr="00FD62C4" w:rsidRDefault="00A812FA" w:rsidP="00A812FA">
      <w:pPr>
        <w:pStyle w:val="Equationlegend"/>
        <w:rPr>
          <w:lang w:val="en-GB"/>
        </w:rPr>
      </w:pPr>
      <w:r w:rsidRPr="00FD62C4">
        <w:rPr>
          <w:i/>
          <w:lang w:val="en-GB"/>
        </w:rPr>
        <w:tab/>
      </w:r>
      <m:oMath>
        <m:sSub>
          <m:sSubPr>
            <m:ctrlPr>
              <w:rPr>
                <w:rFonts w:ascii="Cambria Math" w:hAnsi="Cambria Math"/>
                <w:i/>
                <w:lang w:val="en-GB"/>
              </w:rPr>
            </m:ctrlPr>
          </m:sSubPr>
          <m:e>
            <m:r>
              <w:rPr>
                <w:rFonts w:ascii="Cambria Math" w:hAnsi="Cambria Math"/>
                <w:lang w:val="en-GB"/>
              </w:rPr>
              <m:t>U</m:t>
            </m:r>
          </m:e>
          <m:sub>
            <m:r>
              <w:rPr>
                <w:rFonts w:ascii="Cambria Math" w:hAnsi="Cambria Math"/>
                <w:lang w:val="en-GB"/>
              </w:rPr>
              <m:t>t</m:t>
            </m:r>
          </m:sub>
        </m:sSub>
      </m:oMath>
      <w:r w:rsidRPr="00FD62C4">
        <w:rPr>
          <w:lang w:val="en-GB"/>
        </w:rPr>
        <w:t>:</w:t>
      </w:r>
      <w:r w:rsidRPr="00FD62C4">
        <w:rPr>
          <w:lang w:val="en-GB"/>
        </w:rPr>
        <w:tab/>
        <w:t>total spectrum use space</w:t>
      </w:r>
    </w:p>
    <w:p w14:paraId="59749DBB" w14:textId="77777777" w:rsidR="00A812FA" w:rsidRPr="00FD62C4" w:rsidRDefault="00A812FA" w:rsidP="00A812FA">
      <w:pPr>
        <w:pStyle w:val="Equationlegend"/>
        <w:rPr>
          <w:lang w:val="en-GB"/>
        </w:rPr>
      </w:pPr>
      <w:r w:rsidRPr="00FD62C4">
        <w:rPr>
          <w:i/>
          <w:lang w:val="en-GB"/>
        </w:rPr>
        <w:tab/>
      </w:r>
      <m:oMath>
        <m:sSub>
          <m:sSubPr>
            <m:ctrlPr>
              <w:rPr>
                <w:rFonts w:ascii="Cambria Math" w:hAnsi="Cambria Math"/>
                <w:i/>
                <w:lang w:val="en-GB"/>
              </w:rPr>
            </m:ctrlPr>
          </m:sSubPr>
          <m:e>
            <m:r>
              <w:rPr>
                <w:rFonts w:ascii="Cambria Math" w:hAnsi="Cambria Math"/>
                <w:lang w:val="en-GB"/>
              </w:rPr>
              <m:t>U</m:t>
            </m:r>
          </m:e>
          <m:sub>
            <m:r>
              <w:rPr>
                <w:rFonts w:ascii="Cambria Math" w:hAnsi="Cambria Math"/>
                <w:lang w:val="en-GB"/>
              </w:rPr>
              <m:t>pu</m:t>
            </m:r>
          </m:sub>
        </m:sSub>
      </m:oMath>
      <w:r w:rsidRPr="00FD62C4">
        <w:rPr>
          <w:lang w:val="en-GB"/>
        </w:rPr>
        <w:t>:</w:t>
      </w:r>
      <w:r w:rsidRPr="00FD62C4">
        <w:rPr>
          <w:lang w:val="en-GB"/>
        </w:rPr>
        <w:tab/>
        <w:t>spectrum use region occupied by the primary user</w:t>
      </w:r>
    </w:p>
    <w:p w14:paraId="69D3EB3E" w14:textId="77777777" w:rsidR="00A812FA" w:rsidRPr="00FD62C4" w:rsidRDefault="00A812FA" w:rsidP="00A812FA">
      <w:pPr>
        <w:pStyle w:val="Equationlegend"/>
        <w:rPr>
          <w:lang w:val="en-GB"/>
        </w:rPr>
      </w:pPr>
      <w:r w:rsidRPr="00FD62C4">
        <w:rPr>
          <w:i/>
          <w:lang w:val="en-GB"/>
        </w:rPr>
        <w:tab/>
      </w:r>
      <m:oMath>
        <m:sSub>
          <m:sSubPr>
            <m:ctrlPr>
              <w:rPr>
                <w:rFonts w:ascii="Cambria Math" w:hAnsi="Cambria Math"/>
                <w:i/>
                <w:lang w:val="en-GB"/>
              </w:rPr>
            </m:ctrlPr>
          </m:sSubPr>
          <m:e>
            <m:r>
              <w:rPr>
                <w:rFonts w:ascii="Cambria Math" w:hAnsi="Cambria Math"/>
                <w:lang w:val="en-GB"/>
              </w:rPr>
              <m:t>U</m:t>
            </m:r>
          </m:e>
          <m:sub>
            <m:r>
              <w:rPr>
                <w:rFonts w:ascii="Cambria Math" w:hAnsi="Cambria Math"/>
                <w:lang w:val="en-GB"/>
              </w:rPr>
              <m:t>su</m:t>
            </m:r>
          </m:sub>
        </m:sSub>
      </m:oMath>
      <w:r w:rsidRPr="00FD62C4">
        <w:rPr>
          <w:lang w:val="en-GB"/>
        </w:rPr>
        <w:t>:</w:t>
      </w:r>
      <w:r w:rsidRPr="00FD62C4">
        <w:rPr>
          <w:lang w:val="en-GB"/>
        </w:rPr>
        <w:tab/>
        <w:t>spectrum use region occupied by the service in question</w:t>
      </w:r>
    </w:p>
    <w:p w14:paraId="01F4A156" w14:textId="77777777" w:rsidR="00A812FA" w:rsidRPr="00FD62C4" w:rsidRDefault="00A812FA" w:rsidP="00A812FA">
      <w:pPr>
        <w:pStyle w:val="Equationlegend"/>
        <w:rPr>
          <w:lang w:val="en-GB"/>
        </w:rPr>
      </w:pPr>
      <w:r w:rsidRPr="00FD62C4">
        <w:rPr>
          <w:i/>
          <w:lang w:val="en-GB"/>
        </w:rPr>
        <w:tab/>
      </w:r>
      <w:r w:rsidRPr="00FD62C4">
        <w:rPr>
          <w:iCs/>
          <w:lang w:val="en-GB"/>
        </w:rPr>
        <w:t>condition 1:</w:t>
      </w:r>
      <w:r w:rsidRPr="00FD62C4">
        <w:rPr>
          <w:lang w:val="en-GB"/>
        </w:rPr>
        <w:tab/>
        <w:t>there exists a spectrum-sharing system for utilizing unoccupied units</w:t>
      </w:r>
    </w:p>
    <w:p w14:paraId="20DE24BB" w14:textId="77777777" w:rsidR="00A812FA" w:rsidRPr="005E2A2B" w:rsidRDefault="00A812FA" w:rsidP="00A812FA">
      <w:pPr>
        <w:pStyle w:val="Equationlegend"/>
        <w:rPr>
          <w:lang w:val="fr-CH" w:eastAsia="ko-KR"/>
        </w:rPr>
      </w:pPr>
      <w:r w:rsidRPr="00FD62C4">
        <w:rPr>
          <w:i/>
          <w:lang w:val="en-GB"/>
        </w:rPr>
        <w:tab/>
      </w:r>
      <w:r w:rsidRPr="005E2A2B">
        <w:rPr>
          <w:iCs/>
          <w:lang w:val="fr-CH"/>
        </w:rPr>
        <w:t>condition 2:</w:t>
      </w:r>
      <w:r w:rsidRPr="005E2A2B">
        <w:rPr>
          <w:lang w:val="fr-CH"/>
        </w:rPr>
        <w:tab/>
      </w:r>
      <m:oMath>
        <m:r>
          <m:rPr>
            <m:sty m:val="p"/>
          </m:rPr>
          <w:rPr>
            <w:rFonts w:ascii="Cambria Math" w:hAnsi="Cambria Math"/>
            <w:lang w:val="fr-CH"/>
          </w:rPr>
          <m:t>Area</m:t>
        </m:r>
        <m:d>
          <m:dPr>
            <m:ctrlPr>
              <w:rPr>
                <w:rFonts w:ascii="Cambria Math" w:hAnsi="Cambria Math"/>
                <w:i/>
                <w:lang w:val="en-GB"/>
              </w:rPr>
            </m:ctrlPr>
          </m:dPr>
          <m:e>
            <m:sSub>
              <m:sSubPr>
                <m:ctrlPr>
                  <w:rPr>
                    <w:rFonts w:ascii="Cambria Math" w:hAnsi="Cambria Math"/>
                    <w:i/>
                    <w:lang w:val="en-GB"/>
                  </w:rPr>
                </m:ctrlPr>
              </m:sSubPr>
              <m:e>
                <m:r>
                  <w:rPr>
                    <w:rFonts w:ascii="Cambria Math" w:hAnsi="Cambria Math"/>
                    <w:lang w:val="en-GB"/>
                  </w:rPr>
                  <m:t>U</m:t>
                </m:r>
              </m:e>
              <m:sub>
                <m:r>
                  <w:rPr>
                    <w:rFonts w:ascii="Cambria Math" w:hAnsi="Cambria Math"/>
                    <w:lang w:val="en-GB"/>
                  </w:rPr>
                  <m:t>t</m:t>
                </m:r>
              </m:sub>
            </m:sSub>
          </m:e>
        </m:d>
        <m:r>
          <w:rPr>
            <w:rFonts w:ascii="Cambria Math" w:hAnsi="Cambria Math"/>
            <w:lang w:val="fr-CH"/>
          </w:rPr>
          <m:t>-</m:t>
        </m:r>
        <m:r>
          <m:rPr>
            <m:sty m:val="p"/>
          </m:rPr>
          <w:rPr>
            <w:rFonts w:ascii="Cambria Math" w:hAnsi="Cambria Math"/>
            <w:lang w:val="fr-CH"/>
          </w:rPr>
          <m:t>Area</m:t>
        </m:r>
        <m:r>
          <w:rPr>
            <w:rFonts w:ascii="Cambria Math" w:hAnsi="Cambria Math"/>
            <w:lang w:val="fr-CH"/>
          </w:rPr>
          <m:t>(</m:t>
        </m:r>
        <m:sSub>
          <m:sSubPr>
            <m:ctrlPr>
              <w:rPr>
                <w:rFonts w:ascii="Cambria Math" w:hAnsi="Cambria Math"/>
                <w:i/>
                <w:lang w:val="en-GB"/>
              </w:rPr>
            </m:ctrlPr>
          </m:sSubPr>
          <m:e>
            <m:r>
              <w:rPr>
                <w:rFonts w:ascii="Cambria Math" w:hAnsi="Cambria Math"/>
                <w:lang w:val="en-GB"/>
              </w:rPr>
              <m:t>U</m:t>
            </m:r>
          </m:e>
          <m:sub>
            <m:r>
              <w:rPr>
                <w:rFonts w:ascii="Cambria Math" w:hAnsi="Cambria Math"/>
                <w:lang w:val="en-GB"/>
              </w:rPr>
              <m:t>pu</m:t>
            </m:r>
          </m:sub>
        </m:sSub>
        <m:r>
          <w:rPr>
            <w:rFonts w:ascii="Cambria Math" w:hAnsi="Cambria Math"/>
            <w:lang w:val="fr-CH"/>
          </w:rPr>
          <m:t>)&gt;</m:t>
        </m:r>
        <m:r>
          <m:rPr>
            <m:sty m:val="p"/>
          </m:rPr>
          <w:rPr>
            <w:rFonts w:ascii="Cambria Math" w:hAnsi="Cambria Math"/>
            <w:lang w:val="fr-CH"/>
          </w:rPr>
          <m:t>Area</m:t>
        </m:r>
        <m:r>
          <w:rPr>
            <w:rFonts w:ascii="Cambria Math" w:hAnsi="Cambria Math"/>
            <w:lang w:val="fr-CH"/>
          </w:rPr>
          <m:t>(</m:t>
        </m:r>
        <m:sSub>
          <m:sSubPr>
            <m:ctrlPr>
              <w:rPr>
                <w:rFonts w:ascii="Cambria Math" w:hAnsi="Cambria Math"/>
                <w:i/>
                <w:lang w:val="en-GB"/>
              </w:rPr>
            </m:ctrlPr>
          </m:sSubPr>
          <m:e>
            <m:r>
              <w:rPr>
                <w:rFonts w:ascii="Cambria Math" w:hAnsi="Cambria Math"/>
                <w:lang w:val="en-GB"/>
              </w:rPr>
              <m:t>U</m:t>
            </m:r>
          </m:e>
          <m:sub>
            <m:r>
              <w:rPr>
                <w:rFonts w:ascii="Cambria Math" w:hAnsi="Cambria Math"/>
                <w:lang w:val="en-GB"/>
              </w:rPr>
              <m:t>su</m:t>
            </m:r>
          </m:sub>
        </m:sSub>
        <m:r>
          <w:rPr>
            <w:rFonts w:ascii="Cambria Math" w:hAnsi="Cambria Math"/>
            <w:lang w:val="fr-CH"/>
          </w:rPr>
          <m:t>)</m:t>
        </m:r>
      </m:oMath>
      <w:r w:rsidRPr="005E2A2B">
        <w:rPr>
          <w:lang w:val="fr-CH" w:eastAsia="ko-KR"/>
        </w:rPr>
        <w:t>.</w:t>
      </w:r>
    </w:p>
    <w:p w14:paraId="0533CE2A" w14:textId="3281FE67" w:rsidR="00A812FA" w:rsidRPr="00FD62C4" w:rsidRDefault="00A812FA" w:rsidP="00A812FA">
      <w:r w:rsidRPr="00FD62C4">
        <w:rPr>
          <w:lang w:eastAsia="ko-KR"/>
        </w:rPr>
        <w:t xml:space="preserve">To apply the above criterion, it is essential first to determine the level of granularity for defining spectrum use units and the method for quantifying the area of the spectrum use regions. Once this is established, the regions can be identified based on information related to the primary user, the service in question and the licensed spectrum, allowing for the quantification of the area. This methodology is detailed in </w:t>
      </w:r>
      <w:r w:rsidR="00F704D3" w:rsidRPr="00FD62C4">
        <w:rPr>
          <w:lang w:eastAsia="ko-KR"/>
        </w:rPr>
        <w:t>§</w:t>
      </w:r>
      <w:r w:rsidRPr="00FD62C4">
        <w:rPr>
          <w:lang w:eastAsia="ko-KR"/>
        </w:rPr>
        <w:t xml:space="preserve"> </w:t>
      </w:r>
      <w:r w:rsidRPr="00FD62C4">
        <w:t>A1</w:t>
      </w:r>
      <w:r w:rsidR="00281D09" w:rsidRPr="00FD62C4">
        <w:t>.</w:t>
      </w:r>
      <w:r w:rsidRPr="00FD62C4">
        <w:rPr>
          <w:lang w:eastAsia="ko-KR"/>
        </w:rPr>
        <w:t>3.2.</w:t>
      </w:r>
    </w:p>
    <w:p w14:paraId="2F78DC87" w14:textId="23849983" w:rsidR="00A812FA" w:rsidRPr="00FD62C4" w:rsidRDefault="00A812FA" w:rsidP="00F95312">
      <w:pPr>
        <w:pStyle w:val="Heading3"/>
      </w:pPr>
      <w:bookmarkStart w:id="68" w:name="_Toc106624175"/>
      <w:bookmarkStart w:id="69" w:name="_Toc137196262"/>
      <w:bookmarkStart w:id="70" w:name="_Toc167886253"/>
      <w:bookmarkStart w:id="71" w:name="_Toc232493287"/>
      <w:bookmarkStart w:id="72" w:name="_Toc235620214"/>
      <w:r w:rsidRPr="00FD62C4">
        <w:t>A1</w:t>
      </w:r>
      <w:r w:rsidR="00281D09" w:rsidRPr="00FD62C4">
        <w:t>.</w:t>
      </w:r>
      <w:r w:rsidRPr="00FD62C4">
        <w:t>2.3</w:t>
      </w:r>
      <w:r w:rsidRPr="00FD62C4">
        <w:tab/>
        <w:t>Shared use of unlicensed spectrum</w:t>
      </w:r>
      <w:bookmarkEnd w:id="68"/>
      <w:bookmarkEnd w:id="69"/>
      <w:bookmarkEnd w:id="70"/>
      <w:bookmarkEnd w:id="71"/>
      <w:bookmarkEnd w:id="72"/>
    </w:p>
    <w:p w14:paraId="4AB0F485" w14:textId="1404F424" w:rsidR="00A812FA" w:rsidRPr="00FD62C4" w:rsidRDefault="00A812FA" w:rsidP="00A812FA">
      <w:pPr>
        <w:rPr>
          <w:lang w:eastAsia="ko-KR"/>
        </w:rPr>
      </w:pPr>
      <w:r w:rsidRPr="00FD62C4">
        <w:rPr>
          <w:lang w:eastAsia="ko-KR"/>
        </w:rPr>
        <w:t xml:space="preserve">This </w:t>
      </w:r>
      <w:r w:rsidR="00FE3A43" w:rsidRPr="00FD62C4">
        <w:rPr>
          <w:lang w:eastAsia="ko-KR"/>
        </w:rPr>
        <w:t>sub-</w:t>
      </w:r>
      <w:r w:rsidRPr="00FD62C4">
        <w:rPr>
          <w:lang w:eastAsia="ko-KR"/>
        </w:rPr>
        <w:t>section presents a criterion and an index for assessing spectrum availability in the case of “shared use of unlicensed spectrum”.</w:t>
      </w:r>
    </w:p>
    <w:p w14:paraId="01A1651E" w14:textId="77777777" w:rsidR="00A812FA" w:rsidRPr="00FD62C4" w:rsidRDefault="00A812FA" w:rsidP="00A812FA">
      <w:pPr>
        <w:rPr>
          <w:lang w:eastAsia="ko-KR"/>
        </w:rPr>
      </w:pPr>
      <w:r w:rsidRPr="00FD62C4">
        <w:rPr>
          <w:lang w:eastAsia="ko-KR"/>
        </w:rPr>
        <w:t xml:space="preserve">When assessing the availability of an unlicensed spectrum for a spectrum sharer, the spectrum use of the other spectrum sharers is the major factor to be considered due to the potential performance degradation caused by interference. Henceforth, the spectrum sharer in question will be referred to as the “victim”, and the other spectrum sharers will be referred to as “interferers”. Based on this consideration, the criterion for assessing spectrum availability is established by comparing the spectrum use of interferers. Although this approach is similar to that used for shared licensed spectrum in terms of considering spectrum use, a key difference is that spectrum sharers are not under the direct oversight of the Administration and typically occupy spectrum use units temporarily as needed. Therefore, it is not possible to precisely identify their spectrum use regions. Instead, these regions </w:t>
      </w:r>
      <w:r w:rsidRPr="00FD62C4">
        <w:rPr>
          <w:lang w:eastAsia="ko-KR"/>
        </w:rPr>
        <w:lastRenderedPageBreak/>
        <w:t>can only be characterized probabilistically based on parameters related to their spectrum usage. If the probability that an arbitrary spectrum use unit selected by the victim falls within any of the spectrum use regions of the interferers, referred to as interference potential,</w:t>
      </w:r>
      <w:r w:rsidRPr="00FD62C4">
        <w:t xml:space="preserve"> </w:t>
      </w:r>
      <w:r w:rsidRPr="00FD62C4">
        <w:rPr>
          <w:lang w:eastAsia="ko-KR"/>
        </w:rPr>
        <w:t>is less than the victim’s tolerable limit, it can be concluded that the unlicensed spectrum is available for the victim:</w:t>
      </w:r>
    </w:p>
    <w:p w14:paraId="27B0D85D" w14:textId="1C5A634B" w:rsidR="00A812FA" w:rsidRPr="00FD62C4" w:rsidRDefault="00A812FA" w:rsidP="00A812FA">
      <w:pPr>
        <w:pStyle w:val="Equation"/>
      </w:pPr>
      <w:r w:rsidRPr="00FD62C4">
        <w:tab/>
      </w:r>
      <w:r w:rsidRPr="00FD62C4">
        <w:tab/>
      </w:r>
      <w:r w:rsidRPr="00FD62C4">
        <w:rPr>
          <w:b/>
          <w:bCs/>
        </w:rPr>
        <w:t>Criterion</w:t>
      </w:r>
      <w:r w:rsidRPr="00FD62C4">
        <w:t xml:space="preserve">: Spectrum is available if and only if </w:t>
      </w:r>
      <m:oMath>
        <m:r>
          <w:rPr>
            <w:rFonts w:ascii="Cambria Math" w:hAnsi="Cambria Math"/>
          </w:rPr>
          <m:t>IP&lt;</m:t>
        </m:r>
        <m:r>
          <m:rPr>
            <m:sty m:val="p"/>
          </m:rPr>
          <w:rPr>
            <w:rFonts w:ascii="Cambria Math" w:hAnsi="Cambria Math"/>
          </w:rPr>
          <m:t>ε</m:t>
        </m:r>
      </m:oMath>
      <w:r w:rsidRPr="00FD62C4">
        <w:tab/>
        <w:t>(C-3)</w:t>
      </w:r>
    </w:p>
    <w:p w14:paraId="46691E8F" w14:textId="77777777" w:rsidR="00A812FA" w:rsidRPr="00FD62C4" w:rsidRDefault="00A812FA" w:rsidP="00A812FA">
      <w:pPr>
        <w:keepNext/>
      </w:pPr>
      <w:r w:rsidRPr="00FD62C4">
        <w:t>where:</w:t>
      </w:r>
    </w:p>
    <w:p w14:paraId="49C630D3" w14:textId="77777777" w:rsidR="00A812FA" w:rsidRPr="00FD62C4" w:rsidRDefault="00A812FA" w:rsidP="00A812FA">
      <w:pPr>
        <w:pStyle w:val="Equationlegend"/>
        <w:rPr>
          <w:lang w:val="en-GB"/>
        </w:rPr>
      </w:pPr>
      <w:r w:rsidRPr="00FD62C4">
        <w:rPr>
          <w:i/>
          <w:lang w:val="en-GB"/>
        </w:rPr>
        <w:tab/>
      </w:r>
      <m:oMath>
        <m:r>
          <w:rPr>
            <w:rFonts w:ascii="Cambria Math" w:hAnsi="Cambria Math"/>
            <w:lang w:val="en-GB"/>
          </w:rPr>
          <m:t>IP</m:t>
        </m:r>
      </m:oMath>
      <w:r w:rsidRPr="00FD62C4">
        <w:rPr>
          <w:lang w:val="en-GB"/>
        </w:rPr>
        <w:t>:</w:t>
      </w:r>
      <w:r w:rsidRPr="00FD62C4">
        <w:rPr>
          <w:lang w:val="en-GB"/>
        </w:rPr>
        <w:tab/>
        <w:t xml:space="preserve">interference potential, i.e., </w:t>
      </w:r>
      <m:oMath>
        <m:r>
          <m:rPr>
            <m:sty m:val="p"/>
          </m:rPr>
          <w:rPr>
            <w:rFonts w:ascii="Cambria Math" w:hAnsi="Cambria Math"/>
            <w:lang w:val="en-GB"/>
          </w:rPr>
          <m:t>Pr⁡</m:t>
        </m:r>
        <m:r>
          <w:rPr>
            <w:rFonts w:ascii="Cambria Math" w:hAnsi="Cambria Math"/>
            <w:lang w:val="en-GB"/>
          </w:rPr>
          <m:t>(E)</m:t>
        </m:r>
      </m:oMath>
    </w:p>
    <w:p w14:paraId="534BDAC7" w14:textId="77777777" w:rsidR="00A812FA" w:rsidRPr="00FD62C4" w:rsidRDefault="00A812FA" w:rsidP="00A812FA">
      <w:pPr>
        <w:pStyle w:val="Equationlegend"/>
        <w:rPr>
          <w:lang w:val="en-GB"/>
        </w:rPr>
      </w:pPr>
      <w:r w:rsidRPr="00FD62C4">
        <w:rPr>
          <w:i/>
          <w:lang w:val="en-GB"/>
        </w:rPr>
        <w:tab/>
      </w:r>
      <m:oMath>
        <m:r>
          <m:rPr>
            <m:sty m:val="p"/>
          </m:rPr>
          <w:rPr>
            <w:rFonts w:ascii="Cambria Math" w:hAnsi="Cambria Math"/>
            <w:lang w:val="en-GB"/>
          </w:rPr>
          <m:t>Pr⁡</m:t>
        </m:r>
        <m:r>
          <w:rPr>
            <w:rFonts w:ascii="Cambria Math" w:hAnsi="Cambria Math"/>
            <w:lang w:val="en-GB"/>
          </w:rPr>
          <m:t>(E)</m:t>
        </m:r>
      </m:oMath>
      <w:r w:rsidRPr="00FD62C4">
        <w:rPr>
          <w:lang w:val="en-GB"/>
        </w:rPr>
        <w:t>:</w:t>
      </w:r>
      <w:r w:rsidRPr="00FD62C4">
        <w:rPr>
          <w:lang w:val="en-GB"/>
        </w:rPr>
        <w:tab/>
        <w:t xml:space="preserve">probability of event </w:t>
      </w:r>
      <m:oMath>
        <m:r>
          <w:rPr>
            <w:rFonts w:ascii="Cambria Math" w:hAnsi="Cambria Math"/>
            <w:lang w:val="en-GB"/>
          </w:rPr>
          <m:t>E</m:t>
        </m:r>
      </m:oMath>
      <w:r w:rsidRPr="00FD62C4">
        <w:rPr>
          <w:lang w:val="en-GB"/>
        </w:rPr>
        <w:t xml:space="preserve"> occurring</w:t>
      </w:r>
    </w:p>
    <w:p w14:paraId="2014F31D" w14:textId="77777777" w:rsidR="00A812FA" w:rsidRPr="00FD62C4" w:rsidRDefault="00A812FA" w:rsidP="00A812FA">
      <w:pPr>
        <w:pStyle w:val="Equationlegend"/>
        <w:rPr>
          <w:lang w:val="en-GB"/>
        </w:rPr>
      </w:pPr>
      <w:r w:rsidRPr="00FD62C4">
        <w:rPr>
          <w:i/>
          <w:lang w:val="en-GB"/>
        </w:rPr>
        <w:tab/>
      </w:r>
      <m:oMath>
        <m:r>
          <w:rPr>
            <w:rFonts w:ascii="Cambria Math" w:hAnsi="Cambria Math"/>
            <w:lang w:val="en-GB"/>
          </w:rPr>
          <m:t>E</m:t>
        </m:r>
      </m:oMath>
      <w:r w:rsidRPr="00FD62C4">
        <w:rPr>
          <w:lang w:val="en-GB"/>
        </w:rPr>
        <w:t>:</w:t>
      </w:r>
      <w:r w:rsidRPr="00FD62C4">
        <w:rPr>
          <w:lang w:val="en-GB"/>
        </w:rPr>
        <w:tab/>
        <w:t xml:space="preserve">event that an arbitrary spectrum use unit falls within </w:t>
      </w:r>
      <m:oMath>
        <m:sSub>
          <m:sSubPr>
            <m:ctrlPr>
              <w:rPr>
                <w:rFonts w:ascii="Cambria Math" w:hAnsi="Cambria Math"/>
                <w:i/>
                <w:lang w:val="en-GB"/>
              </w:rPr>
            </m:ctrlPr>
          </m:sSubPr>
          <m:e>
            <m:r>
              <w:rPr>
                <w:rFonts w:ascii="Cambria Math" w:hAnsi="Cambria Math"/>
                <w:lang w:val="en-GB"/>
              </w:rPr>
              <m:t>U</m:t>
            </m:r>
          </m:e>
          <m:sub>
            <m:r>
              <w:rPr>
                <w:rFonts w:ascii="Cambria Math" w:hAnsi="Cambria Math"/>
                <w:lang w:val="en-GB"/>
              </w:rPr>
              <m:t>os</m:t>
            </m:r>
          </m:sub>
        </m:sSub>
      </m:oMath>
    </w:p>
    <w:p w14:paraId="5EBF6BD0" w14:textId="77777777" w:rsidR="00A812FA" w:rsidRPr="00FD62C4" w:rsidRDefault="00A812FA" w:rsidP="00A812FA">
      <w:pPr>
        <w:pStyle w:val="Equationlegend"/>
        <w:rPr>
          <w:lang w:val="en-GB"/>
        </w:rPr>
      </w:pPr>
      <w:r w:rsidRPr="00FD62C4">
        <w:rPr>
          <w:i/>
          <w:lang w:val="en-GB"/>
        </w:rPr>
        <w:tab/>
      </w:r>
      <m:oMath>
        <m:sSub>
          <m:sSubPr>
            <m:ctrlPr>
              <w:rPr>
                <w:rFonts w:ascii="Cambria Math" w:hAnsi="Cambria Math"/>
                <w:i/>
                <w:lang w:val="en-GB"/>
              </w:rPr>
            </m:ctrlPr>
          </m:sSubPr>
          <m:e>
            <m:r>
              <w:rPr>
                <w:rFonts w:ascii="Cambria Math" w:hAnsi="Cambria Math"/>
                <w:lang w:val="en-GB"/>
              </w:rPr>
              <m:t>U</m:t>
            </m:r>
          </m:e>
          <m:sub>
            <m:r>
              <w:rPr>
                <w:rFonts w:ascii="Cambria Math" w:hAnsi="Cambria Math"/>
                <w:lang w:val="en-GB"/>
              </w:rPr>
              <m:t>os</m:t>
            </m:r>
          </m:sub>
        </m:sSub>
      </m:oMath>
      <w:r w:rsidRPr="00FD62C4">
        <w:rPr>
          <w:lang w:val="en-GB"/>
        </w:rPr>
        <w:t>:</w:t>
      </w:r>
      <w:r w:rsidRPr="00FD62C4">
        <w:rPr>
          <w:lang w:val="en-GB"/>
        </w:rPr>
        <w:tab/>
        <w:t>union of spectrum use regions of the interferers</w:t>
      </w:r>
    </w:p>
    <w:p w14:paraId="7097E0F4" w14:textId="20EAFB30" w:rsidR="00A812FA" w:rsidRPr="00FD62C4" w:rsidRDefault="00A812FA" w:rsidP="00A812FA">
      <w:pPr>
        <w:pStyle w:val="Equationlegend"/>
        <w:rPr>
          <w:lang w:val="en-GB"/>
        </w:rPr>
      </w:pPr>
      <w:r w:rsidRPr="00FD62C4">
        <w:rPr>
          <w:i/>
          <w:lang w:val="en-GB"/>
        </w:rPr>
        <w:tab/>
      </w:r>
      <m:oMath>
        <m:r>
          <m:rPr>
            <m:sty m:val="p"/>
          </m:rPr>
          <w:rPr>
            <w:rFonts w:ascii="Cambria Math" w:hAnsi="Cambria Math"/>
            <w:lang w:val="en-GB"/>
          </w:rPr>
          <m:t>ε</m:t>
        </m:r>
      </m:oMath>
      <w:r w:rsidRPr="00FD62C4">
        <w:rPr>
          <w:lang w:val="en-GB"/>
        </w:rPr>
        <w:t>:</w:t>
      </w:r>
      <w:r w:rsidRPr="00FD62C4">
        <w:rPr>
          <w:lang w:val="en-GB"/>
        </w:rPr>
        <w:tab/>
        <w:t>tolerable limit for interference potential.</w:t>
      </w:r>
    </w:p>
    <w:p w14:paraId="0D9DDB0B" w14:textId="77777777" w:rsidR="00A812FA" w:rsidRPr="00FD62C4" w:rsidRDefault="00A812FA" w:rsidP="00A812FA">
      <w:pPr>
        <w:rPr>
          <w:lang w:eastAsia="ko-KR"/>
        </w:rPr>
      </w:pPr>
      <w:r w:rsidRPr="00FD62C4">
        <w:rPr>
          <w:lang w:eastAsia="ko-KR"/>
        </w:rPr>
        <w:t>Additionally, spectrum availability can be quantified by the probability that an arbitrary spectrum use unit does not fall within any spectrum use region of the interferers, as less interference potential indicates a greater likelihood that the spectrum is available:</w:t>
      </w:r>
    </w:p>
    <w:p w14:paraId="7BE8E5C5" w14:textId="6BDAB8BE" w:rsidR="00A812FA" w:rsidRPr="00FD62C4" w:rsidRDefault="00A812FA" w:rsidP="00A812FA">
      <w:pPr>
        <w:pStyle w:val="Equation"/>
      </w:pPr>
      <w:r w:rsidRPr="00FD62C4">
        <w:tab/>
      </w:r>
      <w:r w:rsidRPr="00FD62C4">
        <w:tab/>
      </w:r>
      <w:r w:rsidRPr="00FD62C4">
        <w:rPr>
          <w:b/>
          <w:bCs/>
        </w:rPr>
        <w:t>Index</w:t>
      </w:r>
      <w:r w:rsidRPr="00FD62C4">
        <w:t xml:space="preserve">:  </w:t>
      </w:r>
      <m:oMath>
        <m:r>
          <w:rPr>
            <w:rFonts w:ascii="Cambria Math" w:hAnsi="Cambria Math"/>
          </w:rPr>
          <m:t>SA</m:t>
        </m:r>
        <m:sSub>
          <m:sSubPr>
            <m:ctrlPr>
              <w:rPr>
                <w:rFonts w:ascii="Cambria Math" w:hAnsi="Cambria Math"/>
                <w:i/>
              </w:rPr>
            </m:ctrlPr>
          </m:sSubPr>
          <m:e>
            <m:r>
              <w:rPr>
                <w:rFonts w:ascii="Cambria Math" w:hAnsi="Cambria Math"/>
              </w:rPr>
              <m:t>I</m:t>
            </m:r>
          </m:e>
          <m:sub>
            <m:r>
              <w:rPr>
                <w:rFonts w:ascii="Cambria Math" w:hAnsi="Cambria Math"/>
              </w:rPr>
              <m:t>SU</m:t>
            </m:r>
          </m:sub>
        </m:sSub>
        <m:r>
          <w:rPr>
            <w:rFonts w:ascii="Cambria Math" w:hAnsi="Cambria Math"/>
          </w:rPr>
          <m:t>=1-IP</m:t>
        </m:r>
      </m:oMath>
      <w:r w:rsidRPr="00FD62C4">
        <w:tab/>
        <w:t>(I-3)</w:t>
      </w:r>
    </w:p>
    <w:p w14:paraId="30C3C049" w14:textId="77777777" w:rsidR="00A812FA" w:rsidRPr="00FD62C4" w:rsidRDefault="00A812FA" w:rsidP="00A812FA">
      <w:r w:rsidRPr="00FD62C4">
        <w:t>where:</w:t>
      </w:r>
    </w:p>
    <w:p w14:paraId="60B484F6" w14:textId="77777777" w:rsidR="00A812FA" w:rsidRPr="00FD62C4" w:rsidRDefault="00A812FA" w:rsidP="00A812FA">
      <w:pPr>
        <w:pStyle w:val="Equationlegend"/>
        <w:rPr>
          <w:lang w:val="en-GB"/>
        </w:rPr>
      </w:pPr>
      <w:r w:rsidRPr="00FD62C4">
        <w:rPr>
          <w:i/>
          <w:iCs/>
          <w:lang w:val="en-GB"/>
        </w:rPr>
        <w:tab/>
      </w:r>
      <m:oMath>
        <m:r>
          <w:rPr>
            <w:rFonts w:ascii="Cambria Math" w:hAnsi="Cambria Math"/>
            <w:lang w:val="en-GB"/>
          </w:rPr>
          <m:t>SA</m:t>
        </m:r>
        <m:sSub>
          <m:sSubPr>
            <m:ctrlPr>
              <w:rPr>
                <w:rFonts w:ascii="Cambria Math" w:hAnsi="Cambria Math"/>
                <w:i/>
                <w:lang w:val="en-GB"/>
              </w:rPr>
            </m:ctrlPr>
          </m:sSubPr>
          <m:e>
            <m:r>
              <w:rPr>
                <w:rFonts w:ascii="Cambria Math" w:hAnsi="Cambria Math"/>
                <w:lang w:val="en-GB"/>
              </w:rPr>
              <m:t>I</m:t>
            </m:r>
          </m:e>
          <m:sub>
            <m:r>
              <w:rPr>
                <w:rFonts w:ascii="Cambria Math" w:hAnsi="Cambria Math"/>
                <w:lang w:val="en-GB"/>
              </w:rPr>
              <m:t>SU</m:t>
            </m:r>
          </m:sub>
        </m:sSub>
      </m:oMath>
      <w:r w:rsidRPr="00FD62C4">
        <w:rPr>
          <w:lang w:val="en-GB"/>
        </w:rPr>
        <w:t>:</w:t>
      </w:r>
      <w:r w:rsidRPr="00FD62C4">
        <w:rPr>
          <w:i/>
          <w:iCs/>
          <w:lang w:val="en-GB"/>
        </w:rPr>
        <w:tab/>
      </w:r>
      <w:r w:rsidRPr="00FD62C4">
        <w:rPr>
          <w:lang w:val="en-GB"/>
        </w:rPr>
        <w:t xml:space="preserve">spectrum availability index in the case of </w:t>
      </w:r>
      <w:r w:rsidRPr="00FD62C4">
        <w:rPr>
          <w:lang w:val="en-GB" w:eastAsia="ko-KR"/>
        </w:rPr>
        <w:t>“shared use of unlicensed spectrum”</w:t>
      </w:r>
    </w:p>
    <w:p w14:paraId="085DC669" w14:textId="77777777" w:rsidR="00A812FA" w:rsidRPr="00FD62C4" w:rsidRDefault="00A812FA" w:rsidP="00A812FA">
      <w:pPr>
        <w:pStyle w:val="Equationlegend"/>
        <w:rPr>
          <w:lang w:val="en-GB" w:eastAsia="ko-KR"/>
        </w:rPr>
      </w:pPr>
      <w:r w:rsidRPr="00FD62C4">
        <w:rPr>
          <w:i/>
          <w:iCs/>
          <w:lang w:val="en-GB"/>
        </w:rPr>
        <w:tab/>
      </w:r>
      <m:oMath>
        <m:r>
          <w:rPr>
            <w:rFonts w:ascii="Cambria Math" w:hAnsi="Cambria Math"/>
            <w:lang w:val="en-GB"/>
          </w:rPr>
          <m:t>IP</m:t>
        </m:r>
      </m:oMath>
      <w:r w:rsidRPr="00FD62C4">
        <w:rPr>
          <w:lang w:val="en-GB"/>
        </w:rPr>
        <w:t>:</w:t>
      </w:r>
      <w:r w:rsidRPr="00FD62C4">
        <w:rPr>
          <w:i/>
          <w:iCs/>
          <w:lang w:val="en-GB"/>
        </w:rPr>
        <w:tab/>
      </w:r>
      <w:r w:rsidRPr="00FD62C4">
        <w:rPr>
          <w:lang w:val="en-GB"/>
        </w:rPr>
        <w:t>interference potential defined in (C-3)</w:t>
      </w:r>
      <m:oMath>
        <m:r>
          <w:rPr>
            <w:rFonts w:ascii="Cambria Math" w:hAnsi="Cambria Math"/>
            <w:lang w:val="en-GB"/>
          </w:rPr>
          <m:t>.</m:t>
        </m:r>
      </m:oMath>
    </w:p>
    <w:p w14:paraId="109152FC" w14:textId="32D4A977" w:rsidR="00A812FA" w:rsidRPr="00FD62C4" w:rsidRDefault="00A812FA" w:rsidP="00A812FA">
      <w:r w:rsidRPr="00FD62C4">
        <w:rPr>
          <w:lang w:eastAsia="ko-KR"/>
        </w:rPr>
        <w:t xml:space="preserve">To apply the above criterion, it is essential first to determine the method for quantifying the interference potential based on information related to the spectrum sharers and the unlicensed spectrum. This methodology is detailed in </w:t>
      </w:r>
      <w:r w:rsidR="001375D5" w:rsidRPr="00FD62C4">
        <w:rPr>
          <w:lang w:eastAsia="ko-KR"/>
        </w:rPr>
        <w:t>§</w:t>
      </w:r>
      <w:r w:rsidRPr="00FD62C4">
        <w:rPr>
          <w:lang w:eastAsia="ko-KR"/>
        </w:rPr>
        <w:t xml:space="preserve"> A1</w:t>
      </w:r>
      <w:r w:rsidR="007F65FE" w:rsidRPr="00FD62C4">
        <w:rPr>
          <w:lang w:eastAsia="ko-KR"/>
        </w:rPr>
        <w:t>.</w:t>
      </w:r>
      <w:r w:rsidRPr="00FD62C4">
        <w:rPr>
          <w:lang w:eastAsia="ko-KR"/>
        </w:rPr>
        <w:t>3.3.</w:t>
      </w:r>
    </w:p>
    <w:p w14:paraId="322940CD" w14:textId="727082E5" w:rsidR="00A812FA" w:rsidRPr="00FD62C4" w:rsidRDefault="00A812FA" w:rsidP="00F95312">
      <w:pPr>
        <w:pStyle w:val="Heading2"/>
      </w:pPr>
      <w:bookmarkStart w:id="73" w:name="_Toc106624176"/>
      <w:bookmarkStart w:id="74" w:name="_Toc137196263"/>
      <w:bookmarkStart w:id="75" w:name="_Toc167886254"/>
      <w:bookmarkStart w:id="76" w:name="_Toc182401690"/>
      <w:bookmarkStart w:id="77" w:name="_Toc182401807"/>
      <w:bookmarkStart w:id="78" w:name="_Toc232493288"/>
      <w:bookmarkStart w:id="79" w:name="_Toc235620215"/>
      <w:r w:rsidRPr="00FD62C4">
        <w:t>A1</w:t>
      </w:r>
      <w:r w:rsidR="007F65FE" w:rsidRPr="00FD62C4">
        <w:t>.</w:t>
      </w:r>
      <w:r w:rsidRPr="00FD62C4">
        <w:t>3</w:t>
      </w:r>
      <w:r w:rsidRPr="00FD62C4">
        <w:tab/>
        <w:t xml:space="preserve">Methodologies </w:t>
      </w:r>
      <w:bookmarkEnd w:id="73"/>
      <w:bookmarkEnd w:id="74"/>
      <w:bookmarkEnd w:id="75"/>
      <w:r w:rsidRPr="00FD62C4">
        <w:t>and required information</w:t>
      </w:r>
      <w:bookmarkEnd w:id="76"/>
      <w:bookmarkEnd w:id="77"/>
      <w:bookmarkEnd w:id="78"/>
      <w:bookmarkEnd w:id="79"/>
    </w:p>
    <w:p w14:paraId="73A7B53D" w14:textId="7454DA02" w:rsidR="00A812FA" w:rsidRPr="00FD62C4" w:rsidRDefault="00A812FA" w:rsidP="00A812FA">
      <w:pPr>
        <w:rPr>
          <w:lang w:eastAsia="ko-KR"/>
        </w:rPr>
      </w:pPr>
      <w:r w:rsidRPr="00FD62C4">
        <w:rPr>
          <w:lang w:eastAsia="ko-KR"/>
        </w:rPr>
        <w:t xml:space="preserve">This </w:t>
      </w:r>
      <w:r w:rsidR="00500246" w:rsidRPr="00FD62C4">
        <w:rPr>
          <w:lang w:eastAsia="ko-KR"/>
        </w:rPr>
        <w:t>section</w:t>
      </w:r>
      <w:r w:rsidRPr="00FD62C4">
        <w:rPr>
          <w:lang w:eastAsia="ko-KR"/>
        </w:rPr>
        <w:t xml:space="preserve"> provides </w:t>
      </w:r>
      <w:r w:rsidRPr="00FD62C4">
        <w:t xml:space="preserve">abridged methodologies and the required information </w:t>
      </w:r>
      <w:r w:rsidRPr="00FD62C4">
        <w:rPr>
          <w:lang w:eastAsia="ko-KR"/>
        </w:rPr>
        <w:t>for assessing or predicting spectrum availability across different types of spectrum use: exclusive use of licensed spectrum, shared use of licensed spectrum, and shared use of unlicensed spectrum.</w:t>
      </w:r>
    </w:p>
    <w:p w14:paraId="03E0CAEB" w14:textId="25977C5F" w:rsidR="00A812FA" w:rsidRPr="00FD62C4" w:rsidRDefault="00A812FA" w:rsidP="00F95312">
      <w:pPr>
        <w:pStyle w:val="Heading3"/>
      </w:pPr>
      <w:bookmarkStart w:id="80" w:name="_Toc106624177"/>
      <w:bookmarkStart w:id="81" w:name="_Toc137196264"/>
      <w:bookmarkStart w:id="82" w:name="_Toc167886255"/>
      <w:bookmarkStart w:id="83" w:name="_Toc232493289"/>
      <w:bookmarkStart w:id="84" w:name="_Toc235620216"/>
      <w:r w:rsidRPr="00FD62C4">
        <w:t>A1</w:t>
      </w:r>
      <w:r w:rsidR="007F65FE" w:rsidRPr="00FD62C4">
        <w:t>.</w:t>
      </w:r>
      <w:r w:rsidRPr="00FD62C4">
        <w:t>3.1</w:t>
      </w:r>
      <w:r w:rsidRPr="00FD62C4">
        <w:tab/>
        <w:t>Exclusive use of licensed spectrum</w:t>
      </w:r>
      <w:bookmarkEnd w:id="80"/>
      <w:bookmarkEnd w:id="81"/>
      <w:bookmarkEnd w:id="82"/>
      <w:bookmarkEnd w:id="83"/>
      <w:bookmarkEnd w:id="84"/>
    </w:p>
    <w:p w14:paraId="61D54042" w14:textId="7C0D740D" w:rsidR="00A812FA" w:rsidRPr="00FD62C4" w:rsidRDefault="00A812FA" w:rsidP="00A812FA">
      <w:pPr>
        <w:rPr>
          <w:lang w:eastAsia="ko-KR"/>
        </w:rPr>
      </w:pPr>
      <w:r w:rsidRPr="00FD62C4">
        <w:rPr>
          <w:lang w:eastAsia="ko-KR"/>
        </w:rPr>
        <w:t xml:space="preserve">This </w:t>
      </w:r>
      <w:r w:rsidR="00500246" w:rsidRPr="00FD62C4">
        <w:rPr>
          <w:lang w:eastAsia="ko-KR"/>
        </w:rPr>
        <w:t>sub-</w:t>
      </w:r>
      <w:r w:rsidRPr="00FD62C4">
        <w:rPr>
          <w:lang w:eastAsia="ko-KR"/>
        </w:rPr>
        <w:t>section presents an abridged methodology and the required information for assessing or predicting the availability of licensed spectrum for a license owner. In the followings, it is assumed that the license owner operates the system to provide a radiocommunication service, which is composed of units that individually generate traffic or reuse the frequency band.</w:t>
      </w:r>
    </w:p>
    <w:p w14:paraId="4D0F083B" w14:textId="6C9182F1" w:rsidR="00A812FA" w:rsidRPr="00FD62C4" w:rsidRDefault="00A812FA" w:rsidP="00F95312">
      <w:pPr>
        <w:pStyle w:val="Heading4"/>
      </w:pPr>
      <w:bookmarkStart w:id="85" w:name="_Toc176778718"/>
      <w:r w:rsidRPr="00FD62C4">
        <w:t>A1</w:t>
      </w:r>
      <w:r w:rsidR="007F65FE" w:rsidRPr="00FD62C4">
        <w:t>.</w:t>
      </w:r>
      <w:r w:rsidRPr="00FD62C4">
        <w:t>3.1.1</w:t>
      </w:r>
      <w:r w:rsidRPr="00FD62C4">
        <w:tab/>
        <w:t>Required information</w:t>
      </w:r>
      <w:bookmarkEnd w:id="85"/>
    </w:p>
    <w:p w14:paraId="54BB9A9F" w14:textId="77777777" w:rsidR="00A812FA" w:rsidRPr="00FD62C4" w:rsidRDefault="00A812FA" w:rsidP="00A812FA">
      <w:pPr>
        <w:rPr>
          <w:lang w:eastAsia="ko-KR"/>
        </w:rPr>
      </w:pPr>
      <w:r w:rsidRPr="00FD62C4">
        <w:rPr>
          <w:lang w:eastAsia="ko-KR"/>
        </w:rPr>
        <w:t xml:space="preserve">The general steps and required information for assessing spectrum availability in the context of the “exclusive use of licensed spectrum” are shown in Table </w:t>
      </w:r>
      <w:r w:rsidRPr="00FD62C4">
        <w:t>A1-</w:t>
      </w:r>
      <w:r w:rsidRPr="00FD62C4">
        <w:rPr>
          <w:lang w:eastAsia="ko-KR"/>
        </w:rPr>
        <w:t xml:space="preserve">1. To predict spectrum availability, time-accumulated data, such as monthly or annual records of the information in Table </w:t>
      </w:r>
      <w:r w:rsidRPr="00FD62C4">
        <w:t>A1-</w:t>
      </w:r>
      <w:r w:rsidRPr="00FD62C4">
        <w:rPr>
          <w:lang w:eastAsia="ko-KR"/>
        </w:rPr>
        <w:t>1, along with projected timelines related to the Administration’s spectrum assignment plan and technological developments, are required. It should be noted that the required information may vary depending on the specific assessment methodology used.</w:t>
      </w:r>
    </w:p>
    <w:p w14:paraId="3C27A1C6" w14:textId="77777777" w:rsidR="00A812FA" w:rsidRPr="00FD62C4" w:rsidRDefault="00A812FA" w:rsidP="00A812FA">
      <w:pPr>
        <w:pStyle w:val="TableNo"/>
      </w:pPr>
      <w:r w:rsidRPr="00FD62C4">
        <w:lastRenderedPageBreak/>
        <w:t>TABLE A1-1</w:t>
      </w:r>
    </w:p>
    <w:p w14:paraId="577604DE" w14:textId="77777777" w:rsidR="00A812FA" w:rsidRPr="00FD62C4" w:rsidRDefault="00A812FA" w:rsidP="00A812FA">
      <w:pPr>
        <w:pStyle w:val="Tabletitle"/>
      </w:pPr>
      <w:r w:rsidRPr="00FD62C4">
        <w:t xml:space="preserve">Required information for the </w:t>
      </w:r>
      <w:r w:rsidRPr="00FD62C4">
        <w:rPr>
          <w:rFonts w:cs="Times New Roman Bold"/>
        </w:rPr>
        <w:t>“</w:t>
      </w:r>
      <w:r w:rsidRPr="00FD62C4">
        <w:t>exclusive use of licensed spectrum</w:t>
      </w:r>
      <w:r w:rsidRPr="00FD62C4">
        <w:rPr>
          <w:rFonts w:cs="Times New Roman Bold"/>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4A0" w:firstRow="1" w:lastRow="0" w:firstColumn="1" w:lastColumn="0" w:noHBand="0" w:noVBand="1"/>
      </w:tblPr>
      <w:tblGrid>
        <w:gridCol w:w="2263"/>
        <w:gridCol w:w="7230"/>
      </w:tblGrid>
      <w:tr w:rsidR="00A812FA" w:rsidRPr="00FD62C4" w14:paraId="1E5CF721" w14:textId="77777777" w:rsidTr="00A70780">
        <w:trPr>
          <w:tblHeader/>
          <w:jc w:val="center"/>
        </w:trPr>
        <w:tc>
          <w:tcPr>
            <w:tcW w:w="2263" w:type="dxa"/>
            <w:tcBorders>
              <w:top w:val="single" w:sz="4" w:space="0" w:color="auto"/>
              <w:left w:val="single" w:sz="4" w:space="0" w:color="auto"/>
              <w:bottom w:val="single" w:sz="4" w:space="0" w:color="auto"/>
              <w:right w:val="single" w:sz="4" w:space="0" w:color="auto"/>
            </w:tcBorders>
            <w:hideMark/>
          </w:tcPr>
          <w:p w14:paraId="65A58D9D" w14:textId="77777777" w:rsidR="00A812FA" w:rsidRPr="00FD62C4" w:rsidRDefault="00A812FA" w:rsidP="00A70780">
            <w:pPr>
              <w:pStyle w:val="Tablehead"/>
            </w:pPr>
            <w:r w:rsidRPr="00FD62C4">
              <w:t>Step</w:t>
            </w:r>
          </w:p>
        </w:tc>
        <w:tc>
          <w:tcPr>
            <w:tcW w:w="7230" w:type="dxa"/>
            <w:tcBorders>
              <w:top w:val="single" w:sz="4" w:space="0" w:color="auto"/>
              <w:left w:val="single" w:sz="4" w:space="0" w:color="auto"/>
              <w:bottom w:val="single" w:sz="4" w:space="0" w:color="auto"/>
              <w:right w:val="single" w:sz="4" w:space="0" w:color="auto"/>
            </w:tcBorders>
            <w:hideMark/>
          </w:tcPr>
          <w:p w14:paraId="1B36BF7E" w14:textId="77777777" w:rsidR="00A812FA" w:rsidRPr="00FD62C4" w:rsidRDefault="00A812FA" w:rsidP="00A70780">
            <w:pPr>
              <w:pStyle w:val="Tablehead"/>
              <w:rPr>
                <w:lang w:eastAsia="ko-KR"/>
              </w:rPr>
            </w:pPr>
            <w:r w:rsidRPr="00FD62C4">
              <w:rPr>
                <w:lang w:eastAsia="ko-KR"/>
              </w:rPr>
              <w:t>Required information</w:t>
            </w:r>
          </w:p>
        </w:tc>
      </w:tr>
      <w:tr w:rsidR="00A812FA" w:rsidRPr="00FD62C4" w14:paraId="7B3761F5" w14:textId="77777777" w:rsidTr="00A70780">
        <w:trPr>
          <w:jc w:val="center"/>
        </w:trPr>
        <w:tc>
          <w:tcPr>
            <w:tcW w:w="2263" w:type="dxa"/>
            <w:tcBorders>
              <w:top w:val="single" w:sz="4" w:space="0" w:color="auto"/>
              <w:left w:val="single" w:sz="4" w:space="0" w:color="auto"/>
              <w:bottom w:val="single" w:sz="4" w:space="0" w:color="auto"/>
              <w:right w:val="single" w:sz="4" w:space="0" w:color="auto"/>
            </w:tcBorders>
            <w:hideMark/>
          </w:tcPr>
          <w:p w14:paraId="6F8162DC" w14:textId="77777777" w:rsidR="00A812FA" w:rsidRPr="00FD62C4" w:rsidRDefault="00A812FA" w:rsidP="00A70780">
            <w:pPr>
              <w:pStyle w:val="Tabletext"/>
            </w:pPr>
            <w:r w:rsidRPr="00FD62C4">
              <w:rPr>
                <w:lang w:eastAsia="ko-KR"/>
              </w:rPr>
              <w:t xml:space="preserve">Quantification of </w:t>
            </w:r>
            <w:r w:rsidRPr="00FD62C4">
              <w:t xml:space="preserve">spectrum supply </w:t>
            </w:r>
          </w:p>
        </w:tc>
        <w:tc>
          <w:tcPr>
            <w:tcW w:w="7230" w:type="dxa"/>
            <w:tcBorders>
              <w:top w:val="single" w:sz="4" w:space="0" w:color="auto"/>
              <w:left w:val="single" w:sz="4" w:space="0" w:color="auto"/>
              <w:bottom w:val="single" w:sz="4" w:space="0" w:color="auto"/>
              <w:right w:val="single" w:sz="4" w:space="0" w:color="auto"/>
            </w:tcBorders>
            <w:hideMark/>
          </w:tcPr>
          <w:p w14:paraId="51BA82C3" w14:textId="77777777" w:rsidR="00A812FA" w:rsidRPr="00FD62C4" w:rsidRDefault="00A812FA" w:rsidP="00A70780">
            <w:pPr>
              <w:pStyle w:val="Tabletext"/>
              <w:rPr>
                <w:lang w:eastAsia="ko-KR"/>
              </w:rPr>
            </w:pPr>
            <w:r w:rsidRPr="00FD62C4">
              <w:t>–</w:t>
            </w:r>
            <w:r w:rsidRPr="00FD62C4">
              <w:tab/>
            </w:r>
            <w:r w:rsidRPr="00FD62C4">
              <w:rPr>
                <w:lang w:eastAsia="zh-CN"/>
              </w:rPr>
              <w:t xml:space="preserve">Bandwidth </w:t>
            </w:r>
            <m:oMath>
              <m:r>
                <w:rPr>
                  <w:rFonts w:ascii="Cambria Math" w:hAnsi="Cambria Math"/>
                  <w:lang w:eastAsia="ko-KR"/>
                </w:rPr>
                <m:t>B</m:t>
              </m:r>
            </m:oMath>
            <w:r w:rsidRPr="00FD62C4">
              <w:rPr>
                <w:lang w:eastAsia="ko-KR"/>
              </w:rPr>
              <w:t xml:space="preserve"> (in Hz) of the frequency band</w:t>
            </w:r>
          </w:p>
        </w:tc>
      </w:tr>
      <w:tr w:rsidR="00A812FA" w:rsidRPr="00FD62C4" w14:paraId="7F9CCF69" w14:textId="77777777" w:rsidTr="00A70780">
        <w:trPr>
          <w:trHeight w:val="935"/>
          <w:jc w:val="center"/>
        </w:trPr>
        <w:tc>
          <w:tcPr>
            <w:tcW w:w="2263" w:type="dxa"/>
            <w:vMerge w:val="restart"/>
            <w:tcBorders>
              <w:top w:val="single" w:sz="4" w:space="0" w:color="auto"/>
              <w:left w:val="single" w:sz="4" w:space="0" w:color="auto"/>
              <w:right w:val="single" w:sz="4" w:space="0" w:color="auto"/>
            </w:tcBorders>
            <w:hideMark/>
          </w:tcPr>
          <w:p w14:paraId="16B5DC28" w14:textId="77777777" w:rsidR="00A812FA" w:rsidRPr="00FD62C4" w:rsidRDefault="00A812FA" w:rsidP="00A70780">
            <w:pPr>
              <w:pStyle w:val="Tabletext"/>
            </w:pPr>
            <w:r w:rsidRPr="00FD62C4">
              <w:t>Quantification of spectrum demand</w:t>
            </w:r>
          </w:p>
        </w:tc>
        <w:tc>
          <w:tcPr>
            <w:tcW w:w="7230" w:type="dxa"/>
            <w:tcBorders>
              <w:top w:val="single" w:sz="4" w:space="0" w:color="auto"/>
              <w:left w:val="single" w:sz="4" w:space="0" w:color="auto"/>
              <w:bottom w:val="single" w:sz="4" w:space="0" w:color="auto"/>
              <w:right w:val="single" w:sz="4" w:space="0" w:color="auto"/>
            </w:tcBorders>
            <w:hideMark/>
          </w:tcPr>
          <w:p w14:paraId="59CBB097" w14:textId="77777777" w:rsidR="00A812FA" w:rsidRPr="00FD62C4" w:rsidRDefault="00A812FA" w:rsidP="00A70780">
            <w:pPr>
              <w:pStyle w:val="Tabletext"/>
              <w:rPr>
                <w:lang w:eastAsia="ko-KR"/>
              </w:rPr>
            </w:pPr>
            <w:r w:rsidRPr="00FD62C4">
              <w:t xml:space="preserve">If traffic can be measured: </w:t>
            </w:r>
          </w:p>
          <w:p w14:paraId="76426453" w14:textId="1707D738" w:rsidR="00A812FA" w:rsidRPr="00FD62C4" w:rsidRDefault="00A812FA" w:rsidP="00A70780">
            <w:pPr>
              <w:pStyle w:val="Tabletext"/>
              <w:rPr>
                <w:lang w:eastAsia="zh-CN"/>
              </w:rPr>
            </w:pPr>
            <w:r w:rsidRPr="00FD62C4">
              <w:rPr>
                <w:lang w:eastAsia="ko-KR"/>
              </w:rPr>
              <w:t>–</w:t>
            </w:r>
            <w:r w:rsidRPr="00FD62C4">
              <w:rPr>
                <w:lang w:eastAsia="ko-KR"/>
              </w:rPr>
              <w:tab/>
            </w:r>
            <w:r w:rsidRPr="00FD62C4">
              <w:rPr>
                <w:lang w:eastAsia="zh-CN"/>
              </w:rPr>
              <w:t xml:space="preserve">Traffic </w:t>
            </w:r>
            <m:oMath>
              <m:sSub>
                <m:sSubPr>
                  <m:ctrlPr>
                    <w:rPr>
                      <w:rFonts w:ascii="Cambria Math" w:hAnsi="Cambria Math"/>
                      <w:i/>
                      <w:lang w:eastAsia="ko-KR"/>
                    </w:rPr>
                  </m:ctrlPr>
                </m:sSubPr>
                <m:e>
                  <m:r>
                    <w:rPr>
                      <w:rFonts w:ascii="Cambria Math" w:hAnsi="Cambria Math"/>
                      <w:lang w:eastAsia="ko-KR"/>
                    </w:rPr>
                    <m:t>T</m:t>
                  </m:r>
                </m:e>
                <m:sub>
                  <m:r>
                    <w:rPr>
                      <w:rFonts w:ascii="Cambria Math" w:hAnsi="Cambria Math"/>
                      <w:lang w:eastAsia="ko-KR"/>
                    </w:rPr>
                    <m:t>(u)</m:t>
                  </m:r>
                </m:sub>
              </m:sSub>
            </m:oMath>
            <w:r w:rsidRPr="00FD62C4">
              <w:rPr>
                <w:lang w:eastAsia="zh-CN"/>
              </w:rPr>
              <w:t xml:space="preserve"> </w:t>
            </w:r>
            <w:r w:rsidRPr="00FD62C4">
              <w:rPr>
                <w:lang w:eastAsia="ko-KR"/>
              </w:rPr>
              <w:t>(in b</w:t>
            </w:r>
            <w:r w:rsidR="005E23FA" w:rsidRPr="00FD62C4">
              <w:rPr>
                <w:lang w:eastAsia="ko-KR"/>
              </w:rPr>
              <w:t>it/</w:t>
            </w:r>
            <w:r w:rsidRPr="00FD62C4">
              <w:rPr>
                <w:lang w:eastAsia="ko-KR"/>
              </w:rPr>
              <w:t xml:space="preserve">s) </w:t>
            </w:r>
            <w:r w:rsidRPr="00FD62C4">
              <w:rPr>
                <w:lang w:eastAsia="zh-CN"/>
              </w:rPr>
              <w:t xml:space="preserve">generated by each unit </w:t>
            </w:r>
            <m:oMath>
              <m:r>
                <w:rPr>
                  <w:rFonts w:ascii="Cambria Math" w:hAnsi="Cambria Math"/>
                  <w:lang w:eastAsia="ko-KR"/>
                </w:rPr>
                <m:t>u</m:t>
              </m:r>
            </m:oMath>
            <w:r w:rsidRPr="00FD62C4">
              <w:rPr>
                <w:lang w:eastAsia="ko-KR"/>
              </w:rPr>
              <w:t xml:space="preserve"> generating traffic.</w:t>
            </w:r>
          </w:p>
          <w:p w14:paraId="6C0FAB54" w14:textId="77777777" w:rsidR="00A812FA" w:rsidRPr="00FD62C4" w:rsidRDefault="00A812FA" w:rsidP="00A70780">
            <w:pPr>
              <w:pStyle w:val="Tabletext"/>
              <w:rPr>
                <w:lang w:eastAsia="ko-KR"/>
              </w:rPr>
            </w:pPr>
            <w:r w:rsidRPr="00FD62C4">
              <w:rPr>
                <w:lang w:eastAsia="ko-KR"/>
              </w:rPr>
              <w:t>Alternatively:</w:t>
            </w:r>
          </w:p>
          <w:p w14:paraId="302C9400" w14:textId="3BED0D37" w:rsidR="00A812FA" w:rsidRPr="00FD62C4" w:rsidRDefault="00A812FA" w:rsidP="00A70780">
            <w:pPr>
              <w:pStyle w:val="Tabletext"/>
              <w:rPr>
                <w:lang w:eastAsia="ko-KR"/>
              </w:rPr>
            </w:pPr>
            <w:r w:rsidRPr="00FD62C4">
              <w:rPr>
                <w:lang w:eastAsia="ko-KR"/>
              </w:rPr>
              <w:t>–</w:t>
            </w:r>
            <w:r w:rsidRPr="00FD62C4">
              <w:rPr>
                <w:lang w:eastAsia="ko-KR"/>
              </w:rPr>
              <w:tab/>
              <w:t xml:space="preserve">Average traffic </w:t>
            </w:r>
            <m:oMath>
              <m:sSub>
                <m:sSubPr>
                  <m:ctrlPr>
                    <w:rPr>
                      <w:rFonts w:ascii="Cambria Math" w:hAnsi="Cambria Math"/>
                      <w:i/>
                      <w:lang w:eastAsia="ko-KR"/>
                    </w:rPr>
                  </m:ctrlPr>
                </m:sSubPr>
                <m:e>
                  <m:r>
                    <w:rPr>
                      <w:rFonts w:ascii="Cambria Math" w:hAnsi="Cambria Math"/>
                      <w:lang w:eastAsia="ko-KR"/>
                    </w:rPr>
                    <m:t>T</m:t>
                  </m:r>
                </m:e>
                <m:sub>
                  <m:r>
                    <w:rPr>
                      <w:rFonts w:ascii="Cambria Math" w:hAnsi="Cambria Math"/>
                      <w:lang w:eastAsia="ko-KR"/>
                    </w:rPr>
                    <m:t>avg</m:t>
                  </m:r>
                </m:sub>
              </m:sSub>
            </m:oMath>
            <w:r w:rsidRPr="00FD62C4">
              <w:rPr>
                <w:lang w:eastAsia="ko-KR"/>
              </w:rPr>
              <w:t xml:space="preserve"> (in b</w:t>
            </w:r>
            <w:r w:rsidR="005E23FA" w:rsidRPr="00FD62C4">
              <w:rPr>
                <w:lang w:eastAsia="ko-KR"/>
              </w:rPr>
              <w:t>it/</w:t>
            </w:r>
            <w:r w:rsidRPr="00FD62C4">
              <w:rPr>
                <w:lang w:eastAsia="ko-KR"/>
              </w:rPr>
              <w:t>s) per unit generating traffic, and</w:t>
            </w:r>
          </w:p>
          <w:p w14:paraId="39369FCA" w14:textId="77777777" w:rsidR="00A812FA" w:rsidRPr="00FD62C4" w:rsidRDefault="00A812FA" w:rsidP="00A70780">
            <w:pPr>
              <w:pStyle w:val="Tabletext"/>
              <w:rPr>
                <w:lang w:eastAsia="ko-KR"/>
              </w:rPr>
            </w:pPr>
            <w:r w:rsidRPr="00FD62C4">
              <w:rPr>
                <w:lang w:eastAsia="ko-KR"/>
              </w:rPr>
              <w:t>–</w:t>
            </w:r>
            <w:r w:rsidRPr="00FD62C4">
              <w:rPr>
                <w:lang w:eastAsia="ko-KR"/>
              </w:rPr>
              <w:tab/>
              <w:t xml:space="preserve">Number of units generating traffic </w:t>
            </w:r>
            <m:oMath>
              <m:sSub>
                <m:sSubPr>
                  <m:ctrlPr>
                    <w:rPr>
                      <w:rFonts w:ascii="Cambria Math" w:hAnsi="Cambria Math"/>
                      <w:i/>
                      <w:lang w:eastAsia="ko-KR"/>
                    </w:rPr>
                  </m:ctrlPr>
                </m:sSubPr>
                <m:e>
                  <m:r>
                    <w:rPr>
                      <w:rFonts w:ascii="Cambria Math" w:hAnsi="Cambria Math"/>
                      <w:lang w:eastAsia="ko-KR"/>
                    </w:rPr>
                    <m:t>N</m:t>
                  </m:r>
                </m:e>
                <m:sub>
                  <m:r>
                    <w:rPr>
                      <w:rFonts w:ascii="Cambria Math" w:hAnsi="Cambria Math"/>
                      <w:lang w:eastAsia="ko-KR"/>
                    </w:rPr>
                    <m:t>T</m:t>
                  </m:r>
                </m:sub>
              </m:sSub>
            </m:oMath>
            <w:r w:rsidRPr="00FD62C4">
              <w:rPr>
                <w:lang w:eastAsia="ko-KR"/>
              </w:rPr>
              <w:t>.</w:t>
            </w:r>
          </w:p>
        </w:tc>
      </w:tr>
      <w:tr w:rsidR="00A812FA" w:rsidRPr="00FD62C4" w14:paraId="18A12E82" w14:textId="77777777" w:rsidTr="00A70780">
        <w:trPr>
          <w:trHeight w:val="666"/>
          <w:jc w:val="center"/>
        </w:trPr>
        <w:tc>
          <w:tcPr>
            <w:tcW w:w="2263" w:type="dxa"/>
            <w:vMerge/>
            <w:tcBorders>
              <w:left w:val="single" w:sz="4" w:space="0" w:color="auto"/>
              <w:right w:val="single" w:sz="4" w:space="0" w:color="auto"/>
            </w:tcBorders>
          </w:tcPr>
          <w:p w14:paraId="3DCDF6D7" w14:textId="77777777" w:rsidR="00A812FA" w:rsidRPr="00FD62C4" w:rsidRDefault="00A812FA" w:rsidP="00A70780">
            <w:pPr>
              <w:pStyle w:val="Tabletext"/>
            </w:pPr>
          </w:p>
        </w:tc>
        <w:tc>
          <w:tcPr>
            <w:tcW w:w="7230" w:type="dxa"/>
            <w:tcBorders>
              <w:top w:val="single" w:sz="4" w:space="0" w:color="auto"/>
              <w:left w:val="single" w:sz="4" w:space="0" w:color="auto"/>
              <w:bottom w:val="single" w:sz="4" w:space="0" w:color="auto"/>
              <w:right w:val="single" w:sz="4" w:space="0" w:color="auto"/>
            </w:tcBorders>
          </w:tcPr>
          <w:p w14:paraId="21836E26" w14:textId="77777777" w:rsidR="00A812FA" w:rsidRPr="00FD62C4" w:rsidRDefault="00A812FA" w:rsidP="00A70780">
            <w:pPr>
              <w:pStyle w:val="Tabletext"/>
              <w:rPr>
                <w:lang w:eastAsia="ko-KR"/>
              </w:rPr>
            </w:pPr>
            <w:r w:rsidRPr="00FD62C4">
              <w:rPr>
                <w:lang w:eastAsia="ko-KR"/>
              </w:rPr>
              <w:t>If spectrum usage can be measured:</w:t>
            </w:r>
          </w:p>
          <w:p w14:paraId="4A256BB0" w14:textId="77777777" w:rsidR="00A812FA" w:rsidRPr="00FD62C4" w:rsidRDefault="00A812FA" w:rsidP="00A70780">
            <w:pPr>
              <w:pStyle w:val="Tabletext"/>
              <w:rPr>
                <w:lang w:eastAsia="ko-KR"/>
              </w:rPr>
            </w:pPr>
            <w:r w:rsidRPr="00FD62C4">
              <w:rPr>
                <w:lang w:eastAsia="ko-KR"/>
              </w:rPr>
              <w:t>–</w:t>
            </w:r>
            <w:r w:rsidRPr="00FD62C4">
              <w:rPr>
                <w:lang w:eastAsia="ko-KR"/>
              </w:rPr>
              <w:tab/>
              <w:t xml:space="preserve">Spectrum usage </w:t>
            </w:r>
            <m:oMath>
              <m:sSub>
                <m:sSubPr>
                  <m:ctrlPr>
                    <w:rPr>
                      <w:rFonts w:ascii="Cambria Math" w:hAnsi="Cambria Math"/>
                      <w:i/>
                      <w:lang w:eastAsia="ko-KR"/>
                    </w:rPr>
                  </m:ctrlPr>
                </m:sSubPr>
                <m:e>
                  <m:r>
                    <w:rPr>
                      <w:rFonts w:ascii="Cambria Math" w:hAnsi="Cambria Math"/>
                      <w:lang w:eastAsia="ko-KR"/>
                    </w:rPr>
                    <m:t>R</m:t>
                  </m:r>
                </m:e>
                <m:sub>
                  <m:r>
                    <w:rPr>
                      <w:rFonts w:ascii="Cambria Math" w:hAnsi="Cambria Math"/>
                      <w:lang w:eastAsia="ko-KR"/>
                    </w:rPr>
                    <m:t>(u)</m:t>
                  </m:r>
                </m:sub>
              </m:sSub>
            </m:oMath>
            <w:r w:rsidRPr="00FD62C4">
              <w:rPr>
                <w:lang w:eastAsia="ko-KR"/>
              </w:rPr>
              <w:t xml:space="preserve"> (in Hz) of each unit </w:t>
            </w:r>
            <m:oMath>
              <m:r>
                <w:rPr>
                  <w:rFonts w:ascii="Cambria Math" w:hAnsi="Cambria Math"/>
                  <w:lang w:eastAsia="ko-KR"/>
                </w:rPr>
                <m:t>u</m:t>
              </m:r>
            </m:oMath>
            <w:r w:rsidRPr="00FD62C4">
              <w:rPr>
                <w:lang w:eastAsia="ko-KR"/>
              </w:rPr>
              <w:t xml:space="preserve"> reusing the frequency band.</w:t>
            </w:r>
          </w:p>
        </w:tc>
      </w:tr>
      <w:tr w:rsidR="00A812FA" w:rsidRPr="00FD62C4" w14:paraId="3368730B" w14:textId="77777777" w:rsidTr="00A70780">
        <w:trPr>
          <w:trHeight w:val="601"/>
          <w:jc w:val="center"/>
        </w:trPr>
        <w:tc>
          <w:tcPr>
            <w:tcW w:w="2263" w:type="dxa"/>
            <w:vMerge/>
            <w:tcBorders>
              <w:left w:val="single" w:sz="4" w:space="0" w:color="auto"/>
              <w:bottom w:val="single" w:sz="4" w:space="0" w:color="auto"/>
              <w:right w:val="single" w:sz="4" w:space="0" w:color="auto"/>
            </w:tcBorders>
          </w:tcPr>
          <w:p w14:paraId="7A81F675" w14:textId="77777777" w:rsidR="00A812FA" w:rsidRPr="00FD62C4" w:rsidRDefault="00A812FA" w:rsidP="00A70780">
            <w:pPr>
              <w:pStyle w:val="Tabletext"/>
            </w:pPr>
          </w:p>
        </w:tc>
        <w:tc>
          <w:tcPr>
            <w:tcW w:w="7230" w:type="dxa"/>
            <w:tcBorders>
              <w:top w:val="single" w:sz="4" w:space="0" w:color="auto"/>
              <w:left w:val="single" w:sz="4" w:space="0" w:color="auto"/>
              <w:bottom w:val="single" w:sz="4" w:space="0" w:color="auto"/>
              <w:right w:val="single" w:sz="4" w:space="0" w:color="auto"/>
            </w:tcBorders>
          </w:tcPr>
          <w:p w14:paraId="66D8E069" w14:textId="77777777" w:rsidR="00A812FA" w:rsidRPr="00FD62C4" w:rsidRDefault="00A812FA" w:rsidP="00A70780">
            <w:pPr>
              <w:pStyle w:val="Tabletext"/>
              <w:rPr>
                <w:lang w:eastAsia="ko-KR"/>
              </w:rPr>
            </w:pPr>
            <w:r w:rsidRPr="00FD62C4">
              <w:rPr>
                <w:lang w:eastAsia="ko-KR"/>
              </w:rPr>
              <w:t>If traffic and spectrum usage cannot be measured:</w:t>
            </w:r>
          </w:p>
          <w:p w14:paraId="29260A5E" w14:textId="77777777" w:rsidR="00A812FA" w:rsidRPr="00FD62C4" w:rsidRDefault="00A812FA" w:rsidP="00A70780">
            <w:pPr>
              <w:pStyle w:val="Tabletext"/>
            </w:pPr>
            <w:r w:rsidRPr="00FD62C4">
              <w:rPr>
                <w:lang w:eastAsia="ko-KR"/>
              </w:rPr>
              <w:t>–</w:t>
            </w:r>
            <w:r w:rsidRPr="00FD62C4">
              <w:rPr>
                <w:lang w:eastAsia="ko-KR"/>
              </w:rPr>
              <w:tab/>
              <w:t xml:space="preserve">Necessary bandwidth </w:t>
            </w:r>
            <m:oMath>
              <m:sSub>
                <m:sSubPr>
                  <m:ctrlPr>
                    <w:rPr>
                      <w:rFonts w:ascii="Cambria Math" w:hAnsi="Cambria Math"/>
                      <w:i/>
                      <w:lang w:eastAsia="ko-KR"/>
                    </w:rPr>
                  </m:ctrlPr>
                </m:sSubPr>
                <m:e>
                  <m:r>
                    <w:rPr>
                      <w:rFonts w:ascii="Cambria Math" w:hAnsi="Cambria Math"/>
                      <w:lang w:eastAsia="ko-KR"/>
                    </w:rPr>
                    <m:t>B</m:t>
                  </m:r>
                </m:e>
                <m:sub>
                  <m:r>
                    <w:rPr>
                      <w:rFonts w:ascii="Cambria Math" w:hAnsi="Cambria Math"/>
                      <w:lang w:eastAsia="ko-KR"/>
                    </w:rPr>
                    <m:t>N</m:t>
                  </m:r>
                </m:sub>
              </m:sSub>
            </m:oMath>
            <w:r w:rsidRPr="00FD62C4">
              <w:rPr>
                <w:lang w:eastAsia="ko-KR"/>
              </w:rPr>
              <w:t xml:space="preserve"> (in Hz).</w:t>
            </w:r>
          </w:p>
        </w:tc>
      </w:tr>
      <w:tr w:rsidR="00A812FA" w:rsidRPr="00FD62C4" w14:paraId="6A5CF7DD" w14:textId="77777777" w:rsidTr="00A70780">
        <w:trPr>
          <w:jc w:val="center"/>
        </w:trPr>
        <w:tc>
          <w:tcPr>
            <w:tcW w:w="2263" w:type="dxa"/>
            <w:tcBorders>
              <w:top w:val="single" w:sz="4" w:space="0" w:color="auto"/>
              <w:left w:val="single" w:sz="4" w:space="0" w:color="auto"/>
              <w:bottom w:val="single" w:sz="4" w:space="0" w:color="auto"/>
              <w:right w:val="single" w:sz="4" w:space="0" w:color="auto"/>
            </w:tcBorders>
            <w:hideMark/>
          </w:tcPr>
          <w:p w14:paraId="49123DFE" w14:textId="77777777" w:rsidR="00A812FA" w:rsidRPr="00FD62C4" w:rsidRDefault="00A812FA" w:rsidP="00A70780">
            <w:pPr>
              <w:pStyle w:val="Tabletext"/>
              <w:rPr>
                <w:lang w:eastAsia="ko-KR"/>
              </w:rPr>
            </w:pPr>
            <w:r w:rsidRPr="00FD62C4">
              <w:t>Conversion of quantities for unit consistency</w:t>
            </w:r>
          </w:p>
        </w:tc>
        <w:tc>
          <w:tcPr>
            <w:tcW w:w="7230" w:type="dxa"/>
            <w:tcBorders>
              <w:top w:val="single" w:sz="4" w:space="0" w:color="auto"/>
              <w:left w:val="single" w:sz="4" w:space="0" w:color="auto"/>
              <w:bottom w:val="single" w:sz="4" w:space="0" w:color="auto"/>
              <w:right w:val="single" w:sz="4" w:space="0" w:color="auto"/>
            </w:tcBorders>
            <w:hideMark/>
          </w:tcPr>
          <w:p w14:paraId="5BE120AC" w14:textId="16F279A5" w:rsidR="00A812FA" w:rsidRPr="00FD62C4" w:rsidRDefault="00A812FA" w:rsidP="00A70780">
            <w:pPr>
              <w:pStyle w:val="Tabletext"/>
              <w:rPr>
                <w:lang w:eastAsia="ko-KR"/>
              </w:rPr>
            </w:pPr>
            <w:r w:rsidRPr="00FD62C4">
              <w:rPr>
                <w:lang w:eastAsia="ko-KR"/>
              </w:rPr>
              <w:t>–</w:t>
            </w:r>
            <w:r w:rsidRPr="00FD62C4">
              <w:rPr>
                <w:lang w:eastAsia="ko-KR"/>
              </w:rPr>
              <w:tab/>
              <w:t xml:space="preserve">Spectral efficiency </w:t>
            </w:r>
            <m:oMath>
              <m:r>
                <w:rPr>
                  <w:rFonts w:ascii="Cambria Math" w:hAnsi="Cambria Math"/>
                  <w:lang w:eastAsia="ko-KR"/>
                </w:rPr>
                <m:t>E</m:t>
              </m:r>
            </m:oMath>
            <w:r w:rsidRPr="00FD62C4">
              <w:rPr>
                <w:lang w:eastAsia="ko-KR"/>
              </w:rPr>
              <w:t xml:space="preserve"> (in b</w:t>
            </w:r>
            <w:r w:rsidR="00EF4155" w:rsidRPr="00FD62C4">
              <w:rPr>
                <w:lang w:eastAsia="ko-KR"/>
              </w:rPr>
              <w:t>it/</w:t>
            </w:r>
            <w:r w:rsidRPr="00FD62C4">
              <w:rPr>
                <w:lang w:eastAsia="ko-KR"/>
              </w:rPr>
              <w:t>s/Hz).</w:t>
            </w:r>
          </w:p>
          <w:p w14:paraId="66AF59CC" w14:textId="77777777" w:rsidR="00A812FA" w:rsidRPr="00FD62C4" w:rsidRDefault="00A812FA" w:rsidP="00A70780">
            <w:pPr>
              <w:pStyle w:val="Tabletext"/>
              <w:rPr>
                <w:lang w:eastAsia="ko-KR"/>
              </w:rPr>
            </w:pPr>
            <w:r w:rsidRPr="00FD62C4">
              <w:rPr>
                <w:lang w:eastAsia="ko-KR"/>
              </w:rPr>
              <w:t>–</w:t>
            </w:r>
            <w:r w:rsidRPr="00FD62C4">
              <w:rPr>
                <w:lang w:eastAsia="ko-KR"/>
              </w:rPr>
              <w:tab/>
              <w:t xml:space="preserve">Spectrum reuse number </w:t>
            </w:r>
            <m:oMath>
              <m:sSub>
                <m:sSubPr>
                  <m:ctrlPr>
                    <w:rPr>
                      <w:rFonts w:ascii="Cambria Math" w:hAnsi="Cambria Math"/>
                      <w:i/>
                      <w:lang w:eastAsia="ko-KR"/>
                    </w:rPr>
                  </m:ctrlPr>
                </m:sSubPr>
                <m:e>
                  <m:r>
                    <w:rPr>
                      <w:rFonts w:ascii="Cambria Math" w:hAnsi="Cambria Math"/>
                      <w:lang w:eastAsia="ko-KR"/>
                    </w:rPr>
                    <m:t>N</m:t>
                  </m:r>
                </m:e>
                <m:sub>
                  <m:r>
                    <w:rPr>
                      <w:rFonts w:ascii="Cambria Math" w:hAnsi="Cambria Math"/>
                      <w:lang w:eastAsia="ko-KR"/>
                    </w:rPr>
                    <m:t>R</m:t>
                  </m:r>
                </m:sub>
              </m:sSub>
            </m:oMath>
            <w:r w:rsidRPr="00FD62C4">
              <w:rPr>
                <w:lang w:eastAsia="ko-KR"/>
              </w:rPr>
              <w:t xml:space="preserve"> of the system.</w:t>
            </w:r>
          </w:p>
          <w:p w14:paraId="7014D5DA" w14:textId="77777777" w:rsidR="00A812FA" w:rsidRPr="00FD62C4" w:rsidRDefault="00A812FA" w:rsidP="00254D24">
            <w:pPr>
              <w:pStyle w:val="Tabletext"/>
              <w:ind w:left="284" w:hanging="284"/>
            </w:pPr>
            <w:r w:rsidRPr="00FD62C4">
              <w:rPr>
                <w:lang w:eastAsia="ko-KR"/>
              </w:rPr>
              <w:t>–</w:t>
            </w:r>
            <w:r w:rsidRPr="00FD62C4">
              <w:rPr>
                <w:lang w:eastAsia="ko-KR"/>
              </w:rPr>
              <w:tab/>
              <w:t>Other information that may be required depending on the conversion method.</w:t>
            </w:r>
          </w:p>
        </w:tc>
      </w:tr>
      <w:tr w:rsidR="00A812FA" w:rsidRPr="00FD62C4" w14:paraId="212E4512" w14:textId="77777777" w:rsidTr="00A70780">
        <w:trPr>
          <w:jc w:val="center"/>
        </w:trPr>
        <w:tc>
          <w:tcPr>
            <w:tcW w:w="2263" w:type="dxa"/>
            <w:tcBorders>
              <w:top w:val="single" w:sz="4" w:space="0" w:color="auto"/>
              <w:left w:val="single" w:sz="4" w:space="0" w:color="auto"/>
              <w:bottom w:val="single" w:sz="4" w:space="0" w:color="auto"/>
              <w:right w:val="single" w:sz="4" w:space="0" w:color="auto"/>
            </w:tcBorders>
          </w:tcPr>
          <w:p w14:paraId="0B9DDA3E" w14:textId="77777777" w:rsidR="00A812FA" w:rsidRPr="00FD62C4" w:rsidRDefault="00A812FA" w:rsidP="00A70780">
            <w:pPr>
              <w:pStyle w:val="Tabletext"/>
              <w:rPr>
                <w:lang w:eastAsia="ko-KR"/>
              </w:rPr>
            </w:pPr>
            <w:r w:rsidRPr="00FD62C4">
              <w:rPr>
                <w:lang w:eastAsia="ko-KR"/>
              </w:rPr>
              <w:t>Comparison of spectrum supply and demand</w:t>
            </w:r>
          </w:p>
        </w:tc>
        <w:tc>
          <w:tcPr>
            <w:tcW w:w="7230" w:type="dxa"/>
            <w:tcBorders>
              <w:top w:val="single" w:sz="4" w:space="0" w:color="auto"/>
              <w:left w:val="single" w:sz="4" w:space="0" w:color="auto"/>
              <w:bottom w:val="single" w:sz="4" w:space="0" w:color="auto"/>
              <w:right w:val="single" w:sz="4" w:space="0" w:color="auto"/>
            </w:tcBorders>
          </w:tcPr>
          <w:p w14:paraId="41CA20CA" w14:textId="5BBA54E8" w:rsidR="00A812FA" w:rsidRPr="00FD62C4" w:rsidRDefault="00A812FA" w:rsidP="00A70780">
            <w:pPr>
              <w:pStyle w:val="Tabletext"/>
              <w:rPr>
                <w:lang w:eastAsia="zh-CN"/>
              </w:rPr>
            </w:pPr>
            <w:r w:rsidRPr="00FD62C4">
              <w:rPr>
                <w:lang w:eastAsia="ko-KR"/>
              </w:rPr>
              <w:t>–</w:t>
            </w:r>
            <w:r w:rsidRPr="00FD62C4">
              <w:rPr>
                <w:lang w:eastAsia="ko-KR"/>
              </w:rPr>
              <w:tab/>
              <w:t xml:space="preserve">The supply </w:t>
            </w:r>
            <m:oMath>
              <m:r>
                <w:rPr>
                  <w:rFonts w:ascii="Cambria Math" w:hAnsi="Cambria Math"/>
                </w:rPr>
                <m:t>S</m:t>
              </m:r>
            </m:oMath>
            <w:r w:rsidRPr="00FD62C4">
              <w:rPr>
                <w:lang w:eastAsia="ko-KR"/>
              </w:rPr>
              <w:t xml:space="preserve"> (in Hz or b</w:t>
            </w:r>
            <w:r w:rsidR="00BB603F" w:rsidRPr="00FD62C4">
              <w:rPr>
                <w:lang w:eastAsia="ko-KR"/>
              </w:rPr>
              <w:t>it/</w:t>
            </w:r>
            <w:r w:rsidRPr="00FD62C4">
              <w:rPr>
                <w:lang w:eastAsia="ko-KR"/>
              </w:rPr>
              <w:t>s), as quantified in the previous steps.</w:t>
            </w:r>
          </w:p>
          <w:p w14:paraId="0258BBEE" w14:textId="03E18671" w:rsidR="00A812FA" w:rsidRPr="00FD62C4" w:rsidRDefault="00A812FA" w:rsidP="00A70780">
            <w:pPr>
              <w:pStyle w:val="Tabletext"/>
              <w:rPr>
                <w:lang w:eastAsia="ko-KR"/>
              </w:rPr>
            </w:pPr>
            <w:r w:rsidRPr="00FD62C4">
              <w:rPr>
                <w:lang w:eastAsia="zh-CN"/>
              </w:rPr>
              <w:t>–</w:t>
            </w:r>
            <w:r w:rsidRPr="00FD62C4">
              <w:rPr>
                <w:lang w:eastAsia="zh-CN"/>
              </w:rPr>
              <w:tab/>
              <w:t xml:space="preserve">The demand </w:t>
            </w:r>
            <m:oMath>
              <m:r>
                <w:rPr>
                  <w:rFonts w:ascii="Cambria Math" w:hAnsi="Cambria Math"/>
                </w:rPr>
                <m:t>D</m:t>
              </m:r>
            </m:oMath>
            <w:r w:rsidRPr="00FD62C4">
              <w:rPr>
                <w:lang w:eastAsia="ko-KR"/>
              </w:rPr>
              <w:t xml:space="preserve"> (in Hz or b</w:t>
            </w:r>
            <w:r w:rsidR="00BB603F" w:rsidRPr="00FD62C4">
              <w:rPr>
                <w:lang w:eastAsia="ko-KR"/>
              </w:rPr>
              <w:t>it/</w:t>
            </w:r>
            <w:r w:rsidRPr="00FD62C4">
              <w:rPr>
                <w:lang w:eastAsia="ko-KR"/>
              </w:rPr>
              <w:t>s), as quantified in the previous steps.</w:t>
            </w:r>
          </w:p>
        </w:tc>
      </w:tr>
    </w:tbl>
    <w:p w14:paraId="071C9272" w14:textId="77777777" w:rsidR="00A812FA" w:rsidRPr="00FD62C4" w:rsidRDefault="00A812FA" w:rsidP="00A812FA">
      <w:pPr>
        <w:pStyle w:val="Tablefin"/>
      </w:pPr>
      <w:bookmarkStart w:id="86" w:name="_Toc176778716"/>
    </w:p>
    <w:p w14:paraId="6E2ACDCB" w14:textId="6E6C173E" w:rsidR="00A812FA" w:rsidRPr="00FD62C4" w:rsidRDefault="00A812FA" w:rsidP="00F91225">
      <w:pPr>
        <w:pStyle w:val="Heading4"/>
      </w:pPr>
      <w:r w:rsidRPr="00FD62C4">
        <w:t>A1</w:t>
      </w:r>
      <w:r w:rsidR="007F65FE" w:rsidRPr="00FD62C4">
        <w:t>.</w:t>
      </w:r>
      <w:r w:rsidRPr="00FD62C4">
        <w:t>3.1.2</w:t>
      </w:r>
      <w:r w:rsidRPr="00FD62C4">
        <w:tab/>
        <w:t>Assessment</w:t>
      </w:r>
      <w:bookmarkEnd w:id="86"/>
      <w:r w:rsidRPr="00FD62C4">
        <w:t xml:space="preserve"> methodology</w:t>
      </w:r>
    </w:p>
    <w:p w14:paraId="7B25CF4A" w14:textId="77777777" w:rsidR="00A812FA" w:rsidRPr="00FD62C4" w:rsidRDefault="00A812FA" w:rsidP="00A812FA">
      <w:pPr>
        <w:rPr>
          <w:lang w:eastAsia="ko-KR"/>
        </w:rPr>
      </w:pPr>
      <w:r w:rsidRPr="00FD62C4">
        <w:rPr>
          <w:lang w:eastAsia="ko-KR"/>
        </w:rPr>
        <w:t>The following provides a detailed explanation of each step introduced in the previous section for assessing spectrum availability in the context of the “exclusive use of licensed spectrum”</w:t>
      </w:r>
      <w:r w:rsidRPr="00FD62C4">
        <w:rPr>
          <w:rStyle w:val="FootnoteReference"/>
          <w:lang w:eastAsia="ko-KR"/>
        </w:rPr>
        <w:footnoteReference w:id="4"/>
      </w:r>
      <w:r w:rsidRPr="00FD62C4">
        <w:rPr>
          <w:lang w:eastAsia="ko-KR"/>
        </w:rPr>
        <w:t>.</w:t>
      </w:r>
    </w:p>
    <w:p w14:paraId="748E5579" w14:textId="1FC7C84D" w:rsidR="00A812FA" w:rsidRPr="00FD62C4" w:rsidRDefault="00A812FA" w:rsidP="005E2A2B">
      <w:pPr>
        <w:pStyle w:val="enumlev1"/>
        <w:rPr>
          <w:lang w:eastAsia="zh-CN"/>
        </w:rPr>
      </w:pPr>
      <w:r w:rsidRPr="00FD62C4">
        <w:rPr>
          <w:lang w:eastAsia="zh-CN"/>
        </w:rPr>
        <w:t>1)</w:t>
      </w:r>
      <w:r w:rsidRPr="00FD62C4">
        <w:rPr>
          <w:lang w:eastAsia="zh-CN"/>
        </w:rPr>
        <w:tab/>
        <w:t>Quantification of spectrum supply</w:t>
      </w:r>
    </w:p>
    <w:p w14:paraId="1371EC16" w14:textId="77777777" w:rsidR="00A812FA" w:rsidRPr="00FD62C4" w:rsidRDefault="00A812FA" w:rsidP="00A812FA">
      <w:pPr>
        <w:pStyle w:val="enumlev1"/>
        <w:rPr>
          <w:lang w:eastAsia="zh-CN"/>
        </w:rPr>
      </w:pPr>
      <w:r w:rsidRPr="00FD62C4">
        <w:rPr>
          <w:lang w:eastAsia="zh-CN"/>
        </w:rPr>
        <w:tab/>
        <w:t xml:space="preserve">Spectrum supply of the licensed spectrum can be quantified by its frequency bandwidth, denoted as </w:t>
      </w:r>
      <m:oMath>
        <m:r>
          <w:rPr>
            <w:rFonts w:ascii="Cambria Math" w:hAnsi="Cambria Math"/>
            <w:lang w:eastAsia="ko-KR"/>
          </w:rPr>
          <m:t>B</m:t>
        </m:r>
      </m:oMath>
      <w:r w:rsidRPr="00FD62C4">
        <w:rPr>
          <w:lang w:eastAsia="ko-KR"/>
        </w:rPr>
        <w:t xml:space="preserve"> (in Hz)</w:t>
      </w:r>
      <w:r w:rsidRPr="00FD62C4">
        <w:rPr>
          <w:lang w:eastAsia="zh-CN"/>
        </w:rPr>
        <w:t>, as determined by information of the Administration’s spectrum assignment plan.</w:t>
      </w:r>
    </w:p>
    <w:p w14:paraId="147AB57A" w14:textId="57E200EE" w:rsidR="00A812FA" w:rsidRPr="00FD62C4" w:rsidRDefault="00A812FA" w:rsidP="005E2A2B">
      <w:pPr>
        <w:pStyle w:val="enumlev1"/>
        <w:rPr>
          <w:lang w:eastAsia="zh-CN"/>
        </w:rPr>
      </w:pPr>
      <w:r w:rsidRPr="00FD62C4">
        <w:rPr>
          <w:lang w:eastAsia="zh-CN"/>
        </w:rPr>
        <w:t>2)</w:t>
      </w:r>
      <w:r w:rsidRPr="00FD62C4">
        <w:rPr>
          <w:lang w:eastAsia="zh-CN"/>
        </w:rPr>
        <w:tab/>
        <w:t>Quantification of spectrum demand</w:t>
      </w:r>
    </w:p>
    <w:p w14:paraId="4290C69D" w14:textId="38D2EB2B" w:rsidR="00A812FA" w:rsidRPr="00FD62C4" w:rsidRDefault="00A812FA" w:rsidP="00A812FA">
      <w:pPr>
        <w:pStyle w:val="enumlev1"/>
        <w:rPr>
          <w:lang w:eastAsia="zh-CN"/>
        </w:rPr>
      </w:pPr>
      <w:r w:rsidRPr="00FD62C4">
        <w:rPr>
          <w:lang w:eastAsia="zh-CN"/>
        </w:rPr>
        <w:tab/>
        <w:t xml:space="preserve">If the amount of traffic generated by the system can be measured, spectrum demand can be quantified using the total generated traffic amount, denoted as </w:t>
      </w:r>
      <m:oMath>
        <m:r>
          <w:rPr>
            <w:rFonts w:ascii="Cambria Math" w:hAnsi="Cambria Math"/>
            <w:lang w:eastAsia="ko-KR"/>
          </w:rPr>
          <m:t>T</m:t>
        </m:r>
      </m:oMath>
      <w:r w:rsidRPr="00FD62C4">
        <w:rPr>
          <w:lang w:eastAsia="ko-KR"/>
        </w:rPr>
        <w:t xml:space="preserve"> (in b</w:t>
      </w:r>
      <w:r w:rsidR="00E84E0D" w:rsidRPr="00FD62C4">
        <w:rPr>
          <w:lang w:eastAsia="ko-KR"/>
        </w:rPr>
        <w:t>it/</w:t>
      </w:r>
      <w:r w:rsidRPr="00FD62C4">
        <w:rPr>
          <w:lang w:eastAsia="ko-KR"/>
        </w:rPr>
        <w:t>s)</w:t>
      </w:r>
      <w:r w:rsidRPr="00FD62C4">
        <w:rPr>
          <w:lang w:eastAsia="zh-CN"/>
        </w:rPr>
        <w:t xml:space="preserve">. The total traffic amount </w:t>
      </w:r>
      <m:oMath>
        <m:r>
          <w:rPr>
            <w:rFonts w:ascii="Cambria Math" w:hAnsi="Cambria Math"/>
            <w:lang w:eastAsia="ko-KR"/>
          </w:rPr>
          <m:t>T</m:t>
        </m:r>
      </m:oMath>
      <w:r w:rsidRPr="00FD62C4">
        <w:rPr>
          <w:i/>
          <w:lang w:eastAsia="zh-CN"/>
        </w:rPr>
        <w:t xml:space="preserve"> </w:t>
      </w:r>
      <w:r w:rsidRPr="00FD62C4">
        <w:rPr>
          <w:lang w:eastAsia="zh-CN"/>
        </w:rPr>
        <w:t>can be calculated using the following equation and information</w:t>
      </w:r>
      <w:r w:rsidRPr="00FD62C4">
        <w:rPr>
          <w:rStyle w:val="FootnoteReference"/>
          <w:lang w:eastAsia="zh-CN"/>
        </w:rPr>
        <w:footnoteReference w:id="5"/>
      </w:r>
      <w:r w:rsidRPr="00FD62C4">
        <w:rPr>
          <w:lang w:eastAsia="zh-CN"/>
        </w:rPr>
        <w:t>:</w:t>
      </w:r>
    </w:p>
    <w:p w14:paraId="47203ED7" w14:textId="1F5C7AE2" w:rsidR="00A812FA" w:rsidRPr="00FD62C4" w:rsidRDefault="00A812FA" w:rsidP="00A812FA">
      <w:pPr>
        <w:pStyle w:val="Equation"/>
      </w:pPr>
      <w:r w:rsidRPr="00FD62C4">
        <w:tab/>
      </w:r>
      <w:r w:rsidRPr="00FD62C4">
        <w:tab/>
      </w:r>
      <m:oMath>
        <m:r>
          <w:rPr>
            <w:rFonts w:ascii="Cambria Math" w:hAnsi="Cambria Math"/>
          </w:rPr>
          <m:t>T=</m:t>
        </m:r>
        <m:nary>
          <m:naryPr>
            <m:chr m:val="∑"/>
            <m:limLoc m:val="subSup"/>
            <m:supHide m:val="1"/>
            <m:ctrlPr>
              <w:rPr>
                <w:rFonts w:ascii="Cambria Math" w:hAnsi="Cambria Math"/>
                <w:i/>
              </w:rPr>
            </m:ctrlPr>
          </m:naryPr>
          <m:sub>
            <m:r>
              <w:rPr>
                <w:rFonts w:ascii="Cambria Math" w:hAnsi="Cambria Math"/>
              </w:rPr>
              <m:t>u</m:t>
            </m:r>
          </m:sub>
          <m:sup/>
          <m:e>
            <m:sSub>
              <m:sSubPr>
                <m:ctrlPr>
                  <w:rPr>
                    <w:rFonts w:ascii="Cambria Math" w:hAnsi="Cambria Math"/>
                    <w:i/>
                  </w:rPr>
                </m:ctrlPr>
              </m:sSubPr>
              <m:e>
                <m:r>
                  <w:rPr>
                    <w:rFonts w:ascii="Cambria Math" w:hAnsi="Cambria Math"/>
                  </w:rPr>
                  <m:t>T</m:t>
                </m:r>
              </m:e>
              <m:sub>
                <m:r>
                  <w:rPr>
                    <w:rFonts w:ascii="Cambria Math" w:hAnsi="Cambria Math"/>
                  </w:rPr>
                  <m:t>(u)</m:t>
                </m:r>
              </m:sub>
            </m:sSub>
          </m:e>
        </m:nary>
        <m:r>
          <w:rPr>
            <w:rFonts w:ascii="Cambria Math" w:hAnsi="Cambria Math"/>
            <w:lang w:eastAsia="ko-KR"/>
          </w:rPr>
          <m:t>=</m:t>
        </m:r>
        <m:sSub>
          <m:sSubPr>
            <m:ctrlPr>
              <w:rPr>
                <w:rFonts w:ascii="Cambria Math" w:hAnsi="Cambria Math"/>
                <w:i/>
                <w:lang w:eastAsia="ko-KR"/>
              </w:rPr>
            </m:ctrlPr>
          </m:sSubPr>
          <m:e>
            <m:r>
              <w:rPr>
                <w:rFonts w:ascii="Cambria Math" w:hAnsi="Cambria Math"/>
                <w:lang w:eastAsia="ko-KR"/>
              </w:rPr>
              <m:t>T</m:t>
            </m:r>
          </m:e>
          <m:sub>
            <m:r>
              <w:rPr>
                <w:rFonts w:ascii="Cambria Math" w:hAnsi="Cambria Math"/>
                <w:lang w:eastAsia="ko-KR"/>
              </w:rPr>
              <m:t>avg</m:t>
            </m:r>
          </m:sub>
        </m:sSub>
        <m:sSub>
          <m:sSubPr>
            <m:ctrlPr>
              <w:rPr>
                <w:rFonts w:ascii="Cambria Math" w:hAnsi="Cambria Math"/>
                <w:i/>
                <w:lang w:eastAsia="ko-KR"/>
              </w:rPr>
            </m:ctrlPr>
          </m:sSubPr>
          <m:e>
            <m:r>
              <w:rPr>
                <w:rFonts w:ascii="Cambria Math" w:hAnsi="Cambria Math"/>
                <w:lang w:eastAsia="ko-KR"/>
              </w:rPr>
              <m:t>N</m:t>
            </m:r>
          </m:e>
          <m:sub>
            <m:r>
              <w:rPr>
                <w:rFonts w:ascii="Cambria Math" w:hAnsi="Cambria Math"/>
                <w:lang w:eastAsia="ko-KR"/>
              </w:rPr>
              <m:t>T</m:t>
            </m:r>
          </m:sub>
        </m:sSub>
      </m:oMath>
      <w:r w:rsidRPr="00FD62C4">
        <w:tab/>
        <w:t>(</w:t>
      </w:r>
      <w:r w:rsidR="00783B40" w:rsidRPr="00FD62C4">
        <w:t>A1</w:t>
      </w:r>
      <w:r w:rsidRPr="00FD62C4">
        <w:t>-1)</w:t>
      </w:r>
    </w:p>
    <w:p w14:paraId="3B1794B9" w14:textId="77777777" w:rsidR="00A812FA" w:rsidRPr="00FD62C4" w:rsidRDefault="00A812FA" w:rsidP="00A812FA">
      <w:pPr>
        <w:keepNext/>
      </w:pPr>
      <w:r w:rsidRPr="00FD62C4">
        <w:tab/>
        <w:t>where:</w:t>
      </w:r>
    </w:p>
    <w:p w14:paraId="12B15626" w14:textId="34937A84" w:rsidR="00A812FA" w:rsidRPr="00FD62C4" w:rsidRDefault="00A812FA" w:rsidP="00A812FA">
      <w:pPr>
        <w:pStyle w:val="Equationlegend"/>
        <w:rPr>
          <w:lang w:val="en-GB"/>
        </w:rPr>
      </w:pPr>
      <w:r w:rsidRPr="00FD62C4">
        <w:rPr>
          <w:i/>
          <w:lang w:val="en-GB"/>
        </w:rPr>
        <w:tab/>
      </w:r>
      <m:oMath>
        <m:r>
          <w:rPr>
            <w:rFonts w:ascii="Cambria Math" w:hAnsi="Cambria Math"/>
            <w:lang w:val="en-GB"/>
          </w:rPr>
          <m:t>T</m:t>
        </m:r>
      </m:oMath>
      <w:r w:rsidRPr="00FD62C4">
        <w:rPr>
          <w:lang w:val="en-GB"/>
        </w:rPr>
        <w:t>:</w:t>
      </w:r>
      <w:r w:rsidRPr="00FD62C4">
        <w:rPr>
          <w:lang w:val="en-GB"/>
        </w:rPr>
        <w:tab/>
        <w:t>total traffic amount of the system (in b</w:t>
      </w:r>
      <w:r w:rsidR="00E84E0D" w:rsidRPr="00FD62C4">
        <w:rPr>
          <w:lang w:val="en-GB"/>
        </w:rPr>
        <w:t>it/</w:t>
      </w:r>
      <w:r w:rsidRPr="00FD62C4">
        <w:rPr>
          <w:lang w:val="en-GB"/>
        </w:rPr>
        <w:t>s)</w:t>
      </w:r>
    </w:p>
    <w:p w14:paraId="3842BA95" w14:textId="37C37701" w:rsidR="00A812FA" w:rsidRPr="00FD62C4" w:rsidRDefault="00A812FA" w:rsidP="00A812FA">
      <w:pPr>
        <w:pStyle w:val="Equationlegend"/>
        <w:rPr>
          <w:lang w:val="en-GB"/>
        </w:rPr>
      </w:pPr>
      <w:r w:rsidRPr="00FD62C4">
        <w:rPr>
          <w:i/>
          <w:lang w:val="en-GB"/>
        </w:rPr>
        <w:tab/>
      </w:r>
      <m:oMath>
        <m:nary>
          <m:naryPr>
            <m:chr m:val="∑"/>
            <m:limLoc m:val="subSup"/>
            <m:supHide m:val="1"/>
            <m:ctrlPr>
              <w:rPr>
                <w:rFonts w:ascii="Cambria Math" w:hAnsi="Cambria Math"/>
                <w:i/>
                <w:lang w:val="en-GB"/>
              </w:rPr>
            </m:ctrlPr>
          </m:naryPr>
          <m:sub>
            <m:r>
              <w:rPr>
                <w:rFonts w:ascii="Cambria Math" w:hAnsi="Cambria Math"/>
                <w:lang w:val="en-GB"/>
              </w:rPr>
              <m:t>u</m:t>
            </m:r>
          </m:sub>
          <m:sup/>
          <m:e>
            <m:sSub>
              <m:sSubPr>
                <m:ctrlPr>
                  <w:rPr>
                    <w:rFonts w:ascii="Cambria Math" w:hAnsi="Cambria Math"/>
                    <w:i/>
                    <w:lang w:val="en-GB"/>
                  </w:rPr>
                </m:ctrlPr>
              </m:sSubPr>
              <m:e>
                <m:r>
                  <w:rPr>
                    <w:rFonts w:ascii="Cambria Math" w:hAnsi="Cambria Math"/>
                    <w:lang w:val="en-GB"/>
                  </w:rPr>
                  <m:t>T</m:t>
                </m:r>
              </m:e>
              <m:sub>
                <m:r>
                  <w:rPr>
                    <w:rFonts w:ascii="Cambria Math" w:hAnsi="Cambria Math"/>
                    <w:lang w:val="en-GB"/>
                  </w:rPr>
                  <m:t>(u)</m:t>
                </m:r>
              </m:sub>
            </m:sSub>
          </m:e>
        </m:nary>
      </m:oMath>
      <w:r w:rsidRPr="00FD62C4">
        <w:rPr>
          <w:lang w:val="en-GB"/>
        </w:rPr>
        <w:t>:</w:t>
      </w:r>
      <w:r w:rsidR="00254D24" w:rsidRPr="00FD62C4">
        <w:rPr>
          <w:lang w:val="en-GB"/>
        </w:rPr>
        <w:tab/>
      </w:r>
      <w:r w:rsidRPr="00FD62C4">
        <w:rPr>
          <w:lang w:val="en-GB"/>
        </w:rPr>
        <w:t xml:space="preserve">sum of all values of </w:t>
      </w:r>
      <m:oMath>
        <m:sSub>
          <m:sSubPr>
            <m:ctrlPr>
              <w:rPr>
                <w:rFonts w:ascii="Cambria Math" w:hAnsi="Cambria Math"/>
                <w:i/>
                <w:lang w:val="en-GB"/>
              </w:rPr>
            </m:ctrlPr>
          </m:sSubPr>
          <m:e>
            <m:r>
              <w:rPr>
                <w:rFonts w:ascii="Cambria Math" w:hAnsi="Cambria Math"/>
                <w:lang w:val="en-GB"/>
              </w:rPr>
              <m:t>T</m:t>
            </m:r>
          </m:e>
          <m:sub>
            <m:r>
              <w:rPr>
                <w:rFonts w:ascii="Cambria Math" w:hAnsi="Cambria Math"/>
                <w:lang w:val="en-GB"/>
              </w:rPr>
              <m:t>(u)</m:t>
            </m:r>
          </m:sub>
        </m:sSub>
      </m:oMath>
    </w:p>
    <w:p w14:paraId="72FCCA9B" w14:textId="44BDD443" w:rsidR="00A812FA" w:rsidRPr="00FD62C4" w:rsidRDefault="00A812FA" w:rsidP="00A812FA">
      <w:pPr>
        <w:pStyle w:val="Equationlegend"/>
        <w:rPr>
          <w:lang w:val="en-GB" w:eastAsia="ko-KR"/>
        </w:rPr>
      </w:pPr>
      <w:r w:rsidRPr="00FD62C4">
        <w:rPr>
          <w:i/>
          <w:lang w:val="en-GB"/>
        </w:rPr>
        <w:lastRenderedPageBreak/>
        <w:tab/>
      </w:r>
      <m:oMath>
        <m:sSub>
          <m:sSubPr>
            <m:ctrlPr>
              <w:rPr>
                <w:rFonts w:ascii="Cambria Math" w:hAnsi="Cambria Math"/>
                <w:i/>
                <w:lang w:val="en-GB" w:eastAsia="ko-KR"/>
              </w:rPr>
            </m:ctrlPr>
          </m:sSubPr>
          <m:e>
            <m:r>
              <w:rPr>
                <w:rFonts w:ascii="Cambria Math" w:hAnsi="Cambria Math"/>
                <w:lang w:val="en-GB" w:eastAsia="ko-KR"/>
              </w:rPr>
              <m:t>T</m:t>
            </m:r>
          </m:e>
          <m:sub>
            <m:r>
              <w:rPr>
                <w:rFonts w:ascii="Cambria Math" w:hAnsi="Cambria Math"/>
                <w:lang w:val="en-GB" w:eastAsia="ko-KR"/>
              </w:rPr>
              <m:t>(u)</m:t>
            </m:r>
          </m:sub>
        </m:sSub>
      </m:oMath>
      <w:r w:rsidRPr="00FD62C4">
        <w:rPr>
          <w:lang w:val="en-GB"/>
        </w:rPr>
        <w:t>:</w:t>
      </w:r>
      <w:r w:rsidRPr="00FD62C4">
        <w:rPr>
          <w:lang w:val="en-GB"/>
        </w:rPr>
        <w:tab/>
        <w:t xml:space="preserve">traffic amount of unit </w:t>
      </w:r>
      <m:oMath>
        <m:r>
          <w:rPr>
            <w:rFonts w:ascii="Cambria Math" w:hAnsi="Cambria Math"/>
            <w:lang w:val="en-GB"/>
          </w:rPr>
          <m:t>u</m:t>
        </m:r>
      </m:oMath>
      <w:r w:rsidRPr="00FD62C4">
        <w:rPr>
          <w:lang w:val="en-GB" w:eastAsia="ko-KR"/>
        </w:rPr>
        <w:t xml:space="preserve"> generating traffic (in b</w:t>
      </w:r>
      <w:r w:rsidR="00E84E0D" w:rsidRPr="00FD62C4">
        <w:rPr>
          <w:lang w:val="en-GB" w:eastAsia="ko-KR"/>
        </w:rPr>
        <w:t>it/</w:t>
      </w:r>
      <w:r w:rsidRPr="00FD62C4">
        <w:rPr>
          <w:lang w:val="en-GB" w:eastAsia="ko-KR"/>
        </w:rPr>
        <w:t>s)</w:t>
      </w:r>
    </w:p>
    <w:p w14:paraId="66F58C66" w14:textId="2074DC03" w:rsidR="00A812FA" w:rsidRPr="00FD62C4" w:rsidRDefault="00A812FA" w:rsidP="00A812FA">
      <w:pPr>
        <w:pStyle w:val="Equationlegend"/>
        <w:rPr>
          <w:lang w:val="en-GB"/>
        </w:rPr>
      </w:pPr>
      <w:r w:rsidRPr="00FD62C4">
        <w:rPr>
          <w:i/>
          <w:lang w:val="en-GB"/>
        </w:rPr>
        <w:tab/>
      </w:r>
      <m:oMath>
        <m:sSub>
          <m:sSubPr>
            <m:ctrlPr>
              <w:rPr>
                <w:rFonts w:ascii="Cambria Math" w:hAnsi="Cambria Math"/>
                <w:i/>
                <w:lang w:val="en-GB" w:eastAsia="ko-KR"/>
              </w:rPr>
            </m:ctrlPr>
          </m:sSubPr>
          <m:e>
            <m:r>
              <w:rPr>
                <w:rFonts w:ascii="Cambria Math" w:hAnsi="Cambria Math"/>
                <w:lang w:val="en-GB" w:eastAsia="ko-KR"/>
              </w:rPr>
              <m:t>T</m:t>
            </m:r>
          </m:e>
          <m:sub>
            <m:r>
              <w:rPr>
                <w:rFonts w:ascii="Cambria Math" w:hAnsi="Cambria Math"/>
                <w:lang w:val="en-GB" w:eastAsia="ko-KR"/>
              </w:rPr>
              <m:t>avg</m:t>
            </m:r>
          </m:sub>
        </m:sSub>
      </m:oMath>
      <w:r w:rsidRPr="00FD62C4">
        <w:rPr>
          <w:lang w:val="en-GB"/>
        </w:rPr>
        <w:t>:</w:t>
      </w:r>
      <w:r w:rsidRPr="00FD62C4">
        <w:rPr>
          <w:lang w:val="en-GB"/>
        </w:rPr>
        <w:tab/>
        <w:t>average traffic amount per unit (in b</w:t>
      </w:r>
      <w:r w:rsidR="00E84E0D" w:rsidRPr="00FD62C4">
        <w:rPr>
          <w:lang w:val="en-GB"/>
        </w:rPr>
        <w:t>it/</w:t>
      </w:r>
      <w:r w:rsidRPr="00FD62C4">
        <w:rPr>
          <w:lang w:val="en-GB"/>
        </w:rPr>
        <w:t>s)</w:t>
      </w:r>
    </w:p>
    <w:p w14:paraId="75181B10" w14:textId="13434AE2" w:rsidR="00A812FA" w:rsidRPr="00FD62C4" w:rsidRDefault="00A812FA" w:rsidP="00A812FA">
      <w:pPr>
        <w:pStyle w:val="Equationlegend"/>
        <w:rPr>
          <w:lang w:val="en-GB"/>
        </w:rPr>
      </w:pPr>
      <w:r w:rsidRPr="00FD62C4">
        <w:rPr>
          <w:i/>
          <w:lang w:val="en-GB"/>
        </w:rPr>
        <w:tab/>
      </w:r>
      <m:oMath>
        <m:sSub>
          <m:sSubPr>
            <m:ctrlPr>
              <w:rPr>
                <w:rFonts w:ascii="Cambria Math" w:hAnsi="Cambria Math"/>
                <w:i/>
                <w:lang w:val="en-GB"/>
              </w:rPr>
            </m:ctrlPr>
          </m:sSubPr>
          <m:e>
            <m:r>
              <w:rPr>
                <w:rFonts w:ascii="Cambria Math" w:hAnsi="Cambria Math"/>
                <w:lang w:val="en-GB"/>
              </w:rPr>
              <m:t>N</m:t>
            </m:r>
          </m:e>
          <m:sub>
            <m:r>
              <w:rPr>
                <w:rFonts w:ascii="Cambria Math" w:hAnsi="Cambria Math"/>
                <w:lang w:val="en-GB"/>
              </w:rPr>
              <m:t>T</m:t>
            </m:r>
          </m:sub>
        </m:sSub>
      </m:oMath>
      <w:r w:rsidRPr="00FD62C4">
        <w:rPr>
          <w:lang w:val="en-GB"/>
        </w:rPr>
        <w:t>:</w:t>
      </w:r>
      <w:r w:rsidRPr="00FD62C4">
        <w:rPr>
          <w:lang w:val="en-GB"/>
        </w:rPr>
        <w:tab/>
        <w:t>number of units generating traffic.</w:t>
      </w:r>
    </w:p>
    <w:p w14:paraId="38D3383D" w14:textId="77777777" w:rsidR="00A812FA" w:rsidRPr="00FD62C4" w:rsidRDefault="00A812FA" w:rsidP="00A812FA">
      <w:pPr>
        <w:pStyle w:val="enumlev1"/>
        <w:rPr>
          <w:lang w:eastAsia="zh-CN"/>
        </w:rPr>
      </w:pPr>
      <w:r w:rsidRPr="00FD62C4">
        <w:rPr>
          <w:lang w:eastAsia="zh-CN"/>
        </w:rPr>
        <w:tab/>
        <w:t xml:space="preserve">If the amount of spectrum used by the system can be measured, the spectrum usage of the system, denoted as </w:t>
      </w:r>
      <w:r w:rsidRPr="00FD62C4">
        <w:rPr>
          <w:i/>
          <w:lang w:eastAsia="zh-CN"/>
        </w:rPr>
        <w:t>R</w:t>
      </w:r>
      <w:r w:rsidRPr="00FD62C4">
        <w:rPr>
          <w:lang w:eastAsia="zh-CN"/>
        </w:rPr>
        <w:t xml:space="preserve"> (in Hz), can be also used to quantify spectrum demand</w:t>
      </w:r>
      <w:r w:rsidRPr="00FD62C4">
        <w:rPr>
          <w:rStyle w:val="FootnoteReference"/>
          <w:rFonts w:eastAsiaTheme="minorEastAsia"/>
          <w:lang w:eastAsia="zh-CN"/>
        </w:rPr>
        <w:footnoteReference w:id="6"/>
      </w:r>
      <w:r w:rsidRPr="00FD62C4">
        <w:rPr>
          <w:lang w:eastAsia="zh-CN"/>
        </w:rPr>
        <w:t xml:space="preserve">. For systems where measuring the generated traffic and spectrum usage is impractical, </w:t>
      </w:r>
      <w:r w:rsidRPr="00FD62C4">
        <w:rPr>
          <w:rFonts w:eastAsiaTheme="minorEastAsia"/>
          <w:lang w:eastAsia="zh-CN"/>
        </w:rPr>
        <w:t>necessary bandwidth (in Hz) can serve as an alternative to spectrum usage</w:t>
      </w:r>
      <w:r w:rsidRPr="00FD62C4">
        <w:rPr>
          <w:rStyle w:val="FootnoteReference"/>
          <w:rFonts w:eastAsiaTheme="minorEastAsia"/>
          <w:lang w:eastAsia="zh-CN"/>
        </w:rPr>
        <w:footnoteReference w:id="7"/>
      </w:r>
      <w:r w:rsidRPr="00FD62C4">
        <w:rPr>
          <w:rFonts w:eastAsiaTheme="minorEastAsia"/>
          <w:lang w:eastAsia="zh-CN"/>
        </w:rPr>
        <w:t xml:space="preserve">. The spectrum usage of the system </w:t>
      </w:r>
      <w:r w:rsidRPr="00FD62C4">
        <w:rPr>
          <w:i/>
          <w:lang w:eastAsia="zh-CN"/>
        </w:rPr>
        <w:t>R</w:t>
      </w:r>
      <w:r w:rsidRPr="00FD62C4">
        <w:rPr>
          <w:rFonts w:eastAsiaTheme="minorEastAsia"/>
          <w:lang w:eastAsia="zh-CN"/>
        </w:rPr>
        <w:t xml:space="preserve"> can be estimated using the following equation and information:</w:t>
      </w:r>
    </w:p>
    <w:p w14:paraId="1A2146B7" w14:textId="77590375" w:rsidR="00A812FA" w:rsidRPr="00FD62C4" w:rsidRDefault="00A812FA" w:rsidP="00A812FA">
      <w:pPr>
        <w:pStyle w:val="Equation"/>
      </w:pPr>
      <w:r w:rsidRPr="00FD62C4">
        <w:tab/>
      </w:r>
      <w:r w:rsidRPr="00FD62C4">
        <w:tab/>
      </w:r>
      <m:oMath>
        <m:r>
          <w:rPr>
            <w:rFonts w:ascii="Cambria Math" w:hAnsi="Cambria Math"/>
          </w:rPr>
          <m:t>R=</m:t>
        </m:r>
        <m:d>
          <m:dPr>
            <m:begChr m:val="{"/>
            <m:endChr m:val=""/>
            <m:ctrlPr>
              <w:rPr>
                <w:rFonts w:ascii="Cambria Math" w:hAnsi="Cambria Math"/>
                <w:i/>
              </w:rPr>
            </m:ctrlPr>
          </m:dPr>
          <m:e>
            <m:eqArr>
              <m:eqArrPr>
                <m:ctrlPr>
                  <w:rPr>
                    <w:rFonts w:ascii="Cambria Math" w:hAnsi="Cambria Math"/>
                    <w:i/>
                  </w:rPr>
                </m:ctrlPr>
              </m:eqArrPr>
              <m:e>
                <m:r>
                  <m:rPr>
                    <m:sty m:val="p"/>
                  </m:rPr>
                  <w:rPr>
                    <w:rFonts w:ascii="Cambria Math" w:hAnsi="Cambria Math"/>
                    <w:lang w:eastAsia="zh-CN"/>
                  </w:rPr>
                  <m:t>Representative value of</m:t>
                </m:r>
                <m:r>
                  <w:rPr>
                    <w:rFonts w:ascii="Cambria Math" w:hAnsi="Cambria Math"/>
                    <w:lang w:eastAsia="zh-CN"/>
                  </w:rPr>
                  <m:t xml:space="preserve"> </m:t>
                </m:r>
                <m:sSub>
                  <m:sSubPr>
                    <m:ctrlPr>
                      <w:rPr>
                        <w:rFonts w:ascii="Cambria Math" w:hAnsi="Cambria Math"/>
                        <w:i/>
                        <w:lang w:eastAsia="zh-CN"/>
                      </w:rPr>
                    </m:ctrlPr>
                  </m:sSubPr>
                  <m:e>
                    <m:r>
                      <w:rPr>
                        <w:rFonts w:ascii="Cambria Math" w:hAnsi="Cambria Math"/>
                        <w:lang w:eastAsia="zh-CN"/>
                      </w:rPr>
                      <m:t>R</m:t>
                    </m:r>
                  </m:e>
                  <m:sub>
                    <m:r>
                      <w:rPr>
                        <w:rFonts w:ascii="Cambria Math" w:hAnsi="Cambria Math"/>
                        <w:lang w:eastAsia="zh-CN"/>
                      </w:rPr>
                      <m:t>(u)</m:t>
                    </m:r>
                  </m:sub>
                </m:sSub>
              </m:e>
              <m:e>
                <m:sSub>
                  <m:sSubPr>
                    <m:ctrlPr>
                      <w:rPr>
                        <w:rFonts w:ascii="Cambria Math" w:hAnsi="Cambria Math"/>
                        <w:i/>
                      </w:rPr>
                    </m:ctrlPr>
                  </m:sSubPr>
                  <m:e>
                    <m:r>
                      <w:rPr>
                        <w:rFonts w:ascii="Cambria Math" w:hAnsi="Cambria Math"/>
                      </w:rPr>
                      <m:t>B</m:t>
                    </m:r>
                  </m:e>
                  <m:sub>
                    <m:r>
                      <w:rPr>
                        <w:rFonts w:ascii="Cambria Math" w:hAnsi="Cambria Math"/>
                      </w:rPr>
                      <m:t>N</m:t>
                    </m:r>
                  </m:sub>
                </m:sSub>
              </m:e>
            </m:eqArr>
          </m:e>
        </m:d>
      </m:oMath>
      <w:r w:rsidRPr="00FD62C4">
        <w:tab/>
        <w:t>(</w:t>
      </w:r>
      <w:r w:rsidR="00783B40" w:rsidRPr="00FD62C4">
        <w:t>A1</w:t>
      </w:r>
      <w:r w:rsidRPr="00FD62C4">
        <w:t>-2)</w:t>
      </w:r>
    </w:p>
    <w:p w14:paraId="09A2AA0F" w14:textId="77777777" w:rsidR="00A812FA" w:rsidRPr="00FD62C4" w:rsidRDefault="00A812FA" w:rsidP="00A812FA">
      <w:pPr>
        <w:keepNext/>
      </w:pPr>
      <w:r w:rsidRPr="00FD62C4">
        <w:tab/>
        <w:t>where:</w:t>
      </w:r>
    </w:p>
    <w:p w14:paraId="4062B12E" w14:textId="2A268E4B" w:rsidR="00A812FA" w:rsidRPr="00FD62C4" w:rsidRDefault="00A812FA" w:rsidP="00A812FA">
      <w:pPr>
        <w:pStyle w:val="Equationlegend"/>
        <w:rPr>
          <w:lang w:val="en-GB"/>
        </w:rPr>
      </w:pPr>
      <w:r w:rsidRPr="00FD62C4">
        <w:rPr>
          <w:i/>
          <w:lang w:val="en-GB"/>
        </w:rPr>
        <w:tab/>
      </w:r>
      <m:oMath>
        <m:r>
          <w:rPr>
            <w:rFonts w:ascii="Cambria Math" w:hAnsi="Cambria Math"/>
            <w:lang w:val="en-GB"/>
          </w:rPr>
          <m:t>R</m:t>
        </m:r>
      </m:oMath>
      <w:r w:rsidRPr="00FD62C4">
        <w:rPr>
          <w:lang w:val="en-GB"/>
        </w:rPr>
        <w:t>:</w:t>
      </w:r>
      <w:r w:rsidRPr="00FD62C4">
        <w:rPr>
          <w:lang w:val="en-GB"/>
        </w:rPr>
        <w:tab/>
        <w:t>spectrum usage of the system (in Hz)</w:t>
      </w:r>
    </w:p>
    <w:p w14:paraId="2534003D" w14:textId="2BB534B0" w:rsidR="00A812FA" w:rsidRPr="00FD62C4" w:rsidRDefault="00A812FA" w:rsidP="00A812FA">
      <w:pPr>
        <w:pStyle w:val="Equationlegend"/>
        <w:rPr>
          <w:lang w:val="en-GB"/>
        </w:rPr>
      </w:pPr>
      <w:r w:rsidRPr="00FD62C4">
        <w:rPr>
          <w:i/>
          <w:lang w:val="en-GB"/>
        </w:rPr>
        <w:tab/>
      </w:r>
      <w:r w:rsidRPr="00FD62C4">
        <w:rPr>
          <w:lang w:val="en-GB"/>
        </w:rPr>
        <w:t xml:space="preserve">Representative value of </w:t>
      </w:r>
      <m:oMath>
        <m:sSub>
          <m:sSubPr>
            <m:ctrlPr>
              <w:rPr>
                <w:rFonts w:ascii="Cambria Math" w:hAnsi="Cambria Math"/>
                <w:i/>
                <w:lang w:val="en-GB"/>
              </w:rPr>
            </m:ctrlPr>
          </m:sSubPr>
          <m:e>
            <m:r>
              <w:rPr>
                <w:rFonts w:ascii="Cambria Math" w:hAnsi="Cambria Math"/>
                <w:lang w:val="en-GB"/>
              </w:rPr>
              <m:t>R</m:t>
            </m:r>
          </m:e>
          <m:sub>
            <m:r>
              <w:rPr>
                <w:rFonts w:ascii="Cambria Math" w:hAnsi="Cambria Math"/>
                <w:lang w:val="en-GB"/>
              </w:rPr>
              <m:t>(u)</m:t>
            </m:r>
          </m:sub>
        </m:sSub>
      </m:oMath>
      <w:r w:rsidRPr="00FD62C4">
        <w:rPr>
          <w:lang w:val="en-GB"/>
        </w:rPr>
        <w:t>:</w:t>
      </w:r>
      <w:r w:rsidRPr="00FD62C4">
        <w:rPr>
          <w:lang w:val="en-GB"/>
        </w:rPr>
        <w:tab/>
        <w:t xml:space="preserve">for example, mean or percentile of </w:t>
      </w:r>
      <m:oMath>
        <m:sSub>
          <m:sSubPr>
            <m:ctrlPr>
              <w:rPr>
                <w:rFonts w:ascii="Cambria Math" w:hAnsi="Cambria Math"/>
                <w:i/>
                <w:lang w:val="en-GB"/>
              </w:rPr>
            </m:ctrlPr>
          </m:sSubPr>
          <m:e>
            <m:r>
              <w:rPr>
                <w:rFonts w:ascii="Cambria Math" w:hAnsi="Cambria Math"/>
                <w:lang w:val="en-GB"/>
              </w:rPr>
              <m:t>R</m:t>
            </m:r>
          </m:e>
          <m:sub>
            <m:r>
              <w:rPr>
                <w:rFonts w:ascii="Cambria Math" w:hAnsi="Cambria Math"/>
                <w:lang w:val="en-GB"/>
              </w:rPr>
              <m:t>(u)</m:t>
            </m:r>
          </m:sub>
        </m:sSub>
      </m:oMath>
    </w:p>
    <w:p w14:paraId="56F9E56C" w14:textId="353C0B68" w:rsidR="00A812FA" w:rsidRPr="00FD62C4" w:rsidRDefault="00A812FA" w:rsidP="00A812FA">
      <w:pPr>
        <w:pStyle w:val="Equationlegend"/>
        <w:rPr>
          <w:lang w:val="en-GB" w:eastAsia="ko-KR"/>
        </w:rPr>
      </w:pPr>
      <w:r w:rsidRPr="00FD62C4">
        <w:rPr>
          <w:i/>
          <w:lang w:val="en-GB"/>
        </w:rPr>
        <w:tab/>
      </w:r>
      <m:oMath>
        <m:sSub>
          <m:sSubPr>
            <m:ctrlPr>
              <w:rPr>
                <w:rFonts w:ascii="Cambria Math" w:hAnsi="Cambria Math"/>
                <w:i/>
                <w:lang w:val="en-GB" w:eastAsia="ko-KR"/>
              </w:rPr>
            </m:ctrlPr>
          </m:sSubPr>
          <m:e>
            <m:r>
              <w:rPr>
                <w:rFonts w:ascii="Cambria Math" w:hAnsi="Cambria Math"/>
                <w:lang w:val="en-GB" w:eastAsia="ko-KR"/>
              </w:rPr>
              <m:t>R</m:t>
            </m:r>
          </m:e>
          <m:sub>
            <m:r>
              <w:rPr>
                <w:rFonts w:ascii="Cambria Math" w:hAnsi="Cambria Math"/>
                <w:lang w:val="en-GB" w:eastAsia="ko-KR"/>
              </w:rPr>
              <m:t>(u)</m:t>
            </m:r>
          </m:sub>
        </m:sSub>
      </m:oMath>
      <w:r w:rsidRPr="00FD62C4">
        <w:rPr>
          <w:lang w:val="en-GB"/>
        </w:rPr>
        <w:t>:</w:t>
      </w:r>
      <w:r w:rsidRPr="00FD62C4">
        <w:rPr>
          <w:lang w:val="en-GB"/>
        </w:rPr>
        <w:tab/>
        <w:t xml:space="preserve">spectrum usage of unit </w:t>
      </w:r>
      <m:oMath>
        <m:r>
          <w:rPr>
            <w:rFonts w:ascii="Cambria Math" w:hAnsi="Cambria Math"/>
            <w:lang w:val="en-GB"/>
          </w:rPr>
          <m:t>u</m:t>
        </m:r>
      </m:oMath>
      <w:r w:rsidRPr="00FD62C4">
        <w:rPr>
          <w:lang w:val="en-GB" w:eastAsia="ko-KR"/>
        </w:rPr>
        <w:t xml:space="preserve"> reusing the frequency band (in Hz)</w:t>
      </w:r>
    </w:p>
    <w:p w14:paraId="4BE34217" w14:textId="69AA0FFB" w:rsidR="00A812FA" w:rsidRPr="00FD62C4" w:rsidRDefault="00A812FA" w:rsidP="00A812FA">
      <w:pPr>
        <w:pStyle w:val="Equationlegend"/>
        <w:rPr>
          <w:lang w:val="en-GB" w:eastAsia="ko-KR"/>
        </w:rPr>
      </w:pPr>
      <w:r w:rsidRPr="00FD62C4">
        <w:rPr>
          <w:i/>
          <w:lang w:val="en-GB"/>
        </w:rPr>
        <w:tab/>
      </w:r>
      <m:oMath>
        <m:sSub>
          <m:sSubPr>
            <m:ctrlPr>
              <w:rPr>
                <w:rFonts w:ascii="Cambria Math" w:hAnsi="Cambria Math"/>
                <w:i/>
                <w:lang w:val="en-GB"/>
              </w:rPr>
            </m:ctrlPr>
          </m:sSubPr>
          <m:e>
            <m:r>
              <w:rPr>
                <w:rFonts w:ascii="Cambria Math" w:hAnsi="Cambria Math"/>
                <w:lang w:val="en-GB"/>
              </w:rPr>
              <m:t>B</m:t>
            </m:r>
          </m:e>
          <m:sub>
            <m:r>
              <w:rPr>
                <w:rFonts w:ascii="Cambria Math" w:hAnsi="Cambria Math"/>
                <w:lang w:val="en-GB"/>
              </w:rPr>
              <m:t>N</m:t>
            </m:r>
          </m:sub>
        </m:sSub>
      </m:oMath>
      <w:r w:rsidRPr="00FD62C4">
        <w:rPr>
          <w:lang w:val="en-GB"/>
        </w:rPr>
        <w:t>:</w:t>
      </w:r>
      <w:r w:rsidRPr="00FD62C4">
        <w:rPr>
          <w:lang w:val="en-GB"/>
        </w:rPr>
        <w:tab/>
        <w:t>necessary bandwidth of the system (in Hz).</w:t>
      </w:r>
    </w:p>
    <w:p w14:paraId="686B4EBC" w14:textId="6712FAAE" w:rsidR="00A812FA" w:rsidRPr="00FD62C4" w:rsidRDefault="00A812FA" w:rsidP="005E2A2B">
      <w:pPr>
        <w:pStyle w:val="enumlev1"/>
        <w:keepNext/>
        <w:keepLines/>
        <w:rPr>
          <w:lang w:eastAsia="zh-CN"/>
        </w:rPr>
      </w:pPr>
      <w:bookmarkStart w:id="87" w:name="_Hlk69806926"/>
      <w:r w:rsidRPr="00FD62C4">
        <w:rPr>
          <w:lang w:eastAsia="zh-CN"/>
        </w:rPr>
        <w:t>3)</w:t>
      </w:r>
      <w:r w:rsidRPr="00FD62C4">
        <w:rPr>
          <w:lang w:eastAsia="zh-CN"/>
        </w:rPr>
        <w:tab/>
        <w:t>Conversion of quantities for unit consistency</w:t>
      </w:r>
    </w:p>
    <w:p w14:paraId="77B86F17" w14:textId="3F89C483" w:rsidR="00A812FA" w:rsidRPr="00FD62C4" w:rsidRDefault="00A812FA" w:rsidP="003C5D07">
      <w:pPr>
        <w:pStyle w:val="enumlev1"/>
        <w:keepNext/>
        <w:keepLines/>
        <w:rPr>
          <w:lang w:eastAsia="zh-CN"/>
        </w:rPr>
      </w:pPr>
      <w:r w:rsidRPr="00FD62C4">
        <w:rPr>
          <w:lang w:eastAsia="zh-CN"/>
        </w:rPr>
        <w:tab/>
      </w:r>
      <w:bookmarkEnd w:id="87"/>
      <w:r w:rsidRPr="00FD62C4">
        <w:rPr>
          <w:lang w:eastAsia="zh-CN"/>
        </w:rPr>
        <w:t xml:space="preserve">As mentioned in </w:t>
      </w:r>
      <w:r w:rsidR="00C6322F" w:rsidRPr="00FD62C4">
        <w:rPr>
          <w:lang w:eastAsia="zh-CN"/>
        </w:rPr>
        <w:t>§</w:t>
      </w:r>
      <w:r w:rsidRPr="00FD62C4">
        <w:rPr>
          <w:lang w:eastAsia="zh-CN"/>
        </w:rPr>
        <w:t xml:space="preserve"> </w:t>
      </w:r>
      <w:r w:rsidRPr="00FD62C4">
        <w:t>A1</w:t>
      </w:r>
      <w:r w:rsidR="002B5EFA" w:rsidRPr="00FD62C4">
        <w:t>.</w:t>
      </w:r>
      <w:r w:rsidRPr="00FD62C4">
        <w:rPr>
          <w:lang w:eastAsia="zh-CN"/>
        </w:rPr>
        <w:t xml:space="preserve">2.1, spectrum availability is determined by comparing spectrum supply and demand. The spectrum usage </w:t>
      </w:r>
      <w:r w:rsidRPr="00FD62C4">
        <w:rPr>
          <w:i/>
          <w:lang w:eastAsia="zh-CN"/>
        </w:rPr>
        <w:t>R</w:t>
      </w:r>
      <w:r w:rsidRPr="00FD62C4">
        <w:rPr>
          <w:lang w:eastAsia="zh-CN"/>
        </w:rPr>
        <w:t xml:space="preserve"> and the bandwidth </w:t>
      </w:r>
      <m:oMath>
        <m:r>
          <w:rPr>
            <w:rFonts w:ascii="Cambria Math" w:hAnsi="Cambria Math"/>
            <w:lang w:eastAsia="ko-KR"/>
          </w:rPr>
          <m:t>B</m:t>
        </m:r>
      </m:oMath>
      <w:r w:rsidRPr="00FD62C4">
        <w:rPr>
          <w:lang w:eastAsia="ko-KR"/>
        </w:rPr>
        <w:t xml:space="preserve"> </w:t>
      </w:r>
      <w:r w:rsidRPr="00FD62C4">
        <w:rPr>
          <w:lang w:eastAsia="zh-CN"/>
        </w:rPr>
        <w:t xml:space="preserve">are both spectral quantities in Hz and can be directly compared. However, the traffic amount </w:t>
      </w:r>
      <m:oMath>
        <m:r>
          <w:rPr>
            <w:rFonts w:ascii="Cambria Math" w:hAnsi="Cambria Math"/>
            <w:lang w:eastAsia="ko-KR"/>
          </w:rPr>
          <m:t>T</m:t>
        </m:r>
      </m:oMath>
      <w:r w:rsidRPr="00FD62C4">
        <w:rPr>
          <w:lang w:eastAsia="zh-CN"/>
        </w:rPr>
        <w:t xml:space="preserve"> (measured in b</w:t>
      </w:r>
      <w:r w:rsidR="00A83BEA" w:rsidRPr="00FD62C4">
        <w:rPr>
          <w:lang w:eastAsia="zh-CN"/>
        </w:rPr>
        <w:t>it/</w:t>
      </w:r>
      <w:r w:rsidRPr="00FD62C4">
        <w:rPr>
          <w:lang w:eastAsia="zh-CN"/>
        </w:rPr>
        <w:t xml:space="preserve">s) and the bandwidth </w:t>
      </w:r>
      <m:oMath>
        <m:r>
          <w:rPr>
            <w:rFonts w:ascii="Cambria Math" w:hAnsi="Cambria Math"/>
            <w:lang w:eastAsia="ko-KR"/>
          </w:rPr>
          <m:t>B</m:t>
        </m:r>
      </m:oMath>
      <w:r w:rsidRPr="00FD62C4">
        <w:rPr>
          <w:lang w:eastAsia="zh-CN"/>
        </w:rPr>
        <w:t xml:space="preserve"> (measured in Hz) represent different types of quantities and cannot be directly compared. Therefore, it is necessary to convert the bandwidth </w:t>
      </w:r>
      <m:oMath>
        <m:r>
          <w:rPr>
            <w:rFonts w:ascii="Cambria Math" w:hAnsi="Cambria Math"/>
            <w:lang w:eastAsia="ko-KR"/>
          </w:rPr>
          <m:t>B</m:t>
        </m:r>
      </m:oMath>
      <w:r w:rsidRPr="00FD62C4">
        <w:rPr>
          <w:lang w:eastAsia="zh-CN"/>
        </w:rPr>
        <w:t xml:space="preserve"> to system capacity, denoted by </w:t>
      </w:r>
      <m:oMath>
        <m:r>
          <w:rPr>
            <w:rFonts w:ascii="Cambria Math" w:hAnsi="Cambria Math"/>
            <w:lang w:eastAsia="ko-KR"/>
          </w:rPr>
          <m:t>C</m:t>
        </m:r>
      </m:oMath>
      <w:r w:rsidRPr="00FD62C4">
        <w:rPr>
          <w:lang w:eastAsia="ko-KR"/>
        </w:rPr>
        <w:t xml:space="preserve"> (an information quantity in bps)</w:t>
      </w:r>
      <w:r w:rsidRPr="00FD62C4">
        <w:rPr>
          <w:lang w:eastAsia="zh-CN"/>
        </w:rPr>
        <w:t xml:space="preserve">, or convert the traffic amount </w:t>
      </w:r>
      <m:oMath>
        <m:r>
          <w:rPr>
            <w:rFonts w:ascii="Cambria Math" w:hAnsi="Cambria Math"/>
            <w:lang w:eastAsia="ko-KR"/>
          </w:rPr>
          <m:t>T</m:t>
        </m:r>
      </m:oMath>
      <w:r w:rsidRPr="00FD62C4">
        <w:rPr>
          <w:lang w:eastAsia="zh-CN"/>
        </w:rPr>
        <w:t xml:space="preserve"> to spectrum usage </w:t>
      </w:r>
      <m:oMath>
        <m:r>
          <w:rPr>
            <w:rFonts w:ascii="Cambria Math" w:hAnsi="Cambria Math"/>
            <w:lang w:eastAsia="ko-KR"/>
          </w:rPr>
          <m:t>R</m:t>
        </m:r>
      </m:oMath>
      <w:r w:rsidRPr="00FD62C4">
        <w:rPr>
          <w:lang w:eastAsia="ko-KR"/>
        </w:rPr>
        <w:t xml:space="preserve"> (in Hz)</w:t>
      </w:r>
      <w:r w:rsidRPr="00FD62C4">
        <w:rPr>
          <w:lang w:eastAsia="zh-CN"/>
        </w:rPr>
        <w:t>.</w:t>
      </w:r>
    </w:p>
    <w:p w14:paraId="798ABBAA" w14:textId="270FFDE3" w:rsidR="00A812FA" w:rsidRPr="00FD62C4" w:rsidRDefault="00A812FA" w:rsidP="00A812FA">
      <w:pPr>
        <w:pStyle w:val="enumlev1"/>
        <w:rPr>
          <w:lang w:eastAsia="zh-CN"/>
        </w:rPr>
      </w:pPr>
      <w:r w:rsidRPr="00FD62C4">
        <w:rPr>
          <w:lang w:eastAsia="zh-CN"/>
        </w:rPr>
        <w:tab/>
        <w:t xml:space="preserve">The conversion of bandwidth </w:t>
      </w:r>
      <m:oMath>
        <m:r>
          <w:rPr>
            <w:rFonts w:ascii="Cambria Math" w:hAnsi="Cambria Math"/>
            <w:lang w:eastAsia="ko-KR"/>
          </w:rPr>
          <m:t>B</m:t>
        </m:r>
      </m:oMath>
      <w:r w:rsidRPr="00FD62C4">
        <w:rPr>
          <w:lang w:eastAsia="ko-KR"/>
        </w:rPr>
        <w:t xml:space="preserve"> (in Hz)</w:t>
      </w:r>
      <w:r w:rsidRPr="00FD62C4">
        <w:rPr>
          <w:lang w:eastAsia="zh-CN"/>
        </w:rPr>
        <w:t xml:space="preserve"> to system capacity </w:t>
      </w:r>
      <w:r w:rsidR="00A83BEA" w:rsidRPr="00FD62C4">
        <w:rPr>
          <w:i/>
          <w:iCs/>
          <w:lang w:eastAsia="zh-CN"/>
        </w:rPr>
        <w:t>C</w:t>
      </w:r>
      <w:r w:rsidRPr="00FD62C4">
        <w:rPr>
          <w:lang w:eastAsia="ko-KR"/>
        </w:rPr>
        <w:t xml:space="preserve"> (in b</w:t>
      </w:r>
      <w:r w:rsidR="00A83BEA" w:rsidRPr="00FD62C4">
        <w:rPr>
          <w:lang w:eastAsia="ko-KR"/>
        </w:rPr>
        <w:t>it/</w:t>
      </w:r>
      <w:r w:rsidRPr="00FD62C4">
        <w:rPr>
          <w:lang w:eastAsia="ko-KR"/>
        </w:rPr>
        <w:t>s)</w:t>
      </w:r>
      <w:r w:rsidRPr="00FD62C4">
        <w:rPr>
          <w:lang w:eastAsia="zh-CN"/>
        </w:rPr>
        <w:t xml:space="preserve"> can be performed using the following equation and information</w:t>
      </w:r>
      <w:r w:rsidRPr="00FD62C4">
        <w:rPr>
          <w:rStyle w:val="FootnoteReference"/>
        </w:rPr>
        <w:footnoteReference w:id="8"/>
      </w:r>
      <w:r w:rsidRPr="00FD62C4">
        <w:rPr>
          <w:lang w:eastAsia="zh-CN"/>
        </w:rPr>
        <w:t>:</w:t>
      </w:r>
    </w:p>
    <w:p w14:paraId="5A4E61C4" w14:textId="4BC48B62" w:rsidR="00A812FA" w:rsidRPr="00FD62C4" w:rsidRDefault="00A812FA" w:rsidP="00A812FA">
      <w:pPr>
        <w:pStyle w:val="Equation"/>
      </w:pPr>
      <w:r w:rsidRPr="00FD62C4">
        <w:tab/>
      </w:r>
      <w:r w:rsidRPr="00FD62C4">
        <w:tab/>
      </w:r>
      <m:oMath>
        <m:r>
          <w:rPr>
            <w:rFonts w:ascii="Cambria Math" w:hAnsi="Cambria Math"/>
            <w:lang w:eastAsia="ko-KR"/>
          </w:rPr>
          <m:t>C=BE</m:t>
        </m:r>
        <m:sSub>
          <m:sSubPr>
            <m:ctrlPr>
              <w:rPr>
                <w:rFonts w:ascii="Cambria Math" w:hAnsi="Cambria Math"/>
                <w:i/>
                <w:lang w:eastAsia="ko-KR"/>
              </w:rPr>
            </m:ctrlPr>
          </m:sSubPr>
          <m:e>
            <m:r>
              <w:rPr>
                <w:rFonts w:ascii="Cambria Math" w:hAnsi="Cambria Math"/>
                <w:lang w:eastAsia="ko-KR"/>
              </w:rPr>
              <m:t>N</m:t>
            </m:r>
          </m:e>
          <m:sub>
            <m:r>
              <w:rPr>
                <w:rFonts w:ascii="Cambria Math" w:hAnsi="Cambria Math"/>
                <w:lang w:eastAsia="ko-KR"/>
              </w:rPr>
              <m:t>R</m:t>
            </m:r>
          </m:sub>
        </m:sSub>
      </m:oMath>
      <w:r w:rsidRPr="00FD62C4">
        <w:tab/>
        <w:t>(</w:t>
      </w:r>
      <w:r w:rsidR="00783B40" w:rsidRPr="00FD62C4">
        <w:t>A1</w:t>
      </w:r>
      <w:r w:rsidRPr="00FD62C4">
        <w:t>-3)</w:t>
      </w:r>
    </w:p>
    <w:p w14:paraId="0C098388" w14:textId="77777777" w:rsidR="00A812FA" w:rsidRPr="00FD62C4" w:rsidRDefault="00A812FA" w:rsidP="00A812FA">
      <w:pPr>
        <w:keepNext/>
      </w:pPr>
      <w:r w:rsidRPr="00FD62C4">
        <w:tab/>
        <w:t>where:</w:t>
      </w:r>
    </w:p>
    <w:p w14:paraId="6407BE63" w14:textId="0ADCC55A" w:rsidR="00A812FA" w:rsidRPr="00FD62C4" w:rsidRDefault="00A812FA" w:rsidP="00A812FA">
      <w:pPr>
        <w:pStyle w:val="Equationlegend"/>
        <w:rPr>
          <w:lang w:val="en-GB"/>
        </w:rPr>
      </w:pPr>
      <w:r w:rsidRPr="00FD62C4">
        <w:rPr>
          <w:i/>
          <w:lang w:val="en-GB"/>
        </w:rPr>
        <w:tab/>
      </w:r>
      <m:oMath>
        <m:r>
          <w:rPr>
            <w:rFonts w:ascii="Cambria Math" w:hAnsi="Cambria Math"/>
            <w:lang w:val="en-GB"/>
          </w:rPr>
          <m:t>C</m:t>
        </m:r>
      </m:oMath>
      <w:r w:rsidRPr="00FD62C4">
        <w:rPr>
          <w:lang w:val="en-GB"/>
        </w:rPr>
        <w:t>:</w:t>
      </w:r>
      <w:r w:rsidRPr="00FD62C4">
        <w:rPr>
          <w:lang w:val="en-GB"/>
        </w:rPr>
        <w:tab/>
        <w:t>system capacity (in b</w:t>
      </w:r>
      <w:r w:rsidR="00A83BEA" w:rsidRPr="00FD62C4">
        <w:rPr>
          <w:lang w:val="en-GB"/>
        </w:rPr>
        <w:t>it/</w:t>
      </w:r>
      <w:r w:rsidRPr="00FD62C4">
        <w:rPr>
          <w:lang w:val="en-GB"/>
        </w:rPr>
        <w:t>s)</w:t>
      </w:r>
    </w:p>
    <w:p w14:paraId="181FCED5" w14:textId="0A80644A" w:rsidR="00A812FA" w:rsidRPr="00FD62C4" w:rsidRDefault="00A812FA" w:rsidP="00A812FA">
      <w:pPr>
        <w:pStyle w:val="Equationlegend"/>
        <w:rPr>
          <w:lang w:val="en-GB"/>
        </w:rPr>
      </w:pPr>
      <w:r w:rsidRPr="00FD62C4">
        <w:rPr>
          <w:i/>
          <w:lang w:val="en-GB"/>
        </w:rPr>
        <w:tab/>
      </w:r>
      <m:oMath>
        <m:r>
          <w:rPr>
            <w:rFonts w:ascii="Cambria Math" w:hAnsi="Cambria Math"/>
            <w:lang w:val="en-GB"/>
          </w:rPr>
          <m:t>B</m:t>
        </m:r>
      </m:oMath>
      <w:r w:rsidRPr="00FD62C4">
        <w:rPr>
          <w:lang w:val="en-GB"/>
        </w:rPr>
        <w:t>:</w:t>
      </w:r>
      <w:r w:rsidRPr="00FD62C4">
        <w:rPr>
          <w:lang w:val="en-GB"/>
        </w:rPr>
        <w:tab/>
        <w:t>bandwidth of the frequency band (in Hz)</w:t>
      </w:r>
    </w:p>
    <w:p w14:paraId="174E8651" w14:textId="2240DE53" w:rsidR="00A812FA" w:rsidRPr="00FD62C4" w:rsidRDefault="00A812FA" w:rsidP="00A812FA">
      <w:pPr>
        <w:pStyle w:val="Equationlegend"/>
        <w:rPr>
          <w:lang w:val="en-GB"/>
        </w:rPr>
      </w:pPr>
      <w:r w:rsidRPr="00FD62C4">
        <w:rPr>
          <w:i/>
          <w:lang w:val="en-GB"/>
        </w:rPr>
        <w:tab/>
      </w:r>
      <m:oMath>
        <m:r>
          <w:rPr>
            <w:rFonts w:ascii="Cambria Math" w:hAnsi="Cambria Math"/>
            <w:lang w:val="en-GB"/>
          </w:rPr>
          <m:t>E</m:t>
        </m:r>
      </m:oMath>
      <w:r w:rsidRPr="00FD62C4">
        <w:rPr>
          <w:lang w:val="en-GB"/>
        </w:rPr>
        <w:t>:</w:t>
      </w:r>
      <w:r w:rsidRPr="00FD62C4">
        <w:rPr>
          <w:lang w:val="en-GB"/>
        </w:rPr>
        <w:tab/>
        <w:t>spectral efficiency</w:t>
      </w:r>
      <w:r w:rsidRPr="00FD62C4">
        <w:rPr>
          <w:rStyle w:val="FootnoteReference"/>
          <w:lang w:val="en-GB"/>
        </w:rPr>
        <w:footnoteReference w:id="9"/>
      </w:r>
      <w:r w:rsidRPr="00FD62C4">
        <w:rPr>
          <w:lang w:val="en-GB"/>
        </w:rPr>
        <w:t xml:space="preserve"> of the system (in b</w:t>
      </w:r>
      <w:r w:rsidR="00A83BEA" w:rsidRPr="00FD62C4">
        <w:rPr>
          <w:lang w:val="en-GB"/>
        </w:rPr>
        <w:t>it/</w:t>
      </w:r>
      <w:r w:rsidRPr="00FD62C4">
        <w:rPr>
          <w:lang w:val="en-GB"/>
        </w:rPr>
        <w:t>s/Hz)</w:t>
      </w:r>
    </w:p>
    <w:p w14:paraId="3A838919" w14:textId="55D5A7C7" w:rsidR="00A812FA" w:rsidRPr="00FD62C4" w:rsidRDefault="00A812FA" w:rsidP="00A812FA">
      <w:pPr>
        <w:pStyle w:val="Equationlegend"/>
        <w:rPr>
          <w:lang w:val="en-GB"/>
        </w:rPr>
      </w:pPr>
      <w:r w:rsidRPr="00FD62C4">
        <w:rPr>
          <w:i/>
          <w:lang w:val="en-GB"/>
        </w:rPr>
        <w:tab/>
      </w:r>
      <m:oMath>
        <m:sSub>
          <m:sSubPr>
            <m:ctrlPr>
              <w:rPr>
                <w:rFonts w:ascii="Cambria Math" w:hAnsi="Cambria Math"/>
                <w:i/>
                <w:lang w:val="en-GB"/>
              </w:rPr>
            </m:ctrlPr>
          </m:sSubPr>
          <m:e>
            <m:r>
              <w:rPr>
                <w:rFonts w:ascii="Cambria Math" w:hAnsi="Cambria Math"/>
                <w:lang w:val="en-GB"/>
              </w:rPr>
              <m:t>N</m:t>
            </m:r>
          </m:e>
          <m:sub>
            <m:r>
              <w:rPr>
                <w:rFonts w:ascii="Cambria Math" w:hAnsi="Cambria Math"/>
                <w:lang w:val="en-GB"/>
              </w:rPr>
              <m:t>R</m:t>
            </m:r>
          </m:sub>
        </m:sSub>
      </m:oMath>
      <w:r w:rsidRPr="00FD62C4">
        <w:rPr>
          <w:lang w:val="en-GB"/>
        </w:rPr>
        <w:t>:</w:t>
      </w:r>
      <w:r w:rsidRPr="00FD62C4">
        <w:rPr>
          <w:lang w:val="en-GB"/>
        </w:rPr>
        <w:tab/>
        <w:t>number of units reusing the frequency band.</w:t>
      </w:r>
    </w:p>
    <w:p w14:paraId="632F5C59" w14:textId="09E8DEA8" w:rsidR="00A812FA" w:rsidRPr="00FD62C4" w:rsidRDefault="00A812FA" w:rsidP="00A812FA">
      <w:pPr>
        <w:pStyle w:val="enumlev1"/>
        <w:rPr>
          <w:lang w:eastAsia="zh-CN"/>
        </w:rPr>
      </w:pPr>
      <w:r w:rsidRPr="00FD62C4">
        <w:rPr>
          <w:lang w:eastAsia="ko-KR"/>
        </w:rPr>
        <w:lastRenderedPageBreak/>
        <w:tab/>
        <w:t xml:space="preserve">The conversion of traffic amount </w:t>
      </w:r>
      <m:oMath>
        <m:r>
          <w:rPr>
            <w:rFonts w:ascii="Cambria Math" w:hAnsi="Cambria Math"/>
            <w:lang w:eastAsia="ko-KR"/>
          </w:rPr>
          <m:t>T</m:t>
        </m:r>
      </m:oMath>
      <w:r w:rsidRPr="00FD62C4">
        <w:rPr>
          <w:lang w:eastAsia="ko-KR"/>
        </w:rPr>
        <w:t xml:space="preserve"> (in b</w:t>
      </w:r>
      <w:r w:rsidR="002A1DFC" w:rsidRPr="00FD62C4">
        <w:rPr>
          <w:lang w:eastAsia="ko-KR"/>
        </w:rPr>
        <w:t>it/</w:t>
      </w:r>
      <w:r w:rsidRPr="00FD62C4">
        <w:rPr>
          <w:lang w:eastAsia="ko-KR"/>
        </w:rPr>
        <w:t xml:space="preserve">s) to spectrum usage </w:t>
      </w:r>
      <m:oMath>
        <m:r>
          <w:rPr>
            <w:rFonts w:ascii="Cambria Math" w:hAnsi="Cambria Math"/>
            <w:lang w:eastAsia="ko-KR"/>
          </w:rPr>
          <m:t>R</m:t>
        </m:r>
      </m:oMath>
      <w:r w:rsidRPr="00FD62C4">
        <w:rPr>
          <w:lang w:eastAsia="ko-KR"/>
        </w:rPr>
        <w:t xml:space="preserve"> (in Hz) can be performed using the following equation and information</w:t>
      </w:r>
      <w:bookmarkStart w:id="89" w:name="_Hlk176796657"/>
      <w:r w:rsidRPr="00FD62C4">
        <w:rPr>
          <w:rStyle w:val="FootnoteReference"/>
          <w:lang w:eastAsia="ko-KR"/>
        </w:rPr>
        <w:footnoteReference w:id="10"/>
      </w:r>
      <w:bookmarkEnd w:id="89"/>
      <w:r w:rsidRPr="00FD62C4">
        <w:rPr>
          <w:lang w:eastAsia="ko-KR"/>
        </w:rPr>
        <w:t>:</w:t>
      </w:r>
    </w:p>
    <w:p w14:paraId="2AF69B20" w14:textId="4B0D00AC" w:rsidR="00A812FA" w:rsidRPr="00FD62C4" w:rsidRDefault="00A812FA" w:rsidP="00A812FA">
      <w:pPr>
        <w:pStyle w:val="Equation"/>
      </w:pPr>
      <w:r w:rsidRPr="00FD62C4">
        <w:tab/>
      </w:r>
      <w:r w:rsidRPr="00FD62C4">
        <w:tab/>
      </w:r>
      <m:oMath>
        <m:r>
          <w:rPr>
            <w:rFonts w:ascii="Cambria Math" w:hAnsi="Cambria Math"/>
            <w:lang w:eastAsia="ko-KR"/>
          </w:rPr>
          <m:t>R=T/(E</m:t>
        </m:r>
        <m:sSub>
          <m:sSubPr>
            <m:ctrlPr>
              <w:rPr>
                <w:rFonts w:ascii="Cambria Math" w:hAnsi="Cambria Math"/>
                <w:i/>
                <w:lang w:eastAsia="ko-KR"/>
              </w:rPr>
            </m:ctrlPr>
          </m:sSubPr>
          <m:e>
            <m:r>
              <w:rPr>
                <w:rFonts w:ascii="Cambria Math" w:hAnsi="Cambria Math"/>
                <w:lang w:eastAsia="ko-KR"/>
              </w:rPr>
              <m:t>N</m:t>
            </m:r>
          </m:e>
          <m:sub>
            <m:r>
              <w:rPr>
                <w:rFonts w:ascii="Cambria Math" w:hAnsi="Cambria Math"/>
                <w:lang w:eastAsia="ko-KR"/>
              </w:rPr>
              <m:t>R</m:t>
            </m:r>
          </m:sub>
        </m:sSub>
        <m:r>
          <w:rPr>
            <w:rFonts w:ascii="Cambria Math" w:hAnsi="Cambria Math"/>
            <w:lang w:eastAsia="ko-KR"/>
          </w:rPr>
          <m:t>)</m:t>
        </m:r>
      </m:oMath>
      <w:r w:rsidRPr="00FD62C4">
        <w:tab/>
        <w:t>(</w:t>
      </w:r>
      <w:r w:rsidR="00783B40" w:rsidRPr="00FD62C4">
        <w:t>A1</w:t>
      </w:r>
      <w:r w:rsidRPr="00FD62C4">
        <w:t>-4)</w:t>
      </w:r>
    </w:p>
    <w:p w14:paraId="51A9D777" w14:textId="77777777" w:rsidR="00A812FA" w:rsidRPr="00FD62C4" w:rsidRDefault="00A812FA" w:rsidP="00A812FA">
      <w:pPr>
        <w:keepNext/>
      </w:pPr>
      <w:r w:rsidRPr="00FD62C4">
        <w:tab/>
        <w:t>where:</w:t>
      </w:r>
    </w:p>
    <w:p w14:paraId="7BBBDCF3" w14:textId="488D9956" w:rsidR="00A812FA" w:rsidRPr="00FD62C4" w:rsidRDefault="00A812FA" w:rsidP="00A812FA">
      <w:pPr>
        <w:pStyle w:val="Equationlegend"/>
        <w:rPr>
          <w:lang w:val="en-GB"/>
        </w:rPr>
      </w:pPr>
      <w:r w:rsidRPr="00FD62C4">
        <w:rPr>
          <w:i/>
          <w:lang w:val="en-GB"/>
        </w:rPr>
        <w:tab/>
      </w:r>
      <m:oMath>
        <m:r>
          <w:rPr>
            <w:rFonts w:ascii="Cambria Math" w:hAnsi="Cambria Math"/>
            <w:lang w:val="en-GB"/>
          </w:rPr>
          <m:t>R</m:t>
        </m:r>
      </m:oMath>
      <w:r w:rsidRPr="00FD62C4">
        <w:rPr>
          <w:lang w:val="en-GB"/>
        </w:rPr>
        <w:t>:</w:t>
      </w:r>
      <w:r w:rsidRPr="00FD62C4">
        <w:rPr>
          <w:lang w:val="en-GB"/>
        </w:rPr>
        <w:tab/>
        <w:t>spectrum usage of the system (in Hz)</w:t>
      </w:r>
    </w:p>
    <w:p w14:paraId="7118459E" w14:textId="4A2EFDC2" w:rsidR="00A812FA" w:rsidRPr="00FD62C4" w:rsidRDefault="00A812FA" w:rsidP="00A812FA">
      <w:pPr>
        <w:pStyle w:val="Equationlegend"/>
        <w:rPr>
          <w:lang w:val="en-GB"/>
        </w:rPr>
      </w:pPr>
      <w:r w:rsidRPr="00FD62C4">
        <w:rPr>
          <w:i/>
          <w:lang w:val="en-GB"/>
        </w:rPr>
        <w:tab/>
      </w:r>
      <m:oMath>
        <m:r>
          <w:rPr>
            <w:rFonts w:ascii="Cambria Math" w:hAnsi="Cambria Math"/>
            <w:lang w:val="en-GB"/>
          </w:rPr>
          <m:t>T</m:t>
        </m:r>
      </m:oMath>
      <w:r w:rsidRPr="00FD62C4">
        <w:rPr>
          <w:lang w:val="en-GB"/>
        </w:rPr>
        <w:t>:</w:t>
      </w:r>
      <w:r w:rsidRPr="00FD62C4">
        <w:rPr>
          <w:lang w:val="en-GB"/>
        </w:rPr>
        <w:tab/>
        <w:t>total traffic amount of the system (in b</w:t>
      </w:r>
      <w:r w:rsidR="002A1DFC" w:rsidRPr="00FD62C4">
        <w:rPr>
          <w:lang w:val="en-GB"/>
        </w:rPr>
        <w:t>it/</w:t>
      </w:r>
      <w:r w:rsidRPr="00FD62C4">
        <w:rPr>
          <w:lang w:val="en-GB"/>
        </w:rPr>
        <w:t>s)</w:t>
      </w:r>
    </w:p>
    <w:p w14:paraId="4B33BB9A" w14:textId="334154F7" w:rsidR="00A812FA" w:rsidRPr="00FD62C4" w:rsidRDefault="00A812FA" w:rsidP="00A812FA">
      <w:pPr>
        <w:pStyle w:val="Equationlegend"/>
        <w:rPr>
          <w:lang w:val="en-GB"/>
        </w:rPr>
      </w:pPr>
      <w:r w:rsidRPr="00FD62C4">
        <w:rPr>
          <w:i/>
          <w:lang w:val="en-GB"/>
        </w:rPr>
        <w:tab/>
      </w:r>
      <m:oMath>
        <m:r>
          <w:rPr>
            <w:rFonts w:ascii="Cambria Math" w:hAnsi="Cambria Math"/>
            <w:lang w:val="en-GB"/>
          </w:rPr>
          <m:t>E</m:t>
        </m:r>
      </m:oMath>
      <w:r w:rsidRPr="00FD62C4">
        <w:rPr>
          <w:lang w:val="en-GB"/>
        </w:rPr>
        <w:t>:</w:t>
      </w:r>
      <w:r w:rsidRPr="00FD62C4">
        <w:rPr>
          <w:lang w:val="en-GB"/>
        </w:rPr>
        <w:tab/>
        <w:t>spectral efficiency of the system (in b</w:t>
      </w:r>
      <w:r w:rsidR="002A1DFC" w:rsidRPr="00FD62C4">
        <w:rPr>
          <w:lang w:val="en-GB"/>
        </w:rPr>
        <w:t>it/</w:t>
      </w:r>
      <w:r w:rsidRPr="00FD62C4">
        <w:rPr>
          <w:lang w:val="en-GB"/>
        </w:rPr>
        <w:t>s/Hz)</w:t>
      </w:r>
    </w:p>
    <w:p w14:paraId="1AB0F0DE" w14:textId="0EB39867" w:rsidR="00A812FA" w:rsidRPr="00FD62C4" w:rsidRDefault="00A812FA" w:rsidP="00A812FA">
      <w:pPr>
        <w:pStyle w:val="Equationlegend"/>
        <w:rPr>
          <w:lang w:val="en-GB"/>
        </w:rPr>
      </w:pPr>
      <w:r w:rsidRPr="00FD62C4">
        <w:rPr>
          <w:i/>
          <w:lang w:val="en-GB"/>
        </w:rPr>
        <w:tab/>
      </w:r>
      <m:oMath>
        <m:sSub>
          <m:sSubPr>
            <m:ctrlPr>
              <w:rPr>
                <w:rFonts w:ascii="Cambria Math" w:hAnsi="Cambria Math"/>
                <w:i/>
                <w:lang w:val="en-GB"/>
              </w:rPr>
            </m:ctrlPr>
          </m:sSubPr>
          <m:e>
            <m:r>
              <w:rPr>
                <w:rFonts w:ascii="Cambria Math" w:hAnsi="Cambria Math"/>
                <w:lang w:val="en-GB"/>
              </w:rPr>
              <m:t>N</m:t>
            </m:r>
          </m:e>
          <m:sub>
            <m:r>
              <w:rPr>
                <w:rFonts w:ascii="Cambria Math" w:hAnsi="Cambria Math"/>
                <w:lang w:val="en-GB"/>
              </w:rPr>
              <m:t>R</m:t>
            </m:r>
          </m:sub>
        </m:sSub>
      </m:oMath>
      <w:r w:rsidRPr="00FD62C4">
        <w:rPr>
          <w:lang w:val="en-GB"/>
        </w:rPr>
        <w:t>:</w:t>
      </w:r>
      <w:r w:rsidRPr="00FD62C4">
        <w:rPr>
          <w:lang w:val="en-GB"/>
        </w:rPr>
        <w:tab/>
        <w:t>number of units reusing the frequency band.</w:t>
      </w:r>
    </w:p>
    <w:p w14:paraId="11153A09" w14:textId="6949CC87" w:rsidR="00A812FA" w:rsidRPr="00FD62C4" w:rsidRDefault="00A812FA" w:rsidP="00A812FA">
      <w:pPr>
        <w:pStyle w:val="enumlev1"/>
        <w:rPr>
          <w:lang w:eastAsia="ko-KR"/>
        </w:rPr>
      </w:pPr>
      <w:r w:rsidRPr="00FD62C4">
        <w:rPr>
          <w:lang w:eastAsia="ko-KR"/>
        </w:rPr>
        <w:tab/>
        <w:t xml:space="preserve">The above conversions may also be carried out using various methodologies depending on the system. For examples, </w:t>
      </w:r>
      <w:r w:rsidRPr="00FD62C4">
        <w:rPr>
          <w:bCs/>
          <w:lang w:eastAsia="ja-JP"/>
        </w:rPr>
        <w:t xml:space="preserve">Recommendation </w:t>
      </w:r>
      <w:r w:rsidRPr="00FD62C4">
        <w:rPr>
          <w:lang w:eastAsia="ko-KR"/>
        </w:rPr>
        <w:t xml:space="preserve">ITU-R M.1768 methodology or Erlang-B formula can be used to convert the traffic </w:t>
      </w:r>
      <w:r w:rsidRPr="00FD62C4">
        <w:t>amount</w:t>
      </w:r>
      <w:r w:rsidRPr="00FD62C4">
        <w:rPr>
          <w:lang w:eastAsia="ko-KR"/>
        </w:rPr>
        <w:t xml:space="preserve"> </w:t>
      </w:r>
      <m:oMath>
        <m:r>
          <w:rPr>
            <w:rFonts w:ascii="Cambria Math" w:hAnsi="Cambria Math"/>
            <w:lang w:eastAsia="ko-KR"/>
          </w:rPr>
          <m:t>T</m:t>
        </m:r>
      </m:oMath>
      <w:r w:rsidRPr="00FD62C4">
        <w:rPr>
          <w:lang w:eastAsia="ko-KR"/>
        </w:rPr>
        <w:t xml:space="preserve"> (in b</w:t>
      </w:r>
      <w:r w:rsidR="007A0053" w:rsidRPr="00FD62C4">
        <w:rPr>
          <w:lang w:eastAsia="ko-KR"/>
        </w:rPr>
        <w:t>it/</w:t>
      </w:r>
      <w:r w:rsidRPr="00FD62C4">
        <w:rPr>
          <w:lang w:eastAsia="ko-KR"/>
        </w:rPr>
        <w:t xml:space="preserve">s) to spectrum usage </w:t>
      </w:r>
      <m:oMath>
        <m:r>
          <w:rPr>
            <w:rFonts w:ascii="Cambria Math" w:hAnsi="Cambria Math"/>
            <w:lang w:eastAsia="ko-KR"/>
          </w:rPr>
          <m:t>R</m:t>
        </m:r>
      </m:oMath>
      <w:r w:rsidRPr="00FD62C4">
        <w:rPr>
          <w:lang w:eastAsia="ko-KR"/>
        </w:rPr>
        <w:t xml:space="preserve"> (in Hz) depending on the system</w:t>
      </w:r>
      <w:r w:rsidRPr="00FD62C4">
        <w:rPr>
          <w:rStyle w:val="FootnoteReference"/>
          <w:lang w:eastAsia="ko-KR"/>
        </w:rPr>
        <w:footnoteReference w:id="11"/>
      </w:r>
      <w:r w:rsidRPr="00FD62C4">
        <w:rPr>
          <w:lang w:eastAsia="ko-KR"/>
        </w:rPr>
        <w:t>.</w:t>
      </w:r>
    </w:p>
    <w:p w14:paraId="76602663" w14:textId="50BE2324" w:rsidR="00A812FA" w:rsidRPr="00FD62C4" w:rsidRDefault="00A812FA" w:rsidP="005E2A2B">
      <w:pPr>
        <w:pStyle w:val="enumlev1"/>
        <w:rPr>
          <w:lang w:eastAsia="zh-CN"/>
        </w:rPr>
      </w:pPr>
      <w:r w:rsidRPr="00FD62C4">
        <w:rPr>
          <w:lang w:eastAsia="zh-CN"/>
        </w:rPr>
        <w:t>4)</w:t>
      </w:r>
      <w:r w:rsidRPr="00FD62C4">
        <w:rPr>
          <w:lang w:eastAsia="zh-CN"/>
        </w:rPr>
        <w:tab/>
        <w:t>Comparison of spectrum supply and demand</w:t>
      </w:r>
    </w:p>
    <w:p w14:paraId="61AD89DE" w14:textId="10D1DAA1" w:rsidR="00A812FA" w:rsidRPr="00FD62C4" w:rsidRDefault="00A812FA" w:rsidP="00A812FA">
      <w:pPr>
        <w:pStyle w:val="enumlev1"/>
        <w:rPr>
          <w:rFonts w:eastAsiaTheme="minorEastAsia"/>
          <w:lang w:eastAsia="zh-CN"/>
        </w:rPr>
      </w:pPr>
      <w:r w:rsidRPr="00FD62C4">
        <w:rPr>
          <w:lang w:eastAsia="zh-CN"/>
        </w:rPr>
        <w:tab/>
        <w:t>The spectrum supply</w:t>
      </w:r>
      <w:r w:rsidRPr="00FD62C4">
        <w:rPr>
          <w:rFonts w:ascii="Cambria Math" w:hAnsi="Cambria Math"/>
          <w:i/>
        </w:rPr>
        <w:t xml:space="preserve"> </w:t>
      </w:r>
      <m:oMath>
        <m:r>
          <w:rPr>
            <w:rFonts w:ascii="Cambria Math" w:hAnsi="Cambria Math"/>
          </w:rPr>
          <m:t>S</m:t>
        </m:r>
      </m:oMath>
      <w:r w:rsidRPr="00FD62C4">
        <w:rPr>
          <w:lang w:eastAsia="zh-CN"/>
        </w:rPr>
        <w:t xml:space="preserve"> and demand </w:t>
      </w:r>
      <m:oMath>
        <m:r>
          <w:rPr>
            <w:rFonts w:ascii="Cambria Math" w:hAnsi="Cambria Math"/>
          </w:rPr>
          <m:t>D</m:t>
        </m:r>
      </m:oMath>
      <w:r w:rsidRPr="00FD62C4">
        <w:rPr>
          <w:lang w:eastAsia="ko-KR"/>
        </w:rPr>
        <w:t xml:space="preserve"> have been quantified so far. In Hz, supply </w:t>
      </w:r>
      <m:oMath>
        <m:r>
          <w:rPr>
            <w:rFonts w:ascii="Cambria Math" w:hAnsi="Cambria Math"/>
          </w:rPr>
          <m:t>S</m:t>
        </m:r>
      </m:oMath>
      <w:r w:rsidRPr="00FD62C4">
        <w:rPr>
          <w:lang w:eastAsia="zh-CN"/>
        </w:rPr>
        <w:t xml:space="preserve"> and demand </w:t>
      </w:r>
      <m:oMath>
        <m:r>
          <w:rPr>
            <w:rFonts w:ascii="Cambria Math" w:hAnsi="Cambria Math"/>
          </w:rPr>
          <m:t>D</m:t>
        </m:r>
      </m:oMath>
      <w:r w:rsidRPr="00FD62C4">
        <w:rPr>
          <w:lang w:eastAsia="ko-KR"/>
        </w:rPr>
        <w:t xml:space="preserve"> are determined by the bandwidth </w:t>
      </w:r>
      <m:oMath>
        <m:r>
          <w:rPr>
            <w:rFonts w:ascii="Cambria Math" w:hAnsi="Cambria Math"/>
            <w:lang w:eastAsia="ko-KR"/>
          </w:rPr>
          <m:t>B</m:t>
        </m:r>
      </m:oMath>
      <w:r w:rsidRPr="00FD62C4">
        <w:rPr>
          <w:lang w:eastAsia="ko-KR"/>
        </w:rPr>
        <w:t xml:space="preserve"> and the spectrum usage </w:t>
      </w:r>
      <m:oMath>
        <m:r>
          <w:rPr>
            <w:rFonts w:ascii="Cambria Math" w:hAnsi="Cambria Math"/>
            <w:lang w:eastAsia="ko-KR"/>
          </w:rPr>
          <m:t>R</m:t>
        </m:r>
      </m:oMath>
      <w:r w:rsidRPr="00FD62C4">
        <w:rPr>
          <w:lang w:eastAsia="ko-KR"/>
        </w:rPr>
        <w:t xml:space="preserve"> of the system, respectively. In b</w:t>
      </w:r>
      <w:r w:rsidR="00E44DF3" w:rsidRPr="00FD62C4">
        <w:rPr>
          <w:lang w:eastAsia="ko-KR"/>
        </w:rPr>
        <w:t>it/</w:t>
      </w:r>
      <w:r w:rsidRPr="00FD62C4">
        <w:rPr>
          <w:lang w:eastAsia="ko-KR"/>
        </w:rPr>
        <w:t xml:space="preserve">s, supply </w:t>
      </w:r>
      <m:oMath>
        <m:r>
          <w:rPr>
            <w:rFonts w:ascii="Cambria Math" w:hAnsi="Cambria Math"/>
          </w:rPr>
          <m:t>S</m:t>
        </m:r>
      </m:oMath>
      <w:r w:rsidRPr="00FD62C4">
        <w:rPr>
          <w:lang w:eastAsia="zh-CN"/>
        </w:rPr>
        <w:t xml:space="preserve"> and demand </w:t>
      </w:r>
      <m:oMath>
        <m:r>
          <w:rPr>
            <w:rFonts w:ascii="Cambria Math" w:hAnsi="Cambria Math"/>
          </w:rPr>
          <m:t>D</m:t>
        </m:r>
      </m:oMath>
      <w:r w:rsidRPr="00FD62C4">
        <w:rPr>
          <w:lang w:eastAsia="ko-KR"/>
        </w:rPr>
        <w:t xml:space="preserve"> are determined by the system capacity </w:t>
      </w:r>
      <m:oMath>
        <m:r>
          <w:rPr>
            <w:rFonts w:ascii="Cambria Math" w:hAnsi="Cambria Math"/>
            <w:lang w:eastAsia="ko-KR"/>
          </w:rPr>
          <m:t>C</m:t>
        </m:r>
      </m:oMath>
      <w:r w:rsidRPr="00FD62C4">
        <w:rPr>
          <w:lang w:eastAsia="ko-KR"/>
        </w:rPr>
        <w:t xml:space="preserve"> and the total traffic amount </w:t>
      </w:r>
      <m:oMath>
        <m:r>
          <w:rPr>
            <w:rFonts w:ascii="Cambria Math" w:hAnsi="Cambria Math"/>
            <w:lang w:eastAsia="ko-KR"/>
          </w:rPr>
          <m:t>T</m:t>
        </m:r>
      </m:oMath>
      <w:r w:rsidRPr="00FD62C4">
        <w:rPr>
          <w:lang w:eastAsia="ko-KR"/>
        </w:rPr>
        <w:t xml:space="preserve"> of the system, respectively. </w:t>
      </w:r>
      <w:r w:rsidRPr="00FD62C4">
        <w:rPr>
          <w:lang w:eastAsia="zh-CN"/>
        </w:rPr>
        <w:t>At this stage, the criterion (C</w:t>
      </w:r>
      <w:r w:rsidRPr="00FD62C4">
        <w:rPr>
          <w:lang w:eastAsia="zh-CN"/>
        </w:rPr>
        <w:noBreakHyphen/>
        <w:t xml:space="preserve">1) from </w:t>
      </w:r>
      <w:r w:rsidR="00BA0A9C" w:rsidRPr="00FD62C4">
        <w:rPr>
          <w:lang w:eastAsia="zh-CN"/>
        </w:rPr>
        <w:t>§ </w:t>
      </w:r>
      <w:r w:rsidRPr="00FD62C4">
        <w:rPr>
          <w:lang w:eastAsia="ko-KR"/>
        </w:rPr>
        <w:t>A1</w:t>
      </w:r>
      <w:r w:rsidR="00EA65DA" w:rsidRPr="00FD62C4">
        <w:rPr>
          <w:lang w:eastAsia="ko-KR"/>
        </w:rPr>
        <w:t>.</w:t>
      </w:r>
      <w:r w:rsidRPr="00FD62C4">
        <w:rPr>
          <w:lang w:eastAsia="zh-CN"/>
        </w:rPr>
        <w:t>2.1 can be applied.</w:t>
      </w:r>
    </w:p>
    <w:p w14:paraId="598EE4AF" w14:textId="53CD054F" w:rsidR="00A812FA" w:rsidRPr="00FD62C4" w:rsidRDefault="00A812FA" w:rsidP="00A812FA">
      <w:pPr>
        <w:pStyle w:val="enumlev1"/>
        <w:rPr>
          <w:lang w:eastAsia="ko-KR"/>
        </w:rPr>
      </w:pPr>
      <w:r w:rsidRPr="00FD62C4">
        <w:rPr>
          <w:lang w:eastAsia="ko-KR"/>
        </w:rPr>
        <w:tab/>
      </w:r>
      <w:r w:rsidRPr="00FD62C4">
        <w:rPr>
          <w:lang w:eastAsia="zh-CN"/>
        </w:rPr>
        <w:t xml:space="preserve">By </w:t>
      </w:r>
      <w:r w:rsidRPr="00FD62C4">
        <w:rPr>
          <w:lang w:eastAsia="ko-KR"/>
        </w:rPr>
        <w:t xml:space="preserve">comparing the supply </w:t>
      </w:r>
      <m:oMath>
        <m:r>
          <w:rPr>
            <w:rFonts w:ascii="Cambria Math" w:hAnsi="Cambria Math"/>
            <w:lang w:eastAsia="ko-KR"/>
          </w:rPr>
          <m:t>S</m:t>
        </m:r>
      </m:oMath>
      <w:r w:rsidRPr="00FD62C4">
        <w:rPr>
          <w:lang w:eastAsia="ko-KR"/>
        </w:rPr>
        <w:t xml:space="preserve"> and demand </w:t>
      </w:r>
      <m:oMath>
        <m:r>
          <w:rPr>
            <w:rFonts w:ascii="Cambria Math" w:hAnsi="Cambria Math"/>
            <w:lang w:eastAsia="ko-KR"/>
          </w:rPr>
          <m:t>D</m:t>
        </m:r>
      </m:oMath>
      <w:r w:rsidRPr="00FD62C4">
        <w:rPr>
          <w:lang w:eastAsia="ko-KR"/>
        </w:rPr>
        <w:t xml:space="preserve">, if </w:t>
      </w:r>
      <m:oMath>
        <m:r>
          <w:rPr>
            <w:rFonts w:ascii="Cambria Math" w:hAnsi="Cambria Math"/>
            <w:lang w:eastAsia="ko-KR"/>
          </w:rPr>
          <m:t>D&lt;S</m:t>
        </m:r>
      </m:oMath>
      <w:r w:rsidRPr="00FD62C4">
        <w:rPr>
          <w:lang w:eastAsia="ko-KR"/>
        </w:rPr>
        <w:t xml:space="preserve">, the licensed spectrum is considered available for the license </w:t>
      </w:r>
      <w:r w:rsidRPr="00FD62C4">
        <w:t>owner</w:t>
      </w:r>
      <w:r w:rsidRPr="00FD62C4">
        <w:rPr>
          <w:lang w:eastAsia="ko-KR"/>
        </w:rPr>
        <w:t xml:space="preserve">. Spectrum availability can then be quantified </w:t>
      </w:r>
      <w:r w:rsidRPr="00FD62C4">
        <w:rPr>
          <w:spacing w:val="-4"/>
          <w:lang w:eastAsia="ko-KR"/>
        </w:rPr>
        <w:t xml:space="preserve">using the spectrum availability index </w:t>
      </w:r>
      <m:oMath>
        <m:r>
          <w:rPr>
            <w:rFonts w:ascii="Cambria Math" w:hAnsi="Cambria Math"/>
            <w:spacing w:val="-4"/>
            <w:lang w:eastAsia="ko-KR"/>
          </w:rPr>
          <m:t>SA</m:t>
        </m:r>
        <m:sSub>
          <m:sSubPr>
            <m:ctrlPr>
              <w:rPr>
                <w:rFonts w:ascii="Cambria Math" w:hAnsi="Cambria Math"/>
                <w:i/>
                <w:spacing w:val="-4"/>
                <w:lang w:eastAsia="ko-KR"/>
              </w:rPr>
            </m:ctrlPr>
          </m:sSubPr>
          <m:e>
            <m:r>
              <w:rPr>
                <w:rFonts w:ascii="Cambria Math" w:hAnsi="Cambria Math"/>
                <w:spacing w:val="-4"/>
                <w:lang w:eastAsia="ko-KR"/>
              </w:rPr>
              <m:t>I</m:t>
            </m:r>
          </m:e>
          <m:sub>
            <m:r>
              <w:rPr>
                <w:rFonts w:ascii="Cambria Math" w:hAnsi="Cambria Math"/>
                <w:spacing w:val="-4"/>
                <w:lang w:eastAsia="ko-KR"/>
              </w:rPr>
              <m:t>EL</m:t>
            </m:r>
          </m:sub>
        </m:sSub>
      </m:oMath>
      <w:r w:rsidRPr="00FD62C4">
        <w:rPr>
          <w:spacing w:val="-4"/>
          <w:lang w:eastAsia="ko-KR"/>
        </w:rPr>
        <w:t xml:space="preserve">, given by </w:t>
      </w:r>
      <m:oMath>
        <m:r>
          <w:rPr>
            <w:rFonts w:ascii="Cambria Math" w:hAnsi="Cambria Math"/>
            <w:spacing w:val="-4"/>
            <w:lang w:eastAsia="ko-KR"/>
          </w:rPr>
          <m:t>(S-D)/S</m:t>
        </m:r>
      </m:oMath>
      <w:r w:rsidRPr="00FD62C4">
        <w:rPr>
          <w:spacing w:val="-4"/>
          <w:lang w:eastAsia="ko-KR"/>
        </w:rPr>
        <w:t xml:space="preserve"> in (I-1) from </w:t>
      </w:r>
      <w:r w:rsidR="005637BE" w:rsidRPr="00FD62C4">
        <w:rPr>
          <w:spacing w:val="-4"/>
          <w:lang w:eastAsia="ko-KR"/>
        </w:rPr>
        <w:t>§</w:t>
      </w:r>
      <w:r w:rsidRPr="00FD62C4">
        <w:rPr>
          <w:spacing w:val="-4"/>
          <w:lang w:eastAsia="ko-KR"/>
        </w:rPr>
        <w:t> </w:t>
      </w:r>
      <w:r w:rsidRPr="00FD62C4">
        <w:t>A</w:t>
      </w:r>
      <w:r w:rsidR="00EA65DA" w:rsidRPr="00FD62C4">
        <w:t>1.</w:t>
      </w:r>
      <w:r w:rsidRPr="00FD62C4">
        <w:rPr>
          <w:spacing w:val="-4"/>
          <w:lang w:eastAsia="ko-KR"/>
        </w:rPr>
        <w:t>2.1.</w:t>
      </w:r>
    </w:p>
    <w:p w14:paraId="59E80203" w14:textId="24CB6BB5" w:rsidR="00A812FA" w:rsidRPr="00FD62C4" w:rsidRDefault="00A812FA" w:rsidP="00A812FA">
      <w:pPr>
        <w:rPr>
          <w:lang w:eastAsia="ko-KR"/>
        </w:rPr>
      </w:pPr>
      <w:r w:rsidRPr="00FD62C4">
        <w:rPr>
          <w:lang w:eastAsia="ko-KR"/>
        </w:rPr>
        <w:t>This procedure is presented as a flowchart in Fig</w:t>
      </w:r>
      <w:r w:rsidR="005637BE" w:rsidRPr="00FD62C4">
        <w:rPr>
          <w:lang w:eastAsia="ko-KR"/>
        </w:rPr>
        <w:t>.</w:t>
      </w:r>
      <w:r w:rsidRPr="00FD62C4">
        <w:rPr>
          <w:lang w:eastAsia="ko-KR"/>
        </w:rPr>
        <w:t xml:space="preserve"> </w:t>
      </w:r>
      <w:r w:rsidRPr="00FD62C4">
        <w:t>A1-</w:t>
      </w:r>
      <w:r w:rsidRPr="00FD62C4">
        <w:rPr>
          <w:lang w:eastAsia="ko-KR"/>
        </w:rPr>
        <w:t>1.</w:t>
      </w:r>
    </w:p>
    <w:p w14:paraId="34A21145" w14:textId="0FE31448" w:rsidR="00A812FA" w:rsidRPr="00FD62C4" w:rsidRDefault="004048D3" w:rsidP="0056771B">
      <w:pPr>
        <w:pStyle w:val="FigureNo"/>
      </w:pPr>
      <w:r w:rsidRPr="0056771B">
        <w:lastRenderedPageBreak/>
        <w:t>FIGURE</w:t>
      </w:r>
      <w:r w:rsidR="00A812FA" w:rsidRPr="00FD62C4">
        <w:t xml:space="preserve"> A1-1</w:t>
      </w:r>
    </w:p>
    <w:p w14:paraId="487D5849" w14:textId="77777777" w:rsidR="00A812FA" w:rsidRPr="00FD62C4" w:rsidRDefault="00A812FA" w:rsidP="00A812FA">
      <w:pPr>
        <w:pStyle w:val="Figuretitle"/>
        <w:rPr>
          <w:lang w:eastAsia="ko-KR"/>
        </w:rPr>
      </w:pPr>
      <w:r w:rsidRPr="00FD62C4">
        <w:t xml:space="preserve">Flowchart of the assessment methodology for the </w:t>
      </w:r>
      <w:r w:rsidRPr="00FD62C4">
        <w:rPr>
          <w:rFonts w:cs="Times New Roman Bold"/>
        </w:rPr>
        <w:t>“</w:t>
      </w:r>
      <w:r w:rsidRPr="00FD62C4">
        <w:t>exclusive use of licensed spectrum</w:t>
      </w:r>
      <w:r w:rsidRPr="00FD62C4">
        <w:rPr>
          <w:rFonts w:cs="Times New Roman Bold"/>
        </w:rPr>
        <w:t>”</w:t>
      </w:r>
    </w:p>
    <w:p w14:paraId="0BB0C8A8" w14:textId="77777777" w:rsidR="00A812FA" w:rsidRPr="00FD62C4" w:rsidRDefault="00A812FA" w:rsidP="00A812FA">
      <w:pPr>
        <w:pStyle w:val="Figure"/>
      </w:pPr>
      <w:r w:rsidRPr="00FD62C4">
        <w:rPr>
          <w:noProof/>
        </w:rPr>
        <w:drawing>
          <wp:inline distT="0" distB="0" distL="0" distR="0" wp14:anchorId="2173D564" wp14:editId="5766E13A">
            <wp:extent cx="4291200" cy="7084800"/>
            <wp:effectExtent l="0" t="0" r="0" b="1905"/>
            <wp:docPr id="3751" name="그림 3751" descr="Flowchart of the assessment methodology for the “exclusive use of licensed spectr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51" name="그림 3751" descr="Flowchart of the assessment methodology for the “exclusive use of licensed spectrum”"/>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291200" cy="7084800"/>
                    </a:xfrm>
                    <a:prstGeom prst="rect">
                      <a:avLst/>
                    </a:prstGeom>
                  </pic:spPr>
                </pic:pic>
              </a:graphicData>
            </a:graphic>
          </wp:inline>
        </w:drawing>
      </w:r>
    </w:p>
    <w:p w14:paraId="180E8A3C" w14:textId="17CC4F06" w:rsidR="00A812FA" w:rsidRPr="00FD62C4" w:rsidRDefault="00A812FA" w:rsidP="00F91225">
      <w:pPr>
        <w:pStyle w:val="Heading4"/>
      </w:pPr>
      <w:bookmarkStart w:id="90" w:name="_Toc176778717"/>
      <w:r w:rsidRPr="00FD62C4">
        <w:t>A1</w:t>
      </w:r>
      <w:r w:rsidR="00EA65DA" w:rsidRPr="00FD62C4">
        <w:t>.</w:t>
      </w:r>
      <w:r w:rsidRPr="00FD62C4">
        <w:t>3.1.3</w:t>
      </w:r>
      <w:r w:rsidRPr="00FD62C4">
        <w:tab/>
        <w:t>Prediction</w:t>
      </w:r>
      <w:bookmarkEnd w:id="90"/>
      <w:r w:rsidRPr="00FD62C4">
        <w:t xml:space="preserve"> methodology</w:t>
      </w:r>
    </w:p>
    <w:p w14:paraId="00D9D1EE" w14:textId="77777777" w:rsidR="00A812FA" w:rsidRPr="00FD62C4" w:rsidRDefault="00A812FA" w:rsidP="00A812FA">
      <w:pPr>
        <w:rPr>
          <w:lang w:eastAsia="ko-KR"/>
        </w:rPr>
      </w:pPr>
      <w:r w:rsidRPr="00FD62C4">
        <w:rPr>
          <w:lang w:eastAsia="ko-KR"/>
        </w:rPr>
        <w:t>Future spectrum availability is generally predicted by forecasting the information required for assessment and then assessing spectrum availability based on this predicted information. This approach also applies to the case of “exclusive use of licensed spectrum”.</w:t>
      </w:r>
    </w:p>
    <w:p w14:paraId="3F57386E" w14:textId="77777777" w:rsidR="00A812FA" w:rsidRPr="00FD62C4" w:rsidRDefault="00A812FA" w:rsidP="00A812FA">
      <w:pPr>
        <w:rPr>
          <w:lang w:eastAsia="ko-KR"/>
        </w:rPr>
      </w:pPr>
      <w:r w:rsidRPr="00FD62C4">
        <w:rPr>
          <w:lang w:eastAsia="ko-KR"/>
        </w:rPr>
        <w:t xml:space="preserve">For these forecasts, time-accumulated data on the required information are needed. For example, in this case, it includes monthly or annual records of traffic </w:t>
      </w:r>
      <m:oMath>
        <m:r>
          <w:rPr>
            <w:rFonts w:ascii="Cambria Math" w:hAnsi="Cambria Math"/>
          </w:rPr>
          <m:t>T</m:t>
        </m:r>
      </m:oMath>
      <w:r w:rsidRPr="00FD62C4">
        <w:rPr>
          <w:lang w:eastAsia="ko-KR"/>
        </w:rPr>
        <w:t xml:space="preserve"> and spectrum usage </w:t>
      </w:r>
      <m:oMath>
        <m:r>
          <w:rPr>
            <w:rFonts w:ascii="Cambria Math" w:hAnsi="Cambria Math"/>
          </w:rPr>
          <m:t>R</m:t>
        </m:r>
      </m:oMath>
      <w:r w:rsidRPr="00FD62C4">
        <w:rPr>
          <w:lang w:eastAsia="ko-KR"/>
        </w:rPr>
        <w:t>.</w:t>
      </w:r>
    </w:p>
    <w:p w14:paraId="101CAACF" w14:textId="77777777" w:rsidR="00A812FA" w:rsidRPr="00FD62C4" w:rsidRDefault="00A812FA" w:rsidP="00A812FA">
      <w:pPr>
        <w:rPr>
          <w:lang w:eastAsia="ko-KR"/>
        </w:rPr>
      </w:pPr>
      <w:r w:rsidRPr="00FD62C4">
        <w:rPr>
          <w:lang w:eastAsia="ko-KR"/>
        </w:rPr>
        <w:lastRenderedPageBreak/>
        <w:t>Once sufficient time-accumulated data have been collected, forecasting methodologies from fields such as mathematics, statistics, and machine learning can be employed to predict future information</w:t>
      </w:r>
      <w:r w:rsidRPr="00FD62C4">
        <w:rPr>
          <w:rStyle w:val="FootnoteReference"/>
          <w:lang w:eastAsia="ko-KR"/>
        </w:rPr>
        <w:footnoteReference w:id="12"/>
      </w:r>
      <w:r w:rsidRPr="00FD62C4">
        <w:rPr>
          <w:lang w:eastAsia="ko-KR"/>
        </w:rPr>
        <w:t>. Examples include regression analysis, system dynamics models, autoregressive integrated moving average models, and neural networks such as recurrent neural networks or long short-term memory networks.</w:t>
      </w:r>
    </w:p>
    <w:p w14:paraId="36D173C8" w14:textId="77777777" w:rsidR="00A812FA" w:rsidRPr="00FD62C4" w:rsidRDefault="00A812FA" w:rsidP="00A812FA">
      <w:pPr>
        <w:rPr>
          <w:lang w:eastAsia="ko-KR"/>
        </w:rPr>
      </w:pPr>
      <w:r w:rsidRPr="00FD62C4">
        <w:rPr>
          <w:lang w:eastAsia="zh-CN"/>
        </w:rPr>
        <w:t xml:space="preserve">Additionally, some information can be predicted based on the projected timelines related to specific plans. For instance, in this case, future bandwidth </w:t>
      </w:r>
      <m:oMath>
        <m:r>
          <w:rPr>
            <w:rFonts w:ascii="Cambria Math" w:hAnsi="Cambria Math"/>
            <w:lang w:eastAsia="ko-KR"/>
          </w:rPr>
          <m:t>B</m:t>
        </m:r>
      </m:oMath>
      <w:r w:rsidRPr="00FD62C4">
        <w:rPr>
          <w:lang w:eastAsia="zh-CN"/>
        </w:rPr>
        <w:t xml:space="preserve"> and spectral efficiency </w:t>
      </w:r>
      <m:oMath>
        <m:r>
          <w:rPr>
            <w:rFonts w:ascii="Cambria Math" w:hAnsi="Cambria Math"/>
            <w:lang w:eastAsia="ko-KR"/>
          </w:rPr>
          <m:t>E</m:t>
        </m:r>
      </m:oMath>
      <w:r w:rsidRPr="00FD62C4">
        <w:rPr>
          <w:lang w:eastAsia="ko-KR"/>
        </w:rPr>
        <w:t xml:space="preserve"> can be predicted using the projected timeline related to</w:t>
      </w:r>
      <w:r w:rsidRPr="00FD62C4">
        <w:rPr>
          <w:lang w:eastAsia="zh-CN"/>
        </w:rPr>
        <w:t xml:space="preserve"> the Administration’s spectrum assignment plan and technological developments for the service</w:t>
      </w:r>
      <w:r w:rsidRPr="00FD62C4">
        <w:rPr>
          <w:lang w:eastAsia="ko-KR"/>
        </w:rPr>
        <w:t>.</w:t>
      </w:r>
    </w:p>
    <w:p w14:paraId="1C539C6C" w14:textId="26778D06" w:rsidR="00A812FA" w:rsidRPr="00FD62C4" w:rsidRDefault="00A812FA" w:rsidP="00F91225">
      <w:pPr>
        <w:pStyle w:val="Heading3"/>
      </w:pPr>
      <w:bookmarkStart w:id="91" w:name="_Toc106624178"/>
      <w:bookmarkStart w:id="92" w:name="_Toc137196265"/>
      <w:bookmarkStart w:id="93" w:name="_Toc167886256"/>
      <w:bookmarkStart w:id="94" w:name="_Toc232493290"/>
      <w:bookmarkStart w:id="95" w:name="_Toc235620217"/>
      <w:r w:rsidRPr="00FD62C4">
        <w:t>A1</w:t>
      </w:r>
      <w:r w:rsidR="00EA65DA" w:rsidRPr="00FD62C4">
        <w:t>.</w:t>
      </w:r>
      <w:r w:rsidRPr="00FD62C4">
        <w:t>3.2</w:t>
      </w:r>
      <w:r w:rsidRPr="00FD62C4">
        <w:tab/>
        <w:t>Shared use of licensed spectrum</w:t>
      </w:r>
      <w:bookmarkEnd w:id="91"/>
      <w:bookmarkEnd w:id="92"/>
      <w:bookmarkEnd w:id="93"/>
      <w:bookmarkEnd w:id="94"/>
      <w:bookmarkEnd w:id="95"/>
    </w:p>
    <w:p w14:paraId="4EA489C4" w14:textId="25845650" w:rsidR="00A812FA" w:rsidRPr="00FD62C4" w:rsidRDefault="00A812FA" w:rsidP="00A812FA">
      <w:pPr>
        <w:rPr>
          <w:lang w:eastAsia="ko-KR"/>
        </w:rPr>
      </w:pPr>
      <w:r w:rsidRPr="00FD62C4">
        <w:rPr>
          <w:lang w:eastAsia="ko-KR"/>
        </w:rPr>
        <w:t xml:space="preserve">This </w:t>
      </w:r>
      <w:r w:rsidR="00EF5C75" w:rsidRPr="00FD62C4">
        <w:rPr>
          <w:lang w:eastAsia="ko-KR"/>
        </w:rPr>
        <w:t>sub-</w:t>
      </w:r>
      <w:r w:rsidRPr="00FD62C4">
        <w:rPr>
          <w:lang w:eastAsia="ko-KR"/>
        </w:rPr>
        <w:t>section presents an abridged methodology and the required information for assessing or predicting the availability of licensed spectrum for the service in question, which refers to a potential license purchaser or a secondary user seeking to share the primary user’s licensed spectrum.</w:t>
      </w:r>
    </w:p>
    <w:p w14:paraId="1945F654" w14:textId="6B0072D3" w:rsidR="00A812FA" w:rsidRPr="00FD62C4" w:rsidRDefault="00A812FA" w:rsidP="00F91225">
      <w:pPr>
        <w:pStyle w:val="Heading4"/>
      </w:pPr>
      <w:bookmarkStart w:id="96" w:name="_Toc176778723"/>
      <w:r w:rsidRPr="00FD62C4">
        <w:t>A1</w:t>
      </w:r>
      <w:r w:rsidR="00EA65DA" w:rsidRPr="00FD62C4">
        <w:t>.</w:t>
      </w:r>
      <w:r w:rsidRPr="00FD62C4">
        <w:t>3.2.1</w:t>
      </w:r>
      <w:r w:rsidRPr="00FD62C4">
        <w:tab/>
        <w:t>Required information</w:t>
      </w:r>
      <w:bookmarkEnd w:id="96"/>
    </w:p>
    <w:p w14:paraId="2C07AAFD" w14:textId="77777777" w:rsidR="00A812FA" w:rsidRPr="00FD62C4" w:rsidRDefault="00A812FA" w:rsidP="00A812FA">
      <w:pPr>
        <w:rPr>
          <w:lang w:eastAsia="ko-KR"/>
        </w:rPr>
      </w:pPr>
      <w:r w:rsidRPr="00FD62C4">
        <w:rPr>
          <w:lang w:eastAsia="ko-KR"/>
        </w:rPr>
        <w:t xml:space="preserve">The general steps and required information for assessing spectrum availability in the context of the “shared use of licensed spectrum” are shown in Table </w:t>
      </w:r>
      <w:r w:rsidRPr="00FD62C4">
        <w:t>A1-</w:t>
      </w:r>
      <w:r w:rsidRPr="00FD62C4">
        <w:rPr>
          <w:lang w:eastAsia="ko-KR"/>
        </w:rPr>
        <w:t xml:space="preserve">2. To predict spectrum availability, time-accumulated data, such as monthly or annual records of the information in Table </w:t>
      </w:r>
      <w:r w:rsidRPr="00FD62C4">
        <w:t>A1-</w:t>
      </w:r>
      <w:r w:rsidRPr="00FD62C4">
        <w:rPr>
          <w:lang w:eastAsia="ko-KR"/>
        </w:rPr>
        <w:t>2, along with projected timelines related to the Administration’s spectrum assignment plan, the primary user’s station operation plan, and technological developments, are required. It should be noted that the required information may vary depending on the specific assessment methodology used.</w:t>
      </w:r>
    </w:p>
    <w:p w14:paraId="3D3787C6" w14:textId="77777777" w:rsidR="00A812FA" w:rsidRPr="00FD62C4" w:rsidRDefault="00A812FA" w:rsidP="00A812FA">
      <w:pPr>
        <w:pStyle w:val="TableNo"/>
      </w:pPr>
      <w:r w:rsidRPr="00FD62C4">
        <w:t>TABLE A1-2</w:t>
      </w:r>
    </w:p>
    <w:p w14:paraId="166084EF" w14:textId="77777777" w:rsidR="00A812FA" w:rsidRPr="00FD62C4" w:rsidRDefault="00A812FA" w:rsidP="00A812FA">
      <w:pPr>
        <w:pStyle w:val="Tabletitle"/>
      </w:pPr>
      <w:r w:rsidRPr="00FD62C4">
        <w:t xml:space="preserve">Required information for the </w:t>
      </w:r>
      <w:r w:rsidRPr="00FD62C4">
        <w:rPr>
          <w:rFonts w:cs="Times New Roman Bold"/>
        </w:rPr>
        <w:t>“</w:t>
      </w:r>
      <w:r w:rsidRPr="00FD62C4">
        <w:t>shared use of licensed spectrum</w:t>
      </w:r>
      <w:r w:rsidRPr="00FD62C4">
        <w:rPr>
          <w:rFonts w:cs="Times New Roman Bold"/>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7" w:type="dxa"/>
          <w:right w:w="107" w:type="dxa"/>
        </w:tblCellMar>
        <w:tblLook w:val="04A0" w:firstRow="1" w:lastRow="0" w:firstColumn="1" w:lastColumn="0" w:noHBand="0" w:noVBand="1"/>
      </w:tblPr>
      <w:tblGrid>
        <w:gridCol w:w="2871"/>
        <w:gridCol w:w="6758"/>
      </w:tblGrid>
      <w:tr w:rsidR="00A812FA" w:rsidRPr="00FD62C4" w14:paraId="3C6F7769" w14:textId="77777777" w:rsidTr="008F72A3">
        <w:trPr>
          <w:tblHeader/>
          <w:jc w:val="center"/>
        </w:trPr>
        <w:tc>
          <w:tcPr>
            <w:tcW w:w="1491" w:type="pct"/>
            <w:tcBorders>
              <w:top w:val="single" w:sz="4" w:space="0" w:color="auto"/>
              <w:left w:val="single" w:sz="4" w:space="0" w:color="auto"/>
              <w:bottom w:val="single" w:sz="4" w:space="0" w:color="auto"/>
              <w:right w:val="single" w:sz="4" w:space="0" w:color="auto"/>
            </w:tcBorders>
            <w:hideMark/>
          </w:tcPr>
          <w:p w14:paraId="0FD87BAD" w14:textId="77777777" w:rsidR="00A812FA" w:rsidRPr="00FD62C4" w:rsidRDefault="00A812FA" w:rsidP="00C17884">
            <w:pPr>
              <w:pStyle w:val="Tablehead"/>
            </w:pPr>
            <w:r w:rsidRPr="00FD62C4">
              <w:t>Step</w:t>
            </w:r>
          </w:p>
        </w:tc>
        <w:tc>
          <w:tcPr>
            <w:tcW w:w="3509" w:type="pct"/>
            <w:tcBorders>
              <w:top w:val="single" w:sz="4" w:space="0" w:color="auto"/>
              <w:left w:val="single" w:sz="4" w:space="0" w:color="auto"/>
              <w:bottom w:val="single" w:sz="4" w:space="0" w:color="auto"/>
              <w:right w:val="single" w:sz="4" w:space="0" w:color="auto"/>
            </w:tcBorders>
            <w:hideMark/>
          </w:tcPr>
          <w:p w14:paraId="7F0D4DD2" w14:textId="77777777" w:rsidR="00A812FA" w:rsidRPr="00FD62C4" w:rsidRDefault="00A812FA" w:rsidP="00C17884">
            <w:pPr>
              <w:pStyle w:val="Tablehead"/>
              <w:rPr>
                <w:lang w:eastAsia="ko-KR"/>
              </w:rPr>
            </w:pPr>
            <w:r w:rsidRPr="00FD62C4">
              <w:rPr>
                <w:lang w:eastAsia="ko-KR"/>
              </w:rPr>
              <w:t>Required information</w:t>
            </w:r>
          </w:p>
        </w:tc>
      </w:tr>
      <w:tr w:rsidR="00A812FA" w:rsidRPr="00FD62C4" w14:paraId="68F876DC" w14:textId="77777777" w:rsidTr="008F72A3">
        <w:trPr>
          <w:trHeight w:val="383"/>
          <w:jc w:val="center"/>
        </w:trPr>
        <w:tc>
          <w:tcPr>
            <w:tcW w:w="1491" w:type="pct"/>
            <w:vMerge w:val="restart"/>
            <w:tcBorders>
              <w:top w:val="single" w:sz="4" w:space="0" w:color="auto"/>
              <w:left w:val="single" w:sz="4" w:space="0" w:color="auto"/>
              <w:right w:val="single" w:sz="4" w:space="0" w:color="auto"/>
            </w:tcBorders>
            <w:hideMark/>
          </w:tcPr>
          <w:p w14:paraId="1B44D662" w14:textId="77777777" w:rsidR="00A812FA" w:rsidRPr="00FD62C4" w:rsidRDefault="00A812FA" w:rsidP="00A70780">
            <w:pPr>
              <w:pStyle w:val="Tabletext"/>
            </w:pPr>
            <w:r w:rsidRPr="00FD62C4">
              <w:t>Determination of spectrum use units granularity</w:t>
            </w:r>
          </w:p>
        </w:tc>
        <w:tc>
          <w:tcPr>
            <w:tcW w:w="3509" w:type="pct"/>
            <w:tcBorders>
              <w:top w:val="single" w:sz="4" w:space="0" w:color="auto"/>
              <w:left w:val="single" w:sz="4" w:space="0" w:color="auto"/>
              <w:bottom w:val="single" w:sz="4" w:space="0" w:color="auto"/>
              <w:right w:val="single" w:sz="4" w:space="0" w:color="auto"/>
            </w:tcBorders>
            <w:hideMark/>
          </w:tcPr>
          <w:p w14:paraId="3AE11BE8" w14:textId="77777777" w:rsidR="00A812FA" w:rsidRPr="00FD62C4" w:rsidRDefault="00A812FA" w:rsidP="00A70780">
            <w:pPr>
              <w:pStyle w:val="Tabletext"/>
              <w:rPr>
                <w:lang w:eastAsia="ko-KR"/>
              </w:rPr>
            </w:pPr>
            <w:r w:rsidRPr="00FD62C4">
              <w:t>–</w:t>
            </w:r>
            <w:r w:rsidRPr="00FD62C4">
              <w:tab/>
              <w:t>Frequency band range of the licensed spectrum.</w:t>
            </w:r>
          </w:p>
        </w:tc>
      </w:tr>
      <w:tr w:rsidR="00A812FA" w:rsidRPr="00FD62C4" w14:paraId="09954F92" w14:textId="77777777" w:rsidTr="008F72A3">
        <w:trPr>
          <w:trHeight w:val="382"/>
          <w:jc w:val="center"/>
        </w:trPr>
        <w:tc>
          <w:tcPr>
            <w:tcW w:w="1491" w:type="pct"/>
            <w:vMerge/>
            <w:tcBorders>
              <w:left w:val="single" w:sz="4" w:space="0" w:color="auto"/>
              <w:bottom w:val="single" w:sz="4" w:space="0" w:color="auto"/>
              <w:right w:val="single" w:sz="4" w:space="0" w:color="auto"/>
            </w:tcBorders>
          </w:tcPr>
          <w:p w14:paraId="1EF4BF20" w14:textId="77777777" w:rsidR="00A812FA" w:rsidRPr="00FD62C4" w:rsidRDefault="00A812FA" w:rsidP="00A70780">
            <w:pPr>
              <w:pStyle w:val="Tabletext"/>
            </w:pPr>
          </w:p>
        </w:tc>
        <w:tc>
          <w:tcPr>
            <w:tcW w:w="3509" w:type="pct"/>
            <w:tcBorders>
              <w:top w:val="single" w:sz="4" w:space="0" w:color="auto"/>
              <w:left w:val="single" w:sz="4" w:space="0" w:color="auto"/>
              <w:bottom w:val="single" w:sz="4" w:space="0" w:color="auto"/>
              <w:right w:val="single" w:sz="4" w:space="0" w:color="auto"/>
            </w:tcBorders>
          </w:tcPr>
          <w:p w14:paraId="2E54E300" w14:textId="77777777" w:rsidR="00A812FA" w:rsidRPr="00FD62C4" w:rsidRDefault="00A812FA" w:rsidP="00A70780">
            <w:pPr>
              <w:pStyle w:val="Tabletext"/>
              <w:rPr>
                <w:lang w:eastAsia="ko-KR"/>
              </w:rPr>
            </w:pPr>
            <w:r w:rsidRPr="00FD62C4">
              <w:t>–</w:t>
            </w:r>
            <w:r w:rsidRPr="00FD62C4">
              <w:tab/>
            </w:r>
            <w:r w:rsidRPr="00FD62C4">
              <w:rPr>
                <w:lang w:eastAsia="ko-KR"/>
              </w:rPr>
              <w:t>Terrain data for the territory.</w:t>
            </w:r>
          </w:p>
        </w:tc>
      </w:tr>
      <w:tr w:rsidR="00A812FA" w:rsidRPr="00FD62C4" w14:paraId="2A63745B" w14:textId="77777777" w:rsidTr="008F72A3">
        <w:trPr>
          <w:jc w:val="center"/>
        </w:trPr>
        <w:tc>
          <w:tcPr>
            <w:tcW w:w="1491" w:type="pct"/>
            <w:tcBorders>
              <w:top w:val="single" w:sz="4" w:space="0" w:color="auto"/>
              <w:left w:val="single" w:sz="4" w:space="0" w:color="auto"/>
              <w:bottom w:val="single" w:sz="4" w:space="0" w:color="auto"/>
              <w:right w:val="single" w:sz="4" w:space="0" w:color="auto"/>
            </w:tcBorders>
          </w:tcPr>
          <w:p w14:paraId="401A3BFA" w14:textId="77777777" w:rsidR="00A812FA" w:rsidRPr="00FD62C4" w:rsidRDefault="00A812FA" w:rsidP="00A70780">
            <w:pPr>
              <w:pStyle w:val="Tabletext"/>
              <w:rPr>
                <w:lang w:eastAsia="ko-KR"/>
              </w:rPr>
            </w:pPr>
            <w:r w:rsidRPr="00FD62C4">
              <w:rPr>
                <w:lang w:eastAsia="ko-KR"/>
              </w:rPr>
              <w:t>Identification of primary user frequency use</w:t>
            </w:r>
          </w:p>
        </w:tc>
        <w:tc>
          <w:tcPr>
            <w:tcW w:w="3509" w:type="pct"/>
            <w:tcBorders>
              <w:top w:val="single" w:sz="4" w:space="0" w:color="auto"/>
              <w:left w:val="single" w:sz="4" w:space="0" w:color="auto"/>
              <w:bottom w:val="single" w:sz="4" w:space="0" w:color="auto"/>
              <w:right w:val="single" w:sz="4" w:space="0" w:color="auto"/>
            </w:tcBorders>
          </w:tcPr>
          <w:p w14:paraId="497BB88A" w14:textId="77777777" w:rsidR="00A812FA" w:rsidRPr="00FD62C4" w:rsidRDefault="00A812FA" w:rsidP="00A70780">
            <w:pPr>
              <w:pStyle w:val="Tabletext"/>
              <w:rPr>
                <w:lang w:eastAsia="ko-KR"/>
              </w:rPr>
            </w:pPr>
            <w:r w:rsidRPr="00FD62C4">
              <w:t>–</w:t>
            </w:r>
            <w:r w:rsidRPr="00FD62C4">
              <w:tab/>
            </w:r>
            <w:r w:rsidRPr="00FD62C4">
              <w:rPr>
                <w:lang w:eastAsia="ko-KR"/>
              </w:rPr>
              <w:t>Channels assigned to the primary user’s stations.</w:t>
            </w:r>
          </w:p>
        </w:tc>
      </w:tr>
      <w:tr w:rsidR="00A812FA" w:rsidRPr="00FD62C4" w14:paraId="1468DA9E" w14:textId="77777777" w:rsidTr="008F72A3">
        <w:trPr>
          <w:jc w:val="center"/>
        </w:trPr>
        <w:tc>
          <w:tcPr>
            <w:tcW w:w="1491" w:type="pct"/>
            <w:tcBorders>
              <w:top w:val="single" w:sz="4" w:space="0" w:color="auto"/>
              <w:left w:val="single" w:sz="4" w:space="0" w:color="auto"/>
              <w:bottom w:val="single" w:sz="4" w:space="0" w:color="auto"/>
              <w:right w:val="single" w:sz="4" w:space="0" w:color="auto"/>
            </w:tcBorders>
          </w:tcPr>
          <w:p w14:paraId="447381F4" w14:textId="77777777" w:rsidR="00A812FA" w:rsidRPr="00FD62C4" w:rsidRDefault="00A812FA" w:rsidP="00A70780">
            <w:pPr>
              <w:pStyle w:val="Tabletext"/>
            </w:pPr>
            <w:r w:rsidRPr="00FD62C4">
              <w:t>Identification of primary user temporal use</w:t>
            </w:r>
          </w:p>
        </w:tc>
        <w:tc>
          <w:tcPr>
            <w:tcW w:w="3509" w:type="pct"/>
            <w:tcBorders>
              <w:top w:val="single" w:sz="4" w:space="0" w:color="auto"/>
              <w:left w:val="single" w:sz="4" w:space="0" w:color="auto"/>
              <w:bottom w:val="single" w:sz="4" w:space="0" w:color="auto"/>
              <w:right w:val="single" w:sz="4" w:space="0" w:color="auto"/>
            </w:tcBorders>
          </w:tcPr>
          <w:p w14:paraId="1E4D3EA4" w14:textId="77777777" w:rsidR="00A812FA" w:rsidRPr="00FD62C4" w:rsidRDefault="00A812FA" w:rsidP="00A70780">
            <w:pPr>
              <w:pStyle w:val="Tabletext"/>
              <w:rPr>
                <w:lang w:eastAsia="ko-KR"/>
              </w:rPr>
            </w:pPr>
            <w:r w:rsidRPr="00FD62C4">
              <w:t>–</w:t>
            </w:r>
            <w:r w:rsidRPr="00FD62C4">
              <w:tab/>
            </w:r>
            <w:r w:rsidRPr="00FD62C4">
              <w:rPr>
                <w:lang w:eastAsia="ko-KR"/>
              </w:rPr>
              <w:t>Actual use timeline of the primary user’s stations.</w:t>
            </w:r>
          </w:p>
        </w:tc>
      </w:tr>
    </w:tbl>
    <w:p w14:paraId="7E8BB650" w14:textId="03FFDDDA" w:rsidR="00C17884" w:rsidRPr="00FD62C4" w:rsidRDefault="00C17884" w:rsidP="00C17884">
      <w:pPr>
        <w:pStyle w:val="TableNo"/>
        <w:keepLines/>
      </w:pPr>
      <w:r w:rsidRPr="00FD62C4">
        <w:lastRenderedPageBreak/>
        <w:t>TABLE A1-2</w:t>
      </w:r>
      <w:r>
        <w:t xml:space="preserve"> (</w:t>
      </w:r>
      <w:r w:rsidRPr="00C17884">
        <w:rPr>
          <w:i/>
          <w:iCs/>
        </w:rPr>
        <w:t>end</w:t>
      </w:r>
      <w: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7" w:type="dxa"/>
          <w:right w:w="107" w:type="dxa"/>
        </w:tblCellMar>
        <w:tblLook w:val="04A0" w:firstRow="1" w:lastRow="0" w:firstColumn="1" w:lastColumn="0" w:noHBand="0" w:noVBand="1"/>
      </w:tblPr>
      <w:tblGrid>
        <w:gridCol w:w="2871"/>
        <w:gridCol w:w="6758"/>
      </w:tblGrid>
      <w:tr w:rsidR="00C17884" w:rsidRPr="00FD62C4" w14:paraId="07A67FCD" w14:textId="77777777" w:rsidTr="008C18E6">
        <w:trPr>
          <w:tblHeader/>
          <w:jc w:val="center"/>
        </w:trPr>
        <w:tc>
          <w:tcPr>
            <w:tcW w:w="1491" w:type="pct"/>
            <w:tcBorders>
              <w:top w:val="single" w:sz="4" w:space="0" w:color="auto"/>
              <w:left w:val="single" w:sz="4" w:space="0" w:color="auto"/>
              <w:bottom w:val="single" w:sz="4" w:space="0" w:color="auto"/>
              <w:right w:val="single" w:sz="4" w:space="0" w:color="auto"/>
            </w:tcBorders>
            <w:hideMark/>
          </w:tcPr>
          <w:p w14:paraId="50DE2468" w14:textId="77777777" w:rsidR="00C17884" w:rsidRPr="00FD62C4" w:rsidRDefault="00C17884" w:rsidP="00C17884">
            <w:pPr>
              <w:pStyle w:val="Tablehead"/>
              <w:keepLines/>
            </w:pPr>
            <w:r w:rsidRPr="00FD62C4">
              <w:t>Step</w:t>
            </w:r>
          </w:p>
        </w:tc>
        <w:tc>
          <w:tcPr>
            <w:tcW w:w="3509" w:type="pct"/>
            <w:tcBorders>
              <w:top w:val="single" w:sz="4" w:space="0" w:color="auto"/>
              <w:left w:val="single" w:sz="4" w:space="0" w:color="auto"/>
              <w:bottom w:val="single" w:sz="4" w:space="0" w:color="auto"/>
              <w:right w:val="single" w:sz="4" w:space="0" w:color="auto"/>
            </w:tcBorders>
            <w:hideMark/>
          </w:tcPr>
          <w:p w14:paraId="752781AB" w14:textId="77777777" w:rsidR="00C17884" w:rsidRPr="00FD62C4" w:rsidRDefault="00C17884" w:rsidP="00C17884">
            <w:pPr>
              <w:pStyle w:val="Tablehead"/>
              <w:keepLines/>
              <w:rPr>
                <w:lang w:eastAsia="ko-KR"/>
              </w:rPr>
            </w:pPr>
            <w:r w:rsidRPr="00FD62C4">
              <w:rPr>
                <w:lang w:eastAsia="ko-KR"/>
              </w:rPr>
              <w:t>Required information</w:t>
            </w:r>
          </w:p>
        </w:tc>
      </w:tr>
      <w:tr w:rsidR="00A812FA" w:rsidRPr="00FD62C4" w14:paraId="078331C8" w14:textId="77777777" w:rsidTr="008F72A3">
        <w:trPr>
          <w:trHeight w:val="444"/>
          <w:jc w:val="center"/>
        </w:trPr>
        <w:tc>
          <w:tcPr>
            <w:tcW w:w="1491" w:type="pct"/>
            <w:vMerge w:val="restart"/>
            <w:tcBorders>
              <w:top w:val="single" w:sz="4" w:space="0" w:color="auto"/>
              <w:left w:val="single" w:sz="4" w:space="0" w:color="auto"/>
              <w:right w:val="single" w:sz="4" w:space="0" w:color="auto"/>
            </w:tcBorders>
            <w:hideMark/>
          </w:tcPr>
          <w:p w14:paraId="1597AC5A" w14:textId="77777777" w:rsidR="00A812FA" w:rsidRPr="00FD62C4" w:rsidRDefault="00A812FA" w:rsidP="00C17884">
            <w:pPr>
              <w:pStyle w:val="Tabletext"/>
              <w:keepNext/>
              <w:keepLines/>
            </w:pPr>
            <w:r w:rsidRPr="00FD62C4">
              <w:t xml:space="preserve">Identification of primary user geographical use </w:t>
            </w:r>
          </w:p>
        </w:tc>
        <w:tc>
          <w:tcPr>
            <w:tcW w:w="3509" w:type="pct"/>
            <w:tcBorders>
              <w:top w:val="single" w:sz="4" w:space="0" w:color="auto"/>
              <w:left w:val="single" w:sz="4" w:space="0" w:color="auto"/>
              <w:right w:val="single" w:sz="4" w:space="0" w:color="auto"/>
            </w:tcBorders>
            <w:hideMark/>
          </w:tcPr>
          <w:p w14:paraId="76BBC113" w14:textId="77777777" w:rsidR="00A812FA" w:rsidRPr="00FD62C4" w:rsidRDefault="00A812FA" w:rsidP="00C17884">
            <w:pPr>
              <w:pStyle w:val="Tabletext"/>
              <w:keepNext/>
              <w:keepLines/>
              <w:rPr>
                <w:lang w:eastAsia="ko-KR"/>
              </w:rPr>
            </w:pPr>
            <w:r w:rsidRPr="00FD62C4">
              <w:rPr>
                <w:lang w:eastAsia="ko-KR"/>
              </w:rPr>
              <w:t>To compute the spectrum usage contour of the primary user’s transmit station:</w:t>
            </w:r>
          </w:p>
          <w:p w14:paraId="1BEAE194" w14:textId="77777777" w:rsidR="00A812FA" w:rsidRPr="00FD62C4" w:rsidRDefault="00A812FA" w:rsidP="00C17884">
            <w:pPr>
              <w:pStyle w:val="Tabletext"/>
              <w:keepNext/>
              <w:keepLines/>
            </w:pPr>
            <w:r w:rsidRPr="00FD62C4">
              <w:t>–</w:t>
            </w:r>
            <w:r w:rsidRPr="00FD62C4">
              <w:tab/>
              <w:t xml:space="preserve">Transmitter power </w:t>
            </w:r>
            <m:oMath>
              <m:sSub>
                <m:sSubPr>
                  <m:ctrlPr>
                    <w:rPr>
                      <w:rFonts w:ascii="Cambria Math" w:hAnsi="Cambria Math"/>
                      <w:i/>
                    </w:rPr>
                  </m:ctrlPr>
                </m:sSubPr>
                <m:e>
                  <m:r>
                    <w:rPr>
                      <w:rFonts w:ascii="Cambria Math" w:hAnsi="Cambria Math"/>
                    </w:rPr>
                    <m:t>P</m:t>
                  </m:r>
                </m:e>
                <m:sub>
                  <m:r>
                    <w:rPr>
                      <w:rFonts w:ascii="Cambria Math" w:hAnsi="Cambria Math"/>
                    </w:rPr>
                    <m:t>T</m:t>
                  </m:r>
                </m:sub>
              </m:sSub>
            </m:oMath>
            <w:r w:rsidRPr="00FD62C4">
              <w:t xml:space="preserve"> (in Watts),</w:t>
            </w:r>
          </w:p>
          <w:p w14:paraId="1CDC9EFE" w14:textId="77777777" w:rsidR="00A812FA" w:rsidRPr="00FD62C4" w:rsidRDefault="00A812FA" w:rsidP="00C17884">
            <w:pPr>
              <w:pStyle w:val="Tabletext"/>
              <w:keepNext/>
              <w:keepLines/>
            </w:pPr>
            <w:r w:rsidRPr="00FD62C4">
              <w:t>–</w:t>
            </w:r>
            <w:r w:rsidRPr="00FD62C4">
              <w:tab/>
              <w:t xml:space="preserve">Transmitter emission necessary bandwidth </w:t>
            </w:r>
            <m:oMath>
              <m:sSub>
                <m:sSubPr>
                  <m:ctrlPr>
                    <w:rPr>
                      <w:rFonts w:ascii="Cambria Math" w:hAnsi="Cambria Math"/>
                      <w:i/>
                    </w:rPr>
                  </m:ctrlPr>
                </m:sSubPr>
                <m:e>
                  <m:r>
                    <w:rPr>
                      <w:rFonts w:ascii="Cambria Math" w:hAnsi="Cambria Math"/>
                    </w:rPr>
                    <m:t>B</m:t>
                  </m:r>
                </m:e>
                <m:sub>
                  <m:r>
                    <w:rPr>
                      <w:rFonts w:ascii="Cambria Math" w:hAnsi="Cambria Math"/>
                    </w:rPr>
                    <m:t>N</m:t>
                  </m:r>
                </m:sub>
              </m:sSub>
            </m:oMath>
            <w:r w:rsidRPr="00FD62C4">
              <w:t xml:space="preserve"> (in Hz),</w:t>
            </w:r>
          </w:p>
          <w:p w14:paraId="56CC40E7" w14:textId="77777777" w:rsidR="00A812FA" w:rsidRPr="00FD62C4" w:rsidRDefault="00A812FA" w:rsidP="00C17884">
            <w:pPr>
              <w:pStyle w:val="Tabletext"/>
              <w:keepNext/>
              <w:keepLines/>
            </w:pPr>
            <w:r w:rsidRPr="00FD62C4">
              <w:t>–</w:t>
            </w:r>
            <w:r w:rsidRPr="00FD62C4">
              <w:tab/>
              <w:t xml:space="preserve">Transmitter duty cycle </w:t>
            </w:r>
            <m:oMath>
              <m:r>
                <w:rPr>
                  <w:rFonts w:ascii="Cambria Math" w:hAnsi="Cambria Math"/>
                </w:rPr>
                <m:t>DC</m:t>
              </m:r>
            </m:oMath>
            <w:r w:rsidRPr="00FD62C4">
              <w:t xml:space="preserve"> (in percent),</w:t>
            </w:r>
          </w:p>
          <w:p w14:paraId="74E2B475" w14:textId="7038459D" w:rsidR="00A812FA" w:rsidRPr="00FD62C4" w:rsidRDefault="00A812FA" w:rsidP="00C17884">
            <w:pPr>
              <w:pStyle w:val="Tabletext"/>
              <w:keepNext/>
              <w:keepLines/>
            </w:pPr>
            <w:r w:rsidRPr="00FD62C4">
              <w:t>–</w:t>
            </w:r>
            <w:r w:rsidRPr="00FD62C4">
              <w:tab/>
              <w:t xml:space="preserve">Transmitter antenna gain for a specific up-tilt angle </w:t>
            </w:r>
            <m:oMath>
              <m:r>
                <m:rPr>
                  <m:sty m:val="p"/>
                </m:rPr>
                <w:rPr>
                  <w:rFonts w:ascii="Cambria Math" w:hAnsi="Cambria Math"/>
                </w:rPr>
                <m:t>θ</m:t>
              </m:r>
            </m:oMath>
            <w:r w:rsidRPr="00FD62C4">
              <w:rPr>
                <w:lang w:eastAsia="ko-KR"/>
              </w:rPr>
              <w:t>,</w:t>
            </w:r>
            <w:r w:rsidRPr="00FD62C4">
              <w:t xml:space="preserve"> </w:t>
            </w:r>
            <m:oMath>
              <m:sSub>
                <m:sSubPr>
                  <m:ctrlPr>
                    <w:rPr>
                      <w:rFonts w:ascii="Cambria Math" w:hAnsi="Cambria Math"/>
                      <w:i/>
                    </w:rPr>
                  </m:ctrlPr>
                </m:sSubPr>
                <m:e>
                  <m:r>
                    <w:rPr>
                      <w:rFonts w:ascii="Cambria Math" w:hAnsi="Cambria Math"/>
                    </w:rPr>
                    <m:t>G</m:t>
                  </m:r>
                </m:e>
                <m:sub>
                  <m:r>
                    <w:rPr>
                      <w:rFonts w:ascii="Cambria Math" w:hAnsi="Cambria Math"/>
                    </w:rPr>
                    <m:t>T</m:t>
                  </m:r>
                </m:sub>
              </m:sSub>
              <m:d>
                <m:dPr>
                  <m:ctrlPr>
                    <w:rPr>
                      <w:rFonts w:ascii="Cambria Math" w:hAnsi="Cambria Math"/>
                      <w:i/>
                    </w:rPr>
                  </m:ctrlPr>
                </m:dPr>
                <m:e>
                  <m:r>
                    <m:rPr>
                      <m:sty m:val="p"/>
                    </m:rPr>
                    <w:rPr>
                      <w:rFonts w:ascii="Cambria Math" w:hAnsi="Cambria Math"/>
                    </w:rPr>
                    <m:t>θ</m:t>
                  </m:r>
                </m:e>
              </m:d>
            </m:oMath>
            <w:r w:rsidRPr="00FD62C4">
              <w:rPr>
                <w:lang w:eastAsia="ko-KR"/>
              </w:rPr>
              <w:t xml:space="preserve"> </w:t>
            </w:r>
            <w:r w:rsidRPr="00FD62C4">
              <w:t>(in dBi),</w:t>
            </w:r>
          </w:p>
          <w:p w14:paraId="3831E4D7" w14:textId="77777777" w:rsidR="00A812FA" w:rsidRPr="00FD62C4" w:rsidRDefault="00A812FA" w:rsidP="00C17884">
            <w:pPr>
              <w:pStyle w:val="Tabletext"/>
              <w:keepNext/>
              <w:keepLines/>
            </w:pPr>
            <w:r w:rsidRPr="00FD62C4">
              <w:t>–</w:t>
            </w:r>
            <w:r w:rsidRPr="00FD62C4">
              <w:tab/>
              <w:t xml:space="preserve">Receiver antenna gain </w:t>
            </w:r>
            <m:oMath>
              <m:sSub>
                <m:sSubPr>
                  <m:ctrlPr>
                    <w:rPr>
                      <w:rFonts w:ascii="Cambria Math" w:hAnsi="Cambria Math"/>
                      <w:i/>
                    </w:rPr>
                  </m:ctrlPr>
                </m:sSubPr>
                <m:e>
                  <m:r>
                    <w:rPr>
                      <w:rFonts w:ascii="Cambria Math" w:hAnsi="Cambria Math"/>
                    </w:rPr>
                    <m:t>G</m:t>
                  </m:r>
                </m:e>
                <m:sub>
                  <m:r>
                    <w:rPr>
                      <w:rFonts w:ascii="Cambria Math" w:hAnsi="Cambria Math"/>
                    </w:rPr>
                    <m:t>R</m:t>
                  </m:r>
                </m:sub>
              </m:sSub>
            </m:oMath>
            <w:r w:rsidRPr="00FD62C4">
              <w:t xml:space="preserve"> (in dBi),</w:t>
            </w:r>
          </w:p>
          <w:p w14:paraId="6D24DB27" w14:textId="77777777" w:rsidR="00A812FA" w:rsidRPr="00FD62C4" w:rsidRDefault="00A812FA" w:rsidP="00C17884">
            <w:pPr>
              <w:pStyle w:val="Tabletext"/>
              <w:keepNext/>
              <w:keepLines/>
            </w:pPr>
            <w:r w:rsidRPr="00FD62C4">
              <w:t>–</w:t>
            </w:r>
            <w:r w:rsidRPr="00FD62C4">
              <w:tab/>
              <w:t xml:space="preserve">Power spectral density threshold </w:t>
            </w:r>
            <m:oMath>
              <m:r>
                <w:rPr>
                  <w:rFonts w:ascii="Cambria Math" w:hAnsi="Cambria Math"/>
                </w:rPr>
                <m:t>PS</m:t>
              </m:r>
              <m:sSub>
                <m:sSubPr>
                  <m:ctrlPr>
                    <w:rPr>
                      <w:rFonts w:ascii="Cambria Math" w:hAnsi="Cambria Math"/>
                      <w:i/>
                    </w:rPr>
                  </m:ctrlPr>
                </m:sSubPr>
                <m:e>
                  <m:r>
                    <w:rPr>
                      <w:rFonts w:ascii="Cambria Math" w:hAnsi="Cambria Math"/>
                    </w:rPr>
                    <m:t>D</m:t>
                  </m:r>
                </m:e>
                <m:sub>
                  <m:r>
                    <w:rPr>
                      <w:rFonts w:ascii="Cambria Math" w:hAnsi="Cambria Math"/>
                    </w:rPr>
                    <m:t>th</m:t>
                  </m:r>
                </m:sub>
              </m:sSub>
            </m:oMath>
            <w:r w:rsidRPr="00FD62C4">
              <w:t xml:space="preserve"> (in dBW/Hz), and</w:t>
            </w:r>
          </w:p>
          <w:p w14:paraId="39F85936" w14:textId="77777777" w:rsidR="00A812FA" w:rsidRPr="00FD62C4" w:rsidRDefault="00A812FA" w:rsidP="00C17884">
            <w:pPr>
              <w:pStyle w:val="Tabletext"/>
              <w:keepNext/>
              <w:keepLines/>
              <w:ind w:left="284" w:hanging="284"/>
            </w:pPr>
            <w:r w:rsidRPr="00FD62C4">
              <w:t>–</w:t>
            </w:r>
            <w:r w:rsidRPr="00FD62C4">
              <w:tab/>
            </w:r>
            <w:r w:rsidRPr="00FD62C4">
              <w:rPr>
                <w:lang w:eastAsia="ko-KR"/>
              </w:rPr>
              <w:t>Other information that may be required depending on the contour computation method.</w:t>
            </w:r>
          </w:p>
        </w:tc>
      </w:tr>
      <w:tr w:rsidR="00A812FA" w:rsidRPr="00FD62C4" w14:paraId="2D1EDF97" w14:textId="77777777" w:rsidTr="008F72A3">
        <w:trPr>
          <w:trHeight w:val="1665"/>
          <w:jc w:val="center"/>
        </w:trPr>
        <w:tc>
          <w:tcPr>
            <w:tcW w:w="1491" w:type="pct"/>
            <w:vMerge/>
            <w:tcBorders>
              <w:left w:val="single" w:sz="4" w:space="0" w:color="auto"/>
              <w:right w:val="single" w:sz="4" w:space="0" w:color="auto"/>
            </w:tcBorders>
          </w:tcPr>
          <w:p w14:paraId="4F196BDE" w14:textId="77777777" w:rsidR="00A812FA" w:rsidRPr="00FD62C4" w:rsidRDefault="00A812FA" w:rsidP="00A70780">
            <w:pPr>
              <w:pStyle w:val="Tabletext"/>
            </w:pPr>
          </w:p>
        </w:tc>
        <w:tc>
          <w:tcPr>
            <w:tcW w:w="3509" w:type="pct"/>
            <w:tcBorders>
              <w:top w:val="single" w:sz="4" w:space="0" w:color="auto"/>
              <w:left w:val="single" w:sz="4" w:space="0" w:color="auto"/>
              <w:right w:val="single" w:sz="4" w:space="0" w:color="auto"/>
            </w:tcBorders>
          </w:tcPr>
          <w:p w14:paraId="1D4C15EB" w14:textId="77777777" w:rsidR="00A812FA" w:rsidRPr="00FD62C4" w:rsidRDefault="00A812FA" w:rsidP="00A70780">
            <w:pPr>
              <w:pStyle w:val="Tabletext"/>
              <w:rPr>
                <w:lang w:eastAsia="ko-KR"/>
              </w:rPr>
            </w:pPr>
            <w:r w:rsidRPr="00FD62C4">
              <w:rPr>
                <w:lang w:eastAsia="ko-KR"/>
              </w:rPr>
              <w:t>To compute the spectrum usage contour of the primary user’s receive station:</w:t>
            </w:r>
          </w:p>
          <w:p w14:paraId="0AF18BED" w14:textId="77777777" w:rsidR="00A812FA" w:rsidRPr="00FD62C4" w:rsidRDefault="00A812FA" w:rsidP="00A70780">
            <w:pPr>
              <w:pStyle w:val="Tabletext"/>
            </w:pPr>
            <w:r w:rsidRPr="00FD62C4">
              <w:t>–</w:t>
            </w:r>
            <w:r w:rsidRPr="00FD62C4">
              <w:tab/>
              <w:t xml:space="preserve">Transmitter equivalent isotropic radiated power </w:t>
            </w:r>
            <m:oMath>
              <m:r>
                <w:rPr>
                  <w:rFonts w:ascii="Cambria Math" w:hAnsi="Cambria Math"/>
                </w:rPr>
                <m:t>EIRP</m:t>
              </m:r>
            </m:oMath>
            <w:r w:rsidRPr="00FD62C4">
              <w:t xml:space="preserve"> (in dBW),</w:t>
            </w:r>
          </w:p>
          <w:p w14:paraId="6F91B55F" w14:textId="76EADE43" w:rsidR="00A812FA" w:rsidRPr="00FD62C4" w:rsidRDefault="00A812FA" w:rsidP="00A70780">
            <w:pPr>
              <w:pStyle w:val="Tabletext"/>
            </w:pPr>
            <w:r w:rsidRPr="00FD62C4">
              <w:t>–</w:t>
            </w:r>
            <w:r w:rsidRPr="00FD62C4">
              <w:tab/>
              <w:t xml:space="preserve">Reference bandwidth </w:t>
            </w:r>
            <m:oMath>
              <m:sSub>
                <m:sSubPr>
                  <m:ctrlPr>
                    <w:rPr>
                      <w:rFonts w:ascii="Cambria Math" w:hAnsi="Cambria Math"/>
                      <w:i/>
                    </w:rPr>
                  </m:ctrlPr>
                </m:sSubPr>
                <m:e>
                  <m:r>
                    <w:rPr>
                      <w:rFonts w:ascii="Cambria Math" w:hAnsi="Cambria Math"/>
                    </w:rPr>
                    <m:t>B</m:t>
                  </m:r>
                </m:e>
                <m:sub>
                  <m:r>
                    <w:rPr>
                      <w:rFonts w:ascii="Cambria Math" w:hAnsi="Cambria Math"/>
                    </w:rPr>
                    <m:t>R</m:t>
                  </m:r>
                </m:sub>
              </m:sSub>
            </m:oMath>
            <w:r w:rsidRPr="00FD62C4">
              <w:t xml:space="preserve"> (in Hz)</w:t>
            </w:r>
          </w:p>
          <w:p w14:paraId="43E7F925" w14:textId="0C1BCAEB" w:rsidR="00A812FA" w:rsidRPr="00FD62C4" w:rsidRDefault="00A812FA" w:rsidP="00A70780">
            <w:pPr>
              <w:pStyle w:val="Tabletext"/>
            </w:pPr>
            <w:r w:rsidRPr="00FD62C4">
              <w:t>–</w:t>
            </w:r>
            <w:r w:rsidRPr="00FD62C4">
              <w:tab/>
              <w:t xml:space="preserve">Receive antenna gain as a function of off-axis angle </w:t>
            </w:r>
            <m:oMath>
              <m:r>
                <m:rPr>
                  <m:sty m:val="p"/>
                </m:rPr>
                <w:rPr>
                  <w:rFonts w:ascii="Cambria Math" w:hAnsi="Cambria Math"/>
                </w:rPr>
                <m:t>φ</m:t>
              </m:r>
            </m:oMath>
            <w:r w:rsidRPr="00FD62C4">
              <w:rPr>
                <w:lang w:eastAsia="ko-KR"/>
              </w:rPr>
              <w:t xml:space="preserve">, </w:t>
            </w:r>
            <m:oMath>
              <m:sSub>
                <m:sSubPr>
                  <m:ctrlPr>
                    <w:rPr>
                      <w:rFonts w:ascii="Cambria Math" w:hAnsi="Cambria Math"/>
                      <w:i/>
                    </w:rPr>
                  </m:ctrlPr>
                </m:sSubPr>
                <m:e>
                  <m:r>
                    <w:rPr>
                      <w:rFonts w:ascii="Cambria Math" w:hAnsi="Cambria Math"/>
                    </w:rPr>
                    <m:t>G</m:t>
                  </m:r>
                </m:e>
                <m:sub>
                  <m:r>
                    <w:rPr>
                      <w:rFonts w:ascii="Cambria Math" w:hAnsi="Cambria Math"/>
                    </w:rPr>
                    <m:t>R</m:t>
                  </m:r>
                </m:sub>
              </m:sSub>
              <m:d>
                <m:dPr>
                  <m:ctrlPr>
                    <w:rPr>
                      <w:rFonts w:ascii="Cambria Math" w:hAnsi="Cambria Math"/>
                      <w:i/>
                    </w:rPr>
                  </m:ctrlPr>
                </m:dPr>
                <m:e>
                  <m:r>
                    <m:rPr>
                      <m:sty m:val="p"/>
                    </m:rPr>
                    <w:rPr>
                      <w:rFonts w:ascii="Cambria Math" w:hAnsi="Cambria Math"/>
                    </w:rPr>
                    <m:t>φ</m:t>
                  </m:r>
                </m:e>
              </m:d>
            </m:oMath>
            <w:r w:rsidRPr="00FD62C4">
              <w:t xml:space="preserve"> (in dBi)</w:t>
            </w:r>
          </w:p>
          <w:p w14:paraId="354DCF31" w14:textId="77777777" w:rsidR="00A812FA" w:rsidRPr="00FD62C4" w:rsidRDefault="00A812FA" w:rsidP="00A70780">
            <w:pPr>
              <w:pStyle w:val="Tabletext"/>
            </w:pPr>
            <w:r w:rsidRPr="00FD62C4">
              <w:t>–</w:t>
            </w:r>
            <w:r w:rsidRPr="00FD62C4">
              <w:tab/>
              <w:t xml:space="preserve">Power spectral density threshold </w:t>
            </w:r>
            <m:oMath>
              <m:r>
                <w:rPr>
                  <w:rFonts w:ascii="Cambria Math" w:hAnsi="Cambria Math"/>
                </w:rPr>
                <m:t>PS</m:t>
              </m:r>
              <m:sSub>
                <m:sSubPr>
                  <m:ctrlPr>
                    <w:rPr>
                      <w:rFonts w:ascii="Cambria Math" w:hAnsi="Cambria Math"/>
                      <w:i/>
                    </w:rPr>
                  </m:ctrlPr>
                </m:sSubPr>
                <m:e>
                  <m:r>
                    <w:rPr>
                      <w:rFonts w:ascii="Cambria Math" w:hAnsi="Cambria Math"/>
                    </w:rPr>
                    <m:t>D</m:t>
                  </m:r>
                </m:e>
                <m:sub>
                  <m:r>
                    <w:rPr>
                      <w:rFonts w:ascii="Cambria Math" w:hAnsi="Cambria Math"/>
                    </w:rPr>
                    <m:t>th</m:t>
                  </m:r>
                </m:sub>
              </m:sSub>
            </m:oMath>
            <w:r w:rsidRPr="00FD62C4">
              <w:t xml:space="preserve"> (in dBW/Hz), and</w:t>
            </w:r>
          </w:p>
          <w:p w14:paraId="051260F9" w14:textId="77777777" w:rsidR="00A812FA" w:rsidRPr="00FD62C4" w:rsidRDefault="00A812FA" w:rsidP="00A70780">
            <w:pPr>
              <w:pStyle w:val="Tabletext"/>
              <w:ind w:left="284" w:hanging="284"/>
            </w:pPr>
            <w:r w:rsidRPr="00FD62C4">
              <w:t>–</w:t>
            </w:r>
            <w:r w:rsidRPr="00FD62C4">
              <w:tab/>
            </w:r>
            <w:r w:rsidRPr="00FD62C4">
              <w:rPr>
                <w:lang w:eastAsia="ko-KR"/>
              </w:rPr>
              <w:t>Other information that may be required depending on the contour computation method.</w:t>
            </w:r>
          </w:p>
        </w:tc>
      </w:tr>
      <w:tr w:rsidR="00A812FA" w:rsidRPr="00FD62C4" w14:paraId="069F54B2" w14:textId="77777777" w:rsidTr="008F72A3">
        <w:trPr>
          <w:jc w:val="center"/>
        </w:trPr>
        <w:tc>
          <w:tcPr>
            <w:tcW w:w="1491" w:type="pct"/>
            <w:tcBorders>
              <w:top w:val="single" w:sz="4" w:space="0" w:color="auto"/>
              <w:left w:val="single" w:sz="4" w:space="0" w:color="auto"/>
              <w:bottom w:val="single" w:sz="4" w:space="0" w:color="auto"/>
              <w:right w:val="single" w:sz="4" w:space="0" w:color="auto"/>
            </w:tcBorders>
            <w:hideMark/>
          </w:tcPr>
          <w:p w14:paraId="14746100" w14:textId="77777777" w:rsidR="00A812FA" w:rsidRPr="00FD62C4" w:rsidRDefault="00A812FA" w:rsidP="00A70780">
            <w:pPr>
              <w:pStyle w:val="Tabletext"/>
              <w:rPr>
                <w:lang w:eastAsia="ko-KR"/>
              </w:rPr>
            </w:pPr>
            <w:r w:rsidRPr="00FD62C4">
              <w:t>Quantification and comparison of spectrum use region areas</w:t>
            </w:r>
          </w:p>
        </w:tc>
        <w:tc>
          <w:tcPr>
            <w:tcW w:w="3509" w:type="pct"/>
            <w:tcBorders>
              <w:top w:val="single" w:sz="4" w:space="0" w:color="auto"/>
              <w:left w:val="single" w:sz="4" w:space="0" w:color="auto"/>
              <w:bottom w:val="single" w:sz="4" w:space="0" w:color="auto"/>
              <w:right w:val="single" w:sz="4" w:space="0" w:color="auto"/>
            </w:tcBorders>
            <w:hideMark/>
          </w:tcPr>
          <w:p w14:paraId="4FB9F8DE" w14:textId="77777777" w:rsidR="00A812FA" w:rsidRPr="00FD62C4" w:rsidRDefault="00A812FA" w:rsidP="00A70780">
            <w:pPr>
              <w:pStyle w:val="Tabletext"/>
              <w:rPr>
                <w:lang w:eastAsia="ko-KR"/>
              </w:rPr>
            </w:pPr>
            <w:r w:rsidRPr="00FD62C4">
              <w:t>–</w:t>
            </w:r>
            <w:r w:rsidRPr="00FD62C4">
              <w:tab/>
            </w:r>
            <w:r w:rsidRPr="00FD62C4">
              <w:rPr>
                <w:lang w:eastAsia="ko-KR"/>
              </w:rPr>
              <w:t>Applicable spectrum sharing systems for utilizing unoccupied unit,</w:t>
            </w:r>
          </w:p>
          <w:p w14:paraId="2C8D3B82" w14:textId="77777777" w:rsidR="00A812FA" w:rsidRPr="00FD62C4" w:rsidRDefault="00A812FA" w:rsidP="00A70780">
            <w:pPr>
              <w:pStyle w:val="Tabletext"/>
              <w:ind w:left="312" w:hangingChars="142" w:hanging="312"/>
              <w:rPr>
                <w:lang w:eastAsia="ko-KR"/>
              </w:rPr>
            </w:pPr>
            <w:r w:rsidRPr="00FD62C4">
              <w:t>–</w:t>
            </w:r>
            <w:r w:rsidRPr="00FD62C4">
              <w:tab/>
            </w:r>
            <w:r w:rsidRPr="00FD62C4">
              <w:rPr>
                <w:lang w:eastAsia="ko-KR"/>
              </w:rPr>
              <w:t xml:space="preserve">Spectrum use region area of the primary user </w:t>
            </w:r>
            <m:oMath>
              <m:r>
                <m:rPr>
                  <m:sty m:val="p"/>
                </m:rPr>
                <w:rPr>
                  <w:rFonts w:ascii="Cambria Math" w:hAnsi="Cambria Math"/>
                </w:rPr>
                <m:t>Area</m:t>
              </m:r>
              <m:r>
                <w:rPr>
                  <w:rFonts w:ascii="Cambria Math" w:hAnsi="Cambria Math"/>
                </w:rPr>
                <m:t>(</m:t>
              </m:r>
              <m:sSub>
                <m:sSubPr>
                  <m:ctrlPr>
                    <w:rPr>
                      <w:rFonts w:ascii="Cambria Math" w:hAnsi="Cambria Math"/>
                      <w:i/>
                    </w:rPr>
                  </m:ctrlPr>
                </m:sSubPr>
                <m:e>
                  <m:r>
                    <w:rPr>
                      <w:rFonts w:ascii="Cambria Math" w:hAnsi="Cambria Math"/>
                    </w:rPr>
                    <m:t>U</m:t>
                  </m:r>
                </m:e>
                <m:sub>
                  <m:r>
                    <w:rPr>
                      <w:rFonts w:ascii="Cambria Math" w:hAnsi="Cambria Math"/>
                    </w:rPr>
                    <m:t>pu</m:t>
                  </m:r>
                </m:sub>
              </m:sSub>
              <m:r>
                <w:rPr>
                  <w:rFonts w:ascii="Cambria Math" w:hAnsi="Cambria Math"/>
                </w:rPr>
                <m:t>)</m:t>
              </m:r>
            </m:oMath>
            <w:r w:rsidRPr="00FD62C4">
              <w:rPr>
                <w:lang w:eastAsia="ko-KR"/>
              </w:rPr>
              <w:t xml:space="preserve"> identified in the previous steps, and</w:t>
            </w:r>
          </w:p>
          <w:p w14:paraId="4130C26B" w14:textId="77777777" w:rsidR="00A812FA" w:rsidRPr="00FD62C4" w:rsidRDefault="00A812FA" w:rsidP="00C17884">
            <w:pPr>
              <w:pStyle w:val="Tabletext"/>
              <w:ind w:left="312" w:hangingChars="142" w:hanging="312"/>
              <w:rPr>
                <w:lang w:eastAsia="ko-KR"/>
              </w:rPr>
            </w:pPr>
            <w:r w:rsidRPr="00FD62C4">
              <w:t>–</w:t>
            </w:r>
            <w:r w:rsidRPr="00FD62C4">
              <w:tab/>
            </w:r>
            <w:r w:rsidRPr="00FD62C4">
              <w:rPr>
                <w:lang w:eastAsia="ko-KR"/>
              </w:rPr>
              <w:t xml:space="preserve">Spectrum use region area required for the service in question </w:t>
            </w:r>
            <m:oMath>
              <m:r>
                <m:rPr>
                  <m:sty m:val="p"/>
                </m:rPr>
                <w:rPr>
                  <w:rFonts w:ascii="Cambria Math" w:hAnsi="Cambria Math"/>
                </w:rPr>
                <m:t>Area</m:t>
              </m:r>
              <m:r>
                <w:rPr>
                  <w:rFonts w:ascii="Cambria Math" w:hAnsi="Cambria Math"/>
                </w:rPr>
                <m:t>(</m:t>
              </m:r>
              <m:sSub>
                <m:sSubPr>
                  <m:ctrlPr>
                    <w:rPr>
                      <w:rFonts w:ascii="Cambria Math" w:hAnsi="Cambria Math"/>
                      <w:i/>
                    </w:rPr>
                  </m:ctrlPr>
                </m:sSubPr>
                <m:e>
                  <m:r>
                    <w:rPr>
                      <w:rFonts w:ascii="Cambria Math" w:hAnsi="Cambria Math"/>
                    </w:rPr>
                    <m:t>U</m:t>
                  </m:r>
                </m:e>
                <m:sub>
                  <m:r>
                    <w:rPr>
                      <w:rFonts w:ascii="Cambria Math" w:hAnsi="Cambria Math"/>
                    </w:rPr>
                    <m:t>su</m:t>
                  </m:r>
                </m:sub>
              </m:sSub>
              <m:r>
                <w:rPr>
                  <w:rFonts w:ascii="Cambria Math" w:hAnsi="Cambria Math"/>
                </w:rPr>
                <m:t>)</m:t>
              </m:r>
            </m:oMath>
            <w:r w:rsidRPr="00FD62C4">
              <w:rPr>
                <w:lang w:eastAsia="ko-KR"/>
              </w:rPr>
              <w:t>.</w:t>
            </w:r>
          </w:p>
        </w:tc>
      </w:tr>
    </w:tbl>
    <w:p w14:paraId="2980F1A1" w14:textId="77777777" w:rsidR="00A812FA" w:rsidRPr="00FD62C4" w:rsidRDefault="00A812FA" w:rsidP="00A812FA">
      <w:pPr>
        <w:pStyle w:val="Tablefin"/>
      </w:pPr>
      <w:bookmarkStart w:id="97" w:name="_Toc176778721"/>
    </w:p>
    <w:p w14:paraId="52C27378" w14:textId="60319C50" w:rsidR="00A812FA" w:rsidRPr="00FD62C4" w:rsidRDefault="00A812FA" w:rsidP="00F91225">
      <w:pPr>
        <w:pStyle w:val="Heading4"/>
      </w:pPr>
      <w:r w:rsidRPr="00FD62C4">
        <w:t>A1</w:t>
      </w:r>
      <w:r w:rsidR="00DA451B" w:rsidRPr="00FD62C4">
        <w:t>.</w:t>
      </w:r>
      <w:r w:rsidRPr="00FD62C4">
        <w:t>3.2.2</w:t>
      </w:r>
      <w:r w:rsidRPr="00FD62C4">
        <w:tab/>
        <w:t>Assessment</w:t>
      </w:r>
      <w:bookmarkEnd w:id="97"/>
      <w:r w:rsidRPr="00FD62C4">
        <w:t xml:space="preserve"> methodology</w:t>
      </w:r>
    </w:p>
    <w:p w14:paraId="08D4B576" w14:textId="0FCBE42E" w:rsidR="00A812FA" w:rsidRPr="00FD62C4" w:rsidRDefault="00A812FA" w:rsidP="00A812FA">
      <w:pPr>
        <w:rPr>
          <w:lang w:eastAsia="ko-KR"/>
        </w:rPr>
      </w:pPr>
      <w:r w:rsidRPr="00FD62C4">
        <w:rPr>
          <w:lang w:eastAsia="ko-KR"/>
        </w:rPr>
        <w:t xml:space="preserve">The following provides a detailed explanation of each step introduced in </w:t>
      </w:r>
      <w:r w:rsidR="009A1B49" w:rsidRPr="00FD62C4">
        <w:rPr>
          <w:lang w:eastAsia="ko-KR"/>
        </w:rPr>
        <w:t>§</w:t>
      </w:r>
      <w:r w:rsidRPr="00FD62C4">
        <w:rPr>
          <w:lang w:eastAsia="ko-KR"/>
        </w:rPr>
        <w:t xml:space="preserve"> </w:t>
      </w:r>
      <w:r w:rsidRPr="00FD62C4">
        <w:t>A1</w:t>
      </w:r>
      <w:r w:rsidR="00DA451B" w:rsidRPr="00FD62C4">
        <w:t>.</w:t>
      </w:r>
      <w:r w:rsidRPr="00FD62C4">
        <w:rPr>
          <w:lang w:eastAsia="ko-KR"/>
        </w:rPr>
        <w:t>3.2.1 for assessing the spectrum availability in the context of the “shared use of licensed spectrum”</w:t>
      </w:r>
      <w:r w:rsidRPr="00FD62C4">
        <w:rPr>
          <w:rStyle w:val="FootnoteReference"/>
          <w:lang w:eastAsia="ko-KR"/>
        </w:rPr>
        <w:footnoteReference w:id="13"/>
      </w:r>
      <w:r w:rsidRPr="00FD62C4">
        <w:rPr>
          <w:lang w:eastAsia="ko-KR"/>
        </w:rPr>
        <w:t>.</w:t>
      </w:r>
    </w:p>
    <w:p w14:paraId="634234CD" w14:textId="3A81E80A" w:rsidR="00A812FA" w:rsidRPr="00FD62C4" w:rsidRDefault="00A812FA" w:rsidP="0056771B">
      <w:pPr>
        <w:pStyle w:val="enumlev1"/>
        <w:rPr>
          <w:lang w:eastAsia="ko-KR"/>
        </w:rPr>
      </w:pPr>
      <w:r w:rsidRPr="00FD62C4">
        <w:rPr>
          <w:lang w:eastAsia="ko-KR"/>
        </w:rPr>
        <w:t>1)</w:t>
      </w:r>
      <w:r w:rsidRPr="00FD62C4">
        <w:rPr>
          <w:lang w:eastAsia="ko-KR"/>
        </w:rPr>
        <w:tab/>
        <w:t>Determination of spectrum use units granularity</w:t>
      </w:r>
    </w:p>
    <w:p w14:paraId="7DF07A81" w14:textId="6D9BFFCF" w:rsidR="00A812FA" w:rsidRPr="00FD62C4" w:rsidRDefault="00A812FA" w:rsidP="00A812FA">
      <w:pPr>
        <w:pStyle w:val="enumlev1"/>
        <w:rPr>
          <w:lang w:eastAsia="ko-KR"/>
        </w:rPr>
      </w:pPr>
      <w:r w:rsidRPr="00FD62C4">
        <w:rPr>
          <w:lang w:eastAsia="zh-CN"/>
        </w:rPr>
        <w:tab/>
      </w:r>
      <w:r w:rsidRPr="00FD62C4">
        <w:rPr>
          <w:lang w:eastAsia="ko-KR"/>
        </w:rPr>
        <w:t xml:space="preserve">Spectrum use comprises three independent domains: frequency, temporal, and geographic. To define a spectrum use unit, each domain is segmented, with the </w:t>
      </w:r>
      <w:r w:rsidRPr="00FD62C4">
        <w:t>resolution</w:t>
      </w:r>
      <w:r w:rsidRPr="00FD62C4">
        <w:rPr>
          <w:lang w:eastAsia="ko-KR"/>
        </w:rPr>
        <w:t xml:space="preserve"> determined by the desired degree of analytical accuracy or complexity. This process requires information such as the frequency band range and terrain data for the territory. For example, the frequency band can be divided into sub bands with a 5 MHz bandwidth, the territory can be divided into tiles with a 1 arc-second (approximately 30 met</w:t>
      </w:r>
      <w:r w:rsidR="00971779" w:rsidRPr="00FD62C4">
        <w:rPr>
          <w:lang w:eastAsia="ko-KR"/>
        </w:rPr>
        <w:t>r</w:t>
      </w:r>
      <w:r w:rsidRPr="00FD62C4">
        <w:rPr>
          <w:lang w:eastAsia="ko-KR"/>
        </w:rPr>
        <w:t>es) resolution, time can be divided into 1</w:t>
      </w:r>
      <w:r w:rsidR="00F95312">
        <w:rPr>
          <w:lang w:eastAsia="ko-KR"/>
        </w:rPr>
        <w:t>‑</w:t>
      </w:r>
      <w:r w:rsidRPr="00FD62C4">
        <w:rPr>
          <w:lang w:eastAsia="ko-KR"/>
        </w:rPr>
        <w:t>hour intervals.</w:t>
      </w:r>
    </w:p>
    <w:p w14:paraId="0D98A57F" w14:textId="62CF4607" w:rsidR="00A812FA" w:rsidRPr="00FD62C4" w:rsidRDefault="00A812FA" w:rsidP="00A812FA">
      <w:pPr>
        <w:pStyle w:val="enumlev1"/>
        <w:rPr>
          <w:lang w:eastAsia="ko-KR"/>
        </w:rPr>
      </w:pPr>
      <w:r w:rsidRPr="00FD62C4">
        <w:rPr>
          <w:lang w:eastAsia="ko-KR"/>
        </w:rPr>
        <w:tab/>
        <w:t>Let the segments in each domain be referred to as units in their respective domains. Let </w:t>
      </w:r>
      <m:oMath>
        <m:sSub>
          <m:sSubPr>
            <m:ctrlPr>
              <w:rPr>
                <w:rFonts w:ascii="Cambria Math" w:hAnsi="Cambria Math"/>
                <w:i/>
                <w:lang w:eastAsia="ko-KR"/>
              </w:rPr>
            </m:ctrlPr>
          </m:sSubPr>
          <m:e>
            <m:r>
              <w:rPr>
                <w:rFonts w:ascii="Cambria Math" w:hAnsi="Cambria Math"/>
                <w:lang w:eastAsia="ko-KR"/>
              </w:rPr>
              <m:t>f</m:t>
            </m:r>
          </m:e>
          <m:sub>
            <m:r>
              <w:rPr>
                <w:rFonts w:ascii="Cambria Math" w:hAnsi="Cambria Math"/>
                <w:lang w:eastAsia="ko-KR"/>
              </w:rPr>
              <m:t>i</m:t>
            </m:r>
          </m:sub>
        </m:sSub>
      </m:oMath>
      <w:r w:rsidRPr="00FD62C4">
        <w:rPr>
          <w:lang w:eastAsia="ko-KR"/>
        </w:rPr>
        <w:t xml:space="preserve">, </w:t>
      </w:r>
      <m:oMath>
        <m:sSub>
          <m:sSubPr>
            <m:ctrlPr>
              <w:rPr>
                <w:rFonts w:ascii="Cambria Math" w:hAnsi="Cambria Math"/>
                <w:i/>
                <w:lang w:eastAsia="ko-KR"/>
              </w:rPr>
            </m:ctrlPr>
          </m:sSubPr>
          <m:e>
            <m:r>
              <w:rPr>
                <w:rFonts w:ascii="Cambria Math" w:hAnsi="Cambria Math"/>
                <w:lang w:eastAsia="ko-KR"/>
              </w:rPr>
              <m:t>t</m:t>
            </m:r>
          </m:e>
          <m:sub>
            <m:r>
              <w:rPr>
                <w:rFonts w:ascii="Cambria Math" w:hAnsi="Cambria Math"/>
                <w:lang w:eastAsia="ko-KR"/>
              </w:rPr>
              <m:t>j</m:t>
            </m:r>
          </m:sub>
        </m:sSub>
      </m:oMath>
      <w:r w:rsidRPr="00FD62C4">
        <w:rPr>
          <w:lang w:eastAsia="ko-KR"/>
        </w:rPr>
        <w:t xml:space="preserve">, </w:t>
      </w:r>
      <m:oMath>
        <m:sSub>
          <m:sSubPr>
            <m:ctrlPr>
              <w:rPr>
                <w:rFonts w:ascii="Cambria Math" w:hAnsi="Cambria Math"/>
                <w:i/>
                <w:lang w:eastAsia="ko-KR"/>
              </w:rPr>
            </m:ctrlPr>
          </m:sSubPr>
          <m:e>
            <m:r>
              <w:rPr>
                <w:rFonts w:ascii="Cambria Math" w:hAnsi="Cambria Math"/>
                <w:lang w:eastAsia="ko-KR"/>
              </w:rPr>
              <m:t>g</m:t>
            </m:r>
          </m:e>
          <m:sub>
            <m:r>
              <w:rPr>
                <w:rFonts w:ascii="Cambria Math" w:hAnsi="Cambria Math"/>
                <w:lang w:eastAsia="ko-KR"/>
              </w:rPr>
              <m:t>k</m:t>
            </m:r>
          </m:sub>
        </m:sSub>
      </m:oMath>
      <w:r w:rsidRPr="00FD62C4">
        <w:rPr>
          <w:lang w:eastAsia="ko-KR"/>
        </w:rPr>
        <w:t xml:space="preserve"> represent frequency, temporal, and geographic units with indices</w:t>
      </w:r>
      <w:r w:rsidR="00F01331" w:rsidRPr="00FD62C4">
        <w:rPr>
          <w:lang w:eastAsia="ko-KR"/>
        </w:rPr>
        <w:t xml:space="preserve"> </w:t>
      </w:r>
      <w:r w:rsidR="003B16AB" w:rsidRPr="00FD62C4">
        <w:rPr>
          <w:i/>
          <w:iCs/>
          <w:lang w:eastAsia="ko-KR"/>
        </w:rPr>
        <w:t>i</w:t>
      </w:r>
      <w:r w:rsidR="00F01331" w:rsidRPr="00FD62C4">
        <w:rPr>
          <w:lang w:eastAsia="ko-KR"/>
        </w:rPr>
        <w:t xml:space="preserve">, </w:t>
      </w:r>
      <w:r w:rsidR="00F01331" w:rsidRPr="00FD62C4">
        <w:rPr>
          <w:i/>
          <w:iCs/>
          <w:lang w:eastAsia="ko-KR"/>
        </w:rPr>
        <w:t>j</w:t>
      </w:r>
      <w:r w:rsidRPr="00FD62C4">
        <w:rPr>
          <w:lang w:eastAsia="ko-KR"/>
        </w:rPr>
        <w:t xml:space="preserve"> and</w:t>
      </w:r>
      <w:r w:rsidR="003B16AB" w:rsidRPr="00FD62C4">
        <w:rPr>
          <w:lang w:eastAsia="ko-KR"/>
        </w:rPr>
        <w:t xml:space="preserve"> </w:t>
      </w:r>
      <w:r w:rsidR="003B16AB" w:rsidRPr="00FD62C4">
        <w:rPr>
          <w:i/>
          <w:iCs/>
          <w:lang w:eastAsia="ko-KR"/>
        </w:rPr>
        <w:t>k</w:t>
      </w:r>
      <w:r w:rsidRPr="00FD62C4">
        <w:rPr>
          <w:lang w:eastAsia="ko-KR"/>
        </w:rPr>
        <w:t xml:space="preserve">, respectively. Then, one spectrum use unit can be denoted as </w:t>
      </w:r>
      <m:oMath>
        <m:r>
          <w:rPr>
            <w:rFonts w:ascii="Cambria Math" w:hAnsi="Cambria Math"/>
            <w:lang w:eastAsia="ko-KR"/>
          </w:rPr>
          <m:t>(</m:t>
        </m:r>
        <m:sSub>
          <m:sSubPr>
            <m:ctrlPr>
              <w:rPr>
                <w:rFonts w:ascii="Cambria Math" w:hAnsi="Cambria Math"/>
                <w:i/>
                <w:lang w:eastAsia="ko-KR"/>
              </w:rPr>
            </m:ctrlPr>
          </m:sSubPr>
          <m:e>
            <m:r>
              <w:rPr>
                <w:rFonts w:ascii="Cambria Math" w:hAnsi="Cambria Math"/>
                <w:lang w:eastAsia="ko-KR"/>
              </w:rPr>
              <m:t>f</m:t>
            </m:r>
          </m:e>
          <m:sub>
            <m:r>
              <w:rPr>
                <w:rFonts w:ascii="Cambria Math" w:hAnsi="Cambria Math"/>
                <w:lang w:eastAsia="ko-KR"/>
              </w:rPr>
              <m:t>i</m:t>
            </m:r>
          </m:sub>
        </m:sSub>
        <m:r>
          <w:rPr>
            <w:rFonts w:ascii="Cambria Math" w:hAnsi="Cambria Math"/>
            <w:lang w:eastAsia="ko-KR"/>
          </w:rPr>
          <m:t xml:space="preserve">, </m:t>
        </m:r>
        <m:sSub>
          <m:sSubPr>
            <m:ctrlPr>
              <w:rPr>
                <w:rFonts w:ascii="Cambria Math" w:hAnsi="Cambria Math"/>
                <w:i/>
                <w:lang w:eastAsia="ko-KR"/>
              </w:rPr>
            </m:ctrlPr>
          </m:sSubPr>
          <m:e>
            <m:r>
              <w:rPr>
                <w:rFonts w:ascii="Cambria Math" w:hAnsi="Cambria Math"/>
                <w:lang w:eastAsia="ko-KR"/>
              </w:rPr>
              <m:t>t</m:t>
            </m:r>
          </m:e>
          <m:sub>
            <m:r>
              <w:rPr>
                <w:rFonts w:ascii="Cambria Math" w:hAnsi="Cambria Math"/>
                <w:lang w:eastAsia="ko-KR"/>
              </w:rPr>
              <m:t>j</m:t>
            </m:r>
          </m:sub>
        </m:sSub>
        <m:r>
          <w:rPr>
            <w:rFonts w:ascii="Cambria Math" w:hAnsi="Cambria Math"/>
            <w:lang w:eastAsia="ko-KR"/>
          </w:rPr>
          <m:t xml:space="preserve">, </m:t>
        </m:r>
        <m:sSub>
          <m:sSubPr>
            <m:ctrlPr>
              <w:rPr>
                <w:rFonts w:ascii="Cambria Math" w:hAnsi="Cambria Math"/>
                <w:i/>
                <w:lang w:eastAsia="ko-KR"/>
              </w:rPr>
            </m:ctrlPr>
          </m:sSubPr>
          <m:e>
            <m:r>
              <w:rPr>
                <w:rFonts w:ascii="Cambria Math" w:hAnsi="Cambria Math"/>
                <w:lang w:eastAsia="ko-KR"/>
              </w:rPr>
              <m:t>g</m:t>
            </m:r>
          </m:e>
          <m:sub>
            <m:r>
              <w:rPr>
                <w:rFonts w:ascii="Cambria Math" w:hAnsi="Cambria Math"/>
                <w:lang w:eastAsia="ko-KR"/>
              </w:rPr>
              <m:t>k</m:t>
            </m:r>
          </m:sub>
        </m:sSub>
        <m:r>
          <w:rPr>
            <w:rFonts w:ascii="Cambria Math" w:hAnsi="Cambria Math"/>
            <w:lang w:eastAsia="ko-KR"/>
          </w:rPr>
          <m:t>)</m:t>
        </m:r>
      </m:oMath>
      <w:r w:rsidRPr="00FD62C4">
        <w:rPr>
          <w:lang w:eastAsia="ko-KR"/>
        </w:rPr>
        <w:t>.</w:t>
      </w:r>
    </w:p>
    <w:p w14:paraId="3411ABB7" w14:textId="5658F1C0" w:rsidR="00A812FA" w:rsidRPr="00FD62C4" w:rsidRDefault="00A812FA" w:rsidP="0056771B">
      <w:pPr>
        <w:pStyle w:val="enumlev1"/>
        <w:rPr>
          <w:lang w:eastAsia="ko-KR"/>
        </w:rPr>
      </w:pPr>
      <w:r w:rsidRPr="00FD62C4">
        <w:rPr>
          <w:lang w:eastAsia="ko-KR"/>
        </w:rPr>
        <w:t>2)</w:t>
      </w:r>
      <w:r w:rsidRPr="00FD62C4">
        <w:rPr>
          <w:lang w:eastAsia="ko-KR"/>
        </w:rPr>
        <w:tab/>
        <w:t>Identification of primary user frequency use</w:t>
      </w:r>
    </w:p>
    <w:p w14:paraId="24F55643" w14:textId="77777777" w:rsidR="00A812FA" w:rsidRPr="00FD62C4" w:rsidRDefault="00A812FA" w:rsidP="00C17884">
      <w:pPr>
        <w:pStyle w:val="enumlev1"/>
        <w:keepNext/>
        <w:keepLines/>
        <w:rPr>
          <w:lang w:eastAsia="ko-KR"/>
        </w:rPr>
      </w:pPr>
      <w:r w:rsidRPr="00FD62C4">
        <w:rPr>
          <w:lang w:eastAsia="zh-CN"/>
        </w:rPr>
        <w:lastRenderedPageBreak/>
        <w:tab/>
      </w:r>
      <w:r w:rsidRPr="00FD62C4">
        <w:rPr>
          <w:lang w:eastAsia="ko-KR"/>
        </w:rPr>
        <w:t xml:space="preserve">Using frequency authorization and spectrum certification information from the </w:t>
      </w:r>
      <w:r w:rsidRPr="00FD62C4">
        <w:rPr>
          <w:spacing w:val="-4"/>
          <w:lang w:eastAsia="ko-KR"/>
        </w:rPr>
        <w:t>Administration, frequency use of the primary user can be identified. Consider a frequency</w:t>
      </w:r>
      <w:r w:rsidRPr="00FD62C4">
        <w:rPr>
          <w:lang w:eastAsia="ko-KR"/>
        </w:rPr>
        <w:t xml:space="preserve"> unit </w:t>
      </w:r>
      <m:oMath>
        <m:sSub>
          <m:sSubPr>
            <m:ctrlPr>
              <w:rPr>
                <w:rFonts w:ascii="Cambria Math" w:hAnsi="Cambria Math"/>
                <w:i/>
                <w:lang w:eastAsia="ko-KR"/>
              </w:rPr>
            </m:ctrlPr>
          </m:sSubPr>
          <m:e>
            <m:r>
              <w:rPr>
                <w:rFonts w:ascii="Cambria Math" w:hAnsi="Cambria Math"/>
                <w:lang w:eastAsia="ko-KR"/>
              </w:rPr>
              <m:t>f</m:t>
            </m:r>
          </m:e>
          <m:sub>
            <m:r>
              <w:rPr>
                <w:rFonts w:ascii="Cambria Math" w:hAnsi="Cambria Math"/>
                <w:lang w:eastAsia="ko-KR"/>
              </w:rPr>
              <m:t>i</m:t>
            </m:r>
          </m:sub>
        </m:sSub>
      </m:oMath>
      <w:r w:rsidRPr="00FD62C4">
        <w:rPr>
          <w:lang w:eastAsia="ko-KR"/>
        </w:rPr>
        <w:t xml:space="preserve">. If a primary user station uses a channel that overlaps with unit </w:t>
      </w:r>
      <m:oMath>
        <m:sSub>
          <m:sSubPr>
            <m:ctrlPr>
              <w:rPr>
                <w:rFonts w:ascii="Cambria Math" w:hAnsi="Cambria Math"/>
                <w:i/>
                <w:lang w:eastAsia="ko-KR"/>
              </w:rPr>
            </m:ctrlPr>
          </m:sSubPr>
          <m:e>
            <m:r>
              <w:rPr>
                <w:rFonts w:ascii="Cambria Math" w:hAnsi="Cambria Math"/>
                <w:lang w:eastAsia="ko-KR"/>
              </w:rPr>
              <m:t>f</m:t>
            </m:r>
          </m:e>
          <m:sub>
            <m:r>
              <w:rPr>
                <w:rFonts w:ascii="Cambria Math" w:hAnsi="Cambria Math"/>
                <w:lang w:eastAsia="ko-KR"/>
              </w:rPr>
              <m:t>i</m:t>
            </m:r>
          </m:sub>
        </m:sSub>
      </m:oMath>
      <w:r w:rsidRPr="00FD62C4">
        <w:rPr>
          <w:lang w:eastAsia="ko-KR"/>
        </w:rPr>
        <w:t xml:space="preserve">, it can be determined that some spectrum use units associated with </w:t>
      </w:r>
      <m:oMath>
        <m:sSub>
          <m:sSubPr>
            <m:ctrlPr>
              <w:rPr>
                <w:rFonts w:ascii="Cambria Math" w:hAnsi="Cambria Math"/>
                <w:i/>
                <w:lang w:eastAsia="ko-KR"/>
              </w:rPr>
            </m:ctrlPr>
          </m:sSubPr>
          <m:e>
            <m:r>
              <w:rPr>
                <w:rFonts w:ascii="Cambria Math" w:hAnsi="Cambria Math"/>
                <w:lang w:eastAsia="ko-KR"/>
              </w:rPr>
              <m:t>f</m:t>
            </m:r>
          </m:e>
          <m:sub>
            <m:r>
              <w:rPr>
                <w:rFonts w:ascii="Cambria Math" w:hAnsi="Cambria Math"/>
                <w:lang w:eastAsia="ko-KR"/>
              </w:rPr>
              <m:t>i</m:t>
            </m:r>
          </m:sub>
        </m:sSub>
      </m:oMath>
      <w:r w:rsidRPr="00FD62C4">
        <w:t>, denoted as</w:t>
      </w:r>
      <w:r w:rsidRPr="00FD62C4">
        <w:rPr>
          <w:lang w:eastAsia="ko-KR"/>
        </w:rPr>
        <w:t xml:space="preserve"> </w:t>
      </w:r>
      <m:oMath>
        <m:r>
          <w:rPr>
            <w:rFonts w:ascii="Cambria Math" w:hAnsi="Cambria Math"/>
            <w:lang w:eastAsia="ko-KR"/>
          </w:rPr>
          <m:t>(</m:t>
        </m:r>
        <m:sSub>
          <m:sSubPr>
            <m:ctrlPr>
              <w:rPr>
                <w:rFonts w:ascii="Cambria Math" w:hAnsi="Cambria Math"/>
                <w:i/>
                <w:lang w:eastAsia="ko-KR"/>
              </w:rPr>
            </m:ctrlPr>
          </m:sSubPr>
          <m:e>
            <m:r>
              <w:rPr>
                <w:rFonts w:ascii="Cambria Math" w:hAnsi="Cambria Math"/>
                <w:lang w:eastAsia="ko-KR"/>
              </w:rPr>
              <m:t>f</m:t>
            </m:r>
          </m:e>
          <m:sub>
            <m:r>
              <w:rPr>
                <w:rFonts w:ascii="Cambria Math" w:hAnsi="Cambria Math"/>
                <w:lang w:eastAsia="ko-KR"/>
              </w:rPr>
              <m:t>i</m:t>
            </m:r>
          </m:sub>
        </m:sSub>
        <m:r>
          <w:rPr>
            <w:rFonts w:ascii="Cambria Math" w:hAnsi="Cambria Math"/>
            <w:lang w:eastAsia="ko-KR"/>
          </w:rPr>
          <m:t>,  ∙ ,  ∙ )</m:t>
        </m:r>
      </m:oMath>
      <w:r w:rsidRPr="00FD62C4">
        <w:rPr>
          <w:lang w:eastAsia="ko-KR"/>
        </w:rPr>
        <w:t>,</w:t>
      </w:r>
      <w:r w:rsidRPr="00FD62C4">
        <w:t xml:space="preserve"> </w:t>
      </w:r>
      <w:r w:rsidRPr="00FD62C4">
        <w:rPr>
          <w:lang w:eastAsia="ko-KR"/>
        </w:rPr>
        <w:t xml:space="preserve">may be occupied by the primary user; therefore, the corresponding geographical and temporal uses for the frequency unit </w:t>
      </w:r>
      <m:oMath>
        <m:sSub>
          <m:sSubPr>
            <m:ctrlPr>
              <w:rPr>
                <w:rFonts w:ascii="Cambria Math" w:hAnsi="Cambria Math"/>
                <w:i/>
                <w:lang w:eastAsia="ko-KR"/>
              </w:rPr>
            </m:ctrlPr>
          </m:sSubPr>
          <m:e>
            <m:r>
              <w:rPr>
                <w:rFonts w:ascii="Cambria Math" w:hAnsi="Cambria Math"/>
                <w:lang w:eastAsia="ko-KR"/>
              </w:rPr>
              <m:t>f</m:t>
            </m:r>
          </m:e>
          <m:sub>
            <m:r>
              <w:rPr>
                <w:rFonts w:ascii="Cambria Math" w:hAnsi="Cambria Math"/>
                <w:lang w:eastAsia="ko-KR"/>
              </w:rPr>
              <m:t>i</m:t>
            </m:r>
          </m:sub>
        </m:sSub>
      </m:oMath>
      <w:r w:rsidRPr="00FD62C4">
        <w:rPr>
          <w:lang w:eastAsia="ko-KR"/>
        </w:rPr>
        <w:t xml:space="preserve"> need to be identified.</w:t>
      </w:r>
    </w:p>
    <w:p w14:paraId="72FB0674" w14:textId="6BFDC31F" w:rsidR="00A812FA" w:rsidRPr="00FD62C4" w:rsidRDefault="00A812FA" w:rsidP="0056771B">
      <w:pPr>
        <w:pStyle w:val="enumlev1"/>
        <w:rPr>
          <w:lang w:eastAsia="ko-KR"/>
        </w:rPr>
      </w:pPr>
      <w:r w:rsidRPr="00FD62C4">
        <w:rPr>
          <w:lang w:eastAsia="ko-KR"/>
        </w:rPr>
        <w:t>3)</w:t>
      </w:r>
      <w:r w:rsidRPr="00FD62C4">
        <w:rPr>
          <w:lang w:eastAsia="ko-KR"/>
        </w:rPr>
        <w:tab/>
        <w:t>Identification of primary user temporal use</w:t>
      </w:r>
    </w:p>
    <w:p w14:paraId="2333803C" w14:textId="77777777" w:rsidR="00A812FA" w:rsidRPr="00FD62C4" w:rsidRDefault="00A812FA" w:rsidP="00A812FA">
      <w:pPr>
        <w:pStyle w:val="enumlev1"/>
        <w:rPr>
          <w:lang w:eastAsia="zh-CN"/>
        </w:rPr>
      </w:pPr>
      <w:r w:rsidRPr="00FD62C4">
        <w:rPr>
          <w:lang w:eastAsia="ko-KR"/>
        </w:rPr>
        <w:tab/>
      </w:r>
      <w:r w:rsidRPr="00FD62C4">
        <w:rPr>
          <w:lang w:eastAsia="zh-CN"/>
        </w:rPr>
        <w:t xml:space="preserve">In this step, </w:t>
      </w:r>
      <w:r w:rsidRPr="00FD62C4">
        <w:rPr>
          <w:lang w:eastAsia="ko-KR"/>
        </w:rPr>
        <w:t xml:space="preserve">it is assumed that there are primary user stations using channels that overlap with the frequency unit </w:t>
      </w:r>
      <m:oMath>
        <m:sSub>
          <m:sSubPr>
            <m:ctrlPr>
              <w:rPr>
                <w:rFonts w:ascii="Cambria Math" w:hAnsi="Cambria Math"/>
                <w:i/>
                <w:lang w:eastAsia="ko-KR"/>
              </w:rPr>
            </m:ctrlPr>
          </m:sSubPr>
          <m:e>
            <m:r>
              <w:rPr>
                <w:rFonts w:ascii="Cambria Math" w:hAnsi="Cambria Math"/>
                <w:lang w:eastAsia="ko-KR"/>
              </w:rPr>
              <m:t>f</m:t>
            </m:r>
          </m:e>
          <m:sub>
            <m:r>
              <w:rPr>
                <w:rFonts w:ascii="Cambria Math" w:hAnsi="Cambria Math"/>
                <w:lang w:eastAsia="ko-KR"/>
              </w:rPr>
              <m:t>i</m:t>
            </m:r>
          </m:sub>
        </m:sSub>
      </m:oMath>
      <w:r w:rsidRPr="00FD62C4">
        <w:rPr>
          <w:lang w:eastAsia="ko-KR"/>
        </w:rPr>
        <w:t>.</w:t>
      </w:r>
    </w:p>
    <w:p w14:paraId="09CB4D73" w14:textId="77777777" w:rsidR="00A812FA" w:rsidRPr="00FD62C4" w:rsidRDefault="00A812FA" w:rsidP="00A812FA">
      <w:pPr>
        <w:pStyle w:val="enumlev1"/>
        <w:rPr>
          <w:lang w:eastAsia="ko-KR"/>
        </w:rPr>
      </w:pPr>
      <w:r w:rsidRPr="00FD62C4">
        <w:rPr>
          <w:lang w:eastAsia="zh-CN"/>
        </w:rPr>
        <w:tab/>
      </w:r>
      <w:r w:rsidRPr="00FD62C4">
        <w:rPr>
          <w:lang w:eastAsia="ko-KR"/>
        </w:rPr>
        <w:t xml:space="preserve">Using information on the actual use timeline of the stations, provided by the primary user, the temporal use for the frequency unit </w:t>
      </w:r>
      <m:oMath>
        <m:sSub>
          <m:sSubPr>
            <m:ctrlPr>
              <w:rPr>
                <w:rFonts w:ascii="Cambria Math" w:hAnsi="Cambria Math"/>
                <w:i/>
                <w:lang w:eastAsia="ko-KR"/>
              </w:rPr>
            </m:ctrlPr>
          </m:sSubPr>
          <m:e>
            <m:r>
              <w:rPr>
                <w:rFonts w:ascii="Cambria Math" w:hAnsi="Cambria Math"/>
                <w:lang w:eastAsia="ko-KR"/>
              </w:rPr>
              <m:t>f</m:t>
            </m:r>
          </m:e>
          <m:sub>
            <m:r>
              <w:rPr>
                <w:rFonts w:ascii="Cambria Math" w:hAnsi="Cambria Math"/>
                <w:lang w:eastAsia="ko-KR"/>
              </w:rPr>
              <m:t>i</m:t>
            </m:r>
          </m:sub>
        </m:sSub>
      </m:oMath>
      <w:r w:rsidRPr="00FD62C4">
        <w:rPr>
          <w:lang w:eastAsia="ko-KR"/>
        </w:rPr>
        <w:t xml:space="preserve"> can be identified. Consider a temporal unit </w:t>
      </w:r>
      <m:oMath>
        <m:sSub>
          <m:sSubPr>
            <m:ctrlPr>
              <w:rPr>
                <w:rFonts w:ascii="Cambria Math" w:hAnsi="Cambria Math"/>
                <w:i/>
                <w:lang w:eastAsia="ko-KR"/>
              </w:rPr>
            </m:ctrlPr>
          </m:sSubPr>
          <m:e>
            <m:r>
              <w:rPr>
                <w:rFonts w:ascii="Cambria Math" w:hAnsi="Cambria Math"/>
                <w:lang w:eastAsia="ko-KR"/>
              </w:rPr>
              <m:t>t</m:t>
            </m:r>
          </m:e>
          <m:sub>
            <m:r>
              <w:rPr>
                <w:rFonts w:ascii="Cambria Math" w:hAnsi="Cambria Math"/>
                <w:lang w:eastAsia="ko-KR"/>
              </w:rPr>
              <m:t>j</m:t>
            </m:r>
          </m:sub>
        </m:sSub>
      </m:oMath>
      <w:r w:rsidRPr="00FD62C4">
        <w:rPr>
          <w:lang w:eastAsia="ko-KR"/>
        </w:rPr>
        <w:t xml:space="preserve">. If there are stations operating during unit </w:t>
      </w:r>
      <m:oMath>
        <m:sSub>
          <m:sSubPr>
            <m:ctrlPr>
              <w:rPr>
                <w:rFonts w:ascii="Cambria Math" w:hAnsi="Cambria Math"/>
                <w:i/>
                <w:lang w:eastAsia="ko-KR"/>
              </w:rPr>
            </m:ctrlPr>
          </m:sSubPr>
          <m:e>
            <m:r>
              <w:rPr>
                <w:rFonts w:ascii="Cambria Math" w:hAnsi="Cambria Math"/>
                <w:lang w:eastAsia="ko-KR"/>
              </w:rPr>
              <m:t>t</m:t>
            </m:r>
          </m:e>
          <m:sub>
            <m:r>
              <w:rPr>
                <w:rFonts w:ascii="Cambria Math" w:hAnsi="Cambria Math"/>
                <w:lang w:eastAsia="ko-KR"/>
              </w:rPr>
              <m:t>j</m:t>
            </m:r>
          </m:sub>
        </m:sSub>
      </m:oMath>
      <w:r w:rsidRPr="00FD62C4">
        <w:rPr>
          <w:lang w:eastAsia="ko-KR"/>
        </w:rPr>
        <w:t xml:space="preserve">, it can be determined that some spectrum use units associated with </w:t>
      </w:r>
      <m:oMath>
        <m:sSub>
          <m:sSubPr>
            <m:ctrlPr>
              <w:rPr>
                <w:rFonts w:ascii="Cambria Math" w:hAnsi="Cambria Math"/>
                <w:i/>
                <w:lang w:eastAsia="ko-KR"/>
              </w:rPr>
            </m:ctrlPr>
          </m:sSubPr>
          <m:e>
            <m:r>
              <w:rPr>
                <w:rFonts w:ascii="Cambria Math" w:hAnsi="Cambria Math"/>
                <w:lang w:eastAsia="ko-KR"/>
              </w:rPr>
              <m:t>f</m:t>
            </m:r>
          </m:e>
          <m:sub>
            <m:r>
              <w:rPr>
                <w:rFonts w:ascii="Cambria Math" w:hAnsi="Cambria Math"/>
                <w:lang w:eastAsia="ko-KR"/>
              </w:rPr>
              <m:t>i</m:t>
            </m:r>
          </m:sub>
        </m:sSub>
        <m:r>
          <w:rPr>
            <w:rFonts w:ascii="Cambria Math" w:hAnsi="Cambria Math"/>
            <w:lang w:eastAsia="ko-KR"/>
          </w:rPr>
          <m:t xml:space="preserve">, </m:t>
        </m:r>
        <m:sSub>
          <m:sSubPr>
            <m:ctrlPr>
              <w:rPr>
                <w:rFonts w:ascii="Cambria Math" w:hAnsi="Cambria Math"/>
                <w:i/>
                <w:lang w:eastAsia="ko-KR"/>
              </w:rPr>
            </m:ctrlPr>
          </m:sSubPr>
          <m:e>
            <m:r>
              <w:rPr>
                <w:rFonts w:ascii="Cambria Math" w:hAnsi="Cambria Math"/>
                <w:lang w:eastAsia="ko-KR"/>
              </w:rPr>
              <m:t>t</m:t>
            </m:r>
          </m:e>
          <m:sub>
            <m:r>
              <w:rPr>
                <w:rFonts w:ascii="Cambria Math" w:hAnsi="Cambria Math"/>
                <w:lang w:eastAsia="ko-KR"/>
              </w:rPr>
              <m:t>j</m:t>
            </m:r>
          </m:sub>
        </m:sSub>
      </m:oMath>
      <w:r w:rsidRPr="00FD62C4">
        <w:rPr>
          <w:lang w:eastAsia="ko-KR"/>
        </w:rPr>
        <w:t xml:space="preserve">, denoted as </w:t>
      </w:r>
      <m:oMath>
        <m:r>
          <w:rPr>
            <w:rFonts w:ascii="Cambria Math" w:hAnsi="Cambria Math"/>
            <w:lang w:eastAsia="ko-KR"/>
          </w:rPr>
          <m:t>(</m:t>
        </m:r>
        <m:sSub>
          <m:sSubPr>
            <m:ctrlPr>
              <w:rPr>
                <w:rFonts w:ascii="Cambria Math" w:hAnsi="Cambria Math"/>
                <w:i/>
                <w:lang w:eastAsia="ko-KR"/>
              </w:rPr>
            </m:ctrlPr>
          </m:sSubPr>
          <m:e>
            <m:r>
              <w:rPr>
                <w:rFonts w:ascii="Cambria Math" w:hAnsi="Cambria Math"/>
                <w:lang w:eastAsia="ko-KR"/>
              </w:rPr>
              <m:t>f</m:t>
            </m:r>
          </m:e>
          <m:sub>
            <m:r>
              <w:rPr>
                <w:rFonts w:ascii="Cambria Math" w:hAnsi="Cambria Math"/>
                <w:lang w:eastAsia="ko-KR"/>
              </w:rPr>
              <m:t>i</m:t>
            </m:r>
          </m:sub>
        </m:sSub>
        <m:r>
          <w:rPr>
            <w:rFonts w:ascii="Cambria Math" w:hAnsi="Cambria Math"/>
            <w:lang w:eastAsia="ko-KR"/>
          </w:rPr>
          <m:t xml:space="preserve">,  </m:t>
        </m:r>
        <m:sSub>
          <m:sSubPr>
            <m:ctrlPr>
              <w:rPr>
                <w:rFonts w:ascii="Cambria Math" w:hAnsi="Cambria Math"/>
                <w:i/>
                <w:lang w:eastAsia="ko-KR"/>
              </w:rPr>
            </m:ctrlPr>
          </m:sSubPr>
          <m:e>
            <m:r>
              <w:rPr>
                <w:rFonts w:ascii="Cambria Math" w:hAnsi="Cambria Math"/>
                <w:lang w:eastAsia="ko-KR"/>
              </w:rPr>
              <m:t>t</m:t>
            </m:r>
          </m:e>
          <m:sub>
            <m:r>
              <w:rPr>
                <w:rFonts w:ascii="Cambria Math" w:hAnsi="Cambria Math"/>
                <w:lang w:eastAsia="ko-KR"/>
              </w:rPr>
              <m:t>j</m:t>
            </m:r>
          </m:sub>
        </m:sSub>
        <m:r>
          <w:rPr>
            <w:rFonts w:ascii="Cambria Math" w:hAnsi="Cambria Math"/>
            <w:lang w:eastAsia="ko-KR"/>
          </w:rPr>
          <m:t>,  ∙ )</m:t>
        </m:r>
      </m:oMath>
      <w:r w:rsidRPr="00FD62C4">
        <w:rPr>
          <w:lang w:eastAsia="ko-KR"/>
        </w:rPr>
        <w:t xml:space="preserve">, may be occupied by the primary user; therefore, the corresponding geographical use for the frequency use unit </w:t>
      </w:r>
      <m:oMath>
        <m:sSub>
          <m:sSubPr>
            <m:ctrlPr>
              <w:rPr>
                <w:rFonts w:ascii="Cambria Math" w:hAnsi="Cambria Math"/>
                <w:i/>
                <w:lang w:eastAsia="ko-KR"/>
              </w:rPr>
            </m:ctrlPr>
          </m:sSubPr>
          <m:e>
            <m:r>
              <w:rPr>
                <w:rFonts w:ascii="Cambria Math" w:hAnsi="Cambria Math"/>
                <w:lang w:eastAsia="ko-KR"/>
              </w:rPr>
              <m:t>f</m:t>
            </m:r>
          </m:e>
          <m:sub>
            <m:r>
              <w:rPr>
                <w:rFonts w:ascii="Cambria Math" w:hAnsi="Cambria Math"/>
                <w:lang w:eastAsia="ko-KR"/>
              </w:rPr>
              <m:t>i</m:t>
            </m:r>
          </m:sub>
        </m:sSub>
        <m:r>
          <w:rPr>
            <w:rFonts w:ascii="Cambria Math" w:hAnsi="Cambria Math"/>
            <w:lang w:eastAsia="ko-KR"/>
          </w:rPr>
          <m:t xml:space="preserve"> </m:t>
        </m:r>
      </m:oMath>
      <w:r w:rsidRPr="00FD62C4">
        <w:rPr>
          <w:lang w:eastAsia="ko-KR"/>
        </w:rPr>
        <w:t xml:space="preserve"> and the temporal use unit </w:t>
      </w:r>
      <m:oMath>
        <m:sSub>
          <m:sSubPr>
            <m:ctrlPr>
              <w:rPr>
                <w:rFonts w:ascii="Cambria Math" w:hAnsi="Cambria Math"/>
                <w:i/>
                <w:lang w:eastAsia="ko-KR"/>
              </w:rPr>
            </m:ctrlPr>
          </m:sSubPr>
          <m:e>
            <m:r>
              <w:rPr>
                <w:rFonts w:ascii="Cambria Math" w:hAnsi="Cambria Math"/>
                <w:lang w:eastAsia="ko-KR"/>
              </w:rPr>
              <m:t>t</m:t>
            </m:r>
          </m:e>
          <m:sub>
            <m:r>
              <w:rPr>
                <w:rFonts w:ascii="Cambria Math" w:hAnsi="Cambria Math"/>
                <w:lang w:eastAsia="ko-KR"/>
              </w:rPr>
              <m:t>j</m:t>
            </m:r>
          </m:sub>
        </m:sSub>
      </m:oMath>
      <w:r w:rsidRPr="00FD62C4">
        <w:rPr>
          <w:lang w:eastAsia="ko-KR"/>
        </w:rPr>
        <w:t xml:space="preserve"> need to be identified.</w:t>
      </w:r>
    </w:p>
    <w:p w14:paraId="5766EB79" w14:textId="22F0D01F" w:rsidR="00A812FA" w:rsidRPr="00FD62C4" w:rsidRDefault="00A812FA" w:rsidP="0056771B">
      <w:pPr>
        <w:pStyle w:val="enumlev1"/>
        <w:rPr>
          <w:lang w:eastAsia="ko-KR"/>
        </w:rPr>
      </w:pPr>
      <w:r w:rsidRPr="00FD62C4">
        <w:rPr>
          <w:lang w:eastAsia="ko-KR"/>
        </w:rPr>
        <w:t>4)</w:t>
      </w:r>
      <w:r w:rsidRPr="00FD62C4">
        <w:rPr>
          <w:lang w:eastAsia="ko-KR"/>
        </w:rPr>
        <w:tab/>
        <w:t>Identification of primary user geographical use</w:t>
      </w:r>
    </w:p>
    <w:p w14:paraId="226471BA" w14:textId="77777777" w:rsidR="00A812FA" w:rsidRPr="00FD62C4" w:rsidRDefault="00A812FA" w:rsidP="00A812FA">
      <w:pPr>
        <w:pStyle w:val="enumlev1"/>
        <w:rPr>
          <w:rFonts w:eastAsiaTheme="minorEastAsia"/>
          <w:lang w:eastAsia="zh-CN"/>
        </w:rPr>
      </w:pPr>
      <w:r w:rsidRPr="00FD62C4">
        <w:rPr>
          <w:lang w:eastAsia="zh-CN"/>
        </w:rPr>
        <w:tab/>
      </w:r>
      <w:r w:rsidRPr="00FD62C4">
        <w:rPr>
          <w:lang w:eastAsia="ko-KR"/>
        </w:rPr>
        <w:t xml:space="preserve">In this step, it is assumed that there are primary user stations using channels that overlap with the frequency unit </w:t>
      </w:r>
      <m:oMath>
        <m:sSub>
          <m:sSubPr>
            <m:ctrlPr>
              <w:rPr>
                <w:rFonts w:ascii="Cambria Math" w:hAnsi="Cambria Math"/>
                <w:i/>
                <w:lang w:eastAsia="ko-KR"/>
              </w:rPr>
            </m:ctrlPr>
          </m:sSubPr>
          <m:e>
            <m:r>
              <w:rPr>
                <w:rFonts w:ascii="Cambria Math" w:hAnsi="Cambria Math"/>
                <w:lang w:eastAsia="ko-KR"/>
              </w:rPr>
              <m:t>f</m:t>
            </m:r>
          </m:e>
          <m:sub>
            <m:r>
              <w:rPr>
                <w:rFonts w:ascii="Cambria Math" w:hAnsi="Cambria Math"/>
                <w:lang w:eastAsia="ko-KR"/>
              </w:rPr>
              <m:t>i</m:t>
            </m:r>
          </m:sub>
        </m:sSub>
      </m:oMath>
      <w:r w:rsidRPr="00FD62C4">
        <w:rPr>
          <w:lang w:eastAsia="ko-KR"/>
        </w:rPr>
        <w:t xml:space="preserve"> and operating during temporal unit </w:t>
      </w:r>
      <m:oMath>
        <m:sSub>
          <m:sSubPr>
            <m:ctrlPr>
              <w:rPr>
                <w:rFonts w:ascii="Cambria Math" w:hAnsi="Cambria Math"/>
                <w:i/>
                <w:lang w:eastAsia="ko-KR"/>
              </w:rPr>
            </m:ctrlPr>
          </m:sSubPr>
          <m:e>
            <m:r>
              <w:rPr>
                <w:rFonts w:ascii="Cambria Math" w:hAnsi="Cambria Math"/>
                <w:lang w:eastAsia="ko-KR"/>
              </w:rPr>
              <m:t>t</m:t>
            </m:r>
          </m:e>
          <m:sub>
            <m:r>
              <w:rPr>
                <w:rFonts w:ascii="Cambria Math" w:hAnsi="Cambria Math"/>
                <w:lang w:eastAsia="ko-KR"/>
              </w:rPr>
              <m:t>j</m:t>
            </m:r>
          </m:sub>
        </m:sSub>
      </m:oMath>
      <w:r w:rsidRPr="00FD62C4">
        <w:rPr>
          <w:lang w:eastAsia="ko-KR"/>
        </w:rPr>
        <w:t>.</w:t>
      </w:r>
    </w:p>
    <w:p w14:paraId="026BAE36" w14:textId="77777777" w:rsidR="00A812FA" w:rsidRPr="00FD62C4" w:rsidRDefault="00A812FA" w:rsidP="00A812FA">
      <w:pPr>
        <w:pStyle w:val="enumlev1"/>
        <w:rPr>
          <w:lang w:eastAsia="ko-KR"/>
        </w:rPr>
      </w:pPr>
      <w:r w:rsidRPr="00FD62C4">
        <w:rPr>
          <w:lang w:eastAsia="zh-CN"/>
        </w:rPr>
        <w:tab/>
      </w:r>
      <w:r w:rsidRPr="00FD62C4">
        <w:rPr>
          <w:lang w:eastAsia="ko-KR"/>
        </w:rPr>
        <w:t xml:space="preserve">To identify the geographical use for the frequency unit </w:t>
      </w:r>
      <m:oMath>
        <m:sSub>
          <m:sSubPr>
            <m:ctrlPr>
              <w:rPr>
                <w:rFonts w:ascii="Cambria Math" w:hAnsi="Cambria Math"/>
                <w:i/>
                <w:lang w:eastAsia="ko-KR"/>
              </w:rPr>
            </m:ctrlPr>
          </m:sSubPr>
          <m:e>
            <m:r>
              <w:rPr>
                <w:rFonts w:ascii="Cambria Math" w:hAnsi="Cambria Math"/>
                <w:lang w:eastAsia="ko-KR"/>
              </w:rPr>
              <m:t>f</m:t>
            </m:r>
          </m:e>
          <m:sub>
            <m:r>
              <w:rPr>
                <w:rFonts w:ascii="Cambria Math" w:hAnsi="Cambria Math"/>
                <w:lang w:eastAsia="ko-KR"/>
              </w:rPr>
              <m:t>i</m:t>
            </m:r>
          </m:sub>
        </m:sSub>
      </m:oMath>
      <w:r w:rsidRPr="00FD62C4">
        <w:rPr>
          <w:lang w:eastAsia="ko-KR"/>
        </w:rPr>
        <w:t xml:space="preserve"> during the temporal unit </w:t>
      </w:r>
      <m:oMath>
        <m:sSub>
          <m:sSubPr>
            <m:ctrlPr>
              <w:rPr>
                <w:rFonts w:ascii="Cambria Math" w:hAnsi="Cambria Math"/>
                <w:i/>
                <w:lang w:eastAsia="ko-KR"/>
              </w:rPr>
            </m:ctrlPr>
          </m:sSubPr>
          <m:e>
            <m:r>
              <w:rPr>
                <w:rFonts w:ascii="Cambria Math" w:hAnsi="Cambria Math"/>
                <w:lang w:eastAsia="ko-KR"/>
              </w:rPr>
              <m:t>t</m:t>
            </m:r>
          </m:e>
          <m:sub>
            <m:r>
              <w:rPr>
                <w:rFonts w:ascii="Cambria Math" w:hAnsi="Cambria Math"/>
                <w:lang w:eastAsia="ko-KR"/>
              </w:rPr>
              <m:t>j</m:t>
            </m:r>
          </m:sub>
        </m:sSub>
      </m:oMath>
      <w:r w:rsidRPr="00FD62C4">
        <w:rPr>
          <w:lang w:eastAsia="ko-KR"/>
        </w:rPr>
        <w:t>, spectrum usage contours for the stations are first computed.</w:t>
      </w:r>
    </w:p>
    <w:p w14:paraId="78070596" w14:textId="77777777" w:rsidR="00A812FA" w:rsidRPr="00FD62C4" w:rsidRDefault="00A812FA" w:rsidP="00A812FA">
      <w:pPr>
        <w:pStyle w:val="enumlev1"/>
        <w:rPr>
          <w:lang w:eastAsia="zh-CN"/>
        </w:rPr>
      </w:pPr>
      <w:r w:rsidRPr="00FD62C4">
        <w:rPr>
          <w:lang w:eastAsia="ko-KR"/>
        </w:rPr>
        <w:tab/>
        <w:t>For a fixed transmit station, the spectrum usage contour is the boundary around the station within which the service in question may experience interference from the station exceeding a certain level. This contour is derived as the collection of locations where the terrain-dependent propagation loss</w:t>
      </w:r>
      <w:r w:rsidRPr="00FD62C4">
        <w:rPr>
          <w:rStyle w:val="FootnoteReference"/>
          <w:lang w:eastAsia="ko-KR"/>
        </w:rPr>
        <w:footnoteReference w:id="14"/>
      </w:r>
      <w:r w:rsidRPr="00FD62C4">
        <w:rPr>
          <w:lang w:eastAsia="ko-KR"/>
        </w:rPr>
        <w:t xml:space="preserve"> from the station to the location equals the required propagation loss </w:t>
      </w:r>
      <m:oMath>
        <m:sSub>
          <m:sSubPr>
            <m:ctrlPr>
              <w:rPr>
                <w:rFonts w:ascii="Cambria Math" w:hAnsi="Cambria Math"/>
                <w:i/>
              </w:rPr>
            </m:ctrlPr>
          </m:sSubPr>
          <m:e>
            <m:r>
              <w:rPr>
                <w:rFonts w:ascii="Cambria Math" w:hAnsi="Cambria Math"/>
              </w:rPr>
              <m:t>L</m:t>
            </m:r>
          </m:e>
          <m:sub>
            <m:r>
              <w:rPr>
                <w:rFonts w:ascii="Cambria Math" w:hAnsi="Cambria Math"/>
              </w:rPr>
              <m:t>T</m:t>
            </m:r>
          </m:sub>
        </m:sSub>
      </m:oMath>
      <w:r w:rsidRPr="00FD62C4">
        <w:rPr>
          <w:lang w:eastAsia="ko-KR"/>
        </w:rPr>
        <w:t>, which can be calculated using the following equation and information:</w:t>
      </w:r>
    </w:p>
    <w:p w14:paraId="406E3FA2" w14:textId="1257E4ED" w:rsidR="00A812FA" w:rsidRPr="00FD62C4" w:rsidRDefault="00A812FA" w:rsidP="00A812FA">
      <w:pPr>
        <w:pStyle w:val="Equation"/>
      </w:pPr>
      <w:r w:rsidRPr="00FD62C4">
        <w:tab/>
      </w:r>
      <w:r w:rsidRPr="00FD62C4">
        <w:tab/>
      </w:r>
      <m:oMath>
        <m:sSub>
          <m:sSubPr>
            <m:ctrlPr>
              <w:rPr>
                <w:rFonts w:ascii="Cambria Math" w:hAnsi="Cambria Math"/>
                <w:i/>
              </w:rPr>
            </m:ctrlPr>
          </m:sSubPr>
          <m:e>
            <m:r>
              <w:rPr>
                <w:rFonts w:ascii="Cambria Math" w:hAnsi="Cambria Math"/>
              </w:rPr>
              <m:t>L</m:t>
            </m:r>
          </m:e>
          <m:sub>
            <m:r>
              <w:rPr>
                <w:rFonts w:ascii="Cambria Math" w:hAnsi="Cambria Math"/>
              </w:rPr>
              <m:t>T</m:t>
            </m:r>
          </m:sub>
        </m:sSub>
        <m:r>
          <w:rPr>
            <w:rFonts w:ascii="Cambria Math" w:hAnsi="Cambria Math"/>
            <w:lang w:eastAsia="ko-KR"/>
          </w:rPr>
          <m:t>=</m:t>
        </m:r>
        <m:d>
          <m:dPr>
            <m:begChr m:val="{"/>
            <m:endChr m:val="}"/>
            <m:ctrlPr>
              <w:rPr>
                <w:rFonts w:ascii="Cambria Math" w:hAnsi="Cambria Math"/>
                <w:i/>
                <w:lang w:eastAsia="ko-KR"/>
              </w:rPr>
            </m:ctrlPr>
          </m:dPr>
          <m:e>
            <m:r>
              <w:rPr>
                <w:rFonts w:ascii="Cambria Math" w:hAnsi="Cambria Math"/>
                <w:lang w:eastAsia="ko-KR"/>
              </w:rPr>
              <m:t>10</m:t>
            </m:r>
            <m:func>
              <m:funcPr>
                <m:ctrlPr>
                  <w:rPr>
                    <w:rFonts w:ascii="Cambria Math" w:hAnsi="Cambria Math"/>
                    <w:i/>
                    <w:lang w:eastAsia="ko-KR"/>
                  </w:rPr>
                </m:ctrlPr>
              </m:funcPr>
              <m:fName>
                <m:r>
                  <m:rPr>
                    <m:sty m:val="p"/>
                  </m:rPr>
                  <w:rPr>
                    <w:rFonts w:ascii="Cambria Math" w:hAnsi="Cambria Math"/>
                    <w:lang w:eastAsia="ko-KR"/>
                  </w:rPr>
                  <m:t>log</m:t>
                </m:r>
              </m:fName>
              <m:e>
                <m:d>
                  <m:dPr>
                    <m:ctrlPr>
                      <w:rPr>
                        <w:rFonts w:ascii="Cambria Math" w:hAnsi="Cambria Math"/>
                        <w:i/>
                        <w:lang w:eastAsia="ko-KR"/>
                      </w:rPr>
                    </m:ctrlPr>
                  </m:dPr>
                  <m:e>
                    <m:sSub>
                      <m:sSubPr>
                        <m:ctrlPr>
                          <w:rPr>
                            <w:rFonts w:ascii="Cambria Math" w:hAnsi="Cambria Math"/>
                            <w:i/>
                            <w:lang w:eastAsia="ko-KR"/>
                          </w:rPr>
                        </m:ctrlPr>
                      </m:sSubPr>
                      <m:e>
                        <m:r>
                          <w:rPr>
                            <w:rFonts w:ascii="Cambria Math" w:hAnsi="Cambria Math"/>
                            <w:lang w:eastAsia="ko-KR"/>
                          </w:rPr>
                          <m:t>P</m:t>
                        </m:r>
                      </m:e>
                      <m:sub>
                        <m:r>
                          <w:rPr>
                            <w:rFonts w:ascii="Cambria Math" w:hAnsi="Cambria Math"/>
                            <w:lang w:eastAsia="ko-KR"/>
                          </w:rPr>
                          <m:t>T</m:t>
                        </m:r>
                      </m:sub>
                    </m:sSub>
                  </m:e>
                </m:d>
              </m:e>
            </m:func>
            <m:r>
              <w:rPr>
                <w:rFonts w:ascii="Cambria Math" w:hAnsi="Cambria Math"/>
                <w:lang w:eastAsia="ko-KR"/>
              </w:rPr>
              <m:t>-10</m:t>
            </m:r>
            <m:func>
              <m:funcPr>
                <m:ctrlPr>
                  <w:rPr>
                    <w:rFonts w:ascii="Cambria Math" w:hAnsi="Cambria Math"/>
                    <w:i/>
                    <w:lang w:eastAsia="ko-KR"/>
                  </w:rPr>
                </m:ctrlPr>
              </m:funcPr>
              <m:fName>
                <m:r>
                  <m:rPr>
                    <m:sty m:val="p"/>
                  </m:rPr>
                  <w:rPr>
                    <w:rFonts w:ascii="Cambria Math" w:hAnsi="Cambria Math"/>
                    <w:lang w:eastAsia="ko-KR"/>
                  </w:rPr>
                  <m:t>log</m:t>
                </m:r>
              </m:fName>
              <m:e>
                <m:d>
                  <m:dPr>
                    <m:ctrlPr>
                      <w:rPr>
                        <w:rFonts w:ascii="Cambria Math" w:hAnsi="Cambria Math"/>
                        <w:i/>
                        <w:lang w:eastAsia="ko-KR"/>
                      </w:rPr>
                    </m:ctrlPr>
                  </m:dPr>
                  <m:e>
                    <m:sSub>
                      <m:sSubPr>
                        <m:ctrlPr>
                          <w:rPr>
                            <w:rFonts w:ascii="Cambria Math" w:hAnsi="Cambria Math"/>
                            <w:i/>
                            <w:lang w:eastAsia="ko-KR"/>
                          </w:rPr>
                        </m:ctrlPr>
                      </m:sSubPr>
                      <m:e>
                        <m:r>
                          <w:rPr>
                            <w:rFonts w:ascii="Cambria Math" w:hAnsi="Cambria Math"/>
                            <w:lang w:eastAsia="ko-KR"/>
                          </w:rPr>
                          <m:t>B</m:t>
                        </m:r>
                      </m:e>
                      <m:sub>
                        <m:r>
                          <w:rPr>
                            <w:rFonts w:ascii="Cambria Math" w:hAnsi="Cambria Math"/>
                            <w:lang w:eastAsia="ko-KR"/>
                          </w:rPr>
                          <m:t>N</m:t>
                        </m:r>
                      </m:sub>
                    </m:sSub>
                  </m:e>
                </m:d>
              </m:e>
            </m:func>
          </m:e>
        </m:d>
        <m:r>
          <w:rPr>
            <w:rFonts w:ascii="Cambria Math" w:hAnsi="Cambria Math"/>
            <w:lang w:eastAsia="ko-KR"/>
          </w:rPr>
          <m:t>+10</m:t>
        </m:r>
        <m:func>
          <m:funcPr>
            <m:ctrlPr>
              <w:rPr>
                <w:rFonts w:ascii="Cambria Math" w:hAnsi="Cambria Math"/>
                <w:i/>
                <w:lang w:eastAsia="ko-KR"/>
              </w:rPr>
            </m:ctrlPr>
          </m:funcPr>
          <m:fName>
            <m:r>
              <m:rPr>
                <m:sty m:val="p"/>
              </m:rPr>
              <w:rPr>
                <w:rFonts w:ascii="Cambria Math" w:hAnsi="Cambria Math"/>
                <w:lang w:eastAsia="ko-KR"/>
              </w:rPr>
              <m:t>log</m:t>
            </m:r>
          </m:fName>
          <m:e>
            <m:d>
              <m:dPr>
                <m:ctrlPr>
                  <w:rPr>
                    <w:rFonts w:ascii="Cambria Math" w:hAnsi="Cambria Math"/>
                    <w:i/>
                    <w:lang w:eastAsia="ko-KR"/>
                  </w:rPr>
                </m:ctrlPr>
              </m:dPr>
              <m:e>
                <m:r>
                  <w:rPr>
                    <w:rFonts w:ascii="Cambria Math" w:hAnsi="Cambria Math"/>
                    <w:lang w:eastAsia="ko-KR"/>
                  </w:rPr>
                  <m:t>DC/100</m:t>
                </m:r>
              </m:e>
            </m:d>
          </m:e>
        </m:func>
        <m:r>
          <w:rPr>
            <w:rFonts w:ascii="Cambria Math" w:hAnsi="Cambria Math"/>
            <w:lang w:eastAsia="ko-KR"/>
          </w:rPr>
          <m:t>+</m:t>
        </m:r>
        <m:sSub>
          <m:sSubPr>
            <m:ctrlPr>
              <w:rPr>
                <w:rFonts w:ascii="Cambria Math" w:hAnsi="Cambria Math"/>
                <w:i/>
                <w:lang w:eastAsia="ko-KR"/>
              </w:rPr>
            </m:ctrlPr>
          </m:sSubPr>
          <m:e>
            <m:r>
              <w:rPr>
                <w:rFonts w:ascii="Cambria Math" w:hAnsi="Cambria Math"/>
                <w:lang w:eastAsia="ko-KR"/>
              </w:rPr>
              <m:t>G</m:t>
            </m:r>
          </m:e>
          <m:sub>
            <m:r>
              <w:rPr>
                <w:rFonts w:ascii="Cambria Math" w:hAnsi="Cambria Math"/>
                <w:lang w:eastAsia="ko-KR"/>
              </w:rPr>
              <m:t>T</m:t>
            </m:r>
          </m:sub>
        </m:sSub>
        <m:d>
          <m:dPr>
            <m:ctrlPr>
              <w:rPr>
                <w:rFonts w:ascii="Cambria Math" w:hAnsi="Cambria Math"/>
                <w:i/>
                <w:lang w:eastAsia="ko-KR"/>
              </w:rPr>
            </m:ctrlPr>
          </m:dPr>
          <m:e>
            <m:r>
              <m:rPr>
                <m:sty m:val="p"/>
              </m:rPr>
              <w:rPr>
                <w:rFonts w:ascii="Cambria Math" w:hAnsi="Cambria Math"/>
                <w:lang w:eastAsia="ko-KR"/>
              </w:rPr>
              <m:t>θ</m:t>
            </m:r>
          </m:e>
        </m:d>
        <m:r>
          <w:rPr>
            <w:rFonts w:ascii="Cambria Math" w:hAnsi="Cambria Math"/>
            <w:lang w:eastAsia="ko-KR"/>
          </w:rPr>
          <m:t>+</m:t>
        </m:r>
        <m:sSub>
          <m:sSubPr>
            <m:ctrlPr>
              <w:rPr>
                <w:rFonts w:ascii="Cambria Math" w:hAnsi="Cambria Math"/>
                <w:i/>
                <w:lang w:eastAsia="ko-KR"/>
              </w:rPr>
            </m:ctrlPr>
          </m:sSubPr>
          <m:e>
            <m:r>
              <w:rPr>
                <w:rFonts w:ascii="Cambria Math" w:hAnsi="Cambria Math"/>
                <w:lang w:eastAsia="ko-KR"/>
              </w:rPr>
              <m:t>G</m:t>
            </m:r>
          </m:e>
          <m:sub>
            <m:r>
              <w:rPr>
                <w:rFonts w:ascii="Cambria Math" w:hAnsi="Cambria Math"/>
                <w:lang w:eastAsia="ko-KR"/>
              </w:rPr>
              <m:t>R</m:t>
            </m:r>
          </m:sub>
        </m:sSub>
        <m:r>
          <w:rPr>
            <w:rFonts w:ascii="Cambria Math" w:hAnsi="Cambria Math"/>
            <w:lang w:eastAsia="ko-KR"/>
          </w:rPr>
          <m:t>-PS</m:t>
        </m:r>
        <m:sSub>
          <m:sSubPr>
            <m:ctrlPr>
              <w:rPr>
                <w:rFonts w:ascii="Cambria Math" w:hAnsi="Cambria Math"/>
                <w:i/>
                <w:lang w:eastAsia="ko-KR"/>
              </w:rPr>
            </m:ctrlPr>
          </m:sSubPr>
          <m:e>
            <m:r>
              <w:rPr>
                <w:rFonts w:ascii="Cambria Math" w:hAnsi="Cambria Math"/>
                <w:lang w:eastAsia="ko-KR"/>
              </w:rPr>
              <m:t>D</m:t>
            </m:r>
          </m:e>
          <m:sub>
            <m:r>
              <w:rPr>
                <w:rFonts w:ascii="Cambria Math" w:hAnsi="Cambria Math"/>
                <w:lang w:eastAsia="ko-KR"/>
              </w:rPr>
              <m:t>th</m:t>
            </m:r>
          </m:sub>
        </m:sSub>
      </m:oMath>
      <w:r w:rsidRPr="00FD62C4">
        <w:tab/>
        <w:t>(</w:t>
      </w:r>
      <w:r w:rsidR="00CF4EE4" w:rsidRPr="00FD62C4">
        <w:t>A1</w:t>
      </w:r>
      <w:r w:rsidRPr="00FD62C4">
        <w:t>-5)</w:t>
      </w:r>
    </w:p>
    <w:p w14:paraId="608C093C" w14:textId="77777777" w:rsidR="00A812FA" w:rsidRPr="00FD62C4" w:rsidRDefault="00A812FA" w:rsidP="00A812FA">
      <w:pPr>
        <w:keepNext/>
      </w:pPr>
      <w:r w:rsidRPr="00FD62C4">
        <w:tab/>
        <w:t>where:</w:t>
      </w:r>
    </w:p>
    <w:p w14:paraId="774B2566" w14:textId="38F27041" w:rsidR="00A812FA" w:rsidRPr="00FD62C4" w:rsidRDefault="00A812FA" w:rsidP="00A812FA">
      <w:pPr>
        <w:pStyle w:val="Equationlegend"/>
        <w:rPr>
          <w:lang w:val="en-GB"/>
        </w:rPr>
      </w:pPr>
      <w:r w:rsidRPr="00FD62C4">
        <w:rPr>
          <w:i/>
          <w:lang w:val="en-GB"/>
        </w:rPr>
        <w:tab/>
      </w:r>
      <m:oMath>
        <m:sSub>
          <m:sSubPr>
            <m:ctrlPr>
              <w:rPr>
                <w:rFonts w:ascii="Cambria Math" w:hAnsi="Cambria Math"/>
                <w:i/>
                <w:lang w:val="en-GB"/>
              </w:rPr>
            </m:ctrlPr>
          </m:sSubPr>
          <m:e>
            <m:r>
              <w:rPr>
                <w:rFonts w:ascii="Cambria Math" w:hAnsi="Cambria Math"/>
                <w:lang w:val="en-GB"/>
              </w:rPr>
              <m:t>L</m:t>
            </m:r>
          </m:e>
          <m:sub>
            <m:r>
              <w:rPr>
                <w:rFonts w:ascii="Cambria Math" w:hAnsi="Cambria Math"/>
                <w:lang w:val="en-GB"/>
              </w:rPr>
              <m:t>T</m:t>
            </m:r>
          </m:sub>
        </m:sSub>
      </m:oMath>
      <w:r w:rsidRPr="00FD62C4">
        <w:rPr>
          <w:lang w:val="en-GB"/>
        </w:rPr>
        <w:t>:</w:t>
      </w:r>
      <w:r w:rsidRPr="00FD62C4">
        <w:rPr>
          <w:lang w:val="en-GB"/>
        </w:rPr>
        <w:tab/>
        <w:t>required propagation loss (in dB)</w:t>
      </w:r>
    </w:p>
    <w:p w14:paraId="18E6BBC2" w14:textId="23A03296" w:rsidR="00A812FA" w:rsidRPr="00FD62C4" w:rsidRDefault="00A812FA" w:rsidP="00A812FA">
      <w:pPr>
        <w:pStyle w:val="Equationlegend"/>
        <w:rPr>
          <w:lang w:val="en-GB"/>
        </w:rPr>
      </w:pPr>
      <w:r w:rsidRPr="00FD62C4">
        <w:rPr>
          <w:i/>
          <w:lang w:val="en-GB"/>
        </w:rPr>
        <w:tab/>
      </w:r>
      <m:oMath>
        <m:sSub>
          <m:sSubPr>
            <m:ctrlPr>
              <w:rPr>
                <w:rFonts w:ascii="Cambria Math" w:hAnsi="Cambria Math"/>
                <w:i/>
                <w:lang w:val="en-GB"/>
              </w:rPr>
            </m:ctrlPr>
          </m:sSubPr>
          <m:e>
            <m:r>
              <w:rPr>
                <w:rFonts w:ascii="Cambria Math" w:hAnsi="Cambria Math"/>
                <w:lang w:val="en-GB"/>
              </w:rPr>
              <m:t>P</m:t>
            </m:r>
          </m:e>
          <m:sub>
            <m:r>
              <w:rPr>
                <w:rFonts w:ascii="Cambria Math" w:hAnsi="Cambria Math"/>
                <w:lang w:val="en-GB"/>
              </w:rPr>
              <m:t>T</m:t>
            </m:r>
          </m:sub>
        </m:sSub>
      </m:oMath>
      <w:r w:rsidRPr="00FD62C4">
        <w:rPr>
          <w:lang w:val="en-GB"/>
        </w:rPr>
        <w:t>:</w:t>
      </w:r>
      <w:r w:rsidRPr="00FD62C4">
        <w:rPr>
          <w:lang w:val="en-GB"/>
        </w:rPr>
        <w:tab/>
        <w:t>transmitter power (in Watts)</w:t>
      </w:r>
    </w:p>
    <w:p w14:paraId="66BDC523" w14:textId="03C377C1" w:rsidR="00A812FA" w:rsidRPr="00FD62C4" w:rsidRDefault="00A812FA" w:rsidP="00A812FA">
      <w:pPr>
        <w:pStyle w:val="Equationlegend"/>
        <w:rPr>
          <w:lang w:val="en-GB"/>
        </w:rPr>
      </w:pPr>
      <w:r w:rsidRPr="00FD62C4">
        <w:rPr>
          <w:i/>
          <w:lang w:val="en-GB"/>
        </w:rPr>
        <w:tab/>
      </w:r>
      <m:oMath>
        <m:sSub>
          <m:sSubPr>
            <m:ctrlPr>
              <w:rPr>
                <w:rFonts w:ascii="Cambria Math" w:hAnsi="Cambria Math"/>
                <w:i/>
                <w:lang w:val="en-GB"/>
              </w:rPr>
            </m:ctrlPr>
          </m:sSubPr>
          <m:e>
            <m:r>
              <w:rPr>
                <w:rFonts w:ascii="Cambria Math" w:hAnsi="Cambria Math"/>
                <w:lang w:val="en-GB"/>
              </w:rPr>
              <m:t>B</m:t>
            </m:r>
          </m:e>
          <m:sub>
            <m:r>
              <w:rPr>
                <w:rFonts w:ascii="Cambria Math" w:hAnsi="Cambria Math"/>
                <w:lang w:val="en-GB"/>
              </w:rPr>
              <m:t>N</m:t>
            </m:r>
          </m:sub>
        </m:sSub>
      </m:oMath>
      <w:r w:rsidRPr="00FD62C4">
        <w:rPr>
          <w:lang w:val="en-GB"/>
        </w:rPr>
        <w:t>:</w:t>
      </w:r>
      <w:r w:rsidRPr="00FD62C4">
        <w:rPr>
          <w:lang w:val="en-GB"/>
        </w:rPr>
        <w:tab/>
        <w:t>transmitter emission necessary bandwidth (in Hz)</w:t>
      </w:r>
    </w:p>
    <w:p w14:paraId="1940AA61" w14:textId="00E7513F" w:rsidR="00A812FA" w:rsidRPr="00FD62C4" w:rsidRDefault="00A812FA" w:rsidP="00A812FA">
      <w:pPr>
        <w:pStyle w:val="Equationlegend"/>
        <w:rPr>
          <w:lang w:val="en-GB"/>
        </w:rPr>
      </w:pPr>
      <w:r w:rsidRPr="00FD62C4">
        <w:rPr>
          <w:i/>
          <w:lang w:val="en-GB"/>
        </w:rPr>
        <w:tab/>
      </w:r>
      <m:oMath>
        <m:r>
          <w:rPr>
            <w:rFonts w:ascii="Cambria Math" w:hAnsi="Cambria Math"/>
            <w:lang w:val="en-GB"/>
          </w:rPr>
          <m:t>DC</m:t>
        </m:r>
      </m:oMath>
      <w:r w:rsidRPr="00FD62C4">
        <w:rPr>
          <w:lang w:val="en-GB"/>
        </w:rPr>
        <w:t>:</w:t>
      </w:r>
      <w:r w:rsidRPr="00FD62C4">
        <w:rPr>
          <w:lang w:val="en-GB"/>
        </w:rPr>
        <w:tab/>
        <w:t>transmitter duty cycle (in percent)</w:t>
      </w:r>
    </w:p>
    <w:p w14:paraId="60D51CD5" w14:textId="56D009CD" w:rsidR="00A812FA" w:rsidRPr="00FD62C4" w:rsidRDefault="00A812FA" w:rsidP="00A812FA">
      <w:pPr>
        <w:pStyle w:val="Equationlegend"/>
        <w:rPr>
          <w:lang w:val="en-GB"/>
        </w:rPr>
      </w:pPr>
      <w:r w:rsidRPr="00FD62C4">
        <w:rPr>
          <w:i/>
          <w:lang w:val="en-GB"/>
        </w:rPr>
        <w:tab/>
      </w:r>
      <m:oMath>
        <m:sSub>
          <m:sSubPr>
            <m:ctrlPr>
              <w:rPr>
                <w:rFonts w:ascii="Cambria Math" w:hAnsi="Cambria Math"/>
                <w:i/>
                <w:lang w:val="en-GB"/>
              </w:rPr>
            </m:ctrlPr>
          </m:sSubPr>
          <m:e>
            <m:r>
              <w:rPr>
                <w:rFonts w:ascii="Cambria Math" w:hAnsi="Cambria Math"/>
                <w:lang w:val="en-GB"/>
              </w:rPr>
              <m:t>G</m:t>
            </m:r>
          </m:e>
          <m:sub>
            <m:r>
              <w:rPr>
                <w:rFonts w:ascii="Cambria Math" w:hAnsi="Cambria Math"/>
                <w:lang w:val="en-GB"/>
              </w:rPr>
              <m:t>T</m:t>
            </m:r>
          </m:sub>
        </m:sSub>
        <m:d>
          <m:dPr>
            <m:ctrlPr>
              <w:rPr>
                <w:rFonts w:ascii="Cambria Math" w:hAnsi="Cambria Math"/>
                <w:i/>
                <w:lang w:val="en-GB"/>
              </w:rPr>
            </m:ctrlPr>
          </m:dPr>
          <m:e>
            <m:r>
              <m:rPr>
                <m:sty m:val="p"/>
              </m:rPr>
              <w:rPr>
                <w:rFonts w:ascii="Cambria Math" w:hAnsi="Cambria Math"/>
                <w:lang w:val="en-GB"/>
              </w:rPr>
              <m:t>θ</m:t>
            </m:r>
          </m:e>
        </m:d>
        <m:r>
          <w:rPr>
            <w:rFonts w:ascii="Cambria Math" w:hAnsi="Cambria Math"/>
            <w:lang w:val="en-GB"/>
          </w:rPr>
          <m:t>:</m:t>
        </m:r>
      </m:oMath>
      <w:r w:rsidRPr="00FD62C4">
        <w:rPr>
          <w:lang w:val="en-GB"/>
        </w:rPr>
        <w:tab/>
        <w:t xml:space="preserve">transmitter antenna gain for a specific up-tilt angle </w:t>
      </w:r>
      <m:oMath>
        <m:r>
          <m:rPr>
            <m:sty m:val="p"/>
          </m:rPr>
          <w:rPr>
            <w:rFonts w:ascii="Cambria Math" w:hAnsi="Cambria Math"/>
            <w:lang w:val="en-GB"/>
          </w:rPr>
          <m:t>θ</m:t>
        </m:r>
      </m:oMath>
      <w:r w:rsidRPr="00FD62C4">
        <w:rPr>
          <w:lang w:val="en-GB"/>
        </w:rPr>
        <w:t xml:space="preserve"> (in dBi)</w:t>
      </w:r>
    </w:p>
    <w:p w14:paraId="6AC01029" w14:textId="3B15E39F" w:rsidR="00A812FA" w:rsidRPr="00FD62C4" w:rsidRDefault="00A812FA" w:rsidP="00A812FA">
      <w:pPr>
        <w:pStyle w:val="Equationlegend"/>
        <w:rPr>
          <w:lang w:val="en-GB"/>
        </w:rPr>
      </w:pPr>
      <w:r w:rsidRPr="00FD62C4">
        <w:rPr>
          <w:i/>
          <w:lang w:val="en-GB"/>
        </w:rPr>
        <w:tab/>
      </w:r>
      <m:oMath>
        <m:sSub>
          <m:sSubPr>
            <m:ctrlPr>
              <w:rPr>
                <w:rFonts w:ascii="Cambria Math" w:hAnsi="Cambria Math"/>
                <w:i/>
                <w:lang w:val="en-GB"/>
              </w:rPr>
            </m:ctrlPr>
          </m:sSubPr>
          <m:e>
            <m:r>
              <w:rPr>
                <w:rFonts w:ascii="Cambria Math" w:hAnsi="Cambria Math"/>
                <w:lang w:val="en-GB"/>
              </w:rPr>
              <m:t>G</m:t>
            </m:r>
          </m:e>
          <m:sub>
            <m:r>
              <w:rPr>
                <w:rFonts w:ascii="Cambria Math" w:hAnsi="Cambria Math"/>
                <w:lang w:val="en-GB"/>
              </w:rPr>
              <m:t>R</m:t>
            </m:r>
          </m:sub>
        </m:sSub>
        <m:r>
          <w:rPr>
            <w:rFonts w:ascii="Cambria Math" w:hAnsi="Cambria Math"/>
            <w:lang w:val="en-GB"/>
          </w:rPr>
          <m:t>:</m:t>
        </m:r>
      </m:oMath>
      <w:r w:rsidRPr="00FD62C4">
        <w:rPr>
          <w:lang w:val="en-GB"/>
        </w:rPr>
        <w:tab/>
        <w:t>receiver antenna gain (in dBi)</w:t>
      </w:r>
    </w:p>
    <w:p w14:paraId="6538ED9A" w14:textId="5490A35A" w:rsidR="00A812FA" w:rsidRPr="00FD62C4" w:rsidRDefault="00A812FA" w:rsidP="00A812FA">
      <w:pPr>
        <w:pStyle w:val="Equationlegend"/>
        <w:rPr>
          <w:lang w:val="en-GB" w:eastAsia="ko-KR"/>
        </w:rPr>
      </w:pPr>
      <w:r w:rsidRPr="00FD62C4">
        <w:rPr>
          <w:i/>
          <w:lang w:val="en-GB"/>
        </w:rPr>
        <w:tab/>
      </w:r>
      <m:oMath>
        <m:r>
          <w:rPr>
            <w:rFonts w:ascii="Cambria Math" w:hAnsi="Cambria Math"/>
            <w:lang w:val="en-GB"/>
          </w:rPr>
          <m:t>PS</m:t>
        </m:r>
        <m:sSub>
          <m:sSubPr>
            <m:ctrlPr>
              <w:rPr>
                <w:rFonts w:ascii="Cambria Math" w:hAnsi="Cambria Math"/>
                <w:i/>
                <w:lang w:val="en-GB"/>
              </w:rPr>
            </m:ctrlPr>
          </m:sSubPr>
          <m:e>
            <m:r>
              <w:rPr>
                <w:rFonts w:ascii="Cambria Math" w:hAnsi="Cambria Math"/>
                <w:lang w:val="en-GB"/>
              </w:rPr>
              <m:t>D</m:t>
            </m:r>
          </m:e>
          <m:sub>
            <m:r>
              <w:rPr>
                <w:rFonts w:ascii="Cambria Math" w:hAnsi="Cambria Math"/>
                <w:lang w:val="en-GB"/>
              </w:rPr>
              <m:t>th</m:t>
            </m:r>
          </m:sub>
        </m:sSub>
        <m:r>
          <w:rPr>
            <w:rFonts w:ascii="Cambria Math" w:hAnsi="Cambria Math"/>
            <w:lang w:val="en-GB"/>
          </w:rPr>
          <m:t>:</m:t>
        </m:r>
      </m:oMath>
      <w:r w:rsidRPr="00FD62C4">
        <w:rPr>
          <w:lang w:val="en-GB"/>
        </w:rPr>
        <w:tab/>
        <w:t>power spectral density threshold (in dBW/Hz).</w:t>
      </w:r>
    </w:p>
    <w:p w14:paraId="54001EB0" w14:textId="51EAA147" w:rsidR="00A812FA" w:rsidRPr="00FD62C4" w:rsidRDefault="00A812FA" w:rsidP="00A812FA">
      <w:pPr>
        <w:pStyle w:val="enumlev1"/>
        <w:rPr>
          <w:lang w:eastAsia="zh-CN"/>
        </w:rPr>
      </w:pPr>
      <w:r w:rsidRPr="00FD62C4">
        <w:rPr>
          <w:lang w:eastAsia="ko-KR"/>
        </w:rPr>
        <w:tab/>
        <w:t xml:space="preserve">For a fixed receive station, the spectrum usage contour is the boundary around the station within which the service in question may cause interference to the station exceeding a certain level. This contour is derived as the collection of locations where the terrain-dependent propagation loss from the location to the station equals the required propagation loss </w:t>
      </w:r>
      <m:oMath>
        <m:sSub>
          <m:sSubPr>
            <m:ctrlPr>
              <w:rPr>
                <w:rFonts w:ascii="Cambria Math" w:hAnsi="Cambria Math"/>
                <w:i/>
              </w:rPr>
            </m:ctrlPr>
          </m:sSubPr>
          <m:e>
            <m:r>
              <w:rPr>
                <w:rFonts w:ascii="Cambria Math" w:hAnsi="Cambria Math"/>
              </w:rPr>
              <m:t>L</m:t>
            </m:r>
          </m:e>
          <m:sub>
            <m:r>
              <w:rPr>
                <w:rFonts w:ascii="Cambria Math" w:hAnsi="Cambria Math"/>
              </w:rPr>
              <m:t>R</m:t>
            </m:r>
          </m:sub>
        </m:sSub>
        <m:d>
          <m:dPr>
            <m:ctrlPr>
              <w:rPr>
                <w:rFonts w:ascii="Cambria Math" w:hAnsi="Cambria Math"/>
                <w:i/>
              </w:rPr>
            </m:ctrlPr>
          </m:dPr>
          <m:e>
            <m:r>
              <m:rPr>
                <m:sty m:val="p"/>
              </m:rPr>
              <w:rPr>
                <w:rFonts w:ascii="Cambria Math" w:hAnsi="Cambria Math"/>
              </w:rPr>
              <m:t>φ</m:t>
            </m:r>
          </m:e>
        </m:d>
      </m:oMath>
      <w:r w:rsidRPr="00FD62C4">
        <w:rPr>
          <w:lang w:eastAsia="ko-KR"/>
        </w:rPr>
        <w:t>, which can be calculated using the following equation and information:</w:t>
      </w:r>
    </w:p>
    <w:p w14:paraId="23A61570" w14:textId="594084F9" w:rsidR="00A812FA" w:rsidRPr="00FD62C4" w:rsidRDefault="00A812FA" w:rsidP="00A812FA">
      <w:pPr>
        <w:pStyle w:val="Equation"/>
      </w:pPr>
      <w:r w:rsidRPr="00FD62C4">
        <w:tab/>
      </w:r>
      <w:r w:rsidRPr="00FD62C4">
        <w:tab/>
      </w:r>
      <m:oMath>
        <m:sSub>
          <m:sSubPr>
            <m:ctrlPr>
              <w:rPr>
                <w:rFonts w:ascii="Cambria Math" w:hAnsi="Cambria Math"/>
                <w:i/>
              </w:rPr>
            </m:ctrlPr>
          </m:sSubPr>
          <m:e>
            <m:r>
              <w:rPr>
                <w:rFonts w:ascii="Cambria Math" w:hAnsi="Cambria Math"/>
              </w:rPr>
              <m:t>L</m:t>
            </m:r>
          </m:e>
          <m:sub>
            <m:r>
              <w:rPr>
                <w:rFonts w:ascii="Cambria Math" w:hAnsi="Cambria Math"/>
              </w:rPr>
              <m:t>R</m:t>
            </m:r>
          </m:sub>
        </m:sSub>
        <m:d>
          <m:dPr>
            <m:ctrlPr>
              <w:rPr>
                <w:rFonts w:ascii="Cambria Math" w:hAnsi="Cambria Math"/>
                <w:i/>
              </w:rPr>
            </m:ctrlPr>
          </m:dPr>
          <m:e>
            <m:r>
              <m:rPr>
                <m:sty m:val="p"/>
              </m:rPr>
              <w:rPr>
                <w:rFonts w:ascii="Cambria Math" w:hAnsi="Cambria Math"/>
              </w:rPr>
              <m:t>φ</m:t>
            </m:r>
          </m:e>
        </m:d>
        <m:r>
          <w:rPr>
            <w:rFonts w:ascii="Cambria Math" w:hAnsi="Cambria Math"/>
            <w:lang w:eastAsia="ko-KR"/>
          </w:rPr>
          <m:t>={EIRP-10</m:t>
        </m:r>
        <m:func>
          <m:funcPr>
            <m:ctrlPr>
              <w:rPr>
                <w:rFonts w:ascii="Cambria Math" w:hAnsi="Cambria Math"/>
                <w:i/>
                <w:lang w:eastAsia="ko-KR"/>
              </w:rPr>
            </m:ctrlPr>
          </m:funcPr>
          <m:fName>
            <m:r>
              <m:rPr>
                <m:sty m:val="p"/>
              </m:rPr>
              <w:rPr>
                <w:rFonts w:ascii="Cambria Math" w:hAnsi="Cambria Math"/>
                <w:lang w:eastAsia="ko-KR"/>
              </w:rPr>
              <m:t>log</m:t>
            </m:r>
          </m:fName>
          <m:e>
            <m:d>
              <m:dPr>
                <m:ctrlPr>
                  <w:rPr>
                    <w:rFonts w:ascii="Cambria Math" w:hAnsi="Cambria Math"/>
                    <w:i/>
                    <w:lang w:eastAsia="ko-KR"/>
                  </w:rPr>
                </m:ctrlPr>
              </m:dPr>
              <m:e>
                <m:sSub>
                  <m:sSubPr>
                    <m:ctrlPr>
                      <w:rPr>
                        <w:rFonts w:ascii="Cambria Math" w:hAnsi="Cambria Math"/>
                        <w:i/>
                        <w:lang w:eastAsia="ko-KR"/>
                      </w:rPr>
                    </m:ctrlPr>
                  </m:sSubPr>
                  <m:e>
                    <m:r>
                      <w:rPr>
                        <w:rFonts w:ascii="Cambria Math" w:hAnsi="Cambria Math"/>
                        <w:lang w:eastAsia="ko-KR"/>
                      </w:rPr>
                      <m:t>B</m:t>
                    </m:r>
                  </m:e>
                  <m:sub>
                    <m:r>
                      <w:rPr>
                        <w:rFonts w:ascii="Cambria Math" w:hAnsi="Cambria Math"/>
                        <w:lang w:eastAsia="ko-KR"/>
                      </w:rPr>
                      <m:t>R</m:t>
                    </m:r>
                  </m:sub>
                </m:sSub>
              </m:e>
            </m:d>
          </m:e>
        </m:func>
        <m:r>
          <w:rPr>
            <w:rFonts w:ascii="Cambria Math" w:hAnsi="Cambria Math"/>
            <w:lang w:eastAsia="ko-KR"/>
          </w:rPr>
          <m:t>}+</m:t>
        </m:r>
        <m:sSub>
          <m:sSubPr>
            <m:ctrlPr>
              <w:rPr>
                <w:rFonts w:ascii="Cambria Math" w:hAnsi="Cambria Math"/>
                <w:i/>
                <w:lang w:eastAsia="ko-KR"/>
              </w:rPr>
            </m:ctrlPr>
          </m:sSubPr>
          <m:e>
            <m:r>
              <w:rPr>
                <w:rFonts w:ascii="Cambria Math" w:hAnsi="Cambria Math"/>
                <w:lang w:eastAsia="ko-KR"/>
              </w:rPr>
              <m:t>G</m:t>
            </m:r>
          </m:e>
          <m:sub>
            <m:r>
              <w:rPr>
                <w:rFonts w:ascii="Cambria Math" w:hAnsi="Cambria Math"/>
                <w:lang w:eastAsia="ko-KR"/>
              </w:rPr>
              <m:t>R</m:t>
            </m:r>
          </m:sub>
        </m:sSub>
        <m:d>
          <m:dPr>
            <m:ctrlPr>
              <w:rPr>
                <w:rFonts w:ascii="Cambria Math" w:hAnsi="Cambria Math"/>
                <w:i/>
                <w:lang w:eastAsia="ko-KR"/>
              </w:rPr>
            </m:ctrlPr>
          </m:dPr>
          <m:e>
            <m:r>
              <m:rPr>
                <m:sty m:val="p"/>
              </m:rPr>
              <w:rPr>
                <w:rFonts w:ascii="Cambria Math" w:hAnsi="Cambria Math"/>
              </w:rPr>
              <m:t>φ</m:t>
            </m:r>
          </m:e>
        </m:d>
        <m:r>
          <w:rPr>
            <w:rFonts w:ascii="Cambria Math" w:hAnsi="Cambria Math"/>
            <w:lang w:eastAsia="ko-KR"/>
          </w:rPr>
          <m:t>-PS</m:t>
        </m:r>
        <m:sSub>
          <m:sSubPr>
            <m:ctrlPr>
              <w:rPr>
                <w:rFonts w:ascii="Cambria Math" w:hAnsi="Cambria Math"/>
                <w:i/>
                <w:lang w:eastAsia="ko-KR"/>
              </w:rPr>
            </m:ctrlPr>
          </m:sSubPr>
          <m:e>
            <m:r>
              <w:rPr>
                <w:rFonts w:ascii="Cambria Math" w:hAnsi="Cambria Math"/>
                <w:lang w:eastAsia="ko-KR"/>
              </w:rPr>
              <m:t>D</m:t>
            </m:r>
          </m:e>
          <m:sub>
            <m:r>
              <w:rPr>
                <w:rFonts w:ascii="Cambria Math" w:hAnsi="Cambria Math"/>
                <w:lang w:eastAsia="ko-KR"/>
              </w:rPr>
              <m:t>th</m:t>
            </m:r>
          </m:sub>
        </m:sSub>
      </m:oMath>
      <w:r w:rsidRPr="00FD62C4">
        <w:tab/>
        <w:t>(</w:t>
      </w:r>
      <w:r w:rsidR="001102D2" w:rsidRPr="00FD62C4">
        <w:t>A1</w:t>
      </w:r>
      <w:r w:rsidRPr="00FD62C4">
        <w:t>-6)</w:t>
      </w:r>
    </w:p>
    <w:p w14:paraId="359138D0" w14:textId="77777777" w:rsidR="00A812FA" w:rsidRPr="00FD62C4" w:rsidRDefault="00A812FA" w:rsidP="00A812FA">
      <w:pPr>
        <w:keepNext/>
      </w:pPr>
      <w:r w:rsidRPr="00FD62C4">
        <w:lastRenderedPageBreak/>
        <w:tab/>
        <w:t>where:</w:t>
      </w:r>
    </w:p>
    <w:p w14:paraId="1F3D5636" w14:textId="20A98CA8" w:rsidR="00A812FA" w:rsidRPr="00FD62C4" w:rsidRDefault="00A812FA" w:rsidP="00A812FA">
      <w:pPr>
        <w:pStyle w:val="Equationlegend"/>
        <w:rPr>
          <w:lang w:val="en-GB"/>
        </w:rPr>
      </w:pPr>
      <w:r w:rsidRPr="00FD62C4">
        <w:rPr>
          <w:i/>
          <w:lang w:val="en-GB"/>
        </w:rPr>
        <w:tab/>
      </w:r>
      <m:oMath>
        <m:sSub>
          <m:sSubPr>
            <m:ctrlPr>
              <w:rPr>
                <w:rFonts w:ascii="Cambria Math" w:hAnsi="Cambria Math"/>
                <w:i/>
                <w:lang w:val="en-GB"/>
              </w:rPr>
            </m:ctrlPr>
          </m:sSubPr>
          <m:e>
            <m:r>
              <w:rPr>
                <w:rFonts w:ascii="Cambria Math" w:hAnsi="Cambria Math"/>
                <w:lang w:val="en-GB"/>
              </w:rPr>
              <m:t>L</m:t>
            </m:r>
          </m:e>
          <m:sub>
            <m:r>
              <w:rPr>
                <w:rFonts w:ascii="Cambria Math" w:hAnsi="Cambria Math"/>
                <w:lang w:val="en-GB"/>
              </w:rPr>
              <m:t>R</m:t>
            </m:r>
          </m:sub>
        </m:sSub>
        <m:d>
          <m:dPr>
            <m:ctrlPr>
              <w:rPr>
                <w:rFonts w:ascii="Cambria Math" w:hAnsi="Cambria Math"/>
                <w:i/>
                <w:lang w:val="en-GB"/>
              </w:rPr>
            </m:ctrlPr>
          </m:dPr>
          <m:e>
            <m:r>
              <m:rPr>
                <m:sty m:val="p"/>
              </m:rPr>
              <w:rPr>
                <w:rFonts w:ascii="Cambria Math" w:hAnsi="Cambria Math"/>
                <w:lang w:val="en-GB"/>
              </w:rPr>
              <m:t>φ</m:t>
            </m:r>
          </m:e>
        </m:d>
        <m:r>
          <m:rPr>
            <m:sty m:val="p"/>
          </m:rPr>
          <w:rPr>
            <w:rFonts w:ascii="Cambria Math" w:hAnsi="Cambria Math"/>
            <w:lang w:val="en-GB"/>
          </w:rPr>
          <m:t>:</m:t>
        </m:r>
      </m:oMath>
      <w:r w:rsidRPr="00FD62C4">
        <w:rPr>
          <w:lang w:val="en-GB"/>
        </w:rPr>
        <w:tab/>
        <w:t xml:space="preserve">required propagation loss as a function of off-axis angle </w:t>
      </w:r>
      <m:oMath>
        <m:r>
          <m:rPr>
            <m:sty m:val="p"/>
          </m:rPr>
          <w:rPr>
            <w:rFonts w:ascii="Cambria Math" w:hAnsi="Cambria Math"/>
            <w:lang w:val="en-GB"/>
          </w:rPr>
          <m:t>φ</m:t>
        </m:r>
      </m:oMath>
      <w:r w:rsidRPr="00FD62C4">
        <w:rPr>
          <w:lang w:val="en-GB"/>
        </w:rPr>
        <w:t xml:space="preserve"> (in dB)</w:t>
      </w:r>
    </w:p>
    <w:p w14:paraId="0F211682" w14:textId="5E15EABE" w:rsidR="00A812FA" w:rsidRPr="00FD62C4" w:rsidRDefault="00A812FA" w:rsidP="00A812FA">
      <w:pPr>
        <w:pStyle w:val="Equationlegend"/>
        <w:rPr>
          <w:lang w:val="en-GB"/>
        </w:rPr>
      </w:pPr>
      <w:r w:rsidRPr="00FD62C4">
        <w:rPr>
          <w:i/>
          <w:lang w:val="en-GB"/>
        </w:rPr>
        <w:tab/>
      </w:r>
      <m:oMath>
        <m:r>
          <w:rPr>
            <w:rFonts w:ascii="Cambria Math" w:hAnsi="Cambria Math"/>
            <w:lang w:val="en-GB"/>
          </w:rPr>
          <m:t>EIRP</m:t>
        </m:r>
      </m:oMath>
      <w:r w:rsidRPr="00FD62C4">
        <w:rPr>
          <w:lang w:val="en-GB"/>
        </w:rPr>
        <w:t>:</w:t>
      </w:r>
      <w:r w:rsidRPr="00FD62C4">
        <w:rPr>
          <w:lang w:val="en-GB"/>
        </w:rPr>
        <w:tab/>
        <w:t>transmitter equivalent isotropic radiated power (in dBW)</w:t>
      </w:r>
    </w:p>
    <w:p w14:paraId="0369383F" w14:textId="155B08C7" w:rsidR="00A812FA" w:rsidRPr="00FD62C4" w:rsidRDefault="00A812FA" w:rsidP="00A812FA">
      <w:pPr>
        <w:pStyle w:val="Equationlegend"/>
        <w:rPr>
          <w:lang w:val="en-GB"/>
        </w:rPr>
      </w:pPr>
      <w:r w:rsidRPr="00FD62C4">
        <w:rPr>
          <w:i/>
          <w:lang w:val="en-GB"/>
        </w:rPr>
        <w:tab/>
      </w:r>
      <m:oMath>
        <m:sSub>
          <m:sSubPr>
            <m:ctrlPr>
              <w:rPr>
                <w:rFonts w:ascii="Cambria Math" w:hAnsi="Cambria Math"/>
                <w:i/>
                <w:lang w:val="en-GB"/>
              </w:rPr>
            </m:ctrlPr>
          </m:sSubPr>
          <m:e>
            <m:r>
              <w:rPr>
                <w:rFonts w:ascii="Cambria Math" w:hAnsi="Cambria Math"/>
                <w:lang w:val="en-GB"/>
              </w:rPr>
              <m:t>B</m:t>
            </m:r>
          </m:e>
          <m:sub>
            <m:r>
              <w:rPr>
                <w:rFonts w:ascii="Cambria Math" w:hAnsi="Cambria Math"/>
                <w:lang w:val="en-GB"/>
              </w:rPr>
              <m:t>R</m:t>
            </m:r>
          </m:sub>
        </m:sSub>
      </m:oMath>
      <w:r w:rsidRPr="00FD62C4">
        <w:rPr>
          <w:lang w:val="en-GB"/>
        </w:rPr>
        <w:t>:</w:t>
      </w:r>
      <w:r w:rsidRPr="00FD62C4">
        <w:rPr>
          <w:lang w:val="en-GB"/>
        </w:rPr>
        <w:tab/>
        <w:t>reference bandwidth (in Hz)</w:t>
      </w:r>
    </w:p>
    <w:p w14:paraId="769F7325" w14:textId="1315DE1A" w:rsidR="00A812FA" w:rsidRPr="00FD62C4" w:rsidRDefault="00A812FA" w:rsidP="00A812FA">
      <w:pPr>
        <w:pStyle w:val="Equationlegend"/>
        <w:rPr>
          <w:lang w:val="en-GB"/>
        </w:rPr>
      </w:pPr>
      <w:r w:rsidRPr="00FD62C4">
        <w:rPr>
          <w:i/>
          <w:lang w:val="en-GB"/>
        </w:rPr>
        <w:tab/>
      </w:r>
      <m:oMath>
        <m:sSub>
          <m:sSubPr>
            <m:ctrlPr>
              <w:rPr>
                <w:rFonts w:ascii="Cambria Math" w:hAnsi="Cambria Math"/>
                <w:i/>
                <w:lang w:val="en-GB"/>
              </w:rPr>
            </m:ctrlPr>
          </m:sSubPr>
          <m:e>
            <m:r>
              <w:rPr>
                <w:rFonts w:ascii="Cambria Math" w:hAnsi="Cambria Math"/>
                <w:lang w:val="en-GB"/>
              </w:rPr>
              <m:t>G</m:t>
            </m:r>
          </m:e>
          <m:sub>
            <m:r>
              <w:rPr>
                <w:rFonts w:ascii="Cambria Math" w:hAnsi="Cambria Math"/>
                <w:lang w:val="en-GB"/>
              </w:rPr>
              <m:t>R</m:t>
            </m:r>
          </m:sub>
        </m:sSub>
        <m:d>
          <m:dPr>
            <m:ctrlPr>
              <w:rPr>
                <w:rFonts w:ascii="Cambria Math" w:hAnsi="Cambria Math"/>
                <w:i/>
                <w:lang w:val="en-GB"/>
              </w:rPr>
            </m:ctrlPr>
          </m:dPr>
          <m:e>
            <m:r>
              <m:rPr>
                <m:sty m:val="p"/>
              </m:rPr>
              <w:rPr>
                <w:rFonts w:ascii="Cambria Math" w:hAnsi="Cambria Math"/>
                <w:lang w:val="en-GB"/>
              </w:rPr>
              <m:t>φ</m:t>
            </m:r>
          </m:e>
        </m:d>
        <m:r>
          <w:rPr>
            <w:rFonts w:ascii="Cambria Math" w:hAnsi="Cambria Math"/>
            <w:lang w:val="en-GB"/>
          </w:rPr>
          <m:t>:</m:t>
        </m:r>
      </m:oMath>
      <w:r w:rsidRPr="00FD62C4">
        <w:rPr>
          <w:lang w:val="en-GB"/>
        </w:rPr>
        <w:tab/>
        <w:t xml:space="preserve">receive antenna gain as a function of off-axis angle </w:t>
      </w:r>
      <m:oMath>
        <m:r>
          <m:rPr>
            <m:sty m:val="p"/>
          </m:rPr>
          <w:rPr>
            <w:rFonts w:ascii="Cambria Math" w:hAnsi="Cambria Math"/>
            <w:lang w:val="en-GB"/>
          </w:rPr>
          <m:t>φ</m:t>
        </m:r>
      </m:oMath>
      <w:r w:rsidRPr="00FD62C4">
        <w:rPr>
          <w:lang w:val="en-GB"/>
        </w:rPr>
        <w:t xml:space="preserve"> (in dBi)</w:t>
      </w:r>
    </w:p>
    <w:p w14:paraId="5E113D5D" w14:textId="16879C07" w:rsidR="00A812FA" w:rsidRPr="00FD62C4" w:rsidRDefault="00A812FA" w:rsidP="00A812FA">
      <w:pPr>
        <w:pStyle w:val="Equationlegend"/>
        <w:rPr>
          <w:lang w:val="en-GB" w:eastAsia="ko-KR"/>
        </w:rPr>
      </w:pPr>
      <w:r w:rsidRPr="00FD62C4">
        <w:rPr>
          <w:i/>
          <w:lang w:val="en-GB"/>
        </w:rPr>
        <w:tab/>
      </w:r>
      <m:oMath>
        <m:r>
          <w:rPr>
            <w:rFonts w:ascii="Cambria Math" w:hAnsi="Cambria Math"/>
            <w:lang w:val="en-GB"/>
          </w:rPr>
          <m:t>PS</m:t>
        </m:r>
        <m:sSub>
          <m:sSubPr>
            <m:ctrlPr>
              <w:rPr>
                <w:rFonts w:ascii="Cambria Math" w:hAnsi="Cambria Math"/>
                <w:i/>
                <w:lang w:val="en-GB"/>
              </w:rPr>
            </m:ctrlPr>
          </m:sSubPr>
          <m:e>
            <m:r>
              <w:rPr>
                <w:rFonts w:ascii="Cambria Math" w:hAnsi="Cambria Math"/>
                <w:lang w:val="en-GB"/>
              </w:rPr>
              <m:t>D</m:t>
            </m:r>
          </m:e>
          <m:sub>
            <m:r>
              <w:rPr>
                <w:rFonts w:ascii="Cambria Math" w:hAnsi="Cambria Math"/>
                <w:lang w:val="en-GB"/>
              </w:rPr>
              <m:t>th</m:t>
            </m:r>
          </m:sub>
        </m:sSub>
        <m:r>
          <w:rPr>
            <w:rFonts w:ascii="Cambria Math" w:hAnsi="Cambria Math"/>
            <w:lang w:val="en-GB"/>
          </w:rPr>
          <m:t>:</m:t>
        </m:r>
      </m:oMath>
      <w:r w:rsidRPr="00FD62C4">
        <w:rPr>
          <w:lang w:val="en-GB"/>
        </w:rPr>
        <w:tab/>
        <w:t>power spectral density threshold (in dBW/Hz).</w:t>
      </w:r>
    </w:p>
    <w:p w14:paraId="566BFA6A" w14:textId="77777777" w:rsidR="00A812FA" w:rsidRPr="00FD62C4" w:rsidRDefault="00A812FA" w:rsidP="00A812FA">
      <w:pPr>
        <w:pStyle w:val="enumlev1"/>
        <w:rPr>
          <w:spacing w:val="2"/>
          <w:lang w:eastAsia="ko-KR"/>
        </w:rPr>
      </w:pPr>
      <w:r w:rsidRPr="00FD62C4">
        <w:rPr>
          <w:lang w:eastAsia="ko-KR"/>
        </w:rPr>
        <w:tab/>
        <w:t xml:space="preserve">For a transportable station, multiple contours are generated, each centred on a boundary point of the station’s operation area. These contours are then combined </w:t>
      </w:r>
      <w:r w:rsidRPr="00FD62C4">
        <w:rPr>
          <w:spacing w:val="2"/>
          <w:lang w:eastAsia="ko-KR"/>
        </w:rPr>
        <w:t>to create a composite contour around the entire operation area.</w:t>
      </w:r>
    </w:p>
    <w:p w14:paraId="0772A85A" w14:textId="002571B7" w:rsidR="00A812FA" w:rsidRPr="00FD62C4" w:rsidRDefault="00A812FA" w:rsidP="00A812FA">
      <w:pPr>
        <w:pStyle w:val="enumlev1"/>
        <w:rPr>
          <w:lang w:eastAsia="ko-KR"/>
        </w:rPr>
      </w:pPr>
      <w:r w:rsidRPr="00FD62C4">
        <w:rPr>
          <w:lang w:eastAsia="zh-CN"/>
        </w:rPr>
        <w:tab/>
        <w:t xml:space="preserve">After computing </w:t>
      </w:r>
      <w:r w:rsidRPr="00FD62C4">
        <w:rPr>
          <w:lang w:eastAsia="ko-KR"/>
        </w:rPr>
        <w:t xml:space="preserve">spectrum usage contours for the stations, the geographical use for the frequency segment </w:t>
      </w:r>
      <m:oMath>
        <m:sSub>
          <m:sSubPr>
            <m:ctrlPr>
              <w:rPr>
                <w:rFonts w:ascii="Cambria Math" w:hAnsi="Cambria Math"/>
                <w:i/>
                <w:lang w:eastAsia="ko-KR"/>
              </w:rPr>
            </m:ctrlPr>
          </m:sSubPr>
          <m:e>
            <m:r>
              <w:rPr>
                <w:rFonts w:ascii="Cambria Math" w:hAnsi="Cambria Math"/>
                <w:lang w:eastAsia="ko-KR"/>
              </w:rPr>
              <m:t>f</m:t>
            </m:r>
          </m:e>
          <m:sub>
            <m:r>
              <w:rPr>
                <w:rFonts w:ascii="Cambria Math" w:hAnsi="Cambria Math"/>
                <w:lang w:eastAsia="ko-KR"/>
              </w:rPr>
              <m:t>i</m:t>
            </m:r>
          </m:sub>
        </m:sSub>
      </m:oMath>
      <w:r w:rsidRPr="00FD62C4">
        <w:rPr>
          <w:lang w:eastAsia="ko-KR"/>
        </w:rPr>
        <w:t xml:space="preserve"> during the temporal segment </w:t>
      </w:r>
      <m:oMath>
        <m:sSub>
          <m:sSubPr>
            <m:ctrlPr>
              <w:rPr>
                <w:rFonts w:ascii="Cambria Math" w:hAnsi="Cambria Math"/>
                <w:i/>
                <w:lang w:eastAsia="ko-KR"/>
              </w:rPr>
            </m:ctrlPr>
          </m:sSubPr>
          <m:e>
            <m:r>
              <w:rPr>
                <w:rFonts w:ascii="Cambria Math" w:hAnsi="Cambria Math"/>
                <w:lang w:eastAsia="ko-KR"/>
              </w:rPr>
              <m:t>t</m:t>
            </m:r>
          </m:e>
          <m:sub>
            <m:r>
              <w:rPr>
                <w:rFonts w:ascii="Cambria Math" w:hAnsi="Cambria Math"/>
                <w:lang w:eastAsia="ko-KR"/>
              </w:rPr>
              <m:t>j</m:t>
            </m:r>
          </m:sub>
        </m:sSub>
      </m:oMath>
      <w:r w:rsidRPr="00FD62C4">
        <w:rPr>
          <w:lang w:eastAsia="ko-KR"/>
        </w:rPr>
        <w:t xml:space="preserve"> is identified. Let </w:t>
      </w:r>
      <m:oMath>
        <m:sSup>
          <m:sSupPr>
            <m:ctrlPr>
              <w:rPr>
                <w:rFonts w:ascii="Cambria Math" w:hAnsi="Cambria Math"/>
                <w:i/>
                <w:lang w:eastAsia="ko-KR"/>
              </w:rPr>
            </m:ctrlPr>
          </m:sSupPr>
          <m:e>
            <m:r>
              <w:rPr>
                <w:rFonts w:ascii="Cambria Math" w:hAnsi="Cambria Math"/>
                <w:lang w:eastAsia="ko-KR"/>
              </w:rPr>
              <m:t>C</m:t>
            </m:r>
          </m:e>
          <m:sup>
            <m:r>
              <w:rPr>
                <w:rFonts w:ascii="Cambria Math" w:hAnsi="Cambria Math"/>
                <w:lang w:eastAsia="ko-KR"/>
              </w:rPr>
              <m:t>(s)</m:t>
            </m:r>
          </m:sup>
        </m:sSup>
      </m:oMath>
      <w:r w:rsidRPr="00FD62C4">
        <w:rPr>
          <w:lang w:eastAsia="ko-KR"/>
        </w:rPr>
        <w:t xml:space="preserve"> be the spectrum usage contour for station </w:t>
      </w:r>
      <m:oMath>
        <m:r>
          <w:rPr>
            <w:rFonts w:ascii="Cambria Math" w:hAnsi="Cambria Math"/>
            <w:lang w:eastAsia="ko-KR"/>
          </w:rPr>
          <m:t>s</m:t>
        </m:r>
      </m:oMath>
      <w:r w:rsidRPr="00FD62C4">
        <w:rPr>
          <w:lang w:eastAsia="ko-KR"/>
        </w:rPr>
        <w:t xml:space="preserve">. Consider a geographical unit </w:t>
      </w:r>
      <m:oMath>
        <m:sSub>
          <m:sSubPr>
            <m:ctrlPr>
              <w:rPr>
                <w:rFonts w:ascii="Cambria Math" w:hAnsi="Cambria Math"/>
                <w:i/>
                <w:lang w:eastAsia="ko-KR"/>
              </w:rPr>
            </m:ctrlPr>
          </m:sSubPr>
          <m:e>
            <m:r>
              <w:rPr>
                <w:rFonts w:ascii="Cambria Math" w:hAnsi="Cambria Math"/>
                <w:lang w:eastAsia="ko-KR"/>
              </w:rPr>
              <m:t>g</m:t>
            </m:r>
          </m:e>
          <m:sub>
            <m:r>
              <w:rPr>
                <w:rFonts w:ascii="Cambria Math" w:hAnsi="Cambria Math"/>
                <w:lang w:eastAsia="ko-KR"/>
              </w:rPr>
              <m:t>k</m:t>
            </m:r>
          </m:sub>
        </m:sSub>
      </m:oMath>
      <w:r w:rsidRPr="00FD62C4">
        <w:rPr>
          <w:lang w:eastAsia="ko-KR"/>
        </w:rPr>
        <w:t xml:space="preserve">. If a contour </w:t>
      </w:r>
      <m:oMath>
        <m:sSup>
          <m:sSupPr>
            <m:ctrlPr>
              <w:rPr>
                <w:rFonts w:ascii="Cambria Math" w:hAnsi="Cambria Math"/>
                <w:i/>
                <w:lang w:eastAsia="ko-KR"/>
              </w:rPr>
            </m:ctrlPr>
          </m:sSupPr>
          <m:e>
            <m:r>
              <w:rPr>
                <w:rFonts w:ascii="Cambria Math" w:hAnsi="Cambria Math"/>
                <w:lang w:eastAsia="ko-KR"/>
              </w:rPr>
              <m:t>C</m:t>
            </m:r>
          </m:e>
          <m:sup>
            <m:r>
              <w:rPr>
                <w:rFonts w:ascii="Cambria Math" w:hAnsi="Cambria Math"/>
                <w:lang w:eastAsia="ko-KR"/>
              </w:rPr>
              <m:t>(s)</m:t>
            </m:r>
          </m:sup>
        </m:sSup>
      </m:oMath>
      <w:r w:rsidRPr="00FD62C4">
        <w:rPr>
          <w:lang w:eastAsia="ko-KR"/>
        </w:rPr>
        <w:t xml:space="preserve"> exists whose interior region contains the unit </w:t>
      </w:r>
      <m:oMath>
        <m:sSub>
          <m:sSubPr>
            <m:ctrlPr>
              <w:rPr>
                <w:rFonts w:ascii="Cambria Math" w:hAnsi="Cambria Math"/>
                <w:i/>
                <w:lang w:eastAsia="ko-KR"/>
              </w:rPr>
            </m:ctrlPr>
          </m:sSubPr>
          <m:e>
            <m:r>
              <w:rPr>
                <w:rFonts w:ascii="Cambria Math" w:hAnsi="Cambria Math"/>
                <w:lang w:eastAsia="ko-KR"/>
              </w:rPr>
              <m:t>g</m:t>
            </m:r>
          </m:e>
          <m:sub>
            <m:r>
              <w:rPr>
                <w:rFonts w:ascii="Cambria Math" w:hAnsi="Cambria Math"/>
                <w:lang w:eastAsia="ko-KR"/>
              </w:rPr>
              <m:t>k</m:t>
            </m:r>
          </m:sub>
        </m:sSub>
      </m:oMath>
      <w:r w:rsidRPr="00FD62C4">
        <w:rPr>
          <w:lang w:eastAsia="ko-KR"/>
        </w:rPr>
        <w:t xml:space="preserve">, it can be determined that spectrum use unit </w:t>
      </w:r>
      <m:oMath>
        <m:r>
          <w:rPr>
            <w:rFonts w:ascii="Cambria Math" w:hAnsi="Cambria Math"/>
            <w:lang w:eastAsia="ko-KR"/>
          </w:rPr>
          <m:t>(</m:t>
        </m:r>
        <m:sSub>
          <m:sSubPr>
            <m:ctrlPr>
              <w:rPr>
                <w:rFonts w:ascii="Cambria Math" w:hAnsi="Cambria Math"/>
                <w:i/>
                <w:lang w:eastAsia="ko-KR"/>
              </w:rPr>
            </m:ctrlPr>
          </m:sSubPr>
          <m:e>
            <m:r>
              <w:rPr>
                <w:rFonts w:ascii="Cambria Math" w:hAnsi="Cambria Math"/>
                <w:lang w:eastAsia="ko-KR"/>
              </w:rPr>
              <m:t>f</m:t>
            </m:r>
          </m:e>
          <m:sub>
            <m:r>
              <w:rPr>
                <w:rFonts w:ascii="Cambria Math" w:hAnsi="Cambria Math"/>
                <w:lang w:eastAsia="ko-KR"/>
              </w:rPr>
              <m:t>i</m:t>
            </m:r>
          </m:sub>
        </m:sSub>
        <m:r>
          <w:rPr>
            <w:rFonts w:ascii="Cambria Math" w:hAnsi="Cambria Math"/>
            <w:lang w:eastAsia="ko-KR"/>
          </w:rPr>
          <m:t xml:space="preserve">,  </m:t>
        </m:r>
        <m:sSub>
          <m:sSubPr>
            <m:ctrlPr>
              <w:rPr>
                <w:rFonts w:ascii="Cambria Math" w:hAnsi="Cambria Math"/>
                <w:i/>
                <w:lang w:eastAsia="ko-KR"/>
              </w:rPr>
            </m:ctrlPr>
          </m:sSubPr>
          <m:e>
            <m:r>
              <w:rPr>
                <w:rFonts w:ascii="Cambria Math" w:hAnsi="Cambria Math"/>
                <w:lang w:eastAsia="ko-KR"/>
              </w:rPr>
              <m:t>t</m:t>
            </m:r>
          </m:e>
          <m:sub>
            <m:r>
              <w:rPr>
                <w:rFonts w:ascii="Cambria Math" w:hAnsi="Cambria Math"/>
                <w:lang w:eastAsia="ko-KR"/>
              </w:rPr>
              <m:t>j</m:t>
            </m:r>
          </m:sub>
        </m:sSub>
        <m:r>
          <w:rPr>
            <w:rFonts w:ascii="Cambria Math" w:hAnsi="Cambria Math"/>
            <w:lang w:eastAsia="ko-KR"/>
          </w:rPr>
          <m:t xml:space="preserve">,  </m:t>
        </m:r>
        <m:sSub>
          <m:sSubPr>
            <m:ctrlPr>
              <w:rPr>
                <w:rFonts w:ascii="Cambria Math" w:hAnsi="Cambria Math"/>
                <w:i/>
                <w:lang w:eastAsia="ko-KR"/>
              </w:rPr>
            </m:ctrlPr>
          </m:sSubPr>
          <m:e>
            <m:r>
              <w:rPr>
                <w:rFonts w:ascii="Cambria Math" w:hAnsi="Cambria Math"/>
                <w:lang w:eastAsia="ko-KR"/>
              </w:rPr>
              <m:t>g</m:t>
            </m:r>
          </m:e>
          <m:sub>
            <m:r>
              <w:rPr>
                <w:rFonts w:ascii="Cambria Math" w:hAnsi="Cambria Math"/>
                <w:lang w:eastAsia="ko-KR"/>
              </w:rPr>
              <m:t>k</m:t>
            </m:r>
          </m:sub>
        </m:sSub>
        <m:r>
          <w:rPr>
            <w:rFonts w:ascii="Cambria Math" w:hAnsi="Cambria Math"/>
            <w:lang w:eastAsia="ko-KR"/>
          </w:rPr>
          <m:t>)</m:t>
        </m:r>
      </m:oMath>
      <w:r w:rsidRPr="00FD62C4">
        <w:rPr>
          <w:lang w:eastAsia="ko-KR"/>
        </w:rPr>
        <w:t xml:space="preserve"> is occupied by the primary user.</w:t>
      </w:r>
    </w:p>
    <w:p w14:paraId="54B13120" w14:textId="662713BF" w:rsidR="00A812FA" w:rsidRPr="00FD62C4" w:rsidRDefault="00A812FA" w:rsidP="0056771B">
      <w:pPr>
        <w:pStyle w:val="enumlev1"/>
        <w:rPr>
          <w:lang w:eastAsia="ko-KR"/>
        </w:rPr>
      </w:pPr>
      <w:r w:rsidRPr="00FD62C4">
        <w:rPr>
          <w:lang w:eastAsia="ko-KR"/>
        </w:rPr>
        <w:t>5)</w:t>
      </w:r>
      <w:r w:rsidRPr="00FD62C4">
        <w:rPr>
          <w:lang w:eastAsia="ko-KR"/>
        </w:rPr>
        <w:tab/>
        <w:t>Quantification and comparison of spectrum use region areas</w:t>
      </w:r>
    </w:p>
    <w:p w14:paraId="2CB68DD0" w14:textId="047F7BF0" w:rsidR="00A812FA" w:rsidRPr="00FD62C4" w:rsidRDefault="00A812FA" w:rsidP="00A812FA">
      <w:pPr>
        <w:pStyle w:val="enumlev1"/>
        <w:rPr>
          <w:lang w:eastAsia="zh-CN"/>
        </w:rPr>
      </w:pPr>
      <w:r w:rsidRPr="00FD62C4">
        <w:rPr>
          <w:lang w:eastAsia="zh-CN"/>
        </w:rPr>
        <w:tab/>
      </w:r>
      <w:r w:rsidRPr="00FD62C4">
        <w:rPr>
          <w:lang w:eastAsia="ko-KR"/>
        </w:rPr>
        <w:t xml:space="preserve">The spectrum use region occupied by the primary user </w:t>
      </w:r>
      <m:oMath>
        <m:sSub>
          <m:sSubPr>
            <m:ctrlPr>
              <w:rPr>
                <w:rFonts w:ascii="Cambria Math" w:hAnsi="Cambria Math"/>
                <w:i/>
              </w:rPr>
            </m:ctrlPr>
          </m:sSubPr>
          <m:e>
            <m:r>
              <w:rPr>
                <w:rFonts w:ascii="Cambria Math" w:hAnsi="Cambria Math"/>
              </w:rPr>
              <m:t>U</m:t>
            </m:r>
          </m:e>
          <m:sub>
            <m:r>
              <w:rPr>
                <w:rFonts w:ascii="Cambria Math" w:hAnsi="Cambria Math"/>
              </w:rPr>
              <m:t>pu</m:t>
            </m:r>
          </m:sub>
        </m:sSub>
      </m:oMath>
      <w:r w:rsidRPr="00FD62C4">
        <w:rPr>
          <w:lang w:eastAsia="ko-KR"/>
        </w:rPr>
        <w:t xml:space="preserve">, defined as the collection of spectrum use units occupied by the primary user, has been identified. The areas of the total spectrum use space, defined as the collection of all units, and the region occupied by the primary user can be quantified by counting the number of spectrum use units they contain. These areas are denoted as </w:t>
      </w:r>
      <m:oMath>
        <m:r>
          <m:rPr>
            <m:sty m:val="p"/>
          </m:rPr>
          <w:rPr>
            <w:rFonts w:ascii="Cambria Math" w:hAnsi="Cambria Math"/>
          </w:rPr>
          <m:t>Area</m:t>
        </m:r>
        <m:d>
          <m:dPr>
            <m:ctrlPr>
              <w:rPr>
                <w:rFonts w:ascii="Cambria Math" w:hAnsi="Cambria Math"/>
                <w:i/>
              </w:rPr>
            </m:ctrlPr>
          </m:dPr>
          <m:e>
            <m:sSub>
              <m:sSubPr>
                <m:ctrlPr>
                  <w:rPr>
                    <w:rFonts w:ascii="Cambria Math" w:hAnsi="Cambria Math"/>
                    <w:i/>
                  </w:rPr>
                </m:ctrlPr>
              </m:sSubPr>
              <m:e>
                <m:r>
                  <w:rPr>
                    <w:rFonts w:ascii="Cambria Math" w:hAnsi="Cambria Math"/>
                  </w:rPr>
                  <m:t>U</m:t>
                </m:r>
              </m:e>
              <m:sub>
                <m:r>
                  <w:rPr>
                    <w:rFonts w:ascii="Cambria Math" w:hAnsi="Cambria Math"/>
                  </w:rPr>
                  <m:t>t</m:t>
                </m:r>
              </m:sub>
            </m:sSub>
          </m:e>
        </m:d>
      </m:oMath>
      <w:r w:rsidRPr="00FD62C4">
        <w:rPr>
          <w:lang w:eastAsia="ko-KR"/>
        </w:rPr>
        <w:t xml:space="preserve"> and</w:t>
      </w:r>
      <w:r w:rsidRPr="00FD62C4">
        <w:rPr>
          <w:lang w:eastAsia="zh-CN"/>
        </w:rPr>
        <w:t xml:space="preserve"> </w:t>
      </w:r>
      <m:oMath>
        <m:r>
          <m:rPr>
            <m:sty m:val="p"/>
          </m:rPr>
          <w:rPr>
            <w:rFonts w:ascii="Cambria Math" w:hAnsi="Cambria Math"/>
          </w:rPr>
          <m:t>Area</m:t>
        </m:r>
        <m:d>
          <m:dPr>
            <m:ctrlPr>
              <w:rPr>
                <w:rFonts w:ascii="Cambria Math" w:hAnsi="Cambria Math"/>
                <w:i/>
              </w:rPr>
            </m:ctrlPr>
          </m:dPr>
          <m:e>
            <m:sSub>
              <m:sSubPr>
                <m:ctrlPr>
                  <w:rPr>
                    <w:rFonts w:ascii="Cambria Math" w:hAnsi="Cambria Math"/>
                    <w:i/>
                  </w:rPr>
                </m:ctrlPr>
              </m:sSubPr>
              <m:e>
                <m:r>
                  <w:rPr>
                    <w:rFonts w:ascii="Cambria Math" w:hAnsi="Cambria Math"/>
                  </w:rPr>
                  <m:t>U</m:t>
                </m:r>
              </m:e>
              <m:sub>
                <m:r>
                  <w:rPr>
                    <w:rFonts w:ascii="Cambria Math" w:hAnsi="Cambria Math"/>
                  </w:rPr>
                  <m:t>pu</m:t>
                </m:r>
              </m:sub>
            </m:sSub>
          </m:e>
        </m:d>
      </m:oMath>
      <w:r w:rsidRPr="00FD62C4">
        <w:rPr>
          <w:lang w:eastAsia="ko-KR"/>
        </w:rPr>
        <w:t xml:space="preserve">, respectively. Let the required area for the service in question be </w:t>
      </w:r>
      <m:oMath>
        <m:r>
          <m:rPr>
            <m:sty m:val="p"/>
          </m:rPr>
          <w:rPr>
            <w:rFonts w:ascii="Cambria Math" w:hAnsi="Cambria Math"/>
          </w:rPr>
          <m:t>Area</m:t>
        </m:r>
        <m:d>
          <m:dPr>
            <m:ctrlPr>
              <w:rPr>
                <w:rFonts w:ascii="Cambria Math" w:hAnsi="Cambria Math"/>
                <w:i/>
              </w:rPr>
            </m:ctrlPr>
          </m:dPr>
          <m:e>
            <m:sSub>
              <m:sSubPr>
                <m:ctrlPr>
                  <w:rPr>
                    <w:rFonts w:ascii="Cambria Math" w:hAnsi="Cambria Math"/>
                    <w:i/>
                  </w:rPr>
                </m:ctrlPr>
              </m:sSubPr>
              <m:e>
                <m:r>
                  <w:rPr>
                    <w:rFonts w:ascii="Cambria Math" w:hAnsi="Cambria Math"/>
                  </w:rPr>
                  <m:t>U</m:t>
                </m:r>
              </m:e>
              <m:sub>
                <m:r>
                  <w:rPr>
                    <w:rFonts w:ascii="Cambria Math" w:hAnsi="Cambria Math"/>
                  </w:rPr>
                  <m:t>su</m:t>
                </m:r>
              </m:sub>
            </m:sSub>
          </m:e>
        </m:d>
      </m:oMath>
      <w:r w:rsidRPr="00FD62C4">
        <w:rPr>
          <w:lang w:eastAsia="ko-KR"/>
        </w:rPr>
        <w:t>.</w:t>
      </w:r>
      <w:r w:rsidRPr="00FD62C4">
        <w:rPr>
          <w:lang w:eastAsia="zh-CN"/>
        </w:rPr>
        <w:t xml:space="preserve"> At this stage, the criterion (C-2) from </w:t>
      </w:r>
      <w:r w:rsidR="00FC4DA6" w:rsidRPr="00FD62C4">
        <w:rPr>
          <w:lang w:eastAsia="zh-CN"/>
        </w:rPr>
        <w:t>§</w:t>
      </w:r>
      <w:r w:rsidRPr="00FD62C4">
        <w:rPr>
          <w:lang w:eastAsia="zh-CN"/>
        </w:rPr>
        <w:t xml:space="preserve"> </w:t>
      </w:r>
      <w:r w:rsidRPr="00FD62C4">
        <w:rPr>
          <w:lang w:eastAsia="ko-KR"/>
        </w:rPr>
        <w:t>A1</w:t>
      </w:r>
      <w:r w:rsidR="00BF2B61" w:rsidRPr="00FD62C4">
        <w:rPr>
          <w:lang w:eastAsia="ko-KR"/>
        </w:rPr>
        <w:t>.</w:t>
      </w:r>
      <w:r w:rsidRPr="00FD62C4">
        <w:rPr>
          <w:lang w:eastAsia="zh-CN"/>
        </w:rPr>
        <w:t>2.2 can be applied.</w:t>
      </w:r>
    </w:p>
    <w:p w14:paraId="726B41B2" w14:textId="35663E56" w:rsidR="00A812FA" w:rsidRPr="00FD62C4" w:rsidRDefault="00A812FA" w:rsidP="00A812FA">
      <w:pPr>
        <w:pStyle w:val="enumlev1"/>
        <w:rPr>
          <w:lang w:eastAsia="ko-KR"/>
        </w:rPr>
      </w:pPr>
      <w:r w:rsidRPr="00FD62C4">
        <w:rPr>
          <w:lang w:eastAsia="zh-CN"/>
        </w:rPr>
        <w:tab/>
        <w:t xml:space="preserve">Provided that there is spectrum-sharing system for utilizing unoccupied spectrum use units, if </w:t>
      </w:r>
      <m:oMath>
        <m:r>
          <m:rPr>
            <m:sty m:val="p"/>
          </m:rPr>
          <w:rPr>
            <w:rFonts w:ascii="Cambria Math" w:hAnsi="Cambria Math"/>
          </w:rPr>
          <m:t>Area</m:t>
        </m:r>
        <m:d>
          <m:dPr>
            <m:ctrlPr>
              <w:rPr>
                <w:rFonts w:ascii="Cambria Math" w:hAnsi="Cambria Math"/>
                <w:i/>
              </w:rPr>
            </m:ctrlPr>
          </m:dPr>
          <m:e>
            <m:sSub>
              <m:sSubPr>
                <m:ctrlPr>
                  <w:rPr>
                    <w:rFonts w:ascii="Cambria Math" w:hAnsi="Cambria Math"/>
                    <w:i/>
                  </w:rPr>
                </m:ctrlPr>
              </m:sSubPr>
              <m:e>
                <m:r>
                  <w:rPr>
                    <w:rFonts w:ascii="Cambria Math" w:hAnsi="Cambria Math"/>
                  </w:rPr>
                  <m:t>U</m:t>
                </m:r>
              </m:e>
              <m:sub>
                <m:r>
                  <w:rPr>
                    <w:rFonts w:ascii="Cambria Math" w:hAnsi="Cambria Math"/>
                  </w:rPr>
                  <m:t>t</m:t>
                </m:r>
              </m:sub>
            </m:sSub>
          </m:e>
        </m:d>
        <m:r>
          <w:rPr>
            <w:rFonts w:ascii="Cambria Math" w:hAnsi="Cambria Math"/>
          </w:rPr>
          <m:t>-</m:t>
        </m:r>
        <m:r>
          <m:rPr>
            <m:sty m:val="p"/>
          </m:rPr>
          <w:rPr>
            <w:rFonts w:ascii="Cambria Math" w:hAnsi="Cambria Math"/>
          </w:rPr>
          <m:t>Area</m:t>
        </m:r>
        <m:d>
          <m:dPr>
            <m:ctrlPr>
              <w:rPr>
                <w:rFonts w:ascii="Cambria Math" w:hAnsi="Cambria Math"/>
                <w:i/>
              </w:rPr>
            </m:ctrlPr>
          </m:dPr>
          <m:e>
            <m:sSub>
              <m:sSubPr>
                <m:ctrlPr>
                  <w:rPr>
                    <w:rFonts w:ascii="Cambria Math" w:hAnsi="Cambria Math"/>
                    <w:i/>
                  </w:rPr>
                </m:ctrlPr>
              </m:sSubPr>
              <m:e>
                <m:r>
                  <w:rPr>
                    <w:rFonts w:ascii="Cambria Math" w:hAnsi="Cambria Math"/>
                  </w:rPr>
                  <m:t>U</m:t>
                </m:r>
              </m:e>
              <m:sub>
                <m:r>
                  <w:rPr>
                    <w:rFonts w:ascii="Cambria Math" w:hAnsi="Cambria Math"/>
                  </w:rPr>
                  <m:t>pu</m:t>
                </m:r>
              </m:sub>
            </m:sSub>
          </m:e>
        </m:d>
        <m:r>
          <m:rPr>
            <m:sty m:val="p"/>
          </m:rPr>
          <w:rPr>
            <w:rFonts w:ascii="Cambria Math" w:hAnsi="Cambria Math"/>
            <w:lang w:eastAsia="zh-CN"/>
          </w:rPr>
          <m:t xml:space="preserve"> &gt;</m:t>
        </m:r>
        <m:r>
          <m:rPr>
            <m:sty m:val="p"/>
          </m:rPr>
          <w:rPr>
            <w:rFonts w:ascii="Cambria Math" w:hAnsi="Cambria Math"/>
          </w:rPr>
          <m:t>Area</m:t>
        </m:r>
        <m:r>
          <w:rPr>
            <w:rFonts w:ascii="Cambria Math" w:hAnsi="Cambria Math"/>
          </w:rPr>
          <m:t>(</m:t>
        </m:r>
        <m:sSub>
          <m:sSubPr>
            <m:ctrlPr>
              <w:rPr>
                <w:rFonts w:ascii="Cambria Math" w:hAnsi="Cambria Math"/>
                <w:i/>
              </w:rPr>
            </m:ctrlPr>
          </m:sSubPr>
          <m:e>
            <m:r>
              <w:rPr>
                <w:rFonts w:ascii="Cambria Math" w:hAnsi="Cambria Math"/>
              </w:rPr>
              <m:t>U</m:t>
            </m:r>
          </m:e>
          <m:sub>
            <m:r>
              <w:rPr>
                <w:rFonts w:ascii="Cambria Math" w:hAnsi="Cambria Math"/>
              </w:rPr>
              <m:t>su</m:t>
            </m:r>
          </m:sub>
        </m:sSub>
        <m:r>
          <w:rPr>
            <w:rFonts w:ascii="Cambria Math" w:hAnsi="Cambria Math"/>
          </w:rPr>
          <m:t>)</m:t>
        </m:r>
      </m:oMath>
      <w:r w:rsidRPr="00FD62C4">
        <w:rPr>
          <w:lang w:eastAsia="ko-KR"/>
        </w:rPr>
        <w:t>,</w:t>
      </w:r>
      <w:r w:rsidRPr="00FD62C4">
        <w:rPr>
          <w:lang w:eastAsia="zh-CN"/>
        </w:rPr>
        <w:t xml:space="preserve"> </w:t>
      </w:r>
      <w:r w:rsidRPr="00FD62C4">
        <w:rPr>
          <w:lang w:eastAsia="ko-KR"/>
        </w:rPr>
        <w:t xml:space="preserve">the shared licensed spectrum is considered available for the service in question. Spectrum availability can then be quantified by the spectrum availability index </w:t>
      </w:r>
      <m:oMath>
        <m:r>
          <w:rPr>
            <w:rFonts w:ascii="Cambria Math" w:hAnsi="Cambria Math"/>
            <w:lang w:eastAsia="ko-KR"/>
          </w:rPr>
          <m:t>SA</m:t>
        </m:r>
        <m:sSub>
          <m:sSubPr>
            <m:ctrlPr>
              <w:rPr>
                <w:rFonts w:ascii="Cambria Math" w:hAnsi="Cambria Math"/>
                <w:i/>
                <w:lang w:eastAsia="ko-KR"/>
              </w:rPr>
            </m:ctrlPr>
          </m:sSubPr>
          <m:e>
            <m:r>
              <w:rPr>
                <w:rFonts w:ascii="Cambria Math" w:hAnsi="Cambria Math"/>
                <w:lang w:eastAsia="ko-KR"/>
              </w:rPr>
              <m:t>I</m:t>
            </m:r>
          </m:e>
          <m:sub>
            <m:r>
              <w:rPr>
                <w:rFonts w:ascii="Cambria Math" w:hAnsi="Cambria Math"/>
                <w:lang w:eastAsia="ko-KR"/>
              </w:rPr>
              <m:t>SL</m:t>
            </m:r>
          </m:sub>
        </m:sSub>
      </m:oMath>
      <w:r w:rsidRPr="00FD62C4">
        <w:rPr>
          <w:lang w:eastAsia="ko-KR"/>
        </w:rPr>
        <w:t xml:space="preserve">, given by </w:t>
      </w:r>
      <m:oMath>
        <m:r>
          <w:rPr>
            <w:rFonts w:ascii="Cambria Math" w:hAnsi="Cambria Math"/>
            <w:lang w:eastAsia="ko-KR"/>
          </w:rPr>
          <m:t>SA</m:t>
        </m:r>
        <m:sSub>
          <m:sSubPr>
            <m:ctrlPr>
              <w:rPr>
                <w:rFonts w:ascii="Cambria Math" w:hAnsi="Cambria Math"/>
                <w:i/>
                <w:lang w:eastAsia="ko-KR"/>
              </w:rPr>
            </m:ctrlPr>
          </m:sSubPr>
          <m:e>
            <m:r>
              <w:rPr>
                <w:rFonts w:ascii="Cambria Math" w:hAnsi="Cambria Math"/>
                <w:lang w:eastAsia="ko-KR"/>
              </w:rPr>
              <m:t>I</m:t>
            </m:r>
          </m:e>
          <m:sub>
            <m:r>
              <w:rPr>
                <w:rFonts w:ascii="Cambria Math" w:hAnsi="Cambria Math"/>
                <w:lang w:eastAsia="ko-KR"/>
              </w:rPr>
              <m:t>SL</m:t>
            </m:r>
          </m:sub>
        </m:sSub>
        <m:r>
          <w:rPr>
            <w:rFonts w:ascii="Cambria Math" w:hAnsi="Cambria Math"/>
            <w:lang w:eastAsia="ko-KR"/>
          </w:rPr>
          <m:t>={</m:t>
        </m:r>
        <m:r>
          <m:rPr>
            <m:sty m:val="p"/>
          </m:rPr>
          <w:rPr>
            <w:rFonts w:ascii="Cambria Math" w:hAnsi="Cambria Math"/>
          </w:rPr>
          <m:t>Area</m:t>
        </m:r>
        <m:d>
          <m:dPr>
            <m:ctrlPr>
              <w:rPr>
                <w:rFonts w:ascii="Cambria Math" w:hAnsi="Cambria Math"/>
                <w:i/>
              </w:rPr>
            </m:ctrlPr>
          </m:dPr>
          <m:e>
            <m:sSub>
              <m:sSubPr>
                <m:ctrlPr>
                  <w:rPr>
                    <w:rFonts w:ascii="Cambria Math" w:hAnsi="Cambria Math"/>
                    <w:i/>
                  </w:rPr>
                </m:ctrlPr>
              </m:sSubPr>
              <m:e>
                <m:r>
                  <w:rPr>
                    <w:rFonts w:ascii="Cambria Math" w:hAnsi="Cambria Math"/>
                  </w:rPr>
                  <m:t>U</m:t>
                </m:r>
              </m:e>
              <m:sub>
                <m:r>
                  <w:rPr>
                    <w:rFonts w:ascii="Cambria Math" w:hAnsi="Cambria Math"/>
                  </w:rPr>
                  <m:t>t</m:t>
                </m:r>
              </m:sub>
            </m:sSub>
          </m:e>
        </m:d>
        <m:r>
          <w:rPr>
            <w:rFonts w:ascii="Cambria Math" w:hAnsi="Cambria Math"/>
          </w:rPr>
          <m:t>-</m:t>
        </m:r>
        <m:r>
          <m:rPr>
            <m:sty m:val="p"/>
          </m:rPr>
          <w:rPr>
            <w:rFonts w:ascii="Cambria Math" w:hAnsi="Cambria Math"/>
          </w:rPr>
          <m:t>Area</m:t>
        </m:r>
        <m:d>
          <m:dPr>
            <m:ctrlPr>
              <w:rPr>
                <w:rFonts w:ascii="Cambria Math" w:hAnsi="Cambria Math"/>
                <w:i/>
              </w:rPr>
            </m:ctrlPr>
          </m:dPr>
          <m:e>
            <m:sSub>
              <m:sSubPr>
                <m:ctrlPr>
                  <w:rPr>
                    <w:rFonts w:ascii="Cambria Math" w:hAnsi="Cambria Math"/>
                    <w:i/>
                  </w:rPr>
                </m:ctrlPr>
              </m:sSubPr>
              <m:e>
                <m:r>
                  <w:rPr>
                    <w:rFonts w:ascii="Cambria Math" w:hAnsi="Cambria Math"/>
                  </w:rPr>
                  <m:t>U</m:t>
                </m:r>
              </m:e>
              <m:sub>
                <m:r>
                  <w:rPr>
                    <w:rFonts w:ascii="Cambria Math" w:hAnsi="Cambria Math"/>
                  </w:rPr>
                  <m:t>pu</m:t>
                </m:r>
              </m:sub>
            </m:sSub>
          </m:e>
        </m:d>
        <m:r>
          <w:rPr>
            <w:rFonts w:ascii="Cambria Math" w:hAnsi="Cambria Math"/>
          </w:rPr>
          <m:t>-</m:t>
        </m:r>
        <m:r>
          <m:rPr>
            <m:sty m:val="p"/>
          </m:rPr>
          <w:rPr>
            <w:rFonts w:ascii="Cambria Math" w:hAnsi="Cambria Math"/>
          </w:rPr>
          <m:t>Area</m:t>
        </m:r>
        <m:r>
          <w:rPr>
            <w:rFonts w:ascii="Cambria Math" w:hAnsi="Cambria Math"/>
          </w:rPr>
          <m:t>(</m:t>
        </m:r>
        <m:sSub>
          <m:sSubPr>
            <m:ctrlPr>
              <w:rPr>
                <w:rFonts w:ascii="Cambria Math" w:hAnsi="Cambria Math"/>
                <w:i/>
              </w:rPr>
            </m:ctrlPr>
          </m:sSubPr>
          <m:e>
            <m:r>
              <w:rPr>
                <w:rFonts w:ascii="Cambria Math" w:hAnsi="Cambria Math"/>
              </w:rPr>
              <m:t>U</m:t>
            </m:r>
          </m:e>
          <m:sub>
            <m:r>
              <w:rPr>
                <w:rFonts w:ascii="Cambria Math" w:hAnsi="Cambria Math"/>
              </w:rPr>
              <m:t>su</m:t>
            </m:r>
          </m:sub>
        </m:sSub>
        <m:r>
          <w:rPr>
            <w:rFonts w:ascii="Cambria Math" w:hAnsi="Cambria Math"/>
          </w:rPr>
          <m:t>)}/</m:t>
        </m:r>
        <m:r>
          <m:rPr>
            <m:sty m:val="p"/>
          </m:rPr>
          <w:rPr>
            <w:rFonts w:ascii="Cambria Math" w:hAnsi="Cambria Math"/>
          </w:rPr>
          <m:t>Area</m:t>
        </m:r>
        <m:d>
          <m:dPr>
            <m:ctrlPr>
              <w:rPr>
                <w:rFonts w:ascii="Cambria Math" w:hAnsi="Cambria Math"/>
                <w:i/>
              </w:rPr>
            </m:ctrlPr>
          </m:dPr>
          <m:e>
            <m:sSub>
              <m:sSubPr>
                <m:ctrlPr>
                  <w:rPr>
                    <w:rFonts w:ascii="Cambria Math" w:hAnsi="Cambria Math"/>
                    <w:i/>
                  </w:rPr>
                </m:ctrlPr>
              </m:sSubPr>
              <m:e>
                <m:r>
                  <w:rPr>
                    <w:rFonts w:ascii="Cambria Math" w:hAnsi="Cambria Math"/>
                  </w:rPr>
                  <m:t>U</m:t>
                </m:r>
              </m:e>
              <m:sub>
                <m:r>
                  <w:rPr>
                    <w:rFonts w:ascii="Cambria Math" w:hAnsi="Cambria Math"/>
                  </w:rPr>
                  <m:t>t</m:t>
                </m:r>
              </m:sub>
            </m:sSub>
          </m:e>
        </m:d>
      </m:oMath>
      <w:r w:rsidRPr="00FD62C4">
        <w:rPr>
          <w:lang w:eastAsia="ko-KR"/>
        </w:rPr>
        <w:t xml:space="preserve"> in (I-2) </w:t>
      </w:r>
      <w:r w:rsidRPr="00FD62C4">
        <w:rPr>
          <w:lang w:eastAsia="zh-CN"/>
        </w:rPr>
        <w:t xml:space="preserve">from </w:t>
      </w:r>
      <w:r w:rsidR="002F7EDC" w:rsidRPr="00FD62C4">
        <w:rPr>
          <w:lang w:eastAsia="zh-CN"/>
        </w:rPr>
        <w:t>§</w:t>
      </w:r>
      <w:r w:rsidRPr="00FD62C4">
        <w:rPr>
          <w:lang w:eastAsia="zh-CN"/>
        </w:rPr>
        <w:t xml:space="preserve"> </w:t>
      </w:r>
      <w:r w:rsidRPr="00FD62C4">
        <w:rPr>
          <w:lang w:eastAsia="ko-KR"/>
        </w:rPr>
        <w:t>A1</w:t>
      </w:r>
      <w:r w:rsidR="00BF2B61" w:rsidRPr="00FD62C4">
        <w:rPr>
          <w:lang w:eastAsia="ko-KR"/>
        </w:rPr>
        <w:t>.</w:t>
      </w:r>
      <w:r w:rsidRPr="00FD62C4">
        <w:rPr>
          <w:lang w:eastAsia="zh-CN"/>
        </w:rPr>
        <w:t>2.2</w:t>
      </w:r>
      <w:r w:rsidRPr="00FD62C4">
        <w:rPr>
          <w:lang w:eastAsia="ko-KR"/>
        </w:rPr>
        <w:t>.</w:t>
      </w:r>
    </w:p>
    <w:p w14:paraId="17C44167" w14:textId="219FF04A" w:rsidR="00A812FA" w:rsidRPr="00FD62C4" w:rsidRDefault="00A812FA" w:rsidP="00A812FA">
      <w:pPr>
        <w:rPr>
          <w:lang w:eastAsia="ko-KR"/>
        </w:rPr>
      </w:pPr>
      <w:r w:rsidRPr="00FD62C4">
        <w:rPr>
          <w:lang w:eastAsia="ko-KR"/>
        </w:rPr>
        <w:t>This procedure is presented as a flowchart in Fig</w:t>
      </w:r>
      <w:r w:rsidR="002F7EDC" w:rsidRPr="00FD62C4">
        <w:rPr>
          <w:lang w:eastAsia="ko-KR"/>
        </w:rPr>
        <w:t>.</w:t>
      </w:r>
      <w:r w:rsidRPr="00FD62C4">
        <w:rPr>
          <w:lang w:eastAsia="ko-KR"/>
        </w:rPr>
        <w:t xml:space="preserve"> </w:t>
      </w:r>
      <w:r w:rsidRPr="00FD62C4">
        <w:t>A1-</w:t>
      </w:r>
      <w:r w:rsidRPr="00FD62C4">
        <w:rPr>
          <w:lang w:eastAsia="ko-KR"/>
        </w:rPr>
        <w:t>2.</w:t>
      </w:r>
    </w:p>
    <w:p w14:paraId="5F0DCA15" w14:textId="0920A91B" w:rsidR="00A812FA" w:rsidRPr="00FD62C4" w:rsidRDefault="004048D3" w:rsidP="0056771B">
      <w:pPr>
        <w:pStyle w:val="FigureNo"/>
      </w:pPr>
      <w:r w:rsidRPr="0056771B">
        <w:lastRenderedPageBreak/>
        <w:t>FIGURE</w:t>
      </w:r>
      <w:r w:rsidR="00A812FA" w:rsidRPr="00FD62C4">
        <w:t xml:space="preserve"> A1-2</w:t>
      </w:r>
    </w:p>
    <w:p w14:paraId="2F0E7447" w14:textId="77777777" w:rsidR="00A812FA" w:rsidRPr="00FD62C4" w:rsidRDefault="00A812FA" w:rsidP="00A812FA">
      <w:pPr>
        <w:pStyle w:val="Figuretitle"/>
        <w:rPr>
          <w:lang w:eastAsia="ko-KR"/>
        </w:rPr>
      </w:pPr>
      <w:r w:rsidRPr="00FD62C4">
        <w:t xml:space="preserve">Flowchart of the assessment methodology for the </w:t>
      </w:r>
      <w:r w:rsidRPr="00FD62C4">
        <w:rPr>
          <w:rFonts w:cs="Times New Roman Bold"/>
        </w:rPr>
        <w:t>“</w:t>
      </w:r>
      <w:r w:rsidRPr="00FD62C4">
        <w:t>shared use of licensed spectrum</w:t>
      </w:r>
      <w:r w:rsidRPr="00FD62C4">
        <w:rPr>
          <w:rFonts w:cs="Times New Roman Bold"/>
        </w:rPr>
        <w:t>”</w:t>
      </w:r>
    </w:p>
    <w:p w14:paraId="588F89CE" w14:textId="77777777" w:rsidR="00A812FA" w:rsidRPr="00FD62C4" w:rsidRDefault="00A812FA" w:rsidP="00A812FA">
      <w:pPr>
        <w:pStyle w:val="Figure"/>
      </w:pPr>
      <w:r w:rsidRPr="00FD62C4">
        <w:rPr>
          <w:noProof/>
        </w:rPr>
        <w:drawing>
          <wp:inline distT="0" distB="0" distL="0" distR="0" wp14:anchorId="474FD381" wp14:editId="1726F167">
            <wp:extent cx="4755865" cy="8352186"/>
            <wp:effectExtent l="0" t="0" r="6985" b="0"/>
            <wp:docPr id="1637063717" name="그림 7" descr="Flowchart of the assessment methodology for the “shared use of licensed spectr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7063717" name="그림 7" descr="Flowchart of the assessment methodology for the “shared use of licensed spectrum”"/>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755865" cy="8352186"/>
                    </a:xfrm>
                    <a:prstGeom prst="rect">
                      <a:avLst/>
                    </a:prstGeom>
                  </pic:spPr>
                </pic:pic>
              </a:graphicData>
            </a:graphic>
          </wp:inline>
        </w:drawing>
      </w:r>
    </w:p>
    <w:p w14:paraId="15A67EA7" w14:textId="2BA11135" w:rsidR="00A812FA" w:rsidRPr="00FD62C4" w:rsidRDefault="00A812FA" w:rsidP="00F91225">
      <w:pPr>
        <w:pStyle w:val="Heading4"/>
      </w:pPr>
      <w:bookmarkStart w:id="98" w:name="_Toc176778722"/>
      <w:r w:rsidRPr="00FD62C4">
        <w:lastRenderedPageBreak/>
        <w:t>A1</w:t>
      </w:r>
      <w:r w:rsidR="00BF2B61" w:rsidRPr="00FD62C4">
        <w:t>.</w:t>
      </w:r>
      <w:r w:rsidRPr="00FD62C4">
        <w:t>3.2.3</w:t>
      </w:r>
      <w:r w:rsidRPr="00FD62C4">
        <w:tab/>
        <w:t>Prediction</w:t>
      </w:r>
      <w:bookmarkEnd w:id="98"/>
      <w:r w:rsidRPr="00FD62C4">
        <w:t xml:space="preserve"> methodology</w:t>
      </w:r>
    </w:p>
    <w:p w14:paraId="2F5585D7" w14:textId="77777777" w:rsidR="00A812FA" w:rsidRPr="00FD62C4" w:rsidRDefault="00A812FA" w:rsidP="00A812FA">
      <w:pPr>
        <w:rPr>
          <w:lang w:eastAsia="ko-KR"/>
        </w:rPr>
      </w:pPr>
      <w:bookmarkStart w:id="99" w:name="_Hlk176866369"/>
      <w:r w:rsidRPr="00FD62C4">
        <w:rPr>
          <w:lang w:eastAsia="ko-KR"/>
        </w:rPr>
        <w:t xml:space="preserve">Future spectrum availability is generally predicted by forecasting the information required for assessment and then assessing spectrum availability based on this predicted information. </w:t>
      </w:r>
      <w:bookmarkEnd w:id="99"/>
      <w:r w:rsidRPr="00FD62C4">
        <w:rPr>
          <w:lang w:eastAsia="ko-KR"/>
        </w:rPr>
        <w:t>This approach also applies to the case of “shared use of licensed spectrum”.</w:t>
      </w:r>
    </w:p>
    <w:p w14:paraId="7EFC5348" w14:textId="77777777" w:rsidR="00A812FA" w:rsidRPr="00FD62C4" w:rsidRDefault="00A812FA" w:rsidP="00A812FA">
      <w:pPr>
        <w:rPr>
          <w:lang w:eastAsia="ko-KR"/>
        </w:rPr>
      </w:pPr>
      <w:r w:rsidRPr="00FD62C4">
        <w:rPr>
          <w:lang w:eastAsia="ko-KR"/>
        </w:rPr>
        <w:t xml:space="preserve">For these forecasts, time-accumulated data on the required information are needed. For example, in this case, it includes monthly or annual records of the required area, </w:t>
      </w:r>
      <m:oMath>
        <m:r>
          <m:rPr>
            <m:sty m:val="p"/>
          </m:rPr>
          <w:rPr>
            <w:rFonts w:ascii="Cambria Math" w:hAnsi="Cambria Math"/>
          </w:rPr>
          <m:t>Area</m:t>
        </m:r>
        <m:d>
          <m:dPr>
            <m:ctrlPr>
              <w:rPr>
                <w:rFonts w:ascii="Cambria Math" w:hAnsi="Cambria Math"/>
                <w:i/>
              </w:rPr>
            </m:ctrlPr>
          </m:dPr>
          <m:e>
            <m:sSub>
              <m:sSubPr>
                <m:ctrlPr>
                  <w:rPr>
                    <w:rFonts w:ascii="Cambria Math" w:hAnsi="Cambria Math"/>
                    <w:i/>
                  </w:rPr>
                </m:ctrlPr>
              </m:sSubPr>
              <m:e>
                <m:r>
                  <w:rPr>
                    <w:rFonts w:ascii="Cambria Math" w:hAnsi="Cambria Math"/>
                  </w:rPr>
                  <m:t>U</m:t>
                </m:r>
              </m:e>
              <m:sub>
                <m:r>
                  <w:rPr>
                    <w:rFonts w:ascii="Cambria Math" w:hAnsi="Cambria Math"/>
                  </w:rPr>
                  <m:t>su</m:t>
                </m:r>
              </m:sub>
            </m:sSub>
          </m:e>
        </m:d>
      </m:oMath>
      <w:r w:rsidRPr="00FD62C4">
        <w:rPr>
          <w:lang w:eastAsia="ko-KR"/>
        </w:rPr>
        <w:t>, for the service in question, as well as the actual use timeline of the stations.</w:t>
      </w:r>
    </w:p>
    <w:p w14:paraId="3113EA9E" w14:textId="6024C8DF" w:rsidR="00A812FA" w:rsidRPr="00FD62C4" w:rsidRDefault="00A812FA" w:rsidP="00A812FA">
      <w:pPr>
        <w:rPr>
          <w:lang w:eastAsia="ko-KR"/>
        </w:rPr>
      </w:pPr>
      <w:r w:rsidRPr="00FD62C4">
        <w:rPr>
          <w:lang w:eastAsia="ko-KR"/>
        </w:rPr>
        <w:t xml:space="preserve">After gathering time-accumulated data, forecasting methodologies from fields such as mathematics, statistics, and machine learning can then be utilized, as mentioned in </w:t>
      </w:r>
      <w:r w:rsidR="00B22D03" w:rsidRPr="00FD62C4">
        <w:rPr>
          <w:lang w:eastAsia="ko-KR"/>
        </w:rPr>
        <w:t>§</w:t>
      </w:r>
      <w:r w:rsidRPr="00FD62C4">
        <w:rPr>
          <w:lang w:eastAsia="ko-KR"/>
        </w:rPr>
        <w:t xml:space="preserve"> </w:t>
      </w:r>
      <w:r w:rsidRPr="00FD62C4">
        <w:t>A1</w:t>
      </w:r>
      <w:r w:rsidR="00EA4524" w:rsidRPr="00FD62C4">
        <w:t>.</w:t>
      </w:r>
      <w:r w:rsidRPr="00FD62C4">
        <w:rPr>
          <w:lang w:eastAsia="ko-KR"/>
        </w:rPr>
        <w:t>3.1.2.</w:t>
      </w:r>
    </w:p>
    <w:p w14:paraId="641C73CE" w14:textId="77777777" w:rsidR="00A812FA" w:rsidRPr="00FD62C4" w:rsidRDefault="00A812FA" w:rsidP="00A812FA">
      <w:pPr>
        <w:rPr>
          <w:lang w:eastAsia="ko-KR"/>
        </w:rPr>
      </w:pPr>
      <w:r w:rsidRPr="00FD62C4">
        <w:rPr>
          <w:lang w:eastAsia="zh-CN"/>
        </w:rPr>
        <w:t>Additionally, some information can be predicted based on the projected timelines related to specific plans. For instance, in this case, primary user’s station details and the presence of the spectrum-sharing system</w:t>
      </w:r>
      <w:r w:rsidRPr="00FD62C4">
        <w:rPr>
          <w:lang w:eastAsia="ko-KR"/>
        </w:rPr>
        <w:t xml:space="preserve"> can be predicted using the projected timeline associated with</w:t>
      </w:r>
      <w:r w:rsidRPr="00FD62C4">
        <w:rPr>
          <w:lang w:eastAsia="zh-CN"/>
        </w:rPr>
        <w:t xml:space="preserve"> the Administration’s spectrum assignment plan, the primary user’s station operation plan, and technological developments for the spectrum-sharing system</w:t>
      </w:r>
      <w:r w:rsidRPr="00FD62C4">
        <w:rPr>
          <w:lang w:eastAsia="ko-KR"/>
        </w:rPr>
        <w:t>.</w:t>
      </w:r>
    </w:p>
    <w:p w14:paraId="32939FD2" w14:textId="74936903" w:rsidR="00A812FA" w:rsidRPr="00FD62C4" w:rsidRDefault="00A812FA" w:rsidP="00F91225">
      <w:pPr>
        <w:pStyle w:val="Heading3"/>
      </w:pPr>
      <w:bookmarkStart w:id="100" w:name="_Toc106624179"/>
      <w:bookmarkStart w:id="101" w:name="_Toc137196266"/>
      <w:bookmarkStart w:id="102" w:name="_Toc167886257"/>
      <w:bookmarkStart w:id="103" w:name="_Toc232493291"/>
      <w:bookmarkStart w:id="104" w:name="_Toc235620218"/>
      <w:r w:rsidRPr="00FD62C4">
        <w:t>A1</w:t>
      </w:r>
      <w:r w:rsidR="00EA4524" w:rsidRPr="00FD62C4">
        <w:t>.</w:t>
      </w:r>
      <w:r w:rsidRPr="00FD62C4">
        <w:t>3.3</w:t>
      </w:r>
      <w:r w:rsidRPr="00FD62C4">
        <w:tab/>
        <w:t>Shared use of unlicensed spectrum</w:t>
      </w:r>
      <w:bookmarkEnd w:id="100"/>
      <w:bookmarkEnd w:id="101"/>
      <w:bookmarkEnd w:id="102"/>
      <w:bookmarkEnd w:id="103"/>
      <w:bookmarkEnd w:id="104"/>
    </w:p>
    <w:p w14:paraId="64670A09" w14:textId="283911FD" w:rsidR="00A812FA" w:rsidRPr="00FD62C4" w:rsidRDefault="00A812FA" w:rsidP="00A812FA">
      <w:pPr>
        <w:rPr>
          <w:lang w:eastAsia="ko-KR"/>
        </w:rPr>
      </w:pPr>
      <w:r w:rsidRPr="00FD62C4">
        <w:rPr>
          <w:lang w:eastAsia="ko-KR"/>
        </w:rPr>
        <w:t xml:space="preserve">This </w:t>
      </w:r>
      <w:r w:rsidR="00FB0493" w:rsidRPr="00FD62C4">
        <w:rPr>
          <w:lang w:eastAsia="ko-KR"/>
        </w:rPr>
        <w:t>sub-</w:t>
      </w:r>
      <w:r w:rsidRPr="00FD62C4">
        <w:rPr>
          <w:lang w:eastAsia="ko-KR"/>
        </w:rPr>
        <w:t>section presents an abridged methodology and the required information for assessing or predicting the availability of unlicensed spectrum for a spectrum sharer. In the following, the spectrum sharer in question is referred to as the “victim”, and the other spectrum sharers are referred to as “interferers”.</w:t>
      </w:r>
    </w:p>
    <w:p w14:paraId="5FF8F7CC" w14:textId="61CB2CAC" w:rsidR="00A812FA" w:rsidRPr="00FD62C4" w:rsidRDefault="00A812FA" w:rsidP="00F91225">
      <w:pPr>
        <w:pStyle w:val="Heading4"/>
      </w:pPr>
      <w:bookmarkStart w:id="105" w:name="_Toc176778728"/>
      <w:r w:rsidRPr="00FD62C4">
        <w:t>A1</w:t>
      </w:r>
      <w:r w:rsidR="00EA4524" w:rsidRPr="00FD62C4">
        <w:t>.</w:t>
      </w:r>
      <w:r w:rsidRPr="00FD62C4">
        <w:t>3.3.1</w:t>
      </w:r>
      <w:r w:rsidRPr="00FD62C4">
        <w:tab/>
        <w:t>Required information</w:t>
      </w:r>
      <w:bookmarkEnd w:id="105"/>
    </w:p>
    <w:p w14:paraId="6D4748F7" w14:textId="77777777" w:rsidR="00A812FA" w:rsidRPr="00FD62C4" w:rsidRDefault="00A812FA" w:rsidP="00A812FA">
      <w:pPr>
        <w:rPr>
          <w:lang w:eastAsia="ko-KR"/>
        </w:rPr>
      </w:pPr>
      <w:r w:rsidRPr="00FD62C4">
        <w:rPr>
          <w:lang w:eastAsia="ko-KR"/>
        </w:rPr>
        <w:t xml:space="preserve">The general steps and required information for assessing spectrum availability in the context of “shared use of unlicensed spectrum” are shown in Table </w:t>
      </w:r>
      <w:r w:rsidRPr="00FD62C4">
        <w:t>A1-</w:t>
      </w:r>
      <w:r w:rsidRPr="00FD62C4">
        <w:rPr>
          <w:lang w:eastAsia="ko-KR"/>
        </w:rPr>
        <w:t>3. To predict spectrum availability, time</w:t>
      </w:r>
      <w:r w:rsidRPr="00FD62C4">
        <w:rPr>
          <w:lang w:eastAsia="ko-KR"/>
        </w:rPr>
        <w:noBreakHyphen/>
        <w:t xml:space="preserve">accumulated data, such as monthly or annual records of the information in Table </w:t>
      </w:r>
      <w:r w:rsidRPr="00FD62C4">
        <w:t>A1-</w:t>
      </w:r>
      <w:r w:rsidRPr="00FD62C4">
        <w:rPr>
          <w:lang w:eastAsia="ko-KR"/>
        </w:rPr>
        <w:t>3, along with projected timelines for technological developments related to spectrum sharers. It should be noted that the required information may vary depending on the specific assessment methodology used.</w:t>
      </w:r>
    </w:p>
    <w:p w14:paraId="62C70F3C" w14:textId="77777777" w:rsidR="00A812FA" w:rsidRPr="00FD62C4" w:rsidRDefault="00A812FA" w:rsidP="00A812FA">
      <w:pPr>
        <w:pStyle w:val="TableNo"/>
      </w:pPr>
      <w:r w:rsidRPr="00FD62C4">
        <w:t>TABLE A1-3</w:t>
      </w:r>
    </w:p>
    <w:p w14:paraId="09A05308" w14:textId="77777777" w:rsidR="00A812FA" w:rsidRPr="00FD62C4" w:rsidRDefault="00A812FA" w:rsidP="00A812FA">
      <w:pPr>
        <w:pStyle w:val="Tabletitle"/>
      </w:pPr>
      <w:r w:rsidRPr="00FD62C4">
        <w:t xml:space="preserve">Required information for the </w:t>
      </w:r>
      <w:r w:rsidRPr="00FD62C4">
        <w:rPr>
          <w:rFonts w:cs="Times New Roman Bold"/>
        </w:rPr>
        <w:t>“</w:t>
      </w:r>
      <w:r w:rsidRPr="00FD62C4">
        <w:t>shared use of unlicensed spectrum</w:t>
      </w:r>
      <w:r w:rsidRPr="00FD62C4">
        <w:rPr>
          <w:rFonts w:cs="Times New Roman Bold"/>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4A0" w:firstRow="1" w:lastRow="0" w:firstColumn="1" w:lastColumn="0" w:noHBand="0" w:noVBand="1"/>
      </w:tblPr>
      <w:tblGrid>
        <w:gridCol w:w="2405"/>
        <w:gridCol w:w="7088"/>
      </w:tblGrid>
      <w:tr w:rsidR="00A812FA" w:rsidRPr="00FD62C4" w14:paraId="5A5A1F7E" w14:textId="77777777" w:rsidTr="00A70780">
        <w:trPr>
          <w:tblHeader/>
          <w:jc w:val="center"/>
        </w:trPr>
        <w:tc>
          <w:tcPr>
            <w:tcW w:w="2405" w:type="dxa"/>
            <w:tcBorders>
              <w:top w:val="single" w:sz="4" w:space="0" w:color="auto"/>
              <w:left w:val="single" w:sz="4" w:space="0" w:color="auto"/>
              <w:bottom w:val="single" w:sz="4" w:space="0" w:color="auto"/>
              <w:right w:val="single" w:sz="4" w:space="0" w:color="auto"/>
            </w:tcBorders>
            <w:hideMark/>
          </w:tcPr>
          <w:p w14:paraId="669E1266" w14:textId="77777777" w:rsidR="00A812FA" w:rsidRPr="00FD62C4" w:rsidRDefault="00A812FA" w:rsidP="00C17884">
            <w:pPr>
              <w:pStyle w:val="Tablehead"/>
            </w:pPr>
            <w:r w:rsidRPr="00FD62C4">
              <w:t>Step</w:t>
            </w:r>
          </w:p>
        </w:tc>
        <w:tc>
          <w:tcPr>
            <w:tcW w:w="7088" w:type="dxa"/>
            <w:tcBorders>
              <w:top w:val="single" w:sz="4" w:space="0" w:color="auto"/>
              <w:left w:val="single" w:sz="4" w:space="0" w:color="auto"/>
              <w:bottom w:val="single" w:sz="4" w:space="0" w:color="auto"/>
              <w:right w:val="single" w:sz="4" w:space="0" w:color="auto"/>
            </w:tcBorders>
            <w:hideMark/>
          </w:tcPr>
          <w:p w14:paraId="5934D19B" w14:textId="77777777" w:rsidR="00A812FA" w:rsidRPr="00FD62C4" w:rsidRDefault="00A812FA" w:rsidP="00C17884">
            <w:pPr>
              <w:pStyle w:val="Tablehead"/>
              <w:rPr>
                <w:lang w:eastAsia="ko-KR"/>
              </w:rPr>
            </w:pPr>
            <w:r w:rsidRPr="00FD62C4">
              <w:rPr>
                <w:lang w:eastAsia="ko-KR"/>
              </w:rPr>
              <w:t>Required information</w:t>
            </w:r>
          </w:p>
        </w:tc>
      </w:tr>
      <w:tr w:rsidR="00A812FA" w:rsidRPr="00FD62C4" w14:paraId="5E7A412A" w14:textId="77777777" w:rsidTr="00A70780">
        <w:trPr>
          <w:trHeight w:val="788"/>
          <w:jc w:val="center"/>
        </w:trPr>
        <w:tc>
          <w:tcPr>
            <w:tcW w:w="2405" w:type="dxa"/>
            <w:tcBorders>
              <w:top w:val="single" w:sz="4" w:space="0" w:color="auto"/>
              <w:left w:val="single" w:sz="4" w:space="0" w:color="auto"/>
              <w:right w:val="single" w:sz="4" w:space="0" w:color="auto"/>
            </w:tcBorders>
            <w:hideMark/>
          </w:tcPr>
          <w:p w14:paraId="4E770C19" w14:textId="77777777" w:rsidR="00A812FA" w:rsidRPr="00FD62C4" w:rsidRDefault="00A812FA" w:rsidP="00A70780">
            <w:pPr>
              <w:pStyle w:val="Tabletext"/>
            </w:pPr>
            <w:r w:rsidRPr="00FD62C4">
              <w:t>Quantification of frequency domain potential</w:t>
            </w:r>
          </w:p>
        </w:tc>
        <w:tc>
          <w:tcPr>
            <w:tcW w:w="7088" w:type="dxa"/>
            <w:tcBorders>
              <w:top w:val="single" w:sz="4" w:space="0" w:color="auto"/>
              <w:left w:val="single" w:sz="4" w:space="0" w:color="auto"/>
              <w:right w:val="single" w:sz="4" w:space="0" w:color="auto"/>
            </w:tcBorders>
            <w:hideMark/>
          </w:tcPr>
          <w:p w14:paraId="4818076E" w14:textId="60847EA5" w:rsidR="00A812FA" w:rsidRPr="00FD62C4" w:rsidRDefault="00A812FA" w:rsidP="00A70780">
            <w:pPr>
              <w:pStyle w:val="Tabletext"/>
              <w:rPr>
                <w:lang w:eastAsia="ko-KR"/>
              </w:rPr>
            </w:pPr>
            <w:r w:rsidRPr="00FD62C4">
              <w:rPr>
                <w:lang w:eastAsia="ko-KR"/>
              </w:rPr>
              <w:t>–</w:t>
            </w:r>
            <w:r w:rsidRPr="00FD62C4">
              <w:rPr>
                <w:lang w:eastAsia="ko-KR"/>
              </w:rPr>
              <w:tab/>
            </w:r>
            <w:r w:rsidR="00A90105" w:rsidRPr="00FD62C4">
              <w:rPr>
                <w:lang w:eastAsia="ko-KR"/>
              </w:rPr>
              <w:t xml:space="preserve">Bandwidth </w:t>
            </w:r>
            <m:oMath>
              <m:r>
                <w:rPr>
                  <w:rFonts w:ascii="Cambria Math" w:hAnsi="Cambria Math"/>
                  <w:lang w:eastAsia="ko-KR"/>
                </w:rPr>
                <m:t>B</m:t>
              </m:r>
            </m:oMath>
            <w:r w:rsidRPr="00FD62C4">
              <w:rPr>
                <w:lang w:eastAsia="ko-KR"/>
              </w:rPr>
              <w:t xml:space="preserve"> (in Hz) of the frequency band, and</w:t>
            </w:r>
          </w:p>
          <w:p w14:paraId="5CE1D376" w14:textId="1AEEF75C" w:rsidR="00A812FA" w:rsidRPr="00FD62C4" w:rsidRDefault="00A812FA" w:rsidP="00C17884">
            <w:pPr>
              <w:pStyle w:val="Tabletext"/>
              <w:ind w:left="284" w:hanging="284"/>
              <w:rPr>
                <w:lang w:eastAsia="ko-KR"/>
              </w:rPr>
            </w:pPr>
            <w:r w:rsidRPr="00FD62C4">
              <w:rPr>
                <w:lang w:eastAsia="ko-KR"/>
              </w:rPr>
              <w:t>–</w:t>
            </w:r>
            <w:r w:rsidRPr="00FD62C4">
              <w:rPr>
                <w:lang w:eastAsia="ko-KR"/>
              </w:rPr>
              <w:tab/>
            </w:r>
            <w:r w:rsidR="00A90105" w:rsidRPr="00FD62C4">
              <w:rPr>
                <w:lang w:eastAsia="ko-KR"/>
              </w:rPr>
              <w:t xml:space="preserve">Width </w:t>
            </w:r>
            <m:oMath>
              <m:sSub>
                <m:sSubPr>
                  <m:ctrlPr>
                    <w:rPr>
                      <w:rFonts w:ascii="Cambria Math" w:hAnsi="Cambria Math"/>
                      <w:i/>
                      <w:lang w:eastAsia="ko-KR"/>
                    </w:rPr>
                  </m:ctrlPr>
                </m:sSubPr>
                <m:e>
                  <m:r>
                    <w:rPr>
                      <w:rFonts w:ascii="Cambria Math" w:hAnsi="Cambria Math"/>
                      <w:lang w:eastAsia="ko-KR"/>
                    </w:rPr>
                    <m:t>B</m:t>
                  </m:r>
                </m:e>
                <m:sub>
                  <m:r>
                    <w:rPr>
                      <w:rFonts w:ascii="Cambria Math" w:hAnsi="Cambria Math"/>
                      <w:lang w:eastAsia="ko-KR"/>
                    </w:rPr>
                    <m:t>(s)</m:t>
                  </m:r>
                </m:sub>
              </m:sSub>
            </m:oMath>
            <w:r w:rsidRPr="00FD62C4">
              <w:rPr>
                <w:lang w:eastAsia="ko-KR"/>
              </w:rPr>
              <w:t xml:space="preserve"> (in Hz) of the channel occupied by the transmitter for interferer</w:t>
            </w:r>
            <w:r w:rsidR="00C17884">
              <w:rPr>
                <w:lang w:eastAsia="ko-KR"/>
              </w:rPr>
              <w:t> </w:t>
            </w:r>
            <m:oMath>
              <m:r>
                <w:rPr>
                  <w:rFonts w:ascii="Cambria Math" w:hAnsi="Cambria Math"/>
                  <w:lang w:eastAsia="ko-KR"/>
                </w:rPr>
                <m:t>s</m:t>
              </m:r>
            </m:oMath>
            <w:r w:rsidRPr="00FD62C4">
              <w:rPr>
                <w:lang w:eastAsia="ko-KR"/>
              </w:rPr>
              <w:t>.</w:t>
            </w:r>
          </w:p>
        </w:tc>
      </w:tr>
      <w:tr w:rsidR="00A812FA" w:rsidRPr="00FD62C4" w14:paraId="72799161" w14:textId="77777777" w:rsidTr="00A70780">
        <w:trPr>
          <w:jc w:val="center"/>
        </w:trPr>
        <w:tc>
          <w:tcPr>
            <w:tcW w:w="2405" w:type="dxa"/>
            <w:tcBorders>
              <w:top w:val="single" w:sz="4" w:space="0" w:color="auto"/>
              <w:left w:val="single" w:sz="4" w:space="0" w:color="auto"/>
              <w:bottom w:val="single" w:sz="4" w:space="0" w:color="auto"/>
              <w:right w:val="single" w:sz="4" w:space="0" w:color="auto"/>
            </w:tcBorders>
          </w:tcPr>
          <w:p w14:paraId="1322C64C" w14:textId="77777777" w:rsidR="00A812FA" w:rsidRPr="00FD62C4" w:rsidRDefault="00A812FA" w:rsidP="00A70780">
            <w:pPr>
              <w:pStyle w:val="Tabletext"/>
              <w:rPr>
                <w:lang w:eastAsia="ko-KR"/>
              </w:rPr>
            </w:pPr>
            <w:r w:rsidRPr="00FD62C4">
              <w:t>Quantification of temporal domain potential</w:t>
            </w:r>
          </w:p>
        </w:tc>
        <w:tc>
          <w:tcPr>
            <w:tcW w:w="7088" w:type="dxa"/>
            <w:tcBorders>
              <w:top w:val="single" w:sz="4" w:space="0" w:color="auto"/>
              <w:left w:val="single" w:sz="4" w:space="0" w:color="auto"/>
              <w:bottom w:val="single" w:sz="4" w:space="0" w:color="auto"/>
              <w:right w:val="single" w:sz="4" w:space="0" w:color="auto"/>
            </w:tcBorders>
          </w:tcPr>
          <w:p w14:paraId="381E0383" w14:textId="7CB798CB" w:rsidR="00A812FA" w:rsidRPr="00FD62C4" w:rsidRDefault="00A812FA" w:rsidP="00A70780">
            <w:pPr>
              <w:pStyle w:val="Tabletext"/>
              <w:rPr>
                <w:lang w:eastAsia="ko-KR"/>
              </w:rPr>
            </w:pPr>
            <w:r w:rsidRPr="00FD62C4">
              <w:rPr>
                <w:lang w:eastAsia="ko-KR"/>
              </w:rPr>
              <w:t>–</w:t>
            </w:r>
            <w:r w:rsidRPr="00FD62C4">
              <w:rPr>
                <w:lang w:eastAsia="ko-KR"/>
              </w:rPr>
              <w:tab/>
            </w:r>
            <w:r w:rsidR="00A90105" w:rsidRPr="00FD62C4">
              <w:rPr>
                <w:lang w:eastAsia="ko-KR"/>
              </w:rPr>
              <w:t xml:space="preserve">Duty </w:t>
            </w:r>
            <w:r w:rsidRPr="00FD62C4">
              <w:rPr>
                <w:lang w:eastAsia="ko-KR"/>
              </w:rPr>
              <w:t xml:space="preserve">cycle </w:t>
            </w:r>
            <m:oMath>
              <m:sSub>
                <m:sSubPr>
                  <m:ctrlPr>
                    <w:rPr>
                      <w:rFonts w:ascii="Cambria Math" w:hAnsi="Cambria Math"/>
                      <w:i/>
                      <w:lang w:eastAsia="ko-KR"/>
                    </w:rPr>
                  </m:ctrlPr>
                </m:sSubPr>
                <m:e>
                  <m:r>
                    <w:rPr>
                      <w:rFonts w:ascii="Cambria Math" w:hAnsi="Cambria Math"/>
                      <w:lang w:eastAsia="ko-KR"/>
                    </w:rPr>
                    <m:t>DC</m:t>
                  </m:r>
                </m:e>
                <m:sub>
                  <m:r>
                    <w:rPr>
                      <w:rFonts w:ascii="Cambria Math" w:hAnsi="Cambria Math"/>
                      <w:lang w:eastAsia="ko-KR"/>
                    </w:rPr>
                    <m:t>(s)</m:t>
                  </m:r>
                </m:sub>
              </m:sSub>
            </m:oMath>
            <w:r w:rsidRPr="00FD62C4">
              <w:rPr>
                <w:lang w:eastAsia="ko-KR"/>
              </w:rPr>
              <w:t xml:space="preserve"> (in percent) of interferer </w:t>
            </w:r>
            <m:oMath>
              <m:r>
                <w:rPr>
                  <w:rFonts w:ascii="Cambria Math" w:hAnsi="Cambria Math"/>
                  <w:lang w:eastAsia="ko-KR"/>
                </w:rPr>
                <m:t>s</m:t>
              </m:r>
            </m:oMath>
            <w:r w:rsidRPr="00FD62C4">
              <w:rPr>
                <w:lang w:eastAsia="ko-KR"/>
              </w:rPr>
              <w:t>.</w:t>
            </w:r>
          </w:p>
        </w:tc>
      </w:tr>
    </w:tbl>
    <w:p w14:paraId="0ED77F46" w14:textId="6E98E7AB" w:rsidR="00C17884" w:rsidRPr="00FD62C4" w:rsidRDefault="00C17884" w:rsidP="00C17884">
      <w:pPr>
        <w:pStyle w:val="TableNo"/>
        <w:keepLines/>
      </w:pPr>
      <w:r w:rsidRPr="00FD62C4">
        <w:lastRenderedPageBreak/>
        <w:t>TABLE A1-3</w:t>
      </w:r>
      <w:r>
        <w:t xml:space="preserve"> (</w:t>
      </w:r>
      <w:r w:rsidRPr="00C17884">
        <w:rPr>
          <w:i/>
          <w:iCs/>
        </w:rPr>
        <w:t>end</w:t>
      </w:r>
      <w: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4A0" w:firstRow="1" w:lastRow="0" w:firstColumn="1" w:lastColumn="0" w:noHBand="0" w:noVBand="1"/>
      </w:tblPr>
      <w:tblGrid>
        <w:gridCol w:w="2405"/>
        <w:gridCol w:w="7088"/>
      </w:tblGrid>
      <w:tr w:rsidR="00C17884" w:rsidRPr="00FD62C4" w14:paraId="1BC8BBF6" w14:textId="77777777" w:rsidTr="008C18E6">
        <w:trPr>
          <w:tblHeader/>
          <w:jc w:val="center"/>
        </w:trPr>
        <w:tc>
          <w:tcPr>
            <w:tcW w:w="2405" w:type="dxa"/>
            <w:tcBorders>
              <w:top w:val="single" w:sz="4" w:space="0" w:color="auto"/>
              <w:left w:val="single" w:sz="4" w:space="0" w:color="auto"/>
              <w:bottom w:val="single" w:sz="4" w:space="0" w:color="auto"/>
              <w:right w:val="single" w:sz="4" w:space="0" w:color="auto"/>
            </w:tcBorders>
            <w:hideMark/>
          </w:tcPr>
          <w:p w14:paraId="7C3A490A" w14:textId="77777777" w:rsidR="00C17884" w:rsidRPr="00FD62C4" w:rsidRDefault="00C17884" w:rsidP="00C17884">
            <w:pPr>
              <w:pStyle w:val="Tablehead"/>
              <w:keepLines/>
            </w:pPr>
            <w:r w:rsidRPr="00FD62C4">
              <w:t>Step</w:t>
            </w:r>
          </w:p>
        </w:tc>
        <w:tc>
          <w:tcPr>
            <w:tcW w:w="7088" w:type="dxa"/>
            <w:tcBorders>
              <w:top w:val="single" w:sz="4" w:space="0" w:color="auto"/>
              <w:left w:val="single" w:sz="4" w:space="0" w:color="auto"/>
              <w:bottom w:val="single" w:sz="4" w:space="0" w:color="auto"/>
              <w:right w:val="single" w:sz="4" w:space="0" w:color="auto"/>
            </w:tcBorders>
            <w:hideMark/>
          </w:tcPr>
          <w:p w14:paraId="6310EFB4" w14:textId="77777777" w:rsidR="00C17884" w:rsidRPr="00FD62C4" w:rsidRDefault="00C17884" w:rsidP="00C17884">
            <w:pPr>
              <w:pStyle w:val="Tablehead"/>
              <w:keepLines/>
              <w:rPr>
                <w:lang w:eastAsia="ko-KR"/>
              </w:rPr>
            </w:pPr>
            <w:r w:rsidRPr="00FD62C4">
              <w:rPr>
                <w:lang w:eastAsia="ko-KR"/>
              </w:rPr>
              <w:t>Required information</w:t>
            </w:r>
          </w:p>
        </w:tc>
      </w:tr>
      <w:tr w:rsidR="00A812FA" w:rsidRPr="00FD62C4" w14:paraId="67A0F5CE" w14:textId="77777777" w:rsidTr="00C17884">
        <w:trPr>
          <w:trHeight w:val="558"/>
          <w:jc w:val="center"/>
        </w:trPr>
        <w:tc>
          <w:tcPr>
            <w:tcW w:w="2405" w:type="dxa"/>
            <w:tcBorders>
              <w:top w:val="single" w:sz="4" w:space="0" w:color="auto"/>
              <w:left w:val="single" w:sz="4" w:space="0" w:color="auto"/>
              <w:right w:val="single" w:sz="4" w:space="0" w:color="auto"/>
            </w:tcBorders>
          </w:tcPr>
          <w:p w14:paraId="3CCB1972" w14:textId="77777777" w:rsidR="00A812FA" w:rsidRPr="00FD62C4" w:rsidRDefault="00A812FA" w:rsidP="00C17884">
            <w:pPr>
              <w:pStyle w:val="Tabletext"/>
              <w:keepNext/>
              <w:keepLines/>
            </w:pPr>
            <w:r w:rsidRPr="00FD62C4">
              <w:t>Quantification of geographical domain potential</w:t>
            </w:r>
          </w:p>
        </w:tc>
        <w:tc>
          <w:tcPr>
            <w:tcW w:w="7088" w:type="dxa"/>
            <w:tcBorders>
              <w:top w:val="single" w:sz="4" w:space="0" w:color="auto"/>
              <w:left w:val="single" w:sz="4" w:space="0" w:color="auto"/>
              <w:right w:val="single" w:sz="4" w:space="0" w:color="auto"/>
            </w:tcBorders>
          </w:tcPr>
          <w:p w14:paraId="569BF0C5" w14:textId="4EAD59A3" w:rsidR="00A812FA" w:rsidRPr="00FD62C4" w:rsidRDefault="00A812FA" w:rsidP="00C17884">
            <w:pPr>
              <w:pStyle w:val="Tabletext"/>
              <w:keepNext/>
              <w:keepLines/>
              <w:ind w:left="284" w:hanging="284"/>
            </w:pPr>
            <w:r w:rsidRPr="00FD62C4">
              <w:rPr>
                <w:lang w:eastAsia="ko-KR"/>
              </w:rPr>
              <w:t>–</w:t>
            </w:r>
            <w:r w:rsidRPr="00FD62C4">
              <w:rPr>
                <w:lang w:eastAsia="ko-KR"/>
              </w:rPr>
              <w:tab/>
            </w:r>
            <w:r w:rsidR="00A90105" w:rsidRPr="00FD62C4">
              <w:t xml:space="preserve">Pathloss </w:t>
            </w:r>
            <w:r w:rsidRPr="00FD62C4">
              <w:t xml:space="preserve">function </w:t>
            </w:r>
            <m:oMath>
              <m:r>
                <w:rPr>
                  <w:rFonts w:ascii="Cambria Math" w:hAnsi="Cambria Math"/>
                  <w:lang w:eastAsia="ko-KR"/>
                </w:rPr>
                <m:t>P</m:t>
              </m:r>
              <m:sSub>
                <m:sSubPr>
                  <m:ctrlPr>
                    <w:rPr>
                      <w:rFonts w:ascii="Cambria Math" w:hAnsi="Cambria Math"/>
                      <w:i/>
                      <w:lang w:eastAsia="ko-KR"/>
                    </w:rPr>
                  </m:ctrlPr>
                </m:sSubPr>
                <m:e>
                  <m:r>
                    <w:rPr>
                      <w:rFonts w:ascii="Cambria Math" w:hAnsi="Cambria Math"/>
                      <w:lang w:eastAsia="ko-KR"/>
                    </w:rPr>
                    <m:t>L</m:t>
                  </m:r>
                </m:e>
                <m:sub>
                  <m:d>
                    <m:dPr>
                      <m:ctrlPr>
                        <w:rPr>
                          <w:rFonts w:ascii="Cambria Math" w:hAnsi="Cambria Math"/>
                          <w:i/>
                          <w:lang w:eastAsia="ko-KR"/>
                        </w:rPr>
                      </m:ctrlPr>
                    </m:dPr>
                    <m:e>
                      <m:r>
                        <w:rPr>
                          <w:rFonts w:ascii="Cambria Math" w:hAnsi="Cambria Math"/>
                          <w:lang w:eastAsia="ko-KR"/>
                        </w:rPr>
                        <m:t>s</m:t>
                      </m:r>
                    </m:e>
                  </m:d>
                </m:sub>
              </m:sSub>
              <m:r>
                <w:rPr>
                  <w:rFonts w:ascii="Cambria Math" w:hAnsi="Cambria Math"/>
                  <w:lang w:eastAsia="ko-KR"/>
                </w:rPr>
                <m:t>(∙)</m:t>
              </m:r>
            </m:oMath>
            <w:r w:rsidRPr="00FD62C4">
              <w:t xml:space="preserve"> (in dB) for the </w:t>
            </w:r>
            <w:r w:rsidRPr="00FD62C4">
              <w:rPr>
                <w:lang w:eastAsia="ko-KR"/>
              </w:rPr>
              <w:t>transmitter</w:t>
            </w:r>
            <w:r w:rsidRPr="00FD62C4">
              <w:t xml:space="preserve"> signal</w:t>
            </w:r>
            <w:r w:rsidRPr="00FD62C4">
              <w:rPr>
                <w:lang w:eastAsia="ko-KR"/>
              </w:rPr>
              <w:t xml:space="preserve"> for interferer</w:t>
            </w:r>
            <w:r w:rsidR="00C17884">
              <w:rPr>
                <w:lang w:eastAsia="ko-KR"/>
              </w:rPr>
              <w:t> </w:t>
            </w:r>
            <m:oMath>
              <m:r>
                <w:rPr>
                  <w:rFonts w:ascii="Cambria Math" w:hAnsi="Cambria Math"/>
                  <w:lang w:eastAsia="ko-KR"/>
                </w:rPr>
                <m:t>s</m:t>
              </m:r>
            </m:oMath>
            <w:r w:rsidRPr="00FD62C4">
              <w:rPr>
                <w:lang w:eastAsia="ko-KR"/>
              </w:rPr>
              <w:t>,</w:t>
            </w:r>
          </w:p>
          <w:p w14:paraId="3770A4E9" w14:textId="35AB9986" w:rsidR="00A812FA" w:rsidRPr="00FD62C4" w:rsidRDefault="00A812FA" w:rsidP="00C17884">
            <w:pPr>
              <w:pStyle w:val="Tabletext"/>
              <w:keepNext/>
              <w:keepLines/>
              <w:ind w:left="284" w:hanging="284"/>
            </w:pPr>
            <w:r w:rsidRPr="00FD62C4">
              <w:rPr>
                <w:lang w:eastAsia="ko-KR"/>
              </w:rPr>
              <w:t>–</w:t>
            </w:r>
            <w:r w:rsidRPr="00FD62C4">
              <w:rPr>
                <w:lang w:eastAsia="ko-KR"/>
              </w:rPr>
              <w:tab/>
            </w:r>
            <w:r w:rsidR="00A90105" w:rsidRPr="00FD62C4">
              <w:t xml:space="preserve">Transmitter </w:t>
            </w:r>
            <w:r w:rsidRPr="00FD62C4">
              <w:rPr>
                <w:lang w:eastAsia="ko-KR"/>
              </w:rPr>
              <w:t>equivalent</w:t>
            </w:r>
            <w:r w:rsidRPr="00FD62C4">
              <w:t xml:space="preserve"> isotropic radiated power </w:t>
            </w:r>
            <m:oMath>
              <m:r>
                <w:rPr>
                  <w:rFonts w:ascii="Cambria Math" w:hAnsi="Cambria Math"/>
                </w:rPr>
                <m:t>EIR</m:t>
              </m:r>
              <m:sSub>
                <m:sSubPr>
                  <m:ctrlPr>
                    <w:rPr>
                      <w:rFonts w:ascii="Cambria Math" w:hAnsi="Cambria Math"/>
                      <w:i/>
                    </w:rPr>
                  </m:ctrlPr>
                </m:sSubPr>
                <m:e>
                  <m:r>
                    <w:rPr>
                      <w:rFonts w:ascii="Cambria Math" w:hAnsi="Cambria Math"/>
                    </w:rPr>
                    <m:t>P</m:t>
                  </m:r>
                </m:e>
                <m:sub>
                  <m:r>
                    <w:rPr>
                      <w:rFonts w:ascii="Cambria Math" w:hAnsi="Cambria Math"/>
                    </w:rPr>
                    <m:t>(s)</m:t>
                  </m:r>
                </m:sub>
              </m:sSub>
            </m:oMath>
            <w:r w:rsidRPr="00FD62C4">
              <w:t xml:space="preserve"> (in dBm) </w:t>
            </w:r>
            <w:r w:rsidRPr="00FD62C4">
              <w:rPr>
                <w:lang w:eastAsia="ko-KR"/>
              </w:rPr>
              <w:t xml:space="preserve">for interferer </w:t>
            </w:r>
            <m:oMath>
              <m:r>
                <w:rPr>
                  <w:rFonts w:ascii="Cambria Math" w:hAnsi="Cambria Math"/>
                  <w:lang w:eastAsia="ko-KR"/>
                </w:rPr>
                <m:t>s</m:t>
              </m:r>
            </m:oMath>
            <w:r w:rsidRPr="00FD62C4">
              <w:rPr>
                <w:lang w:eastAsia="ko-KR"/>
              </w:rPr>
              <w:t>,</w:t>
            </w:r>
          </w:p>
          <w:p w14:paraId="77735555" w14:textId="0608AF4F" w:rsidR="00A812FA" w:rsidRPr="00FD62C4" w:rsidRDefault="00A812FA" w:rsidP="00C17884">
            <w:pPr>
              <w:pStyle w:val="Tabletext"/>
              <w:keepNext/>
              <w:keepLines/>
              <w:ind w:left="284" w:hanging="284"/>
              <w:rPr>
                <w:lang w:eastAsia="ko-KR"/>
              </w:rPr>
            </w:pPr>
            <w:r w:rsidRPr="00FD62C4">
              <w:rPr>
                <w:lang w:eastAsia="ko-KR"/>
              </w:rPr>
              <w:t>–</w:t>
            </w:r>
            <w:r w:rsidRPr="00FD62C4">
              <w:rPr>
                <w:lang w:eastAsia="ko-KR"/>
              </w:rPr>
              <w:tab/>
            </w:r>
            <w:r w:rsidR="00A90105" w:rsidRPr="00FD62C4">
              <w:rPr>
                <w:lang w:eastAsia="ko-KR"/>
              </w:rPr>
              <w:t xml:space="preserve">Width </w:t>
            </w:r>
            <m:oMath>
              <m:sSub>
                <m:sSubPr>
                  <m:ctrlPr>
                    <w:rPr>
                      <w:rFonts w:ascii="Cambria Math" w:hAnsi="Cambria Math"/>
                      <w:i/>
                      <w:lang w:eastAsia="ko-KR"/>
                    </w:rPr>
                  </m:ctrlPr>
                </m:sSubPr>
                <m:e>
                  <m:r>
                    <w:rPr>
                      <w:rFonts w:ascii="Cambria Math" w:hAnsi="Cambria Math"/>
                      <w:lang w:eastAsia="ko-KR"/>
                    </w:rPr>
                    <m:t>B</m:t>
                  </m:r>
                </m:e>
                <m:sub>
                  <m:r>
                    <w:rPr>
                      <w:rFonts w:ascii="Cambria Math" w:hAnsi="Cambria Math"/>
                      <w:lang w:eastAsia="ko-KR"/>
                    </w:rPr>
                    <m:t>(s)</m:t>
                  </m:r>
                </m:sub>
              </m:sSub>
            </m:oMath>
            <w:r w:rsidRPr="00FD62C4">
              <w:rPr>
                <w:lang w:eastAsia="ko-KR"/>
              </w:rPr>
              <w:t xml:space="preserve"> (in Hz) of the channel occupied by the transmitter for interferer</w:t>
            </w:r>
            <w:r w:rsidR="00C17884">
              <w:rPr>
                <w:lang w:eastAsia="ko-KR"/>
              </w:rPr>
              <w:t> </w:t>
            </w:r>
            <m:oMath>
              <m:r>
                <w:rPr>
                  <w:rFonts w:ascii="Cambria Math" w:hAnsi="Cambria Math"/>
                  <w:lang w:eastAsia="ko-KR"/>
                </w:rPr>
                <m:t>s</m:t>
              </m:r>
            </m:oMath>
            <w:r w:rsidRPr="00FD62C4">
              <w:rPr>
                <w:lang w:eastAsia="ko-KR"/>
              </w:rPr>
              <w:t>,</w:t>
            </w:r>
          </w:p>
          <w:p w14:paraId="1E9DA427" w14:textId="36407774" w:rsidR="00A812FA" w:rsidRPr="00FD62C4" w:rsidRDefault="00A812FA" w:rsidP="00C17884">
            <w:pPr>
              <w:pStyle w:val="Tabletext"/>
              <w:keepNext/>
              <w:keepLines/>
              <w:rPr>
                <w:lang w:eastAsia="ko-KR"/>
              </w:rPr>
            </w:pPr>
            <w:r w:rsidRPr="00FD62C4">
              <w:rPr>
                <w:lang w:eastAsia="ko-KR"/>
              </w:rPr>
              <w:t>–</w:t>
            </w:r>
            <w:r w:rsidRPr="00FD62C4">
              <w:rPr>
                <w:lang w:eastAsia="ko-KR"/>
              </w:rPr>
              <w:tab/>
            </w:r>
            <w:r w:rsidR="00A90105" w:rsidRPr="00FD62C4">
              <w:t xml:space="preserve">Power </w:t>
            </w:r>
            <w:r w:rsidRPr="00FD62C4">
              <w:t xml:space="preserve">spectral density threshold </w:t>
            </w:r>
            <m:oMath>
              <m:r>
                <w:rPr>
                  <w:rFonts w:ascii="Cambria Math" w:hAnsi="Cambria Math"/>
                </w:rPr>
                <m:t>PS</m:t>
              </m:r>
              <m:sSub>
                <m:sSubPr>
                  <m:ctrlPr>
                    <w:rPr>
                      <w:rFonts w:ascii="Cambria Math" w:hAnsi="Cambria Math"/>
                      <w:i/>
                    </w:rPr>
                  </m:ctrlPr>
                </m:sSubPr>
                <m:e>
                  <m:r>
                    <w:rPr>
                      <w:rFonts w:ascii="Cambria Math" w:hAnsi="Cambria Math"/>
                    </w:rPr>
                    <m:t>D</m:t>
                  </m:r>
                </m:e>
                <m:sub>
                  <m:r>
                    <w:rPr>
                      <w:rFonts w:ascii="Cambria Math" w:hAnsi="Cambria Math"/>
                    </w:rPr>
                    <m:t>th</m:t>
                  </m:r>
                </m:sub>
              </m:sSub>
            </m:oMath>
            <w:r w:rsidRPr="00FD62C4">
              <w:t xml:space="preserve"> (in dBm/Hz) </w:t>
            </w:r>
            <w:r w:rsidRPr="00FD62C4">
              <w:rPr>
                <w:lang w:eastAsia="ko-KR"/>
              </w:rPr>
              <w:t>of the victim,</w:t>
            </w:r>
          </w:p>
          <w:p w14:paraId="20AF32D4" w14:textId="11594A69" w:rsidR="00A812FA" w:rsidRPr="00FD62C4" w:rsidRDefault="00A812FA" w:rsidP="00C17884">
            <w:pPr>
              <w:pStyle w:val="Tabletext"/>
              <w:keepNext/>
              <w:keepLines/>
            </w:pPr>
            <w:r w:rsidRPr="00FD62C4">
              <w:rPr>
                <w:lang w:eastAsia="ko-KR"/>
              </w:rPr>
              <w:t>–</w:t>
            </w:r>
            <w:r w:rsidRPr="00FD62C4">
              <w:rPr>
                <w:lang w:eastAsia="ko-KR"/>
              </w:rPr>
              <w:tab/>
            </w:r>
            <w:r w:rsidR="00A90105" w:rsidRPr="00FD62C4">
              <w:t xml:space="preserve">Transmitter’s </w:t>
            </w:r>
            <w:r w:rsidRPr="00FD62C4">
              <w:t xml:space="preserve">antenna beamwidth </w:t>
            </w:r>
            <m:oMath>
              <m:r>
                <w:rPr>
                  <w:rFonts w:ascii="Cambria Math" w:hAnsi="Cambria Math"/>
                </w:rPr>
                <m:t>b</m:t>
              </m:r>
              <m:sSub>
                <m:sSubPr>
                  <m:ctrlPr>
                    <w:rPr>
                      <w:rFonts w:ascii="Cambria Math" w:hAnsi="Cambria Math"/>
                      <w:i/>
                    </w:rPr>
                  </m:ctrlPr>
                </m:sSubPr>
                <m:e>
                  <m:r>
                    <w:rPr>
                      <w:rFonts w:ascii="Cambria Math" w:hAnsi="Cambria Math"/>
                    </w:rPr>
                    <m:t>w</m:t>
                  </m:r>
                </m:e>
                <m:sub>
                  <m:r>
                    <w:rPr>
                      <w:rFonts w:ascii="Cambria Math" w:hAnsi="Cambria Math"/>
                    </w:rPr>
                    <m:t>(s)</m:t>
                  </m:r>
                </m:sub>
              </m:sSub>
            </m:oMath>
            <w:r w:rsidRPr="00FD62C4">
              <w:rPr>
                <w:lang w:eastAsia="ko-KR"/>
              </w:rPr>
              <w:t xml:space="preserve"> </w:t>
            </w:r>
            <w:r w:rsidRPr="00FD62C4">
              <w:t xml:space="preserve">(in degrees) </w:t>
            </w:r>
            <w:r w:rsidRPr="00FD62C4">
              <w:rPr>
                <w:lang w:eastAsia="ko-KR"/>
              </w:rPr>
              <w:t xml:space="preserve">for interferer </w:t>
            </w:r>
            <m:oMath>
              <m:r>
                <w:rPr>
                  <w:rFonts w:ascii="Cambria Math" w:hAnsi="Cambria Math"/>
                  <w:lang w:eastAsia="ko-KR"/>
                </w:rPr>
                <m:t>s</m:t>
              </m:r>
            </m:oMath>
            <w:r w:rsidRPr="00FD62C4">
              <w:rPr>
                <w:lang w:eastAsia="ko-KR"/>
              </w:rPr>
              <w:t>,</w:t>
            </w:r>
          </w:p>
          <w:p w14:paraId="7C3DAD81" w14:textId="0AC53D48" w:rsidR="00A812FA" w:rsidRPr="00FD62C4" w:rsidRDefault="00A812FA" w:rsidP="00C17884">
            <w:pPr>
              <w:pStyle w:val="Tabletext"/>
              <w:keepNext/>
              <w:keepLines/>
              <w:rPr>
                <w:lang w:eastAsia="ko-KR"/>
              </w:rPr>
            </w:pPr>
            <w:r w:rsidRPr="00FD62C4">
              <w:rPr>
                <w:lang w:eastAsia="ko-KR"/>
              </w:rPr>
              <w:t>–</w:t>
            </w:r>
            <w:r w:rsidRPr="00FD62C4">
              <w:rPr>
                <w:lang w:eastAsia="ko-KR"/>
              </w:rPr>
              <w:tab/>
            </w:r>
            <w:r w:rsidR="00A90105" w:rsidRPr="00FD62C4">
              <w:t xml:space="preserve">Number </w:t>
            </w:r>
            <w:r w:rsidRPr="00FD62C4">
              <w:t xml:space="preserve">of devices per unit area </w:t>
            </w:r>
            <m:oMath>
              <m:sSub>
                <m:sSubPr>
                  <m:ctrlPr>
                    <w:rPr>
                      <w:rFonts w:ascii="Cambria Math" w:hAnsi="Cambria Math"/>
                      <w:i/>
                    </w:rPr>
                  </m:ctrlPr>
                </m:sSubPr>
                <m:e>
                  <m:r>
                    <m:rPr>
                      <m:sty m:val="p"/>
                    </m:rPr>
                    <w:rPr>
                      <w:rFonts w:ascii="Cambria Math" w:hAnsi="Cambria Math"/>
                    </w:rPr>
                    <m:t>λ</m:t>
                  </m:r>
                </m:e>
                <m:sub>
                  <m:r>
                    <w:rPr>
                      <w:rFonts w:ascii="Cambria Math" w:hAnsi="Cambria Math"/>
                    </w:rPr>
                    <m:t>(s)</m:t>
                  </m:r>
                </m:sub>
              </m:sSub>
            </m:oMath>
            <w:r w:rsidRPr="00FD62C4">
              <w:rPr>
                <w:lang w:eastAsia="ko-KR"/>
              </w:rPr>
              <w:t xml:space="preserve"> (in devices/</w:t>
            </w:r>
            <m:oMath>
              <m:sSup>
                <m:sSupPr>
                  <m:ctrlPr>
                    <w:rPr>
                      <w:rFonts w:ascii="Cambria Math" w:hAnsi="Cambria Math"/>
                      <w:iCs/>
                      <w:lang w:eastAsia="ko-KR"/>
                    </w:rPr>
                  </m:ctrlPr>
                </m:sSupPr>
                <m:e>
                  <m:r>
                    <m:rPr>
                      <m:sty m:val="p"/>
                    </m:rPr>
                    <w:rPr>
                      <w:rFonts w:ascii="Cambria Math" w:hAnsi="Cambria Math"/>
                      <w:lang w:eastAsia="ko-KR"/>
                    </w:rPr>
                    <m:t>m</m:t>
                  </m:r>
                </m:e>
                <m:sup>
                  <m:r>
                    <m:rPr>
                      <m:sty m:val="p"/>
                    </m:rPr>
                    <w:rPr>
                      <w:rFonts w:ascii="Cambria Math" w:hAnsi="Cambria Math"/>
                      <w:lang w:eastAsia="ko-KR"/>
                    </w:rPr>
                    <m:t>2</m:t>
                  </m:r>
                </m:sup>
              </m:sSup>
            </m:oMath>
            <w:r w:rsidRPr="00FD62C4">
              <w:rPr>
                <w:lang w:eastAsia="ko-KR"/>
              </w:rPr>
              <w:t xml:space="preserve">) for interferer </w:t>
            </w:r>
            <m:oMath>
              <m:r>
                <w:rPr>
                  <w:rFonts w:ascii="Cambria Math" w:hAnsi="Cambria Math"/>
                  <w:lang w:eastAsia="ko-KR"/>
                </w:rPr>
                <m:t>s</m:t>
              </m:r>
            </m:oMath>
            <w:r w:rsidRPr="00FD62C4">
              <w:rPr>
                <w:lang w:eastAsia="ko-KR"/>
              </w:rPr>
              <w:t>, and</w:t>
            </w:r>
          </w:p>
          <w:p w14:paraId="65361A6F" w14:textId="6C2E9069" w:rsidR="00A812FA" w:rsidRPr="00FD62C4" w:rsidRDefault="00A812FA" w:rsidP="00C17884">
            <w:pPr>
              <w:pStyle w:val="Tabletext"/>
              <w:keepNext/>
              <w:keepLines/>
              <w:ind w:left="312" w:hangingChars="142" w:hanging="312"/>
              <w:rPr>
                <w:lang w:eastAsia="ko-KR"/>
              </w:rPr>
            </w:pPr>
            <w:r w:rsidRPr="00FD62C4">
              <w:rPr>
                <w:lang w:eastAsia="ko-KR"/>
              </w:rPr>
              <w:t>–</w:t>
            </w:r>
            <w:r w:rsidRPr="00FD62C4">
              <w:rPr>
                <w:lang w:eastAsia="ko-KR"/>
              </w:rPr>
              <w:tab/>
            </w:r>
            <w:r w:rsidR="00A90105" w:rsidRPr="00FD62C4">
              <w:rPr>
                <w:lang w:eastAsia="ko-KR"/>
              </w:rPr>
              <w:t xml:space="preserve">Other </w:t>
            </w:r>
            <w:r w:rsidRPr="00FD62C4">
              <w:rPr>
                <w:lang w:eastAsia="ko-KR"/>
              </w:rPr>
              <w:t>information that may be required depending on the interference coverage area computation method.</w:t>
            </w:r>
          </w:p>
        </w:tc>
      </w:tr>
      <w:tr w:rsidR="00A812FA" w:rsidRPr="00FD62C4" w14:paraId="68DF74C6" w14:textId="77777777" w:rsidTr="00A70780">
        <w:trPr>
          <w:trHeight w:val="728"/>
          <w:jc w:val="center"/>
        </w:trPr>
        <w:tc>
          <w:tcPr>
            <w:tcW w:w="2405" w:type="dxa"/>
            <w:tcBorders>
              <w:top w:val="single" w:sz="4" w:space="0" w:color="auto"/>
              <w:left w:val="single" w:sz="4" w:space="0" w:color="auto"/>
              <w:right w:val="single" w:sz="4" w:space="0" w:color="auto"/>
            </w:tcBorders>
            <w:hideMark/>
          </w:tcPr>
          <w:p w14:paraId="2502C5BE" w14:textId="77777777" w:rsidR="00A812FA" w:rsidRPr="00FD62C4" w:rsidRDefault="00A812FA" w:rsidP="00A70780">
            <w:pPr>
              <w:pStyle w:val="Tabletext"/>
            </w:pPr>
            <w:r w:rsidRPr="00FD62C4">
              <w:t>Quantification and comparison of overall interference potential</w:t>
            </w:r>
          </w:p>
        </w:tc>
        <w:tc>
          <w:tcPr>
            <w:tcW w:w="7088" w:type="dxa"/>
            <w:tcBorders>
              <w:top w:val="single" w:sz="4" w:space="0" w:color="auto"/>
              <w:left w:val="single" w:sz="4" w:space="0" w:color="auto"/>
              <w:bottom w:val="single" w:sz="4" w:space="0" w:color="auto"/>
              <w:right w:val="single" w:sz="4" w:space="0" w:color="auto"/>
            </w:tcBorders>
            <w:hideMark/>
          </w:tcPr>
          <w:p w14:paraId="7668BEB2" w14:textId="5965244F" w:rsidR="00A812FA" w:rsidRPr="00FD62C4" w:rsidRDefault="00A812FA" w:rsidP="00A70780">
            <w:pPr>
              <w:pStyle w:val="Tabletext"/>
              <w:rPr>
                <w:lang w:eastAsia="ko-KR"/>
              </w:rPr>
            </w:pPr>
            <w:r w:rsidRPr="00FD62C4">
              <w:rPr>
                <w:lang w:eastAsia="ko-KR"/>
              </w:rPr>
              <w:t>–</w:t>
            </w:r>
            <w:r w:rsidRPr="00FD62C4">
              <w:rPr>
                <w:lang w:eastAsia="ko-KR"/>
              </w:rPr>
              <w:tab/>
            </w:r>
            <w:r w:rsidR="00A90105" w:rsidRPr="00FD62C4">
              <w:rPr>
                <w:lang w:eastAsia="ko-KR"/>
              </w:rPr>
              <w:t xml:space="preserve">The </w:t>
            </w:r>
            <w:r w:rsidRPr="00FD62C4">
              <w:rPr>
                <w:lang w:eastAsia="ko-KR"/>
              </w:rPr>
              <w:t xml:space="preserve">overall </w:t>
            </w:r>
            <w:r w:rsidRPr="00FD62C4">
              <w:rPr>
                <w:lang w:eastAsia="zh-CN"/>
              </w:rPr>
              <w:t xml:space="preserve">interference potential </w:t>
            </w:r>
            <m:oMath>
              <m:r>
                <w:rPr>
                  <w:rFonts w:ascii="Cambria Math" w:hAnsi="Cambria Math"/>
                  <w:lang w:eastAsia="ko-KR"/>
                </w:rPr>
                <m:t>IP</m:t>
              </m:r>
            </m:oMath>
            <w:r w:rsidRPr="00FD62C4">
              <w:rPr>
                <w:lang w:eastAsia="ko-KR"/>
              </w:rPr>
              <w:t xml:space="preserve"> identified in previous steps, and</w:t>
            </w:r>
          </w:p>
          <w:p w14:paraId="2B68A71B" w14:textId="50B2DF61" w:rsidR="00A812FA" w:rsidRPr="00FD62C4" w:rsidRDefault="00A812FA" w:rsidP="00A70780">
            <w:pPr>
              <w:pStyle w:val="Tabletext"/>
              <w:rPr>
                <w:lang w:eastAsia="ko-KR"/>
              </w:rPr>
            </w:pPr>
            <w:r w:rsidRPr="00FD62C4">
              <w:rPr>
                <w:lang w:eastAsia="ko-KR"/>
              </w:rPr>
              <w:t>–</w:t>
            </w:r>
            <w:r w:rsidRPr="00FD62C4">
              <w:rPr>
                <w:lang w:eastAsia="ko-KR"/>
              </w:rPr>
              <w:tab/>
            </w:r>
            <w:r w:rsidR="00A90105" w:rsidRPr="00FD62C4">
              <w:t xml:space="preserve">The </w:t>
            </w:r>
            <w:r w:rsidRPr="00FD62C4">
              <w:t xml:space="preserve">victim’s tolerable limit </w:t>
            </w:r>
            <m:oMath>
              <m:r>
                <m:rPr>
                  <m:sty m:val="p"/>
                </m:rPr>
                <w:rPr>
                  <w:rFonts w:ascii="Cambria Math" w:hAnsi="Cambria Math"/>
                </w:rPr>
                <m:t>ε</m:t>
              </m:r>
            </m:oMath>
            <w:r w:rsidRPr="00FD62C4">
              <w:t xml:space="preserve"> for the interference potential</w:t>
            </w:r>
            <w:r w:rsidRPr="00FD62C4">
              <w:rPr>
                <w:lang w:eastAsia="ko-KR"/>
              </w:rPr>
              <w:t>.</w:t>
            </w:r>
          </w:p>
        </w:tc>
      </w:tr>
    </w:tbl>
    <w:p w14:paraId="5F8FB216" w14:textId="77777777" w:rsidR="00A812FA" w:rsidRPr="00FD62C4" w:rsidRDefault="00A812FA" w:rsidP="00A812FA">
      <w:pPr>
        <w:pStyle w:val="Tablefin"/>
      </w:pPr>
      <w:bookmarkStart w:id="106" w:name="_Toc176778726"/>
    </w:p>
    <w:p w14:paraId="26AFCDE3" w14:textId="0BB2F600" w:rsidR="00A812FA" w:rsidRPr="00FD62C4" w:rsidRDefault="00A812FA" w:rsidP="00F91225">
      <w:pPr>
        <w:pStyle w:val="Heading4"/>
      </w:pPr>
      <w:r w:rsidRPr="00FD62C4">
        <w:t>A1</w:t>
      </w:r>
      <w:r w:rsidR="00A92DF1" w:rsidRPr="00FD62C4">
        <w:t>.</w:t>
      </w:r>
      <w:r w:rsidRPr="00FD62C4">
        <w:t>3.3.2</w:t>
      </w:r>
      <w:r w:rsidRPr="00FD62C4">
        <w:tab/>
        <w:t>Assessment</w:t>
      </w:r>
      <w:bookmarkEnd w:id="106"/>
      <w:r w:rsidRPr="00FD62C4">
        <w:t xml:space="preserve"> methodology</w:t>
      </w:r>
    </w:p>
    <w:p w14:paraId="417A336A" w14:textId="77777777" w:rsidR="00A812FA" w:rsidRPr="00FD62C4" w:rsidRDefault="00A812FA" w:rsidP="00A812FA">
      <w:pPr>
        <w:rPr>
          <w:lang w:eastAsia="ko-KR"/>
        </w:rPr>
      </w:pPr>
      <w:r w:rsidRPr="00FD62C4">
        <w:rPr>
          <w:lang w:eastAsia="ko-KR"/>
        </w:rPr>
        <w:t>The following provides a detailed explanation of each step introduced in the previous section for assessing spectrum availability in the context of “shared use of unlicensed spectrum”</w:t>
      </w:r>
      <w:r w:rsidRPr="00FD62C4">
        <w:rPr>
          <w:rStyle w:val="FootnoteReference"/>
          <w:lang w:eastAsia="ko-KR"/>
        </w:rPr>
        <w:footnoteReference w:id="15"/>
      </w:r>
      <w:r w:rsidRPr="00FD62C4">
        <w:rPr>
          <w:lang w:eastAsia="ko-KR"/>
        </w:rPr>
        <w:t>.</w:t>
      </w:r>
    </w:p>
    <w:p w14:paraId="08133AF5" w14:textId="0A9E54EA" w:rsidR="00A812FA" w:rsidRPr="00FD62C4" w:rsidRDefault="00A812FA" w:rsidP="0056771B">
      <w:pPr>
        <w:pStyle w:val="enumlev1"/>
        <w:rPr>
          <w:lang w:eastAsia="ko-KR"/>
        </w:rPr>
      </w:pPr>
      <w:r w:rsidRPr="00FD62C4">
        <w:rPr>
          <w:lang w:eastAsia="ko-KR"/>
        </w:rPr>
        <w:t>1)</w:t>
      </w:r>
      <w:r w:rsidRPr="00FD62C4">
        <w:rPr>
          <w:lang w:eastAsia="ko-KR"/>
        </w:rPr>
        <w:tab/>
        <w:t>Quantification of frequency domain potential</w:t>
      </w:r>
    </w:p>
    <w:p w14:paraId="64C98D7D" w14:textId="77777777" w:rsidR="00A812FA" w:rsidRPr="00FD62C4" w:rsidRDefault="00A812FA" w:rsidP="00A812FA">
      <w:pPr>
        <w:pStyle w:val="enumlev1"/>
        <w:rPr>
          <w:lang w:eastAsia="zh-CN"/>
        </w:rPr>
      </w:pPr>
      <w:r w:rsidRPr="00FD62C4">
        <w:rPr>
          <w:lang w:eastAsia="zh-CN"/>
        </w:rPr>
        <w:tab/>
      </w:r>
      <w:r w:rsidRPr="00FD62C4">
        <w:rPr>
          <w:lang w:eastAsia="ko-KR"/>
        </w:rPr>
        <w:t xml:space="preserve">An interfering transmitter that occupies a large portion of the frequency band has a high probability of overlapping with the frequency used by the victim receiver. Hence, the </w:t>
      </w:r>
      <w:r w:rsidRPr="00FD62C4">
        <w:rPr>
          <w:lang w:eastAsia="zh-CN"/>
        </w:rPr>
        <w:t>interference potential in frequency domain from</w:t>
      </w:r>
      <w:r w:rsidRPr="00FD62C4">
        <w:rPr>
          <w:lang w:eastAsia="ko-KR"/>
        </w:rPr>
        <w:t xml:space="preserve"> interferer </w:t>
      </w:r>
      <m:oMath>
        <m:r>
          <w:rPr>
            <w:rFonts w:ascii="Cambria Math" w:hAnsi="Cambria Math"/>
            <w:lang w:eastAsia="ko-KR"/>
          </w:rPr>
          <m:t>s</m:t>
        </m:r>
      </m:oMath>
      <w:r w:rsidRPr="00FD62C4">
        <w:rPr>
          <w:lang w:eastAsia="ko-KR"/>
        </w:rPr>
        <w:t xml:space="preserve">, denoted by </w:t>
      </w:r>
      <m:oMath>
        <m:sSubSup>
          <m:sSubSupPr>
            <m:ctrlPr>
              <w:rPr>
                <w:rFonts w:ascii="Cambria Math" w:hAnsi="Cambria Math"/>
                <w:lang w:eastAsia="ko-KR"/>
              </w:rPr>
            </m:ctrlPr>
          </m:sSubSupPr>
          <m:e>
            <m:r>
              <w:rPr>
                <w:rFonts w:ascii="Cambria Math" w:hAnsi="Cambria Math"/>
                <w:lang w:eastAsia="ko-KR"/>
              </w:rPr>
              <m:t>IP</m:t>
            </m:r>
            <m:ctrlPr>
              <w:rPr>
                <w:rFonts w:ascii="Cambria Math" w:hAnsi="Cambria Math"/>
                <w:i/>
                <w:lang w:eastAsia="ko-KR"/>
              </w:rPr>
            </m:ctrlPr>
          </m:e>
          <m:sub>
            <m:r>
              <w:rPr>
                <w:rFonts w:ascii="Cambria Math" w:hAnsi="Cambria Math"/>
                <w:lang w:eastAsia="ko-KR"/>
              </w:rPr>
              <m:t>freq</m:t>
            </m:r>
            <m:ctrlPr>
              <w:rPr>
                <w:rFonts w:ascii="Cambria Math" w:hAnsi="Cambria Math"/>
                <w:i/>
                <w:lang w:eastAsia="ko-KR"/>
              </w:rPr>
            </m:ctrlPr>
          </m:sub>
          <m:sup>
            <m:r>
              <w:rPr>
                <w:rFonts w:ascii="Cambria Math" w:hAnsi="Cambria Math"/>
                <w:lang w:eastAsia="ko-KR"/>
              </w:rPr>
              <m:t>(s)</m:t>
            </m:r>
          </m:sup>
        </m:sSubSup>
      </m:oMath>
      <w:r w:rsidRPr="00FD62C4">
        <w:rPr>
          <w:lang w:eastAsia="ko-KR"/>
        </w:rPr>
        <w:t>, can be quantified using the following equation and information:</w:t>
      </w:r>
    </w:p>
    <w:p w14:paraId="2345CF00" w14:textId="3284EF42" w:rsidR="00A812FA" w:rsidRPr="00FD62C4" w:rsidRDefault="00A812FA" w:rsidP="00A812FA">
      <w:pPr>
        <w:pStyle w:val="Equation"/>
      </w:pPr>
      <w:r w:rsidRPr="00FD62C4">
        <w:tab/>
      </w:r>
      <w:r w:rsidRPr="00FD62C4">
        <w:tab/>
      </w:r>
      <m:oMath>
        <m:sSubSup>
          <m:sSubSupPr>
            <m:ctrlPr>
              <w:rPr>
                <w:rFonts w:ascii="Cambria Math" w:hAnsi="Cambria Math"/>
                <w:lang w:eastAsia="ko-KR"/>
              </w:rPr>
            </m:ctrlPr>
          </m:sSubSupPr>
          <m:e>
            <m:r>
              <w:rPr>
                <w:rFonts w:ascii="Cambria Math" w:hAnsi="Cambria Math"/>
                <w:lang w:eastAsia="ko-KR"/>
              </w:rPr>
              <m:t>IP</m:t>
            </m:r>
            <m:ctrlPr>
              <w:rPr>
                <w:rFonts w:ascii="Cambria Math" w:hAnsi="Cambria Math"/>
                <w:i/>
                <w:lang w:eastAsia="ko-KR"/>
              </w:rPr>
            </m:ctrlPr>
          </m:e>
          <m:sub>
            <m:r>
              <w:rPr>
                <w:rFonts w:ascii="Cambria Math" w:hAnsi="Cambria Math"/>
                <w:lang w:eastAsia="ko-KR"/>
              </w:rPr>
              <m:t>freq</m:t>
            </m:r>
            <m:ctrlPr>
              <w:rPr>
                <w:rFonts w:ascii="Cambria Math" w:hAnsi="Cambria Math"/>
                <w:i/>
                <w:lang w:eastAsia="ko-KR"/>
              </w:rPr>
            </m:ctrlPr>
          </m:sub>
          <m:sup>
            <m:r>
              <w:rPr>
                <w:rFonts w:ascii="Cambria Math" w:hAnsi="Cambria Math"/>
                <w:lang w:eastAsia="ko-KR"/>
              </w:rPr>
              <m:t>(s)</m:t>
            </m:r>
          </m:sup>
        </m:sSubSup>
        <m:r>
          <w:rPr>
            <w:rFonts w:ascii="Cambria Math" w:hAnsi="Cambria Math"/>
            <w:lang w:eastAsia="ko-KR"/>
          </w:rPr>
          <m:t>=</m:t>
        </m:r>
        <m:sSub>
          <m:sSubPr>
            <m:ctrlPr>
              <w:rPr>
                <w:rFonts w:ascii="Cambria Math" w:hAnsi="Cambria Math"/>
                <w:i/>
                <w:lang w:eastAsia="ko-KR"/>
              </w:rPr>
            </m:ctrlPr>
          </m:sSubPr>
          <m:e>
            <m:r>
              <w:rPr>
                <w:rFonts w:ascii="Cambria Math" w:hAnsi="Cambria Math"/>
                <w:lang w:eastAsia="ko-KR"/>
              </w:rPr>
              <m:t>B</m:t>
            </m:r>
          </m:e>
          <m:sub>
            <m:r>
              <w:rPr>
                <w:rFonts w:ascii="Cambria Math" w:hAnsi="Cambria Math"/>
                <w:lang w:eastAsia="ko-KR"/>
              </w:rPr>
              <m:t>(s)</m:t>
            </m:r>
          </m:sub>
        </m:sSub>
        <m:r>
          <w:rPr>
            <w:rFonts w:ascii="Cambria Math" w:hAnsi="Cambria Math"/>
            <w:lang w:eastAsia="ko-KR"/>
          </w:rPr>
          <m:t>/B</m:t>
        </m:r>
      </m:oMath>
      <w:r w:rsidRPr="00FD62C4">
        <w:tab/>
        <w:t>(</w:t>
      </w:r>
      <w:r w:rsidR="00730B74" w:rsidRPr="00FD62C4">
        <w:t>A1</w:t>
      </w:r>
      <w:r w:rsidRPr="00FD62C4">
        <w:t>-7)</w:t>
      </w:r>
    </w:p>
    <w:p w14:paraId="4822FDA1" w14:textId="77777777" w:rsidR="00A812FA" w:rsidRPr="00FD62C4" w:rsidRDefault="00A812FA" w:rsidP="00A812FA">
      <w:pPr>
        <w:keepNext/>
      </w:pPr>
      <w:r w:rsidRPr="00FD62C4">
        <w:tab/>
        <w:t>where:</w:t>
      </w:r>
    </w:p>
    <w:p w14:paraId="0168E009" w14:textId="5AE4852A" w:rsidR="00A812FA" w:rsidRPr="00FD62C4" w:rsidRDefault="00A812FA" w:rsidP="00A812FA">
      <w:pPr>
        <w:pStyle w:val="Equationlegend"/>
        <w:rPr>
          <w:lang w:val="en-GB"/>
        </w:rPr>
      </w:pPr>
      <w:r w:rsidRPr="00FD62C4">
        <w:rPr>
          <w:i/>
          <w:lang w:val="en-GB"/>
        </w:rPr>
        <w:tab/>
      </w:r>
      <m:oMath>
        <m:sSubSup>
          <m:sSubSupPr>
            <m:ctrlPr>
              <w:rPr>
                <w:rFonts w:ascii="Cambria Math" w:hAnsi="Cambria Math"/>
                <w:lang w:val="en-GB" w:eastAsia="ko-KR"/>
              </w:rPr>
            </m:ctrlPr>
          </m:sSubSupPr>
          <m:e>
            <m:r>
              <w:rPr>
                <w:rFonts w:ascii="Cambria Math" w:hAnsi="Cambria Math"/>
                <w:lang w:val="en-GB" w:eastAsia="ko-KR"/>
              </w:rPr>
              <m:t>IP</m:t>
            </m:r>
            <m:ctrlPr>
              <w:rPr>
                <w:rFonts w:ascii="Cambria Math" w:hAnsi="Cambria Math"/>
                <w:i/>
                <w:lang w:val="en-GB" w:eastAsia="ko-KR"/>
              </w:rPr>
            </m:ctrlPr>
          </m:e>
          <m:sub>
            <m:r>
              <w:rPr>
                <w:rFonts w:ascii="Cambria Math" w:hAnsi="Cambria Math"/>
                <w:lang w:val="en-GB" w:eastAsia="ko-KR"/>
              </w:rPr>
              <m:t>freq</m:t>
            </m:r>
            <m:ctrlPr>
              <w:rPr>
                <w:rFonts w:ascii="Cambria Math" w:hAnsi="Cambria Math"/>
                <w:i/>
                <w:lang w:val="en-GB" w:eastAsia="ko-KR"/>
              </w:rPr>
            </m:ctrlPr>
          </m:sub>
          <m:sup>
            <m:r>
              <w:rPr>
                <w:rFonts w:ascii="Cambria Math" w:hAnsi="Cambria Math"/>
                <w:lang w:val="en-GB" w:eastAsia="ko-KR"/>
              </w:rPr>
              <m:t>(s)</m:t>
            </m:r>
          </m:sup>
        </m:sSubSup>
      </m:oMath>
      <w:r w:rsidRPr="00FD62C4">
        <w:rPr>
          <w:lang w:val="en-GB"/>
        </w:rPr>
        <w:t>:</w:t>
      </w:r>
      <w:r w:rsidRPr="00FD62C4">
        <w:rPr>
          <w:lang w:val="en-GB"/>
        </w:rPr>
        <w:tab/>
        <w:t xml:space="preserve">interference potential in frequency domain from interferer </w:t>
      </w:r>
      <m:oMath>
        <m:r>
          <w:rPr>
            <w:rFonts w:ascii="Cambria Math" w:hAnsi="Cambria Math"/>
            <w:lang w:val="en-GB" w:eastAsia="ko-KR"/>
          </w:rPr>
          <m:t>s</m:t>
        </m:r>
      </m:oMath>
    </w:p>
    <w:p w14:paraId="2F6764E1" w14:textId="5580F5B7" w:rsidR="00A812FA" w:rsidRPr="00FD62C4" w:rsidRDefault="00A812FA" w:rsidP="00A812FA">
      <w:pPr>
        <w:pStyle w:val="Equationlegend"/>
        <w:rPr>
          <w:lang w:val="en-GB"/>
        </w:rPr>
      </w:pPr>
      <w:r w:rsidRPr="00FD62C4">
        <w:rPr>
          <w:i/>
          <w:lang w:val="en-GB"/>
        </w:rPr>
        <w:tab/>
      </w:r>
      <m:oMath>
        <m:sSub>
          <m:sSubPr>
            <m:ctrlPr>
              <w:rPr>
                <w:rFonts w:ascii="Cambria Math" w:hAnsi="Cambria Math"/>
                <w:i/>
                <w:lang w:val="en-GB"/>
              </w:rPr>
            </m:ctrlPr>
          </m:sSubPr>
          <m:e>
            <m:r>
              <w:rPr>
                <w:rFonts w:ascii="Cambria Math" w:hAnsi="Cambria Math"/>
                <w:lang w:val="en-GB"/>
              </w:rPr>
              <m:t>B</m:t>
            </m:r>
          </m:e>
          <m:sub>
            <m:r>
              <w:rPr>
                <w:rFonts w:ascii="Cambria Math" w:hAnsi="Cambria Math"/>
                <w:lang w:val="en-GB"/>
              </w:rPr>
              <m:t>(s)</m:t>
            </m:r>
          </m:sub>
        </m:sSub>
      </m:oMath>
      <w:r w:rsidRPr="00FD62C4">
        <w:rPr>
          <w:lang w:val="en-GB"/>
        </w:rPr>
        <w:t>:</w:t>
      </w:r>
      <w:r w:rsidRPr="00FD62C4">
        <w:rPr>
          <w:lang w:val="en-GB"/>
        </w:rPr>
        <w:tab/>
        <w:t xml:space="preserve">width of the channel occupied by interferer </w:t>
      </w:r>
      <m:oMath>
        <m:r>
          <w:rPr>
            <w:rFonts w:ascii="Cambria Math" w:hAnsi="Cambria Math"/>
            <w:lang w:val="en-GB" w:eastAsia="ko-KR"/>
          </w:rPr>
          <m:t>s</m:t>
        </m:r>
      </m:oMath>
      <w:r w:rsidRPr="00FD62C4">
        <w:rPr>
          <w:lang w:val="en-GB" w:eastAsia="ko-KR"/>
        </w:rPr>
        <w:t xml:space="preserve"> (in Hz)</w:t>
      </w:r>
    </w:p>
    <w:p w14:paraId="2C95DAA4" w14:textId="45994A9E" w:rsidR="00A812FA" w:rsidRPr="00FD62C4" w:rsidRDefault="00A812FA" w:rsidP="00A812FA">
      <w:pPr>
        <w:pStyle w:val="Equationlegend"/>
        <w:rPr>
          <w:lang w:val="en-GB" w:eastAsia="ko-KR"/>
        </w:rPr>
      </w:pPr>
      <w:r w:rsidRPr="00FD62C4">
        <w:rPr>
          <w:i/>
          <w:lang w:val="en-GB"/>
        </w:rPr>
        <w:tab/>
      </w:r>
      <m:oMath>
        <m:r>
          <w:rPr>
            <w:rFonts w:ascii="Cambria Math" w:hAnsi="Cambria Math"/>
            <w:lang w:val="en-GB"/>
          </w:rPr>
          <m:t>B</m:t>
        </m:r>
      </m:oMath>
      <w:r w:rsidRPr="00FD62C4">
        <w:rPr>
          <w:lang w:val="en-GB"/>
        </w:rPr>
        <w:t>:</w:t>
      </w:r>
      <w:r w:rsidRPr="00FD62C4">
        <w:rPr>
          <w:lang w:val="en-GB"/>
        </w:rPr>
        <w:tab/>
        <w:t>bandwidth of the frequency band (in Hz).</w:t>
      </w:r>
    </w:p>
    <w:p w14:paraId="0BF18ED3" w14:textId="13EEDFBC" w:rsidR="00A812FA" w:rsidRPr="00FD62C4" w:rsidRDefault="00A812FA" w:rsidP="0056771B">
      <w:pPr>
        <w:pStyle w:val="enumlev1"/>
        <w:rPr>
          <w:lang w:eastAsia="ko-KR"/>
        </w:rPr>
      </w:pPr>
      <w:r w:rsidRPr="00FD62C4">
        <w:rPr>
          <w:lang w:eastAsia="ko-KR"/>
        </w:rPr>
        <w:t>2)</w:t>
      </w:r>
      <w:r w:rsidRPr="00FD62C4">
        <w:rPr>
          <w:lang w:eastAsia="ko-KR"/>
        </w:rPr>
        <w:tab/>
        <w:t>Quantification of temporal domain potential</w:t>
      </w:r>
    </w:p>
    <w:p w14:paraId="4D00EA30" w14:textId="77777777" w:rsidR="00A812FA" w:rsidRPr="00FD62C4" w:rsidRDefault="00A812FA" w:rsidP="00A812FA">
      <w:pPr>
        <w:pStyle w:val="enumlev1"/>
        <w:rPr>
          <w:lang w:eastAsia="zh-CN"/>
        </w:rPr>
      </w:pPr>
      <w:r w:rsidRPr="00FD62C4">
        <w:rPr>
          <w:lang w:eastAsia="zh-CN"/>
        </w:rPr>
        <w:tab/>
      </w:r>
      <w:r w:rsidRPr="00FD62C4">
        <w:rPr>
          <w:lang w:eastAsia="ko-KR"/>
        </w:rPr>
        <w:t>An interfering transmitter with high duty cycle is likely to overlap in time with the victim on the same channel.</w:t>
      </w:r>
      <w:r w:rsidRPr="00FD62C4">
        <w:rPr>
          <w:spacing w:val="-2"/>
          <w:lang w:eastAsia="ko-KR"/>
        </w:rPr>
        <w:t xml:space="preserve"> Hence, </w:t>
      </w:r>
      <w:r w:rsidRPr="00FD62C4">
        <w:rPr>
          <w:lang w:eastAsia="ko-KR"/>
        </w:rPr>
        <w:t xml:space="preserve">the interference potential in time domain from interferer </w:t>
      </w:r>
      <m:oMath>
        <m:r>
          <w:rPr>
            <w:rFonts w:ascii="Cambria Math" w:hAnsi="Cambria Math"/>
            <w:lang w:eastAsia="ko-KR"/>
          </w:rPr>
          <m:t>s</m:t>
        </m:r>
      </m:oMath>
      <w:r w:rsidRPr="00FD62C4">
        <w:rPr>
          <w:lang w:eastAsia="ko-KR"/>
        </w:rPr>
        <w:t xml:space="preserve">, denoted by </w:t>
      </w:r>
      <m:oMath>
        <m:sSubSup>
          <m:sSubSupPr>
            <m:ctrlPr>
              <w:rPr>
                <w:rFonts w:ascii="Cambria Math" w:hAnsi="Cambria Math"/>
                <w:lang w:eastAsia="ko-KR"/>
              </w:rPr>
            </m:ctrlPr>
          </m:sSubSupPr>
          <m:e>
            <m:r>
              <w:rPr>
                <w:rFonts w:ascii="Cambria Math" w:hAnsi="Cambria Math"/>
                <w:lang w:eastAsia="ko-KR"/>
              </w:rPr>
              <m:t>IP</m:t>
            </m:r>
            <m:ctrlPr>
              <w:rPr>
                <w:rFonts w:ascii="Cambria Math" w:hAnsi="Cambria Math"/>
                <w:i/>
                <w:lang w:eastAsia="ko-KR"/>
              </w:rPr>
            </m:ctrlPr>
          </m:e>
          <m:sub>
            <m:r>
              <w:rPr>
                <w:rFonts w:ascii="Cambria Math" w:hAnsi="Cambria Math"/>
                <w:lang w:eastAsia="ko-KR"/>
              </w:rPr>
              <m:t>temp</m:t>
            </m:r>
            <m:ctrlPr>
              <w:rPr>
                <w:rFonts w:ascii="Cambria Math" w:hAnsi="Cambria Math"/>
                <w:i/>
                <w:lang w:eastAsia="ko-KR"/>
              </w:rPr>
            </m:ctrlPr>
          </m:sub>
          <m:sup>
            <m:r>
              <w:rPr>
                <w:rFonts w:ascii="Cambria Math" w:hAnsi="Cambria Math"/>
                <w:lang w:eastAsia="ko-KR"/>
              </w:rPr>
              <m:t>(s)</m:t>
            </m:r>
          </m:sup>
        </m:sSubSup>
      </m:oMath>
      <w:r w:rsidRPr="00FD62C4">
        <w:rPr>
          <w:lang w:eastAsia="ko-KR"/>
        </w:rPr>
        <w:t>, can be quantified by the following equation and information:</w:t>
      </w:r>
    </w:p>
    <w:p w14:paraId="3725181B" w14:textId="0B29B545" w:rsidR="00A812FA" w:rsidRPr="00FD62C4" w:rsidRDefault="00A812FA" w:rsidP="00A812FA">
      <w:pPr>
        <w:pStyle w:val="Equation"/>
      </w:pPr>
      <w:r w:rsidRPr="00FD62C4">
        <w:tab/>
      </w:r>
      <w:r w:rsidRPr="00FD62C4">
        <w:tab/>
      </w:r>
      <m:oMath>
        <m:sSubSup>
          <m:sSubSupPr>
            <m:ctrlPr>
              <w:rPr>
                <w:rFonts w:ascii="Cambria Math" w:hAnsi="Cambria Math"/>
                <w:lang w:eastAsia="ko-KR"/>
              </w:rPr>
            </m:ctrlPr>
          </m:sSubSupPr>
          <m:e>
            <m:r>
              <w:rPr>
                <w:rFonts w:ascii="Cambria Math" w:hAnsi="Cambria Math"/>
                <w:lang w:eastAsia="ko-KR"/>
              </w:rPr>
              <m:t>IP</m:t>
            </m:r>
            <m:ctrlPr>
              <w:rPr>
                <w:rFonts w:ascii="Cambria Math" w:hAnsi="Cambria Math"/>
                <w:i/>
                <w:lang w:eastAsia="ko-KR"/>
              </w:rPr>
            </m:ctrlPr>
          </m:e>
          <m:sub>
            <m:r>
              <w:rPr>
                <w:rFonts w:ascii="Cambria Math" w:hAnsi="Cambria Math"/>
                <w:lang w:eastAsia="ko-KR"/>
              </w:rPr>
              <m:t>temp</m:t>
            </m:r>
            <m:ctrlPr>
              <w:rPr>
                <w:rFonts w:ascii="Cambria Math" w:hAnsi="Cambria Math"/>
                <w:i/>
                <w:lang w:eastAsia="ko-KR"/>
              </w:rPr>
            </m:ctrlPr>
          </m:sub>
          <m:sup>
            <m:r>
              <w:rPr>
                <w:rFonts w:ascii="Cambria Math" w:hAnsi="Cambria Math"/>
                <w:lang w:eastAsia="ko-KR"/>
              </w:rPr>
              <m:t>(s)</m:t>
            </m:r>
          </m:sup>
        </m:sSubSup>
        <m:r>
          <w:rPr>
            <w:rFonts w:ascii="Cambria Math" w:hAnsi="Cambria Math"/>
            <w:lang w:eastAsia="ko-KR"/>
          </w:rPr>
          <m:t>=</m:t>
        </m:r>
        <m:sSub>
          <m:sSubPr>
            <m:ctrlPr>
              <w:rPr>
                <w:rFonts w:ascii="Cambria Math" w:hAnsi="Cambria Math"/>
                <w:i/>
                <w:lang w:eastAsia="ko-KR"/>
              </w:rPr>
            </m:ctrlPr>
          </m:sSubPr>
          <m:e>
            <m:r>
              <w:rPr>
                <w:rFonts w:ascii="Cambria Math" w:hAnsi="Cambria Math"/>
                <w:lang w:eastAsia="ko-KR"/>
              </w:rPr>
              <m:t>DC</m:t>
            </m:r>
          </m:e>
          <m:sub>
            <m:r>
              <w:rPr>
                <w:rFonts w:ascii="Cambria Math" w:hAnsi="Cambria Math"/>
                <w:lang w:eastAsia="ko-KR"/>
              </w:rPr>
              <m:t>(s)</m:t>
            </m:r>
          </m:sub>
        </m:sSub>
        <m:r>
          <w:rPr>
            <w:rFonts w:ascii="Cambria Math" w:hAnsi="Cambria Math"/>
            <w:lang w:eastAsia="ko-KR"/>
          </w:rPr>
          <m:t>/100</m:t>
        </m:r>
      </m:oMath>
      <w:r w:rsidRPr="00FD62C4">
        <w:tab/>
        <w:t>(</w:t>
      </w:r>
      <w:r w:rsidR="00FC4C90" w:rsidRPr="00FD62C4">
        <w:t>A1</w:t>
      </w:r>
      <w:r w:rsidRPr="00FD62C4">
        <w:t>-8)</w:t>
      </w:r>
    </w:p>
    <w:p w14:paraId="251A8BBE" w14:textId="77777777" w:rsidR="00A812FA" w:rsidRPr="00FD62C4" w:rsidRDefault="00A812FA" w:rsidP="00A812FA">
      <w:pPr>
        <w:keepNext/>
      </w:pPr>
      <w:r w:rsidRPr="00FD62C4">
        <w:tab/>
        <w:t>where:</w:t>
      </w:r>
    </w:p>
    <w:p w14:paraId="066FB9E4" w14:textId="0ABF73CD" w:rsidR="00A812FA" w:rsidRPr="00FD62C4" w:rsidRDefault="00A812FA" w:rsidP="00A812FA">
      <w:pPr>
        <w:pStyle w:val="Equationlegend"/>
        <w:rPr>
          <w:lang w:val="en-GB"/>
        </w:rPr>
      </w:pPr>
      <w:r w:rsidRPr="00FD62C4">
        <w:rPr>
          <w:i/>
          <w:lang w:val="en-GB"/>
        </w:rPr>
        <w:tab/>
      </w:r>
      <m:oMath>
        <m:sSubSup>
          <m:sSubSupPr>
            <m:ctrlPr>
              <w:rPr>
                <w:rFonts w:ascii="Cambria Math" w:hAnsi="Cambria Math"/>
                <w:lang w:val="en-GB" w:eastAsia="ko-KR"/>
              </w:rPr>
            </m:ctrlPr>
          </m:sSubSupPr>
          <m:e>
            <m:r>
              <w:rPr>
                <w:rFonts w:ascii="Cambria Math" w:hAnsi="Cambria Math"/>
                <w:lang w:val="en-GB" w:eastAsia="ko-KR"/>
              </w:rPr>
              <m:t>IP</m:t>
            </m:r>
            <m:ctrlPr>
              <w:rPr>
                <w:rFonts w:ascii="Cambria Math" w:hAnsi="Cambria Math"/>
                <w:i/>
                <w:lang w:val="en-GB" w:eastAsia="ko-KR"/>
              </w:rPr>
            </m:ctrlPr>
          </m:e>
          <m:sub>
            <m:r>
              <w:rPr>
                <w:rFonts w:ascii="Cambria Math" w:hAnsi="Cambria Math"/>
                <w:lang w:val="en-GB" w:eastAsia="ko-KR"/>
              </w:rPr>
              <m:t>temp</m:t>
            </m:r>
            <m:ctrlPr>
              <w:rPr>
                <w:rFonts w:ascii="Cambria Math" w:hAnsi="Cambria Math"/>
                <w:i/>
                <w:lang w:val="en-GB" w:eastAsia="ko-KR"/>
              </w:rPr>
            </m:ctrlPr>
          </m:sub>
          <m:sup>
            <m:r>
              <w:rPr>
                <w:rFonts w:ascii="Cambria Math" w:hAnsi="Cambria Math"/>
                <w:lang w:val="en-GB" w:eastAsia="ko-KR"/>
              </w:rPr>
              <m:t>(s)</m:t>
            </m:r>
          </m:sup>
        </m:sSubSup>
      </m:oMath>
      <w:r w:rsidRPr="00FD62C4">
        <w:rPr>
          <w:lang w:val="en-GB"/>
        </w:rPr>
        <w:t>:</w:t>
      </w:r>
      <w:r w:rsidRPr="00FD62C4">
        <w:rPr>
          <w:lang w:val="en-GB"/>
        </w:rPr>
        <w:tab/>
        <w:t xml:space="preserve">interference potential in temporal domain from interferer </w:t>
      </w:r>
      <m:oMath>
        <m:r>
          <w:rPr>
            <w:rFonts w:ascii="Cambria Math" w:hAnsi="Cambria Math"/>
            <w:lang w:val="en-GB" w:eastAsia="ko-KR"/>
          </w:rPr>
          <m:t>s</m:t>
        </m:r>
      </m:oMath>
    </w:p>
    <w:p w14:paraId="073B0658" w14:textId="294AAA36" w:rsidR="00A812FA" w:rsidRPr="00FD62C4" w:rsidRDefault="00A812FA" w:rsidP="00A812FA">
      <w:pPr>
        <w:pStyle w:val="Equationlegend"/>
        <w:rPr>
          <w:lang w:val="en-GB" w:eastAsia="ko-KR"/>
        </w:rPr>
      </w:pPr>
      <w:r w:rsidRPr="00FD62C4">
        <w:rPr>
          <w:i/>
          <w:lang w:val="en-GB"/>
        </w:rPr>
        <w:tab/>
      </w:r>
      <m:oMath>
        <m:r>
          <w:rPr>
            <w:rFonts w:ascii="Cambria Math" w:hAnsi="Cambria Math"/>
            <w:lang w:val="en-GB"/>
          </w:rPr>
          <m:t>D</m:t>
        </m:r>
        <m:sSub>
          <m:sSubPr>
            <m:ctrlPr>
              <w:rPr>
                <w:rFonts w:ascii="Cambria Math" w:hAnsi="Cambria Math"/>
                <w:i/>
                <w:lang w:val="en-GB"/>
              </w:rPr>
            </m:ctrlPr>
          </m:sSubPr>
          <m:e>
            <m:r>
              <w:rPr>
                <w:rFonts w:ascii="Cambria Math" w:hAnsi="Cambria Math"/>
                <w:lang w:val="en-GB"/>
              </w:rPr>
              <m:t>C</m:t>
            </m:r>
          </m:e>
          <m:sub>
            <m:r>
              <w:rPr>
                <w:rFonts w:ascii="Cambria Math" w:hAnsi="Cambria Math"/>
                <w:lang w:val="en-GB"/>
              </w:rPr>
              <m:t>(s)</m:t>
            </m:r>
          </m:sub>
        </m:sSub>
      </m:oMath>
      <w:r w:rsidRPr="00FD62C4">
        <w:rPr>
          <w:lang w:val="en-GB"/>
        </w:rPr>
        <w:t>:</w:t>
      </w:r>
      <w:r w:rsidRPr="00FD62C4">
        <w:rPr>
          <w:lang w:val="en-GB"/>
        </w:rPr>
        <w:tab/>
        <w:t xml:space="preserve">duty cycle of interferer </w:t>
      </w:r>
      <m:oMath>
        <m:r>
          <w:rPr>
            <w:rFonts w:ascii="Cambria Math" w:hAnsi="Cambria Math"/>
            <w:lang w:val="en-GB" w:eastAsia="ko-KR"/>
          </w:rPr>
          <m:t>s</m:t>
        </m:r>
      </m:oMath>
      <w:r w:rsidRPr="00FD62C4">
        <w:rPr>
          <w:lang w:val="en-GB" w:eastAsia="ko-KR"/>
        </w:rPr>
        <w:t xml:space="preserve"> (in percent).</w:t>
      </w:r>
    </w:p>
    <w:p w14:paraId="7E6F1F61" w14:textId="51312E60" w:rsidR="00A812FA" w:rsidRPr="00FD62C4" w:rsidRDefault="00A812FA" w:rsidP="0056771B">
      <w:pPr>
        <w:pStyle w:val="enumlev1"/>
        <w:rPr>
          <w:lang w:eastAsia="ko-KR"/>
        </w:rPr>
      </w:pPr>
      <w:r w:rsidRPr="00FD62C4">
        <w:rPr>
          <w:lang w:eastAsia="ko-KR"/>
        </w:rPr>
        <w:lastRenderedPageBreak/>
        <w:t>3)</w:t>
      </w:r>
      <w:r w:rsidRPr="00FD62C4">
        <w:rPr>
          <w:lang w:eastAsia="ko-KR"/>
        </w:rPr>
        <w:tab/>
        <w:t>Quantification of geographic domain potential</w:t>
      </w:r>
    </w:p>
    <w:p w14:paraId="0813BC09" w14:textId="77777777" w:rsidR="00A812FA" w:rsidRPr="00FD62C4" w:rsidRDefault="00A812FA" w:rsidP="00A812FA">
      <w:pPr>
        <w:pStyle w:val="enumlev1"/>
        <w:rPr>
          <w:lang w:eastAsia="ko-KR"/>
        </w:rPr>
      </w:pPr>
      <w:r w:rsidRPr="00FD62C4">
        <w:rPr>
          <w:lang w:eastAsia="zh-CN"/>
        </w:rPr>
        <w:tab/>
      </w:r>
      <w:r w:rsidRPr="00FD62C4">
        <w:rPr>
          <w:lang w:eastAsia="ko-KR"/>
        </w:rPr>
        <w:t>For a victim operating at the same frequency and time as an interfering transmitter, interference occurs only if the victim is physically located within reach of the transmissions. The interference in the geographic domain is proportional to two factors: first, the interference coverage area of the transmitter, and second, the number of transmitters in the area.</w:t>
      </w:r>
    </w:p>
    <w:p w14:paraId="7821590B" w14:textId="2BE8332D" w:rsidR="00A812FA" w:rsidRPr="00FD62C4" w:rsidRDefault="00A812FA" w:rsidP="00A812FA">
      <w:pPr>
        <w:pStyle w:val="enumlev1"/>
        <w:rPr>
          <w:lang w:eastAsia="ko-KR"/>
        </w:rPr>
      </w:pPr>
      <w:r w:rsidRPr="00FD62C4">
        <w:rPr>
          <w:lang w:eastAsia="ko-KR"/>
        </w:rPr>
        <w:tab/>
        <w:t xml:space="preserve">Consider a transmitter of interferer </w:t>
      </w:r>
      <m:oMath>
        <m:r>
          <w:rPr>
            <w:rFonts w:ascii="Cambria Math" w:hAnsi="Cambria Math"/>
          </w:rPr>
          <m:t>s</m:t>
        </m:r>
      </m:oMath>
      <w:r w:rsidRPr="00FD62C4">
        <w:rPr>
          <w:lang w:eastAsia="ko-KR"/>
        </w:rPr>
        <w:t xml:space="preserve">. The interference coverage area of the transmitter is defined as the area where the power level of the signal from the transmitter exceeds a certain threshold. This is similar to the spectrum usage contour discussed in </w:t>
      </w:r>
      <w:r w:rsidR="00EB1C8C" w:rsidRPr="00FD62C4">
        <w:rPr>
          <w:lang w:eastAsia="ko-KR"/>
        </w:rPr>
        <w:t>§</w:t>
      </w:r>
      <w:r w:rsidRPr="00FD62C4">
        <w:rPr>
          <w:lang w:eastAsia="ko-KR"/>
        </w:rPr>
        <w:t xml:space="preserve"> </w:t>
      </w:r>
      <w:r w:rsidRPr="00FD62C4">
        <w:t>A</w:t>
      </w:r>
      <w:r w:rsidR="00A92DF1" w:rsidRPr="00FD62C4">
        <w:t>1.</w:t>
      </w:r>
      <w:r w:rsidRPr="00FD62C4">
        <w:rPr>
          <w:lang w:eastAsia="ko-KR"/>
        </w:rPr>
        <w:t>3.2.1. The coverage area is calculated as a function of range and antenna pattern.</w:t>
      </w:r>
    </w:p>
    <w:p w14:paraId="3261E88B" w14:textId="77777777" w:rsidR="00A812FA" w:rsidRPr="00FD62C4" w:rsidRDefault="00A812FA" w:rsidP="00A812FA">
      <w:pPr>
        <w:pStyle w:val="enumlev1"/>
        <w:rPr>
          <w:lang w:eastAsia="zh-CN"/>
        </w:rPr>
      </w:pPr>
      <w:r w:rsidRPr="00FD62C4">
        <w:rPr>
          <w:lang w:eastAsia="ko-KR"/>
        </w:rPr>
        <w:tab/>
        <w:t xml:space="preserve">The range </w:t>
      </w:r>
      <m:oMath>
        <m:sSub>
          <m:sSubPr>
            <m:ctrlPr>
              <w:rPr>
                <w:rFonts w:ascii="Cambria Math" w:hAnsi="Cambria Math"/>
                <w:i/>
              </w:rPr>
            </m:ctrlPr>
          </m:sSubPr>
          <m:e>
            <m:r>
              <w:rPr>
                <w:rFonts w:ascii="Cambria Math" w:hAnsi="Cambria Math"/>
              </w:rPr>
              <m:t>d</m:t>
            </m:r>
          </m:e>
          <m:sub>
            <m:r>
              <w:rPr>
                <w:rFonts w:ascii="Cambria Math" w:hAnsi="Cambria Math"/>
              </w:rPr>
              <m:t>(s)</m:t>
            </m:r>
          </m:sub>
        </m:sSub>
      </m:oMath>
      <w:r w:rsidRPr="00FD62C4">
        <w:rPr>
          <w:lang w:eastAsia="ko-KR"/>
        </w:rPr>
        <w:t xml:space="preserve"> is defined as the distance from the transmitter, in the direction of maximum gain of the antenna, at which the signal power reaches the threshold value determined by the victim receiver’s sensitivity to interference. It can be calculated using the following equation and information</w:t>
      </w:r>
      <w:r w:rsidRPr="00FD62C4">
        <w:rPr>
          <w:rStyle w:val="FootnoteReference"/>
          <w:lang w:eastAsia="ko-KR"/>
        </w:rPr>
        <w:footnoteReference w:id="16"/>
      </w:r>
      <w:r w:rsidRPr="00FD62C4">
        <w:rPr>
          <w:lang w:eastAsia="ko-KR"/>
        </w:rPr>
        <w:t>:</w:t>
      </w:r>
    </w:p>
    <w:p w14:paraId="7122E58C" w14:textId="11A98769" w:rsidR="00A812FA" w:rsidRPr="00FD62C4" w:rsidRDefault="00A812FA" w:rsidP="00A812FA">
      <w:pPr>
        <w:pStyle w:val="Equation"/>
      </w:pPr>
      <w:r w:rsidRPr="00FD62C4">
        <w:tab/>
      </w:r>
      <w:r w:rsidRPr="00FD62C4">
        <w:tab/>
      </w:r>
      <m:oMath>
        <m:r>
          <w:rPr>
            <w:rFonts w:ascii="Cambria Math" w:hAnsi="Cambria Math"/>
          </w:rPr>
          <m:t>P</m:t>
        </m:r>
        <m:sSub>
          <m:sSubPr>
            <m:ctrlPr>
              <w:rPr>
                <w:rFonts w:ascii="Cambria Math" w:hAnsi="Cambria Math"/>
                <w:i/>
              </w:rPr>
            </m:ctrlPr>
          </m:sSubPr>
          <m:e>
            <m:r>
              <w:rPr>
                <w:rFonts w:ascii="Cambria Math" w:hAnsi="Cambria Math"/>
              </w:rPr>
              <m:t>L</m:t>
            </m:r>
          </m:e>
          <m:sub>
            <m:r>
              <w:rPr>
                <w:rFonts w:ascii="Cambria Math" w:hAnsi="Cambria Math"/>
              </w:rPr>
              <m:t>(s)</m:t>
            </m:r>
          </m:sub>
        </m:sSub>
        <m:d>
          <m:dPr>
            <m:ctrlPr>
              <w:rPr>
                <w:rFonts w:ascii="Cambria Math" w:hAnsi="Cambria Math"/>
                <w:i/>
              </w:rPr>
            </m:ctrlPr>
          </m:dPr>
          <m:e>
            <m:sSub>
              <m:sSubPr>
                <m:ctrlPr>
                  <w:rPr>
                    <w:rFonts w:ascii="Cambria Math" w:hAnsi="Cambria Math"/>
                    <w:i/>
                  </w:rPr>
                </m:ctrlPr>
              </m:sSubPr>
              <m:e>
                <m:r>
                  <w:rPr>
                    <w:rFonts w:ascii="Cambria Math" w:hAnsi="Cambria Math"/>
                  </w:rPr>
                  <m:t>d</m:t>
                </m:r>
              </m:e>
              <m:sub>
                <m:r>
                  <w:rPr>
                    <w:rFonts w:ascii="Cambria Math" w:hAnsi="Cambria Math"/>
                  </w:rPr>
                  <m:t>(s)</m:t>
                </m:r>
              </m:sub>
            </m:sSub>
          </m:e>
        </m:d>
        <m:r>
          <w:rPr>
            <w:rFonts w:ascii="Cambria Math" w:hAnsi="Cambria Math"/>
            <w:lang w:eastAsia="ko-KR"/>
          </w:rPr>
          <m:t>=EIR</m:t>
        </m:r>
        <m:sSub>
          <m:sSubPr>
            <m:ctrlPr>
              <w:rPr>
                <w:rFonts w:ascii="Cambria Math" w:hAnsi="Cambria Math"/>
                <w:i/>
                <w:lang w:eastAsia="ko-KR"/>
              </w:rPr>
            </m:ctrlPr>
          </m:sSubPr>
          <m:e>
            <m:r>
              <w:rPr>
                <w:rFonts w:ascii="Cambria Math" w:hAnsi="Cambria Math"/>
                <w:lang w:eastAsia="ko-KR"/>
              </w:rPr>
              <m:t>P</m:t>
            </m:r>
          </m:e>
          <m:sub>
            <m:r>
              <w:rPr>
                <w:rFonts w:ascii="Cambria Math" w:hAnsi="Cambria Math"/>
                <w:lang w:eastAsia="ko-KR"/>
              </w:rPr>
              <m:t>(s)</m:t>
            </m:r>
          </m:sub>
        </m:sSub>
        <m:r>
          <w:rPr>
            <w:rFonts w:ascii="Cambria Math" w:hAnsi="Cambria Math"/>
            <w:lang w:eastAsia="ko-KR"/>
          </w:rPr>
          <m:t>-10</m:t>
        </m:r>
        <m:func>
          <m:funcPr>
            <m:ctrlPr>
              <w:rPr>
                <w:rFonts w:ascii="Cambria Math" w:hAnsi="Cambria Math"/>
                <w:i/>
                <w:lang w:eastAsia="ko-KR"/>
              </w:rPr>
            </m:ctrlPr>
          </m:funcPr>
          <m:fName>
            <m:r>
              <m:rPr>
                <m:sty m:val="p"/>
              </m:rPr>
              <w:rPr>
                <w:rFonts w:ascii="Cambria Math" w:hAnsi="Cambria Math"/>
                <w:lang w:eastAsia="ko-KR"/>
              </w:rPr>
              <m:t>log</m:t>
            </m:r>
          </m:fName>
          <m:e>
            <m:d>
              <m:dPr>
                <m:ctrlPr>
                  <w:rPr>
                    <w:rFonts w:ascii="Cambria Math" w:hAnsi="Cambria Math"/>
                    <w:i/>
                    <w:lang w:eastAsia="ko-KR"/>
                  </w:rPr>
                </m:ctrlPr>
              </m:dPr>
              <m:e>
                <m:sSub>
                  <m:sSubPr>
                    <m:ctrlPr>
                      <w:rPr>
                        <w:rFonts w:ascii="Cambria Math" w:hAnsi="Cambria Math"/>
                        <w:i/>
                        <w:lang w:eastAsia="ko-KR"/>
                      </w:rPr>
                    </m:ctrlPr>
                  </m:sSubPr>
                  <m:e>
                    <m:r>
                      <w:rPr>
                        <w:rFonts w:ascii="Cambria Math" w:hAnsi="Cambria Math"/>
                        <w:lang w:eastAsia="ko-KR"/>
                      </w:rPr>
                      <m:t>B</m:t>
                    </m:r>
                  </m:e>
                  <m:sub>
                    <m:r>
                      <w:rPr>
                        <w:rFonts w:ascii="Cambria Math" w:hAnsi="Cambria Math"/>
                        <w:lang w:eastAsia="ko-KR"/>
                      </w:rPr>
                      <m:t>(s)</m:t>
                    </m:r>
                  </m:sub>
                </m:sSub>
              </m:e>
            </m:d>
          </m:e>
        </m:func>
        <m:r>
          <w:rPr>
            <w:rFonts w:ascii="Cambria Math" w:hAnsi="Cambria Math"/>
            <w:lang w:eastAsia="ko-KR"/>
          </w:rPr>
          <m:t>-</m:t>
        </m:r>
        <m:sSub>
          <m:sSubPr>
            <m:ctrlPr>
              <w:rPr>
                <w:rFonts w:ascii="Cambria Math" w:hAnsi="Cambria Math"/>
                <w:i/>
                <w:lang w:eastAsia="ko-KR"/>
              </w:rPr>
            </m:ctrlPr>
          </m:sSubPr>
          <m:e>
            <m:r>
              <w:rPr>
                <w:rFonts w:ascii="Cambria Math" w:hAnsi="Cambria Math"/>
                <w:lang w:eastAsia="ko-KR"/>
              </w:rPr>
              <m:t>PSD</m:t>
            </m:r>
          </m:e>
          <m:sub>
            <m:r>
              <w:rPr>
                <w:rFonts w:ascii="Cambria Math" w:hAnsi="Cambria Math"/>
                <w:lang w:eastAsia="ko-KR"/>
              </w:rPr>
              <m:t>th</m:t>
            </m:r>
          </m:sub>
        </m:sSub>
      </m:oMath>
      <w:r w:rsidRPr="00FD62C4">
        <w:tab/>
        <w:t>(</w:t>
      </w:r>
      <w:r w:rsidR="00FC4C90" w:rsidRPr="00FD62C4">
        <w:t>A1</w:t>
      </w:r>
      <w:r w:rsidRPr="00FD62C4">
        <w:t>-9)</w:t>
      </w:r>
    </w:p>
    <w:p w14:paraId="62CD2FE2" w14:textId="77777777" w:rsidR="00A812FA" w:rsidRPr="00FD62C4" w:rsidRDefault="00A812FA" w:rsidP="00A812FA">
      <w:pPr>
        <w:keepNext/>
      </w:pPr>
      <w:r w:rsidRPr="00FD62C4">
        <w:tab/>
        <w:t>where:</w:t>
      </w:r>
    </w:p>
    <w:p w14:paraId="74B2CD09" w14:textId="6A5F67E3" w:rsidR="00A812FA" w:rsidRPr="00FD62C4" w:rsidRDefault="00A812FA" w:rsidP="00A812FA">
      <w:pPr>
        <w:pStyle w:val="Equationlegend"/>
        <w:rPr>
          <w:lang w:val="en-GB"/>
        </w:rPr>
      </w:pPr>
      <w:r w:rsidRPr="00FD62C4">
        <w:rPr>
          <w:i/>
          <w:lang w:val="en-GB"/>
        </w:rPr>
        <w:tab/>
      </w:r>
      <m:oMath>
        <m:r>
          <w:rPr>
            <w:rFonts w:ascii="Cambria Math" w:hAnsi="Cambria Math"/>
            <w:lang w:val="en-GB"/>
          </w:rPr>
          <m:t>P</m:t>
        </m:r>
        <m:sSub>
          <m:sSubPr>
            <m:ctrlPr>
              <w:rPr>
                <w:rFonts w:ascii="Cambria Math" w:hAnsi="Cambria Math"/>
                <w:i/>
                <w:lang w:val="en-GB"/>
              </w:rPr>
            </m:ctrlPr>
          </m:sSubPr>
          <m:e>
            <m:r>
              <w:rPr>
                <w:rFonts w:ascii="Cambria Math" w:hAnsi="Cambria Math"/>
                <w:lang w:val="en-GB"/>
              </w:rPr>
              <m:t>L</m:t>
            </m:r>
          </m:e>
          <m:sub>
            <m:r>
              <w:rPr>
                <w:rFonts w:ascii="Cambria Math" w:hAnsi="Cambria Math"/>
                <w:lang w:val="en-GB"/>
              </w:rPr>
              <m:t>(s)</m:t>
            </m:r>
          </m:sub>
        </m:sSub>
        <m:r>
          <w:rPr>
            <w:rFonts w:ascii="Cambria Math" w:hAnsi="Cambria Math"/>
            <w:lang w:val="en-GB"/>
          </w:rPr>
          <m:t>(∙)</m:t>
        </m:r>
      </m:oMath>
      <w:r w:rsidRPr="00FD62C4">
        <w:rPr>
          <w:lang w:val="en-GB"/>
        </w:rPr>
        <w:t>:</w:t>
      </w:r>
      <w:r w:rsidR="00EA5839">
        <w:rPr>
          <w:lang w:val="en-GB"/>
        </w:rPr>
        <w:tab/>
      </w:r>
      <w:r w:rsidRPr="00FD62C4">
        <w:rPr>
          <w:lang w:val="en-GB"/>
        </w:rPr>
        <w:t>pathloss function for the transmitter signal (in dB)</w:t>
      </w:r>
    </w:p>
    <w:p w14:paraId="0A70CD9B" w14:textId="7F04DD82" w:rsidR="00A812FA" w:rsidRPr="00FD62C4" w:rsidRDefault="00A812FA" w:rsidP="00A812FA">
      <w:pPr>
        <w:pStyle w:val="Equationlegend"/>
        <w:rPr>
          <w:lang w:val="en-GB"/>
        </w:rPr>
      </w:pPr>
      <w:r w:rsidRPr="00FD62C4">
        <w:rPr>
          <w:i/>
          <w:lang w:val="en-GB"/>
        </w:rPr>
        <w:tab/>
      </w:r>
      <m:oMath>
        <m:sSub>
          <m:sSubPr>
            <m:ctrlPr>
              <w:rPr>
                <w:rFonts w:ascii="Cambria Math" w:hAnsi="Cambria Math"/>
                <w:i/>
                <w:lang w:val="en-GB"/>
              </w:rPr>
            </m:ctrlPr>
          </m:sSubPr>
          <m:e>
            <m:r>
              <w:rPr>
                <w:rFonts w:ascii="Cambria Math" w:hAnsi="Cambria Math"/>
                <w:lang w:val="en-GB"/>
              </w:rPr>
              <m:t>d</m:t>
            </m:r>
          </m:e>
          <m:sub>
            <m:r>
              <w:rPr>
                <w:rFonts w:ascii="Cambria Math" w:hAnsi="Cambria Math"/>
                <w:lang w:val="en-GB"/>
              </w:rPr>
              <m:t>(s)</m:t>
            </m:r>
          </m:sub>
        </m:sSub>
      </m:oMath>
      <w:r w:rsidRPr="00FD62C4">
        <w:rPr>
          <w:i/>
          <w:lang w:val="en-GB" w:eastAsia="ko-KR"/>
        </w:rPr>
        <w:t xml:space="preserve"> </w:t>
      </w:r>
      <w:r w:rsidRPr="00FD62C4">
        <w:rPr>
          <w:lang w:val="en-GB"/>
        </w:rPr>
        <w:t>:</w:t>
      </w:r>
      <w:r w:rsidRPr="00FD62C4">
        <w:rPr>
          <w:lang w:val="en-GB"/>
        </w:rPr>
        <w:tab/>
        <w:t xml:space="preserve"> range (in met</w:t>
      </w:r>
      <w:r w:rsidR="00EB5503" w:rsidRPr="00FD62C4">
        <w:rPr>
          <w:lang w:val="en-GB"/>
        </w:rPr>
        <w:t>r</w:t>
      </w:r>
      <w:r w:rsidRPr="00FD62C4">
        <w:rPr>
          <w:lang w:val="en-GB"/>
        </w:rPr>
        <w:t>es)</w:t>
      </w:r>
    </w:p>
    <w:p w14:paraId="248C6630" w14:textId="2C250ED3" w:rsidR="00A812FA" w:rsidRPr="00FD62C4" w:rsidRDefault="00A812FA" w:rsidP="00A812FA">
      <w:pPr>
        <w:pStyle w:val="Equationlegend"/>
        <w:rPr>
          <w:lang w:val="en-GB"/>
        </w:rPr>
      </w:pPr>
      <w:r w:rsidRPr="00FD62C4">
        <w:rPr>
          <w:i/>
          <w:lang w:val="en-GB"/>
        </w:rPr>
        <w:tab/>
      </w:r>
      <m:oMath>
        <m:r>
          <w:rPr>
            <w:rFonts w:ascii="Cambria Math" w:hAnsi="Cambria Math"/>
            <w:lang w:val="en-GB"/>
          </w:rPr>
          <m:t>EIR</m:t>
        </m:r>
        <m:sSub>
          <m:sSubPr>
            <m:ctrlPr>
              <w:rPr>
                <w:rFonts w:ascii="Cambria Math" w:hAnsi="Cambria Math"/>
                <w:i/>
                <w:lang w:val="en-GB"/>
              </w:rPr>
            </m:ctrlPr>
          </m:sSubPr>
          <m:e>
            <m:r>
              <w:rPr>
                <w:rFonts w:ascii="Cambria Math" w:hAnsi="Cambria Math"/>
                <w:lang w:val="en-GB"/>
              </w:rPr>
              <m:t>P</m:t>
            </m:r>
          </m:e>
          <m:sub>
            <m:r>
              <w:rPr>
                <w:rFonts w:ascii="Cambria Math" w:hAnsi="Cambria Math"/>
                <w:lang w:val="en-GB"/>
              </w:rPr>
              <m:t>(s)</m:t>
            </m:r>
          </m:sub>
        </m:sSub>
      </m:oMath>
      <w:r w:rsidRPr="00FD62C4">
        <w:rPr>
          <w:lang w:val="en-GB"/>
        </w:rPr>
        <w:t>:</w:t>
      </w:r>
      <w:r w:rsidRPr="00FD62C4">
        <w:rPr>
          <w:lang w:val="en-GB"/>
        </w:rPr>
        <w:tab/>
        <w:t xml:space="preserve"> transmitter equivalent isotropic radiated power (in dBm)</w:t>
      </w:r>
    </w:p>
    <w:p w14:paraId="3938FFBA" w14:textId="7791200C" w:rsidR="00A812FA" w:rsidRPr="00FD62C4" w:rsidRDefault="00A812FA" w:rsidP="00A812FA">
      <w:pPr>
        <w:pStyle w:val="Equationlegend"/>
        <w:rPr>
          <w:lang w:val="en-GB"/>
        </w:rPr>
      </w:pPr>
      <w:r w:rsidRPr="00FD62C4">
        <w:rPr>
          <w:i/>
          <w:lang w:val="en-GB"/>
        </w:rPr>
        <w:tab/>
      </w:r>
      <m:oMath>
        <m:sSub>
          <m:sSubPr>
            <m:ctrlPr>
              <w:rPr>
                <w:rFonts w:ascii="Cambria Math" w:hAnsi="Cambria Math"/>
                <w:i/>
                <w:lang w:val="en-GB"/>
              </w:rPr>
            </m:ctrlPr>
          </m:sSubPr>
          <m:e>
            <m:r>
              <w:rPr>
                <w:rFonts w:ascii="Cambria Math" w:hAnsi="Cambria Math"/>
                <w:lang w:val="en-GB"/>
              </w:rPr>
              <m:t>B</m:t>
            </m:r>
          </m:e>
          <m:sub>
            <m:r>
              <w:rPr>
                <w:rFonts w:ascii="Cambria Math" w:hAnsi="Cambria Math"/>
                <w:lang w:val="en-GB"/>
              </w:rPr>
              <m:t>(s)</m:t>
            </m:r>
          </m:sub>
        </m:sSub>
      </m:oMath>
      <w:r w:rsidRPr="00FD62C4">
        <w:rPr>
          <w:lang w:val="en-GB"/>
        </w:rPr>
        <w:t>:</w:t>
      </w:r>
      <w:r w:rsidRPr="00FD62C4">
        <w:rPr>
          <w:lang w:val="en-GB"/>
        </w:rPr>
        <w:tab/>
        <w:t xml:space="preserve"> width of the channel occupied by the transmitter</w:t>
      </w:r>
      <w:r w:rsidRPr="00FD62C4">
        <w:rPr>
          <w:lang w:val="en-GB" w:eastAsia="ko-KR"/>
        </w:rPr>
        <w:t xml:space="preserve"> (in Hz)</w:t>
      </w:r>
    </w:p>
    <w:p w14:paraId="5AB75690" w14:textId="15E92222" w:rsidR="00A812FA" w:rsidRPr="00FD62C4" w:rsidRDefault="00A812FA" w:rsidP="00A812FA">
      <w:pPr>
        <w:pStyle w:val="Equationlegend"/>
        <w:rPr>
          <w:lang w:val="en-GB"/>
        </w:rPr>
      </w:pPr>
      <w:r w:rsidRPr="00FD62C4">
        <w:rPr>
          <w:i/>
          <w:lang w:val="en-GB"/>
        </w:rPr>
        <w:tab/>
      </w:r>
      <m:oMath>
        <m:sSub>
          <m:sSubPr>
            <m:ctrlPr>
              <w:rPr>
                <w:rFonts w:ascii="Cambria Math" w:hAnsi="Cambria Math"/>
                <w:i/>
                <w:lang w:val="en-GB" w:eastAsia="ko-KR"/>
              </w:rPr>
            </m:ctrlPr>
          </m:sSubPr>
          <m:e>
            <m:r>
              <w:rPr>
                <w:rFonts w:ascii="Cambria Math" w:hAnsi="Cambria Math"/>
                <w:lang w:val="en-GB" w:eastAsia="ko-KR"/>
              </w:rPr>
              <m:t>PSD</m:t>
            </m:r>
          </m:e>
          <m:sub>
            <m:r>
              <w:rPr>
                <w:rFonts w:ascii="Cambria Math" w:hAnsi="Cambria Math"/>
                <w:lang w:val="en-GB" w:eastAsia="ko-KR"/>
              </w:rPr>
              <m:t>th</m:t>
            </m:r>
          </m:sub>
        </m:sSub>
      </m:oMath>
      <w:r w:rsidRPr="00FD62C4">
        <w:rPr>
          <w:lang w:val="en-GB"/>
        </w:rPr>
        <w:t>:</w:t>
      </w:r>
      <w:r w:rsidRPr="00FD62C4">
        <w:rPr>
          <w:lang w:val="en-GB"/>
        </w:rPr>
        <w:tab/>
        <w:t xml:space="preserve"> power spectral density threshold (in dBm/Hz).</w:t>
      </w:r>
    </w:p>
    <w:p w14:paraId="4680C3E7" w14:textId="77777777" w:rsidR="00A812FA" w:rsidRPr="00FD62C4" w:rsidRDefault="00A812FA" w:rsidP="00A812FA">
      <w:pPr>
        <w:pStyle w:val="enumlev1"/>
        <w:rPr>
          <w:lang w:eastAsia="zh-CN"/>
        </w:rPr>
      </w:pPr>
      <w:r w:rsidRPr="00FD62C4">
        <w:rPr>
          <w:lang w:eastAsia="ko-KR"/>
        </w:rPr>
        <w:tab/>
        <w:t xml:space="preserve">Directive antennas increase power radiation in specific directions, reducing it in others. This enhancement is reflected in the </w:t>
      </w:r>
      <m:oMath>
        <m:r>
          <w:rPr>
            <w:rFonts w:ascii="Cambria Math" w:hAnsi="Cambria Math"/>
          </w:rPr>
          <m:t>EIRP</m:t>
        </m:r>
      </m:oMath>
      <w:r w:rsidRPr="00FD62C4">
        <w:rPr>
          <w:lang w:eastAsia="ko-KR"/>
        </w:rPr>
        <w:t xml:space="preserve"> as antenna gain, resulting in increased radiated power and, consequently, extended range. Conversely, the reduction in coverage alters the area from a full circle to a sector determined by the antenna’s beamwidth </w:t>
      </w:r>
      <m:oMath>
        <m:r>
          <w:rPr>
            <w:rFonts w:ascii="Cambria Math" w:hAnsi="Cambria Math"/>
            <w:lang w:eastAsia="ko-KR"/>
          </w:rPr>
          <m:t>b</m:t>
        </m:r>
        <m:sSub>
          <m:sSubPr>
            <m:ctrlPr>
              <w:rPr>
                <w:rFonts w:ascii="Cambria Math" w:hAnsi="Cambria Math"/>
                <w:i/>
                <w:lang w:eastAsia="ko-KR"/>
              </w:rPr>
            </m:ctrlPr>
          </m:sSubPr>
          <m:e>
            <m:r>
              <w:rPr>
                <w:rFonts w:ascii="Cambria Math" w:hAnsi="Cambria Math"/>
                <w:lang w:eastAsia="ko-KR"/>
              </w:rPr>
              <m:t>w</m:t>
            </m:r>
          </m:e>
          <m:sub>
            <m:r>
              <w:rPr>
                <w:rFonts w:ascii="Cambria Math" w:hAnsi="Cambria Math"/>
                <w:lang w:eastAsia="ko-KR"/>
              </w:rPr>
              <m:t>(s)</m:t>
            </m:r>
          </m:sub>
        </m:sSub>
      </m:oMath>
      <w:r w:rsidRPr="00FD62C4">
        <w:rPr>
          <w:lang w:eastAsia="ko-KR"/>
        </w:rPr>
        <w:t xml:space="preserve">. The interference coverage area </w:t>
      </w:r>
      <m:oMath>
        <m:r>
          <w:rPr>
            <w:rFonts w:ascii="Cambria Math" w:hAnsi="Cambria Math"/>
          </w:rPr>
          <m:t>IC</m:t>
        </m:r>
        <m:sSub>
          <m:sSubPr>
            <m:ctrlPr>
              <w:rPr>
                <w:rFonts w:ascii="Cambria Math" w:hAnsi="Cambria Math"/>
                <w:i/>
              </w:rPr>
            </m:ctrlPr>
          </m:sSubPr>
          <m:e>
            <m:r>
              <w:rPr>
                <w:rFonts w:ascii="Cambria Math" w:hAnsi="Cambria Math"/>
              </w:rPr>
              <m:t>A</m:t>
            </m:r>
          </m:e>
          <m:sub>
            <m:r>
              <w:rPr>
                <w:rFonts w:ascii="Cambria Math" w:hAnsi="Cambria Math"/>
              </w:rPr>
              <m:t>(s)</m:t>
            </m:r>
          </m:sub>
        </m:sSub>
      </m:oMath>
      <w:r w:rsidRPr="00FD62C4">
        <w:rPr>
          <w:lang w:eastAsia="ko-KR"/>
        </w:rPr>
        <w:t xml:space="preserve"> can thus be calculated using the following equation and information:</w:t>
      </w:r>
    </w:p>
    <w:p w14:paraId="54E85CD8" w14:textId="6F75BDE3" w:rsidR="00A812FA" w:rsidRPr="00FD62C4" w:rsidRDefault="00A812FA" w:rsidP="00A812FA">
      <w:pPr>
        <w:pStyle w:val="Equation"/>
      </w:pPr>
      <w:r w:rsidRPr="00FD62C4">
        <w:tab/>
      </w:r>
      <w:r w:rsidRPr="00FD62C4">
        <w:tab/>
      </w:r>
      <m:oMath>
        <m:r>
          <w:rPr>
            <w:rFonts w:ascii="Cambria Math" w:hAnsi="Cambria Math"/>
          </w:rPr>
          <m:t>IC</m:t>
        </m:r>
        <m:sSub>
          <m:sSubPr>
            <m:ctrlPr>
              <w:rPr>
                <w:rFonts w:ascii="Cambria Math" w:hAnsi="Cambria Math"/>
                <w:i/>
              </w:rPr>
            </m:ctrlPr>
          </m:sSubPr>
          <m:e>
            <m:r>
              <w:rPr>
                <w:rFonts w:ascii="Cambria Math" w:hAnsi="Cambria Math"/>
              </w:rPr>
              <m:t>A</m:t>
            </m:r>
          </m:e>
          <m:sub>
            <m:r>
              <w:rPr>
                <w:rFonts w:ascii="Cambria Math" w:hAnsi="Cambria Math"/>
              </w:rPr>
              <m:t>(s)</m:t>
            </m:r>
          </m:sub>
        </m:sSub>
        <m:r>
          <w:rPr>
            <w:rFonts w:ascii="Cambria Math" w:hAnsi="Cambria Math"/>
            <w:lang w:eastAsia="ko-KR"/>
          </w:rPr>
          <m:t>=</m:t>
        </m:r>
        <m:r>
          <m:rPr>
            <m:sty m:val="p"/>
          </m:rPr>
          <w:rPr>
            <w:rFonts w:ascii="Cambria Math" w:hAnsi="Cambria Math"/>
            <w:lang w:eastAsia="ko-KR"/>
          </w:rPr>
          <m:t>π</m:t>
        </m:r>
        <m:sSubSup>
          <m:sSubSupPr>
            <m:ctrlPr>
              <w:rPr>
                <w:rFonts w:ascii="Cambria Math" w:hAnsi="Cambria Math"/>
                <w:i/>
                <w:lang w:eastAsia="ko-KR"/>
              </w:rPr>
            </m:ctrlPr>
          </m:sSubSupPr>
          <m:e>
            <m:r>
              <w:rPr>
                <w:rFonts w:ascii="Cambria Math" w:hAnsi="Cambria Math"/>
                <w:lang w:eastAsia="ko-KR"/>
              </w:rPr>
              <m:t>d</m:t>
            </m:r>
          </m:e>
          <m:sub>
            <m:d>
              <m:dPr>
                <m:ctrlPr>
                  <w:rPr>
                    <w:rFonts w:ascii="Cambria Math" w:hAnsi="Cambria Math"/>
                    <w:i/>
                    <w:lang w:eastAsia="ko-KR"/>
                  </w:rPr>
                </m:ctrlPr>
              </m:dPr>
              <m:e>
                <m:r>
                  <w:rPr>
                    <w:rFonts w:ascii="Cambria Math" w:hAnsi="Cambria Math"/>
                    <w:lang w:eastAsia="ko-KR"/>
                  </w:rPr>
                  <m:t>s</m:t>
                </m:r>
              </m:e>
            </m:d>
          </m:sub>
          <m:sup>
            <m:r>
              <w:rPr>
                <w:rFonts w:ascii="Cambria Math" w:hAnsi="Cambria Math"/>
                <w:lang w:eastAsia="ko-KR"/>
              </w:rPr>
              <m:t>2</m:t>
            </m:r>
          </m:sup>
        </m:sSubSup>
        <m:r>
          <w:rPr>
            <w:rFonts w:ascii="Cambria Math" w:hAnsi="Cambria Math"/>
            <w:lang w:eastAsia="ko-KR"/>
          </w:rPr>
          <m:t>(b</m:t>
        </m:r>
        <m:sSub>
          <m:sSubPr>
            <m:ctrlPr>
              <w:rPr>
                <w:rFonts w:ascii="Cambria Math" w:hAnsi="Cambria Math"/>
                <w:i/>
                <w:lang w:eastAsia="ko-KR"/>
              </w:rPr>
            </m:ctrlPr>
          </m:sSubPr>
          <m:e>
            <m:r>
              <w:rPr>
                <w:rFonts w:ascii="Cambria Math" w:hAnsi="Cambria Math"/>
                <w:lang w:eastAsia="ko-KR"/>
              </w:rPr>
              <m:t>w</m:t>
            </m:r>
          </m:e>
          <m:sub>
            <m:d>
              <m:dPr>
                <m:ctrlPr>
                  <w:rPr>
                    <w:rFonts w:ascii="Cambria Math" w:hAnsi="Cambria Math"/>
                    <w:i/>
                    <w:lang w:eastAsia="ko-KR"/>
                  </w:rPr>
                </m:ctrlPr>
              </m:dPr>
              <m:e>
                <m:r>
                  <w:rPr>
                    <w:rFonts w:ascii="Cambria Math" w:hAnsi="Cambria Math"/>
                    <w:lang w:eastAsia="ko-KR"/>
                  </w:rPr>
                  <m:t>s</m:t>
                </m:r>
              </m:e>
            </m:d>
          </m:sub>
        </m:sSub>
        <m:r>
          <w:rPr>
            <w:rFonts w:ascii="Cambria Math" w:hAnsi="Cambria Math"/>
            <w:lang w:eastAsia="ko-KR"/>
          </w:rPr>
          <m:t>/360)</m:t>
        </m:r>
      </m:oMath>
      <w:r w:rsidRPr="00FD62C4">
        <w:tab/>
        <w:t>(</w:t>
      </w:r>
      <w:r w:rsidR="00FC4C90" w:rsidRPr="00FD62C4">
        <w:t>A1</w:t>
      </w:r>
      <w:r w:rsidRPr="00FD62C4">
        <w:t>-10)</w:t>
      </w:r>
    </w:p>
    <w:p w14:paraId="713EA1D5" w14:textId="77777777" w:rsidR="00A812FA" w:rsidRPr="00FD62C4" w:rsidRDefault="00A812FA" w:rsidP="00A812FA">
      <w:pPr>
        <w:keepNext/>
      </w:pPr>
      <w:r w:rsidRPr="00FD62C4">
        <w:tab/>
        <w:t>where:</w:t>
      </w:r>
    </w:p>
    <w:p w14:paraId="0AD360A4" w14:textId="4418FC54" w:rsidR="00A812FA" w:rsidRPr="00FD62C4" w:rsidRDefault="00A812FA" w:rsidP="00A812FA">
      <w:pPr>
        <w:pStyle w:val="Equationlegend"/>
        <w:rPr>
          <w:lang w:val="en-GB"/>
        </w:rPr>
      </w:pPr>
      <w:r w:rsidRPr="00FD62C4">
        <w:rPr>
          <w:lang w:val="en-GB"/>
        </w:rPr>
        <w:tab/>
      </w:r>
      <m:oMath>
        <m:r>
          <w:rPr>
            <w:rFonts w:ascii="Cambria Math" w:hAnsi="Cambria Math"/>
            <w:lang w:val="en-GB"/>
          </w:rPr>
          <m:t>IC</m:t>
        </m:r>
        <m:sSub>
          <m:sSubPr>
            <m:ctrlPr>
              <w:rPr>
                <w:rFonts w:ascii="Cambria Math" w:hAnsi="Cambria Math"/>
                <w:lang w:val="en-GB"/>
              </w:rPr>
            </m:ctrlPr>
          </m:sSubPr>
          <m:e>
            <m:r>
              <w:rPr>
                <w:rFonts w:ascii="Cambria Math" w:hAnsi="Cambria Math"/>
                <w:lang w:val="en-GB"/>
              </w:rPr>
              <m:t>A</m:t>
            </m:r>
          </m:e>
          <m:sub>
            <m:r>
              <m:rPr>
                <m:sty m:val="p"/>
              </m:rPr>
              <w:rPr>
                <w:rFonts w:ascii="Cambria Math" w:hAnsi="Cambria Math"/>
                <w:lang w:val="en-GB"/>
              </w:rPr>
              <m:t>(</m:t>
            </m:r>
            <m:r>
              <w:rPr>
                <w:rFonts w:ascii="Cambria Math" w:hAnsi="Cambria Math"/>
                <w:lang w:val="en-GB"/>
              </w:rPr>
              <m:t>s</m:t>
            </m:r>
            <m:r>
              <m:rPr>
                <m:sty m:val="p"/>
              </m:rPr>
              <w:rPr>
                <w:rFonts w:ascii="Cambria Math" w:hAnsi="Cambria Math"/>
                <w:lang w:val="en-GB"/>
              </w:rPr>
              <m:t>)</m:t>
            </m:r>
          </m:sub>
        </m:sSub>
      </m:oMath>
      <w:r w:rsidRPr="00FD62C4">
        <w:rPr>
          <w:lang w:val="en-GB"/>
        </w:rPr>
        <w:t>:</w:t>
      </w:r>
      <w:r w:rsidRPr="00FD62C4">
        <w:rPr>
          <w:lang w:val="en-GB"/>
        </w:rPr>
        <w:tab/>
        <w:t>interference coverage area (in square meters)</w:t>
      </w:r>
    </w:p>
    <w:p w14:paraId="6A2F3B95" w14:textId="7943480A" w:rsidR="00A812FA" w:rsidRPr="00FD62C4" w:rsidRDefault="00A812FA" w:rsidP="00A812FA">
      <w:pPr>
        <w:pStyle w:val="Equationlegend"/>
        <w:rPr>
          <w:lang w:val="en-GB"/>
        </w:rPr>
      </w:pPr>
      <w:r w:rsidRPr="00FD62C4">
        <w:rPr>
          <w:lang w:val="en-GB"/>
        </w:rPr>
        <w:tab/>
      </w:r>
      <m:oMath>
        <m:sSub>
          <m:sSubPr>
            <m:ctrlPr>
              <w:rPr>
                <w:rFonts w:ascii="Cambria Math" w:hAnsi="Cambria Math"/>
                <w:lang w:val="en-GB"/>
              </w:rPr>
            </m:ctrlPr>
          </m:sSubPr>
          <m:e>
            <m:r>
              <w:rPr>
                <w:rFonts w:ascii="Cambria Math" w:hAnsi="Cambria Math"/>
                <w:lang w:val="en-GB"/>
              </w:rPr>
              <m:t>d</m:t>
            </m:r>
          </m:e>
          <m:sub>
            <m:r>
              <m:rPr>
                <m:sty m:val="p"/>
              </m:rPr>
              <w:rPr>
                <w:rFonts w:ascii="Cambria Math" w:hAnsi="Cambria Math"/>
                <w:lang w:val="en-GB"/>
              </w:rPr>
              <m:t>(</m:t>
            </m:r>
            <m:r>
              <w:rPr>
                <w:rFonts w:ascii="Cambria Math" w:hAnsi="Cambria Math"/>
                <w:lang w:val="en-GB"/>
              </w:rPr>
              <m:t>s</m:t>
            </m:r>
            <m:r>
              <m:rPr>
                <m:sty m:val="p"/>
              </m:rPr>
              <w:rPr>
                <w:rFonts w:ascii="Cambria Math" w:hAnsi="Cambria Math"/>
                <w:lang w:val="en-GB"/>
              </w:rPr>
              <m:t>)</m:t>
            </m:r>
          </m:sub>
        </m:sSub>
      </m:oMath>
      <w:r w:rsidRPr="00FD62C4">
        <w:rPr>
          <w:lang w:val="en-GB"/>
        </w:rPr>
        <w:t>:</w:t>
      </w:r>
      <w:r w:rsidRPr="00FD62C4">
        <w:rPr>
          <w:lang w:val="en-GB"/>
        </w:rPr>
        <w:tab/>
        <w:t xml:space="preserve">range (in meters) defined in </w:t>
      </w:r>
      <w:r w:rsidR="00C45D95" w:rsidRPr="00FD62C4">
        <w:rPr>
          <w:lang w:val="en-GB"/>
        </w:rPr>
        <w:t xml:space="preserve">equation </w:t>
      </w:r>
      <w:r w:rsidRPr="00FD62C4">
        <w:rPr>
          <w:lang w:val="en-GB"/>
        </w:rPr>
        <w:t>(</w:t>
      </w:r>
      <w:r w:rsidR="00FC4C90" w:rsidRPr="00FD62C4">
        <w:rPr>
          <w:lang w:val="en-GB"/>
        </w:rPr>
        <w:t>A1</w:t>
      </w:r>
      <w:r w:rsidRPr="00FD62C4">
        <w:rPr>
          <w:lang w:val="en-GB"/>
        </w:rPr>
        <w:t>-9)</w:t>
      </w:r>
    </w:p>
    <w:p w14:paraId="310DB253" w14:textId="57B45AF2" w:rsidR="00A812FA" w:rsidRPr="00FD62C4" w:rsidRDefault="00A812FA" w:rsidP="00A812FA">
      <w:pPr>
        <w:pStyle w:val="Equationlegend"/>
        <w:rPr>
          <w:lang w:val="en-GB"/>
        </w:rPr>
      </w:pPr>
      <w:r w:rsidRPr="00FD62C4">
        <w:rPr>
          <w:lang w:val="en-GB"/>
        </w:rPr>
        <w:tab/>
      </w:r>
      <m:oMath>
        <m:r>
          <w:rPr>
            <w:rFonts w:ascii="Cambria Math" w:hAnsi="Cambria Math"/>
            <w:lang w:val="en-GB"/>
          </w:rPr>
          <m:t>b</m:t>
        </m:r>
        <m:sSub>
          <m:sSubPr>
            <m:ctrlPr>
              <w:rPr>
                <w:rFonts w:ascii="Cambria Math" w:hAnsi="Cambria Math"/>
                <w:lang w:val="en-GB"/>
              </w:rPr>
            </m:ctrlPr>
          </m:sSubPr>
          <m:e>
            <m:r>
              <w:rPr>
                <w:rFonts w:ascii="Cambria Math" w:hAnsi="Cambria Math"/>
                <w:lang w:val="en-GB"/>
              </w:rPr>
              <m:t>w</m:t>
            </m:r>
          </m:e>
          <m:sub>
            <m:r>
              <m:rPr>
                <m:sty m:val="p"/>
              </m:rPr>
              <w:rPr>
                <w:rFonts w:ascii="Cambria Math" w:hAnsi="Cambria Math"/>
                <w:lang w:val="en-GB"/>
              </w:rPr>
              <m:t>(</m:t>
            </m:r>
            <m:r>
              <w:rPr>
                <w:rFonts w:ascii="Cambria Math" w:hAnsi="Cambria Math"/>
                <w:lang w:val="en-GB"/>
              </w:rPr>
              <m:t>s</m:t>
            </m:r>
            <m:r>
              <m:rPr>
                <m:sty m:val="p"/>
              </m:rPr>
              <w:rPr>
                <w:rFonts w:ascii="Cambria Math" w:hAnsi="Cambria Math"/>
                <w:lang w:val="en-GB"/>
              </w:rPr>
              <m:t>)</m:t>
            </m:r>
          </m:sub>
        </m:sSub>
      </m:oMath>
      <w:r w:rsidRPr="00FD62C4">
        <w:rPr>
          <w:lang w:val="en-GB"/>
        </w:rPr>
        <w:t>:</w:t>
      </w:r>
      <w:r w:rsidRPr="00FD62C4">
        <w:rPr>
          <w:lang w:val="en-GB"/>
        </w:rPr>
        <w:tab/>
        <w:t>transmitter’s antenna beamwidth (in degrees)</w:t>
      </w:r>
      <m:oMath>
        <m:r>
          <m:rPr>
            <m:sty m:val="p"/>
          </m:rPr>
          <w:rPr>
            <w:rFonts w:ascii="Cambria Math" w:hAnsi="Cambria Math"/>
            <w:lang w:val="en-GB"/>
          </w:rPr>
          <m:t>.</m:t>
        </m:r>
      </m:oMath>
    </w:p>
    <w:p w14:paraId="757EE2E8" w14:textId="77777777" w:rsidR="00A812FA" w:rsidRPr="00FD62C4" w:rsidRDefault="00A812FA" w:rsidP="00A812FA">
      <w:pPr>
        <w:pStyle w:val="enumlev1"/>
        <w:rPr>
          <w:lang w:eastAsia="zh-CN"/>
        </w:rPr>
      </w:pPr>
      <w:r w:rsidRPr="00FD62C4">
        <w:rPr>
          <w:lang w:eastAsia="ko-KR"/>
        </w:rPr>
        <w:tab/>
        <w:t xml:space="preserve">Finally, the interference potential in geographic domain from interferer </w:t>
      </w:r>
      <m:oMath>
        <m:r>
          <w:rPr>
            <w:rFonts w:ascii="Cambria Math" w:hAnsi="Cambria Math"/>
            <w:lang w:eastAsia="ko-KR"/>
          </w:rPr>
          <m:t>s</m:t>
        </m:r>
      </m:oMath>
      <w:r w:rsidRPr="00FD62C4">
        <w:rPr>
          <w:lang w:eastAsia="ko-KR"/>
        </w:rPr>
        <w:t xml:space="preserve">, denoted by </w:t>
      </w:r>
      <m:oMath>
        <m:sSubSup>
          <m:sSubSupPr>
            <m:ctrlPr>
              <w:rPr>
                <w:rFonts w:ascii="Cambria Math" w:hAnsi="Cambria Math"/>
                <w:lang w:eastAsia="ko-KR"/>
              </w:rPr>
            </m:ctrlPr>
          </m:sSubSupPr>
          <m:e>
            <m:r>
              <w:rPr>
                <w:rFonts w:ascii="Cambria Math" w:hAnsi="Cambria Math"/>
                <w:lang w:eastAsia="ko-KR"/>
              </w:rPr>
              <m:t>IP</m:t>
            </m:r>
            <m:ctrlPr>
              <w:rPr>
                <w:rFonts w:ascii="Cambria Math" w:hAnsi="Cambria Math"/>
                <w:i/>
                <w:lang w:eastAsia="ko-KR"/>
              </w:rPr>
            </m:ctrlPr>
          </m:e>
          <m:sub>
            <m:r>
              <w:rPr>
                <w:rFonts w:ascii="Cambria Math" w:hAnsi="Cambria Math"/>
                <w:lang w:eastAsia="ko-KR"/>
              </w:rPr>
              <m:t>geog</m:t>
            </m:r>
            <m:ctrlPr>
              <w:rPr>
                <w:rFonts w:ascii="Cambria Math" w:hAnsi="Cambria Math"/>
                <w:i/>
                <w:lang w:eastAsia="ko-KR"/>
              </w:rPr>
            </m:ctrlPr>
          </m:sub>
          <m:sup>
            <m:r>
              <w:rPr>
                <w:rFonts w:ascii="Cambria Math" w:hAnsi="Cambria Math"/>
                <w:lang w:eastAsia="ko-KR"/>
              </w:rPr>
              <m:t>(s)</m:t>
            </m:r>
          </m:sup>
        </m:sSubSup>
      </m:oMath>
      <w:r w:rsidRPr="00FD62C4">
        <w:rPr>
          <w:lang w:eastAsia="ko-KR"/>
        </w:rPr>
        <w:t>, can be quantified by the following equation and information:</w:t>
      </w:r>
    </w:p>
    <w:p w14:paraId="1FD3C66F" w14:textId="66DDD2A6" w:rsidR="00A812FA" w:rsidRPr="00FD62C4" w:rsidRDefault="00A812FA" w:rsidP="00A812FA">
      <w:pPr>
        <w:pStyle w:val="Equation"/>
      </w:pPr>
      <w:r w:rsidRPr="00FD62C4">
        <w:tab/>
      </w:r>
      <w:r w:rsidRPr="00FD62C4">
        <w:tab/>
      </w:r>
      <m:oMath>
        <m:sSubSup>
          <m:sSubSupPr>
            <m:ctrlPr>
              <w:rPr>
                <w:rFonts w:ascii="Cambria Math" w:hAnsi="Cambria Math"/>
                <w:lang w:eastAsia="ko-KR"/>
              </w:rPr>
            </m:ctrlPr>
          </m:sSubSupPr>
          <m:e>
            <m:r>
              <w:rPr>
                <w:rFonts w:ascii="Cambria Math" w:hAnsi="Cambria Math"/>
                <w:lang w:eastAsia="ko-KR"/>
              </w:rPr>
              <m:t>IP</m:t>
            </m:r>
            <m:ctrlPr>
              <w:rPr>
                <w:rFonts w:ascii="Cambria Math" w:hAnsi="Cambria Math"/>
                <w:i/>
                <w:lang w:eastAsia="ko-KR"/>
              </w:rPr>
            </m:ctrlPr>
          </m:e>
          <m:sub>
            <m:r>
              <w:rPr>
                <w:rFonts w:ascii="Cambria Math" w:hAnsi="Cambria Math"/>
                <w:lang w:eastAsia="ko-KR"/>
              </w:rPr>
              <m:t>geog</m:t>
            </m:r>
            <m:ctrlPr>
              <w:rPr>
                <w:rFonts w:ascii="Cambria Math" w:hAnsi="Cambria Math"/>
                <w:i/>
                <w:lang w:eastAsia="ko-KR"/>
              </w:rPr>
            </m:ctrlPr>
          </m:sub>
          <m:sup>
            <m:r>
              <w:rPr>
                <w:rFonts w:ascii="Cambria Math" w:hAnsi="Cambria Math"/>
                <w:lang w:eastAsia="ko-KR"/>
              </w:rPr>
              <m:t>(s)</m:t>
            </m:r>
          </m:sup>
        </m:sSubSup>
        <m:r>
          <w:rPr>
            <w:rFonts w:ascii="Cambria Math" w:hAnsi="Cambria Math"/>
            <w:lang w:eastAsia="ko-KR"/>
          </w:rPr>
          <m:t>=1-</m:t>
        </m:r>
        <m:func>
          <m:funcPr>
            <m:ctrlPr>
              <w:rPr>
                <w:rFonts w:ascii="Cambria Math" w:hAnsi="Cambria Math"/>
                <w:i/>
                <w:lang w:eastAsia="ko-KR"/>
              </w:rPr>
            </m:ctrlPr>
          </m:funcPr>
          <m:fName>
            <m:r>
              <m:rPr>
                <m:sty m:val="p"/>
              </m:rPr>
              <w:rPr>
                <w:rFonts w:ascii="Cambria Math" w:hAnsi="Cambria Math"/>
                <w:lang w:eastAsia="ko-KR"/>
              </w:rPr>
              <m:t>exp</m:t>
            </m:r>
          </m:fName>
          <m:e>
            <m:r>
              <w:rPr>
                <w:rFonts w:ascii="Cambria Math" w:hAnsi="Cambria Math"/>
                <w:lang w:eastAsia="ko-KR"/>
              </w:rPr>
              <m:t>(-</m:t>
            </m:r>
            <m:sSub>
              <m:sSubPr>
                <m:ctrlPr>
                  <w:rPr>
                    <w:rFonts w:ascii="Cambria Math" w:hAnsi="Cambria Math"/>
                    <w:i/>
                    <w:lang w:eastAsia="ko-KR"/>
                  </w:rPr>
                </m:ctrlPr>
              </m:sSubPr>
              <m:e>
                <m:r>
                  <m:rPr>
                    <m:sty m:val="p"/>
                  </m:rPr>
                  <w:rPr>
                    <w:rFonts w:ascii="Cambria Math" w:hAnsi="Cambria Math"/>
                    <w:lang w:eastAsia="ko-KR"/>
                  </w:rPr>
                  <m:t>λ</m:t>
                </m:r>
              </m:e>
              <m:sub>
                <m:r>
                  <w:rPr>
                    <w:rFonts w:ascii="Cambria Math" w:hAnsi="Cambria Math"/>
                    <w:lang w:eastAsia="ko-KR"/>
                  </w:rPr>
                  <m:t>(s)</m:t>
                </m:r>
              </m:sub>
            </m:sSub>
            <m:r>
              <w:rPr>
                <w:rFonts w:ascii="Cambria Math" w:hAnsi="Cambria Math"/>
                <w:lang w:eastAsia="ko-KR"/>
              </w:rPr>
              <m:t>IC</m:t>
            </m:r>
            <m:sSub>
              <m:sSubPr>
                <m:ctrlPr>
                  <w:rPr>
                    <w:rFonts w:ascii="Cambria Math" w:hAnsi="Cambria Math"/>
                    <w:i/>
                    <w:lang w:eastAsia="ko-KR"/>
                  </w:rPr>
                </m:ctrlPr>
              </m:sSubPr>
              <m:e>
                <m:r>
                  <w:rPr>
                    <w:rFonts w:ascii="Cambria Math" w:hAnsi="Cambria Math"/>
                    <w:lang w:eastAsia="ko-KR"/>
                  </w:rPr>
                  <m:t>A</m:t>
                </m:r>
              </m:e>
              <m:sub>
                <m:r>
                  <w:rPr>
                    <w:rFonts w:ascii="Cambria Math" w:hAnsi="Cambria Math"/>
                    <w:lang w:eastAsia="ko-KR"/>
                  </w:rPr>
                  <m:t>(s)</m:t>
                </m:r>
              </m:sub>
            </m:sSub>
            <m:r>
              <w:rPr>
                <w:rFonts w:ascii="Cambria Math" w:hAnsi="Cambria Math"/>
                <w:lang w:eastAsia="ko-KR"/>
              </w:rPr>
              <m:t>)</m:t>
            </m:r>
          </m:e>
        </m:func>
      </m:oMath>
      <w:r w:rsidRPr="00FD62C4">
        <w:tab/>
        <w:t>(</w:t>
      </w:r>
      <w:r w:rsidR="00FC4C90" w:rsidRPr="00FD62C4">
        <w:t>A1</w:t>
      </w:r>
      <w:r w:rsidRPr="00FD62C4">
        <w:t>-11)</w:t>
      </w:r>
    </w:p>
    <w:p w14:paraId="1A705663" w14:textId="77777777" w:rsidR="00A812FA" w:rsidRPr="00FD62C4" w:rsidRDefault="00A812FA" w:rsidP="00A812FA">
      <w:pPr>
        <w:keepNext/>
      </w:pPr>
      <w:r w:rsidRPr="00FD62C4">
        <w:tab/>
        <w:t>where:</w:t>
      </w:r>
    </w:p>
    <w:p w14:paraId="62AEC112" w14:textId="1EBD1C1D" w:rsidR="00A812FA" w:rsidRPr="00FD62C4" w:rsidRDefault="00A812FA" w:rsidP="00A812FA">
      <w:pPr>
        <w:pStyle w:val="Equationlegend"/>
        <w:rPr>
          <w:lang w:val="en-GB" w:eastAsia="ko-KR"/>
        </w:rPr>
      </w:pPr>
      <w:r w:rsidRPr="00FD62C4">
        <w:rPr>
          <w:i/>
          <w:lang w:val="en-GB"/>
        </w:rPr>
        <w:tab/>
      </w:r>
      <m:oMath>
        <m:sSubSup>
          <m:sSubSupPr>
            <m:ctrlPr>
              <w:rPr>
                <w:rFonts w:ascii="Cambria Math" w:hAnsi="Cambria Math"/>
                <w:lang w:val="en-GB" w:eastAsia="ko-KR"/>
              </w:rPr>
            </m:ctrlPr>
          </m:sSubSupPr>
          <m:e>
            <m:r>
              <w:rPr>
                <w:rFonts w:ascii="Cambria Math" w:hAnsi="Cambria Math"/>
                <w:lang w:val="en-GB" w:eastAsia="ko-KR"/>
              </w:rPr>
              <m:t>IP</m:t>
            </m:r>
            <m:ctrlPr>
              <w:rPr>
                <w:rFonts w:ascii="Cambria Math" w:hAnsi="Cambria Math"/>
                <w:i/>
                <w:lang w:val="en-GB" w:eastAsia="ko-KR"/>
              </w:rPr>
            </m:ctrlPr>
          </m:e>
          <m:sub>
            <m:r>
              <w:rPr>
                <w:rFonts w:ascii="Cambria Math" w:hAnsi="Cambria Math"/>
                <w:lang w:val="en-GB" w:eastAsia="ko-KR"/>
              </w:rPr>
              <m:t>geog</m:t>
            </m:r>
            <m:ctrlPr>
              <w:rPr>
                <w:rFonts w:ascii="Cambria Math" w:hAnsi="Cambria Math"/>
                <w:i/>
                <w:lang w:val="en-GB" w:eastAsia="ko-KR"/>
              </w:rPr>
            </m:ctrlPr>
          </m:sub>
          <m:sup>
            <m:r>
              <w:rPr>
                <w:rFonts w:ascii="Cambria Math" w:hAnsi="Cambria Math"/>
                <w:lang w:val="en-GB" w:eastAsia="ko-KR"/>
              </w:rPr>
              <m:t>(s)</m:t>
            </m:r>
          </m:sup>
        </m:sSubSup>
      </m:oMath>
      <w:r w:rsidRPr="00FD62C4">
        <w:rPr>
          <w:lang w:val="en-GB"/>
        </w:rPr>
        <w:t>:</w:t>
      </w:r>
      <w:r w:rsidRPr="00FD62C4">
        <w:rPr>
          <w:lang w:val="en-GB"/>
        </w:rPr>
        <w:tab/>
        <w:t xml:space="preserve">interference potential in geographical domain from interferer </w:t>
      </w:r>
      <m:oMath>
        <m:r>
          <w:rPr>
            <w:rFonts w:ascii="Cambria Math" w:hAnsi="Cambria Math"/>
            <w:lang w:val="en-GB" w:eastAsia="ko-KR"/>
          </w:rPr>
          <m:t>s</m:t>
        </m:r>
      </m:oMath>
    </w:p>
    <w:p w14:paraId="6531B6B7" w14:textId="02847634" w:rsidR="00A812FA" w:rsidRPr="00FD62C4" w:rsidRDefault="00A812FA" w:rsidP="00A812FA">
      <w:pPr>
        <w:pStyle w:val="Equationlegend"/>
        <w:rPr>
          <w:lang w:val="en-GB"/>
        </w:rPr>
      </w:pPr>
      <w:r w:rsidRPr="00FD62C4">
        <w:rPr>
          <w:i/>
          <w:lang w:val="en-GB"/>
        </w:rPr>
        <w:tab/>
      </w:r>
      <m:oMath>
        <m:sSub>
          <m:sSubPr>
            <m:ctrlPr>
              <w:rPr>
                <w:rFonts w:ascii="Cambria Math" w:hAnsi="Cambria Math"/>
                <w:i/>
                <w:lang w:val="en-GB" w:eastAsia="ko-KR"/>
              </w:rPr>
            </m:ctrlPr>
          </m:sSubPr>
          <m:e>
            <m:r>
              <m:rPr>
                <m:sty m:val="p"/>
              </m:rPr>
              <w:rPr>
                <w:rFonts w:ascii="Cambria Math" w:hAnsi="Cambria Math"/>
                <w:lang w:val="en-GB" w:eastAsia="ko-KR"/>
              </w:rPr>
              <m:t>λ</m:t>
            </m:r>
          </m:e>
          <m:sub>
            <m:r>
              <w:rPr>
                <w:rFonts w:ascii="Cambria Math" w:hAnsi="Cambria Math"/>
                <w:lang w:val="en-GB" w:eastAsia="ko-KR"/>
              </w:rPr>
              <m:t>(s)</m:t>
            </m:r>
          </m:sub>
        </m:sSub>
      </m:oMath>
      <w:r w:rsidRPr="00FD62C4">
        <w:rPr>
          <w:lang w:val="en-GB"/>
        </w:rPr>
        <w:t>:</w:t>
      </w:r>
      <w:r w:rsidRPr="00FD62C4">
        <w:rPr>
          <w:lang w:val="en-GB"/>
        </w:rPr>
        <w:tab/>
        <w:t xml:space="preserve">number of devices per unit area for interferer </w:t>
      </w:r>
      <m:oMath>
        <m:r>
          <w:rPr>
            <w:rFonts w:ascii="Cambria Math" w:hAnsi="Cambria Math"/>
            <w:lang w:val="en-GB" w:eastAsia="ko-KR"/>
          </w:rPr>
          <m:t>s</m:t>
        </m:r>
      </m:oMath>
      <w:r w:rsidRPr="00FD62C4">
        <w:rPr>
          <w:lang w:val="en-GB" w:eastAsia="ko-KR"/>
        </w:rPr>
        <w:t xml:space="preserve"> (in devices/</w:t>
      </w:r>
      <m:oMath>
        <m:sSup>
          <m:sSupPr>
            <m:ctrlPr>
              <w:rPr>
                <w:rFonts w:ascii="Cambria Math" w:hAnsi="Cambria Math"/>
                <w:iCs/>
                <w:lang w:val="en-GB" w:eastAsia="ko-KR"/>
              </w:rPr>
            </m:ctrlPr>
          </m:sSupPr>
          <m:e>
            <m:r>
              <m:rPr>
                <m:sty m:val="p"/>
              </m:rPr>
              <w:rPr>
                <w:rFonts w:ascii="Cambria Math" w:hAnsi="Cambria Math"/>
                <w:lang w:val="en-GB" w:eastAsia="ko-KR"/>
              </w:rPr>
              <m:t>m</m:t>
            </m:r>
          </m:e>
          <m:sup>
            <m:r>
              <m:rPr>
                <m:sty m:val="p"/>
              </m:rPr>
              <w:rPr>
                <w:rFonts w:ascii="Cambria Math" w:hAnsi="Cambria Math"/>
                <w:lang w:val="en-GB" w:eastAsia="ko-KR"/>
              </w:rPr>
              <m:t>2</m:t>
            </m:r>
          </m:sup>
        </m:sSup>
      </m:oMath>
      <w:r w:rsidRPr="00FD62C4">
        <w:rPr>
          <w:lang w:val="en-GB" w:eastAsia="ko-KR"/>
        </w:rPr>
        <w:t>)</w:t>
      </w:r>
    </w:p>
    <w:p w14:paraId="3F3B68E4" w14:textId="1F51C78E" w:rsidR="00A812FA" w:rsidRPr="00FD62C4" w:rsidRDefault="00A812FA" w:rsidP="00A812FA">
      <w:pPr>
        <w:pStyle w:val="Equationlegend"/>
        <w:rPr>
          <w:lang w:val="en-GB" w:eastAsia="ko-KR"/>
        </w:rPr>
      </w:pPr>
      <w:r w:rsidRPr="00FD62C4">
        <w:rPr>
          <w:i/>
          <w:lang w:val="en-GB"/>
        </w:rPr>
        <w:tab/>
      </w:r>
      <m:oMath>
        <m:r>
          <w:rPr>
            <w:rFonts w:ascii="Cambria Math" w:hAnsi="Cambria Math"/>
            <w:lang w:val="en-GB"/>
          </w:rPr>
          <m:t>IC</m:t>
        </m:r>
        <m:sSub>
          <m:sSubPr>
            <m:ctrlPr>
              <w:rPr>
                <w:rFonts w:ascii="Cambria Math" w:hAnsi="Cambria Math"/>
                <w:i/>
                <w:lang w:val="en-GB"/>
              </w:rPr>
            </m:ctrlPr>
          </m:sSubPr>
          <m:e>
            <m:r>
              <w:rPr>
                <w:rFonts w:ascii="Cambria Math" w:hAnsi="Cambria Math"/>
                <w:lang w:val="en-GB"/>
              </w:rPr>
              <m:t>A</m:t>
            </m:r>
          </m:e>
          <m:sub>
            <m:r>
              <w:rPr>
                <w:rFonts w:ascii="Cambria Math" w:hAnsi="Cambria Math"/>
                <w:lang w:val="en-GB"/>
              </w:rPr>
              <m:t>(s)</m:t>
            </m:r>
          </m:sub>
        </m:sSub>
      </m:oMath>
      <w:r w:rsidRPr="00FD62C4">
        <w:rPr>
          <w:lang w:val="en-GB"/>
        </w:rPr>
        <w:t>:</w:t>
      </w:r>
      <w:r w:rsidRPr="00FD62C4">
        <w:rPr>
          <w:lang w:val="en-GB"/>
        </w:rPr>
        <w:tab/>
      </w:r>
      <w:r w:rsidRPr="00FD62C4">
        <w:rPr>
          <w:lang w:val="en-GB" w:eastAsia="ko-KR"/>
        </w:rPr>
        <w:t>interference coverage area</w:t>
      </w:r>
      <w:r w:rsidRPr="00FD62C4">
        <w:rPr>
          <w:lang w:val="en-GB"/>
        </w:rPr>
        <w:t xml:space="preserve"> of interferer </w:t>
      </w:r>
      <m:oMath>
        <m:r>
          <w:rPr>
            <w:rFonts w:ascii="Cambria Math" w:hAnsi="Cambria Math"/>
            <w:lang w:val="en-GB" w:eastAsia="ko-KR"/>
          </w:rPr>
          <m:t>s</m:t>
        </m:r>
      </m:oMath>
      <w:r w:rsidRPr="00FD62C4">
        <w:rPr>
          <w:lang w:val="en-GB"/>
        </w:rPr>
        <w:t xml:space="preserve"> defined in</w:t>
      </w:r>
      <w:r w:rsidR="005407B2" w:rsidRPr="00FD62C4">
        <w:rPr>
          <w:lang w:val="en-GB"/>
        </w:rPr>
        <w:t xml:space="preserve"> equation</w:t>
      </w:r>
      <w:r w:rsidRPr="00FD62C4">
        <w:rPr>
          <w:lang w:val="en-GB"/>
        </w:rPr>
        <w:t xml:space="preserve"> (</w:t>
      </w:r>
      <w:r w:rsidR="00F1228A" w:rsidRPr="00FD62C4">
        <w:rPr>
          <w:lang w:val="en-GB"/>
        </w:rPr>
        <w:t>A1</w:t>
      </w:r>
      <w:r w:rsidRPr="00FD62C4">
        <w:rPr>
          <w:lang w:val="en-GB"/>
        </w:rPr>
        <w:t>-10).</w:t>
      </w:r>
    </w:p>
    <w:p w14:paraId="6533C792" w14:textId="1C5A25EF" w:rsidR="00A812FA" w:rsidRPr="00FD62C4" w:rsidRDefault="0056771B" w:rsidP="0056771B">
      <w:pPr>
        <w:pStyle w:val="enumlev1"/>
        <w:rPr>
          <w:lang w:eastAsia="zh-CN"/>
        </w:rPr>
      </w:pPr>
      <w:r>
        <w:rPr>
          <w:lang w:eastAsia="zh-CN"/>
        </w:rPr>
        <w:lastRenderedPageBreak/>
        <w:t>4</w:t>
      </w:r>
      <w:r w:rsidR="00A812FA" w:rsidRPr="00FD62C4">
        <w:rPr>
          <w:lang w:eastAsia="zh-CN"/>
        </w:rPr>
        <w:t>)</w:t>
      </w:r>
      <w:r w:rsidR="00A812FA" w:rsidRPr="00FD62C4">
        <w:rPr>
          <w:lang w:eastAsia="zh-CN"/>
        </w:rPr>
        <w:tab/>
        <w:t>Quantification and comparison of overall interference potential</w:t>
      </w:r>
    </w:p>
    <w:p w14:paraId="0E7C1697" w14:textId="77777777" w:rsidR="00A812FA" w:rsidRPr="00FD62C4" w:rsidRDefault="00A812FA" w:rsidP="00A812FA">
      <w:pPr>
        <w:pStyle w:val="enumlev1"/>
        <w:rPr>
          <w:lang w:eastAsia="zh-CN"/>
        </w:rPr>
      </w:pPr>
      <w:r w:rsidRPr="00FD62C4">
        <w:rPr>
          <w:lang w:eastAsia="zh-CN"/>
        </w:rPr>
        <w:tab/>
        <w:t xml:space="preserve">To quantify the interference potential from interferer </w:t>
      </w:r>
      <m:oMath>
        <m:r>
          <w:rPr>
            <w:rFonts w:ascii="Cambria Math" w:hAnsi="Cambria Math"/>
            <w:lang w:eastAsia="ko-KR"/>
          </w:rPr>
          <m:t>s</m:t>
        </m:r>
      </m:oMath>
      <w:r w:rsidRPr="00FD62C4">
        <w:rPr>
          <w:lang w:eastAsia="ko-KR"/>
        </w:rPr>
        <w:t xml:space="preserve">, denoted by </w:t>
      </w:r>
      <m:oMath>
        <m:sSub>
          <m:sSubPr>
            <m:ctrlPr>
              <w:rPr>
                <w:rFonts w:ascii="Cambria Math" w:hAnsi="Cambria Math"/>
                <w:i/>
                <w:lang w:eastAsia="ko-KR"/>
              </w:rPr>
            </m:ctrlPr>
          </m:sSubPr>
          <m:e>
            <m:r>
              <w:rPr>
                <w:rFonts w:ascii="Cambria Math" w:hAnsi="Cambria Math"/>
                <w:lang w:eastAsia="ko-KR"/>
              </w:rPr>
              <m:t>IP</m:t>
            </m:r>
          </m:e>
          <m:sub>
            <m:r>
              <w:rPr>
                <w:rFonts w:ascii="Cambria Math" w:hAnsi="Cambria Math"/>
                <w:lang w:eastAsia="ko-KR"/>
              </w:rPr>
              <m:t>(s)</m:t>
            </m:r>
          </m:sub>
        </m:sSub>
      </m:oMath>
      <w:r w:rsidRPr="00FD62C4">
        <w:rPr>
          <w:lang w:eastAsia="ko-KR"/>
        </w:rPr>
        <w:t>, multiply the interference potentials in the three domains as:</w:t>
      </w:r>
    </w:p>
    <w:p w14:paraId="497B5D92" w14:textId="511A8447" w:rsidR="00A812FA" w:rsidRPr="00FD62C4" w:rsidRDefault="00A812FA" w:rsidP="00A812FA">
      <w:pPr>
        <w:pStyle w:val="Equation"/>
      </w:pPr>
      <w:r w:rsidRPr="00FD62C4">
        <w:tab/>
      </w:r>
      <w:r w:rsidRPr="00FD62C4">
        <w:tab/>
      </w:r>
      <m:oMath>
        <m:sSub>
          <m:sSubPr>
            <m:ctrlPr>
              <w:rPr>
                <w:rFonts w:ascii="Cambria Math" w:hAnsi="Cambria Math"/>
                <w:i/>
                <w:lang w:eastAsia="ko-KR"/>
              </w:rPr>
            </m:ctrlPr>
          </m:sSubPr>
          <m:e>
            <m:r>
              <w:rPr>
                <w:rFonts w:ascii="Cambria Math" w:hAnsi="Cambria Math"/>
                <w:lang w:eastAsia="ko-KR"/>
              </w:rPr>
              <m:t>IP</m:t>
            </m:r>
          </m:e>
          <m:sub>
            <m:r>
              <w:rPr>
                <w:rFonts w:ascii="Cambria Math" w:hAnsi="Cambria Math"/>
                <w:lang w:eastAsia="ko-KR"/>
              </w:rPr>
              <m:t>(s)</m:t>
            </m:r>
          </m:sub>
        </m:sSub>
        <m:r>
          <w:rPr>
            <w:rFonts w:ascii="Cambria Math" w:hAnsi="Cambria Math"/>
            <w:lang w:eastAsia="ko-KR"/>
          </w:rPr>
          <m:t>=</m:t>
        </m:r>
        <m:sSubSup>
          <m:sSubSupPr>
            <m:ctrlPr>
              <w:rPr>
                <w:rFonts w:ascii="Cambria Math" w:hAnsi="Cambria Math"/>
                <w:lang w:eastAsia="ko-KR"/>
              </w:rPr>
            </m:ctrlPr>
          </m:sSubSupPr>
          <m:e>
            <m:r>
              <w:rPr>
                <w:rFonts w:ascii="Cambria Math" w:hAnsi="Cambria Math"/>
                <w:lang w:eastAsia="ko-KR"/>
              </w:rPr>
              <m:t>IP</m:t>
            </m:r>
            <m:ctrlPr>
              <w:rPr>
                <w:rFonts w:ascii="Cambria Math" w:hAnsi="Cambria Math"/>
                <w:i/>
                <w:lang w:eastAsia="ko-KR"/>
              </w:rPr>
            </m:ctrlPr>
          </m:e>
          <m:sub>
            <m:r>
              <w:rPr>
                <w:rFonts w:ascii="Cambria Math" w:hAnsi="Cambria Math"/>
                <w:lang w:eastAsia="ko-KR"/>
              </w:rPr>
              <m:t>freq</m:t>
            </m:r>
            <m:ctrlPr>
              <w:rPr>
                <w:rFonts w:ascii="Cambria Math" w:hAnsi="Cambria Math"/>
                <w:i/>
                <w:lang w:eastAsia="ko-KR"/>
              </w:rPr>
            </m:ctrlPr>
          </m:sub>
          <m:sup>
            <m:r>
              <w:rPr>
                <w:rFonts w:ascii="Cambria Math" w:hAnsi="Cambria Math"/>
                <w:lang w:eastAsia="ko-KR"/>
              </w:rPr>
              <m:t>(s)</m:t>
            </m:r>
          </m:sup>
        </m:sSubSup>
        <m:sSubSup>
          <m:sSubSupPr>
            <m:ctrlPr>
              <w:rPr>
                <w:rFonts w:ascii="Cambria Math" w:hAnsi="Cambria Math"/>
                <w:lang w:eastAsia="ko-KR"/>
              </w:rPr>
            </m:ctrlPr>
          </m:sSubSupPr>
          <m:e>
            <m:r>
              <w:rPr>
                <w:rFonts w:ascii="Cambria Math" w:hAnsi="Cambria Math"/>
                <w:lang w:eastAsia="ko-KR"/>
              </w:rPr>
              <m:t>IP</m:t>
            </m:r>
            <m:ctrlPr>
              <w:rPr>
                <w:rFonts w:ascii="Cambria Math" w:hAnsi="Cambria Math"/>
                <w:i/>
                <w:lang w:eastAsia="ko-KR"/>
              </w:rPr>
            </m:ctrlPr>
          </m:e>
          <m:sub>
            <m:r>
              <w:rPr>
                <w:rFonts w:ascii="Cambria Math" w:hAnsi="Cambria Math"/>
                <w:lang w:eastAsia="ko-KR"/>
              </w:rPr>
              <m:t>temp</m:t>
            </m:r>
            <m:ctrlPr>
              <w:rPr>
                <w:rFonts w:ascii="Cambria Math" w:hAnsi="Cambria Math"/>
                <w:i/>
                <w:lang w:eastAsia="ko-KR"/>
              </w:rPr>
            </m:ctrlPr>
          </m:sub>
          <m:sup>
            <m:r>
              <w:rPr>
                <w:rFonts w:ascii="Cambria Math" w:hAnsi="Cambria Math"/>
                <w:lang w:eastAsia="ko-KR"/>
              </w:rPr>
              <m:t>(s)</m:t>
            </m:r>
          </m:sup>
        </m:sSubSup>
        <m:sSubSup>
          <m:sSubSupPr>
            <m:ctrlPr>
              <w:rPr>
                <w:rFonts w:ascii="Cambria Math" w:hAnsi="Cambria Math"/>
                <w:lang w:eastAsia="ko-KR"/>
              </w:rPr>
            </m:ctrlPr>
          </m:sSubSupPr>
          <m:e>
            <m:r>
              <w:rPr>
                <w:rFonts w:ascii="Cambria Math" w:hAnsi="Cambria Math"/>
                <w:lang w:eastAsia="ko-KR"/>
              </w:rPr>
              <m:t>IP</m:t>
            </m:r>
            <m:ctrlPr>
              <w:rPr>
                <w:rFonts w:ascii="Cambria Math" w:hAnsi="Cambria Math"/>
                <w:i/>
                <w:lang w:eastAsia="ko-KR"/>
              </w:rPr>
            </m:ctrlPr>
          </m:e>
          <m:sub>
            <m:r>
              <w:rPr>
                <w:rFonts w:ascii="Cambria Math" w:hAnsi="Cambria Math"/>
                <w:lang w:eastAsia="ko-KR"/>
              </w:rPr>
              <m:t>geog</m:t>
            </m:r>
            <m:ctrlPr>
              <w:rPr>
                <w:rFonts w:ascii="Cambria Math" w:hAnsi="Cambria Math"/>
                <w:i/>
                <w:lang w:eastAsia="ko-KR"/>
              </w:rPr>
            </m:ctrlPr>
          </m:sub>
          <m:sup>
            <m:r>
              <w:rPr>
                <w:rFonts w:ascii="Cambria Math" w:hAnsi="Cambria Math"/>
                <w:lang w:eastAsia="ko-KR"/>
              </w:rPr>
              <m:t>(s)</m:t>
            </m:r>
          </m:sup>
        </m:sSubSup>
      </m:oMath>
      <w:r w:rsidRPr="00FD62C4">
        <w:tab/>
        <w:t>(</w:t>
      </w:r>
      <w:r w:rsidR="00F1228A" w:rsidRPr="00FD62C4">
        <w:t>A1</w:t>
      </w:r>
      <w:r w:rsidRPr="00FD62C4">
        <w:t>-12)</w:t>
      </w:r>
    </w:p>
    <w:p w14:paraId="1CC18528" w14:textId="77777777" w:rsidR="00A812FA" w:rsidRPr="00FD62C4" w:rsidRDefault="00A812FA" w:rsidP="00A812FA">
      <w:pPr>
        <w:keepNext/>
      </w:pPr>
      <w:r w:rsidRPr="00FD62C4">
        <w:tab/>
        <w:t>where:</w:t>
      </w:r>
    </w:p>
    <w:p w14:paraId="471DFE36" w14:textId="211916D3" w:rsidR="00A812FA" w:rsidRPr="00FD62C4" w:rsidRDefault="00A812FA" w:rsidP="00A812FA">
      <w:pPr>
        <w:pStyle w:val="Equationlegend"/>
        <w:rPr>
          <w:lang w:val="en-GB" w:eastAsia="ko-KR"/>
        </w:rPr>
      </w:pPr>
      <w:r w:rsidRPr="00FD62C4">
        <w:rPr>
          <w:i/>
          <w:lang w:val="en-GB"/>
        </w:rPr>
        <w:tab/>
      </w:r>
      <m:oMath>
        <m:sSub>
          <m:sSubPr>
            <m:ctrlPr>
              <w:rPr>
                <w:rFonts w:ascii="Cambria Math" w:hAnsi="Cambria Math"/>
                <w:i/>
                <w:lang w:val="en-GB" w:eastAsia="ko-KR"/>
              </w:rPr>
            </m:ctrlPr>
          </m:sSubPr>
          <m:e>
            <m:r>
              <w:rPr>
                <w:rFonts w:ascii="Cambria Math" w:hAnsi="Cambria Math"/>
                <w:lang w:val="en-GB" w:eastAsia="ko-KR"/>
              </w:rPr>
              <m:t>IP</m:t>
            </m:r>
          </m:e>
          <m:sub>
            <m:r>
              <w:rPr>
                <w:rFonts w:ascii="Cambria Math" w:hAnsi="Cambria Math"/>
                <w:lang w:val="en-GB" w:eastAsia="ko-KR"/>
              </w:rPr>
              <m:t>(s)</m:t>
            </m:r>
          </m:sub>
        </m:sSub>
        <m:r>
          <m:rPr>
            <m:sty m:val="p"/>
          </m:rPr>
          <w:rPr>
            <w:rFonts w:ascii="Cambria Math" w:hAnsi="Cambria Math"/>
            <w:lang w:val="en-GB"/>
          </w:rPr>
          <m:t>:</m:t>
        </m:r>
      </m:oMath>
      <w:r w:rsidRPr="00FD62C4">
        <w:rPr>
          <w:lang w:val="en-GB"/>
        </w:rPr>
        <w:tab/>
        <w:t xml:space="preserve">interference potential from interferer </w:t>
      </w:r>
      <m:oMath>
        <m:r>
          <w:rPr>
            <w:rFonts w:ascii="Cambria Math" w:hAnsi="Cambria Math"/>
            <w:lang w:val="en-GB" w:eastAsia="ko-KR"/>
          </w:rPr>
          <m:t>s</m:t>
        </m:r>
      </m:oMath>
    </w:p>
    <w:p w14:paraId="64AE3DAC" w14:textId="2A5F61DB" w:rsidR="00A812FA" w:rsidRPr="00FD62C4" w:rsidRDefault="00A812FA" w:rsidP="00A812FA">
      <w:pPr>
        <w:pStyle w:val="Equationlegend"/>
        <w:rPr>
          <w:lang w:val="en-GB" w:eastAsia="ko-KR"/>
        </w:rPr>
      </w:pPr>
      <w:r w:rsidRPr="00FD62C4">
        <w:rPr>
          <w:i/>
          <w:lang w:val="en-GB"/>
        </w:rPr>
        <w:tab/>
      </w:r>
      <m:oMath>
        <m:sSubSup>
          <m:sSubSupPr>
            <m:ctrlPr>
              <w:rPr>
                <w:rFonts w:ascii="Cambria Math" w:hAnsi="Cambria Math"/>
                <w:lang w:val="en-GB" w:eastAsia="ko-KR"/>
              </w:rPr>
            </m:ctrlPr>
          </m:sSubSupPr>
          <m:e>
            <m:r>
              <w:rPr>
                <w:rFonts w:ascii="Cambria Math" w:hAnsi="Cambria Math"/>
                <w:lang w:val="en-GB" w:eastAsia="ko-KR"/>
              </w:rPr>
              <m:t>IP</m:t>
            </m:r>
            <m:ctrlPr>
              <w:rPr>
                <w:rFonts w:ascii="Cambria Math" w:hAnsi="Cambria Math"/>
                <w:i/>
                <w:lang w:val="en-GB" w:eastAsia="ko-KR"/>
              </w:rPr>
            </m:ctrlPr>
          </m:e>
          <m:sub>
            <m:r>
              <w:rPr>
                <w:rFonts w:ascii="Cambria Math" w:hAnsi="Cambria Math"/>
                <w:lang w:val="en-GB" w:eastAsia="ko-KR"/>
              </w:rPr>
              <m:t>freq</m:t>
            </m:r>
            <m:ctrlPr>
              <w:rPr>
                <w:rFonts w:ascii="Cambria Math" w:hAnsi="Cambria Math"/>
                <w:i/>
                <w:lang w:val="en-GB" w:eastAsia="ko-KR"/>
              </w:rPr>
            </m:ctrlPr>
          </m:sub>
          <m:sup>
            <m:r>
              <w:rPr>
                <w:rFonts w:ascii="Cambria Math" w:hAnsi="Cambria Math"/>
                <w:lang w:val="en-GB" w:eastAsia="ko-KR"/>
              </w:rPr>
              <m:t>(s)</m:t>
            </m:r>
          </m:sup>
        </m:sSubSup>
        <m:r>
          <m:rPr>
            <m:sty m:val="p"/>
          </m:rPr>
          <w:rPr>
            <w:rFonts w:ascii="Cambria Math" w:hAnsi="Cambria Math"/>
            <w:lang w:val="en-GB"/>
          </w:rPr>
          <m:t>:</m:t>
        </m:r>
      </m:oMath>
      <w:r w:rsidRPr="00FD62C4">
        <w:rPr>
          <w:lang w:val="en-GB"/>
        </w:rPr>
        <w:tab/>
        <w:t>frequency domain potential defined in</w:t>
      </w:r>
      <w:r w:rsidR="0006398C" w:rsidRPr="00FD62C4">
        <w:rPr>
          <w:lang w:val="en-GB"/>
        </w:rPr>
        <w:t xml:space="preserve"> equation</w:t>
      </w:r>
      <w:r w:rsidRPr="00FD62C4">
        <w:rPr>
          <w:lang w:val="en-GB"/>
        </w:rPr>
        <w:t xml:space="preserve"> (</w:t>
      </w:r>
      <w:r w:rsidR="00F1228A" w:rsidRPr="00FD62C4">
        <w:rPr>
          <w:lang w:val="en-GB"/>
        </w:rPr>
        <w:t>A1</w:t>
      </w:r>
      <w:r w:rsidRPr="00FD62C4">
        <w:rPr>
          <w:lang w:val="en-GB"/>
        </w:rPr>
        <w:t>-7)</w:t>
      </w:r>
    </w:p>
    <w:p w14:paraId="0B80EA72" w14:textId="3FF3DEB2" w:rsidR="00A812FA" w:rsidRPr="00FD62C4" w:rsidRDefault="00A812FA" w:rsidP="00A812FA">
      <w:pPr>
        <w:pStyle w:val="Equationlegend"/>
        <w:rPr>
          <w:lang w:val="en-GB" w:eastAsia="ko-KR"/>
        </w:rPr>
      </w:pPr>
      <w:r w:rsidRPr="00FD62C4">
        <w:rPr>
          <w:i/>
          <w:lang w:val="en-GB"/>
        </w:rPr>
        <w:tab/>
      </w:r>
      <m:oMath>
        <m:sSubSup>
          <m:sSubSupPr>
            <m:ctrlPr>
              <w:rPr>
                <w:rFonts w:ascii="Cambria Math" w:hAnsi="Cambria Math"/>
                <w:lang w:val="en-GB" w:eastAsia="ko-KR"/>
              </w:rPr>
            </m:ctrlPr>
          </m:sSubSupPr>
          <m:e>
            <m:r>
              <w:rPr>
                <w:rFonts w:ascii="Cambria Math" w:hAnsi="Cambria Math"/>
                <w:lang w:val="en-GB" w:eastAsia="ko-KR"/>
              </w:rPr>
              <m:t>IP</m:t>
            </m:r>
            <m:ctrlPr>
              <w:rPr>
                <w:rFonts w:ascii="Cambria Math" w:hAnsi="Cambria Math"/>
                <w:i/>
                <w:lang w:val="en-GB" w:eastAsia="ko-KR"/>
              </w:rPr>
            </m:ctrlPr>
          </m:e>
          <m:sub>
            <m:r>
              <w:rPr>
                <w:rFonts w:ascii="Cambria Math" w:hAnsi="Cambria Math"/>
                <w:lang w:val="en-GB" w:eastAsia="ko-KR"/>
              </w:rPr>
              <m:t>temp</m:t>
            </m:r>
            <m:ctrlPr>
              <w:rPr>
                <w:rFonts w:ascii="Cambria Math" w:hAnsi="Cambria Math"/>
                <w:i/>
                <w:lang w:val="en-GB" w:eastAsia="ko-KR"/>
              </w:rPr>
            </m:ctrlPr>
          </m:sub>
          <m:sup>
            <m:r>
              <w:rPr>
                <w:rFonts w:ascii="Cambria Math" w:hAnsi="Cambria Math"/>
                <w:lang w:val="en-GB" w:eastAsia="ko-KR"/>
              </w:rPr>
              <m:t>(s)</m:t>
            </m:r>
          </m:sup>
        </m:sSubSup>
        <m:r>
          <m:rPr>
            <m:sty m:val="p"/>
          </m:rPr>
          <w:rPr>
            <w:rFonts w:ascii="Cambria Math" w:hAnsi="Cambria Math"/>
            <w:lang w:val="en-GB"/>
          </w:rPr>
          <m:t>:</m:t>
        </m:r>
      </m:oMath>
      <w:r w:rsidRPr="00FD62C4">
        <w:rPr>
          <w:lang w:val="en-GB"/>
        </w:rPr>
        <w:tab/>
      </w:r>
      <w:r w:rsidRPr="00FD62C4">
        <w:rPr>
          <w:lang w:val="en-GB" w:eastAsia="ko-KR"/>
        </w:rPr>
        <w:t>temporal domain potential defined</w:t>
      </w:r>
      <w:r w:rsidRPr="00FD62C4">
        <w:rPr>
          <w:lang w:val="en-GB"/>
        </w:rPr>
        <w:t xml:space="preserve"> in </w:t>
      </w:r>
      <w:r w:rsidR="0006398C" w:rsidRPr="00FD62C4">
        <w:rPr>
          <w:lang w:val="en-GB"/>
        </w:rPr>
        <w:t xml:space="preserve">equation </w:t>
      </w:r>
      <w:r w:rsidRPr="00FD62C4">
        <w:rPr>
          <w:lang w:val="en-GB"/>
        </w:rPr>
        <w:t>(</w:t>
      </w:r>
      <w:r w:rsidR="00F1228A" w:rsidRPr="00FD62C4">
        <w:rPr>
          <w:lang w:val="en-GB"/>
        </w:rPr>
        <w:t>A1</w:t>
      </w:r>
      <w:r w:rsidRPr="00FD62C4">
        <w:rPr>
          <w:lang w:val="en-GB"/>
        </w:rPr>
        <w:t>-8)</w:t>
      </w:r>
    </w:p>
    <w:p w14:paraId="6BAECDA9" w14:textId="5D2E78DB" w:rsidR="00A812FA" w:rsidRPr="00FD62C4" w:rsidRDefault="00A812FA" w:rsidP="00A812FA">
      <w:pPr>
        <w:pStyle w:val="Equationlegend"/>
        <w:rPr>
          <w:lang w:val="en-GB" w:eastAsia="ko-KR"/>
        </w:rPr>
      </w:pPr>
      <w:r w:rsidRPr="00FD62C4">
        <w:rPr>
          <w:i/>
          <w:lang w:val="en-GB"/>
        </w:rPr>
        <w:tab/>
      </w:r>
      <m:oMath>
        <m:sSubSup>
          <m:sSubSupPr>
            <m:ctrlPr>
              <w:rPr>
                <w:rFonts w:ascii="Cambria Math" w:hAnsi="Cambria Math"/>
                <w:lang w:val="en-GB" w:eastAsia="ko-KR"/>
              </w:rPr>
            </m:ctrlPr>
          </m:sSubSupPr>
          <m:e>
            <m:r>
              <w:rPr>
                <w:rFonts w:ascii="Cambria Math" w:hAnsi="Cambria Math"/>
                <w:lang w:val="en-GB" w:eastAsia="ko-KR"/>
              </w:rPr>
              <m:t>IP</m:t>
            </m:r>
            <m:ctrlPr>
              <w:rPr>
                <w:rFonts w:ascii="Cambria Math" w:hAnsi="Cambria Math"/>
                <w:i/>
                <w:lang w:val="en-GB" w:eastAsia="ko-KR"/>
              </w:rPr>
            </m:ctrlPr>
          </m:e>
          <m:sub>
            <m:r>
              <w:rPr>
                <w:rFonts w:ascii="Cambria Math" w:hAnsi="Cambria Math"/>
                <w:lang w:val="en-GB" w:eastAsia="ko-KR"/>
              </w:rPr>
              <m:t>geog</m:t>
            </m:r>
            <m:ctrlPr>
              <w:rPr>
                <w:rFonts w:ascii="Cambria Math" w:hAnsi="Cambria Math"/>
                <w:i/>
                <w:lang w:val="en-GB" w:eastAsia="ko-KR"/>
              </w:rPr>
            </m:ctrlPr>
          </m:sub>
          <m:sup>
            <m:r>
              <w:rPr>
                <w:rFonts w:ascii="Cambria Math" w:hAnsi="Cambria Math"/>
                <w:lang w:val="en-GB" w:eastAsia="ko-KR"/>
              </w:rPr>
              <m:t>(s)</m:t>
            </m:r>
          </m:sup>
        </m:sSubSup>
        <m:r>
          <m:rPr>
            <m:sty m:val="p"/>
          </m:rPr>
          <w:rPr>
            <w:rFonts w:ascii="Cambria Math" w:hAnsi="Cambria Math"/>
            <w:lang w:val="en-GB"/>
          </w:rPr>
          <m:t>:</m:t>
        </m:r>
      </m:oMath>
      <w:r w:rsidRPr="00FD62C4">
        <w:rPr>
          <w:lang w:val="en-GB"/>
        </w:rPr>
        <w:tab/>
        <w:t xml:space="preserve">geographic domain potential defined in </w:t>
      </w:r>
      <w:r w:rsidR="0006398C" w:rsidRPr="00FD62C4">
        <w:rPr>
          <w:lang w:val="en-GB"/>
        </w:rPr>
        <w:t xml:space="preserve">equation </w:t>
      </w:r>
      <w:r w:rsidRPr="00FD62C4">
        <w:rPr>
          <w:lang w:val="en-GB"/>
        </w:rPr>
        <w:t>(</w:t>
      </w:r>
      <w:r w:rsidR="00F1228A" w:rsidRPr="00FD62C4">
        <w:rPr>
          <w:lang w:val="en-GB"/>
        </w:rPr>
        <w:t>A1</w:t>
      </w:r>
      <w:r w:rsidRPr="00FD62C4">
        <w:rPr>
          <w:lang w:val="en-GB"/>
        </w:rPr>
        <w:t>-11).</w:t>
      </w:r>
    </w:p>
    <w:p w14:paraId="2C14B9B7" w14:textId="77777777" w:rsidR="00A812FA" w:rsidRPr="00FD62C4" w:rsidRDefault="00A812FA" w:rsidP="00A812FA">
      <w:pPr>
        <w:pStyle w:val="enumlev1"/>
        <w:rPr>
          <w:lang w:eastAsia="ko-KR"/>
        </w:rPr>
      </w:pPr>
      <w:r w:rsidRPr="00FD62C4">
        <w:rPr>
          <w:lang w:eastAsia="ko-KR"/>
        </w:rPr>
        <w:tab/>
        <w:t xml:space="preserve">Considering multiple interferers, the overall </w:t>
      </w:r>
      <w:r w:rsidRPr="00FD62C4">
        <w:rPr>
          <w:lang w:eastAsia="zh-CN"/>
        </w:rPr>
        <w:t xml:space="preserve">interference potential </w:t>
      </w:r>
      <m:oMath>
        <m:r>
          <w:rPr>
            <w:rFonts w:ascii="Cambria Math" w:hAnsi="Cambria Math"/>
            <w:lang w:eastAsia="ko-KR"/>
          </w:rPr>
          <m:t>IP</m:t>
        </m:r>
      </m:oMath>
      <w:r w:rsidRPr="00FD62C4">
        <w:rPr>
          <w:lang w:eastAsia="zh-CN"/>
        </w:rPr>
        <w:t>, which is the probability that an arbitrary spectrum use unit falls within any interferer’s spectrum use regions</w:t>
      </w:r>
      <w:r w:rsidRPr="00FD62C4">
        <w:rPr>
          <w:lang w:eastAsia="ko-KR"/>
        </w:rPr>
        <w:t>, is calculated as:</w:t>
      </w:r>
    </w:p>
    <w:p w14:paraId="32257BEC" w14:textId="4F055258" w:rsidR="00A812FA" w:rsidRPr="00FD62C4" w:rsidRDefault="00A812FA" w:rsidP="00A812FA">
      <w:pPr>
        <w:pStyle w:val="Equation"/>
      </w:pPr>
      <w:r w:rsidRPr="00FD62C4">
        <w:tab/>
      </w:r>
      <w:r w:rsidRPr="00FD62C4">
        <w:tab/>
      </w:r>
      <m:oMath>
        <m:r>
          <w:rPr>
            <w:rFonts w:ascii="Cambria Math" w:hAnsi="Cambria Math"/>
            <w:lang w:eastAsia="ko-KR"/>
          </w:rPr>
          <m:t>IP=1-</m:t>
        </m:r>
        <m:nary>
          <m:naryPr>
            <m:chr m:val="∏"/>
            <m:limLoc m:val="subSup"/>
            <m:supHide m:val="1"/>
            <m:ctrlPr>
              <w:rPr>
                <w:rFonts w:ascii="Cambria Math" w:hAnsi="Cambria Math"/>
                <w:i/>
                <w:lang w:eastAsia="ko-KR"/>
              </w:rPr>
            </m:ctrlPr>
          </m:naryPr>
          <m:sub>
            <m:r>
              <w:rPr>
                <w:rFonts w:ascii="Cambria Math" w:hAnsi="Cambria Math"/>
                <w:lang w:eastAsia="ko-KR"/>
              </w:rPr>
              <m:t>s</m:t>
            </m:r>
          </m:sub>
          <m:sup/>
          <m:e>
            <m:r>
              <w:rPr>
                <w:rFonts w:ascii="Cambria Math" w:hAnsi="Cambria Math"/>
                <w:lang w:eastAsia="ko-KR"/>
              </w:rPr>
              <m:t>(1-I</m:t>
            </m:r>
            <m:sSub>
              <m:sSubPr>
                <m:ctrlPr>
                  <w:rPr>
                    <w:rFonts w:ascii="Cambria Math" w:hAnsi="Cambria Math"/>
                    <w:i/>
                    <w:lang w:eastAsia="ko-KR"/>
                  </w:rPr>
                </m:ctrlPr>
              </m:sSubPr>
              <m:e>
                <m:r>
                  <w:rPr>
                    <w:rFonts w:ascii="Cambria Math" w:hAnsi="Cambria Math"/>
                    <w:lang w:eastAsia="ko-KR"/>
                  </w:rPr>
                  <m:t>P</m:t>
                </m:r>
              </m:e>
              <m:sub>
                <m:d>
                  <m:dPr>
                    <m:ctrlPr>
                      <w:rPr>
                        <w:rFonts w:ascii="Cambria Math" w:hAnsi="Cambria Math"/>
                        <w:i/>
                        <w:lang w:eastAsia="ko-KR"/>
                      </w:rPr>
                    </m:ctrlPr>
                  </m:dPr>
                  <m:e>
                    <m:r>
                      <w:rPr>
                        <w:rFonts w:ascii="Cambria Math" w:hAnsi="Cambria Math"/>
                        <w:lang w:eastAsia="ko-KR"/>
                      </w:rPr>
                      <m:t>s</m:t>
                    </m:r>
                  </m:e>
                </m:d>
              </m:sub>
            </m:sSub>
            <m:r>
              <w:rPr>
                <w:rFonts w:ascii="Cambria Math" w:hAnsi="Cambria Math"/>
                <w:lang w:eastAsia="ko-KR"/>
              </w:rPr>
              <m:t>)</m:t>
            </m:r>
          </m:e>
        </m:nary>
      </m:oMath>
      <w:r w:rsidRPr="00FD62C4">
        <w:tab/>
        <w:t>(</w:t>
      </w:r>
      <w:r w:rsidR="00F1228A" w:rsidRPr="00FD62C4">
        <w:t>A1</w:t>
      </w:r>
      <w:r w:rsidRPr="00FD62C4">
        <w:t>-13)</w:t>
      </w:r>
    </w:p>
    <w:p w14:paraId="630FC96D" w14:textId="77777777" w:rsidR="00A812FA" w:rsidRPr="00FD62C4" w:rsidRDefault="00A812FA" w:rsidP="00A812FA">
      <w:pPr>
        <w:keepNext/>
      </w:pPr>
      <w:r w:rsidRPr="00FD62C4">
        <w:tab/>
        <w:t>where:</w:t>
      </w:r>
    </w:p>
    <w:p w14:paraId="6FAF3961" w14:textId="287A7241" w:rsidR="00A812FA" w:rsidRPr="00FD62C4" w:rsidRDefault="00A812FA" w:rsidP="00A812FA">
      <w:pPr>
        <w:pStyle w:val="Equationlegend"/>
        <w:rPr>
          <w:lang w:val="en-GB"/>
        </w:rPr>
      </w:pPr>
      <w:r w:rsidRPr="00FD62C4">
        <w:rPr>
          <w:i/>
          <w:lang w:val="en-GB"/>
        </w:rPr>
        <w:tab/>
      </w:r>
      <m:oMath>
        <m:r>
          <w:rPr>
            <w:rFonts w:ascii="Cambria Math" w:hAnsi="Cambria Math"/>
            <w:lang w:val="en-GB"/>
          </w:rPr>
          <m:t>IP</m:t>
        </m:r>
        <m:r>
          <m:rPr>
            <m:sty m:val="p"/>
          </m:rPr>
          <w:rPr>
            <w:rFonts w:ascii="Cambria Math" w:hAnsi="Cambria Math"/>
            <w:lang w:val="en-GB"/>
          </w:rPr>
          <m:t>:</m:t>
        </m:r>
      </m:oMath>
      <w:r w:rsidRPr="00FD62C4">
        <w:rPr>
          <w:lang w:val="en-GB"/>
        </w:rPr>
        <w:tab/>
        <w:t>interference potential</w:t>
      </w:r>
    </w:p>
    <w:p w14:paraId="303935D3" w14:textId="6906F77A" w:rsidR="00A812FA" w:rsidRPr="00FD62C4" w:rsidRDefault="00A812FA" w:rsidP="00A812FA">
      <w:pPr>
        <w:pStyle w:val="Equationlegend"/>
        <w:rPr>
          <w:lang w:val="en-GB"/>
        </w:rPr>
      </w:pPr>
      <w:r w:rsidRPr="00FD62C4">
        <w:rPr>
          <w:i/>
          <w:lang w:val="en-GB"/>
        </w:rPr>
        <w:tab/>
      </w:r>
      <m:oMath>
        <m:nary>
          <m:naryPr>
            <m:chr m:val="∏"/>
            <m:limLoc m:val="subSup"/>
            <m:supHide m:val="1"/>
            <m:ctrlPr>
              <w:rPr>
                <w:rFonts w:ascii="Cambria Math" w:hAnsi="Cambria Math"/>
                <w:i/>
                <w:lang w:val="en-GB"/>
              </w:rPr>
            </m:ctrlPr>
          </m:naryPr>
          <m:sub>
            <m:r>
              <w:rPr>
                <w:rFonts w:ascii="Cambria Math" w:hAnsi="Cambria Math"/>
                <w:lang w:val="en-GB"/>
              </w:rPr>
              <m:t>s</m:t>
            </m:r>
          </m:sub>
          <m:sup/>
          <m:e>
            <m:sSub>
              <m:sSubPr>
                <m:ctrlPr>
                  <w:rPr>
                    <w:rFonts w:ascii="Cambria Math" w:hAnsi="Cambria Math"/>
                    <w:i/>
                    <w:lang w:val="en-GB"/>
                  </w:rPr>
                </m:ctrlPr>
              </m:sSubPr>
              <m:e>
                <m:r>
                  <w:rPr>
                    <w:rFonts w:ascii="Cambria Math" w:hAnsi="Cambria Math"/>
                    <w:lang w:val="en-GB"/>
                  </w:rPr>
                  <m:t>(1-</m:t>
                </m:r>
                <m:r>
                  <w:rPr>
                    <w:rFonts w:ascii="Cambria Math" w:hAnsi="Cambria Math"/>
                    <w:lang w:val="en-GB" w:eastAsia="ko-KR"/>
                  </w:rPr>
                  <m:t>IP</m:t>
                </m:r>
              </m:e>
              <m:sub>
                <m:r>
                  <w:rPr>
                    <w:rFonts w:ascii="Cambria Math" w:hAnsi="Cambria Math"/>
                    <w:lang w:val="en-GB"/>
                  </w:rPr>
                  <m:t>(s)</m:t>
                </m:r>
              </m:sub>
            </m:sSub>
            <m:r>
              <w:rPr>
                <w:rFonts w:ascii="Cambria Math" w:hAnsi="Cambria Math"/>
                <w:lang w:val="en-GB"/>
              </w:rPr>
              <m:t>)</m:t>
            </m:r>
          </m:e>
        </m:nary>
        <m:r>
          <m:rPr>
            <m:sty m:val="p"/>
          </m:rPr>
          <w:rPr>
            <w:rFonts w:ascii="Cambria Math" w:hAnsi="Cambria Math"/>
            <w:lang w:val="en-GB"/>
          </w:rPr>
          <m:t>:</m:t>
        </m:r>
      </m:oMath>
      <w:r w:rsidRPr="00FD62C4">
        <w:rPr>
          <w:lang w:val="en-GB"/>
        </w:rPr>
        <w:tab/>
        <w:t xml:space="preserve">product of all values of </w:t>
      </w:r>
      <m:oMath>
        <m:sSub>
          <m:sSubPr>
            <m:ctrlPr>
              <w:rPr>
                <w:rFonts w:ascii="Cambria Math" w:hAnsi="Cambria Math"/>
                <w:i/>
                <w:lang w:val="en-GB"/>
              </w:rPr>
            </m:ctrlPr>
          </m:sSubPr>
          <m:e>
            <m:r>
              <w:rPr>
                <w:rFonts w:ascii="Cambria Math" w:hAnsi="Cambria Math"/>
                <w:lang w:val="en-GB"/>
              </w:rPr>
              <m:t>1-IP</m:t>
            </m:r>
          </m:e>
          <m:sub>
            <m:r>
              <w:rPr>
                <w:rFonts w:ascii="Cambria Math" w:hAnsi="Cambria Math"/>
                <w:lang w:val="en-GB"/>
              </w:rPr>
              <m:t>(s)</m:t>
            </m:r>
          </m:sub>
        </m:sSub>
      </m:oMath>
    </w:p>
    <w:p w14:paraId="1DD2B599" w14:textId="45D05A95" w:rsidR="00A812FA" w:rsidRPr="00FD62C4" w:rsidRDefault="00A812FA" w:rsidP="00A812FA">
      <w:pPr>
        <w:pStyle w:val="Equationlegend"/>
        <w:rPr>
          <w:lang w:val="en-GB" w:eastAsia="ko-KR"/>
        </w:rPr>
      </w:pPr>
      <w:r w:rsidRPr="00FD62C4">
        <w:rPr>
          <w:i/>
          <w:lang w:val="en-GB"/>
        </w:rPr>
        <w:tab/>
      </w:r>
      <m:oMath>
        <m:r>
          <w:rPr>
            <w:rFonts w:ascii="Cambria Math" w:hAnsi="Cambria Math"/>
            <w:lang w:val="en-GB"/>
          </w:rPr>
          <m:t>I</m:t>
        </m:r>
        <m:sSub>
          <m:sSubPr>
            <m:ctrlPr>
              <w:rPr>
                <w:rFonts w:ascii="Cambria Math" w:hAnsi="Cambria Math"/>
                <w:i/>
                <w:lang w:val="en-GB"/>
              </w:rPr>
            </m:ctrlPr>
          </m:sSubPr>
          <m:e>
            <m:r>
              <w:rPr>
                <w:rFonts w:ascii="Cambria Math" w:hAnsi="Cambria Math"/>
                <w:lang w:val="en-GB"/>
              </w:rPr>
              <m:t>P</m:t>
            </m:r>
          </m:e>
          <m:sub>
            <m:r>
              <w:rPr>
                <w:rFonts w:ascii="Cambria Math" w:hAnsi="Cambria Math"/>
                <w:lang w:val="en-GB"/>
              </w:rPr>
              <m:t>(s)</m:t>
            </m:r>
          </m:sub>
        </m:sSub>
        <m:r>
          <m:rPr>
            <m:sty m:val="p"/>
          </m:rPr>
          <w:rPr>
            <w:rFonts w:ascii="Cambria Math" w:hAnsi="Cambria Math"/>
            <w:lang w:val="en-GB"/>
          </w:rPr>
          <m:t>:</m:t>
        </m:r>
      </m:oMath>
      <w:r w:rsidRPr="00FD62C4">
        <w:rPr>
          <w:lang w:val="en-GB"/>
        </w:rPr>
        <w:tab/>
        <w:t xml:space="preserve">interference potential from interferer </w:t>
      </w:r>
      <m:oMath>
        <m:r>
          <w:rPr>
            <w:rFonts w:ascii="Cambria Math" w:hAnsi="Cambria Math"/>
            <w:lang w:val="en-GB" w:eastAsia="ko-KR"/>
          </w:rPr>
          <m:t>s</m:t>
        </m:r>
      </m:oMath>
      <w:r w:rsidRPr="00FD62C4">
        <w:rPr>
          <w:lang w:val="en-GB"/>
        </w:rPr>
        <w:t xml:space="preserve"> defined in </w:t>
      </w:r>
      <w:r w:rsidR="00AE6E13" w:rsidRPr="00FD62C4">
        <w:rPr>
          <w:lang w:val="en-GB"/>
        </w:rPr>
        <w:t xml:space="preserve">equation </w:t>
      </w:r>
      <w:r w:rsidRPr="00FD62C4">
        <w:rPr>
          <w:lang w:val="en-GB"/>
        </w:rPr>
        <w:t>(</w:t>
      </w:r>
      <w:r w:rsidR="00F1228A" w:rsidRPr="00FD62C4">
        <w:rPr>
          <w:lang w:val="en-GB"/>
        </w:rPr>
        <w:t>A1</w:t>
      </w:r>
      <w:r w:rsidRPr="00FD62C4">
        <w:rPr>
          <w:lang w:val="en-GB"/>
        </w:rPr>
        <w:t>-12).</w:t>
      </w:r>
    </w:p>
    <w:p w14:paraId="378D6F2C" w14:textId="41865277" w:rsidR="00A812FA" w:rsidRPr="00FD62C4" w:rsidRDefault="00A812FA" w:rsidP="00A812FA">
      <w:pPr>
        <w:pStyle w:val="enumlev1"/>
        <w:rPr>
          <w:lang w:eastAsia="ko-KR"/>
        </w:rPr>
      </w:pPr>
      <w:r w:rsidRPr="00FD62C4">
        <w:rPr>
          <w:rFonts w:eastAsiaTheme="minorEastAsia"/>
          <w:lang w:eastAsia="zh-CN"/>
        </w:rPr>
        <w:tab/>
      </w:r>
      <w:r w:rsidRPr="00FD62C4">
        <w:rPr>
          <w:lang w:eastAsia="zh-CN"/>
        </w:rPr>
        <w:t xml:space="preserve">At this stage, the criterion (C-3) from </w:t>
      </w:r>
      <w:r w:rsidR="00AE6E13" w:rsidRPr="00FD62C4">
        <w:rPr>
          <w:lang w:eastAsia="zh-CN"/>
        </w:rPr>
        <w:t>§</w:t>
      </w:r>
      <w:r w:rsidRPr="00FD62C4">
        <w:rPr>
          <w:lang w:eastAsia="zh-CN"/>
        </w:rPr>
        <w:t xml:space="preserve"> A1</w:t>
      </w:r>
      <w:r w:rsidR="00E562C8" w:rsidRPr="00FD62C4">
        <w:rPr>
          <w:lang w:eastAsia="zh-CN"/>
        </w:rPr>
        <w:t>.</w:t>
      </w:r>
      <w:r w:rsidRPr="00FD62C4">
        <w:rPr>
          <w:lang w:eastAsia="zh-CN"/>
        </w:rPr>
        <w:t xml:space="preserve">2.3 can be applied. </w:t>
      </w:r>
      <w:r w:rsidRPr="00FD62C4">
        <w:rPr>
          <w:rFonts w:eastAsiaTheme="minorEastAsia"/>
          <w:lang w:eastAsia="zh-CN"/>
        </w:rPr>
        <w:t xml:space="preserve">For a given </w:t>
      </w:r>
      <w:r w:rsidRPr="00FD62C4">
        <w:t xml:space="preserve">tolerable limit </w:t>
      </w:r>
      <m:oMath>
        <m:r>
          <m:rPr>
            <m:sty m:val="p"/>
          </m:rPr>
          <w:rPr>
            <w:rFonts w:ascii="Cambria Math" w:hAnsi="Cambria Math"/>
          </w:rPr>
          <m:t>ε</m:t>
        </m:r>
      </m:oMath>
      <w:r w:rsidRPr="00FD62C4">
        <w:rPr>
          <w:lang w:eastAsia="ko-KR"/>
        </w:rPr>
        <w:t xml:space="preserve">, </w:t>
      </w:r>
      <w:r w:rsidRPr="00FD62C4">
        <w:rPr>
          <w:lang w:eastAsia="zh-CN"/>
        </w:rPr>
        <w:t xml:space="preserve">if </w:t>
      </w:r>
      <m:oMath>
        <m:r>
          <w:rPr>
            <w:rFonts w:ascii="Cambria Math" w:hAnsi="Cambria Math"/>
            <w:lang w:eastAsia="zh-CN"/>
          </w:rPr>
          <m:t>IP&lt;ε</m:t>
        </m:r>
      </m:oMath>
      <w:r w:rsidRPr="00FD62C4">
        <w:rPr>
          <w:lang w:eastAsia="ko-KR"/>
        </w:rPr>
        <w:t>,</w:t>
      </w:r>
      <w:r w:rsidRPr="00FD62C4">
        <w:rPr>
          <w:lang w:eastAsia="zh-CN"/>
        </w:rPr>
        <w:t xml:space="preserve"> </w:t>
      </w:r>
      <w:r w:rsidRPr="00FD62C4">
        <w:rPr>
          <w:lang w:eastAsia="ko-KR"/>
        </w:rPr>
        <w:t xml:space="preserve">the unlicensed spectrum is considered available for the victim. Spectrum availability can then be quantified by the spectrum availability index </w:t>
      </w:r>
      <m:oMath>
        <m:r>
          <w:rPr>
            <w:rFonts w:ascii="Cambria Math" w:hAnsi="Cambria Math"/>
            <w:lang w:eastAsia="ko-KR"/>
          </w:rPr>
          <m:t>SA</m:t>
        </m:r>
        <m:sSub>
          <m:sSubPr>
            <m:ctrlPr>
              <w:rPr>
                <w:rFonts w:ascii="Cambria Math" w:hAnsi="Cambria Math"/>
                <w:i/>
                <w:lang w:eastAsia="ko-KR"/>
              </w:rPr>
            </m:ctrlPr>
          </m:sSubPr>
          <m:e>
            <m:r>
              <w:rPr>
                <w:rFonts w:ascii="Cambria Math" w:hAnsi="Cambria Math"/>
                <w:lang w:eastAsia="ko-KR"/>
              </w:rPr>
              <m:t>I</m:t>
            </m:r>
          </m:e>
          <m:sub>
            <m:r>
              <w:rPr>
                <w:rFonts w:ascii="Cambria Math" w:hAnsi="Cambria Math"/>
                <w:lang w:eastAsia="ko-KR"/>
              </w:rPr>
              <m:t>SU</m:t>
            </m:r>
          </m:sub>
        </m:sSub>
      </m:oMath>
      <w:r w:rsidRPr="00FD62C4">
        <w:rPr>
          <w:lang w:eastAsia="ko-KR"/>
        </w:rPr>
        <w:t xml:space="preserve">, given by </w:t>
      </w:r>
      <m:oMath>
        <m:r>
          <w:rPr>
            <w:rFonts w:ascii="Cambria Math" w:hAnsi="Cambria Math"/>
            <w:lang w:eastAsia="ko-KR"/>
          </w:rPr>
          <m:t>SA</m:t>
        </m:r>
        <m:sSub>
          <m:sSubPr>
            <m:ctrlPr>
              <w:rPr>
                <w:rFonts w:ascii="Cambria Math" w:hAnsi="Cambria Math"/>
                <w:i/>
                <w:lang w:eastAsia="ko-KR"/>
              </w:rPr>
            </m:ctrlPr>
          </m:sSubPr>
          <m:e>
            <m:r>
              <w:rPr>
                <w:rFonts w:ascii="Cambria Math" w:hAnsi="Cambria Math"/>
                <w:lang w:eastAsia="ko-KR"/>
              </w:rPr>
              <m:t>I</m:t>
            </m:r>
          </m:e>
          <m:sub>
            <m:r>
              <w:rPr>
                <w:rFonts w:ascii="Cambria Math" w:hAnsi="Cambria Math"/>
                <w:lang w:eastAsia="ko-KR"/>
              </w:rPr>
              <m:t>SU</m:t>
            </m:r>
          </m:sub>
        </m:sSub>
        <m:r>
          <w:rPr>
            <w:rFonts w:ascii="Cambria Math" w:hAnsi="Cambria Math"/>
            <w:lang w:eastAsia="ko-KR"/>
          </w:rPr>
          <m:t>=1-IP</m:t>
        </m:r>
      </m:oMath>
      <w:r w:rsidRPr="00FD62C4">
        <w:rPr>
          <w:lang w:eastAsia="ko-KR"/>
        </w:rPr>
        <w:t xml:space="preserve"> in </w:t>
      </w:r>
      <w:r w:rsidR="004A1383" w:rsidRPr="00FD62C4">
        <w:rPr>
          <w:lang w:eastAsia="ko-KR"/>
        </w:rPr>
        <w:t xml:space="preserve">equation </w:t>
      </w:r>
      <w:r w:rsidRPr="00FD62C4">
        <w:rPr>
          <w:lang w:eastAsia="ko-KR"/>
        </w:rPr>
        <w:t xml:space="preserve">(I-3) </w:t>
      </w:r>
      <w:r w:rsidRPr="00FD62C4">
        <w:rPr>
          <w:lang w:eastAsia="zh-CN"/>
        </w:rPr>
        <w:t xml:space="preserve">from </w:t>
      </w:r>
      <w:r w:rsidR="004A1383" w:rsidRPr="00FD62C4">
        <w:rPr>
          <w:lang w:eastAsia="zh-CN"/>
        </w:rPr>
        <w:t>§</w:t>
      </w:r>
      <w:r w:rsidRPr="00FD62C4">
        <w:rPr>
          <w:lang w:eastAsia="zh-CN"/>
        </w:rPr>
        <w:t xml:space="preserve"> A1</w:t>
      </w:r>
      <w:r w:rsidR="00E562C8" w:rsidRPr="00FD62C4">
        <w:rPr>
          <w:lang w:eastAsia="zh-CN"/>
        </w:rPr>
        <w:t>.</w:t>
      </w:r>
      <w:r w:rsidRPr="00FD62C4">
        <w:rPr>
          <w:lang w:eastAsia="zh-CN"/>
        </w:rPr>
        <w:t>2.3</w:t>
      </w:r>
      <w:r w:rsidRPr="00FD62C4">
        <w:rPr>
          <w:lang w:eastAsia="ko-KR"/>
        </w:rPr>
        <w:t>.</w:t>
      </w:r>
    </w:p>
    <w:p w14:paraId="47EEB47D" w14:textId="3479A3C8" w:rsidR="00A812FA" w:rsidRPr="00FD62C4" w:rsidRDefault="00A812FA" w:rsidP="00A812FA">
      <w:pPr>
        <w:rPr>
          <w:lang w:eastAsia="ko-KR"/>
        </w:rPr>
      </w:pPr>
      <w:r w:rsidRPr="00FD62C4">
        <w:rPr>
          <w:lang w:eastAsia="ko-KR"/>
        </w:rPr>
        <w:t>This procedure is presented as a flowchart in Fig</w:t>
      </w:r>
      <w:r w:rsidR="004A1383" w:rsidRPr="00FD62C4">
        <w:rPr>
          <w:lang w:eastAsia="ko-KR"/>
        </w:rPr>
        <w:t>.</w:t>
      </w:r>
      <w:r w:rsidRPr="00FD62C4">
        <w:rPr>
          <w:lang w:eastAsia="ko-KR"/>
        </w:rPr>
        <w:t xml:space="preserve"> </w:t>
      </w:r>
      <w:r w:rsidRPr="00FD62C4">
        <w:rPr>
          <w:lang w:eastAsia="zh-CN"/>
        </w:rPr>
        <w:t>A1-</w:t>
      </w:r>
      <w:r w:rsidRPr="00FD62C4">
        <w:rPr>
          <w:lang w:eastAsia="ko-KR"/>
        </w:rPr>
        <w:t>3.</w:t>
      </w:r>
    </w:p>
    <w:p w14:paraId="2B8F0085" w14:textId="3185D885" w:rsidR="00A812FA" w:rsidRPr="00FD62C4" w:rsidRDefault="004048D3" w:rsidP="0056771B">
      <w:pPr>
        <w:pStyle w:val="FigureNo"/>
      </w:pPr>
      <w:r w:rsidRPr="00FD62C4">
        <w:rPr>
          <w:caps w:val="0"/>
        </w:rPr>
        <w:lastRenderedPageBreak/>
        <w:t>FIGURE</w:t>
      </w:r>
      <w:r w:rsidR="00A812FA" w:rsidRPr="00FD62C4">
        <w:t xml:space="preserve"> </w:t>
      </w:r>
      <w:r w:rsidR="00A812FA" w:rsidRPr="00FD62C4">
        <w:rPr>
          <w:lang w:eastAsia="zh-CN"/>
        </w:rPr>
        <w:t>A1-</w:t>
      </w:r>
      <w:r w:rsidR="00A812FA" w:rsidRPr="00FD62C4">
        <w:t>3</w:t>
      </w:r>
    </w:p>
    <w:p w14:paraId="2813B161" w14:textId="77777777" w:rsidR="00A812FA" w:rsidRPr="00FD62C4" w:rsidRDefault="00A812FA" w:rsidP="00A812FA">
      <w:pPr>
        <w:pStyle w:val="Figuretitle"/>
        <w:rPr>
          <w:lang w:eastAsia="ko-KR"/>
        </w:rPr>
      </w:pPr>
      <w:r w:rsidRPr="00FD62C4">
        <w:t xml:space="preserve">Flowchart of the assessment methodology for the </w:t>
      </w:r>
      <w:r w:rsidRPr="00FD62C4">
        <w:rPr>
          <w:rFonts w:cs="Times New Roman Bold"/>
        </w:rPr>
        <w:t>“</w:t>
      </w:r>
      <w:r w:rsidRPr="00FD62C4">
        <w:t>shared use of unlicensed spectrum</w:t>
      </w:r>
      <w:r w:rsidRPr="00FD62C4">
        <w:rPr>
          <w:rFonts w:cs="Times New Roman Bold"/>
        </w:rPr>
        <w:t>”</w:t>
      </w:r>
    </w:p>
    <w:p w14:paraId="16889F85" w14:textId="77777777" w:rsidR="00A812FA" w:rsidRPr="00FD62C4" w:rsidRDefault="00A812FA" w:rsidP="00A812FA">
      <w:pPr>
        <w:pStyle w:val="Figure"/>
      </w:pPr>
      <w:r w:rsidRPr="00FD62C4">
        <w:rPr>
          <w:noProof/>
        </w:rPr>
        <w:drawing>
          <wp:inline distT="0" distB="0" distL="0" distR="0" wp14:anchorId="13E145EE" wp14:editId="7207A682">
            <wp:extent cx="4754478" cy="8320336"/>
            <wp:effectExtent l="0" t="0" r="8255" b="5080"/>
            <wp:docPr id="11" name="그림 11" descr="Flowchart of the assessment methodology for the “shared use of unlicensed spectr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그림 11" descr="Flowchart of the assessment methodology for the “shared use of unlicensed spectrum”"/>
                    <pic:cNvPicPr/>
                  </pic:nvPicPr>
                  <pic:blipFill>
                    <a:blip r:embed="rId19">
                      <a:extLst>
                        <a:ext uri="{28A0092B-C50C-407E-A947-70E740481C1C}">
                          <a14:useLocalDpi xmlns:a14="http://schemas.microsoft.com/office/drawing/2010/main" val="0"/>
                        </a:ext>
                      </a:extLst>
                    </a:blip>
                    <a:stretch>
                      <a:fillRect/>
                    </a:stretch>
                  </pic:blipFill>
                  <pic:spPr>
                    <a:xfrm>
                      <a:off x="0" y="0"/>
                      <a:ext cx="4754478" cy="8320336"/>
                    </a:xfrm>
                    <a:prstGeom prst="rect">
                      <a:avLst/>
                    </a:prstGeom>
                  </pic:spPr>
                </pic:pic>
              </a:graphicData>
            </a:graphic>
          </wp:inline>
        </w:drawing>
      </w:r>
    </w:p>
    <w:p w14:paraId="125C7D86" w14:textId="530E60C8" w:rsidR="00A812FA" w:rsidRPr="00FD62C4" w:rsidRDefault="00A812FA" w:rsidP="00F91225">
      <w:pPr>
        <w:pStyle w:val="Heading4"/>
      </w:pPr>
      <w:bookmarkStart w:id="107" w:name="_Toc176778727"/>
      <w:r w:rsidRPr="00FD62C4">
        <w:rPr>
          <w:lang w:eastAsia="zh-CN"/>
        </w:rPr>
        <w:lastRenderedPageBreak/>
        <w:t>A1</w:t>
      </w:r>
      <w:r w:rsidR="00E562C8" w:rsidRPr="00FD62C4">
        <w:rPr>
          <w:lang w:eastAsia="zh-CN"/>
        </w:rPr>
        <w:t>.</w:t>
      </w:r>
      <w:r w:rsidRPr="00FD62C4">
        <w:t>3.3.3</w:t>
      </w:r>
      <w:r w:rsidRPr="00FD62C4">
        <w:tab/>
        <w:t>Prediction</w:t>
      </w:r>
      <w:bookmarkEnd w:id="107"/>
      <w:r w:rsidRPr="00FD62C4">
        <w:t xml:space="preserve"> methodology</w:t>
      </w:r>
    </w:p>
    <w:p w14:paraId="014826BF" w14:textId="77777777" w:rsidR="00A812FA" w:rsidRPr="00FD62C4" w:rsidRDefault="00A812FA" w:rsidP="00A812FA">
      <w:pPr>
        <w:rPr>
          <w:lang w:eastAsia="ko-KR"/>
        </w:rPr>
      </w:pPr>
      <w:r w:rsidRPr="00FD62C4">
        <w:rPr>
          <w:lang w:eastAsia="ko-KR"/>
        </w:rPr>
        <w:t>Future spectrum availability is generally predicted by forecasting the information required for assessment and then assessing spectrum availability based on this predicted information. This approach also applies to the case of “shared use of unlicensed spectrum”.</w:t>
      </w:r>
    </w:p>
    <w:p w14:paraId="48030F2E" w14:textId="1292339C" w:rsidR="00A812FA" w:rsidRPr="00FD62C4" w:rsidRDefault="00A812FA" w:rsidP="00A812FA">
      <w:pPr>
        <w:rPr>
          <w:lang w:eastAsia="ko-KR"/>
        </w:rPr>
      </w:pPr>
      <w:r w:rsidRPr="00FD62C4">
        <w:rPr>
          <w:lang w:eastAsia="ko-KR"/>
        </w:rPr>
        <w:t xml:space="preserve">For these forecasts, time-accumulated data on the required information are needed. For example, in this case, it includes monthly or annual records of the interferer density </w:t>
      </w:r>
      <m:oMath>
        <m:sSub>
          <m:sSubPr>
            <m:ctrlPr>
              <w:rPr>
                <w:rFonts w:ascii="Cambria Math" w:hAnsi="Cambria Math"/>
                <w:i/>
                <w:lang w:eastAsia="ko-KR"/>
              </w:rPr>
            </m:ctrlPr>
          </m:sSubPr>
          <m:e>
            <m:r>
              <m:rPr>
                <m:sty m:val="p"/>
              </m:rPr>
              <w:rPr>
                <w:rFonts w:ascii="Cambria Math" w:hAnsi="Cambria Math"/>
                <w:lang w:eastAsia="ko-KR"/>
              </w:rPr>
              <m:t>λ</m:t>
            </m:r>
          </m:e>
          <m:sub>
            <m:r>
              <w:rPr>
                <w:rFonts w:ascii="Cambria Math" w:hAnsi="Cambria Math"/>
                <w:lang w:eastAsia="ko-KR"/>
              </w:rPr>
              <m:t>s</m:t>
            </m:r>
          </m:sub>
        </m:sSub>
      </m:oMath>
      <w:r w:rsidRPr="00FD62C4">
        <w:rPr>
          <w:lang w:eastAsia="ko-KR"/>
        </w:rPr>
        <w:t xml:space="preserve"> and the tolerable limit for the interference potential</w:t>
      </w:r>
      <w:r w:rsidRPr="00FD62C4">
        <w:rPr>
          <w:iCs/>
          <w:lang w:eastAsia="ko-KR"/>
        </w:rPr>
        <w:t xml:space="preserve"> </w:t>
      </w:r>
      <m:oMath>
        <m:r>
          <m:rPr>
            <m:sty m:val="p"/>
          </m:rPr>
          <w:rPr>
            <w:rFonts w:ascii="Cambria Math" w:hAnsi="Cambria Math"/>
          </w:rPr>
          <m:t>ε</m:t>
        </m:r>
      </m:oMath>
      <w:r w:rsidRPr="00FD62C4">
        <w:rPr>
          <w:lang w:eastAsia="ko-KR"/>
        </w:rPr>
        <w:t>.</w:t>
      </w:r>
    </w:p>
    <w:p w14:paraId="386A2E7B" w14:textId="722B2545" w:rsidR="00A812FA" w:rsidRPr="00FD62C4" w:rsidRDefault="00A812FA" w:rsidP="00A812FA">
      <w:pPr>
        <w:rPr>
          <w:lang w:eastAsia="ko-KR"/>
        </w:rPr>
      </w:pPr>
      <w:r w:rsidRPr="00FD62C4">
        <w:rPr>
          <w:lang w:eastAsia="ko-KR"/>
        </w:rPr>
        <w:t xml:space="preserve">Once time-accumulated data are gathered, methodologies for forecasting time series data from fields such as mathematics, statistics, and machine learning can be utilized for predicting future information, as mentioned in </w:t>
      </w:r>
      <w:r w:rsidR="00EB6A90" w:rsidRPr="00FD62C4">
        <w:rPr>
          <w:lang w:eastAsia="ko-KR"/>
        </w:rPr>
        <w:t>§</w:t>
      </w:r>
      <w:r w:rsidRPr="00FD62C4">
        <w:rPr>
          <w:lang w:eastAsia="ko-KR"/>
        </w:rPr>
        <w:t xml:space="preserve"> </w:t>
      </w:r>
      <w:r w:rsidRPr="00FD62C4">
        <w:rPr>
          <w:lang w:eastAsia="zh-CN"/>
        </w:rPr>
        <w:t>A1</w:t>
      </w:r>
      <w:r w:rsidR="00E562C8" w:rsidRPr="00FD62C4">
        <w:rPr>
          <w:lang w:eastAsia="zh-CN"/>
        </w:rPr>
        <w:t>.</w:t>
      </w:r>
      <w:r w:rsidRPr="00FD62C4">
        <w:rPr>
          <w:lang w:eastAsia="ko-KR"/>
        </w:rPr>
        <w:t>3.1.2.</w:t>
      </w:r>
    </w:p>
    <w:p w14:paraId="5C85F0A9" w14:textId="6479060C" w:rsidR="00A812FA" w:rsidRPr="00FD62C4" w:rsidRDefault="00A812FA" w:rsidP="00F91225">
      <w:pPr>
        <w:pStyle w:val="Heading2"/>
      </w:pPr>
      <w:bookmarkStart w:id="108" w:name="_Toc106624180"/>
      <w:bookmarkStart w:id="109" w:name="_Toc137196267"/>
      <w:bookmarkStart w:id="110" w:name="_Toc167886258"/>
      <w:bookmarkStart w:id="111" w:name="_Toc232493292"/>
      <w:bookmarkStart w:id="112" w:name="_Toc235620219"/>
      <w:r w:rsidRPr="00FD62C4">
        <w:rPr>
          <w:lang w:eastAsia="zh-CN"/>
        </w:rPr>
        <w:t>A1</w:t>
      </w:r>
      <w:r w:rsidR="00E562C8" w:rsidRPr="00FD62C4">
        <w:rPr>
          <w:lang w:eastAsia="zh-CN"/>
        </w:rPr>
        <w:t>.</w:t>
      </w:r>
      <w:r w:rsidRPr="00FD62C4">
        <w:t>4</w:t>
      </w:r>
      <w:r w:rsidRPr="00FD62C4">
        <w:tab/>
        <w:t>Technical approaches that improve spectrum availability</w:t>
      </w:r>
      <w:bookmarkEnd w:id="108"/>
      <w:bookmarkEnd w:id="109"/>
      <w:bookmarkEnd w:id="110"/>
      <w:bookmarkEnd w:id="111"/>
      <w:bookmarkEnd w:id="112"/>
    </w:p>
    <w:p w14:paraId="196E6448" w14:textId="5503197D" w:rsidR="00A812FA" w:rsidRPr="00FD62C4" w:rsidRDefault="00A812FA" w:rsidP="00A812FA">
      <w:r w:rsidRPr="00FD62C4">
        <w:rPr>
          <w:rFonts w:eastAsia="Malgun Gothic"/>
          <w:lang w:eastAsia="ko-KR"/>
        </w:rPr>
        <w:t xml:space="preserve">This </w:t>
      </w:r>
      <w:r w:rsidR="00EB6A90" w:rsidRPr="00FD62C4">
        <w:rPr>
          <w:rFonts w:eastAsia="Malgun Gothic"/>
          <w:lang w:eastAsia="ko-KR"/>
        </w:rPr>
        <w:t>section</w:t>
      </w:r>
      <w:r w:rsidRPr="00FD62C4">
        <w:rPr>
          <w:rFonts w:eastAsia="Malgun Gothic"/>
          <w:lang w:eastAsia="ko-KR"/>
        </w:rPr>
        <w:t xml:space="preserve"> introduces technical approaches that improve spectrum availability. Spectrum availability is an indicator of whether a frequency band can accommodate specific spectrum requirement and can be improved through technical approaches related to spectrum utilization: techniques for utilizing unoccupied spectrum use units and for increasing spectrum utilization efficiency. Recently, these techniques have also been advanced using data-driven approaches and machine learning. Some of these techniques are briefly introduced below</w:t>
      </w:r>
      <w:r w:rsidR="007656BE" w:rsidRPr="00FD62C4">
        <w:rPr>
          <w:rFonts w:eastAsia="Malgun Gothic"/>
          <w:lang w:eastAsia="ko-KR"/>
        </w:rPr>
        <w:t>.</w:t>
      </w:r>
    </w:p>
    <w:p w14:paraId="3B09CC50" w14:textId="77777777" w:rsidR="00A812FA" w:rsidRPr="00FD62C4" w:rsidRDefault="00A812FA" w:rsidP="00A812FA">
      <w:r w:rsidRPr="00FD62C4">
        <w:t>Cognitive Radio (CR) – The CR technique enables secondary users to opportunistically access a licensed spectrum owned by primary users</w:t>
      </w:r>
      <w:r w:rsidRPr="00FD62C4">
        <w:rPr>
          <w:rStyle w:val="FootnoteReference"/>
          <w:rFonts w:eastAsia="Malgun Gothic"/>
          <w:lang w:eastAsia="ko-KR"/>
        </w:rPr>
        <w:footnoteReference w:id="17"/>
      </w:r>
      <w:r w:rsidRPr="00FD62C4">
        <w:t>. CR is a technical approach to utilize unoccupied spectrum use units and is advancing with the aid of machine learning. Traditional approaches rely on spectrum sensing techniques to detect unoccupied spectrum use units, which consume significant energy and time and require complex prior information from primary users. Machine learning approaches aim to address these shortcomings by learning spectral and temporal spectrum occupation historical data and predicting unoccupied spectrum use units.</w:t>
      </w:r>
    </w:p>
    <w:p w14:paraId="01EFEEB6" w14:textId="77777777" w:rsidR="00A812FA" w:rsidRPr="00FD62C4" w:rsidRDefault="00A812FA" w:rsidP="00A812FA">
      <w:r w:rsidRPr="00FD62C4">
        <w:t xml:space="preserve">Multiple-Input and Multiple-Output (MIMO) – MIMO is a technical approach to increase spectral efficiency, which multiplies the capacity of a radio link using multiple transmission and receiving antenna to exploit multipath propagation. With </w:t>
      </w:r>
      <m:oMath>
        <m:r>
          <w:rPr>
            <w:rFonts w:ascii="Cambria Math" w:hAnsi="Cambria Math"/>
          </w:rPr>
          <m:t>M</m:t>
        </m:r>
      </m:oMath>
      <w:r w:rsidRPr="00FD62C4">
        <w:t xml:space="preserve"> antennas at transmitter and </w:t>
      </w:r>
      <m:oMath>
        <m:r>
          <w:rPr>
            <w:rFonts w:ascii="Cambria Math" w:hAnsi="Cambria Math"/>
          </w:rPr>
          <m:t>N</m:t>
        </m:r>
      </m:oMath>
      <w:r w:rsidRPr="00FD62C4">
        <w:t xml:space="preserve"> antennas at receiver, MIMO can increase </w:t>
      </w:r>
      <w:r w:rsidRPr="00FD62C4">
        <w:rPr>
          <w:spacing w:val="-2"/>
        </w:rPr>
        <w:t xml:space="preserve">capacity by up to </w:t>
      </w:r>
      <m:oMath>
        <m:func>
          <m:funcPr>
            <m:ctrlPr>
              <w:rPr>
                <w:rFonts w:ascii="Cambria Math" w:hAnsi="Cambria Math"/>
                <w:i/>
                <w:spacing w:val="-2"/>
              </w:rPr>
            </m:ctrlPr>
          </m:funcPr>
          <m:fName>
            <m:r>
              <m:rPr>
                <m:sty m:val="p"/>
              </m:rPr>
              <w:rPr>
                <w:rFonts w:ascii="Cambria Math" w:hAnsi="Cambria Math"/>
                <w:spacing w:val="-2"/>
              </w:rPr>
              <m:t>min</m:t>
            </m:r>
          </m:fName>
          <m:e>
            <m:r>
              <w:rPr>
                <w:rFonts w:ascii="Cambria Math" w:hAnsi="Cambria Math"/>
                <w:spacing w:val="-2"/>
              </w:rPr>
              <m:t>(M,N)</m:t>
            </m:r>
          </m:e>
        </m:func>
      </m:oMath>
      <w:r w:rsidRPr="00FD62C4">
        <w:rPr>
          <w:spacing w:val="-2"/>
        </w:rPr>
        <w:t xml:space="preserve"> times, where </w:t>
      </w:r>
      <m:oMath>
        <m:func>
          <m:funcPr>
            <m:ctrlPr>
              <w:rPr>
                <w:rFonts w:ascii="Cambria Math" w:hAnsi="Cambria Math"/>
                <w:i/>
                <w:spacing w:val="-2"/>
              </w:rPr>
            </m:ctrlPr>
          </m:funcPr>
          <m:fName>
            <m:r>
              <m:rPr>
                <m:sty m:val="p"/>
              </m:rPr>
              <w:rPr>
                <w:rFonts w:ascii="Cambria Math" w:hAnsi="Cambria Math"/>
                <w:spacing w:val="-2"/>
              </w:rPr>
              <m:t>min</m:t>
            </m:r>
          </m:fName>
          <m:e>
            <m:r>
              <w:rPr>
                <w:rFonts w:ascii="Cambria Math" w:hAnsi="Cambria Math"/>
                <w:spacing w:val="-2"/>
              </w:rPr>
              <m:t>(M,N)</m:t>
            </m:r>
          </m:e>
        </m:func>
      </m:oMath>
      <w:r w:rsidRPr="00FD62C4">
        <w:rPr>
          <w:spacing w:val="-2"/>
        </w:rPr>
        <w:t xml:space="preserve"> is the minimum value of </w:t>
      </w:r>
      <m:oMath>
        <m:r>
          <w:rPr>
            <w:rFonts w:ascii="Cambria Math" w:hAnsi="Cambria Math"/>
            <w:spacing w:val="-2"/>
          </w:rPr>
          <m:t>M</m:t>
        </m:r>
      </m:oMath>
      <w:r w:rsidRPr="00FD62C4">
        <w:rPr>
          <w:spacing w:val="-2"/>
        </w:rPr>
        <w:t xml:space="preserve"> and </w:t>
      </w:r>
      <m:oMath>
        <m:r>
          <w:rPr>
            <w:rFonts w:ascii="Cambria Math" w:hAnsi="Cambria Math"/>
            <w:spacing w:val="-2"/>
          </w:rPr>
          <m:t>N</m:t>
        </m:r>
      </m:oMath>
      <w:r w:rsidRPr="00FD62C4">
        <w:rPr>
          <w:spacing w:val="-2"/>
        </w:rPr>
        <w:t>.</w:t>
      </w:r>
      <w:r w:rsidRPr="00FD62C4">
        <w:t xml:space="preserve"> With the help of machine learning, MIMO performance can be intelligently optimized based on environment conditions</w:t>
      </w:r>
      <w:r w:rsidRPr="00FD62C4">
        <w:rPr>
          <w:rStyle w:val="FootnoteReference"/>
        </w:rPr>
        <w:footnoteReference w:id="18"/>
      </w:r>
      <w:r w:rsidRPr="00FD62C4">
        <w:t>.</w:t>
      </w:r>
    </w:p>
    <w:p w14:paraId="6CA560D4" w14:textId="7E18DEA3" w:rsidR="00A812FA" w:rsidRPr="00FD62C4" w:rsidRDefault="00A812FA" w:rsidP="00F91225">
      <w:pPr>
        <w:pStyle w:val="Heading2"/>
      </w:pPr>
      <w:bookmarkStart w:id="113" w:name="_Toc106624181"/>
      <w:bookmarkStart w:id="114" w:name="_Toc137196268"/>
      <w:bookmarkStart w:id="115" w:name="_Toc167886259"/>
      <w:bookmarkStart w:id="116" w:name="_Toc232493293"/>
      <w:bookmarkStart w:id="117" w:name="_Toc235620220"/>
      <w:bookmarkStart w:id="118" w:name="_Hlk160815362"/>
      <w:r w:rsidRPr="00FD62C4">
        <w:rPr>
          <w:lang w:eastAsia="zh-CN"/>
        </w:rPr>
        <w:t>A1</w:t>
      </w:r>
      <w:r w:rsidR="006F13E6" w:rsidRPr="00FD62C4">
        <w:rPr>
          <w:lang w:eastAsia="zh-CN"/>
        </w:rPr>
        <w:t>.</w:t>
      </w:r>
      <w:r w:rsidRPr="00FD62C4">
        <w:t>5</w:t>
      </w:r>
      <w:r w:rsidRPr="00FD62C4">
        <w:tab/>
        <w:t>References</w:t>
      </w:r>
      <w:bookmarkStart w:id="119" w:name="_Hlk103807471"/>
      <w:bookmarkEnd w:id="113"/>
      <w:bookmarkEnd w:id="114"/>
      <w:bookmarkEnd w:id="115"/>
      <w:bookmarkEnd w:id="116"/>
      <w:bookmarkEnd w:id="117"/>
    </w:p>
    <w:p w14:paraId="1F80A55F" w14:textId="77777777" w:rsidR="00A812FA" w:rsidRPr="00FD62C4" w:rsidRDefault="00A812FA" w:rsidP="00A812FA">
      <w:pPr>
        <w:pStyle w:val="Reftext"/>
        <w:rPr>
          <w:rStyle w:val="Hyperlink"/>
          <w:lang w:eastAsia="ko-KR"/>
        </w:rPr>
      </w:pPr>
      <w:r w:rsidRPr="00FD62C4">
        <w:t>[1]</w:t>
      </w:r>
      <w:r w:rsidRPr="00FD62C4">
        <w:tab/>
      </w:r>
      <w:r w:rsidRPr="00FD62C4">
        <w:rPr>
          <w:lang w:eastAsia="ko-KR"/>
        </w:rPr>
        <w:t xml:space="preserve">ITU-R Handbook – National Spectrum Management (Edition of 2015). (Online). Available: </w:t>
      </w:r>
      <w:hyperlink r:id="rId20" w:history="1">
        <w:r w:rsidRPr="00FD62C4">
          <w:rPr>
            <w:rStyle w:val="Hyperlink"/>
            <w:lang w:eastAsia="ko-KR"/>
          </w:rPr>
          <w:t>https://www.itu.int/pub/R-HDB-21</w:t>
        </w:r>
      </w:hyperlink>
    </w:p>
    <w:p w14:paraId="2554FDC3" w14:textId="77777777" w:rsidR="00A812FA" w:rsidRPr="005E2A2B" w:rsidRDefault="00A812FA" w:rsidP="00A812FA">
      <w:pPr>
        <w:pStyle w:val="Reftext"/>
        <w:rPr>
          <w:rStyle w:val="Hyperlink"/>
          <w:color w:val="auto"/>
          <w:lang w:val="fr-CH"/>
        </w:rPr>
      </w:pPr>
      <w:r w:rsidRPr="00FD62C4">
        <w:t>[2]</w:t>
      </w:r>
      <w:r w:rsidRPr="00FD62C4">
        <w:tab/>
      </w:r>
      <w:r w:rsidRPr="00FD62C4">
        <w:rPr>
          <w:bCs/>
          <w:lang w:eastAsia="ja-JP"/>
        </w:rPr>
        <w:t>Recommendation ITU-R SM.1046</w:t>
      </w:r>
      <w:r w:rsidRPr="00FD62C4">
        <w:rPr>
          <w:lang w:eastAsia="ja-JP"/>
        </w:rPr>
        <w:t xml:space="preserve"> – </w:t>
      </w:r>
      <w:r w:rsidRPr="00FD62C4">
        <w:rPr>
          <w:i/>
          <w:iCs/>
          <w:lang w:eastAsia="ja-JP"/>
        </w:rPr>
        <w:t xml:space="preserve">Definition of spectrum use and efficiency of a radio system. </w:t>
      </w:r>
      <w:r w:rsidRPr="005E2A2B">
        <w:rPr>
          <w:lang w:val="fr-CH" w:eastAsia="ko-KR"/>
        </w:rPr>
        <w:t xml:space="preserve">(Online]\). Available: </w:t>
      </w:r>
      <w:hyperlink r:id="rId21" w:history="1">
        <w:r w:rsidRPr="005E2A2B">
          <w:rPr>
            <w:rStyle w:val="Hyperlink"/>
            <w:lang w:val="fr-CH"/>
          </w:rPr>
          <w:t>https://www.itu.int/rec/R-REC-SM.1046/en</w:t>
        </w:r>
      </w:hyperlink>
    </w:p>
    <w:p w14:paraId="4897E9EC" w14:textId="77777777" w:rsidR="00A812FA" w:rsidRPr="005E2A2B" w:rsidRDefault="00A812FA" w:rsidP="00A812FA">
      <w:pPr>
        <w:pStyle w:val="Reftext"/>
        <w:rPr>
          <w:rStyle w:val="Hyperlink"/>
          <w:color w:val="auto"/>
          <w:lang w:val="fr-CH" w:eastAsia="ko-KR"/>
        </w:rPr>
      </w:pPr>
      <w:r w:rsidRPr="00FD62C4">
        <w:t>[3]</w:t>
      </w:r>
      <w:r w:rsidRPr="00FD62C4">
        <w:tab/>
      </w:r>
      <w:r w:rsidRPr="00FD62C4">
        <w:rPr>
          <w:bCs/>
          <w:lang w:eastAsia="ja-JP"/>
        </w:rPr>
        <w:t>Recommendation ITU-R SM.1138</w:t>
      </w:r>
      <w:r w:rsidRPr="00FD62C4">
        <w:rPr>
          <w:lang w:eastAsia="ja-JP"/>
        </w:rPr>
        <w:t xml:space="preserve"> – </w:t>
      </w:r>
      <w:r w:rsidRPr="00FD62C4">
        <w:rPr>
          <w:i/>
          <w:iCs/>
          <w:lang w:eastAsia="ja-JP"/>
        </w:rPr>
        <w:t xml:space="preserve">Determination of necessary bandwidths including examples for their calculation and associated examples for the designation of emissions. </w:t>
      </w:r>
      <w:r w:rsidRPr="005E2A2B">
        <w:rPr>
          <w:lang w:val="fr-CH" w:eastAsia="ko-KR"/>
        </w:rPr>
        <w:t xml:space="preserve">(Online). Available: </w:t>
      </w:r>
      <w:hyperlink r:id="rId22" w:history="1">
        <w:r w:rsidRPr="005E2A2B">
          <w:rPr>
            <w:rStyle w:val="Hyperlink"/>
            <w:lang w:val="fr-CH" w:eastAsia="ko-KR"/>
          </w:rPr>
          <w:t>https://www.itu.int/rec/R-REC-SM.1138/en</w:t>
        </w:r>
      </w:hyperlink>
    </w:p>
    <w:p w14:paraId="06F5D289" w14:textId="77777777" w:rsidR="00A812FA" w:rsidRPr="005E2A2B" w:rsidRDefault="00A812FA" w:rsidP="00A812FA">
      <w:pPr>
        <w:pStyle w:val="Reftext"/>
        <w:rPr>
          <w:lang w:val="fr-CH"/>
        </w:rPr>
      </w:pPr>
      <w:r w:rsidRPr="00FD62C4">
        <w:t>[4]</w:t>
      </w:r>
      <w:r w:rsidRPr="00FD62C4">
        <w:tab/>
      </w:r>
      <w:r w:rsidRPr="00FD62C4">
        <w:rPr>
          <w:bCs/>
          <w:lang w:eastAsia="ja-JP"/>
        </w:rPr>
        <w:t>Recommendation ITU-R P.452</w:t>
      </w:r>
      <w:r w:rsidRPr="00EA5839">
        <w:rPr>
          <w:lang w:eastAsia="ja-JP"/>
        </w:rPr>
        <w:t xml:space="preserve"> </w:t>
      </w:r>
      <w:r w:rsidRPr="00FD62C4">
        <w:rPr>
          <w:lang w:eastAsia="ja-JP"/>
        </w:rPr>
        <w:t xml:space="preserve">– </w:t>
      </w:r>
      <w:r w:rsidRPr="00FD62C4">
        <w:rPr>
          <w:i/>
          <w:iCs/>
          <w:lang w:eastAsia="ja-JP"/>
        </w:rPr>
        <w:t xml:space="preserve">Prediction procedure for the evaluation of interference between stations on the surface of the Earth at frequencies above about 100 MHz. </w:t>
      </w:r>
      <w:r w:rsidRPr="005E2A2B">
        <w:rPr>
          <w:lang w:val="fr-CH" w:eastAsia="ko-KR"/>
        </w:rPr>
        <w:t xml:space="preserve">(Online). Available: </w:t>
      </w:r>
      <w:hyperlink r:id="rId23" w:history="1">
        <w:r w:rsidRPr="005E2A2B">
          <w:rPr>
            <w:rStyle w:val="Hyperlink"/>
            <w:lang w:val="fr-CH" w:eastAsia="ko-KR"/>
          </w:rPr>
          <w:t>https://www.itu.int/rec/R-REC-P.452/en</w:t>
        </w:r>
      </w:hyperlink>
    </w:p>
    <w:p w14:paraId="1F9A9668" w14:textId="77777777" w:rsidR="00A812FA" w:rsidRPr="005E2A2B" w:rsidRDefault="00A812FA" w:rsidP="00A812FA">
      <w:pPr>
        <w:pStyle w:val="Reftext"/>
        <w:rPr>
          <w:rStyle w:val="Hyperlink"/>
          <w:color w:val="auto"/>
          <w:lang w:val="fr-CH" w:eastAsia="ko-KR"/>
        </w:rPr>
      </w:pPr>
      <w:r w:rsidRPr="00FD62C4">
        <w:lastRenderedPageBreak/>
        <w:t>[5]</w:t>
      </w:r>
      <w:r w:rsidRPr="00FD62C4">
        <w:tab/>
      </w:r>
      <w:r w:rsidRPr="00FD62C4">
        <w:rPr>
          <w:bCs/>
          <w:lang w:eastAsia="ja-JP"/>
        </w:rPr>
        <w:t>Recommendation ITU-R P.1411</w:t>
      </w:r>
      <w:r w:rsidRPr="005727FD">
        <w:rPr>
          <w:lang w:eastAsia="ja-JP"/>
        </w:rPr>
        <w:t xml:space="preserve"> </w:t>
      </w:r>
      <w:r w:rsidRPr="00FD62C4">
        <w:rPr>
          <w:lang w:eastAsia="ja-JP"/>
        </w:rPr>
        <w:t xml:space="preserve">– </w:t>
      </w:r>
      <w:r w:rsidRPr="00FD62C4">
        <w:rPr>
          <w:i/>
          <w:iCs/>
          <w:lang w:eastAsia="ja-JP"/>
        </w:rPr>
        <w:t xml:space="preserve">Propagation data and prediction methods for the planning of </w:t>
      </w:r>
      <w:r w:rsidRPr="00FD62C4">
        <w:rPr>
          <w:i/>
          <w:iCs/>
          <w:lang w:eastAsia="ko-KR"/>
        </w:rPr>
        <w:t>short-range outdoor radiocommunication systems and radio local area networks in the frequency range 300 MHz to 100 GHz.</w:t>
      </w:r>
      <w:r w:rsidRPr="00FD62C4">
        <w:rPr>
          <w:i/>
          <w:iCs/>
          <w:lang w:eastAsia="ja-JP"/>
        </w:rPr>
        <w:t xml:space="preserve"> </w:t>
      </w:r>
      <w:r w:rsidRPr="005E2A2B">
        <w:rPr>
          <w:lang w:val="fr-CH" w:eastAsia="ko-KR"/>
        </w:rPr>
        <w:t xml:space="preserve">(Online). Available: </w:t>
      </w:r>
      <w:hyperlink r:id="rId24" w:history="1">
        <w:r w:rsidRPr="005E2A2B">
          <w:rPr>
            <w:rStyle w:val="Hyperlink"/>
            <w:lang w:val="fr-CH" w:eastAsia="ko-KR"/>
          </w:rPr>
          <w:t>https://www.itu.int/rec/R-REC-P.1411/en</w:t>
        </w:r>
      </w:hyperlink>
    </w:p>
    <w:p w14:paraId="0888D5F2" w14:textId="77777777" w:rsidR="00A812FA" w:rsidRPr="005E2A2B" w:rsidRDefault="00A812FA" w:rsidP="00A812FA">
      <w:pPr>
        <w:pStyle w:val="Reftext"/>
        <w:rPr>
          <w:i/>
          <w:iCs/>
          <w:lang w:val="fr-CH" w:eastAsia="ja-JP"/>
        </w:rPr>
      </w:pPr>
      <w:r w:rsidRPr="00FD62C4">
        <w:t>[6]</w:t>
      </w:r>
      <w:r w:rsidRPr="00FD62C4">
        <w:tab/>
      </w:r>
      <w:r w:rsidRPr="00FD62C4">
        <w:rPr>
          <w:bCs/>
          <w:lang w:eastAsia="ja-JP"/>
        </w:rPr>
        <w:t>Recommendation ITU-R M.1768</w:t>
      </w:r>
      <w:r w:rsidRPr="00FD62C4">
        <w:rPr>
          <w:lang w:eastAsia="ja-JP"/>
        </w:rPr>
        <w:t xml:space="preserve"> – </w:t>
      </w:r>
      <w:r w:rsidRPr="00FD62C4">
        <w:rPr>
          <w:i/>
          <w:iCs/>
          <w:lang w:eastAsia="ja-JP"/>
        </w:rPr>
        <w:t xml:space="preserve">Methodology for calculation of spectrum requirements for the terrestrial component of International Mobile Telecommunications. </w:t>
      </w:r>
      <w:r w:rsidRPr="005E2A2B">
        <w:rPr>
          <w:lang w:val="fr-CH" w:eastAsia="ko-KR"/>
        </w:rPr>
        <w:t xml:space="preserve">(Online). Available: </w:t>
      </w:r>
      <w:hyperlink r:id="rId25" w:history="1">
        <w:r w:rsidRPr="005E2A2B">
          <w:rPr>
            <w:rStyle w:val="Hyperlink"/>
            <w:lang w:val="fr-CH" w:eastAsia="ko-KR"/>
          </w:rPr>
          <w:t>https://www.itu.int/rec/R-REC-M.1768/en</w:t>
        </w:r>
      </w:hyperlink>
    </w:p>
    <w:p w14:paraId="0484674E" w14:textId="77777777" w:rsidR="00A812FA" w:rsidRPr="005E2A2B" w:rsidRDefault="00A812FA" w:rsidP="00A812FA">
      <w:pPr>
        <w:pStyle w:val="Reftext"/>
        <w:rPr>
          <w:rStyle w:val="Hyperlink"/>
          <w:lang w:val="fr-CH" w:eastAsia="ko-KR"/>
        </w:rPr>
      </w:pPr>
      <w:r w:rsidRPr="00FD62C4">
        <w:t>[7]</w:t>
      </w:r>
      <w:r w:rsidRPr="00FD62C4">
        <w:tab/>
      </w:r>
      <w:r w:rsidRPr="00FD62C4">
        <w:rPr>
          <w:bCs/>
          <w:lang w:eastAsia="ja-JP"/>
        </w:rPr>
        <w:t>Recommendation ITU-R M.2091</w:t>
      </w:r>
      <w:r w:rsidRPr="00FD62C4">
        <w:rPr>
          <w:lang w:eastAsia="ja-JP"/>
        </w:rPr>
        <w:t xml:space="preserve"> – </w:t>
      </w:r>
      <w:r w:rsidRPr="00FD62C4">
        <w:rPr>
          <w:i/>
          <w:iCs/>
          <w:lang w:eastAsia="ja-JP"/>
        </w:rPr>
        <w:t xml:space="preserve">Methodology to calculate spectrum requirements </w:t>
      </w:r>
      <w:r w:rsidRPr="00FD62C4">
        <w:rPr>
          <w:i/>
          <w:iCs/>
          <w:spacing w:val="-2"/>
          <w:lang w:eastAsia="ja-JP"/>
        </w:rPr>
        <w:t>within the frequency bands 1 545-1 555 MHz (space-to-Earth) and 1 646.5-1 656.5 MHz</w:t>
      </w:r>
      <w:r w:rsidRPr="00FD62C4">
        <w:rPr>
          <w:i/>
          <w:iCs/>
          <w:lang w:eastAsia="ja-JP"/>
        </w:rPr>
        <w:t xml:space="preserve"> (Earth-to-space) for aeronautical mobile-satellite (R) service communications related to the priority categories 1 to 6 of Article 44 of the Radio Regulations. </w:t>
      </w:r>
      <w:r w:rsidRPr="005E2A2B">
        <w:rPr>
          <w:lang w:val="fr-CH" w:eastAsia="ko-KR"/>
        </w:rPr>
        <w:t xml:space="preserve">(Online). Available: </w:t>
      </w:r>
      <w:hyperlink r:id="rId26" w:history="1">
        <w:r w:rsidRPr="005E2A2B">
          <w:rPr>
            <w:rStyle w:val="Hyperlink"/>
            <w:lang w:val="fr-CH" w:eastAsia="ko-KR"/>
          </w:rPr>
          <w:t>https://www.itu.int/rec/R-REC-M.2091/en</w:t>
        </w:r>
      </w:hyperlink>
    </w:p>
    <w:p w14:paraId="667BCC43" w14:textId="77777777" w:rsidR="00A812FA" w:rsidRPr="005E2A2B" w:rsidRDefault="00A812FA" w:rsidP="00A812FA">
      <w:pPr>
        <w:pStyle w:val="Reftext"/>
        <w:rPr>
          <w:lang w:val="fr-CH" w:eastAsia="ko-KR"/>
        </w:rPr>
      </w:pPr>
      <w:r w:rsidRPr="00FD62C4">
        <w:t>[8]</w:t>
      </w:r>
      <w:r w:rsidRPr="00FD62C4">
        <w:tab/>
      </w:r>
      <w:r w:rsidRPr="00FD62C4">
        <w:rPr>
          <w:bCs/>
          <w:lang w:eastAsia="ja-JP"/>
        </w:rPr>
        <w:t xml:space="preserve">Report ITU-R SM.2028 </w:t>
      </w:r>
      <w:r w:rsidRPr="00FD62C4">
        <w:rPr>
          <w:lang w:eastAsia="ja-JP"/>
        </w:rPr>
        <w:t xml:space="preserve">– </w:t>
      </w:r>
      <w:r w:rsidRPr="00FD62C4">
        <w:rPr>
          <w:i/>
          <w:iCs/>
          <w:lang w:eastAsia="ja-JP"/>
        </w:rPr>
        <w:t xml:space="preserve">Monte Carlo simulation methodology for the use in sharing and compatibility studies between different radio services or systems. </w:t>
      </w:r>
      <w:r w:rsidRPr="005E2A2B">
        <w:rPr>
          <w:lang w:val="fr-CH" w:eastAsia="ko-KR"/>
        </w:rPr>
        <w:t>(Online). Available:</w:t>
      </w:r>
      <w:r w:rsidRPr="005E2A2B">
        <w:rPr>
          <w:lang w:val="fr-CH"/>
        </w:rPr>
        <w:t xml:space="preserve"> </w:t>
      </w:r>
      <w:hyperlink r:id="rId27" w:history="1">
        <w:r w:rsidRPr="005E2A2B">
          <w:rPr>
            <w:rStyle w:val="Hyperlink"/>
            <w:lang w:val="fr-CH" w:eastAsia="ko-KR"/>
          </w:rPr>
          <w:t>https://www.itu.int/pub/R-REP-SM.2028</w:t>
        </w:r>
      </w:hyperlink>
    </w:p>
    <w:p w14:paraId="365817A2" w14:textId="77777777" w:rsidR="00A812FA" w:rsidRPr="005E2A2B" w:rsidRDefault="00A812FA" w:rsidP="00A812FA">
      <w:pPr>
        <w:pStyle w:val="Reftext"/>
        <w:rPr>
          <w:lang w:val="fr-CH"/>
        </w:rPr>
      </w:pPr>
      <w:r w:rsidRPr="00FD62C4">
        <w:t>[9]</w:t>
      </w:r>
      <w:r w:rsidRPr="00FD62C4">
        <w:tab/>
      </w:r>
      <w:r w:rsidRPr="00FD62C4">
        <w:rPr>
          <w:bCs/>
          <w:lang w:eastAsia="ja-JP"/>
        </w:rPr>
        <w:t>Report ITU-R SM.2404</w:t>
      </w:r>
      <w:r w:rsidRPr="00FD62C4">
        <w:rPr>
          <w:lang w:eastAsia="ja-JP"/>
        </w:rPr>
        <w:t xml:space="preserve"> – </w:t>
      </w:r>
      <w:r w:rsidRPr="00FD62C4">
        <w:rPr>
          <w:i/>
          <w:iCs/>
          <w:lang w:eastAsia="ja-JP"/>
        </w:rPr>
        <w:t xml:space="preserve">Regulatory tools to support enhanced shared use of the spectrum. </w:t>
      </w:r>
      <w:r w:rsidRPr="005E2A2B">
        <w:rPr>
          <w:lang w:val="fr-CH" w:eastAsia="ko-KR"/>
        </w:rPr>
        <w:t xml:space="preserve">(Online). Available: </w:t>
      </w:r>
      <w:hyperlink r:id="rId28" w:history="1">
        <w:r w:rsidRPr="005E2A2B">
          <w:rPr>
            <w:rStyle w:val="Hyperlink"/>
            <w:lang w:val="fr-CH" w:eastAsia="ko-KR"/>
          </w:rPr>
          <w:t>https://www.itu.int/pub/R-REP-SM.2404</w:t>
        </w:r>
      </w:hyperlink>
    </w:p>
    <w:p w14:paraId="6C8F6DE7" w14:textId="77777777" w:rsidR="00A812FA" w:rsidRPr="005E2A2B" w:rsidRDefault="00A812FA" w:rsidP="00A812FA">
      <w:pPr>
        <w:pStyle w:val="Reftext"/>
        <w:rPr>
          <w:iCs/>
          <w:lang w:val="fr-CH" w:eastAsia="ja-JP"/>
        </w:rPr>
      </w:pPr>
      <w:r w:rsidRPr="00FD62C4">
        <w:t>[10]</w:t>
      </w:r>
      <w:r w:rsidRPr="00FD62C4">
        <w:tab/>
      </w:r>
      <w:r w:rsidRPr="00FD62C4">
        <w:rPr>
          <w:bCs/>
          <w:lang w:eastAsia="ja-JP"/>
        </w:rPr>
        <w:t>Report ITU-R SM.2405</w:t>
      </w:r>
      <w:r w:rsidRPr="00FD62C4">
        <w:rPr>
          <w:lang w:eastAsia="ja-JP"/>
        </w:rPr>
        <w:t xml:space="preserve"> – </w:t>
      </w:r>
      <w:r w:rsidRPr="00FD62C4">
        <w:rPr>
          <w:i/>
          <w:iCs/>
          <w:lang w:eastAsia="ja-JP"/>
        </w:rPr>
        <w:t>Spectrum management principles, challenges and issues related to dynamic access to frequency bands by means of radio systems employing cognitive capabilities.</w:t>
      </w:r>
      <w:r w:rsidRPr="00FD62C4">
        <w:t xml:space="preserve"> </w:t>
      </w:r>
      <w:r w:rsidRPr="005E2A2B">
        <w:rPr>
          <w:lang w:val="fr-CH" w:eastAsia="ko-KR"/>
        </w:rPr>
        <w:t xml:space="preserve">(Online). Available: </w:t>
      </w:r>
      <w:hyperlink r:id="rId29" w:history="1">
        <w:r w:rsidRPr="005E2A2B">
          <w:rPr>
            <w:rStyle w:val="Hyperlink"/>
            <w:lang w:val="fr-CH" w:eastAsia="ko-KR"/>
          </w:rPr>
          <w:t>https://www.itu.int/pub/R-REP-SM.2405</w:t>
        </w:r>
      </w:hyperlink>
    </w:p>
    <w:p w14:paraId="55781EC5" w14:textId="77777777" w:rsidR="00A812FA" w:rsidRPr="005E2A2B" w:rsidRDefault="00A812FA" w:rsidP="00A812FA">
      <w:pPr>
        <w:pStyle w:val="Reftext"/>
        <w:rPr>
          <w:lang w:val="fr-CH"/>
        </w:rPr>
      </w:pPr>
      <w:r w:rsidRPr="00FD62C4">
        <w:t>[11]</w:t>
      </w:r>
      <w:r w:rsidRPr="00FD62C4">
        <w:tab/>
      </w:r>
      <w:r w:rsidRPr="00FD62C4">
        <w:rPr>
          <w:bCs/>
          <w:lang w:eastAsia="ja-JP"/>
        </w:rPr>
        <w:t>Report ITU-R F.2438</w:t>
      </w:r>
      <w:r w:rsidRPr="00FD62C4">
        <w:rPr>
          <w:lang w:eastAsia="ja-JP"/>
        </w:rPr>
        <w:t xml:space="preserve"> – </w:t>
      </w:r>
      <w:r w:rsidRPr="00FD62C4">
        <w:rPr>
          <w:i/>
          <w:iCs/>
          <w:lang w:eastAsia="ja-JP"/>
        </w:rPr>
        <w:t xml:space="preserve">Spectrum needs of high altitude platform stations (HAPS) broadband links operating in the fixed service. </w:t>
      </w:r>
      <w:r w:rsidRPr="005E2A2B">
        <w:rPr>
          <w:lang w:val="fr-CH" w:eastAsia="ko-KR"/>
        </w:rPr>
        <w:t xml:space="preserve">(Online). Available: </w:t>
      </w:r>
      <w:hyperlink r:id="rId30" w:history="1">
        <w:r w:rsidRPr="005E2A2B">
          <w:rPr>
            <w:rStyle w:val="Hyperlink"/>
            <w:lang w:val="fr-CH" w:eastAsia="ko-KR"/>
          </w:rPr>
          <w:t>https://www.itu.int/pub/R-REP-F.2438</w:t>
        </w:r>
      </w:hyperlink>
    </w:p>
    <w:p w14:paraId="7C413C1C" w14:textId="5C209BAC" w:rsidR="00A812FA" w:rsidRPr="005E2A2B" w:rsidRDefault="00A812FA" w:rsidP="00A812FA">
      <w:pPr>
        <w:pStyle w:val="Reftext"/>
        <w:rPr>
          <w:rStyle w:val="Hyperlink"/>
          <w:lang w:val="fr-CH" w:eastAsia="ko-KR"/>
        </w:rPr>
      </w:pPr>
      <w:r w:rsidRPr="00FD62C4">
        <w:t>[12]</w:t>
      </w:r>
      <w:r w:rsidRPr="00FD62C4">
        <w:tab/>
      </w:r>
      <w:r w:rsidRPr="00FD62C4">
        <w:rPr>
          <w:bCs/>
          <w:lang w:eastAsia="ja-JP"/>
        </w:rPr>
        <w:t>Report ITU-R M.2218</w:t>
      </w:r>
      <w:r w:rsidRPr="00FD62C4">
        <w:rPr>
          <w:lang w:eastAsia="ja-JP"/>
        </w:rPr>
        <w:t xml:space="preserve"> – </w:t>
      </w:r>
      <w:r w:rsidRPr="00FD62C4">
        <w:rPr>
          <w:i/>
          <w:iCs/>
          <w:lang w:eastAsia="ja-JP"/>
        </w:rPr>
        <w:t>Traffic forecasts and estimated spectrum requirements for future development of the mobile-satellite service in the range 4</w:t>
      </w:r>
      <w:r w:rsidR="0056771B">
        <w:rPr>
          <w:i/>
          <w:iCs/>
          <w:lang w:eastAsia="ja-JP"/>
        </w:rPr>
        <w:t>-</w:t>
      </w:r>
      <w:r w:rsidRPr="00FD62C4">
        <w:rPr>
          <w:i/>
          <w:iCs/>
          <w:lang w:eastAsia="ja-JP"/>
        </w:rPr>
        <w:t xml:space="preserve">16 GHz. </w:t>
      </w:r>
      <w:r w:rsidRPr="005E2A2B">
        <w:rPr>
          <w:lang w:val="fr-CH" w:eastAsia="ko-KR"/>
        </w:rPr>
        <w:t xml:space="preserve">(Online). Available: </w:t>
      </w:r>
      <w:hyperlink r:id="rId31" w:history="1">
        <w:r w:rsidRPr="005E2A2B">
          <w:rPr>
            <w:rStyle w:val="Hyperlink"/>
            <w:lang w:val="fr-CH" w:eastAsia="ko-KR"/>
          </w:rPr>
          <w:t>https://www.itu.int/pub/R-REP-M.2218/en</w:t>
        </w:r>
      </w:hyperlink>
    </w:p>
    <w:p w14:paraId="6DAC087D" w14:textId="77777777" w:rsidR="00A812FA" w:rsidRPr="005E2A2B" w:rsidRDefault="00A812FA" w:rsidP="00A812FA">
      <w:pPr>
        <w:pStyle w:val="Reftext"/>
        <w:rPr>
          <w:lang w:val="fr-CH"/>
        </w:rPr>
      </w:pPr>
      <w:r w:rsidRPr="00FD62C4">
        <w:t>[13]</w:t>
      </w:r>
      <w:r w:rsidRPr="00FD62C4">
        <w:tab/>
      </w:r>
      <w:r w:rsidRPr="00FD62C4">
        <w:rPr>
          <w:bCs/>
          <w:lang w:eastAsia="ja-JP"/>
        </w:rPr>
        <w:t>Report ITU-R M.2290</w:t>
      </w:r>
      <w:r w:rsidRPr="00FD62C4">
        <w:rPr>
          <w:lang w:eastAsia="ja-JP"/>
        </w:rPr>
        <w:t xml:space="preserve"> – </w:t>
      </w:r>
      <w:r w:rsidRPr="00FD62C4">
        <w:rPr>
          <w:i/>
          <w:iCs/>
          <w:lang w:eastAsia="ja-JP"/>
        </w:rPr>
        <w:t>Future spectrum requirements estimate for terrestrial IMT.</w:t>
      </w:r>
      <w:r w:rsidRPr="00FD62C4">
        <w:rPr>
          <w:iCs/>
          <w:lang w:eastAsia="ja-JP"/>
        </w:rPr>
        <w:t xml:space="preserve"> </w:t>
      </w:r>
      <w:r w:rsidRPr="005E2A2B">
        <w:rPr>
          <w:lang w:val="fr-CH" w:eastAsia="ko-KR"/>
        </w:rPr>
        <w:t xml:space="preserve">(Online). Available: </w:t>
      </w:r>
      <w:hyperlink r:id="rId32" w:history="1">
        <w:r w:rsidRPr="005E2A2B">
          <w:rPr>
            <w:rStyle w:val="Hyperlink"/>
            <w:lang w:val="fr-CH" w:eastAsia="ko-KR"/>
          </w:rPr>
          <w:t>https://www.itu.int/pub/R-REP-M.2290</w:t>
        </w:r>
      </w:hyperlink>
    </w:p>
    <w:p w14:paraId="7BCE893C" w14:textId="5ECAC877" w:rsidR="00A812FA" w:rsidRPr="005E2A2B" w:rsidRDefault="00A812FA" w:rsidP="00A812FA">
      <w:pPr>
        <w:pStyle w:val="Reftext"/>
        <w:rPr>
          <w:lang w:val="fr-CH"/>
        </w:rPr>
      </w:pPr>
      <w:r w:rsidRPr="00FD62C4">
        <w:t>[14]</w:t>
      </w:r>
      <w:r w:rsidRPr="00FD62C4">
        <w:tab/>
      </w:r>
      <w:r w:rsidRPr="00FD62C4">
        <w:rPr>
          <w:bCs/>
          <w:lang w:eastAsia="ja-JP"/>
        </w:rPr>
        <w:t>NTIA Redbook Annex J</w:t>
      </w:r>
      <w:r w:rsidRPr="00FD62C4">
        <w:rPr>
          <w:lang w:eastAsia="ja-JP"/>
        </w:rPr>
        <w:t xml:space="preserve"> – </w:t>
      </w:r>
      <w:r w:rsidRPr="00FD62C4">
        <w:rPr>
          <w:i/>
          <w:iCs/>
          <w:lang w:eastAsia="ja-JP"/>
        </w:rPr>
        <w:t xml:space="preserve">Guidance for Determination of Necessary Bandwidth, </w:t>
      </w:r>
      <w:r w:rsidRPr="00FD62C4">
        <w:rPr>
          <w:lang w:eastAsia="ko-KR"/>
        </w:rPr>
        <w:t xml:space="preserve">(Online). </w:t>
      </w:r>
      <w:r w:rsidRPr="005E2A2B">
        <w:rPr>
          <w:lang w:val="fr-CH" w:eastAsia="ko-KR"/>
        </w:rPr>
        <w:t xml:space="preserve">Available: </w:t>
      </w:r>
      <w:hyperlink r:id="rId33" w:history="1">
        <w:r w:rsidRPr="005E2A2B">
          <w:rPr>
            <w:rStyle w:val="Hyperlink"/>
            <w:lang w:val="fr-CH"/>
          </w:rPr>
          <w:t>https://www.ntia.gov/sites/default/files/2023-11/j_2021_edition_rev_2023.pdf</w:t>
        </w:r>
      </w:hyperlink>
      <w:r w:rsidRPr="005E2A2B">
        <w:rPr>
          <w:lang w:val="fr-CH"/>
        </w:rPr>
        <w:t xml:space="preserve"> </w:t>
      </w:r>
    </w:p>
    <w:p w14:paraId="3D73BD4E" w14:textId="77777777" w:rsidR="00A812FA" w:rsidRPr="005E2A2B" w:rsidRDefault="00A812FA" w:rsidP="00A812FA">
      <w:pPr>
        <w:pStyle w:val="Reftext"/>
        <w:rPr>
          <w:lang w:val="fr-CH"/>
        </w:rPr>
      </w:pPr>
      <w:r w:rsidRPr="00FD62C4">
        <w:t>[15]</w:t>
      </w:r>
      <w:r w:rsidRPr="00FD62C4">
        <w:tab/>
        <w:t>NTIA Technical Report TR-18-530</w:t>
      </w:r>
      <w:r w:rsidRPr="00FD62C4">
        <w:rPr>
          <w:lang w:eastAsia="ja-JP"/>
        </w:rPr>
        <w:t xml:space="preserve"> –</w:t>
      </w:r>
      <w:r w:rsidRPr="00FD62C4">
        <w:t xml:space="preserve"> </w:t>
      </w:r>
      <w:r w:rsidRPr="00FD62C4">
        <w:rPr>
          <w:i/>
          <w:lang w:eastAsia="ko-KR"/>
        </w:rPr>
        <w:t xml:space="preserve">A 53-Year History of Spectrum Efficiency Studies and Recommended Future Directions. </w:t>
      </w:r>
      <w:r w:rsidRPr="005E2A2B">
        <w:rPr>
          <w:lang w:val="fr-CH" w:eastAsia="ko-KR"/>
        </w:rPr>
        <w:t xml:space="preserve">(Online). Available: </w:t>
      </w:r>
      <w:hyperlink r:id="rId34" w:history="1">
        <w:r w:rsidRPr="005E2A2B">
          <w:rPr>
            <w:rStyle w:val="Hyperlink"/>
            <w:lang w:val="fr-CH" w:eastAsia="ko-KR"/>
          </w:rPr>
          <w:t>https://its.ntia.gov/publications/details.aspx?pub=3204</w:t>
        </w:r>
      </w:hyperlink>
    </w:p>
    <w:p w14:paraId="1C323294" w14:textId="77777777" w:rsidR="00A812FA" w:rsidRPr="005E2A2B" w:rsidRDefault="00A812FA" w:rsidP="00A812FA">
      <w:pPr>
        <w:pStyle w:val="Reftext"/>
        <w:rPr>
          <w:lang w:val="fr-CH" w:eastAsia="ko-KR"/>
        </w:rPr>
      </w:pPr>
      <w:r w:rsidRPr="005E2A2B">
        <w:rPr>
          <w:lang w:val="fr-CH"/>
        </w:rPr>
        <w:t>[16]</w:t>
      </w:r>
      <w:r w:rsidRPr="005E2A2B">
        <w:rPr>
          <w:lang w:val="fr-CH"/>
        </w:rPr>
        <w:tab/>
      </w:r>
      <w:r w:rsidRPr="005E2A2B">
        <w:rPr>
          <w:lang w:val="fr-CH" w:eastAsia="ko-KR"/>
        </w:rPr>
        <w:t xml:space="preserve">NTIA, </w:t>
      </w:r>
      <w:r w:rsidRPr="005E2A2B">
        <w:rPr>
          <w:i/>
          <w:lang w:val="fr-CH" w:eastAsia="ko-KR"/>
        </w:rPr>
        <w:t>Quantitative Assessments of Spectrum Usage</w:t>
      </w:r>
      <w:r w:rsidRPr="005E2A2B">
        <w:rPr>
          <w:lang w:val="fr-CH" w:eastAsia="ko-KR"/>
        </w:rPr>
        <w:t xml:space="preserve">, Nov. 2016. (Online). Available: </w:t>
      </w:r>
      <w:hyperlink r:id="rId35" w:history="1">
        <w:r w:rsidRPr="005E2A2B">
          <w:rPr>
            <w:rStyle w:val="Hyperlink"/>
            <w:lang w:val="fr-CH" w:eastAsia="ko-KR"/>
          </w:rPr>
          <w:t>https://www.ntia.gov/report/2016/quantitative-assessments-spectrum-usage</w:t>
        </w:r>
      </w:hyperlink>
    </w:p>
    <w:p w14:paraId="4CCB180E" w14:textId="77777777" w:rsidR="00A812FA" w:rsidRPr="005E2A2B" w:rsidRDefault="00A812FA" w:rsidP="00A812FA">
      <w:pPr>
        <w:pStyle w:val="Reftext"/>
        <w:rPr>
          <w:rStyle w:val="Hyperlink"/>
          <w:color w:val="auto"/>
          <w:lang w:val="fr-CH"/>
        </w:rPr>
      </w:pPr>
      <w:r w:rsidRPr="005E2A2B">
        <w:rPr>
          <w:lang w:val="fr-CH"/>
        </w:rPr>
        <w:t>[17]</w:t>
      </w:r>
      <w:r w:rsidRPr="005E2A2B">
        <w:rPr>
          <w:lang w:val="fr-CH"/>
        </w:rPr>
        <w:tab/>
        <w:t xml:space="preserve">Ofcom, </w:t>
      </w:r>
      <w:r w:rsidRPr="005E2A2B">
        <w:rPr>
          <w:i/>
          <w:lang w:val="fr-CH"/>
        </w:rPr>
        <w:t>Spectrum Commons Classes for Licence-Exemption</w:t>
      </w:r>
      <w:r w:rsidRPr="005E2A2B">
        <w:rPr>
          <w:lang w:val="fr-CH"/>
        </w:rPr>
        <w:t xml:space="preserve">, Nov. 2008. </w:t>
      </w:r>
      <w:r w:rsidRPr="005E2A2B">
        <w:rPr>
          <w:lang w:val="fr-CH" w:eastAsia="ko-KR"/>
        </w:rPr>
        <w:t xml:space="preserve">(Online). Available: </w:t>
      </w:r>
      <w:hyperlink r:id="rId36" w:history="1">
        <w:r w:rsidRPr="005E2A2B">
          <w:rPr>
            <w:rStyle w:val="Hyperlink"/>
            <w:lang w:val="fr-CH" w:eastAsia="ko-KR"/>
          </w:rPr>
          <w:t>https://www.ofcom.org.uk/consultations-and-statements/category-1/scc</w:t>
        </w:r>
      </w:hyperlink>
    </w:p>
    <w:p w14:paraId="2666A515" w14:textId="77777777" w:rsidR="00A812FA" w:rsidRPr="00FD62C4" w:rsidRDefault="00A812FA" w:rsidP="00A812FA">
      <w:pPr>
        <w:pStyle w:val="Reftext"/>
        <w:keepNext/>
        <w:keepLines/>
        <w:rPr>
          <w:color w:val="0000FF" w:themeColor="hyperlink"/>
          <w:u w:val="single"/>
          <w:lang w:eastAsia="ko-KR"/>
        </w:rPr>
      </w:pPr>
      <w:r w:rsidRPr="00FD62C4">
        <w:t>[18]</w:t>
      </w:r>
      <w:r w:rsidRPr="00FD62C4">
        <w:tab/>
      </w:r>
      <w:r w:rsidRPr="00FD62C4">
        <w:rPr>
          <w:lang w:eastAsia="ko-KR"/>
        </w:rPr>
        <w:t xml:space="preserve">S. Zinno, G. Di Stasi, S. Avallone, G. Ventre, “On a fair coexistence of LTE and Wi-Fi in the unlicensed spectrum: A Survey,” </w:t>
      </w:r>
      <w:r w:rsidRPr="00FD62C4">
        <w:rPr>
          <w:i/>
          <w:lang w:eastAsia="ko-KR"/>
        </w:rPr>
        <w:t>Computer Communications</w:t>
      </w:r>
      <w:r w:rsidRPr="00FD62C4">
        <w:rPr>
          <w:lang w:eastAsia="ko-KR"/>
        </w:rPr>
        <w:t>, Vol. 115, Pages 35</w:t>
      </w:r>
      <w:r w:rsidRPr="00FD62C4">
        <w:rPr>
          <w:lang w:eastAsia="ko-KR"/>
        </w:rPr>
        <w:noBreakHyphen/>
        <w:t xml:space="preserve">50, Jan. 2018. (Online). Available: </w:t>
      </w:r>
      <w:hyperlink r:id="rId37" w:history="1">
        <w:r w:rsidRPr="00FD62C4">
          <w:rPr>
            <w:rStyle w:val="Hyperlink"/>
            <w:lang w:eastAsia="ko-KR"/>
          </w:rPr>
          <w:t>https://www.sciencedirect.com/science/article/pii/S0140366417302177</w:t>
        </w:r>
      </w:hyperlink>
    </w:p>
    <w:p w14:paraId="4AD7E1DB" w14:textId="3F273D44" w:rsidR="00A812FA" w:rsidRPr="00FD62C4" w:rsidRDefault="00A812FA" w:rsidP="00A812FA">
      <w:pPr>
        <w:pStyle w:val="Reftext"/>
      </w:pPr>
      <w:r w:rsidRPr="00FD62C4">
        <w:t>[19]</w:t>
      </w:r>
      <w:r w:rsidRPr="00FD62C4">
        <w:tab/>
      </w:r>
      <w:r w:rsidRPr="00FD62C4">
        <w:rPr>
          <w:szCs w:val="24"/>
          <w:shd w:val="clear" w:color="auto" w:fill="FFFFFF"/>
        </w:rPr>
        <w:t>X. Ying, M. M. Buddhikot and S. Roy, “SAS-Assisted Coexistence-Aware Dynamic Channel Assignment in CBRS Band,” in </w:t>
      </w:r>
      <w:r w:rsidRPr="00FD62C4">
        <w:rPr>
          <w:i/>
          <w:iCs/>
          <w:szCs w:val="24"/>
          <w:shd w:val="clear" w:color="auto" w:fill="FFFFFF"/>
        </w:rPr>
        <w:t>IEEE Transactions on Wireless Communications</w:t>
      </w:r>
      <w:r w:rsidRPr="00FD62C4">
        <w:rPr>
          <w:szCs w:val="24"/>
          <w:shd w:val="clear" w:color="auto" w:fill="FFFFFF"/>
        </w:rPr>
        <w:t>, vol. 17, no. 9, pp.</w:t>
      </w:r>
      <w:r w:rsidR="003C5D07" w:rsidRPr="00FD62C4">
        <w:rPr>
          <w:szCs w:val="24"/>
          <w:shd w:val="clear" w:color="auto" w:fill="FFFFFF"/>
        </w:rPr>
        <w:t> </w:t>
      </w:r>
      <w:r w:rsidRPr="00FD62C4">
        <w:rPr>
          <w:szCs w:val="24"/>
          <w:shd w:val="clear" w:color="auto" w:fill="FFFFFF"/>
        </w:rPr>
        <w:t xml:space="preserve">6307-6320, Sept. 2018. </w:t>
      </w:r>
      <w:r w:rsidRPr="00FD62C4">
        <w:rPr>
          <w:lang w:eastAsia="ko-KR"/>
        </w:rPr>
        <w:t xml:space="preserve">(Online). Available: </w:t>
      </w:r>
      <w:hyperlink r:id="rId38" w:history="1">
        <w:r w:rsidRPr="00FD62C4">
          <w:rPr>
            <w:rStyle w:val="Hyperlink"/>
            <w:lang w:eastAsia="ko-KR"/>
          </w:rPr>
          <w:t>https://ieeexplore.ieee.org/document/8423460</w:t>
        </w:r>
      </w:hyperlink>
    </w:p>
    <w:p w14:paraId="5700767C" w14:textId="77777777" w:rsidR="00A812FA" w:rsidRPr="00FD62C4" w:rsidRDefault="00A812FA" w:rsidP="00A812FA">
      <w:pPr>
        <w:pStyle w:val="Reftext"/>
        <w:rPr>
          <w:rStyle w:val="Hyperlink"/>
          <w:lang w:eastAsia="ko-KR"/>
        </w:rPr>
      </w:pPr>
      <w:r w:rsidRPr="00FD62C4">
        <w:rPr>
          <w:lang w:eastAsia="ko-KR"/>
        </w:rPr>
        <w:t>[20]</w:t>
      </w:r>
      <w:r w:rsidRPr="00FD62C4">
        <w:rPr>
          <w:lang w:eastAsia="ko-KR"/>
        </w:rPr>
        <w:tab/>
      </w:r>
      <w:r w:rsidRPr="00FD62C4">
        <w:rPr>
          <w:szCs w:val="24"/>
          <w:shd w:val="clear" w:color="auto" w:fill="FFFFFF"/>
        </w:rPr>
        <w:t>Y. Kim, H. Kwon and S. Park, “Prediction of LTE Spectrum Saturation Using Quantiles of Busy Hour RB Usage Rates,” in </w:t>
      </w:r>
      <w:r w:rsidRPr="00FD62C4">
        <w:rPr>
          <w:iCs/>
          <w:szCs w:val="24"/>
          <w:shd w:val="clear" w:color="auto" w:fill="FFFFFF"/>
        </w:rPr>
        <w:t>IEEE Communications Letters</w:t>
      </w:r>
      <w:r w:rsidRPr="00FD62C4">
        <w:rPr>
          <w:szCs w:val="24"/>
          <w:shd w:val="clear" w:color="auto" w:fill="FFFFFF"/>
        </w:rPr>
        <w:t xml:space="preserve">, vol. 23, no. 8, pp. 1427-1431, Aug. 2019. </w:t>
      </w:r>
      <w:r w:rsidRPr="00FD62C4">
        <w:rPr>
          <w:lang w:eastAsia="ko-KR"/>
        </w:rPr>
        <w:t xml:space="preserve">(Online). Available: </w:t>
      </w:r>
      <w:hyperlink r:id="rId39" w:history="1">
        <w:r w:rsidRPr="00FD62C4">
          <w:rPr>
            <w:rStyle w:val="Hyperlink"/>
            <w:lang w:eastAsia="ko-KR"/>
          </w:rPr>
          <w:t>https://ieeexplore.ieee.org/document/8731997</w:t>
        </w:r>
      </w:hyperlink>
    </w:p>
    <w:p w14:paraId="47CE4A6A" w14:textId="77777777" w:rsidR="00A812FA" w:rsidRPr="00FD62C4" w:rsidRDefault="00A812FA" w:rsidP="00A812FA">
      <w:pPr>
        <w:pStyle w:val="Reftext"/>
      </w:pPr>
      <w:r w:rsidRPr="00FD62C4">
        <w:t>[21]</w:t>
      </w:r>
      <w:r w:rsidRPr="00FD62C4">
        <w:tab/>
      </w:r>
      <w:r w:rsidRPr="00FD62C4">
        <w:rPr>
          <w:szCs w:val="24"/>
          <w:shd w:val="clear" w:color="auto" w:fill="FFFFFF"/>
        </w:rPr>
        <w:t>C. Zhang, P. Patras and H. Haddadi, “Deep Learning in Mobile and Wireless Networking: A Survey,” in </w:t>
      </w:r>
      <w:r w:rsidRPr="00FD62C4">
        <w:rPr>
          <w:i/>
          <w:iCs/>
          <w:szCs w:val="24"/>
          <w:shd w:val="clear" w:color="auto" w:fill="FFFFFF"/>
        </w:rPr>
        <w:t>IEEE Communications Surveys &amp; Tutorials</w:t>
      </w:r>
      <w:r w:rsidRPr="00FD62C4">
        <w:rPr>
          <w:szCs w:val="24"/>
          <w:shd w:val="clear" w:color="auto" w:fill="FFFFFF"/>
        </w:rPr>
        <w:t xml:space="preserve">, vol. 21, no. 3, pp. 2224-2287, third quarter 2019. </w:t>
      </w:r>
      <w:r w:rsidRPr="00FD62C4">
        <w:rPr>
          <w:lang w:eastAsia="ko-KR"/>
        </w:rPr>
        <w:t xml:space="preserve">(Online). Available: </w:t>
      </w:r>
      <w:hyperlink r:id="rId40" w:history="1">
        <w:r w:rsidRPr="00FD62C4">
          <w:rPr>
            <w:rStyle w:val="Hyperlink"/>
            <w:lang w:eastAsia="ko-KR"/>
          </w:rPr>
          <w:t>https://ieeexplore.ieee.org/document/8666641</w:t>
        </w:r>
      </w:hyperlink>
    </w:p>
    <w:p w14:paraId="50099667" w14:textId="02DE9D54" w:rsidR="00A812FA" w:rsidRPr="00FD62C4" w:rsidRDefault="00A812FA" w:rsidP="00A812FA">
      <w:pPr>
        <w:pStyle w:val="Reftext"/>
        <w:rPr>
          <w:rStyle w:val="Hyperlink"/>
          <w:lang w:eastAsia="ko-KR"/>
        </w:rPr>
      </w:pPr>
      <w:r w:rsidRPr="00FD62C4">
        <w:lastRenderedPageBreak/>
        <w:t>[22]</w:t>
      </w:r>
      <w:r w:rsidRPr="00FD62C4">
        <w:tab/>
      </w:r>
      <w:r w:rsidRPr="00FD62C4">
        <w:rPr>
          <w:szCs w:val="24"/>
          <w:shd w:val="clear" w:color="auto" w:fill="FFFFFF"/>
        </w:rPr>
        <w:t>L. Yu </w:t>
      </w:r>
      <w:r w:rsidRPr="00FD62C4">
        <w:rPr>
          <w:i/>
          <w:iCs/>
          <w:szCs w:val="24"/>
          <w:shd w:val="clear" w:color="auto" w:fill="FFFFFF"/>
        </w:rPr>
        <w:t>et al</w:t>
      </w:r>
      <w:r w:rsidRPr="00FD62C4">
        <w:rPr>
          <w:szCs w:val="24"/>
          <w:shd w:val="clear" w:color="auto" w:fill="FFFFFF"/>
        </w:rPr>
        <w:t>., “Spectrum Availability Prediction for Cognitive Radio Communications: A DCG Approach,” in </w:t>
      </w:r>
      <w:r w:rsidRPr="00FD62C4">
        <w:rPr>
          <w:i/>
          <w:iCs/>
          <w:szCs w:val="24"/>
          <w:shd w:val="clear" w:color="auto" w:fill="FFFFFF"/>
        </w:rPr>
        <w:t>IEEE Transactions on Cognitive Communications and Networking</w:t>
      </w:r>
      <w:r w:rsidRPr="00FD62C4">
        <w:rPr>
          <w:szCs w:val="24"/>
          <w:shd w:val="clear" w:color="auto" w:fill="FFFFFF"/>
        </w:rPr>
        <w:t>, vol. 6, no. 2, pp.</w:t>
      </w:r>
      <w:r w:rsidR="003C5D07" w:rsidRPr="00FD62C4">
        <w:rPr>
          <w:szCs w:val="24"/>
          <w:shd w:val="clear" w:color="auto" w:fill="FFFFFF"/>
        </w:rPr>
        <w:t> </w:t>
      </w:r>
      <w:r w:rsidRPr="00FD62C4">
        <w:rPr>
          <w:szCs w:val="24"/>
          <w:shd w:val="clear" w:color="auto" w:fill="FFFFFF"/>
        </w:rPr>
        <w:t xml:space="preserve">476-485, June 2020. </w:t>
      </w:r>
      <w:r w:rsidRPr="00FD62C4">
        <w:rPr>
          <w:lang w:eastAsia="ko-KR"/>
        </w:rPr>
        <w:t xml:space="preserve">(Online). Available: </w:t>
      </w:r>
      <w:hyperlink r:id="rId41" w:history="1">
        <w:r w:rsidRPr="00FD62C4">
          <w:rPr>
            <w:rStyle w:val="Hyperlink"/>
            <w:lang w:eastAsia="ko-KR"/>
          </w:rPr>
          <w:t>https://ieeexplore.ieee.org/document/8998400</w:t>
        </w:r>
      </w:hyperlink>
    </w:p>
    <w:p w14:paraId="1ADBDBB7" w14:textId="77777777" w:rsidR="00A812FA" w:rsidRPr="005E2A2B" w:rsidRDefault="00A812FA" w:rsidP="00A812FA">
      <w:pPr>
        <w:pStyle w:val="Reftext"/>
        <w:rPr>
          <w:lang w:val="fr-CH"/>
        </w:rPr>
      </w:pPr>
      <w:r w:rsidRPr="00FD62C4">
        <w:rPr>
          <w:lang w:eastAsia="ko-KR"/>
        </w:rPr>
        <w:t>[23]</w:t>
      </w:r>
      <w:r w:rsidRPr="00FD62C4">
        <w:rPr>
          <w:lang w:eastAsia="ko-KR"/>
        </w:rPr>
        <w:tab/>
      </w:r>
      <w:r w:rsidRPr="00FD62C4">
        <w:rPr>
          <w:szCs w:val="24"/>
        </w:rPr>
        <w:t>K. Cheon, H. Kwon, J. Jahng, S. Park and J.K. Choi, “Methodology for assessing the network balance of 4G LTE radio network,” Electronics Letters, Vol.56, No.22, pp.1217-1219, 29</w:t>
      </w:r>
      <w:r w:rsidRPr="00FD62C4">
        <w:rPr>
          <w:szCs w:val="24"/>
          <w:lang w:eastAsia="ko-KR"/>
        </w:rPr>
        <w:t>th</w:t>
      </w:r>
      <w:r w:rsidRPr="00FD62C4">
        <w:rPr>
          <w:szCs w:val="24"/>
        </w:rPr>
        <w:t xml:space="preserve"> Oct. 2020. </w:t>
      </w:r>
      <w:r w:rsidRPr="005E2A2B">
        <w:rPr>
          <w:lang w:val="fr-CH" w:eastAsia="ko-KR"/>
        </w:rPr>
        <w:t xml:space="preserve">(Online). Available: </w:t>
      </w:r>
      <w:hyperlink r:id="rId42" w:history="1">
        <w:r w:rsidRPr="005E2A2B">
          <w:rPr>
            <w:rStyle w:val="Hyperlink"/>
            <w:lang w:val="fr-CH" w:eastAsia="ko-KR"/>
          </w:rPr>
          <w:t>https://ietresearch.onlinelibrary.wiley.com/doi/full/10.1049/el.2020.1544</w:t>
        </w:r>
      </w:hyperlink>
      <w:bookmarkEnd w:id="118"/>
      <w:bookmarkEnd w:id="119"/>
    </w:p>
    <w:p w14:paraId="7F88BD57" w14:textId="28643F0E" w:rsidR="00A812FA" w:rsidRPr="005E2A2B" w:rsidRDefault="00A812FA" w:rsidP="00E17BF9">
      <w:pPr>
        <w:rPr>
          <w:lang w:val="fr-CH"/>
        </w:rPr>
      </w:pPr>
    </w:p>
    <w:p w14:paraId="490E872C" w14:textId="77777777" w:rsidR="00E17BF9" w:rsidRPr="005E2A2B" w:rsidRDefault="00E17BF9" w:rsidP="00E17BF9">
      <w:pPr>
        <w:rPr>
          <w:lang w:val="fr-CH"/>
        </w:rPr>
      </w:pPr>
    </w:p>
    <w:p w14:paraId="3BD4A5D9" w14:textId="629366E4" w:rsidR="00A812FA" w:rsidRPr="00FD62C4" w:rsidRDefault="00A812FA" w:rsidP="00A812FA">
      <w:pPr>
        <w:pStyle w:val="AnnexNoTitle"/>
        <w:rPr>
          <w:lang w:eastAsia="ko-KR"/>
        </w:rPr>
      </w:pPr>
      <w:bookmarkStart w:id="120" w:name="_Toc181881788"/>
      <w:bookmarkStart w:id="121" w:name="_Toc182401808"/>
      <w:bookmarkStart w:id="122" w:name="_Toc232493294"/>
      <w:bookmarkStart w:id="123" w:name="_Toc235620221"/>
      <w:r w:rsidRPr="00FD62C4">
        <w:rPr>
          <w:lang w:eastAsia="ko-KR"/>
        </w:rPr>
        <w:t xml:space="preserve">Annex 2 </w:t>
      </w:r>
      <w:r w:rsidRPr="00FD62C4">
        <w:rPr>
          <w:lang w:eastAsia="ko-KR"/>
        </w:rPr>
        <w:br/>
      </w:r>
      <w:r w:rsidRPr="00FD62C4">
        <w:rPr>
          <w:lang w:eastAsia="ko-KR"/>
        </w:rPr>
        <w:br/>
        <w:t>Case studies from China (People’s Republic of)</w:t>
      </w:r>
      <w:bookmarkEnd w:id="120"/>
      <w:bookmarkEnd w:id="121"/>
      <w:bookmarkEnd w:id="122"/>
      <w:bookmarkEnd w:id="123"/>
    </w:p>
    <w:p w14:paraId="67EB3764" w14:textId="472858F4" w:rsidR="00A812FA" w:rsidRPr="00FD62C4" w:rsidRDefault="00A812FA" w:rsidP="00F91225">
      <w:pPr>
        <w:pStyle w:val="Heading2"/>
        <w:rPr>
          <w:rFonts w:eastAsia="Malgun Gothic"/>
        </w:rPr>
      </w:pPr>
      <w:bookmarkStart w:id="124" w:name="_Toc182401692"/>
      <w:bookmarkStart w:id="125" w:name="_Toc182401809"/>
      <w:bookmarkStart w:id="126" w:name="_Toc232493295"/>
      <w:bookmarkStart w:id="127" w:name="_Toc235620222"/>
      <w:r w:rsidRPr="00FD62C4">
        <w:rPr>
          <w:lang w:eastAsia="zh-CN"/>
        </w:rPr>
        <w:t>A2</w:t>
      </w:r>
      <w:r w:rsidR="006F13E6" w:rsidRPr="00FD62C4">
        <w:rPr>
          <w:lang w:eastAsia="zh-CN"/>
        </w:rPr>
        <w:t>.</w:t>
      </w:r>
      <w:r w:rsidRPr="00FD62C4">
        <w:rPr>
          <w:rFonts w:eastAsia="Malgun Gothic"/>
        </w:rPr>
        <w:t>1</w:t>
      </w:r>
      <w:r w:rsidRPr="00FD62C4">
        <w:rPr>
          <w:rFonts w:eastAsia="Malgun Gothic"/>
        </w:rPr>
        <w:tab/>
        <w:t>Indicators for assessing or predicting spectrum availability</w:t>
      </w:r>
      <w:bookmarkEnd w:id="124"/>
      <w:bookmarkEnd w:id="125"/>
      <w:bookmarkEnd w:id="126"/>
      <w:bookmarkEnd w:id="127"/>
    </w:p>
    <w:p w14:paraId="45B8F50F" w14:textId="77777777" w:rsidR="00A812FA" w:rsidRPr="00FD62C4" w:rsidRDefault="00A812FA" w:rsidP="00A812FA">
      <w:pPr>
        <w:rPr>
          <w:lang w:eastAsia="ko-KR"/>
        </w:rPr>
      </w:pPr>
      <w:r w:rsidRPr="00FD62C4">
        <w:rPr>
          <w:lang w:eastAsia="zh-CN"/>
        </w:rPr>
        <w:t>Assessment of</w:t>
      </w:r>
      <w:r w:rsidRPr="00FD62C4">
        <w:rPr>
          <w:lang w:eastAsia="ko-KR"/>
        </w:rPr>
        <w:t xml:space="preserve"> </w:t>
      </w:r>
      <w:r w:rsidRPr="00FD62C4">
        <w:rPr>
          <w:lang w:eastAsia="zh-CN"/>
        </w:rPr>
        <w:t>spectrum</w:t>
      </w:r>
      <w:r w:rsidRPr="00FD62C4">
        <w:rPr>
          <w:lang w:eastAsia="ko-KR"/>
        </w:rPr>
        <w:t xml:space="preserve"> availability</w:t>
      </w:r>
      <w:r w:rsidRPr="00FD62C4">
        <w:t xml:space="preserve"> </w:t>
      </w:r>
      <w:r w:rsidRPr="00FD62C4">
        <w:rPr>
          <w:lang w:eastAsia="zh-CN"/>
        </w:rPr>
        <w:t>may also</w:t>
      </w:r>
      <w:r w:rsidRPr="00FD62C4">
        <w:t xml:space="preserve"> </w:t>
      </w:r>
      <w:r w:rsidRPr="00FD62C4">
        <w:rPr>
          <w:lang w:eastAsia="zh-CN"/>
        </w:rPr>
        <w:t xml:space="preserve">be implemented by Administrations to examine </w:t>
      </w:r>
      <w:r w:rsidRPr="00FD62C4">
        <w:t xml:space="preserve">whether </w:t>
      </w:r>
      <w:r w:rsidRPr="00FD62C4">
        <w:rPr>
          <w:lang w:eastAsia="zh-CN"/>
        </w:rPr>
        <w:t>the Licensees have complied with relevant regulations of</w:t>
      </w:r>
      <w:r w:rsidRPr="00FD62C4">
        <w:t xml:space="preserve"> </w:t>
      </w:r>
      <w:r w:rsidRPr="00FD62C4">
        <w:rPr>
          <w:lang w:eastAsia="zh-CN"/>
        </w:rPr>
        <w:t xml:space="preserve">spectrum </w:t>
      </w:r>
      <w:r w:rsidRPr="00FD62C4">
        <w:t>utilization rate</w:t>
      </w:r>
      <w:r w:rsidRPr="00FD62C4">
        <w:rPr>
          <w:lang w:eastAsia="zh-CN"/>
        </w:rPr>
        <w:t xml:space="preserve">, which were set out by the Administration in advance or as a kind of condition for using this portion of spectrum. In some countries, if the Licensees failed to comply with such regulations/conditions, the Administration has the right to cancel that spectrum License. In view of this, a practical and tangible measure to assess the corresponding spectrum availability is of great importance, while </w:t>
      </w:r>
      <w:r w:rsidRPr="00FD62C4">
        <w:t xml:space="preserve">reasonable and effective indicator </w:t>
      </w:r>
      <w:r w:rsidRPr="00FD62C4">
        <w:rPr>
          <w:lang w:eastAsia="zh-CN"/>
        </w:rPr>
        <w:t xml:space="preserve">for assessing </w:t>
      </w:r>
      <w:r w:rsidRPr="00FD62C4">
        <w:t xml:space="preserve">spectrum utilization </w:t>
      </w:r>
      <w:r w:rsidRPr="00FD62C4">
        <w:rPr>
          <w:lang w:eastAsia="zh-CN"/>
        </w:rPr>
        <w:t xml:space="preserve">rate is also needed. The relevant case study has been included into </w:t>
      </w:r>
      <w:r w:rsidRPr="00FD62C4">
        <w:t>this report.</w:t>
      </w:r>
    </w:p>
    <w:p w14:paraId="639E1258" w14:textId="77777777" w:rsidR="00A812FA" w:rsidRPr="00FD62C4" w:rsidRDefault="00A812FA" w:rsidP="00A812FA">
      <w:pPr>
        <w:rPr>
          <w:lang w:eastAsia="zh-CN"/>
        </w:rPr>
      </w:pPr>
      <w:r w:rsidRPr="00FD62C4">
        <w:t>As</w:t>
      </w:r>
      <w:r w:rsidRPr="00FD62C4">
        <w:rPr>
          <w:lang w:eastAsia="zh-CN"/>
        </w:rPr>
        <w:t xml:space="preserve"> </w:t>
      </w:r>
      <w:r w:rsidRPr="00FD62C4">
        <w:t>recommended by Recommendation ITU-R SM.1046, the composite bandwidth-space-time domain should be used as a measure of spectrum utilization – the “spectrum utilization factor”</w:t>
      </w:r>
      <w:r w:rsidRPr="00FD62C4">
        <w:rPr>
          <w:lang w:eastAsia="zh-CN"/>
        </w:rPr>
        <w:t xml:space="preserve">; </w:t>
      </w:r>
      <w:r w:rsidRPr="00FD62C4">
        <w:t>and the basis for calculating spectrum utilization efficiency (SUE), or spectrum efficiency in short, should be the determination of the useful effect obtained by the radio systems through the utilization of the spectrum and the spectrum utilization factor.</w:t>
      </w:r>
    </w:p>
    <w:p w14:paraId="4232A843" w14:textId="77777777" w:rsidR="00A812FA" w:rsidRPr="00FD62C4" w:rsidRDefault="00A812FA" w:rsidP="00A812FA">
      <w:pPr>
        <w:rPr>
          <w:lang w:eastAsia="zh-CN"/>
        </w:rPr>
      </w:pPr>
      <w:r w:rsidRPr="00FD62C4">
        <w:rPr>
          <w:lang w:eastAsia="zh-CN"/>
        </w:rPr>
        <w:t xml:space="preserve">Meanwhile, a series of indicators can be designed to examine </w:t>
      </w:r>
      <w:r w:rsidRPr="00FD62C4">
        <w:rPr>
          <w:rFonts w:eastAsia="FangSong"/>
        </w:rPr>
        <w:t xml:space="preserve">whether </w:t>
      </w:r>
      <w:r w:rsidRPr="00FD62C4">
        <w:rPr>
          <w:rFonts w:eastAsia="FangSong"/>
          <w:lang w:eastAsia="zh-CN"/>
        </w:rPr>
        <w:t>the Licensees have complied with relevant requirement/conditions of</w:t>
      </w:r>
      <w:r w:rsidRPr="00FD62C4">
        <w:rPr>
          <w:rFonts w:eastAsia="FangSong"/>
        </w:rPr>
        <w:t xml:space="preserve"> </w:t>
      </w:r>
      <w:r w:rsidRPr="00FD62C4">
        <w:rPr>
          <w:rFonts w:eastAsia="FangSong"/>
          <w:lang w:eastAsia="zh-CN"/>
        </w:rPr>
        <w:t xml:space="preserve">spectrum </w:t>
      </w:r>
      <w:r w:rsidRPr="00FD62C4">
        <w:rPr>
          <w:rFonts w:eastAsia="FangSong"/>
        </w:rPr>
        <w:t>utilization rate</w:t>
      </w:r>
      <w:r w:rsidRPr="00FD62C4">
        <w:rPr>
          <w:rFonts w:eastAsia="FangSong"/>
          <w:lang w:eastAsia="zh-CN"/>
        </w:rPr>
        <w:t>. If the spectrum licensees cannot comply with those requirement/conditions, then administrative authority can revoke such spectrum license. By doing so, this portion of spectrum is no longer available to the original licensee, and on the contrary, it might be available again to other users. Of course, the final availability of this portion of spectrum will be decided by the authority.</w:t>
      </w:r>
    </w:p>
    <w:p w14:paraId="2C6DFA91" w14:textId="0B7A7EB3" w:rsidR="00A812FA" w:rsidRPr="00FD62C4" w:rsidRDefault="00A812FA" w:rsidP="009314CB">
      <w:pPr>
        <w:rPr>
          <w:lang w:eastAsia="zh-CN"/>
        </w:rPr>
      </w:pPr>
      <w:r w:rsidRPr="00FD62C4">
        <w:rPr>
          <w:lang w:eastAsia="zh-CN"/>
        </w:rPr>
        <w:t xml:space="preserve">China published </w:t>
      </w:r>
      <w:r w:rsidRPr="00FD62C4">
        <w:rPr>
          <w:i/>
        </w:rPr>
        <w:t xml:space="preserve">Interim Provisions on </w:t>
      </w:r>
      <w:r w:rsidRPr="00FD62C4">
        <w:rPr>
          <w:i/>
          <w:lang w:eastAsia="zh-CN"/>
        </w:rPr>
        <w:t xml:space="preserve">Spectrum Utilization Requirement and </w:t>
      </w:r>
      <w:r w:rsidRPr="00FD62C4">
        <w:rPr>
          <w:i/>
        </w:rPr>
        <w:t>Verification Management</w:t>
      </w:r>
      <w:r w:rsidRPr="00FD62C4">
        <w:rPr>
          <w:vertAlign w:val="superscript"/>
        </w:rPr>
        <w:footnoteReference w:id="19"/>
      </w:r>
      <w:r w:rsidRPr="00FD62C4">
        <w:rPr>
          <w:lang w:eastAsia="zh-CN"/>
        </w:rPr>
        <w:t xml:space="preserve">, in which relevant indicators </w:t>
      </w:r>
      <w:r w:rsidRPr="00FD62C4">
        <w:rPr>
          <w:rFonts w:eastAsiaTheme="minorEastAsia"/>
          <w:lang w:eastAsia="zh-CN"/>
        </w:rPr>
        <w:t>(</w:t>
      </w:r>
      <w:r w:rsidR="00DE618D" w:rsidRPr="00FD62C4">
        <w:rPr>
          <w:rFonts w:eastAsiaTheme="minorEastAsia"/>
          <w:lang w:eastAsia="zh-CN"/>
        </w:rPr>
        <w:t xml:space="preserve">such as </w:t>
      </w:r>
      <w:r w:rsidRPr="00FD62C4">
        <w:rPr>
          <w:rFonts w:eastAsiaTheme="minorEastAsia"/>
          <w:iCs/>
          <w:lang w:eastAsia="zh-CN"/>
        </w:rPr>
        <w:t>f</w:t>
      </w:r>
      <w:r w:rsidRPr="00FD62C4">
        <w:rPr>
          <w:iCs/>
          <w:lang w:eastAsia="zh-CN"/>
        </w:rPr>
        <w:t>requency band occupancy</w:t>
      </w:r>
      <w:r w:rsidRPr="00FD62C4">
        <w:rPr>
          <w:rFonts w:eastAsiaTheme="minorEastAsia"/>
          <w:iCs/>
          <w:lang w:eastAsia="zh-CN"/>
        </w:rPr>
        <w:t xml:space="preserve">, </w:t>
      </w:r>
      <w:r w:rsidRPr="00FD62C4">
        <w:rPr>
          <w:rFonts w:eastAsiaTheme="minorEastAsia"/>
          <w:lang w:eastAsia="zh-CN"/>
        </w:rPr>
        <w:t>a</w:t>
      </w:r>
      <w:r w:rsidRPr="00FD62C4">
        <w:t>nnual time</w:t>
      </w:r>
      <w:r w:rsidRPr="00FD62C4">
        <w:rPr>
          <w:rFonts w:eastAsiaTheme="minorEastAsia"/>
          <w:lang w:eastAsia="zh-CN"/>
        </w:rPr>
        <w:t xml:space="preserve"> </w:t>
      </w:r>
      <w:r w:rsidRPr="00FD62C4">
        <w:t>occupancy</w:t>
      </w:r>
      <w:r w:rsidRPr="00FD62C4">
        <w:rPr>
          <w:rFonts w:eastAsiaTheme="minorEastAsia"/>
          <w:lang w:eastAsia="zh-CN"/>
        </w:rPr>
        <w:t>, a</w:t>
      </w:r>
      <w:r w:rsidRPr="00FD62C4">
        <w:t>rea coverage rate</w:t>
      </w:r>
      <w:r w:rsidR="00DE618D" w:rsidRPr="00FD62C4">
        <w:rPr>
          <w:rFonts w:eastAsiaTheme="minorEastAsia"/>
          <w:lang w:eastAsia="zh-CN"/>
        </w:rPr>
        <w:t xml:space="preserve"> and</w:t>
      </w:r>
      <w:r w:rsidRPr="00FD62C4">
        <w:rPr>
          <w:rFonts w:eastAsiaTheme="minorEastAsia"/>
          <w:lang w:eastAsia="zh-CN"/>
        </w:rPr>
        <w:t xml:space="preserve"> u</w:t>
      </w:r>
      <w:r w:rsidRPr="00FD62C4">
        <w:t>ser carrying rate</w:t>
      </w:r>
      <w:r w:rsidRPr="00FD62C4">
        <w:rPr>
          <w:rFonts w:eastAsiaTheme="minorEastAsia"/>
          <w:lang w:eastAsia="zh-CN"/>
        </w:rPr>
        <w:t xml:space="preserve">) </w:t>
      </w:r>
      <w:r w:rsidRPr="00FD62C4">
        <w:rPr>
          <w:lang w:eastAsia="zh-CN"/>
        </w:rPr>
        <w:t>were stipulated</w:t>
      </w:r>
      <w:r w:rsidRPr="00FD62C4">
        <w:rPr>
          <w:rStyle w:val="FootnoteReference"/>
          <w:lang w:eastAsia="zh-CN"/>
        </w:rPr>
        <w:footnoteReference w:id="20"/>
      </w:r>
      <w:r w:rsidRPr="00FD62C4">
        <w:rPr>
          <w:lang w:eastAsia="zh-CN"/>
        </w:rPr>
        <w:t xml:space="preserve">. According to this provision, “From the date of issuance of the radio frequency use license, the radio administrative authority shall </w:t>
      </w:r>
      <w:r w:rsidRPr="00FD62C4">
        <w:rPr>
          <w:lang w:eastAsia="zh-CN"/>
        </w:rPr>
        <w:lastRenderedPageBreak/>
        <w:t xml:space="preserve">regularly exam and supervise the corresponding frequency utilization rate. Except for </w:t>
      </w:r>
      <w:r w:rsidRPr="00FD62C4">
        <w:rPr>
          <w:i/>
          <w:iCs/>
          <w:lang w:eastAsia="zh-CN"/>
        </w:rPr>
        <w:t>force majeure</w:t>
      </w:r>
      <w:r w:rsidRPr="00FD62C4">
        <w:rPr>
          <w:lang w:eastAsia="zh-CN"/>
        </w:rPr>
        <w:t>, if the radio frequency is not used for more than 2 years after obtaining the radio frequency use license or the utilization rate fails to meet the requirements of the radio frequency licence, the radio administrative authority shall order the Licensee to make corrections, or the authority shall revoke the issued licence and will take back the radio frequency.”</w:t>
      </w:r>
    </w:p>
    <w:p w14:paraId="1232598E" w14:textId="77777777" w:rsidR="00A812FA" w:rsidRPr="00FD62C4" w:rsidRDefault="00A812FA" w:rsidP="00A812FA">
      <w:pPr>
        <w:rPr>
          <w:lang w:eastAsia="zh-CN"/>
        </w:rPr>
      </w:pPr>
      <w:r w:rsidRPr="00FD62C4">
        <w:rPr>
          <w:rFonts w:eastAsiaTheme="minorEastAsia"/>
          <w:lang w:eastAsia="zh-CN"/>
        </w:rPr>
        <w:t xml:space="preserve">Moreover, in order to </w:t>
      </w:r>
      <w:r w:rsidRPr="00FD62C4">
        <w:t>standardize the supervision and inspection of the</w:t>
      </w:r>
      <w:r w:rsidRPr="00FD62C4">
        <w:rPr>
          <w:rFonts w:eastAsiaTheme="minorEastAsia"/>
          <w:lang w:eastAsia="zh-CN"/>
        </w:rPr>
        <w:t xml:space="preserve"> spectrum</w:t>
      </w:r>
      <w:r w:rsidRPr="00FD62C4">
        <w:t xml:space="preserve"> utilization rate of the public mobile communication system</w:t>
      </w:r>
      <w:r w:rsidRPr="00FD62C4">
        <w:rPr>
          <w:rFonts w:eastAsiaTheme="minorEastAsia"/>
          <w:lang w:eastAsia="zh-CN"/>
        </w:rPr>
        <w:t>, China also</w:t>
      </w:r>
      <w:r w:rsidRPr="00FD62C4">
        <w:t xml:space="preserve"> formulated the</w:t>
      </w:r>
      <w:r w:rsidRPr="00FD62C4">
        <w:rPr>
          <w:i/>
          <w:iCs/>
        </w:rPr>
        <w:t xml:space="preserve"> Measures for the Evaluation of the Radio Frequency Utilization Rate of the Public Mobile Communication System (Trial)</w:t>
      </w:r>
      <w:r w:rsidRPr="00FD62C4">
        <w:rPr>
          <w:rFonts w:eastAsiaTheme="minorEastAsia"/>
          <w:i/>
          <w:iCs/>
          <w:lang w:eastAsia="zh-CN"/>
        </w:rPr>
        <w:t xml:space="preserve"> </w:t>
      </w:r>
      <w:r w:rsidRPr="00FD62C4">
        <w:rPr>
          <w:rFonts w:eastAsiaTheme="minorEastAsia"/>
          <w:lang w:eastAsia="zh-CN"/>
        </w:rPr>
        <w:t xml:space="preserve">in 2022, </w:t>
      </w:r>
      <w:r w:rsidRPr="00FD62C4">
        <w:t>and carried out the pilot work of utilization rate evaluation in some provinces.</w:t>
      </w:r>
    </w:p>
    <w:p w14:paraId="30A25E00" w14:textId="5B4E2285" w:rsidR="00A812FA" w:rsidRPr="00FD62C4" w:rsidRDefault="00A812FA" w:rsidP="00F91225">
      <w:pPr>
        <w:pStyle w:val="Heading2"/>
        <w:rPr>
          <w:lang w:eastAsia="ko-KR"/>
        </w:rPr>
      </w:pPr>
      <w:bookmarkStart w:id="128" w:name="_Toc182401693"/>
      <w:bookmarkStart w:id="129" w:name="_Toc182401810"/>
      <w:bookmarkStart w:id="130" w:name="_Toc232493296"/>
      <w:bookmarkStart w:id="131" w:name="_Toc235620223"/>
      <w:r w:rsidRPr="00FD62C4">
        <w:rPr>
          <w:lang w:eastAsia="zh-CN"/>
        </w:rPr>
        <w:t>A2</w:t>
      </w:r>
      <w:r w:rsidR="006F13E6" w:rsidRPr="00FD62C4">
        <w:rPr>
          <w:lang w:eastAsia="zh-CN"/>
        </w:rPr>
        <w:t>.</w:t>
      </w:r>
      <w:r w:rsidRPr="00FD62C4">
        <w:rPr>
          <w:rFonts w:eastAsia="Malgun Gothic"/>
          <w:lang w:eastAsia="ko-KR"/>
        </w:rPr>
        <w:t>2</w:t>
      </w:r>
      <w:r w:rsidRPr="00FD62C4">
        <w:rPr>
          <w:rFonts w:eastAsia="Malgun Gothic"/>
          <w:lang w:eastAsia="ko-KR"/>
        </w:rPr>
        <w:tab/>
        <w:t>A space-time correlation-based algorithm for</w:t>
      </w:r>
      <w:r w:rsidRPr="00FD62C4">
        <w:rPr>
          <w:rFonts w:eastAsiaTheme="minorEastAsia"/>
          <w:lang w:eastAsia="zh-CN"/>
        </w:rPr>
        <w:t xml:space="preserve"> predicti</w:t>
      </w:r>
      <w:r w:rsidRPr="00FD62C4">
        <w:rPr>
          <w:rFonts w:eastAsia="Malgun Gothic"/>
          <w:lang w:eastAsia="ko-KR"/>
        </w:rPr>
        <w:t>ng</w:t>
      </w:r>
      <w:r w:rsidRPr="00FD62C4">
        <w:rPr>
          <w:rFonts w:eastAsiaTheme="minorEastAsia"/>
          <w:lang w:eastAsia="zh-CN"/>
        </w:rPr>
        <w:t xml:space="preserve"> availability of radio spectrum</w:t>
      </w:r>
      <w:bookmarkEnd w:id="128"/>
      <w:bookmarkEnd w:id="129"/>
      <w:bookmarkEnd w:id="130"/>
      <w:bookmarkEnd w:id="131"/>
    </w:p>
    <w:p w14:paraId="5FFCEF6E" w14:textId="77777777" w:rsidR="00A812FA" w:rsidRPr="00FD62C4" w:rsidRDefault="00A812FA" w:rsidP="00A812FA">
      <w:pPr>
        <w:rPr>
          <w:lang w:eastAsia="ko-KR"/>
        </w:rPr>
      </w:pPr>
      <w:r w:rsidRPr="00FD62C4">
        <w:rPr>
          <w:rFonts w:eastAsiaTheme="minorEastAsia"/>
          <w:lang w:eastAsia="zh-CN"/>
        </w:rPr>
        <w:t xml:space="preserve">Cognitive radio (CR) becomes an attractive solution since it can dynamically detect spectrum holes and access without interfering authorized services. As a method to detect the presence of primary user (PU) and examine the spectrum band, spectrum prediction algorithms play a significant role in establishing and operating the geolocation database. </w:t>
      </w:r>
      <w:bookmarkStart w:id="132" w:name="_Hlk181879109"/>
      <w:r w:rsidRPr="00FD62C4">
        <w:rPr>
          <w:rFonts w:eastAsiaTheme="minorEastAsia"/>
          <w:lang w:eastAsia="zh-CN"/>
        </w:rPr>
        <w:t>A space-time correlation-based prediction algorithm</w:t>
      </w:r>
      <w:bookmarkEnd w:id="132"/>
      <w:r w:rsidRPr="00FD62C4">
        <w:rPr>
          <w:rFonts w:eastAsiaTheme="minorEastAsia"/>
          <w:lang w:eastAsia="zh-CN"/>
        </w:rPr>
        <w:t xml:space="preserve"> could be found in this reference document</w:t>
      </w:r>
      <w:r w:rsidRPr="00FD62C4">
        <w:rPr>
          <w:rStyle w:val="FootnoteReference"/>
          <w:rFonts w:eastAsiaTheme="minorEastAsia"/>
          <w:lang w:eastAsia="zh-CN"/>
        </w:rPr>
        <w:footnoteReference w:id="21"/>
      </w:r>
      <w:r w:rsidRPr="00FD62C4">
        <w:rPr>
          <w:rFonts w:eastAsiaTheme="minorEastAsia"/>
          <w:lang w:eastAsia="zh-CN"/>
        </w:rPr>
        <w:t>. The main steps of this approach are introduced as follows.</w:t>
      </w:r>
    </w:p>
    <w:p w14:paraId="057A291B" w14:textId="77777777" w:rsidR="00A812FA" w:rsidRPr="00FD62C4" w:rsidRDefault="00A812FA" w:rsidP="00A812FA">
      <w:pPr>
        <w:rPr>
          <w:rFonts w:eastAsiaTheme="minorEastAsia"/>
          <w:lang w:eastAsia="zh-CN"/>
        </w:rPr>
      </w:pPr>
      <w:r w:rsidRPr="00FD62C4">
        <w:rPr>
          <w:rFonts w:eastAsiaTheme="minorEastAsia"/>
          <w:i/>
          <w:iCs/>
          <w:lang w:eastAsia="zh-CN"/>
        </w:rPr>
        <w:t>Step 1</w:t>
      </w:r>
      <w:r w:rsidRPr="00FD62C4">
        <w:rPr>
          <w:rFonts w:eastAsiaTheme="minorEastAsia"/>
          <w:lang w:eastAsia="zh-CN"/>
        </w:rPr>
        <w:t>: Calculate the mesh correlation factor (MCF). MCF is a factor used to characterize correlation between spectrum meshes. The spectrum occupancy information of a target region is represented in binary form: 0 (idle) and 1 (occupied). Then the MCF between two meshes is quantized by normalized cross-correlation of their occupancy state. Considering the physical proximity of nodes and the historical data on spectrum usage, the closer MCF approaches to 1, the more effectively it can be used to predict spectrum occupancy.</w:t>
      </w:r>
    </w:p>
    <w:p w14:paraId="3A8791A1" w14:textId="77777777" w:rsidR="00A812FA" w:rsidRPr="00FD62C4" w:rsidRDefault="00A812FA" w:rsidP="00A812FA">
      <w:pPr>
        <w:rPr>
          <w:rFonts w:eastAsiaTheme="minorEastAsia"/>
          <w:lang w:eastAsia="zh-CN"/>
        </w:rPr>
      </w:pPr>
      <w:r w:rsidRPr="00FD62C4">
        <w:rPr>
          <w:rFonts w:eastAsiaTheme="minorEastAsia"/>
          <w:i/>
          <w:iCs/>
          <w:lang w:eastAsia="zh-CN"/>
        </w:rPr>
        <w:t>Step 2</w:t>
      </w:r>
      <w:r w:rsidRPr="00FD62C4">
        <w:rPr>
          <w:rFonts w:eastAsiaTheme="minorEastAsia"/>
          <w:lang w:eastAsia="zh-CN"/>
        </w:rPr>
        <w:t>: Multi-centre mesh clustering algorithm. To reduce energy consumption of spectrum predicting, meshes are separated into groups. Each merged mesh group should contain a fixed number of detecting meshes (DMs) and other meshes (EMs). The final arrangement of meshes in each group is determined by minimizing entropy among the EMs, thereby reducing uncertainty and prediction error.</w:t>
      </w:r>
    </w:p>
    <w:p w14:paraId="7DEA9664" w14:textId="77777777" w:rsidR="00A812FA" w:rsidRPr="00FD62C4" w:rsidRDefault="00A812FA" w:rsidP="00A812FA">
      <w:pPr>
        <w:rPr>
          <w:rFonts w:eastAsiaTheme="minorEastAsia"/>
          <w:lang w:eastAsia="zh-CN"/>
        </w:rPr>
      </w:pPr>
      <w:r w:rsidRPr="00FD62C4">
        <w:rPr>
          <w:rFonts w:eastAsiaTheme="minorEastAsia"/>
          <w:i/>
          <w:iCs/>
          <w:lang w:eastAsia="zh-CN"/>
        </w:rPr>
        <w:t>Step 3</w:t>
      </w:r>
      <w:r w:rsidRPr="00FD62C4">
        <w:rPr>
          <w:rFonts w:eastAsiaTheme="minorEastAsia"/>
          <w:lang w:eastAsia="zh-CN"/>
        </w:rPr>
        <w:t>:</w:t>
      </w:r>
      <w:r w:rsidRPr="00FD62C4">
        <w:rPr>
          <w:rFonts w:eastAsiaTheme="minorEastAsia"/>
          <w:i/>
          <w:iCs/>
          <w:lang w:eastAsia="zh-CN"/>
        </w:rPr>
        <w:t xml:space="preserve"> </w:t>
      </w:r>
      <w:r w:rsidRPr="00FD62C4">
        <w:rPr>
          <w:rFonts w:eastAsiaTheme="minorEastAsia"/>
          <w:lang w:eastAsia="zh-CN"/>
        </w:rPr>
        <w:t>Markov process-based estimation. Markov process has been widely applied</w:t>
      </w:r>
      <w:r w:rsidRPr="00FD62C4">
        <w:rPr>
          <w:rStyle w:val="FootnoteReference"/>
          <w:rFonts w:eastAsiaTheme="minorEastAsia"/>
          <w:lang w:eastAsia="zh-CN"/>
        </w:rPr>
        <w:footnoteReference w:id="22"/>
      </w:r>
      <w:r w:rsidRPr="00FD62C4">
        <w:rPr>
          <w:rFonts w:eastAsiaTheme="minorEastAsia"/>
          <w:lang w:eastAsia="zh-CN"/>
        </w:rPr>
        <w:t xml:space="preserve"> in predicting usage behaviours of a frequency band based on channel usage patterns CR, and the expression is given as:</w:t>
      </w:r>
    </w:p>
    <w:p w14:paraId="2B98706B" w14:textId="3BE69E87" w:rsidR="00A812FA" w:rsidRPr="00FD62C4" w:rsidRDefault="00A812FA" w:rsidP="00A812FA">
      <w:pPr>
        <w:pStyle w:val="Equation"/>
        <w:rPr>
          <w:rFonts w:eastAsiaTheme="minorEastAsia"/>
          <w:lang w:eastAsia="zh-CN"/>
        </w:rPr>
      </w:pPr>
      <w:r w:rsidRPr="00FD62C4">
        <w:rPr>
          <w:rFonts w:eastAsiaTheme="minorEastAsia"/>
          <w:iCs/>
          <w:lang w:eastAsia="zh-CN"/>
        </w:rPr>
        <w:tab/>
      </w:r>
      <w:r w:rsidRPr="00FD62C4">
        <w:rPr>
          <w:rFonts w:eastAsiaTheme="minorEastAsia"/>
          <w:iCs/>
          <w:lang w:eastAsia="zh-CN"/>
        </w:rPr>
        <w:tab/>
      </w:r>
      <m:oMath>
        <m:sSub>
          <m:sSubPr>
            <m:ctrlPr>
              <w:rPr>
                <w:rFonts w:ascii="Cambria Math" w:eastAsiaTheme="minorEastAsia" w:hAnsi="Cambria Math"/>
                <w:iCs/>
                <w:lang w:eastAsia="zh-CN"/>
              </w:rPr>
            </m:ctrlPr>
          </m:sSubPr>
          <m:e>
            <m:r>
              <w:rPr>
                <w:rFonts w:ascii="Cambria Math" w:eastAsiaTheme="minorEastAsia" w:hAnsi="Cambria Math"/>
                <w:lang w:eastAsia="zh-CN"/>
              </w:rPr>
              <m:t>P</m:t>
            </m:r>
          </m:e>
          <m:sub>
            <m:r>
              <w:rPr>
                <w:rFonts w:ascii="Cambria Math" w:eastAsiaTheme="minorEastAsia" w:hAnsi="Cambria Math"/>
                <w:lang w:eastAsia="zh-CN"/>
              </w:rPr>
              <m:t>m</m:t>
            </m:r>
          </m:sub>
        </m:sSub>
        <m:r>
          <m:rPr>
            <m:sty m:val="p"/>
          </m:rPr>
          <w:rPr>
            <w:rFonts w:ascii="Cambria Math" w:eastAsiaTheme="minorEastAsia" w:hAnsi="Cambria Math"/>
            <w:lang w:eastAsia="zh-CN"/>
          </w:rPr>
          <m:t>(</m:t>
        </m:r>
        <m:sSubSup>
          <m:sSubSupPr>
            <m:ctrlPr>
              <w:rPr>
                <w:rFonts w:ascii="Cambria Math" w:eastAsiaTheme="minorEastAsia" w:hAnsi="Cambria Math"/>
                <w:iCs/>
                <w:lang w:eastAsia="zh-CN"/>
              </w:rPr>
            </m:ctrlPr>
          </m:sSubSupPr>
          <m:e>
            <m:r>
              <w:rPr>
                <w:rFonts w:ascii="Cambria Math" w:eastAsiaTheme="minorEastAsia" w:hAnsi="Cambria Math"/>
                <w:lang w:eastAsia="zh-CN"/>
              </w:rPr>
              <m:t>s</m:t>
            </m:r>
          </m:e>
          <m:sub>
            <m:r>
              <w:rPr>
                <w:rFonts w:ascii="Cambria Math" w:eastAsiaTheme="minorEastAsia" w:hAnsi="Cambria Math"/>
                <w:lang w:eastAsia="zh-CN"/>
              </w:rPr>
              <m:t>i</m:t>
            </m:r>
          </m:sub>
          <m:sup>
            <m:r>
              <w:rPr>
                <w:rFonts w:ascii="Cambria Math" w:eastAsiaTheme="minorEastAsia" w:hAnsi="Cambria Math"/>
                <w:lang w:eastAsia="zh-CN"/>
              </w:rPr>
              <m:t>t</m:t>
            </m:r>
          </m:sup>
        </m:sSubSup>
        <m:r>
          <m:rPr>
            <m:sty m:val="p"/>
          </m:rPr>
          <w:rPr>
            <w:rFonts w:ascii="Cambria Math" w:eastAsiaTheme="minorEastAsia" w:hAnsi="Cambria Math"/>
            <w:lang w:eastAsia="zh-CN"/>
          </w:rPr>
          <m:t>|</m:t>
        </m:r>
        <m:sSubSup>
          <m:sSubSupPr>
            <m:ctrlPr>
              <w:rPr>
                <w:rFonts w:ascii="Cambria Math" w:eastAsiaTheme="minorEastAsia" w:hAnsi="Cambria Math"/>
                <w:iCs/>
                <w:lang w:eastAsia="zh-CN"/>
              </w:rPr>
            </m:ctrlPr>
          </m:sSubSupPr>
          <m:e>
            <m:r>
              <w:rPr>
                <w:rFonts w:ascii="Cambria Math" w:eastAsiaTheme="minorEastAsia" w:hAnsi="Cambria Math"/>
                <w:lang w:eastAsia="zh-CN"/>
              </w:rPr>
              <m:t>s</m:t>
            </m:r>
          </m:e>
          <m:sub>
            <m:r>
              <w:rPr>
                <w:rFonts w:ascii="Cambria Math" w:eastAsiaTheme="minorEastAsia" w:hAnsi="Cambria Math"/>
                <w:lang w:eastAsia="zh-CN"/>
              </w:rPr>
              <m:t>i</m:t>
            </m:r>
          </m:sub>
          <m:sup>
            <m:r>
              <w:rPr>
                <w:rFonts w:ascii="Cambria Math" w:eastAsiaTheme="minorEastAsia" w:hAnsi="Cambria Math"/>
                <w:lang w:eastAsia="zh-CN"/>
              </w:rPr>
              <m:t>V</m:t>
            </m:r>
          </m:sup>
        </m:sSubSup>
        <m:r>
          <m:rPr>
            <m:sty m:val="p"/>
          </m:rPr>
          <w:rPr>
            <w:rFonts w:ascii="Cambria Math" w:eastAsiaTheme="minorEastAsia" w:hAnsi="Cambria Math"/>
            <w:lang w:eastAsia="zh-CN"/>
          </w:rPr>
          <m:t>)=</m:t>
        </m:r>
        <m:sSub>
          <m:sSubPr>
            <m:ctrlPr>
              <w:rPr>
                <w:rFonts w:ascii="Cambria Math" w:eastAsiaTheme="minorEastAsia" w:hAnsi="Cambria Math"/>
                <w:iCs/>
                <w:lang w:eastAsia="zh-CN"/>
              </w:rPr>
            </m:ctrlPr>
          </m:sSubPr>
          <m:e>
            <m:r>
              <w:rPr>
                <w:rFonts w:ascii="Cambria Math" w:eastAsiaTheme="minorEastAsia" w:hAnsi="Cambria Math"/>
                <w:lang w:eastAsia="zh-CN"/>
              </w:rPr>
              <m:t>P</m:t>
            </m:r>
          </m:e>
          <m:sub>
            <m:r>
              <w:rPr>
                <w:rFonts w:ascii="Cambria Math" w:eastAsiaTheme="minorEastAsia" w:hAnsi="Cambria Math"/>
                <w:lang w:eastAsia="zh-CN"/>
              </w:rPr>
              <m:t>m</m:t>
            </m:r>
          </m:sub>
        </m:sSub>
        <m:r>
          <m:rPr>
            <m:sty m:val="p"/>
          </m:rPr>
          <w:rPr>
            <w:rFonts w:ascii="Cambria Math" w:eastAsiaTheme="minorEastAsia" w:hAnsi="Cambria Math"/>
            <w:lang w:eastAsia="zh-CN"/>
          </w:rPr>
          <m:t>(</m:t>
        </m:r>
        <m:sSubSup>
          <m:sSubSupPr>
            <m:ctrlPr>
              <w:rPr>
                <w:rFonts w:ascii="Cambria Math" w:eastAsiaTheme="minorEastAsia" w:hAnsi="Cambria Math"/>
                <w:iCs/>
                <w:lang w:eastAsia="zh-CN"/>
              </w:rPr>
            </m:ctrlPr>
          </m:sSubSupPr>
          <m:e>
            <m:r>
              <w:rPr>
                <w:rFonts w:ascii="Cambria Math" w:eastAsiaTheme="minorEastAsia" w:hAnsi="Cambria Math"/>
                <w:lang w:eastAsia="zh-CN"/>
              </w:rPr>
              <m:t>s</m:t>
            </m:r>
          </m:e>
          <m:sub>
            <m:r>
              <w:rPr>
                <w:rFonts w:ascii="Cambria Math" w:eastAsiaTheme="minorEastAsia" w:hAnsi="Cambria Math"/>
                <w:lang w:eastAsia="zh-CN"/>
              </w:rPr>
              <m:t>i</m:t>
            </m:r>
          </m:sub>
          <m:sup>
            <m:r>
              <w:rPr>
                <w:rFonts w:ascii="Cambria Math" w:eastAsiaTheme="minorEastAsia" w:hAnsi="Cambria Math"/>
                <w:lang w:eastAsia="zh-CN"/>
              </w:rPr>
              <m:t>t</m:t>
            </m:r>
          </m:sup>
        </m:sSubSup>
        <m:r>
          <m:rPr>
            <m:sty m:val="p"/>
          </m:rPr>
          <w:rPr>
            <w:rFonts w:ascii="Cambria Math" w:eastAsiaTheme="minorEastAsia" w:hAnsi="Cambria Math"/>
            <w:lang w:eastAsia="zh-CN"/>
          </w:rPr>
          <m:t>|</m:t>
        </m:r>
        <m:sSubSup>
          <m:sSubSupPr>
            <m:ctrlPr>
              <w:rPr>
                <w:rFonts w:ascii="Cambria Math" w:eastAsiaTheme="minorEastAsia" w:hAnsi="Cambria Math"/>
                <w:iCs/>
                <w:lang w:eastAsia="zh-CN"/>
              </w:rPr>
            </m:ctrlPr>
          </m:sSubSupPr>
          <m:e>
            <m:r>
              <w:rPr>
                <w:rFonts w:ascii="Cambria Math" w:eastAsiaTheme="minorEastAsia" w:hAnsi="Cambria Math"/>
                <w:lang w:eastAsia="zh-CN"/>
              </w:rPr>
              <m:t>s</m:t>
            </m:r>
          </m:e>
          <m:sub>
            <m:r>
              <w:rPr>
                <w:rFonts w:ascii="Cambria Math" w:eastAsiaTheme="minorEastAsia" w:hAnsi="Cambria Math"/>
                <w:lang w:eastAsia="zh-CN"/>
              </w:rPr>
              <m:t>i</m:t>
            </m:r>
          </m:sub>
          <m:sup>
            <m:r>
              <w:rPr>
                <w:rFonts w:ascii="Cambria Math" w:eastAsiaTheme="minorEastAsia" w:hAnsi="Cambria Math"/>
                <w:lang w:eastAsia="zh-CN"/>
              </w:rPr>
              <m:t>t</m:t>
            </m:r>
            <m:r>
              <m:rPr>
                <m:sty m:val="p"/>
              </m:rPr>
              <w:rPr>
                <w:rFonts w:ascii="Cambria Math" w:eastAsiaTheme="minorEastAsia" w:hAnsi="Cambria Math"/>
                <w:lang w:eastAsia="zh-CN"/>
              </w:rPr>
              <m:t>-1</m:t>
            </m:r>
          </m:sup>
        </m:sSubSup>
        <m:r>
          <m:rPr>
            <m:sty m:val="p"/>
          </m:rPr>
          <w:rPr>
            <w:rFonts w:ascii="Cambria Math" w:eastAsiaTheme="minorEastAsia" w:hAnsi="Cambria Math"/>
            <w:lang w:eastAsia="zh-CN"/>
          </w:rPr>
          <m:t>, ...,</m:t>
        </m:r>
        <m:sSubSup>
          <m:sSubSupPr>
            <m:ctrlPr>
              <w:rPr>
                <w:rFonts w:ascii="Cambria Math" w:eastAsiaTheme="minorEastAsia" w:hAnsi="Cambria Math"/>
                <w:iCs/>
                <w:lang w:eastAsia="zh-CN"/>
              </w:rPr>
            </m:ctrlPr>
          </m:sSubSupPr>
          <m:e>
            <m:r>
              <w:rPr>
                <w:rFonts w:ascii="Cambria Math" w:eastAsiaTheme="minorEastAsia" w:hAnsi="Cambria Math"/>
                <w:lang w:eastAsia="zh-CN"/>
              </w:rPr>
              <m:t>s</m:t>
            </m:r>
          </m:e>
          <m:sub>
            <m:r>
              <w:rPr>
                <w:rFonts w:ascii="Cambria Math" w:eastAsiaTheme="minorEastAsia" w:hAnsi="Cambria Math"/>
                <w:lang w:eastAsia="zh-CN"/>
              </w:rPr>
              <m:t>i</m:t>
            </m:r>
          </m:sub>
          <m:sup>
            <m:r>
              <w:rPr>
                <w:rFonts w:ascii="Cambria Math" w:eastAsiaTheme="minorEastAsia" w:hAnsi="Cambria Math"/>
                <w:lang w:eastAsia="zh-CN"/>
              </w:rPr>
              <m:t>t</m:t>
            </m:r>
            <m:r>
              <m:rPr>
                <m:sty m:val="p"/>
              </m:rPr>
              <w:rPr>
                <w:rFonts w:ascii="Cambria Math" w:eastAsiaTheme="minorEastAsia" w:hAnsi="Cambria Math"/>
                <w:lang w:eastAsia="zh-CN"/>
              </w:rPr>
              <m:t>-</m:t>
            </m:r>
            <m:r>
              <w:rPr>
                <w:rFonts w:ascii="Cambria Math" w:eastAsiaTheme="minorEastAsia" w:hAnsi="Cambria Math"/>
                <w:lang w:eastAsia="zh-CN"/>
              </w:rPr>
              <m:t>V</m:t>
            </m:r>
          </m:sup>
        </m:sSubSup>
        <m:r>
          <m:rPr>
            <m:sty m:val="p"/>
          </m:rPr>
          <w:rPr>
            <w:rFonts w:ascii="Cambria Math" w:eastAsiaTheme="minorEastAsia" w:hAnsi="Cambria Math"/>
            <w:lang w:eastAsia="zh-CN"/>
          </w:rPr>
          <m:t>)</m:t>
        </m:r>
      </m:oMath>
    </w:p>
    <w:p w14:paraId="121D768A" w14:textId="77777777" w:rsidR="00A812FA" w:rsidRPr="00FD62C4" w:rsidRDefault="00A812FA" w:rsidP="00A812FA">
      <w:pPr>
        <w:rPr>
          <w:rFonts w:eastAsiaTheme="minorEastAsia"/>
          <w:lang w:eastAsia="zh-CN"/>
        </w:rPr>
      </w:pPr>
      <w:r w:rsidRPr="00FD62C4">
        <w:rPr>
          <w:rFonts w:eastAsiaTheme="minorEastAsia"/>
          <w:lang w:eastAsia="zh-CN"/>
        </w:rPr>
        <w:t xml:space="preserve">where </w:t>
      </w:r>
      <m:oMath>
        <m:r>
          <m:rPr>
            <m:sty m:val="p"/>
          </m:rPr>
          <w:rPr>
            <w:rFonts w:ascii="Cambria Math" w:eastAsiaTheme="minorEastAsia" w:hAnsi="Cambria Math"/>
            <w:lang w:eastAsia="zh-CN"/>
          </w:rPr>
          <m:t>V</m:t>
        </m:r>
      </m:oMath>
      <w:r w:rsidRPr="00FD62C4">
        <w:rPr>
          <w:rFonts w:eastAsiaTheme="minorEastAsia"/>
          <w:lang w:eastAsia="zh-CN"/>
        </w:rPr>
        <w:t xml:space="preserve"> denotes the order of the Markov process, and </w:t>
      </w:r>
      <m:oMath>
        <m:sSub>
          <m:sSubPr>
            <m:ctrlPr>
              <w:rPr>
                <w:rFonts w:ascii="Cambria Math" w:eastAsiaTheme="minorEastAsia" w:hAnsi="Cambria Math"/>
                <w:i/>
                <w:lang w:eastAsia="zh-CN"/>
              </w:rPr>
            </m:ctrlPr>
          </m:sSubPr>
          <m:e>
            <m:r>
              <w:rPr>
                <w:rFonts w:ascii="Cambria Math" w:eastAsiaTheme="minorEastAsia" w:hAnsi="Cambria Math"/>
                <w:lang w:eastAsia="zh-CN"/>
              </w:rPr>
              <m:t>P</m:t>
            </m:r>
          </m:e>
          <m:sub>
            <m:r>
              <w:rPr>
                <w:rFonts w:ascii="Cambria Math" w:eastAsiaTheme="minorEastAsia" w:hAnsi="Cambria Math"/>
                <w:lang w:eastAsia="zh-CN"/>
              </w:rPr>
              <m:t>m</m:t>
            </m:r>
          </m:sub>
        </m:sSub>
      </m:oMath>
      <w:r w:rsidRPr="00FD62C4">
        <w:rPr>
          <w:rFonts w:eastAsiaTheme="minorEastAsia"/>
          <w:lang w:eastAsia="zh-CN"/>
        </w:rPr>
        <w:t xml:space="preserve"> denotes the transition probability of an EM state. A transition matrix can be constructed to describe the dependence and probabilities of future EM states, while the initial states of EMs are known. The final EM states can be predicted through calculating the multiplication of two matrices.</w:t>
      </w:r>
    </w:p>
    <w:p w14:paraId="0F59526B" w14:textId="77777777" w:rsidR="00A812FA" w:rsidRPr="00FD62C4" w:rsidRDefault="00A812FA" w:rsidP="009314CB">
      <w:pPr>
        <w:keepNext/>
        <w:keepLines/>
        <w:rPr>
          <w:rFonts w:eastAsiaTheme="minorEastAsia"/>
          <w:lang w:eastAsia="zh-CN"/>
        </w:rPr>
      </w:pPr>
      <w:r w:rsidRPr="00FD62C4">
        <w:rPr>
          <w:rFonts w:eastAsiaTheme="minorEastAsia"/>
          <w:i/>
          <w:iCs/>
          <w:lang w:eastAsia="zh-CN"/>
        </w:rPr>
        <w:lastRenderedPageBreak/>
        <w:t>Step 4</w:t>
      </w:r>
      <w:r w:rsidRPr="00FD62C4">
        <w:rPr>
          <w:rFonts w:eastAsiaTheme="minorEastAsia"/>
          <w:lang w:eastAsia="zh-CN"/>
        </w:rPr>
        <w:t>: Minimum entropy merging approach decision. After conducting two independent estimations based on spatial and temporal correlation, the merging approach is proposed to avoid providing contradictory results. By comparing the entropy of EMs under the two estimation methods using predicted state probabilities, the prediction with the higher entropy is selected.</w:t>
      </w:r>
    </w:p>
    <w:p w14:paraId="70BB94E1" w14:textId="77777777" w:rsidR="00A812FA" w:rsidRPr="00FD62C4" w:rsidRDefault="00A812FA" w:rsidP="00A812FA">
      <w:pPr>
        <w:rPr>
          <w:rFonts w:eastAsiaTheme="minorEastAsia"/>
          <w:lang w:eastAsia="zh-CN"/>
        </w:rPr>
      </w:pPr>
      <w:r w:rsidRPr="00FD62C4">
        <w:rPr>
          <w:rFonts w:eastAsiaTheme="minorEastAsia"/>
          <w:lang w:eastAsia="zh-CN"/>
        </w:rPr>
        <w:t>With this merging method, the space-time correlation, which combines the spatial correlation and historical dependence, is utilized to obtain a higher prediction accuracy. The method was implemented and tested in dense urban environments, showing reduced power consumption with acceptable predicting performance.</w:t>
      </w:r>
    </w:p>
    <w:p w14:paraId="674B7CEA" w14:textId="4B3B08C6" w:rsidR="00A812FA" w:rsidRPr="00FD62C4" w:rsidRDefault="00A812FA" w:rsidP="00FA49DF">
      <w:pPr>
        <w:rPr>
          <w:rFonts w:eastAsiaTheme="minorEastAsia"/>
          <w:lang w:eastAsia="zh-CN"/>
        </w:rPr>
      </w:pPr>
    </w:p>
    <w:p w14:paraId="68D7F885" w14:textId="77777777" w:rsidR="00FA49DF" w:rsidRPr="00FD62C4" w:rsidRDefault="00FA49DF" w:rsidP="00FA49DF">
      <w:pPr>
        <w:rPr>
          <w:rFonts w:eastAsiaTheme="minorEastAsia"/>
          <w:lang w:eastAsia="zh-CN"/>
        </w:rPr>
      </w:pPr>
    </w:p>
    <w:p w14:paraId="5603FC8A" w14:textId="77777777" w:rsidR="00A812FA" w:rsidRPr="00FD62C4" w:rsidRDefault="00A812FA" w:rsidP="00F91225">
      <w:pPr>
        <w:pStyle w:val="AnnexNoTitle"/>
        <w:rPr>
          <w:lang w:eastAsia="ko-KR"/>
        </w:rPr>
      </w:pPr>
      <w:bookmarkStart w:id="133" w:name="_Toc181881789"/>
      <w:bookmarkStart w:id="134" w:name="_Toc182401811"/>
      <w:bookmarkStart w:id="135" w:name="_Toc232493297"/>
      <w:bookmarkStart w:id="136" w:name="_Toc235620224"/>
      <w:r w:rsidRPr="00F91225">
        <w:t>Annex</w:t>
      </w:r>
      <w:r w:rsidRPr="00FD62C4">
        <w:rPr>
          <w:lang w:eastAsia="ko-KR"/>
        </w:rPr>
        <w:t xml:space="preserve"> 3 </w:t>
      </w:r>
      <w:r w:rsidRPr="00FD62C4">
        <w:rPr>
          <w:lang w:eastAsia="ko-KR"/>
        </w:rPr>
        <w:br/>
      </w:r>
      <w:r w:rsidRPr="00FD62C4">
        <w:rPr>
          <w:lang w:eastAsia="ko-KR"/>
        </w:rPr>
        <w:br/>
        <w:t>Case studies from Indonesia (Republic of)</w:t>
      </w:r>
      <w:bookmarkEnd w:id="133"/>
      <w:bookmarkEnd w:id="134"/>
      <w:bookmarkEnd w:id="135"/>
      <w:bookmarkEnd w:id="136"/>
    </w:p>
    <w:p w14:paraId="71FC2AAC" w14:textId="719D69E4" w:rsidR="00A812FA" w:rsidRPr="00FD62C4" w:rsidRDefault="00A812FA" w:rsidP="00F91225">
      <w:pPr>
        <w:pStyle w:val="Heading2"/>
        <w:rPr>
          <w:lang w:eastAsia="zh-CN"/>
        </w:rPr>
      </w:pPr>
      <w:bookmarkStart w:id="137" w:name="_Toc232493298"/>
      <w:bookmarkStart w:id="138" w:name="_Toc235620225"/>
      <w:bookmarkStart w:id="139" w:name="_Toc182401695"/>
      <w:bookmarkStart w:id="140" w:name="_Toc182401812"/>
      <w:r w:rsidRPr="00FD62C4">
        <w:rPr>
          <w:lang w:eastAsia="zh-CN"/>
        </w:rPr>
        <w:t>A3</w:t>
      </w:r>
      <w:r w:rsidR="006F13E6" w:rsidRPr="00FD62C4">
        <w:rPr>
          <w:lang w:eastAsia="zh-CN"/>
        </w:rPr>
        <w:t>.</w:t>
      </w:r>
      <w:r w:rsidRPr="00FD62C4">
        <w:rPr>
          <w:lang w:eastAsia="zh-CN"/>
        </w:rPr>
        <w:t>1</w:t>
      </w:r>
      <w:r w:rsidRPr="00FD62C4">
        <w:rPr>
          <w:lang w:eastAsia="zh-CN"/>
        </w:rPr>
        <w:tab/>
        <w:t>Introduction</w:t>
      </w:r>
      <w:bookmarkEnd w:id="137"/>
      <w:bookmarkEnd w:id="138"/>
    </w:p>
    <w:p w14:paraId="71FE01F1" w14:textId="445F0DCC" w:rsidR="00A812FA" w:rsidRPr="00FD62C4" w:rsidRDefault="00A812FA" w:rsidP="00A812FA">
      <w:pPr>
        <w:rPr>
          <w:lang w:eastAsia="zh-CN"/>
        </w:rPr>
      </w:pPr>
      <w:r w:rsidRPr="00FD62C4">
        <w:rPr>
          <w:lang w:eastAsia="zh-CN"/>
        </w:rPr>
        <w:t>There are several spectrum bands that are allocated for different types of services, including mobile, fixed, broadcasting, fixed satellite and mobile satellite. Wireless communication systems operate inside these channels. Indonesia, an archipelagic developing nation that spans 1.9 million square kilometres and distinguished by its varied topography and uneven population density of 280 million people, is experiencing a high rate of wireless communication usage while simultaneously dealing with difficulties related to spectrum constraint. The other problem is</w:t>
      </w:r>
      <w:r w:rsidR="000F7E35" w:rsidRPr="00FD62C4">
        <w:rPr>
          <w:lang w:eastAsia="zh-CN"/>
        </w:rPr>
        <w:t xml:space="preserve"> </w:t>
      </w:r>
      <w:r w:rsidR="00337DE5" w:rsidRPr="00FD62C4">
        <w:rPr>
          <w:lang w:eastAsia="zh-CN"/>
        </w:rPr>
        <w:t>that</w:t>
      </w:r>
      <w:r w:rsidRPr="00FD62C4">
        <w:rPr>
          <w:lang w:eastAsia="zh-CN"/>
        </w:rPr>
        <w:t xml:space="preserve"> some remote areas are difficult to define in administrative data.</w:t>
      </w:r>
    </w:p>
    <w:p w14:paraId="389D6553" w14:textId="3857E600" w:rsidR="00A812FA" w:rsidRPr="00FD62C4" w:rsidRDefault="00A812FA" w:rsidP="00A812FA">
      <w:pPr>
        <w:rPr>
          <w:lang w:eastAsia="zh-CN"/>
        </w:rPr>
      </w:pPr>
      <w:r w:rsidRPr="00FD62C4">
        <w:rPr>
          <w:lang w:eastAsia="zh-CN"/>
        </w:rPr>
        <w:t>The constraints of monitoring devices for detecting national spectrum usage further add</w:t>
      </w:r>
      <w:r w:rsidR="00B43918" w:rsidRPr="00FD62C4">
        <w:rPr>
          <w:lang w:eastAsia="zh-CN"/>
        </w:rPr>
        <w:t xml:space="preserve"> to</w:t>
      </w:r>
      <w:r w:rsidRPr="00FD62C4">
        <w:rPr>
          <w:lang w:eastAsia="zh-CN"/>
        </w:rPr>
        <w:t xml:space="preserve"> the challenges faced by Indonesia in executing spectrum sensing. Consequently, Indonesia was unable to utilise cognitive radio technology optimally. Cognitive radio (CR) has evolved as a novel technique to address the issue of spectrum under-utilization in next-generation networks.</w:t>
      </w:r>
    </w:p>
    <w:p w14:paraId="0944F4DA" w14:textId="081A35D5" w:rsidR="00A812FA" w:rsidRPr="00FD62C4" w:rsidRDefault="00A812FA" w:rsidP="00A812FA">
      <w:pPr>
        <w:rPr>
          <w:lang w:eastAsia="zh-CN"/>
        </w:rPr>
      </w:pPr>
      <w:r w:rsidRPr="00FD62C4">
        <w:rPr>
          <w:lang w:eastAsia="zh-CN"/>
        </w:rPr>
        <w:t xml:space="preserve">To offer extensive services to prospective users of the radio frequency spectrum, an alternative method must be established to ensure public access to the available spectrum with minimal resource utilisation. The integration of </w:t>
      </w:r>
      <w:r w:rsidR="00EB433C" w:rsidRPr="00FD62C4">
        <w:rPr>
          <w:lang w:eastAsia="zh-CN"/>
        </w:rPr>
        <w:t>multiple</w:t>
      </w:r>
      <w:r w:rsidRPr="00FD62C4">
        <w:rPr>
          <w:lang w:eastAsia="zh-CN"/>
        </w:rPr>
        <w:t xml:space="preserve"> media platforms, such as the web-based version of spectrum availability and the mobile application version</w:t>
      </w:r>
      <w:r w:rsidR="00601709" w:rsidRPr="00FD62C4">
        <w:rPr>
          <w:lang w:eastAsia="zh-CN"/>
        </w:rPr>
        <w:t>, is advantageous</w:t>
      </w:r>
      <w:r w:rsidRPr="00FD62C4">
        <w:rPr>
          <w:lang w:eastAsia="zh-CN"/>
        </w:rPr>
        <w:t>.</w:t>
      </w:r>
    </w:p>
    <w:p w14:paraId="3571FE8D" w14:textId="77777777" w:rsidR="00A812FA" w:rsidRPr="00FD62C4" w:rsidRDefault="00A812FA" w:rsidP="00A812FA">
      <w:pPr>
        <w:rPr>
          <w:lang w:eastAsia="zh-CN"/>
        </w:rPr>
      </w:pPr>
      <w:r w:rsidRPr="00FD62C4">
        <w:rPr>
          <w:rFonts w:eastAsia="Malgun Gothic"/>
          <w:lang w:eastAsia="ko-KR"/>
        </w:rPr>
        <w:t>The spectrum grid is an approach to unify the gap between administrative data, field conditions and spectrum data.</w:t>
      </w:r>
    </w:p>
    <w:p w14:paraId="713F3944" w14:textId="76DB9740" w:rsidR="00A812FA" w:rsidRPr="00FD62C4" w:rsidRDefault="00A812FA" w:rsidP="00F91225">
      <w:pPr>
        <w:pStyle w:val="Heading2"/>
        <w:rPr>
          <w:lang w:eastAsia="zh-CN"/>
        </w:rPr>
      </w:pPr>
      <w:bookmarkStart w:id="141" w:name="_Toc232493299"/>
      <w:bookmarkStart w:id="142" w:name="_Toc235620226"/>
      <w:r w:rsidRPr="00FD62C4">
        <w:rPr>
          <w:lang w:eastAsia="zh-CN"/>
        </w:rPr>
        <w:t>A3</w:t>
      </w:r>
      <w:r w:rsidR="006F13E6" w:rsidRPr="00FD62C4">
        <w:rPr>
          <w:lang w:eastAsia="zh-CN"/>
        </w:rPr>
        <w:t>.</w:t>
      </w:r>
      <w:r w:rsidRPr="00FD62C4">
        <w:rPr>
          <w:lang w:eastAsia="zh-CN"/>
        </w:rPr>
        <w:t>2</w:t>
      </w:r>
      <w:r w:rsidRPr="00FD62C4">
        <w:rPr>
          <w:lang w:eastAsia="zh-CN"/>
        </w:rPr>
        <w:tab/>
        <w:t>Implementation</w:t>
      </w:r>
      <w:bookmarkEnd w:id="141"/>
      <w:bookmarkEnd w:id="142"/>
    </w:p>
    <w:p w14:paraId="2184E1F0" w14:textId="77777777" w:rsidR="00A812FA" w:rsidRPr="00FD62C4" w:rsidRDefault="00A812FA" w:rsidP="00A812FA">
      <w:pPr>
        <w:pStyle w:val="Headingb"/>
      </w:pPr>
      <w:r w:rsidRPr="00FD62C4">
        <w:t>Spectrum grid</w:t>
      </w:r>
    </w:p>
    <w:p w14:paraId="01DC6DF6" w14:textId="77777777" w:rsidR="00A812FA" w:rsidRPr="00FD62C4" w:rsidRDefault="00A812FA" w:rsidP="00A812FA">
      <w:pPr>
        <w:rPr>
          <w:rFonts w:eastAsia="Malgun Gothic"/>
          <w:lang w:eastAsia="ko-KR"/>
        </w:rPr>
      </w:pPr>
      <w:r w:rsidRPr="00FD62C4">
        <w:rPr>
          <w:rFonts w:eastAsia="Malgun Gothic"/>
          <w:lang w:eastAsia="ko-KR"/>
        </w:rPr>
        <w:t>Hundreds of thousands of applications for the use of microwave link frequencies are submitted every year in Indonesia. The number of rejections was increasing, and the peak was in 2022 that the number of rejections reached above 60%.</w:t>
      </w:r>
    </w:p>
    <w:p w14:paraId="00732B92" w14:textId="77777777" w:rsidR="00A812FA" w:rsidRPr="00FD62C4" w:rsidRDefault="00A812FA" w:rsidP="00A812FA">
      <w:pPr>
        <w:rPr>
          <w:lang w:eastAsia="zh-CN"/>
        </w:rPr>
      </w:pPr>
      <w:r w:rsidRPr="00FD62C4">
        <w:rPr>
          <w:lang w:eastAsia="zh-CN"/>
        </w:rPr>
        <w:t>The current statistical data defines the distribution of the population and the economic level of the community mapped within the administrative area. However, the coverage area of the frequency spectrum cannot be defined by the administrative area because electromagnetic propagation has no border.</w:t>
      </w:r>
    </w:p>
    <w:p w14:paraId="5D5B322B" w14:textId="4EACC40C" w:rsidR="00A812FA" w:rsidRPr="00FD62C4" w:rsidRDefault="00A812FA" w:rsidP="009314CB">
      <w:pPr>
        <w:keepNext/>
        <w:keepLines/>
        <w:rPr>
          <w:rFonts w:eastAsia="Malgun Gothic"/>
          <w:lang w:eastAsia="ko-KR"/>
        </w:rPr>
      </w:pPr>
      <w:r w:rsidRPr="00FD62C4">
        <w:rPr>
          <w:lang w:eastAsia="zh-CN"/>
        </w:rPr>
        <w:lastRenderedPageBreak/>
        <w:t xml:space="preserve">In conducting radio frequency interference analysis, it is carried out on a coordinate basis, both in Decimal and DMS formats. With this different mapping system, it is almost impossible to juxtapose the frequency coverage area to the coverage population data. Even in spectrum management with the coordinate-based to define station locations, </w:t>
      </w:r>
      <w:r w:rsidR="00DB51A6" w:rsidRPr="00FD62C4">
        <w:rPr>
          <w:lang w:eastAsia="zh-CN"/>
        </w:rPr>
        <w:t xml:space="preserve">problems </w:t>
      </w:r>
      <w:r w:rsidRPr="00FD62C4">
        <w:rPr>
          <w:lang w:eastAsia="zh-CN"/>
        </w:rPr>
        <w:t>we</w:t>
      </w:r>
      <w:r w:rsidR="00DB51A6" w:rsidRPr="00FD62C4">
        <w:rPr>
          <w:lang w:eastAsia="zh-CN"/>
        </w:rPr>
        <w:t>re</w:t>
      </w:r>
      <w:r w:rsidRPr="00FD62C4">
        <w:rPr>
          <w:lang w:eastAsia="zh-CN"/>
        </w:rPr>
        <w:t xml:space="preserve"> faced that caused the results of technical analysis to be inaccurate.</w:t>
      </w:r>
    </w:p>
    <w:p w14:paraId="0EA079F4" w14:textId="77777777" w:rsidR="00A812FA" w:rsidRPr="00FD62C4" w:rsidRDefault="00A812FA" w:rsidP="0056771B">
      <w:pPr>
        <w:pStyle w:val="FigureNo"/>
        <w:rPr>
          <w:lang w:eastAsia="ko-KR"/>
        </w:rPr>
      </w:pPr>
      <w:r w:rsidRPr="0056771B">
        <w:t>FIGURE</w:t>
      </w:r>
      <w:r w:rsidRPr="00FD62C4">
        <w:t xml:space="preserve"> </w:t>
      </w:r>
      <w:r w:rsidRPr="00FD62C4">
        <w:rPr>
          <w:lang w:eastAsia="zh-CN"/>
        </w:rPr>
        <w:t>A3-</w:t>
      </w:r>
      <w:r w:rsidRPr="00FD62C4">
        <w:rPr>
          <w:lang w:eastAsia="ko-KR"/>
        </w:rPr>
        <w:t>1</w:t>
      </w:r>
    </w:p>
    <w:p w14:paraId="3D73404F" w14:textId="77777777" w:rsidR="00A812FA" w:rsidRPr="00FD62C4" w:rsidRDefault="00A812FA" w:rsidP="00A812FA">
      <w:pPr>
        <w:pStyle w:val="Figuretitle"/>
        <w:rPr>
          <w:lang w:eastAsia="ko-KR"/>
        </w:rPr>
      </w:pPr>
      <w:r w:rsidRPr="00FD62C4">
        <w:rPr>
          <w:lang w:eastAsia="ko-KR"/>
        </w:rPr>
        <w:t>Microwave Link Towers in Indonesia</w:t>
      </w:r>
    </w:p>
    <w:p w14:paraId="0976F929" w14:textId="77777777" w:rsidR="00A812FA" w:rsidRPr="00FD62C4" w:rsidRDefault="00A812FA" w:rsidP="00A812FA">
      <w:pPr>
        <w:pStyle w:val="Figure"/>
        <w:rPr>
          <w:rFonts w:eastAsia="Malgun Gothic"/>
          <w:lang w:eastAsia="ko-KR"/>
        </w:rPr>
      </w:pPr>
      <w:r w:rsidRPr="00FD62C4">
        <w:rPr>
          <w:rFonts w:eastAsia="Malgun Gothic"/>
          <w:noProof/>
        </w:rPr>
        <w:drawing>
          <wp:inline distT="0" distB="0" distL="0" distR="0" wp14:anchorId="13185F91" wp14:editId="5026BC06">
            <wp:extent cx="3779520" cy="2125980"/>
            <wp:effectExtent l="0" t="0" r="0" b="7620"/>
            <wp:docPr id="1136887504" name="그림 15" descr="Microwave Link Towers in Indones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6887504" name="그림 15" descr="Microwave Link Towers in Indonesia"/>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779520" cy="2125980"/>
                    </a:xfrm>
                    <a:prstGeom prst="rect">
                      <a:avLst/>
                    </a:prstGeom>
                    <a:noFill/>
                    <a:ln>
                      <a:noFill/>
                    </a:ln>
                  </pic:spPr>
                </pic:pic>
              </a:graphicData>
            </a:graphic>
          </wp:inline>
        </w:drawing>
      </w:r>
    </w:p>
    <w:p w14:paraId="344140EF" w14:textId="77777777" w:rsidR="00A812FA" w:rsidRPr="00FD62C4" w:rsidRDefault="00A812FA" w:rsidP="0056771B">
      <w:pPr>
        <w:pStyle w:val="FigureNo"/>
        <w:rPr>
          <w:lang w:eastAsia="ko-KR"/>
        </w:rPr>
      </w:pPr>
      <w:r w:rsidRPr="00FD62C4">
        <w:t xml:space="preserve">FIGURE </w:t>
      </w:r>
      <w:r w:rsidRPr="00FD62C4">
        <w:rPr>
          <w:lang w:eastAsia="zh-CN"/>
        </w:rPr>
        <w:t>A3-</w:t>
      </w:r>
      <w:r w:rsidRPr="00FD62C4">
        <w:t>2</w:t>
      </w:r>
    </w:p>
    <w:p w14:paraId="4664DCA7" w14:textId="77777777" w:rsidR="00A812FA" w:rsidRDefault="00A812FA" w:rsidP="00A812FA">
      <w:pPr>
        <w:pStyle w:val="Figuretitle"/>
        <w:rPr>
          <w:lang w:eastAsia="ko-KR"/>
        </w:rPr>
      </w:pPr>
      <w:r w:rsidRPr="00FD62C4">
        <w:rPr>
          <w:lang w:eastAsia="ko-KR"/>
        </w:rPr>
        <w:t>Rejection increasing over the year</w:t>
      </w:r>
    </w:p>
    <w:p w14:paraId="10CE4F40" w14:textId="2DA49907" w:rsidR="005727FD" w:rsidRPr="005727FD" w:rsidRDefault="005727FD" w:rsidP="005727FD">
      <w:pPr>
        <w:pStyle w:val="Figure"/>
        <w:rPr>
          <w:lang w:eastAsia="ko-KR"/>
        </w:rPr>
      </w:pPr>
      <w:r w:rsidRPr="005727FD">
        <w:rPr>
          <w:noProof/>
          <w:lang w:eastAsia="ko-KR"/>
        </w:rPr>
        <w:drawing>
          <wp:inline distT="0" distB="0" distL="0" distR="0" wp14:anchorId="1E8F5EE0" wp14:editId="5324A380">
            <wp:extent cx="5187950" cy="2684128"/>
            <wp:effectExtent l="0" t="0" r="0" b="2540"/>
            <wp:docPr id="72429490" name="Picture 1" descr="Rejection increasing over the ye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429490" name="Picture 1" descr="Rejection increasing over the year"/>
                    <pic:cNvPicPr/>
                  </pic:nvPicPr>
                  <pic:blipFill>
                    <a:blip r:embed="rId44"/>
                    <a:stretch>
                      <a:fillRect/>
                    </a:stretch>
                  </pic:blipFill>
                  <pic:spPr>
                    <a:xfrm>
                      <a:off x="0" y="0"/>
                      <a:ext cx="5199341" cy="2690021"/>
                    </a:xfrm>
                    <a:prstGeom prst="rect">
                      <a:avLst/>
                    </a:prstGeom>
                  </pic:spPr>
                </pic:pic>
              </a:graphicData>
            </a:graphic>
          </wp:inline>
        </w:drawing>
      </w:r>
    </w:p>
    <w:p w14:paraId="75B6F4CB" w14:textId="77777777" w:rsidR="00A812FA" w:rsidRPr="00FD62C4" w:rsidRDefault="00A812FA" w:rsidP="00A812FA">
      <w:pPr>
        <w:pStyle w:val="Normalaftertitle"/>
        <w:rPr>
          <w:rFonts w:eastAsia="Malgun Gothic"/>
          <w:lang w:eastAsia="ko-KR"/>
        </w:rPr>
      </w:pPr>
      <w:r w:rsidRPr="00FD62C4">
        <w:rPr>
          <w:rFonts w:eastAsia="Malgun Gothic"/>
          <w:lang w:eastAsia="ko-KR"/>
        </w:rPr>
        <w:t>With such high rejection, mobile operators face difficulties in developing their networks. Meanwhile, telecommunication networks are currently the key to the economic development of the community. On the other hand, the government continues to encourage mobile operators to increased accessibility for all citizens across the country.</w:t>
      </w:r>
    </w:p>
    <w:p w14:paraId="06DA0B02" w14:textId="6D377FBC" w:rsidR="00A812FA" w:rsidRPr="00FD62C4" w:rsidRDefault="006F012D" w:rsidP="00A812FA">
      <w:pPr>
        <w:rPr>
          <w:rFonts w:eastAsia="Malgun Gothic"/>
          <w:lang w:eastAsia="ko-KR"/>
        </w:rPr>
      </w:pPr>
      <w:r w:rsidRPr="00FD62C4">
        <w:rPr>
          <w:rFonts w:eastAsia="Malgun Gothic"/>
          <w:lang w:eastAsia="ko-KR"/>
        </w:rPr>
        <w:t>A</w:t>
      </w:r>
      <w:r w:rsidR="00A812FA" w:rsidRPr="00FD62C4">
        <w:rPr>
          <w:rFonts w:eastAsia="Malgun Gothic"/>
          <w:lang w:eastAsia="ko-KR"/>
        </w:rPr>
        <w:t xml:space="preserve"> deeper analysis</w:t>
      </w:r>
      <w:r w:rsidRPr="00FD62C4">
        <w:rPr>
          <w:rFonts w:eastAsia="Malgun Gothic"/>
          <w:lang w:eastAsia="ko-KR"/>
        </w:rPr>
        <w:t xml:space="preserve"> was</w:t>
      </w:r>
      <w:r w:rsidR="00A812FA" w:rsidRPr="00FD62C4">
        <w:rPr>
          <w:rFonts w:eastAsia="Malgun Gothic"/>
          <w:lang w:eastAsia="ko-KR"/>
        </w:rPr>
        <w:t xml:space="preserve"> </w:t>
      </w:r>
      <w:r w:rsidRPr="00FD62C4">
        <w:rPr>
          <w:rFonts w:eastAsia="Malgun Gothic"/>
          <w:lang w:eastAsia="ko-KR"/>
        </w:rPr>
        <w:t xml:space="preserve">conducted </w:t>
      </w:r>
      <w:r w:rsidR="00A812FA" w:rsidRPr="00FD62C4">
        <w:rPr>
          <w:rFonts w:eastAsia="Malgun Gothic"/>
          <w:lang w:eastAsia="ko-KR"/>
        </w:rPr>
        <w:t xml:space="preserve">to see the accuracy of the analysis results compared to the results of monitoring the use of frequencies in the field. The high rejection rate is caused by some applications </w:t>
      </w:r>
      <w:r w:rsidR="008E00ED" w:rsidRPr="00FD62C4">
        <w:rPr>
          <w:rFonts w:eastAsia="Malgun Gothic"/>
          <w:lang w:eastAsia="ko-KR"/>
        </w:rPr>
        <w:t>at</w:t>
      </w:r>
      <w:r w:rsidR="00A812FA" w:rsidRPr="00FD62C4">
        <w:rPr>
          <w:rFonts w:eastAsia="Malgun Gothic"/>
          <w:lang w:eastAsia="ko-KR"/>
        </w:rPr>
        <w:t xml:space="preserve"> the same location </w:t>
      </w:r>
      <w:r w:rsidR="008E00ED" w:rsidRPr="00FD62C4">
        <w:rPr>
          <w:rFonts w:eastAsia="Malgun Gothic"/>
          <w:lang w:eastAsia="ko-KR"/>
        </w:rPr>
        <w:t>being</w:t>
      </w:r>
      <w:r w:rsidR="00A812FA" w:rsidRPr="00FD62C4">
        <w:rPr>
          <w:rFonts w:eastAsia="Malgun Gothic"/>
          <w:lang w:eastAsia="ko-KR"/>
        </w:rPr>
        <w:t xml:space="preserve"> submitted with slightly different coordinate as a result of GPS measurements </w:t>
      </w:r>
      <w:r w:rsidR="00057419" w:rsidRPr="00FD62C4">
        <w:rPr>
          <w:rFonts w:eastAsia="Malgun Gothic"/>
          <w:lang w:eastAsia="ko-KR"/>
        </w:rPr>
        <w:t xml:space="preserve">taken </w:t>
      </w:r>
      <w:r w:rsidR="00A812FA" w:rsidRPr="00FD62C4">
        <w:rPr>
          <w:rFonts w:eastAsia="Malgun Gothic"/>
          <w:lang w:eastAsia="ko-KR"/>
        </w:rPr>
        <w:t xml:space="preserve">by different entities </w:t>
      </w:r>
      <w:r w:rsidR="00057419" w:rsidRPr="00FD62C4">
        <w:rPr>
          <w:rFonts w:eastAsia="Malgun Gothic"/>
          <w:lang w:eastAsia="ko-KR"/>
        </w:rPr>
        <w:t>at different</w:t>
      </w:r>
      <w:r w:rsidR="00A812FA" w:rsidRPr="00FD62C4">
        <w:rPr>
          <w:rFonts w:eastAsia="Malgun Gothic"/>
          <w:lang w:eastAsia="ko-KR"/>
        </w:rPr>
        <w:t xml:space="preserve"> times. The same GPS device can give slightly different results if measured at different times and conditions.</w:t>
      </w:r>
    </w:p>
    <w:p w14:paraId="75E4F78F" w14:textId="778FDD1D" w:rsidR="00A812FA" w:rsidRPr="00FD62C4" w:rsidRDefault="00A812FA" w:rsidP="00A812FA">
      <w:pPr>
        <w:rPr>
          <w:rFonts w:eastAsia="Malgun Gothic"/>
          <w:lang w:eastAsia="ko-KR"/>
        </w:rPr>
      </w:pPr>
      <w:r w:rsidRPr="00FD62C4">
        <w:rPr>
          <w:rFonts w:eastAsia="Malgun Gothic"/>
          <w:lang w:eastAsia="ko-KR"/>
        </w:rPr>
        <w:lastRenderedPageBreak/>
        <w:t xml:space="preserve">The technical analysis of the application for the use of microwave link frequencies is carried out on a first come, first-served basis. </w:t>
      </w:r>
      <w:r w:rsidR="00844EBD" w:rsidRPr="00FD62C4">
        <w:rPr>
          <w:rFonts w:eastAsia="Malgun Gothic"/>
          <w:lang w:eastAsia="ko-KR"/>
        </w:rPr>
        <w:t>When m</w:t>
      </w:r>
      <w:r w:rsidRPr="00FD62C4">
        <w:rPr>
          <w:rFonts w:eastAsia="Malgun Gothic"/>
          <w:lang w:eastAsia="ko-KR"/>
        </w:rPr>
        <w:t xml:space="preserve">obile operators, vendors, etc. want to submit a new microwave link frequency application, </w:t>
      </w:r>
      <w:r w:rsidR="002E17B1" w:rsidRPr="00FD62C4">
        <w:rPr>
          <w:rFonts w:eastAsia="Malgun Gothic"/>
          <w:lang w:eastAsia="ko-KR"/>
        </w:rPr>
        <w:t>they</w:t>
      </w:r>
      <w:r w:rsidRPr="00FD62C4">
        <w:rPr>
          <w:rFonts w:eastAsia="Malgun Gothic"/>
          <w:lang w:eastAsia="ko-KR"/>
        </w:rPr>
        <w:t xml:space="preserve"> re-measure the coordinates to ensure that the location is correct and submit the new application with 6-digit decimals accuracy to avoid imposing fines. </w:t>
      </w:r>
      <w:r w:rsidR="004D2555" w:rsidRPr="00FD62C4">
        <w:rPr>
          <w:rFonts w:eastAsia="Malgun Gothic"/>
          <w:lang w:eastAsia="ko-KR"/>
        </w:rPr>
        <w:t>It was</w:t>
      </w:r>
      <w:r w:rsidRPr="00FD62C4">
        <w:rPr>
          <w:rFonts w:eastAsia="Malgun Gothic"/>
          <w:lang w:eastAsia="ko-KR"/>
        </w:rPr>
        <w:t xml:space="preserve"> found </w:t>
      </w:r>
      <w:r w:rsidR="004D2555" w:rsidRPr="00FD62C4">
        <w:rPr>
          <w:rFonts w:eastAsia="Malgun Gothic"/>
          <w:lang w:eastAsia="ko-KR"/>
        </w:rPr>
        <w:t xml:space="preserve">that </w:t>
      </w:r>
      <w:r w:rsidRPr="00FD62C4">
        <w:rPr>
          <w:rFonts w:eastAsia="Malgun Gothic"/>
          <w:lang w:eastAsia="ko-KR"/>
        </w:rPr>
        <w:t>a tiny meter difference causes inaccuracies in the results of the technical analysis.</w:t>
      </w:r>
    </w:p>
    <w:p w14:paraId="6BFA0CC0" w14:textId="77777777" w:rsidR="00A812FA" w:rsidRPr="00FD62C4" w:rsidRDefault="00A812FA" w:rsidP="0056771B">
      <w:pPr>
        <w:pStyle w:val="FigureNo"/>
        <w:rPr>
          <w:lang w:eastAsia="ko-KR"/>
        </w:rPr>
      </w:pPr>
      <w:r w:rsidRPr="00FD62C4">
        <w:t xml:space="preserve">FIGURE </w:t>
      </w:r>
      <w:r w:rsidRPr="00FD62C4">
        <w:rPr>
          <w:lang w:eastAsia="zh-CN"/>
        </w:rPr>
        <w:t>A3-</w:t>
      </w:r>
      <w:r w:rsidRPr="00FD62C4">
        <w:t>3</w:t>
      </w:r>
    </w:p>
    <w:p w14:paraId="72C81FDA" w14:textId="0D6EBB27" w:rsidR="00A812FA" w:rsidRPr="00FD62C4" w:rsidRDefault="00A812FA" w:rsidP="00A812FA">
      <w:pPr>
        <w:pStyle w:val="Figuretitle"/>
        <w:rPr>
          <w:lang w:eastAsia="ko-KR"/>
        </w:rPr>
      </w:pPr>
      <w:r w:rsidRPr="00FD62C4">
        <w:rPr>
          <w:lang w:eastAsia="ko-KR"/>
        </w:rPr>
        <w:t>Illustration in the same tower</w:t>
      </w:r>
      <w:r w:rsidR="0013382C" w:rsidRPr="00FD62C4">
        <w:rPr>
          <w:lang w:eastAsia="ko-KR"/>
        </w:rPr>
        <w:t>, where</w:t>
      </w:r>
      <w:r w:rsidRPr="00FD62C4">
        <w:rPr>
          <w:lang w:eastAsia="ko-KR"/>
        </w:rPr>
        <w:t xml:space="preserve"> there are several licenses </w:t>
      </w:r>
      <w:r w:rsidR="00D57928" w:rsidRPr="00FD62C4">
        <w:rPr>
          <w:lang w:eastAsia="ko-KR"/>
        </w:rPr>
        <w:t>c</w:t>
      </w:r>
      <w:r w:rsidRPr="00FD62C4">
        <w:rPr>
          <w:lang w:eastAsia="ko-KR"/>
        </w:rPr>
        <w:t>oordinate with very small differences</w:t>
      </w:r>
    </w:p>
    <w:p w14:paraId="027AE303" w14:textId="77777777" w:rsidR="00A812FA" w:rsidRPr="00FD62C4" w:rsidRDefault="00A812FA" w:rsidP="00A812FA">
      <w:pPr>
        <w:pStyle w:val="Figure"/>
        <w:rPr>
          <w:rFonts w:eastAsia="Malgun Gothic"/>
        </w:rPr>
      </w:pPr>
      <w:r w:rsidRPr="00FD62C4">
        <w:rPr>
          <w:rFonts w:eastAsia="Malgun Gothic"/>
          <w:noProof/>
        </w:rPr>
        <w:drawing>
          <wp:inline distT="0" distB="0" distL="0" distR="0" wp14:anchorId="19FA28A1" wp14:editId="50D0A0AF">
            <wp:extent cx="2149146" cy="2298700"/>
            <wp:effectExtent l="0" t="0" r="3810" b="6350"/>
            <wp:docPr id="404950397" name="그림 17" descr="Illustration in the same tower, where there are several licenses coordinate with very small differen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950397" name="그림 17" descr="Illustration in the same tower, where there are several licenses coordinate with very small differences"/>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159128" cy="2309377"/>
                    </a:xfrm>
                    <a:prstGeom prst="rect">
                      <a:avLst/>
                    </a:prstGeom>
                    <a:noFill/>
                    <a:ln>
                      <a:noFill/>
                    </a:ln>
                  </pic:spPr>
                </pic:pic>
              </a:graphicData>
            </a:graphic>
          </wp:inline>
        </w:drawing>
      </w:r>
    </w:p>
    <w:p w14:paraId="3F63A476" w14:textId="58AE6ED7" w:rsidR="00A812FA" w:rsidRPr="00FD62C4" w:rsidRDefault="00A812FA" w:rsidP="00A812FA">
      <w:pPr>
        <w:pStyle w:val="Normalaftertitle"/>
        <w:rPr>
          <w:rFonts w:eastAsia="Malgun Gothic"/>
          <w:lang w:eastAsia="ko-KR"/>
        </w:rPr>
      </w:pPr>
      <w:r w:rsidRPr="00FD62C4">
        <w:rPr>
          <w:rFonts w:eastAsia="Malgun Gothic"/>
          <w:lang w:eastAsia="ko-KR"/>
        </w:rPr>
        <w:t xml:space="preserve">From the evaluation above, </w:t>
      </w:r>
      <w:r w:rsidR="000C67D8" w:rsidRPr="00FD62C4">
        <w:rPr>
          <w:rFonts w:eastAsia="Malgun Gothic"/>
          <w:lang w:eastAsia="ko-KR"/>
        </w:rPr>
        <w:t>it</w:t>
      </w:r>
      <w:r w:rsidR="00A91BFB" w:rsidRPr="00FD62C4">
        <w:rPr>
          <w:rFonts w:eastAsia="Malgun Gothic"/>
          <w:lang w:eastAsia="ko-KR"/>
        </w:rPr>
        <w:t xml:space="preserve"> </w:t>
      </w:r>
      <w:r w:rsidR="005920D3" w:rsidRPr="00FD62C4">
        <w:rPr>
          <w:rFonts w:eastAsia="Malgun Gothic"/>
          <w:lang w:eastAsia="ko-KR"/>
        </w:rPr>
        <w:t>is</w:t>
      </w:r>
      <w:r w:rsidRPr="00FD62C4">
        <w:rPr>
          <w:rFonts w:eastAsia="Malgun Gothic"/>
          <w:lang w:eastAsia="ko-KR"/>
        </w:rPr>
        <w:t xml:space="preserve"> </w:t>
      </w:r>
      <w:r w:rsidR="00A91BFB" w:rsidRPr="00FD62C4">
        <w:rPr>
          <w:rFonts w:eastAsia="Malgun Gothic"/>
          <w:lang w:eastAsia="ko-KR"/>
        </w:rPr>
        <w:t>retained</w:t>
      </w:r>
      <w:r w:rsidRPr="00FD62C4">
        <w:rPr>
          <w:rFonts w:eastAsia="Malgun Gothic"/>
          <w:lang w:eastAsia="ko-KR"/>
        </w:rPr>
        <w:t xml:space="preserve"> that more detailed coordinates do not always give the best technical analysis results.</w:t>
      </w:r>
    </w:p>
    <w:p w14:paraId="6CA90973" w14:textId="77777777" w:rsidR="00A812FA" w:rsidRPr="00FD62C4" w:rsidRDefault="00A812FA" w:rsidP="0056771B">
      <w:pPr>
        <w:pStyle w:val="FigureNo"/>
        <w:rPr>
          <w:lang w:eastAsia="ko-KR"/>
        </w:rPr>
      </w:pPr>
      <w:r w:rsidRPr="00FD62C4">
        <w:t xml:space="preserve">FIGURE </w:t>
      </w:r>
      <w:r w:rsidRPr="00FD62C4">
        <w:rPr>
          <w:lang w:eastAsia="zh-CN"/>
        </w:rPr>
        <w:t>A3-</w:t>
      </w:r>
      <w:r w:rsidRPr="00FD62C4">
        <w:t>4</w:t>
      </w:r>
    </w:p>
    <w:p w14:paraId="2BDC75AB" w14:textId="77777777" w:rsidR="00A812FA" w:rsidRPr="00FD62C4" w:rsidRDefault="00A812FA" w:rsidP="00A812FA">
      <w:pPr>
        <w:pStyle w:val="Figuretitle"/>
        <w:rPr>
          <w:rFonts w:asciiTheme="minorHAnsi" w:hAnsiTheme="minorHAnsi"/>
          <w:lang w:eastAsia="ko-KR"/>
        </w:rPr>
      </w:pPr>
      <w:r w:rsidRPr="00FD62C4">
        <w:rPr>
          <w:lang w:eastAsia="ko-KR"/>
        </w:rPr>
        <w:t>Illustration of the google plus code grid [1]</w:t>
      </w:r>
    </w:p>
    <w:p w14:paraId="2D638DEF" w14:textId="0FD82A52" w:rsidR="00545245" w:rsidRPr="00FD62C4" w:rsidRDefault="00545245" w:rsidP="00545245">
      <w:pPr>
        <w:pStyle w:val="Figure"/>
        <w:rPr>
          <w:lang w:eastAsia="ko-KR"/>
        </w:rPr>
      </w:pPr>
      <w:r w:rsidRPr="00FD62C4">
        <w:rPr>
          <w:noProof/>
          <w:lang w:eastAsia="ko-KR"/>
        </w:rPr>
        <w:drawing>
          <wp:inline distT="0" distB="0" distL="0" distR="0" wp14:anchorId="72DC4A6D" wp14:editId="0A20155D">
            <wp:extent cx="6120765" cy="1473835"/>
            <wp:effectExtent l="0" t="0" r="0" b="0"/>
            <wp:docPr id="1301232455" name="Picture 1" descr="Illustration of the google plus code gri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1232455" name="Picture 1" descr="Illustration of the google plus code grid [1]"/>
                    <pic:cNvPicPr/>
                  </pic:nvPicPr>
                  <pic:blipFill>
                    <a:blip r:embed="rId46"/>
                    <a:stretch>
                      <a:fillRect/>
                    </a:stretch>
                  </pic:blipFill>
                  <pic:spPr>
                    <a:xfrm>
                      <a:off x="0" y="0"/>
                      <a:ext cx="6120765" cy="1473835"/>
                    </a:xfrm>
                    <a:prstGeom prst="rect">
                      <a:avLst/>
                    </a:prstGeom>
                  </pic:spPr>
                </pic:pic>
              </a:graphicData>
            </a:graphic>
          </wp:inline>
        </w:drawing>
      </w:r>
    </w:p>
    <w:p w14:paraId="18803A82" w14:textId="16DF2DE0" w:rsidR="00A812FA" w:rsidRPr="00FD62C4" w:rsidRDefault="001B3740" w:rsidP="00A812FA">
      <w:pPr>
        <w:pStyle w:val="Normalaftertitle"/>
        <w:rPr>
          <w:rFonts w:eastAsia="Malgun Gothic"/>
          <w:lang w:eastAsia="ko-KR"/>
        </w:rPr>
      </w:pPr>
      <w:r w:rsidRPr="00FD62C4">
        <w:rPr>
          <w:rFonts w:eastAsia="Malgun Gothic"/>
          <w:lang w:eastAsia="ko-KR"/>
        </w:rPr>
        <w:t>All the station coordinate</w:t>
      </w:r>
      <w:r w:rsidR="00A14AED" w:rsidRPr="00FD62C4">
        <w:rPr>
          <w:rFonts w:eastAsia="Malgun Gothic"/>
          <w:lang w:eastAsia="ko-KR"/>
        </w:rPr>
        <w:t>s</w:t>
      </w:r>
      <w:r w:rsidR="00A812FA" w:rsidRPr="00FD62C4">
        <w:rPr>
          <w:rFonts w:eastAsia="Malgun Gothic"/>
          <w:lang w:eastAsia="ko-KR"/>
        </w:rPr>
        <w:t xml:space="preserve"> are remapp</w:t>
      </w:r>
      <w:r w:rsidR="00A14AED" w:rsidRPr="00FD62C4">
        <w:rPr>
          <w:rFonts w:eastAsia="Malgun Gothic"/>
          <w:lang w:eastAsia="ko-KR"/>
        </w:rPr>
        <w:t>ed</w:t>
      </w:r>
      <w:r w:rsidR="00A812FA" w:rsidRPr="00FD62C4">
        <w:rPr>
          <w:rFonts w:eastAsia="Malgun Gothic"/>
          <w:lang w:eastAsia="ko-KR"/>
        </w:rPr>
        <w:t xml:space="preserve"> and cluster</w:t>
      </w:r>
      <w:r w:rsidR="00A14AED" w:rsidRPr="00FD62C4">
        <w:rPr>
          <w:rFonts w:eastAsia="Malgun Gothic"/>
          <w:lang w:eastAsia="ko-KR"/>
        </w:rPr>
        <w:t>ed</w:t>
      </w:r>
      <w:r w:rsidR="00A812FA" w:rsidRPr="00FD62C4">
        <w:rPr>
          <w:rFonts w:eastAsia="Malgun Gothic"/>
          <w:lang w:eastAsia="ko-KR"/>
        </w:rPr>
        <w:t xml:space="preserve"> </w:t>
      </w:r>
      <w:r w:rsidR="00A14AED" w:rsidRPr="00FD62C4">
        <w:rPr>
          <w:rFonts w:eastAsia="Malgun Gothic"/>
          <w:lang w:eastAsia="ko-KR"/>
        </w:rPr>
        <w:t>in</w:t>
      </w:r>
      <w:r w:rsidR="00A812FA" w:rsidRPr="00FD62C4">
        <w:rPr>
          <w:rFonts w:eastAsia="Malgun Gothic"/>
          <w:lang w:eastAsia="ko-KR"/>
        </w:rPr>
        <w:t>to the spectrum grid</w:t>
      </w:r>
      <w:r w:rsidR="00A14AED" w:rsidRPr="00FD62C4">
        <w:rPr>
          <w:rFonts w:eastAsia="Malgun Gothic"/>
          <w:lang w:eastAsia="ko-KR"/>
        </w:rPr>
        <w:t>,</w:t>
      </w:r>
      <w:r w:rsidR="00A812FA" w:rsidRPr="00FD62C4">
        <w:rPr>
          <w:rFonts w:eastAsia="Malgun Gothic"/>
          <w:lang w:eastAsia="ko-KR"/>
        </w:rPr>
        <w:t xml:space="preserve"> and the technical analysis </w:t>
      </w:r>
      <w:r w:rsidR="00B46C89" w:rsidRPr="00FD62C4">
        <w:rPr>
          <w:rFonts w:eastAsia="Malgun Gothic"/>
          <w:lang w:eastAsia="ko-KR"/>
        </w:rPr>
        <w:t>is conducted using</w:t>
      </w:r>
      <w:r w:rsidR="00A812FA" w:rsidRPr="00FD62C4">
        <w:rPr>
          <w:rFonts w:eastAsia="Malgun Gothic"/>
          <w:lang w:eastAsia="ko-KR"/>
        </w:rPr>
        <w:t xml:space="preserve"> the centre of the grid.</w:t>
      </w:r>
    </w:p>
    <w:p w14:paraId="0A513970" w14:textId="77777777" w:rsidR="00A812FA" w:rsidRPr="00FD62C4" w:rsidRDefault="00A812FA" w:rsidP="0056771B">
      <w:pPr>
        <w:pStyle w:val="FigureNo"/>
        <w:rPr>
          <w:lang w:eastAsia="ko-KR"/>
        </w:rPr>
      </w:pPr>
      <w:r w:rsidRPr="00FD62C4">
        <w:lastRenderedPageBreak/>
        <w:t xml:space="preserve">FIGURE </w:t>
      </w:r>
      <w:r w:rsidRPr="00FD62C4">
        <w:rPr>
          <w:lang w:eastAsia="zh-CN"/>
        </w:rPr>
        <w:t>A3-</w:t>
      </w:r>
      <w:r w:rsidRPr="00FD62C4">
        <w:t>5</w:t>
      </w:r>
    </w:p>
    <w:p w14:paraId="6915379B" w14:textId="77777777" w:rsidR="00A812FA" w:rsidRPr="00FD62C4" w:rsidRDefault="00A812FA" w:rsidP="00A812FA">
      <w:pPr>
        <w:pStyle w:val="Figuretitle"/>
        <w:rPr>
          <w:lang w:eastAsia="ko-KR"/>
        </w:rPr>
      </w:pPr>
      <w:r w:rsidRPr="00FD62C4">
        <w:rPr>
          <w:lang w:eastAsia="ko-KR"/>
        </w:rPr>
        <w:t>Illustration of technical analysis comparison with spectrum grid</w:t>
      </w:r>
    </w:p>
    <w:p w14:paraId="6E031ECE" w14:textId="77777777" w:rsidR="00A812FA" w:rsidRPr="00FD62C4" w:rsidRDefault="00A812FA" w:rsidP="00A812FA">
      <w:pPr>
        <w:pStyle w:val="Figure"/>
        <w:rPr>
          <w:rFonts w:eastAsia="Malgun Gothic"/>
        </w:rPr>
      </w:pPr>
      <w:r w:rsidRPr="00FD62C4">
        <w:rPr>
          <w:rFonts w:eastAsia="Malgun Gothic"/>
          <w:noProof/>
        </w:rPr>
        <mc:AlternateContent>
          <mc:Choice Requires="wps">
            <w:drawing>
              <wp:anchor distT="0" distB="0" distL="114300" distR="114300" simplePos="0" relativeHeight="251659264" behindDoc="0" locked="0" layoutInCell="1" allowOverlap="1" wp14:anchorId="49F9DA54" wp14:editId="1139B3F7">
                <wp:simplePos x="0" y="0"/>
                <wp:positionH relativeFrom="column">
                  <wp:posOffset>3775710</wp:posOffset>
                </wp:positionH>
                <wp:positionV relativeFrom="paragraph">
                  <wp:posOffset>1118870</wp:posOffset>
                </wp:positionV>
                <wp:extent cx="371475" cy="371475"/>
                <wp:effectExtent l="0" t="0" r="28575" b="28575"/>
                <wp:wrapNone/>
                <wp:docPr id="455325853" name="직사각형 13"/>
                <wp:cNvGraphicFramePr/>
                <a:graphic xmlns:a="http://schemas.openxmlformats.org/drawingml/2006/main">
                  <a:graphicData uri="http://schemas.microsoft.com/office/word/2010/wordprocessingShape">
                    <wps:wsp>
                      <wps:cNvSpPr/>
                      <wps:spPr>
                        <a:xfrm>
                          <a:off x="0" y="0"/>
                          <a:ext cx="371475" cy="37147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92FAD7F" id="직사각형 13" o:spid="_x0000_s1026" style="position:absolute;margin-left:297.3pt;margin-top:88.1pt;width:29.25pt;height:29.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" filled="f" strokecolor="#243f60 [1604]" strokeweight="2pt"/>
            </w:pict>
          </mc:Fallback>
        </mc:AlternateContent>
      </w:r>
      <w:r w:rsidRPr="00FD62C4">
        <w:rPr>
          <w:rFonts w:eastAsia="Malgun Gothic"/>
          <w:noProof/>
        </w:rPr>
        <w:drawing>
          <wp:inline distT="0" distB="0" distL="0" distR="0" wp14:anchorId="6DB9D056" wp14:editId="112C1943">
            <wp:extent cx="5143500" cy="2232660"/>
            <wp:effectExtent l="0" t="0" r="0" b="0"/>
            <wp:docPr id="393246830" name="그림 22" descr="Illustration of technical analysis comparison with spectrum gr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246830" name="그림 22" descr="Illustration of technical analysis comparison with spectrum grid"/>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143500" cy="2232660"/>
                    </a:xfrm>
                    <a:prstGeom prst="rect">
                      <a:avLst/>
                    </a:prstGeom>
                    <a:noFill/>
                    <a:ln>
                      <a:noFill/>
                    </a:ln>
                  </pic:spPr>
                </pic:pic>
              </a:graphicData>
            </a:graphic>
          </wp:inline>
        </w:drawing>
      </w:r>
    </w:p>
    <w:p w14:paraId="08C1BB73" w14:textId="77777777" w:rsidR="00A812FA" w:rsidRPr="00FD62C4" w:rsidRDefault="00A812FA" w:rsidP="00A812FA">
      <w:pPr>
        <w:pStyle w:val="Normalaftertitle"/>
        <w:rPr>
          <w:rFonts w:eastAsia="Malgun Gothic"/>
          <w:lang w:eastAsia="ko-KR"/>
        </w:rPr>
      </w:pPr>
      <w:r w:rsidRPr="00FD62C4">
        <w:rPr>
          <w:rFonts w:eastAsia="Malgun Gothic"/>
          <w:lang w:eastAsia="ko-KR"/>
        </w:rPr>
        <w:t>This effort has decreased the rejection rate without compromising the quality of the interference analysis.</w:t>
      </w:r>
    </w:p>
    <w:p w14:paraId="0B40F2F0" w14:textId="77777777" w:rsidR="00A812FA" w:rsidRPr="00FD62C4" w:rsidRDefault="00A812FA" w:rsidP="0056771B">
      <w:pPr>
        <w:pStyle w:val="FigureNo"/>
        <w:rPr>
          <w:lang w:eastAsia="ko-KR"/>
        </w:rPr>
      </w:pPr>
      <w:r w:rsidRPr="00FD62C4">
        <w:t xml:space="preserve">FIGURE </w:t>
      </w:r>
      <w:r w:rsidRPr="00FD62C4">
        <w:rPr>
          <w:lang w:eastAsia="zh-CN"/>
        </w:rPr>
        <w:t>A3-</w:t>
      </w:r>
      <w:r w:rsidRPr="00FD62C4">
        <w:rPr>
          <w:lang w:eastAsia="ko-KR"/>
        </w:rPr>
        <w:t>6</w:t>
      </w:r>
    </w:p>
    <w:p w14:paraId="55B49197" w14:textId="38B39794" w:rsidR="00A812FA" w:rsidRPr="00FD62C4" w:rsidRDefault="00A812FA" w:rsidP="00A812FA">
      <w:pPr>
        <w:pStyle w:val="Figuretitle"/>
        <w:rPr>
          <w:lang w:eastAsia="ko-KR"/>
        </w:rPr>
      </w:pPr>
      <w:r w:rsidRPr="00FD62C4">
        <w:rPr>
          <w:lang w:eastAsia="ko-KR"/>
        </w:rPr>
        <w:t>Rejection decreasing after</w:t>
      </w:r>
      <w:r w:rsidR="00930E33" w:rsidRPr="00FD62C4">
        <w:rPr>
          <w:lang w:eastAsia="ko-KR"/>
        </w:rPr>
        <w:t xml:space="preserve"> the</w:t>
      </w:r>
      <w:r w:rsidRPr="00FD62C4">
        <w:rPr>
          <w:lang w:eastAsia="ko-KR"/>
        </w:rPr>
        <w:t xml:space="preserve"> implementation of </w:t>
      </w:r>
      <w:r w:rsidR="00930E33" w:rsidRPr="00FD62C4">
        <w:rPr>
          <w:lang w:eastAsia="ko-KR"/>
        </w:rPr>
        <w:t>the</w:t>
      </w:r>
      <w:r w:rsidR="00CB0B22" w:rsidRPr="00FD62C4">
        <w:rPr>
          <w:lang w:eastAsia="ko-KR"/>
        </w:rPr>
        <w:t xml:space="preserve"> </w:t>
      </w:r>
      <w:r w:rsidRPr="00FD62C4">
        <w:rPr>
          <w:lang w:eastAsia="ko-KR"/>
        </w:rPr>
        <w:t>spectrum grid</w:t>
      </w:r>
    </w:p>
    <w:p w14:paraId="0B4234BC" w14:textId="77777777" w:rsidR="00A812FA" w:rsidRPr="00FD62C4" w:rsidRDefault="00A812FA" w:rsidP="00A812FA">
      <w:pPr>
        <w:pStyle w:val="Figure"/>
        <w:rPr>
          <w:rFonts w:eastAsia="Malgun Gothic"/>
        </w:rPr>
      </w:pPr>
      <w:r w:rsidRPr="00FD62C4">
        <w:rPr>
          <w:rFonts w:eastAsia="Malgun Gothic"/>
          <w:noProof/>
        </w:rPr>
        <w:drawing>
          <wp:inline distT="0" distB="0" distL="0" distR="0" wp14:anchorId="4F331F07" wp14:editId="5EA8F6CB">
            <wp:extent cx="4625340" cy="2747920"/>
            <wp:effectExtent l="0" t="0" r="3810" b="0"/>
            <wp:docPr id="3" name="그림 3" descr="Rejection decreasing after the implementation of the spectrum gr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그림 3" descr="Rejection decreasing after the implementation of the spectrum grid"/>
                    <pic:cNvPicPr/>
                  </pic:nvPicPr>
                  <pic:blipFill>
                    <a:blip r:embed="rId48">
                      <a:extLst>
                        <a:ext uri="{28A0092B-C50C-407E-A947-70E740481C1C}">
                          <a14:useLocalDpi xmlns:a14="http://schemas.microsoft.com/office/drawing/2010/main" val="0"/>
                        </a:ext>
                      </a:extLst>
                    </a:blip>
                    <a:stretch>
                      <a:fillRect/>
                    </a:stretch>
                  </pic:blipFill>
                  <pic:spPr>
                    <a:xfrm>
                      <a:off x="0" y="0"/>
                      <a:ext cx="4644266" cy="2759164"/>
                    </a:xfrm>
                    <a:prstGeom prst="rect">
                      <a:avLst/>
                    </a:prstGeom>
                  </pic:spPr>
                </pic:pic>
              </a:graphicData>
            </a:graphic>
          </wp:inline>
        </w:drawing>
      </w:r>
    </w:p>
    <w:p w14:paraId="05EDD2D6" w14:textId="77777777" w:rsidR="00A812FA" w:rsidRPr="00FD62C4" w:rsidRDefault="00A812FA" w:rsidP="00A812FA">
      <w:pPr>
        <w:pStyle w:val="Headingb"/>
        <w:rPr>
          <w:rFonts w:eastAsia="MS Mincho"/>
        </w:rPr>
      </w:pPr>
      <w:r w:rsidRPr="00FD62C4">
        <w:t>Spectrum availability</w:t>
      </w:r>
    </w:p>
    <w:p w14:paraId="0FBE1A9C" w14:textId="02FD71CA" w:rsidR="00A812FA" w:rsidRPr="00FD62C4" w:rsidRDefault="00A812FA" w:rsidP="00A812FA">
      <w:pPr>
        <w:rPr>
          <w:lang w:eastAsia="zh-CN"/>
        </w:rPr>
      </w:pPr>
      <w:r w:rsidRPr="00FD62C4">
        <w:rPr>
          <w:lang w:eastAsia="zh-CN"/>
        </w:rPr>
        <w:t>Utilising the frequency-licensed data mapped within the spectrum grid, the available spectrum frequencies</w:t>
      </w:r>
      <w:r w:rsidR="00E31ABD" w:rsidRPr="00FD62C4">
        <w:rPr>
          <w:lang w:eastAsia="zh-CN"/>
        </w:rPr>
        <w:t xml:space="preserve"> may be ascertained</w:t>
      </w:r>
      <w:r w:rsidRPr="00FD62C4">
        <w:rPr>
          <w:lang w:eastAsia="zh-CN"/>
        </w:rPr>
        <w:t>. Such data can be utilised in the microwave link licensing (fixed service), which presently has numerous requests for channel usage within the frequency band. Additional information is provided in Fig</w:t>
      </w:r>
      <w:r w:rsidR="00CB0B22" w:rsidRPr="00FD62C4">
        <w:rPr>
          <w:lang w:eastAsia="zh-CN"/>
        </w:rPr>
        <w:t>.</w:t>
      </w:r>
      <w:r w:rsidRPr="00FD62C4">
        <w:rPr>
          <w:lang w:eastAsia="zh-CN"/>
        </w:rPr>
        <w:t xml:space="preserve"> A3-</w:t>
      </w:r>
      <w:r w:rsidRPr="00FD62C4">
        <w:rPr>
          <w:lang w:eastAsia="ko-KR"/>
        </w:rPr>
        <w:t>7</w:t>
      </w:r>
      <w:r w:rsidRPr="00FD62C4">
        <w:rPr>
          <w:lang w:eastAsia="zh-CN"/>
        </w:rPr>
        <w:t>.</w:t>
      </w:r>
    </w:p>
    <w:p w14:paraId="0B0F955D" w14:textId="3F64FB7B" w:rsidR="00A812FA" w:rsidRPr="00FD62C4" w:rsidRDefault="004048D3" w:rsidP="00A812FA">
      <w:pPr>
        <w:pStyle w:val="FigureNo"/>
        <w:rPr>
          <w:lang w:eastAsia="ko-KR"/>
        </w:rPr>
      </w:pPr>
      <w:r w:rsidRPr="0056771B">
        <w:lastRenderedPageBreak/>
        <w:t>FIGURE</w:t>
      </w:r>
      <w:r w:rsidR="00A812FA" w:rsidRPr="00FD62C4">
        <w:rPr>
          <w:lang w:eastAsia="zh-CN"/>
        </w:rPr>
        <w:t xml:space="preserve"> A3-</w:t>
      </w:r>
      <w:r w:rsidR="00A812FA" w:rsidRPr="00FD62C4">
        <w:rPr>
          <w:lang w:eastAsia="ko-KR"/>
        </w:rPr>
        <w:t>7</w:t>
      </w:r>
    </w:p>
    <w:p w14:paraId="6FE1B739" w14:textId="77777777" w:rsidR="00A812FA" w:rsidRPr="00FD62C4" w:rsidRDefault="00A812FA" w:rsidP="00A812FA">
      <w:pPr>
        <w:pStyle w:val="Figuretitle"/>
        <w:rPr>
          <w:lang w:eastAsia="zh-CN"/>
        </w:rPr>
      </w:pPr>
      <w:r w:rsidRPr="00FD62C4">
        <w:rPr>
          <w:lang w:eastAsia="zh-CN"/>
        </w:rPr>
        <w:t>Spectrum availability</w:t>
      </w:r>
    </w:p>
    <w:p w14:paraId="413EE684" w14:textId="77777777" w:rsidR="00A812FA" w:rsidRPr="00FD62C4" w:rsidRDefault="00A812FA" w:rsidP="00A812FA">
      <w:pPr>
        <w:pStyle w:val="Figure"/>
      </w:pPr>
      <w:r w:rsidRPr="00FD62C4">
        <w:rPr>
          <w:noProof/>
        </w:rPr>
        <w:drawing>
          <wp:inline distT="0" distB="0" distL="0" distR="0" wp14:anchorId="0DAB8245" wp14:editId="5E2498BD">
            <wp:extent cx="4914900" cy="2609850"/>
            <wp:effectExtent l="0" t="0" r="0" b="0"/>
            <wp:docPr id="8" name="그림 8" descr="Spectrum availabi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그림 8" descr="Spectrum availability"/>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914900" cy="2609850"/>
                    </a:xfrm>
                    <a:prstGeom prst="rect">
                      <a:avLst/>
                    </a:prstGeom>
                    <a:noFill/>
                    <a:ln>
                      <a:noFill/>
                    </a:ln>
                  </pic:spPr>
                </pic:pic>
              </a:graphicData>
            </a:graphic>
          </wp:inline>
        </w:drawing>
      </w:r>
    </w:p>
    <w:p w14:paraId="251E2382" w14:textId="061C53B3" w:rsidR="00A812FA" w:rsidRPr="00FD62C4" w:rsidRDefault="009168F9" w:rsidP="00106794">
      <w:pPr>
        <w:pStyle w:val="Normalaftertitle"/>
        <w:rPr>
          <w:lang w:eastAsia="zh-CN"/>
        </w:rPr>
      </w:pPr>
      <w:r w:rsidRPr="00FD62C4">
        <w:rPr>
          <w:lang w:eastAsia="zh-CN"/>
        </w:rPr>
        <w:t>In Fig. A3-7, d</w:t>
      </w:r>
      <w:r w:rsidR="00A812FA" w:rsidRPr="00FD62C4">
        <w:rPr>
          <w:lang w:eastAsia="zh-CN"/>
        </w:rPr>
        <w:t xml:space="preserve">uplex frequency in </w:t>
      </w:r>
      <w:r w:rsidR="00A812FA" w:rsidRPr="00106794">
        <w:rPr>
          <w:rFonts w:eastAsia="Malgun Gothic"/>
          <w:lang w:eastAsia="ko-KR"/>
        </w:rPr>
        <w:t>the</w:t>
      </w:r>
      <w:r w:rsidR="00A812FA" w:rsidRPr="00FD62C4">
        <w:rPr>
          <w:lang w:eastAsia="zh-CN"/>
        </w:rPr>
        <w:t xml:space="preserve"> yellow station is the new link, and duplex frequencies in the red station are the existing link. For example, in the channelling plan of Indonesia, 12.75-13.25 GHz with a bandwidth of 56 MHz, the existing link of these channels has been mapped. Users could select specific geographical areas, such as a village or a particular section of the spectrum grid. After that, users might choose what kind of channelling plan they want to analyse. In this case, users select a specific area of the spectrum grid and then specify the frequency range of 12.75-13.25 GHz; the groups of red stations and the corresponding link will be displayed. Users could see instantly what kind of channel was available. This is the web-based version. In the future, Indonesia will incorporate it with mobile applications and utilise artificial intelligence.</w:t>
      </w:r>
    </w:p>
    <w:p w14:paraId="1044E5A1" w14:textId="24A57E6A" w:rsidR="00A812FA" w:rsidRPr="00FD62C4" w:rsidRDefault="00A812FA" w:rsidP="00F91225">
      <w:pPr>
        <w:pStyle w:val="Heading2"/>
        <w:rPr>
          <w:lang w:eastAsia="zh-CN"/>
        </w:rPr>
      </w:pPr>
      <w:bookmarkStart w:id="143" w:name="_Toc232493300"/>
      <w:bookmarkStart w:id="144" w:name="_Toc235620227"/>
      <w:r w:rsidRPr="00FD62C4">
        <w:rPr>
          <w:lang w:eastAsia="zh-CN"/>
        </w:rPr>
        <w:t>A3</w:t>
      </w:r>
      <w:r w:rsidR="006F13E6" w:rsidRPr="00FD62C4">
        <w:rPr>
          <w:lang w:eastAsia="zh-CN"/>
        </w:rPr>
        <w:t>.</w:t>
      </w:r>
      <w:r w:rsidRPr="00FD62C4">
        <w:rPr>
          <w:lang w:eastAsia="zh-CN"/>
        </w:rPr>
        <w:t>3</w:t>
      </w:r>
      <w:r w:rsidRPr="00FD62C4">
        <w:rPr>
          <w:lang w:eastAsia="zh-CN"/>
        </w:rPr>
        <w:tab/>
      </w:r>
      <w:r w:rsidRPr="00F91225">
        <w:t>Summary</w:t>
      </w:r>
      <w:bookmarkEnd w:id="143"/>
      <w:bookmarkEnd w:id="144"/>
    </w:p>
    <w:p w14:paraId="3E2A1C31" w14:textId="5BF9B3AC" w:rsidR="00A812FA" w:rsidRPr="00FD62C4" w:rsidRDefault="00A812FA" w:rsidP="00A812FA">
      <w:r w:rsidRPr="00FD62C4">
        <w:rPr>
          <w:lang w:eastAsia="zh-CN"/>
        </w:rPr>
        <w:t>Implementation of a spectrum grid in the search for spectrum availability has potential benefits to increase the quality of users’ experience and economic spectrum management. Spectrum grids need to be integrated with other systems and other data such as populations, economies, trends</w:t>
      </w:r>
      <w:r w:rsidR="00BB02A8" w:rsidRPr="00FD62C4">
        <w:rPr>
          <w:lang w:eastAsia="zh-CN"/>
        </w:rPr>
        <w:t xml:space="preserve"> and</w:t>
      </w:r>
      <w:r w:rsidRPr="00FD62C4">
        <w:rPr>
          <w:lang w:eastAsia="zh-CN"/>
        </w:rPr>
        <w:t xml:space="preserve"> equipment. The greater the data mapped in the grid, the higher its potential for advancing economic applications, industrial projections and even artificial intelligence inside the spectrum.</w:t>
      </w:r>
    </w:p>
    <w:p w14:paraId="7088614F" w14:textId="391989DB" w:rsidR="00A812FA" w:rsidRPr="00FD62C4" w:rsidRDefault="006F13E6" w:rsidP="0056771B">
      <w:pPr>
        <w:pStyle w:val="Reftitle"/>
        <w:outlineLvl w:val="0"/>
        <w:rPr>
          <w:lang w:eastAsia="zh-CN"/>
        </w:rPr>
      </w:pPr>
      <w:r w:rsidRPr="00FD62C4">
        <w:rPr>
          <w:lang w:eastAsia="zh-CN"/>
        </w:rPr>
        <w:t>R</w:t>
      </w:r>
      <w:r w:rsidR="00A812FA" w:rsidRPr="00FD62C4">
        <w:rPr>
          <w:lang w:eastAsia="zh-CN"/>
        </w:rPr>
        <w:t>eference</w:t>
      </w:r>
    </w:p>
    <w:p w14:paraId="3B0A07EA" w14:textId="77777777" w:rsidR="00A812FA" w:rsidRPr="00FD62C4" w:rsidRDefault="00A812FA" w:rsidP="00A812FA">
      <w:pPr>
        <w:pStyle w:val="Reftext"/>
        <w:spacing w:before="360"/>
        <w:rPr>
          <w:lang w:eastAsia="zh-CN"/>
        </w:rPr>
      </w:pPr>
      <w:r w:rsidRPr="00FD62C4">
        <w:rPr>
          <w:lang w:eastAsia="zh-CN"/>
        </w:rPr>
        <w:t>[1]</w:t>
      </w:r>
      <w:r w:rsidRPr="00FD62C4">
        <w:rPr>
          <w:lang w:eastAsia="zh-CN"/>
        </w:rPr>
        <w:tab/>
      </w:r>
      <w:hyperlink r:id="rId50" w:history="1">
        <w:r w:rsidRPr="00FD62C4">
          <w:rPr>
            <w:rStyle w:val="Hyperlink"/>
            <w:lang w:eastAsia="zh-CN"/>
          </w:rPr>
          <w:t>https://maps.google.com/pluscodes/technology/</w:t>
        </w:r>
      </w:hyperlink>
    </w:p>
    <w:p w14:paraId="0ADE6B5C" w14:textId="5BE3B735" w:rsidR="00A812FA" w:rsidRPr="00FD62C4" w:rsidRDefault="00A812FA" w:rsidP="00F77084">
      <w:pPr>
        <w:rPr>
          <w:lang w:eastAsia="ko-KR"/>
        </w:rPr>
      </w:pPr>
      <w:bookmarkStart w:id="145" w:name="_Toc181881790"/>
      <w:bookmarkStart w:id="146" w:name="_Toc182401814"/>
      <w:bookmarkEnd w:id="139"/>
      <w:bookmarkEnd w:id="140"/>
    </w:p>
    <w:p w14:paraId="1E9A1457" w14:textId="77777777" w:rsidR="00F77084" w:rsidRPr="00FD62C4" w:rsidRDefault="00F77084" w:rsidP="0074289E">
      <w:pPr>
        <w:rPr>
          <w:rFonts w:eastAsiaTheme="minorEastAsia"/>
          <w:lang w:eastAsia="ko-KR"/>
        </w:rPr>
      </w:pPr>
    </w:p>
    <w:p w14:paraId="11C9699D" w14:textId="77777777" w:rsidR="00A812FA" w:rsidRPr="00FD62C4" w:rsidRDefault="00A812FA" w:rsidP="009314CB">
      <w:pPr>
        <w:pStyle w:val="AnnexNoTitle"/>
        <w:rPr>
          <w:lang w:eastAsia="ko-KR"/>
        </w:rPr>
      </w:pPr>
      <w:bookmarkStart w:id="147" w:name="_Toc232493301"/>
      <w:bookmarkStart w:id="148" w:name="_Toc235620228"/>
      <w:r w:rsidRPr="00FD62C4">
        <w:rPr>
          <w:color w:val="000000" w:themeColor="text1"/>
          <w:lang w:eastAsia="ko-KR"/>
        </w:rPr>
        <w:lastRenderedPageBreak/>
        <w:t xml:space="preserve">Annex </w:t>
      </w:r>
      <w:r w:rsidRPr="00FD62C4">
        <w:rPr>
          <w:lang w:eastAsia="ko-KR"/>
        </w:rPr>
        <w:t xml:space="preserve">4 </w:t>
      </w:r>
      <w:r w:rsidRPr="00FD62C4">
        <w:rPr>
          <w:lang w:eastAsia="ko-KR"/>
        </w:rPr>
        <w:br/>
      </w:r>
      <w:r w:rsidRPr="00FD62C4">
        <w:rPr>
          <w:lang w:eastAsia="ko-KR"/>
        </w:rPr>
        <w:br/>
        <w:t xml:space="preserve">Case studies from Brazil </w:t>
      </w:r>
      <w:r w:rsidRPr="00FD62C4">
        <w:rPr>
          <w:lang w:eastAsia="zh-CN"/>
        </w:rPr>
        <w:t>(Federative Republic of)</w:t>
      </w:r>
      <w:bookmarkEnd w:id="145"/>
      <w:bookmarkEnd w:id="146"/>
      <w:bookmarkEnd w:id="147"/>
      <w:bookmarkEnd w:id="148"/>
    </w:p>
    <w:p w14:paraId="76E5608F" w14:textId="753C1627" w:rsidR="00A812FA" w:rsidRPr="00FD62C4" w:rsidRDefault="00A812FA" w:rsidP="009314CB">
      <w:pPr>
        <w:pStyle w:val="Normalaftertitle"/>
        <w:keepNext/>
        <w:keepLines/>
        <w:rPr>
          <w:lang w:eastAsia="ko-KR"/>
        </w:rPr>
      </w:pPr>
      <w:r w:rsidRPr="00FD62C4">
        <w:rPr>
          <w:rFonts w:eastAsia="Malgun Gothic"/>
          <w:lang w:eastAsia="ko-KR"/>
        </w:rPr>
        <w:t>This Annex contains information on the development of a Spectrum Utilization Efficiency (SUE) data collection system in Brazil, as a means to compute spectrum usage (</w:t>
      </w:r>
      <w:r w:rsidRPr="00FD62C4">
        <w:rPr>
          <w:rFonts w:eastAsia="Malgun Gothic"/>
          <w:i/>
          <w:iCs/>
          <w:lang w:eastAsia="ko-KR"/>
        </w:rPr>
        <w:t>R</w:t>
      </w:r>
      <w:r w:rsidRPr="00FD62C4">
        <w:rPr>
          <w:rFonts w:eastAsia="Malgun Gothic"/>
          <w:lang w:eastAsia="ko-KR"/>
        </w:rPr>
        <w:t xml:space="preserve">) in direct application of the methodology described in </w:t>
      </w:r>
      <w:r w:rsidR="00F61E4F" w:rsidRPr="00FD62C4">
        <w:rPr>
          <w:rFonts w:eastAsia="Malgun Gothic"/>
          <w:lang w:eastAsia="ko-KR"/>
        </w:rPr>
        <w:t>§</w:t>
      </w:r>
      <w:r w:rsidRPr="00FD62C4">
        <w:rPr>
          <w:rFonts w:eastAsia="Malgun Gothic"/>
          <w:lang w:eastAsia="ko-KR"/>
        </w:rPr>
        <w:t xml:space="preserve"> </w:t>
      </w:r>
      <w:r w:rsidRPr="00FD62C4">
        <w:rPr>
          <w:lang w:eastAsia="zh-CN"/>
        </w:rPr>
        <w:t>A1</w:t>
      </w:r>
      <w:r w:rsidR="001C4FFD" w:rsidRPr="00FD62C4">
        <w:rPr>
          <w:lang w:eastAsia="zh-CN"/>
        </w:rPr>
        <w:t>.</w:t>
      </w:r>
      <w:r w:rsidRPr="00FD62C4">
        <w:rPr>
          <w:rFonts w:eastAsia="Malgun Gothic"/>
          <w:lang w:eastAsia="ko-KR"/>
        </w:rPr>
        <w:t>3.1. Brazil administration intends to format follow-ups to an Annex proposal in a future contribution.</w:t>
      </w:r>
    </w:p>
    <w:p w14:paraId="58B63473" w14:textId="77777777" w:rsidR="00A812FA" w:rsidRPr="00FD62C4" w:rsidRDefault="00A812FA" w:rsidP="00A812FA">
      <w:pPr>
        <w:pStyle w:val="Headingb"/>
        <w:rPr>
          <w:rFonts w:eastAsia="Malgun Gothic"/>
        </w:rPr>
      </w:pPr>
      <w:r w:rsidRPr="00FD62C4">
        <w:rPr>
          <w:rFonts w:eastAsia="Malgun Gothic"/>
        </w:rPr>
        <w:t>Background</w:t>
      </w:r>
    </w:p>
    <w:p w14:paraId="61070C32" w14:textId="77777777" w:rsidR="00A812FA" w:rsidRPr="00FD62C4" w:rsidRDefault="00A812FA" w:rsidP="00A812FA">
      <w:pPr>
        <w:rPr>
          <w:rFonts w:eastAsia="Malgun Gothic"/>
          <w:lang w:eastAsia="ko-KR"/>
        </w:rPr>
      </w:pPr>
      <w:r w:rsidRPr="00FD62C4">
        <w:rPr>
          <w:rFonts w:eastAsia="Malgun Gothic"/>
          <w:lang w:eastAsia="ko-KR"/>
        </w:rPr>
        <w:t>Since 2011, the Brazilian telecommunications regulatory authority, Anatel, has been conducting the evaluation of the SUE of telecommunications service providers. This evaluation is based on spectrum licenses, on technical data from licensed stations and on additional information provided by the license owner. The latter is provided on a monthly basis and included in the formulas for calculating efficiencies. SUE computations may be applied, at Anatel’s discretion, in the assessments of technical projects, and support decision making on granting/extending spectrum licenses, on defining license fees, or as a technical criterion for multiple purposes. The evaluation of SUE is a theme under development as part of the ongoing process to update the regulation on frequency spectrum usage.</w:t>
      </w:r>
    </w:p>
    <w:p w14:paraId="666BD3FF" w14:textId="77777777" w:rsidR="00A812FA" w:rsidRPr="00FD62C4" w:rsidRDefault="00A812FA" w:rsidP="00A812FA">
      <w:pPr>
        <w:pStyle w:val="Headingb"/>
        <w:rPr>
          <w:rFonts w:eastAsia="Malgun Gothic"/>
        </w:rPr>
      </w:pPr>
      <w:r w:rsidRPr="00FD62C4">
        <w:rPr>
          <w:rFonts w:eastAsia="Malgun Gothic"/>
        </w:rPr>
        <w:t>Temporal evaluation of SUE</w:t>
      </w:r>
    </w:p>
    <w:p w14:paraId="51B0C4D0" w14:textId="1058A26C" w:rsidR="00A812FA" w:rsidRPr="00FD62C4" w:rsidRDefault="00A812FA" w:rsidP="00A812FA">
      <w:pPr>
        <w:rPr>
          <w:rFonts w:eastAsia="Malgun Gothic"/>
          <w:lang w:eastAsia="ko-KR"/>
        </w:rPr>
      </w:pPr>
      <w:r w:rsidRPr="00FD62C4">
        <w:rPr>
          <w:rFonts w:eastAsia="Malgun Gothic"/>
          <w:lang w:eastAsia="ko-KR"/>
        </w:rPr>
        <w:t xml:space="preserve">For land mobile cellular radiocommunication systems, SUE is computed as described in equations </w:t>
      </w:r>
      <w:r w:rsidR="00A57236" w:rsidRPr="00FD62C4">
        <w:rPr>
          <w:rFonts w:eastAsia="Malgun Gothic"/>
          <w:lang w:eastAsia="ko-KR"/>
        </w:rPr>
        <w:t>(</w:t>
      </w:r>
      <w:r w:rsidRPr="00FD62C4">
        <w:rPr>
          <w:rFonts w:eastAsia="Malgun Gothic"/>
          <w:lang w:eastAsia="ko-KR"/>
        </w:rPr>
        <w:t>2</w:t>
      </w:r>
      <w:r w:rsidR="00A57236" w:rsidRPr="00FD62C4">
        <w:rPr>
          <w:rFonts w:eastAsia="Malgun Gothic"/>
          <w:lang w:eastAsia="ko-KR"/>
        </w:rPr>
        <w:t>)</w:t>
      </w:r>
      <w:r w:rsidRPr="00FD62C4">
        <w:rPr>
          <w:rFonts w:eastAsia="Malgun Gothic"/>
          <w:lang w:eastAsia="ko-KR"/>
        </w:rPr>
        <w:t xml:space="preserve"> and </w:t>
      </w:r>
      <w:r w:rsidR="00A57236" w:rsidRPr="00FD62C4">
        <w:rPr>
          <w:rFonts w:eastAsia="Malgun Gothic"/>
          <w:lang w:eastAsia="ko-KR"/>
        </w:rPr>
        <w:t>(</w:t>
      </w:r>
      <w:r w:rsidRPr="00FD62C4">
        <w:rPr>
          <w:rFonts w:eastAsia="Malgun Gothic"/>
          <w:lang w:eastAsia="ko-KR"/>
        </w:rPr>
        <w:t>3</w:t>
      </w:r>
      <w:r w:rsidR="00A57236" w:rsidRPr="00FD62C4">
        <w:rPr>
          <w:rFonts w:eastAsia="Malgun Gothic"/>
          <w:lang w:eastAsia="ko-KR"/>
        </w:rPr>
        <w:t>)</w:t>
      </w:r>
      <w:r w:rsidRPr="00FD62C4">
        <w:rPr>
          <w:rFonts w:eastAsia="Malgun Gothic"/>
          <w:lang w:eastAsia="ko-KR"/>
        </w:rPr>
        <w:t xml:space="preserve"> of Recommendation </w:t>
      </w:r>
      <w:hyperlink r:id="rId51" w:history="1">
        <w:r w:rsidRPr="00FD62C4">
          <w:rPr>
            <w:rStyle w:val="Hyperlink"/>
            <w:rFonts w:eastAsia="Malgun Gothic"/>
            <w:color w:val="auto"/>
            <w:u w:val="none"/>
            <w:lang w:eastAsia="ko-KR"/>
          </w:rPr>
          <w:t>ITU-R SM.1046-3</w:t>
        </w:r>
      </w:hyperlink>
      <w:r w:rsidRPr="00FD62C4">
        <w:rPr>
          <w:rFonts w:eastAsia="Malgun Gothic"/>
          <w:lang w:eastAsia="ko-KR"/>
        </w:rPr>
        <w:t xml:space="preserve">. Changes of SUE over time are tracked by the Efficiency Temporal Index (ETI), defined as the slope of the fitted line from the simple linear regression model of SUE over the course of </w:t>
      </w:r>
      <m:oMath>
        <m:r>
          <w:rPr>
            <w:rFonts w:ascii="Cambria Math" w:eastAsia="Malgun Gothic" w:hAnsi="Cambria Math"/>
            <w:lang w:eastAsia="ko-KR"/>
          </w:rPr>
          <m:t>n</m:t>
        </m:r>
      </m:oMath>
      <w:r w:rsidRPr="00FD62C4">
        <w:rPr>
          <w:rFonts w:eastAsia="Malgun Gothic"/>
          <w:lang w:eastAsia="ko-KR"/>
        </w:rPr>
        <w:t xml:space="preserve"> months, given by:</w:t>
      </w:r>
    </w:p>
    <w:p w14:paraId="057B3DFA" w14:textId="23E83E3F" w:rsidR="00A812FA" w:rsidRPr="005E2A2B" w:rsidRDefault="00A812FA" w:rsidP="00A812FA">
      <w:pPr>
        <w:pStyle w:val="Equation"/>
        <w:rPr>
          <w:lang w:val="it-IT" w:eastAsia="ko-KR"/>
        </w:rPr>
      </w:pPr>
      <w:r w:rsidRPr="00FD62C4">
        <w:rPr>
          <w:rFonts w:eastAsia="Malgun Gothic"/>
          <w:lang w:eastAsia="ko-KR"/>
        </w:rPr>
        <w:tab/>
      </w:r>
      <w:r w:rsidRPr="00FD62C4">
        <w:rPr>
          <w:rFonts w:eastAsia="Malgun Gothic"/>
          <w:lang w:eastAsia="ko-KR"/>
        </w:rPr>
        <w:tab/>
      </w:r>
      <m:oMath>
        <m:r>
          <m:rPr>
            <m:nor/>
          </m:rPr>
          <w:rPr>
            <w:lang w:val="it-IT" w:eastAsia="ko-KR"/>
          </w:rPr>
          <m:t>ETI</m:t>
        </m:r>
        <m:r>
          <m:rPr>
            <m:sty m:val="p"/>
          </m:rPr>
          <w:rPr>
            <w:rFonts w:ascii="Cambria Math" w:hAnsi="Cambria Math"/>
            <w:lang w:val="it-IT" w:eastAsia="ko-KR"/>
          </w:rPr>
          <m:t>=</m:t>
        </m:r>
        <m:f>
          <m:fPr>
            <m:ctrlPr>
              <w:rPr>
                <w:rFonts w:ascii="Cambria Math" w:hAnsi="Cambria Math"/>
                <w:lang w:eastAsia="ko-KR"/>
              </w:rPr>
            </m:ctrlPr>
          </m:fPr>
          <m:num>
            <m:nary>
              <m:naryPr>
                <m:chr m:val="∑"/>
                <m:ctrlPr>
                  <w:rPr>
                    <w:rFonts w:ascii="Cambria Math" w:hAnsi="Cambria Math"/>
                    <w:lang w:eastAsia="ko-KR"/>
                  </w:rPr>
                </m:ctrlPr>
              </m:naryPr>
              <m:sub>
                <m:r>
                  <w:rPr>
                    <w:rFonts w:ascii="Cambria Math" w:hAnsi="Cambria Math"/>
                    <w:lang w:eastAsia="ko-KR"/>
                  </w:rPr>
                  <m:t>i</m:t>
                </m:r>
                <m:r>
                  <m:rPr>
                    <m:sty m:val="p"/>
                  </m:rPr>
                  <w:rPr>
                    <w:rFonts w:ascii="Cambria Math" w:hAnsi="Cambria Math"/>
                    <w:lang w:val="it-IT" w:eastAsia="ko-KR"/>
                  </w:rPr>
                  <m:t>=1</m:t>
                </m:r>
              </m:sub>
              <m:sup>
                <m:r>
                  <w:rPr>
                    <w:rFonts w:ascii="Cambria Math" w:hAnsi="Cambria Math"/>
                    <w:lang w:eastAsia="ko-KR"/>
                  </w:rPr>
                  <m:t>n</m:t>
                </m:r>
              </m:sup>
              <m:e>
                <m:d>
                  <m:dPr>
                    <m:ctrlPr>
                      <w:rPr>
                        <w:rFonts w:ascii="Cambria Math" w:hAnsi="Cambria Math"/>
                        <w:lang w:eastAsia="ko-KR"/>
                      </w:rPr>
                    </m:ctrlPr>
                  </m:dPr>
                  <m:e>
                    <m:r>
                      <w:rPr>
                        <w:rFonts w:ascii="Cambria Math" w:hAnsi="Cambria Math"/>
                        <w:lang w:eastAsia="ko-KR"/>
                      </w:rPr>
                      <m:t>i</m:t>
                    </m:r>
                    <m:r>
                      <m:rPr>
                        <m:sty m:val="p"/>
                      </m:rPr>
                      <w:rPr>
                        <w:rFonts w:ascii="Cambria Math" w:hAnsi="Cambria Math"/>
                        <w:lang w:val="it-IT" w:eastAsia="ko-KR"/>
                      </w:rPr>
                      <m:t>×</m:t>
                    </m:r>
                    <m:r>
                      <m:rPr>
                        <m:nor/>
                      </m:rPr>
                      <w:rPr>
                        <w:lang w:val="it-IT" w:eastAsia="ko-KR"/>
                      </w:rPr>
                      <m:t>SU</m:t>
                    </m:r>
                    <m:sSub>
                      <m:sSubPr>
                        <m:ctrlPr>
                          <w:rPr>
                            <w:rFonts w:ascii="Cambria Math" w:hAnsi="Cambria Math"/>
                            <w:lang w:eastAsia="ko-KR"/>
                          </w:rPr>
                        </m:ctrlPr>
                      </m:sSubPr>
                      <m:e>
                        <m:r>
                          <m:rPr>
                            <m:nor/>
                          </m:rPr>
                          <w:rPr>
                            <w:lang w:val="it-IT" w:eastAsia="ko-KR"/>
                          </w:rPr>
                          <m:t>E</m:t>
                        </m:r>
                      </m:e>
                      <m:sub>
                        <m:r>
                          <m:rPr>
                            <m:nor/>
                          </m:rPr>
                          <w:rPr>
                            <w:lang w:val="it-IT" w:eastAsia="ko-KR"/>
                          </w:rPr>
                          <m:t>i</m:t>
                        </m:r>
                      </m:sub>
                    </m:sSub>
                  </m:e>
                </m:d>
              </m:e>
            </m:nary>
            <m:r>
              <m:rPr>
                <m:sty m:val="p"/>
              </m:rPr>
              <w:rPr>
                <w:rFonts w:ascii="Cambria Math" w:hAnsi="Cambria Math"/>
                <w:lang w:val="it-IT" w:eastAsia="ko-KR"/>
              </w:rPr>
              <m:t>-</m:t>
            </m:r>
            <m:d>
              <m:dPr>
                <m:ctrlPr>
                  <w:rPr>
                    <w:rFonts w:ascii="Cambria Math" w:hAnsi="Cambria Math"/>
                    <w:lang w:eastAsia="ko-KR"/>
                  </w:rPr>
                </m:ctrlPr>
              </m:dPr>
              <m:e>
                <m:f>
                  <m:fPr>
                    <m:ctrlPr>
                      <w:rPr>
                        <w:rFonts w:ascii="Cambria Math" w:hAnsi="Cambria Math"/>
                        <w:lang w:eastAsia="ko-KR"/>
                      </w:rPr>
                    </m:ctrlPr>
                  </m:fPr>
                  <m:num>
                    <m:r>
                      <w:rPr>
                        <w:rFonts w:ascii="Cambria Math" w:hAnsi="Cambria Math"/>
                        <w:lang w:eastAsia="ko-KR"/>
                      </w:rPr>
                      <m:t>n</m:t>
                    </m:r>
                    <m:r>
                      <m:rPr>
                        <m:sty m:val="p"/>
                      </m:rPr>
                      <w:rPr>
                        <w:rFonts w:ascii="Cambria Math" w:hAnsi="Cambria Math"/>
                        <w:lang w:val="it-IT" w:eastAsia="ko-KR"/>
                      </w:rPr>
                      <m:t>+1</m:t>
                    </m:r>
                  </m:num>
                  <m:den>
                    <m:r>
                      <m:rPr>
                        <m:sty m:val="p"/>
                      </m:rPr>
                      <w:rPr>
                        <w:rFonts w:ascii="Cambria Math" w:hAnsi="Cambria Math"/>
                        <w:lang w:val="it-IT" w:eastAsia="ko-KR"/>
                      </w:rPr>
                      <m:t>2</m:t>
                    </m:r>
                  </m:den>
                </m:f>
              </m:e>
            </m:d>
            <m:r>
              <m:rPr>
                <m:sty m:val="p"/>
              </m:rPr>
              <w:rPr>
                <w:rFonts w:ascii="Cambria Math" w:hAnsi="Cambria Math"/>
                <w:lang w:val="it-IT" w:eastAsia="ko-KR"/>
              </w:rPr>
              <m:t>×</m:t>
            </m:r>
            <m:nary>
              <m:naryPr>
                <m:chr m:val="∑"/>
                <m:ctrlPr>
                  <w:rPr>
                    <w:rFonts w:ascii="Cambria Math" w:hAnsi="Cambria Math"/>
                    <w:lang w:eastAsia="ko-KR"/>
                  </w:rPr>
                </m:ctrlPr>
              </m:naryPr>
              <m:sub>
                <m:r>
                  <w:rPr>
                    <w:rFonts w:ascii="Cambria Math" w:hAnsi="Cambria Math"/>
                    <w:lang w:eastAsia="ko-KR"/>
                  </w:rPr>
                  <m:t>i</m:t>
                </m:r>
                <m:r>
                  <m:rPr>
                    <m:sty m:val="p"/>
                  </m:rPr>
                  <w:rPr>
                    <w:rFonts w:ascii="Cambria Math" w:hAnsi="Cambria Math"/>
                    <w:lang w:val="it-IT" w:eastAsia="ko-KR"/>
                  </w:rPr>
                  <m:t>=1</m:t>
                </m:r>
              </m:sub>
              <m:sup>
                <m:r>
                  <w:rPr>
                    <w:rFonts w:ascii="Cambria Math" w:hAnsi="Cambria Math"/>
                    <w:lang w:eastAsia="ko-KR"/>
                  </w:rPr>
                  <m:t>n</m:t>
                </m:r>
              </m:sup>
              <m:e>
                <m:d>
                  <m:dPr>
                    <m:ctrlPr>
                      <w:rPr>
                        <w:rFonts w:ascii="Cambria Math" w:hAnsi="Cambria Math"/>
                        <w:lang w:eastAsia="ko-KR"/>
                      </w:rPr>
                    </m:ctrlPr>
                  </m:dPr>
                  <m:e>
                    <m:r>
                      <m:rPr>
                        <m:nor/>
                      </m:rPr>
                      <w:rPr>
                        <w:lang w:val="it-IT" w:eastAsia="ko-KR"/>
                      </w:rPr>
                      <m:t>SU</m:t>
                    </m:r>
                    <m:sSub>
                      <m:sSubPr>
                        <m:ctrlPr>
                          <w:rPr>
                            <w:rFonts w:ascii="Cambria Math" w:hAnsi="Cambria Math"/>
                            <w:lang w:eastAsia="ko-KR"/>
                          </w:rPr>
                        </m:ctrlPr>
                      </m:sSubPr>
                      <m:e>
                        <m:r>
                          <m:rPr>
                            <m:nor/>
                          </m:rPr>
                          <w:rPr>
                            <w:lang w:val="it-IT" w:eastAsia="ko-KR"/>
                          </w:rPr>
                          <m:t>E</m:t>
                        </m:r>
                      </m:e>
                      <m:sub>
                        <m:r>
                          <m:rPr>
                            <m:nor/>
                          </m:rPr>
                          <w:rPr>
                            <w:lang w:val="it-IT" w:eastAsia="ko-KR"/>
                          </w:rPr>
                          <m:t>i</m:t>
                        </m:r>
                      </m:sub>
                    </m:sSub>
                  </m:e>
                </m:d>
              </m:e>
            </m:nary>
          </m:num>
          <m:den>
            <m:nary>
              <m:naryPr>
                <m:chr m:val="∑"/>
                <m:ctrlPr>
                  <w:rPr>
                    <w:rFonts w:ascii="Cambria Math" w:hAnsi="Cambria Math"/>
                    <w:lang w:eastAsia="ko-KR"/>
                  </w:rPr>
                </m:ctrlPr>
              </m:naryPr>
              <m:sub>
                <m:r>
                  <w:rPr>
                    <w:rFonts w:ascii="Cambria Math" w:hAnsi="Cambria Math"/>
                    <w:lang w:eastAsia="ko-KR"/>
                  </w:rPr>
                  <m:t>i</m:t>
                </m:r>
                <m:r>
                  <m:rPr>
                    <m:sty m:val="p"/>
                  </m:rPr>
                  <w:rPr>
                    <w:rFonts w:ascii="Cambria Math" w:hAnsi="Cambria Math"/>
                    <w:lang w:val="it-IT" w:eastAsia="ko-KR"/>
                  </w:rPr>
                  <m:t>=1</m:t>
                </m:r>
              </m:sub>
              <m:sup>
                <m:r>
                  <w:rPr>
                    <w:rFonts w:ascii="Cambria Math" w:hAnsi="Cambria Math"/>
                    <w:lang w:eastAsia="ko-KR"/>
                  </w:rPr>
                  <m:t>n</m:t>
                </m:r>
              </m:sup>
              <m:e>
                <m:d>
                  <m:dPr>
                    <m:ctrlPr>
                      <w:rPr>
                        <w:rFonts w:ascii="Cambria Math" w:hAnsi="Cambria Math"/>
                        <w:lang w:eastAsia="ko-KR"/>
                      </w:rPr>
                    </m:ctrlPr>
                  </m:dPr>
                  <m:e>
                    <m:sSup>
                      <m:sSupPr>
                        <m:ctrlPr>
                          <w:rPr>
                            <w:rFonts w:ascii="Cambria Math" w:hAnsi="Cambria Math"/>
                            <w:lang w:eastAsia="ko-KR"/>
                          </w:rPr>
                        </m:ctrlPr>
                      </m:sSupPr>
                      <m:e>
                        <m:r>
                          <w:rPr>
                            <w:rFonts w:ascii="Cambria Math" w:hAnsi="Cambria Math"/>
                            <w:lang w:eastAsia="ko-KR"/>
                          </w:rPr>
                          <m:t>i</m:t>
                        </m:r>
                      </m:e>
                      <m:sup>
                        <m:r>
                          <m:rPr>
                            <m:sty m:val="p"/>
                          </m:rPr>
                          <w:rPr>
                            <w:rFonts w:ascii="Cambria Math" w:hAnsi="Cambria Math"/>
                            <w:lang w:val="it-IT" w:eastAsia="ko-KR"/>
                          </w:rPr>
                          <m:t>2</m:t>
                        </m:r>
                      </m:sup>
                    </m:sSup>
                  </m:e>
                </m:d>
              </m:e>
            </m:nary>
            <m:r>
              <m:rPr>
                <m:sty m:val="p"/>
              </m:rPr>
              <w:rPr>
                <w:rFonts w:ascii="Cambria Math" w:hAnsi="Cambria Math"/>
                <w:lang w:val="it-IT" w:eastAsia="ko-KR"/>
              </w:rPr>
              <m:t>-</m:t>
            </m:r>
            <m:r>
              <w:rPr>
                <w:rFonts w:ascii="Cambria Math" w:hAnsi="Cambria Math"/>
                <w:lang w:eastAsia="ko-KR"/>
              </w:rPr>
              <m:t>n</m:t>
            </m:r>
            <m:r>
              <m:rPr>
                <m:sty m:val="p"/>
              </m:rPr>
              <w:rPr>
                <w:rFonts w:ascii="Cambria Math" w:hAnsi="Cambria Math"/>
                <w:lang w:val="it-IT" w:eastAsia="ko-KR"/>
              </w:rPr>
              <m:t>×</m:t>
            </m:r>
            <m:sSup>
              <m:sSupPr>
                <m:ctrlPr>
                  <w:rPr>
                    <w:rFonts w:ascii="Cambria Math" w:hAnsi="Cambria Math"/>
                    <w:lang w:eastAsia="ko-KR"/>
                  </w:rPr>
                </m:ctrlPr>
              </m:sSupPr>
              <m:e>
                <m:d>
                  <m:dPr>
                    <m:ctrlPr>
                      <w:rPr>
                        <w:rFonts w:ascii="Cambria Math" w:hAnsi="Cambria Math"/>
                        <w:lang w:eastAsia="ko-KR"/>
                      </w:rPr>
                    </m:ctrlPr>
                  </m:dPr>
                  <m:e>
                    <m:f>
                      <m:fPr>
                        <m:ctrlPr>
                          <w:rPr>
                            <w:rFonts w:ascii="Cambria Math" w:hAnsi="Cambria Math"/>
                            <w:lang w:eastAsia="ko-KR"/>
                          </w:rPr>
                        </m:ctrlPr>
                      </m:fPr>
                      <m:num>
                        <m:r>
                          <w:rPr>
                            <w:rFonts w:ascii="Cambria Math" w:hAnsi="Cambria Math"/>
                            <w:lang w:eastAsia="ko-KR"/>
                          </w:rPr>
                          <m:t>n</m:t>
                        </m:r>
                        <m:r>
                          <m:rPr>
                            <m:sty m:val="p"/>
                          </m:rPr>
                          <w:rPr>
                            <w:rFonts w:ascii="Cambria Math" w:hAnsi="Cambria Math"/>
                            <w:lang w:val="it-IT" w:eastAsia="ko-KR"/>
                          </w:rPr>
                          <m:t>+1</m:t>
                        </m:r>
                      </m:num>
                      <m:den>
                        <m:r>
                          <m:rPr>
                            <m:sty m:val="p"/>
                          </m:rPr>
                          <w:rPr>
                            <w:rFonts w:ascii="Cambria Math" w:hAnsi="Cambria Math"/>
                            <w:lang w:val="it-IT" w:eastAsia="ko-KR"/>
                          </w:rPr>
                          <m:t>2</m:t>
                        </m:r>
                      </m:den>
                    </m:f>
                  </m:e>
                </m:d>
              </m:e>
              <m:sup>
                <m:r>
                  <m:rPr>
                    <m:sty m:val="p"/>
                  </m:rPr>
                  <w:rPr>
                    <w:rFonts w:ascii="Cambria Math" w:hAnsi="Cambria Math"/>
                    <w:lang w:val="it-IT" w:eastAsia="ko-KR"/>
                  </w:rPr>
                  <m:t>2</m:t>
                </m:r>
              </m:sup>
            </m:sSup>
          </m:den>
        </m:f>
        <m:r>
          <m:rPr>
            <m:sty m:val="p"/>
          </m:rPr>
          <w:rPr>
            <w:rFonts w:ascii="Cambria Math" w:hAnsi="Cambria Math"/>
            <w:lang w:val="it-IT" w:eastAsia="ko-KR"/>
          </w:rPr>
          <m:t xml:space="preserve"> </m:t>
        </m:r>
      </m:oMath>
    </w:p>
    <w:p w14:paraId="64054E33" w14:textId="77777777" w:rsidR="00A812FA" w:rsidRPr="00FD62C4" w:rsidRDefault="00A812FA" w:rsidP="00A812FA">
      <w:pPr>
        <w:rPr>
          <w:rFonts w:eastAsia="Malgun Gothic"/>
          <w:lang w:eastAsia="ko-KR"/>
        </w:rPr>
      </w:pPr>
      <w:r w:rsidRPr="00FD62C4">
        <w:rPr>
          <w:rFonts w:eastAsia="Malgun Gothic"/>
          <w:lang w:eastAsia="ko-KR"/>
        </w:rPr>
        <w:t xml:space="preserve">where </w:t>
      </w:r>
      <m:oMath>
        <m:r>
          <w:rPr>
            <w:rFonts w:ascii="Cambria Math" w:eastAsia="Malgun Gothic" w:hAnsi="Cambria Math"/>
            <w:lang w:eastAsia="ko-KR"/>
          </w:rPr>
          <m:t>SU</m:t>
        </m:r>
        <m:sSub>
          <m:sSubPr>
            <m:ctrlPr>
              <w:rPr>
                <w:rFonts w:ascii="Cambria Math" w:eastAsia="Malgun Gothic" w:hAnsi="Cambria Math"/>
                <w:i/>
                <w:lang w:eastAsia="ko-KR"/>
              </w:rPr>
            </m:ctrlPr>
          </m:sSubPr>
          <m:e>
            <m:r>
              <w:rPr>
                <w:rFonts w:ascii="Cambria Math" w:eastAsia="Malgun Gothic" w:hAnsi="Cambria Math"/>
                <w:lang w:eastAsia="ko-KR"/>
              </w:rPr>
              <m:t>E</m:t>
            </m:r>
          </m:e>
          <m:sub>
            <m:r>
              <w:rPr>
                <w:rFonts w:ascii="Cambria Math" w:eastAsia="Malgun Gothic" w:hAnsi="Cambria Math"/>
                <w:lang w:eastAsia="ko-KR"/>
              </w:rPr>
              <m:t>i</m:t>
            </m:r>
          </m:sub>
        </m:sSub>
      </m:oMath>
      <w:r w:rsidRPr="00FD62C4">
        <w:rPr>
          <w:rFonts w:eastAsia="Malgun Gothic"/>
          <w:lang w:eastAsia="ko-KR"/>
        </w:rPr>
        <w:t xml:space="preserve"> is the computed SUE in the </w:t>
      </w:r>
      <m:oMath>
        <m:r>
          <w:rPr>
            <w:rFonts w:ascii="Cambria Math" w:eastAsia="Malgun Gothic" w:hAnsi="Cambria Math"/>
            <w:lang w:eastAsia="ko-KR"/>
          </w:rPr>
          <m:t>i</m:t>
        </m:r>
      </m:oMath>
      <w:r w:rsidRPr="00FD62C4">
        <w:rPr>
          <w:rFonts w:eastAsia="Malgun Gothic"/>
          <w:lang w:eastAsia="ko-KR"/>
        </w:rPr>
        <w:t>-th month.</w:t>
      </w:r>
    </w:p>
    <w:p w14:paraId="3A95E513" w14:textId="155D670E" w:rsidR="00A812FA" w:rsidRPr="00FD62C4" w:rsidRDefault="00A812FA" w:rsidP="00A812FA">
      <w:pPr>
        <w:rPr>
          <w:rFonts w:eastAsia="Malgun Gothic"/>
          <w:lang w:eastAsia="ko-KR"/>
        </w:rPr>
      </w:pPr>
      <w:r w:rsidRPr="00FD62C4">
        <w:rPr>
          <w:rFonts w:eastAsia="Malgun Gothic"/>
          <w:lang w:eastAsia="ko-KR"/>
        </w:rPr>
        <w:t>Each SUE evaluation has a one-to-one correspondence with a unique data element, more precisely, a row in the data layout file, and each ETI evaluation has a unique correspondence with a set of collection records that identify the evolution of the useful effect (</w:t>
      </w:r>
      <m:oMath>
        <m:r>
          <w:rPr>
            <w:rFonts w:ascii="Cambria Math" w:eastAsia="Malgun Gothic" w:hAnsi="Cambria Math"/>
            <w:lang w:eastAsia="ko-KR"/>
          </w:rPr>
          <m:t>M</m:t>
        </m:r>
      </m:oMath>
      <w:r w:rsidRPr="00FD62C4">
        <w:rPr>
          <w:rFonts w:eastAsia="Malgun Gothic"/>
          <w:lang w:eastAsia="ko-KR"/>
        </w:rPr>
        <w:t>) over time, while keeping the spectrum utilization factor (</w:t>
      </w:r>
      <m:oMath>
        <m:r>
          <w:rPr>
            <w:rFonts w:ascii="Cambria Math" w:eastAsia="Malgun Gothic" w:hAnsi="Cambria Math"/>
            <w:lang w:eastAsia="ko-KR"/>
          </w:rPr>
          <m:t>U</m:t>
        </m:r>
      </m:oMath>
      <w:r w:rsidRPr="00FD62C4">
        <w:rPr>
          <w:rFonts w:eastAsia="Malgun Gothic"/>
          <w:lang w:eastAsia="ko-KR"/>
        </w:rPr>
        <w:t xml:space="preserve">) constant. The useful effect </w:t>
      </w:r>
      <m:oMath>
        <m:r>
          <w:rPr>
            <w:rFonts w:ascii="Cambria Math" w:eastAsia="Malgun Gothic" w:hAnsi="Cambria Math"/>
            <w:lang w:eastAsia="ko-KR"/>
          </w:rPr>
          <m:t>M</m:t>
        </m:r>
      </m:oMath>
      <w:r w:rsidRPr="00FD62C4">
        <w:rPr>
          <w:rFonts w:eastAsia="Malgun Gothic"/>
          <w:lang w:eastAsia="ko-KR"/>
        </w:rPr>
        <w:t xml:space="preserve"> obtained with the aid of the communication system is taken as the amount of traffic generated by it (</w:t>
      </w:r>
      <m:oMath>
        <m:r>
          <w:rPr>
            <w:rFonts w:ascii="Cambria Math" w:eastAsia="Malgun Gothic" w:hAnsi="Cambria Math"/>
            <w:lang w:eastAsia="ko-KR"/>
          </w:rPr>
          <m:t>T</m:t>
        </m:r>
      </m:oMath>
      <w:r w:rsidRPr="00FD62C4">
        <w:rPr>
          <w:rFonts w:eastAsia="Malgun Gothic"/>
          <w:lang w:eastAsia="ko-KR"/>
        </w:rPr>
        <w:t xml:space="preserve">), as specified in </w:t>
      </w:r>
      <w:r w:rsidR="00DE29DD" w:rsidRPr="00FD62C4">
        <w:rPr>
          <w:rFonts w:eastAsia="Malgun Gothic"/>
          <w:lang w:eastAsia="ko-KR"/>
        </w:rPr>
        <w:t>§</w:t>
      </w:r>
      <w:r w:rsidRPr="00FD62C4">
        <w:rPr>
          <w:rFonts w:eastAsia="Malgun Gothic"/>
          <w:lang w:eastAsia="ko-KR"/>
        </w:rPr>
        <w:t xml:space="preserve"> </w:t>
      </w:r>
      <w:r w:rsidRPr="00FD62C4">
        <w:rPr>
          <w:lang w:eastAsia="zh-CN"/>
        </w:rPr>
        <w:t>A1</w:t>
      </w:r>
      <w:r w:rsidR="00281D09" w:rsidRPr="00FD62C4">
        <w:rPr>
          <w:lang w:eastAsia="zh-CN"/>
        </w:rPr>
        <w:t>.</w:t>
      </w:r>
      <w:r w:rsidRPr="00FD62C4">
        <w:rPr>
          <w:rFonts w:eastAsia="Malgun Gothic"/>
          <w:lang w:eastAsia="ko-KR"/>
        </w:rPr>
        <w:t>3.1.</w:t>
      </w:r>
    </w:p>
    <w:p w14:paraId="2381EEFC" w14:textId="77777777" w:rsidR="00A812FA" w:rsidRPr="00FD62C4" w:rsidRDefault="00A812FA" w:rsidP="00A812FA">
      <w:pPr>
        <w:pStyle w:val="Headingb"/>
        <w:rPr>
          <w:rFonts w:eastAsia="Malgun Gothic"/>
        </w:rPr>
      </w:pPr>
      <w:r w:rsidRPr="00FD62C4">
        <w:rPr>
          <w:rFonts w:eastAsia="Malgun Gothic"/>
        </w:rPr>
        <w:t>Data visualisation</w:t>
      </w:r>
    </w:p>
    <w:p w14:paraId="4AB9EE4C" w14:textId="77777777" w:rsidR="00A812FA" w:rsidRPr="00FD62C4" w:rsidRDefault="00A812FA" w:rsidP="00A812FA">
      <w:pPr>
        <w:rPr>
          <w:rFonts w:eastAsia="Malgun Gothic"/>
          <w:lang w:eastAsia="ko-KR"/>
        </w:rPr>
      </w:pPr>
      <w:r w:rsidRPr="00FD62C4">
        <w:rPr>
          <w:rFonts w:eastAsia="Malgun Gothic"/>
          <w:lang w:eastAsia="ko-KR"/>
        </w:rPr>
        <w:t xml:space="preserve">Figure </w:t>
      </w:r>
      <w:r w:rsidRPr="00FD62C4">
        <w:rPr>
          <w:lang w:eastAsia="zh-CN"/>
        </w:rPr>
        <w:t>A4-</w:t>
      </w:r>
      <w:r w:rsidRPr="00FD62C4">
        <w:rPr>
          <w:rFonts w:eastAsia="Malgun Gothic"/>
          <w:lang w:eastAsia="ko-KR"/>
        </w:rPr>
        <w:t xml:space="preserve">1 illustrates a scatter plot of a simple linear regression model of SUE computed with a portion of n78 band (C-Band) in Rio de Janeiro state over the year 2023 for a given mobile operator. The </w:t>
      </w:r>
      <m:oMath>
        <m:r>
          <w:rPr>
            <w:rFonts w:ascii="Cambria Math" w:eastAsia="Malgun Gothic" w:hAnsi="Cambria Math"/>
            <w:lang w:eastAsia="ko-KR"/>
          </w:rPr>
          <m:t>y</m:t>
        </m:r>
      </m:oMath>
      <w:r w:rsidRPr="00FD62C4">
        <w:rPr>
          <w:rFonts w:eastAsia="Malgun Gothic"/>
          <w:lang w:eastAsia="ko-KR"/>
        </w:rPr>
        <w:t xml:space="preserve">-axis represents SUE in </w:t>
      </w:r>
      <m:oMath>
        <m:f>
          <m:fPr>
            <m:ctrlPr>
              <w:rPr>
                <w:rFonts w:ascii="Cambria Math" w:eastAsia="Malgun Gothic" w:hAnsi="Cambria Math"/>
                <w:lang w:eastAsia="ko-KR"/>
              </w:rPr>
            </m:ctrlPr>
          </m:fPr>
          <m:num>
            <m:r>
              <w:rPr>
                <w:rFonts w:ascii="Cambria Math" w:eastAsia="Malgun Gothic" w:hAnsi="Cambria Math"/>
                <w:lang w:eastAsia="ko-KR"/>
              </w:rPr>
              <m:t>Tb</m:t>
            </m:r>
            <m:ctrlPr>
              <w:rPr>
                <w:rFonts w:ascii="Cambria Math" w:eastAsia="Malgun Gothic" w:hAnsi="Cambria Math"/>
                <w:i/>
                <w:lang w:eastAsia="ko-KR"/>
              </w:rPr>
            </m:ctrlPr>
          </m:num>
          <m:den>
            <m:r>
              <w:rPr>
                <w:rFonts w:ascii="Cambria Math" w:eastAsia="Malgun Gothic" w:hAnsi="Cambria Math"/>
                <w:lang w:eastAsia="ko-KR"/>
              </w:rPr>
              <m:t>k</m:t>
            </m:r>
            <m:sSup>
              <m:sSupPr>
                <m:ctrlPr>
                  <w:rPr>
                    <w:rFonts w:ascii="Cambria Math" w:eastAsia="Malgun Gothic" w:hAnsi="Cambria Math"/>
                    <w:i/>
                    <w:lang w:eastAsia="ko-KR"/>
                  </w:rPr>
                </m:ctrlPr>
              </m:sSupPr>
              <m:e>
                <m:r>
                  <w:rPr>
                    <w:rFonts w:ascii="Cambria Math" w:eastAsia="Malgun Gothic" w:hAnsi="Cambria Math"/>
                    <w:lang w:eastAsia="ko-KR"/>
                  </w:rPr>
                  <m:t>m</m:t>
                </m:r>
              </m:e>
              <m:sup>
                <m:r>
                  <w:rPr>
                    <w:rFonts w:ascii="Cambria Math" w:eastAsia="Malgun Gothic" w:hAnsi="Cambria Math"/>
                    <w:lang w:eastAsia="ko-KR"/>
                  </w:rPr>
                  <m:t>2</m:t>
                </m:r>
              </m:sup>
            </m:sSup>
            <m:r>
              <m:rPr>
                <m:sty m:val="p"/>
              </m:rPr>
              <w:rPr>
                <w:rFonts w:ascii="Cambria Math" w:eastAsia="Malgun Gothic" w:hAnsi="Cambria Math"/>
                <w:lang w:eastAsia="ko-KR"/>
              </w:rPr>
              <m:t>×</m:t>
            </m:r>
            <m:r>
              <w:rPr>
                <w:rFonts w:ascii="Cambria Math" w:eastAsia="Malgun Gothic" w:hAnsi="Cambria Math"/>
                <w:lang w:eastAsia="ko-KR"/>
              </w:rPr>
              <m:t>MHz</m:t>
            </m:r>
            <m:ctrlPr>
              <w:rPr>
                <w:rFonts w:ascii="Cambria Math" w:eastAsia="Malgun Gothic" w:hAnsi="Cambria Math"/>
                <w:i/>
                <w:lang w:eastAsia="ko-KR"/>
              </w:rPr>
            </m:ctrlPr>
          </m:den>
        </m:f>
      </m:oMath>
      <w:r w:rsidRPr="00FD62C4">
        <w:rPr>
          <w:rFonts w:eastAsia="Malgun Gothic"/>
          <w:lang w:eastAsia="ko-KR"/>
        </w:rPr>
        <w:t xml:space="preserve"> units and the dashed line is the fitted line of the linear model.</w:t>
      </w:r>
    </w:p>
    <w:p w14:paraId="59F7AEA7" w14:textId="2BCAC353" w:rsidR="00A812FA" w:rsidRPr="00FD62C4" w:rsidRDefault="004048D3" w:rsidP="0056771B">
      <w:pPr>
        <w:pStyle w:val="FigureNo"/>
      </w:pPr>
      <w:r w:rsidRPr="0056771B">
        <w:lastRenderedPageBreak/>
        <w:t>FIGURE</w:t>
      </w:r>
      <w:r w:rsidR="00A812FA" w:rsidRPr="00FD62C4">
        <w:t xml:space="preserve"> </w:t>
      </w:r>
      <w:r w:rsidR="00A812FA" w:rsidRPr="00FD62C4">
        <w:rPr>
          <w:lang w:eastAsia="zh-CN"/>
        </w:rPr>
        <w:t>A4-</w:t>
      </w:r>
      <w:r w:rsidR="00A812FA" w:rsidRPr="00FD62C4">
        <w:t>1</w:t>
      </w:r>
    </w:p>
    <w:p w14:paraId="0DF41CBB" w14:textId="77777777" w:rsidR="00A812FA" w:rsidRPr="00FD62C4" w:rsidRDefault="00A812FA" w:rsidP="00A812FA">
      <w:pPr>
        <w:pStyle w:val="Figuretitle"/>
        <w:rPr>
          <w:lang w:eastAsia="ko-KR"/>
        </w:rPr>
      </w:pPr>
      <w:r w:rsidRPr="00FD62C4">
        <w:rPr>
          <w:lang w:eastAsia="ko-KR"/>
        </w:rPr>
        <w:t>Temporal evolution of SUE of the n78 band (C-Band) in Rio de Janeiro state over 2023 for a given operator</w:t>
      </w:r>
    </w:p>
    <w:p w14:paraId="68FEE02A" w14:textId="77777777" w:rsidR="00A812FA" w:rsidRPr="00FD62C4" w:rsidRDefault="00A812FA" w:rsidP="00A812FA">
      <w:pPr>
        <w:pStyle w:val="Figure"/>
        <w:rPr>
          <w:rFonts w:eastAsia="Malgun Gothic"/>
        </w:rPr>
      </w:pPr>
      <w:r w:rsidRPr="00FD62C4">
        <w:rPr>
          <w:rFonts w:eastAsia="Malgun Gothic"/>
          <w:noProof/>
        </w:rPr>
        <w:drawing>
          <wp:inline distT="0" distB="0" distL="0" distR="0" wp14:anchorId="34AB30AC" wp14:editId="66516C65">
            <wp:extent cx="4290060" cy="1897380"/>
            <wp:effectExtent l="0" t="0" r="0" b="7620"/>
            <wp:docPr id="29" name="그림 29" descr="Temporal evolution of SUE of the n78 band (C-Band) in Rio de Janeiro state over 2023 for a given oper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그림 29" descr="Temporal evolution of SUE of the n78 band (C-Band) in Rio de Janeiro state over 2023 for a given operator"/>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290060" cy="1897380"/>
                    </a:xfrm>
                    <a:prstGeom prst="rect">
                      <a:avLst/>
                    </a:prstGeom>
                    <a:noFill/>
                    <a:ln>
                      <a:noFill/>
                    </a:ln>
                  </pic:spPr>
                </pic:pic>
              </a:graphicData>
            </a:graphic>
          </wp:inline>
        </w:drawing>
      </w:r>
    </w:p>
    <w:p w14:paraId="14EA87DF" w14:textId="77777777" w:rsidR="00A812FA" w:rsidRPr="00FD62C4" w:rsidRDefault="00A812FA" w:rsidP="00106794">
      <w:pPr>
        <w:pStyle w:val="Normalaftertitle"/>
        <w:rPr>
          <w:rFonts w:eastAsia="Malgun Gothic"/>
          <w:lang w:eastAsia="ko-KR"/>
        </w:rPr>
      </w:pPr>
      <w:r w:rsidRPr="00FD62C4">
        <w:rPr>
          <w:rFonts w:eastAsia="Malgun Gothic"/>
          <w:lang w:eastAsia="ko-KR"/>
        </w:rPr>
        <w:t xml:space="preserve">Figure </w:t>
      </w:r>
      <w:r w:rsidRPr="00FD62C4">
        <w:rPr>
          <w:lang w:eastAsia="zh-CN"/>
        </w:rPr>
        <w:t>A4-</w:t>
      </w:r>
      <w:r w:rsidRPr="00FD62C4">
        <w:rPr>
          <w:rFonts w:eastAsia="Malgun Gothic"/>
          <w:lang w:eastAsia="ko-KR"/>
        </w:rPr>
        <w:t>2 illustrates a scatter plot with circular markers at the locations specified by SUE and ETI values for a given municipality. The farther to the right, the greater the SUE. Marker sizes are proportional to municipality areas taken as the geometric/geographic spaces (</w:t>
      </w:r>
      <m:oMath>
        <m:r>
          <w:rPr>
            <w:rFonts w:ascii="Cambria Math" w:eastAsia="Malgun Gothic" w:hAnsi="Cambria Math"/>
            <w:lang w:eastAsia="ko-KR"/>
          </w:rPr>
          <m:t>S</m:t>
        </m:r>
      </m:oMath>
      <w:r w:rsidRPr="00FD62C4">
        <w:rPr>
          <w:rFonts w:eastAsia="Malgun Gothic"/>
          <w:lang w:eastAsia="ko-KR"/>
        </w:rPr>
        <w:t xml:space="preserve">) considered in </w:t>
      </w:r>
      <m:oMath>
        <m:r>
          <w:rPr>
            <w:rFonts w:ascii="Cambria Math" w:eastAsia="Malgun Gothic" w:hAnsi="Cambria Math"/>
            <w:lang w:eastAsia="ko-KR"/>
          </w:rPr>
          <m:t>U</m:t>
        </m:r>
      </m:oMath>
      <w:r w:rsidRPr="00FD62C4">
        <w:rPr>
          <w:rFonts w:eastAsia="Malgun Gothic"/>
          <w:lang w:eastAsia="ko-KR"/>
        </w:rPr>
        <w:t xml:space="preserve"> calculations.</w:t>
      </w:r>
    </w:p>
    <w:p w14:paraId="046B3CF9" w14:textId="38122756" w:rsidR="00A812FA" w:rsidRPr="00FD62C4" w:rsidRDefault="004048D3" w:rsidP="0056771B">
      <w:pPr>
        <w:pStyle w:val="FigureNo"/>
        <w:rPr>
          <w:lang w:eastAsia="ko-KR"/>
        </w:rPr>
      </w:pPr>
      <w:r w:rsidRPr="0056771B">
        <w:t>FIGURE</w:t>
      </w:r>
      <w:r w:rsidR="00A812FA" w:rsidRPr="00FD62C4">
        <w:t xml:space="preserve"> </w:t>
      </w:r>
      <w:r w:rsidR="00A812FA" w:rsidRPr="00FD62C4">
        <w:rPr>
          <w:lang w:eastAsia="zh-CN"/>
        </w:rPr>
        <w:t>A4-</w:t>
      </w:r>
      <w:r w:rsidR="00A812FA" w:rsidRPr="00FD62C4">
        <w:rPr>
          <w:lang w:eastAsia="ko-KR"/>
        </w:rPr>
        <w:t>2</w:t>
      </w:r>
    </w:p>
    <w:p w14:paraId="210ED076" w14:textId="77777777" w:rsidR="00A812FA" w:rsidRPr="00FD62C4" w:rsidRDefault="00A812FA" w:rsidP="00A812FA">
      <w:pPr>
        <w:pStyle w:val="Figuretitle"/>
        <w:rPr>
          <w:lang w:eastAsia="ko-KR"/>
        </w:rPr>
      </w:pPr>
      <w:r w:rsidRPr="00FD62C4">
        <w:rPr>
          <w:lang w:eastAsia="ko-KR"/>
        </w:rPr>
        <w:t>Scatter plot with markers specified by SUE (x-axis) and ETI (y-axis) values for municipalities</w:t>
      </w:r>
    </w:p>
    <w:p w14:paraId="505FF497" w14:textId="77777777" w:rsidR="00A812FA" w:rsidRPr="00FD62C4" w:rsidRDefault="00A812FA" w:rsidP="00A812FA">
      <w:pPr>
        <w:pStyle w:val="Figure"/>
        <w:rPr>
          <w:rFonts w:eastAsia="Malgun Gothic"/>
        </w:rPr>
      </w:pPr>
      <w:r w:rsidRPr="00FD62C4">
        <w:rPr>
          <w:rFonts w:eastAsia="Malgun Gothic"/>
          <w:noProof/>
        </w:rPr>
        <w:drawing>
          <wp:inline distT="0" distB="0" distL="0" distR="0" wp14:anchorId="3EE2A709" wp14:editId="083B2656">
            <wp:extent cx="3566160" cy="1828800"/>
            <wp:effectExtent l="0" t="0" r="0" b="0"/>
            <wp:docPr id="30" name="그림 30" descr="Scatter plot with markers specified by SUE (x-axis) and ETI (y-axis) values for municipali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그림 30" descr="Scatter plot with markers specified by SUE (x-axis) and ETI (y-axis) values for municipalities"/>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566160" cy="1828800"/>
                    </a:xfrm>
                    <a:prstGeom prst="rect">
                      <a:avLst/>
                    </a:prstGeom>
                    <a:noFill/>
                    <a:ln>
                      <a:noFill/>
                    </a:ln>
                  </pic:spPr>
                </pic:pic>
              </a:graphicData>
            </a:graphic>
          </wp:inline>
        </w:drawing>
      </w:r>
    </w:p>
    <w:p w14:paraId="0C3727C4" w14:textId="77777777" w:rsidR="00A812FA" w:rsidRPr="00FD62C4" w:rsidRDefault="00A812FA" w:rsidP="00106794">
      <w:pPr>
        <w:pStyle w:val="Normalaftertitle"/>
        <w:rPr>
          <w:rFonts w:eastAsia="Malgun Gothic"/>
          <w:lang w:eastAsia="ko-KR"/>
        </w:rPr>
      </w:pPr>
      <w:r w:rsidRPr="00FD62C4">
        <w:rPr>
          <w:rFonts w:eastAsia="Malgun Gothic"/>
          <w:lang w:eastAsia="ko-KR"/>
        </w:rPr>
        <w:t xml:space="preserve">Figure </w:t>
      </w:r>
      <w:r w:rsidRPr="00FD62C4">
        <w:rPr>
          <w:lang w:eastAsia="zh-CN"/>
        </w:rPr>
        <w:t>A4-</w:t>
      </w:r>
      <w:r w:rsidRPr="00FD62C4">
        <w:rPr>
          <w:rFonts w:eastAsia="Malgun Gothic"/>
          <w:lang w:eastAsia="ko-KR"/>
        </w:rPr>
        <w:t>3 illustrates SUE values of this set of municipalities in a geographic heat map form. The hotter the colour, the greater the SUE. Geographic heat maps are straightforward representations of the amount of space denied to other potential users of the same frequency band.</w:t>
      </w:r>
    </w:p>
    <w:p w14:paraId="3AFD34B0" w14:textId="6FCBBEF1" w:rsidR="00A812FA" w:rsidRPr="00FD62C4" w:rsidRDefault="004048D3" w:rsidP="0056771B">
      <w:pPr>
        <w:pStyle w:val="FigureNo"/>
        <w:rPr>
          <w:lang w:eastAsia="ko-KR"/>
        </w:rPr>
      </w:pPr>
      <w:r w:rsidRPr="0056771B">
        <w:t>FIGURE</w:t>
      </w:r>
      <w:r w:rsidR="00A812FA" w:rsidRPr="00FD62C4">
        <w:t xml:space="preserve"> </w:t>
      </w:r>
      <w:r w:rsidR="00A812FA" w:rsidRPr="00FD62C4">
        <w:rPr>
          <w:lang w:eastAsia="zh-CN"/>
        </w:rPr>
        <w:t>A4-</w:t>
      </w:r>
      <w:r w:rsidR="00A812FA" w:rsidRPr="00FD62C4">
        <w:rPr>
          <w:lang w:eastAsia="ko-KR"/>
        </w:rPr>
        <w:t>3</w:t>
      </w:r>
    </w:p>
    <w:p w14:paraId="1EDB1D67" w14:textId="77777777" w:rsidR="00A812FA" w:rsidRPr="00FD62C4" w:rsidRDefault="00A812FA" w:rsidP="00A812FA">
      <w:pPr>
        <w:pStyle w:val="Figuretitle"/>
        <w:rPr>
          <w:lang w:eastAsia="ko-KR"/>
        </w:rPr>
      </w:pPr>
      <w:r w:rsidRPr="00FD62C4">
        <w:rPr>
          <w:lang w:eastAsia="ko-KR"/>
        </w:rPr>
        <w:t>Geographic heat map of the same set of municipalities and their SUE values</w:t>
      </w:r>
    </w:p>
    <w:p w14:paraId="5703CD9C" w14:textId="77777777" w:rsidR="00A812FA" w:rsidRPr="00FD62C4" w:rsidRDefault="00A812FA" w:rsidP="00A812FA">
      <w:pPr>
        <w:pStyle w:val="Figure"/>
        <w:rPr>
          <w:rFonts w:eastAsiaTheme="minorEastAsia"/>
        </w:rPr>
      </w:pPr>
      <w:r w:rsidRPr="00FD62C4">
        <w:rPr>
          <w:rFonts w:eastAsia="Malgun Gothic"/>
          <w:noProof/>
        </w:rPr>
        <w:drawing>
          <wp:inline distT="0" distB="0" distL="0" distR="0" wp14:anchorId="56C703F7" wp14:editId="487A370B">
            <wp:extent cx="4368800" cy="1848054"/>
            <wp:effectExtent l="0" t="0" r="0" b="0"/>
            <wp:docPr id="31" name="그림 31" descr="Geographic heat map of the same set of municipalities and their SUE valu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그림 31" descr="Geographic heat map of the same set of municipalities and their SUE values"/>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374370" cy="1850410"/>
                    </a:xfrm>
                    <a:prstGeom prst="rect">
                      <a:avLst/>
                    </a:prstGeom>
                    <a:noFill/>
                    <a:ln>
                      <a:noFill/>
                    </a:ln>
                  </pic:spPr>
                </pic:pic>
              </a:graphicData>
            </a:graphic>
          </wp:inline>
        </w:drawing>
      </w:r>
    </w:p>
    <w:p w14:paraId="47F3C7AB" w14:textId="77777777" w:rsidR="00A812FA" w:rsidRPr="00FD62C4" w:rsidRDefault="00A812FA" w:rsidP="00A812FA">
      <w:pPr>
        <w:pStyle w:val="Headingb"/>
        <w:rPr>
          <w:rFonts w:eastAsia="Malgun Gothic"/>
        </w:rPr>
      </w:pPr>
      <w:r w:rsidRPr="00FD62C4">
        <w:rPr>
          <w:rFonts w:eastAsia="Malgun Gothic"/>
        </w:rPr>
        <w:lastRenderedPageBreak/>
        <w:t>Computing geometric spaces (</w:t>
      </w:r>
      <m:oMath>
        <m:r>
          <m:rPr>
            <m:sty m:val="bi"/>
          </m:rPr>
          <w:rPr>
            <w:rFonts w:ascii="Cambria Math" w:eastAsia="Malgun Gothic" w:hAnsi="Cambria Math"/>
          </w:rPr>
          <m:t>S</m:t>
        </m:r>
      </m:oMath>
      <w:r w:rsidRPr="00FD62C4">
        <w:rPr>
          <w:rFonts w:eastAsia="Malgun Gothic"/>
        </w:rPr>
        <w:t>)</w:t>
      </w:r>
    </w:p>
    <w:p w14:paraId="6E3FB778" w14:textId="77777777" w:rsidR="00A812FA" w:rsidRPr="00FD62C4" w:rsidRDefault="00A812FA" w:rsidP="00A812FA">
      <w:pPr>
        <w:rPr>
          <w:rFonts w:eastAsia="Malgun Gothic"/>
          <w:lang w:eastAsia="ko-KR"/>
        </w:rPr>
      </w:pPr>
      <w:r w:rsidRPr="00FD62C4">
        <w:rPr>
          <w:rFonts w:eastAsia="Malgun Gothic"/>
          <w:lang w:eastAsia="ko-KR"/>
        </w:rPr>
        <w:t>Recommendation ITU-R SM.1046 states that the area unavailable for other radio users can take various forms, including an angular region around a specific location. The size of this restricted zone is determined by the power spectral density. Alternatively, this unavailable space can be defined by the actual coverage area measured for a radiocommunication station.</w:t>
      </w:r>
    </w:p>
    <w:p w14:paraId="1D6E7A52" w14:textId="77777777" w:rsidR="00A812FA" w:rsidRPr="00FD62C4" w:rsidRDefault="00A812FA" w:rsidP="00A812FA">
      <w:pPr>
        <w:rPr>
          <w:lang w:eastAsia="zh-CN"/>
        </w:rPr>
      </w:pPr>
      <w:r w:rsidRPr="00FD62C4">
        <w:rPr>
          <w:lang w:eastAsia="zh-CN"/>
        </w:rPr>
        <w:t xml:space="preserve">A method for determining the denied geometric area from a set of base stations involves computing their signal-to-interference plus noise ratio (SINR). This unavailable space, denoted as </w:t>
      </w:r>
      <m:oMath>
        <m:r>
          <w:rPr>
            <w:rFonts w:ascii="Cambria Math" w:hAnsi="Cambria Math"/>
            <w:lang w:eastAsia="zh-CN"/>
          </w:rPr>
          <m:t>S</m:t>
        </m:r>
      </m:oMath>
      <w:r w:rsidRPr="00FD62C4">
        <w:rPr>
          <w:lang w:eastAsia="zh-CN"/>
        </w:rPr>
        <w:t>, is defined by the contour based on SINR values calculated for specific receiver locations. Along radials spaced in five-degree increments, a test receiver moves and the SINR is calculated as:</w:t>
      </w:r>
    </w:p>
    <w:p w14:paraId="5C7F7F89" w14:textId="111FA669" w:rsidR="008904E8" w:rsidRDefault="008904E8" w:rsidP="008904E8">
      <w:pPr>
        <w:pStyle w:val="Equation"/>
      </w:pPr>
      <w:r>
        <w:rPr>
          <w:lang w:eastAsia="zh-CN"/>
        </w:rPr>
        <w:tab/>
      </w:r>
      <w:r w:rsidR="00A812FA" w:rsidRPr="00FD62C4">
        <w:rPr>
          <w:lang w:eastAsia="zh-CN"/>
        </w:rPr>
        <w:tab/>
      </w:r>
      <m:oMath>
        <m:r>
          <w:rPr>
            <w:rFonts w:ascii="Cambria Math" w:hAnsi="Cambria Math"/>
          </w:rPr>
          <m:t>SINR</m:t>
        </m:r>
        <m:r>
          <m:rPr>
            <m:sty m:val="p"/>
          </m:rPr>
          <w:rPr>
            <w:rFonts w:ascii="Cambria Math" w:hAnsi="Cambria Math"/>
          </w:rPr>
          <m:t xml:space="preserve"> = 10</m:t>
        </m:r>
        <m:sSub>
          <m:sSubPr>
            <m:ctrlPr>
              <w:rPr>
                <w:rFonts w:ascii="Cambria Math" w:hAnsi="Cambria Math"/>
                <w:iCs/>
              </w:rPr>
            </m:ctrlPr>
          </m:sSubPr>
          <m:e>
            <m:r>
              <m:rPr>
                <m:sty m:val="p"/>
              </m:rPr>
              <w:rPr>
                <w:rFonts w:ascii="Cambria Math" w:hAnsi="Cambria Math"/>
              </w:rPr>
              <m:t>log</m:t>
            </m:r>
          </m:e>
          <m:sub>
            <m:r>
              <m:rPr>
                <m:sty m:val="p"/>
              </m:rPr>
              <w:rPr>
                <w:rFonts w:ascii="Cambria Math" w:hAnsi="Cambria Math"/>
              </w:rPr>
              <m:t>10</m:t>
            </m:r>
          </m:sub>
        </m:sSub>
        <m:sSup>
          <m:sSupPr>
            <m:ctrlPr>
              <w:rPr>
                <w:rFonts w:ascii="Cambria Math" w:hAnsi="Cambria Math"/>
              </w:rPr>
            </m:ctrlPr>
          </m:sSupPr>
          <m:e>
            <m:d>
              <m:dPr>
                <m:begChr m:val=""/>
                <m:ctrlPr>
                  <w:rPr>
                    <w:rFonts w:ascii="Cambria Math" w:hAnsi="Cambria Math"/>
                  </w:rPr>
                </m:ctrlPr>
              </m:dPr>
              <m:e>
                <m:d>
                  <m:dPr>
                    <m:endChr m:val=""/>
                    <m:ctrlPr>
                      <w:rPr>
                        <w:rFonts w:ascii="Cambria Math" w:hAnsi="Cambria Math"/>
                      </w:rPr>
                    </m:ctrlPr>
                  </m:dPr>
                  <m:e>
                    <m:r>
                      <m:rPr>
                        <m:sty m:val="p"/>
                      </m:rPr>
                      <w:rPr>
                        <w:rFonts w:ascii="Cambria Math" w:hAnsi="Cambria Math"/>
                      </w:rPr>
                      <m:t xml:space="preserve"> </m:t>
                    </m:r>
                    <m:f>
                      <m:fPr>
                        <m:ctrlPr>
                          <w:rPr>
                            <w:rFonts w:ascii="Cambria Math" w:hAnsi="Cambria Math"/>
                          </w:rPr>
                        </m:ctrlPr>
                      </m:fPr>
                      <m:num>
                        <m:r>
                          <w:rPr>
                            <w:rFonts w:ascii="Cambria Math" w:hAnsi="Cambria Math"/>
                          </w:rPr>
                          <m:t>s</m:t>
                        </m:r>
                      </m:num>
                      <m:den>
                        <m:r>
                          <w:rPr>
                            <w:rFonts w:ascii="Cambria Math" w:hAnsi="Cambria Math"/>
                          </w:rPr>
                          <m:t>i</m:t>
                        </m:r>
                        <m:r>
                          <m:rPr>
                            <m:sty m:val="p"/>
                          </m:rPr>
                          <w:rPr>
                            <w:rFonts w:ascii="Cambria Math" w:hAnsi="Cambria Math"/>
                          </w:rPr>
                          <m:t>+</m:t>
                        </m:r>
                        <m:r>
                          <w:rPr>
                            <w:rFonts w:ascii="Cambria Math" w:hAnsi="Cambria Math"/>
                          </w:rPr>
                          <m:t>n</m:t>
                        </m:r>
                      </m:den>
                    </m:f>
                  </m:e>
                </m:d>
              </m:e>
            </m:d>
          </m:e>
          <m:sup/>
        </m:sSup>
      </m:oMath>
    </w:p>
    <w:p w14:paraId="5C6B9FA6" w14:textId="77777777" w:rsidR="00A812FA" w:rsidRPr="00FD62C4" w:rsidRDefault="00A812FA" w:rsidP="00A812FA">
      <w:pPr>
        <w:keepNext/>
      </w:pPr>
      <w:r w:rsidRPr="00FD62C4">
        <w:t>where:</w:t>
      </w:r>
    </w:p>
    <w:p w14:paraId="27D87AE6" w14:textId="0F0E8EFE" w:rsidR="00A812FA" w:rsidRPr="00FD62C4" w:rsidRDefault="00A812FA" w:rsidP="00A812FA">
      <w:pPr>
        <w:pStyle w:val="Equationlegend"/>
        <w:tabs>
          <w:tab w:val="left" w:pos="1418"/>
        </w:tabs>
        <w:rPr>
          <w:lang w:val="en-GB"/>
        </w:rPr>
      </w:pPr>
      <w:r w:rsidRPr="00FD62C4">
        <w:rPr>
          <w:i/>
          <w:lang w:val="en-GB"/>
        </w:rPr>
        <w:tab/>
      </w:r>
      <m:oMath>
        <m:r>
          <w:rPr>
            <w:rFonts w:ascii="Cambria Math" w:hAnsi="Cambria Math"/>
            <w:lang w:val="en-GB" w:eastAsia="zh-CN"/>
          </w:rPr>
          <m:t>s</m:t>
        </m:r>
      </m:oMath>
      <w:r w:rsidR="00D45E07" w:rsidRPr="00FD62C4">
        <w:rPr>
          <w:i/>
          <w:lang w:val="en-GB" w:eastAsia="zh-CN"/>
        </w:rPr>
        <w:t xml:space="preserve"> </w:t>
      </w:r>
      <w:r w:rsidRPr="00FD62C4">
        <w:rPr>
          <w:lang w:val="en-GB"/>
        </w:rPr>
        <w:t>:</w:t>
      </w:r>
      <w:r w:rsidRPr="00FD62C4">
        <w:rPr>
          <w:lang w:val="en-GB"/>
        </w:rPr>
        <w:tab/>
      </w:r>
      <w:r w:rsidRPr="00FD62C4">
        <w:rPr>
          <w:lang w:val="en-GB" w:eastAsia="zh-CN"/>
        </w:rPr>
        <w:t>strength of the incident signal transmitted by the evaluated station,</w:t>
      </w:r>
    </w:p>
    <w:p w14:paraId="36EF89FE" w14:textId="38929865" w:rsidR="00A812FA" w:rsidRPr="00FD62C4" w:rsidRDefault="00A812FA" w:rsidP="0056771B">
      <w:pPr>
        <w:pStyle w:val="Equationlegend"/>
        <w:tabs>
          <w:tab w:val="left" w:pos="1418"/>
        </w:tabs>
        <w:rPr>
          <w:lang w:val="en-GB"/>
        </w:rPr>
      </w:pPr>
      <w:r w:rsidRPr="00FD62C4">
        <w:rPr>
          <w:i/>
          <w:lang w:val="en-GB"/>
        </w:rPr>
        <w:tab/>
      </w:r>
      <m:oMath>
        <m:r>
          <w:rPr>
            <w:rFonts w:ascii="Cambria Math" w:hAnsi="Cambria Math"/>
            <w:lang w:val="en-GB" w:eastAsia="zh-CN"/>
          </w:rPr>
          <m:t>i</m:t>
        </m:r>
      </m:oMath>
      <w:r w:rsidR="00D45E07" w:rsidRPr="00FD62C4">
        <w:rPr>
          <w:i/>
          <w:lang w:val="en-GB" w:eastAsia="zh-CN"/>
        </w:rPr>
        <w:t xml:space="preserve"> </w:t>
      </w:r>
      <w:r w:rsidRPr="00FD62C4">
        <w:rPr>
          <w:lang w:val="en-GB"/>
        </w:rPr>
        <w:t>:</w:t>
      </w:r>
      <w:r w:rsidR="0056771B">
        <w:rPr>
          <w:lang w:val="en-GB"/>
        </w:rPr>
        <w:tab/>
      </w:r>
      <w:r w:rsidR="0056771B">
        <w:rPr>
          <w:lang w:val="en-GB"/>
        </w:rPr>
        <w:tab/>
      </w:r>
      <w:r w:rsidRPr="00FD62C4">
        <w:rPr>
          <w:lang w:val="en-GB" w:eastAsia="zh-CN"/>
        </w:rPr>
        <w:t>aggregate interference of the set of stations operating on the same frequency in the vicinity of the mobile,</w:t>
      </w:r>
    </w:p>
    <w:p w14:paraId="1E8DB735" w14:textId="1F7E0738" w:rsidR="00A812FA" w:rsidRPr="00FD62C4" w:rsidRDefault="00A812FA" w:rsidP="00A812FA">
      <w:pPr>
        <w:pStyle w:val="Equationlegend"/>
        <w:tabs>
          <w:tab w:val="left" w:pos="1418"/>
        </w:tabs>
        <w:rPr>
          <w:lang w:val="en-GB"/>
        </w:rPr>
      </w:pPr>
      <w:r w:rsidRPr="00FD62C4">
        <w:rPr>
          <w:i/>
          <w:lang w:val="en-GB"/>
        </w:rPr>
        <w:tab/>
      </w:r>
      <w:r w:rsidRPr="00FD62C4">
        <w:rPr>
          <w:i/>
          <w:lang w:val="en-GB"/>
        </w:rPr>
        <w:tab/>
      </w:r>
      <m:oMath>
        <m:r>
          <w:rPr>
            <w:rFonts w:ascii="Cambria Math" w:hAnsi="Cambria Math"/>
            <w:lang w:val="en-GB" w:eastAsia="zh-CN"/>
          </w:rPr>
          <m:t>n</m:t>
        </m:r>
      </m:oMath>
      <w:r w:rsidR="001B0807" w:rsidRPr="00FD62C4">
        <w:rPr>
          <w:i/>
          <w:lang w:val="en-GB" w:eastAsia="zh-CN"/>
        </w:rPr>
        <w:t xml:space="preserve"> </w:t>
      </w:r>
      <w:r w:rsidRPr="00FD62C4">
        <w:rPr>
          <w:lang w:val="en-GB"/>
        </w:rPr>
        <w:t>:</w:t>
      </w:r>
      <w:r w:rsidRPr="00FD62C4">
        <w:rPr>
          <w:lang w:val="en-GB"/>
        </w:rPr>
        <w:tab/>
      </w:r>
      <w:r w:rsidRPr="00FD62C4">
        <w:rPr>
          <w:lang w:val="en-GB" w:eastAsia="zh-CN"/>
        </w:rPr>
        <w:t xml:space="preserve">mobile receiver noise power </w:t>
      </w:r>
      <m:oMath>
        <m:r>
          <w:rPr>
            <w:rFonts w:ascii="Cambria Math" w:hAnsi="Cambria Math"/>
            <w:lang w:val="en-GB" w:eastAsia="zh-CN"/>
          </w:rPr>
          <m:t>(kTBF</m:t>
        </m:r>
      </m:oMath>
      <w:r w:rsidRPr="00FD62C4">
        <w:rPr>
          <w:lang w:val="en-GB" w:eastAsia="zh-CN"/>
        </w:rPr>
        <w:t>).</w:t>
      </w:r>
    </w:p>
    <w:p w14:paraId="3DBA2F3E" w14:textId="578A5756" w:rsidR="00A812FA" w:rsidRPr="00FD62C4" w:rsidRDefault="00A812FA" w:rsidP="00A812FA">
      <w:pPr>
        <w:rPr>
          <w:lang w:eastAsia="zh-CN"/>
        </w:rPr>
      </w:pPr>
      <w:r w:rsidRPr="00FD62C4">
        <w:rPr>
          <w:lang w:eastAsia="zh-CN"/>
        </w:rPr>
        <w:t xml:space="preserve">The incident, desired and interfering, signal strengths are calculated by the free-space path loss (FSPL) model of Recommendation ITU-R P.525, and the receiver noise power is calculated from a thermal noise level of </w:t>
      </w:r>
      <w:r w:rsidR="00FC5704" w:rsidRPr="00FD62C4">
        <w:rPr>
          <w:lang w:eastAsia="zh-CN"/>
        </w:rPr>
        <w:t>−</w:t>
      </w:r>
      <w:r w:rsidRPr="00FD62C4">
        <w:rPr>
          <w:lang w:eastAsia="zh-CN"/>
        </w:rPr>
        <w:t>174 dBm/Hz and a noise figure of 7 dB, as given in Table 5 of Report ITU</w:t>
      </w:r>
      <w:r w:rsidR="004048D3" w:rsidRPr="00FD62C4">
        <w:rPr>
          <w:lang w:eastAsia="zh-CN"/>
        </w:rPr>
        <w:t>‑</w:t>
      </w:r>
      <w:r w:rsidRPr="00FD62C4">
        <w:rPr>
          <w:lang w:eastAsia="zh-CN"/>
        </w:rPr>
        <w:t>R</w:t>
      </w:r>
      <w:r w:rsidR="004048D3" w:rsidRPr="00FD62C4">
        <w:rPr>
          <w:lang w:eastAsia="zh-CN"/>
        </w:rPr>
        <w:t> </w:t>
      </w:r>
      <w:r w:rsidRPr="00FD62C4">
        <w:rPr>
          <w:lang w:eastAsia="zh-CN"/>
        </w:rPr>
        <w:t>M.2412.</w:t>
      </w:r>
    </w:p>
    <w:p w14:paraId="2AB31FD6" w14:textId="77777777" w:rsidR="00A812FA" w:rsidRPr="00FD62C4" w:rsidRDefault="00A812FA" w:rsidP="00A812FA">
      <w:pPr>
        <w:rPr>
          <w:lang w:eastAsia="zh-CN"/>
        </w:rPr>
      </w:pPr>
      <w:r w:rsidRPr="00FD62C4">
        <w:rPr>
          <w:lang w:eastAsia="zh-CN"/>
        </w:rPr>
        <w:t>Figure A4-</w:t>
      </w:r>
      <w:r w:rsidRPr="00FD62C4">
        <w:rPr>
          <w:lang w:eastAsia="ko-KR"/>
        </w:rPr>
        <w:t xml:space="preserve">4 </w:t>
      </w:r>
      <w:r w:rsidRPr="00FD62C4">
        <w:rPr>
          <w:lang w:eastAsia="zh-CN"/>
        </w:rPr>
        <w:t>illustrates contours generated with SINR = 0 dB in each sector of a base station of n78 band (C-Band). The e.i.r.p. values of each sector, in the direction of maximum radiation, are obtained from the Brazilian Assignment and Licensing System database, and the antennas are modelled with Gaussian radiation pattern for simplification purposes.</w:t>
      </w:r>
    </w:p>
    <w:p w14:paraId="34D92511" w14:textId="783B3D44" w:rsidR="00A812FA" w:rsidRPr="00FD62C4" w:rsidRDefault="00FC5704" w:rsidP="0056771B">
      <w:pPr>
        <w:pStyle w:val="FigureNo"/>
        <w:rPr>
          <w:lang w:eastAsia="ko-KR"/>
        </w:rPr>
      </w:pPr>
      <w:r w:rsidRPr="0056771B">
        <w:t>FIGURE</w:t>
      </w:r>
      <w:r w:rsidR="00A812FA" w:rsidRPr="00FD62C4">
        <w:t xml:space="preserve"> </w:t>
      </w:r>
      <w:r w:rsidR="00A812FA" w:rsidRPr="00FD62C4">
        <w:rPr>
          <w:lang w:eastAsia="zh-CN"/>
        </w:rPr>
        <w:t>A4-</w:t>
      </w:r>
      <w:r w:rsidR="00A812FA" w:rsidRPr="00FD62C4">
        <w:rPr>
          <w:lang w:eastAsia="ko-KR"/>
        </w:rPr>
        <w:t>4</w:t>
      </w:r>
    </w:p>
    <w:p w14:paraId="096FCC3B" w14:textId="77777777" w:rsidR="00A812FA" w:rsidRPr="00FD62C4" w:rsidRDefault="00A812FA" w:rsidP="00A812FA">
      <w:pPr>
        <w:pStyle w:val="Figuretitle"/>
        <w:rPr>
          <w:lang w:eastAsia="ko-KR"/>
        </w:rPr>
      </w:pPr>
      <w:r w:rsidRPr="00FD62C4">
        <w:rPr>
          <w:lang w:eastAsia="ko-KR"/>
        </w:rPr>
        <w:t>Total spectrum use space of an IMT base station based on SINR map contours</w:t>
      </w:r>
    </w:p>
    <w:p w14:paraId="20FA98C0" w14:textId="77777777" w:rsidR="00A812FA" w:rsidRPr="00FD62C4" w:rsidRDefault="00A812FA" w:rsidP="00A812FA">
      <w:pPr>
        <w:pStyle w:val="Figure"/>
        <w:rPr>
          <w:lang w:eastAsia="ko-KR"/>
        </w:rPr>
      </w:pPr>
      <w:r w:rsidRPr="00FD62C4">
        <w:rPr>
          <w:noProof/>
          <w:lang w:eastAsia="ko-KR"/>
        </w:rPr>
        <w:drawing>
          <wp:inline distT="0" distB="0" distL="0" distR="0" wp14:anchorId="337A2930" wp14:editId="0320AB1E">
            <wp:extent cx="3677771" cy="2989385"/>
            <wp:effectExtent l="0" t="0" r="0" b="1905"/>
            <wp:docPr id="2" name="Imagem 2" descr="Total spectrum use space of an IMT base station based on SINR map contou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2" descr="Total spectrum use space of an IMT base station based on SINR map contours"/>
                    <pic:cNvPicPr/>
                  </pic:nvPicPr>
                  <pic:blipFill>
                    <a:blip r:embed="rId55">
                      <a:extLst>
                        <a:ext uri="{28A0092B-C50C-407E-A947-70E740481C1C}">
                          <a14:useLocalDpi xmlns:a14="http://schemas.microsoft.com/office/drawing/2010/main" val="0"/>
                        </a:ext>
                      </a:extLst>
                    </a:blip>
                    <a:stretch>
                      <a:fillRect/>
                    </a:stretch>
                  </pic:blipFill>
                  <pic:spPr>
                    <a:xfrm>
                      <a:off x="0" y="0"/>
                      <a:ext cx="3692740" cy="3001552"/>
                    </a:xfrm>
                    <a:prstGeom prst="rect">
                      <a:avLst/>
                    </a:prstGeom>
                  </pic:spPr>
                </pic:pic>
              </a:graphicData>
            </a:graphic>
          </wp:inline>
        </w:drawing>
      </w:r>
    </w:p>
    <w:p w14:paraId="48C2C2C2" w14:textId="64847FF9" w:rsidR="00A812FA" w:rsidRPr="00FD62C4" w:rsidRDefault="00A812FA" w:rsidP="009314CB">
      <w:pPr>
        <w:pStyle w:val="Normalaftertitle"/>
        <w:keepNext/>
        <w:keepLines/>
        <w:rPr>
          <w:lang w:eastAsia="ko-KR"/>
        </w:rPr>
      </w:pPr>
      <w:r w:rsidRPr="00FD62C4">
        <w:rPr>
          <w:lang w:eastAsia="zh-CN"/>
        </w:rPr>
        <w:lastRenderedPageBreak/>
        <w:t>Heat maps such as those illustrated in Fig</w:t>
      </w:r>
      <w:r w:rsidR="00DB3DDD" w:rsidRPr="00FD62C4">
        <w:rPr>
          <w:lang w:eastAsia="zh-CN"/>
        </w:rPr>
        <w:t>.</w:t>
      </w:r>
      <w:r w:rsidRPr="00FD62C4">
        <w:rPr>
          <w:lang w:eastAsia="zh-CN"/>
        </w:rPr>
        <w:t xml:space="preserve"> A4-3 can then have their resolution improved by enhancing the granularity from municipalities to base stations and their occupied spectrum units. It will then be possible to observe the efficiency of the spectrum used by visual inspection and estimate the total spectrum use space by summing the occupied areas. These areas are beneficial when evaluating the criteria for </w:t>
      </w:r>
      <w:r w:rsidRPr="00FD62C4">
        <w:rPr>
          <w:lang w:eastAsia="ko-KR"/>
        </w:rPr>
        <w:t>assessing spectrum availability in the case of “shared use of licensed spectrum” defined in Annex 1.</w:t>
      </w:r>
    </w:p>
    <w:p w14:paraId="72B6717A" w14:textId="77777777" w:rsidR="00A812FA" w:rsidRPr="00FD62C4" w:rsidRDefault="00A812FA" w:rsidP="00A812FA">
      <w:pPr>
        <w:pStyle w:val="Headingb"/>
      </w:pPr>
      <w:r w:rsidRPr="00FD62C4">
        <w:t>Conversion of quantities for unit consistency (Annex 1 to this Report)</w:t>
      </w:r>
    </w:p>
    <w:p w14:paraId="5C2C4FD4" w14:textId="6BE33E8F" w:rsidR="00A812FA" w:rsidRPr="00FD62C4" w:rsidRDefault="002335B2" w:rsidP="00A812FA">
      <w:pPr>
        <w:rPr>
          <w:lang w:eastAsia="zh-CN"/>
        </w:rPr>
      </w:pPr>
      <w:r w:rsidRPr="00FD62C4">
        <w:rPr>
          <w:lang w:eastAsia="zh-CN"/>
        </w:rPr>
        <w:t>A</w:t>
      </w:r>
      <w:r w:rsidR="00A812FA" w:rsidRPr="00FD62C4">
        <w:rPr>
          <w:lang w:eastAsia="zh-CN"/>
        </w:rPr>
        <w:t xml:space="preserve">s stated in </w:t>
      </w:r>
      <w:r w:rsidRPr="00FD62C4">
        <w:rPr>
          <w:lang w:eastAsia="zh-CN"/>
        </w:rPr>
        <w:t>§</w:t>
      </w:r>
      <w:r w:rsidR="00A812FA" w:rsidRPr="00FD62C4">
        <w:rPr>
          <w:lang w:eastAsia="zh-CN"/>
        </w:rPr>
        <w:t xml:space="preserve"> A1</w:t>
      </w:r>
      <w:r w:rsidR="00650B34" w:rsidRPr="00FD62C4">
        <w:rPr>
          <w:lang w:eastAsia="zh-CN"/>
        </w:rPr>
        <w:t>.</w:t>
      </w:r>
      <w:r w:rsidR="00A812FA" w:rsidRPr="00FD62C4">
        <w:rPr>
          <w:lang w:eastAsia="zh-CN"/>
        </w:rPr>
        <w:t>3.1.2, spectrum availability is assessed by comparing the supply and demand of spectrum. Both spectrum usage</w:t>
      </w:r>
      <w:r w:rsidR="0078561C" w:rsidRPr="00FD62C4">
        <w:rPr>
          <w:lang w:eastAsia="zh-CN"/>
        </w:rPr>
        <w:t xml:space="preserve"> (</w:t>
      </w:r>
      <w:r w:rsidR="0078561C" w:rsidRPr="00FD62C4">
        <w:rPr>
          <w:i/>
          <w:iCs/>
          <w:lang w:eastAsia="zh-CN"/>
        </w:rPr>
        <w:t>R</w:t>
      </w:r>
      <w:r w:rsidR="0078561C" w:rsidRPr="00FD62C4">
        <w:rPr>
          <w:lang w:eastAsia="zh-CN"/>
        </w:rPr>
        <w:t>)</w:t>
      </w:r>
      <w:r w:rsidR="00A812FA" w:rsidRPr="00FD62C4">
        <w:rPr>
          <w:lang w:eastAsia="zh-CN"/>
        </w:rPr>
        <w:t xml:space="preserve"> and bandwidth </w:t>
      </w:r>
      <w:r w:rsidR="00643EEA" w:rsidRPr="00FD62C4">
        <w:rPr>
          <w:lang w:eastAsia="zh-CN"/>
        </w:rPr>
        <w:t>(</w:t>
      </w:r>
      <w:r w:rsidR="00643EEA" w:rsidRPr="00FD62C4">
        <w:rPr>
          <w:i/>
          <w:iCs/>
          <w:lang w:eastAsia="zh-CN"/>
        </w:rPr>
        <w:t>B</w:t>
      </w:r>
      <w:r w:rsidR="00643EEA" w:rsidRPr="00FD62C4">
        <w:rPr>
          <w:lang w:eastAsia="zh-CN"/>
        </w:rPr>
        <w:t>)</w:t>
      </w:r>
      <w:r w:rsidR="00A812FA" w:rsidRPr="00FD62C4">
        <w:rPr>
          <w:lang w:eastAsia="zh-CN"/>
        </w:rPr>
        <w:t xml:space="preserve"> are measured in Hertz (Hz), allowing for direct comparison. However, since traffic amount (</w:t>
      </w:r>
      <w:r w:rsidR="003F5D60" w:rsidRPr="00FD62C4">
        <w:rPr>
          <w:i/>
          <w:iCs/>
          <w:lang w:eastAsia="zh-CN"/>
        </w:rPr>
        <w:t>T</w:t>
      </w:r>
      <w:r w:rsidR="00A812FA" w:rsidRPr="00FD62C4">
        <w:rPr>
          <w:lang w:eastAsia="zh-CN"/>
        </w:rPr>
        <w:t xml:space="preserve">) is measured in bits per second (bits/s) and bandwidth </w:t>
      </w:r>
      <w:r w:rsidR="003F5D60" w:rsidRPr="00FD62C4">
        <w:rPr>
          <w:lang w:eastAsia="zh-CN"/>
        </w:rPr>
        <w:t>(</w:t>
      </w:r>
      <w:r w:rsidR="003F5D60" w:rsidRPr="00FD62C4">
        <w:rPr>
          <w:i/>
          <w:iCs/>
          <w:lang w:eastAsia="zh-CN"/>
        </w:rPr>
        <w:t>B</w:t>
      </w:r>
      <w:r w:rsidR="003F5D60" w:rsidRPr="00FD62C4">
        <w:rPr>
          <w:lang w:eastAsia="zh-CN"/>
        </w:rPr>
        <w:t>)</w:t>
      </w:r>
      <w:r w:rsidR="00A812FA" w:rsidRPr="00FD62C4">
        <w:rPr>
          <w:lang w:eastAsia="zh-CN"/>
        </w:rPr>
        <w:t xml:space="preserve"> is measured in Hertz (Hz), they represent different types of quantities and cannot be directly compared. It is necessary to convert the bandwidth</w:t>
      </w:r>
      <w:r w:rsidR="003F5D60" w:rsidRPr="00FD62C4">
        <w:rPr>
          <w:lang w:eastAsia="zh-CN"/>
        </w:rPr>
        <w:t xml:space="preserve"> </w:t>
      </w:r>
      <w:r w:rsidR="003F5D60" w:rsidRPr="00FD62C4">
        <w:rPr>
          <w:i/>
          <w:iCs/>
          <w:lang w:eastAsia="zh-CN"/>
        </w:rPr>
        <w:t>B</w:t>
      </w:r>
      <w:r w:rsidR="00A812FA" w:rsidRPr="00FD62C4">
        <w:rPr>
          <w:lang w:eastAsia="zh-CN"/>
        </w:rPr>
        <w:t xml:space="preserve"> to system capacity </w:t>
      </w:r>
      <w:r w:rsidR="006941C4" w:rsidRPr="00FD62C4">
        <w:rPr>
          <w:lang w:eastAsia="zh-CN"/>
        </w:rPr>
        <w:t>(</w:t>
      </w:r>
      <w:r w:rsidR="006941C4" w:rsidRPr="00FD62C4">
        <w:rPr>
          <w:i/>
          <w:iCs/>
          <w:lang w:eastAsia="zh-CN"/>
        </w:rPr>
        <w:t>C</w:t>
      </w:r>
      <w:r w:rsidR="006941C4" w:rsidRPr="00FD62C4">
        <w:rPr>
          <w:lang w:eastAsia="zh-CN"/>
        </w:rPr>
        <w:t>)</w:t>
      </w:r>
      <w:r w:rsidR="00A812FA" w:rsidRPr="00FD62C4">
        <w:rPr>
          <w:lang w:eastAsia="zh-CN"/>
        </w:rPr>
        <w:t xml:space="preserve">, or convert the traffic amount </w:t>
      </w:r>
      <w:r w:rsidR="006941C4" w:rsidRPr="00FD62C4">
        <w:rPr>
          <w:lang w:eastAsia="zh-CN"/>
        </w:rPr>
        <w:t>(</w:t>
      </w:r>
      <w:r w:rsidR="006941C4" w:rsidRPr="00FD62C4">
        <w:rPr>
          <w:i/>
          <w:iCs/>
          <w:lang w:eastAsia="zh-CN"/>
        </w:rPr>
        <w:t>T</w:t>
      </w:r>
      <w:r w:rsidR="006941C4" w:rsidRPr="00FD62C4">
        <w:rPr>
          <w:lang w:eastAsia="zh-CN"/>
        </w:rPr>
        <w:t>)</w:t>
      </w:r>
      <w:r w:rsidR="00A812FA" w:rsidRPr="00FD62C4">
        <w:rPr>
          <w:lang w:eastAsia="zh-CN"/>
        </w:rPr>
        <w:t xml:space="preserve"> into spectrum usage </w:t>
      </w:r>
      <w:r w:rsidR="006941C4" w:rsidRPr="00FD62C4">
        <w:rPr>
          <w:lang w:eastAsia="zh-CN"/>
        </w:rPr>
        <w:t>(</w:t>
      </w:r>
      <w:r w:rsidR="00375993" w:rsidRPr="00FD62C4">
        <w:rPr>
          <w:i/>
          <w:iCs/>
          <w:lang w:eastAsia="zh-CN"/>
        </w:rPr>
        <w:t>R</w:t>
      </w:r>
      <w:r w:rsidR="006941C4" w:rsidRPr="00FD62C4">
        <w:rPr>
          <w:lang w:eastAsia="zh-CN"/>
        </w:rPr>
        <w:t>)</w:t>
      </w:r>
      <w:r w:rsidR="00A812FA" w:rsidRPr="00FD62C4">
        <w:rPr>
          <w:lang w:eastAsia="zh-CN"/>
        </w:rPr>
        <w:t xml:space="preserve"> in Hertz (Hz), this is done in the aforementioned section with </w:t>
      </w:r>
      <w:r w:rsidR="00375993" w:rsidRPr="00FD62C4">
        <w:rPr>
          <w:lang w:eastAsia="zh-CN"/>
        </w:rPr>
        <w:t>e</w:t>
      </w:r>
      <w:r w:rsidR="00A812FA" w:rsidRPr="00FD62C4">
        <w:rPr>
          <w:lang w:eastAsia="zh-CN"/>
        </w:rPr>
        <w:t>quations (E-3) and (E-4) in Annex 1 to this Report, respectively.</w:t>
      </w:r>
    </w:p>
    <w:p w14:paraId="2AFF5142" w14:textId="27A6E697" w:rsidR="00A812FA" w:rsidRPr="00FD62C4" w:rsidRDefault="00A812FA" w:rsidP="00A812FA">
      <w:r w:rsidRPr="00FD62C4">
        <w:rPr>
          <w:lang w:eastAsia="zh-CN"/>
        </w:rPr>
        <w:t>When the</w:t>
      </w:r>
      <w:r w:rsidRPr="00FD62C4">
        <w:rPr>
          <w:lang w:eastAsia="ko-KR"/>
        </w:rPr>
        <w:t xml:space="preserve"> useful effect</w:t>
      </w:r>
      <w:r w:rsidRPr="00FD62C4">
        <w:rPr>
          <w:lang w:eastAsia="zh-CN"/>
        </w:rPr>
        <w:t xml:space="preserve"> </w:t>
      </w:r>
      <w:r w:rsidRPr="00FD62C4">
        <w:rPr>
          <w:rFonts w:eastAsia="Malgun Gothic"/>
          <w:lang w:eastAsia="ko-KR"/>
        </w:rPr>
        <w:t>(</w:t>
      </w:r>
      <w:r w:rsidR="00375993" w:rsidRPr="00FD62C4">
        <w:rPr>
          <w:rFonts w:eastAsia="Malgun Gothic"/>
          <w:i/>
          <w:iCs/>
          <w:lang w:eastAsia="ko-KR"/>
        </w:rPr>
        <w:t>M</w:t>
      </w:r>
      <w:r w:rsidRPr="00FD62C4">
        <w:rPr>
          <w:rFonts w:eastAsia="Malgun Gothic"/>
          <w:lang w:eastAsia="ko-KR"/>
        </w:rPr>
        <w:t>) obtained with the aid of the communication system is taken as the traffic amount (</w:t>
      </w:r>
      <w:r w:rsidR="00655F73" w:rsidRPr="00FD62C4">
        <w:rPr>
          <w:rFonts w:eastAsia="Malgun Gothic"/>
          <w:i/>
          <w:iCs/>
          <w:lang w:eastAsia="ko-KR"/>
        </w:rPr>
        <w:t>T</w:t>
      </w:r>
      <w:r w:rsidRPr="00FD62C4">
        <w:rPr>
          <w:rFonts w:eastAsia="Malgun Gothic"/>
          <w:lang w:eastAsia="ko-KR"/>
        </w:rPr>
        <w:t xml:space="preserve">), the </w:t>
      </w:r>
      <w:r w:rsidRPr="00FD62C4">
        <w:t>spectral efficiency (</w:t>
      </w:r>
      <w:r w:rsidR="00655F73" w:rsidRPr="00FD62C4">
        <w:rPr>
          <w:i/>
          <w:iCs/>
        </w:rPr>
        <w:t>E</w:t>
      </w:r>
      <w:r w:rsidRPr="00FD62C4">
        <w:t>) of the system (in bits/s/Hz) can be expressed as:</w:t>
      </w:r>
    </w:p>
    <w:p w14:paraId="1FDD1144" w14:textId="78A4F602" w:rsidR="00A812FA" w:rsidRPr="00FD62C4" w:rsidRDefault="00A812FA" w:rsidP="00A812FA">
      <w:pPr>
        <w:pStyle w:val="Equation"/>
        <w:rPr>
          <w:lang w:eastAsia="zh-CN"/>
        </w:rPr>
      </w:pPr>
      <w:r w:rsidRPr="00FD62C4">
        <w:rPr>
          <w:iCs/>
          <w:lang w:eastAsia="zh-CN"/>
        </w:rPr>
        <w:tab/>
      </w:r>
      <w:r w:rsidRPr="00FD62C4">
        <w:rPr>
          <w:iCs/>
          <w:lang w:eastAsia="zh-CN"/>
        </w:rPr>
        <w:tab/>
      </w:r>
      <m:oMath>
        <m:r>
          <w:rPr>
            <w:rFonts w:ascii="Cambria Math" w:hAnsi="Cambria Math"/>
            <w:lang w:eastAsia="zh-CN"/>
          </w:rPr>
          <m:t>E</m:t>
        </m:r>
        <m:r>
          <m:rPr>
            <m:sty m:val="p"/>
          </m:rPr>
          <w:rPr>
            <w:rFonts w:ascii="Cambria Math" w:hAnsi="Cambria Math"/>
            <w:lang w:eastAsia="zh-CN"/>
          </w:rPr>
          <m:t xml:space="preserve"> = </m:t>
        </m:r>
        <m:r>
          <w:rPr>
            <w:rFonts w:ascii="Cambria Math" w:hAnsi="Cambria Math"/>
            <w:lang w:eastAsia="zh-CN"/>
          </w:rPr>
          <m:t>SUE</m:t>
        </m:r>
        <m:r>
          <m:rPr>
            <m:sty m:val="p"/>
          </m:rPr>
          <w:rPr>
            <w:rFonts w:ascii="Cambria Math" w:hAnsi="Cambria Math"/>
            <w:lang w:eastAsia="zh-CN"/>
          </w:rPr>
          <m:t xml:space="preserve"> ×</m:t>
        </m:r>
        <m:r>
          <w:rPr>
            <w:rFonts w:ascii="Cambria Math" w:hAnsi="Cambria Math"/>
            <w:lang w:eastAsia="zh-CN"/>
          </w:rPr>
          <m:t>S</m:t>
        </m:r>
        <m:r>
          <m:rPr>
            <m:sty m:val="p"/>
          </m:rPr>
          <w:rPr>
            <w:rFonts w:ascii="Cambria Math" w:hAnsi="Cambria Math"/>
            <w:lang w:eastAsia="zh-CN"/>
          </w:rPr>
          <m:t xml:space="preserve">  </m:t>
        </m:r>
      </m:oMath>
    </w:p>
    <w:p w14:paraId="7EEC31B2" w14:textId="77777777" w:rsidR="00A812FA" w:rsidRPr="00FD62C4" w:rsidRDefault="00A812FA" w:rsidP="00A812FA">
      <w:pPr>
        <w:keepNext/>
      </w:pPr>
      <w:r w:rsidRPr="00FD62C4">
        <w:t>where:</w:t>
      </w:r>
    </w:p>
    <w:p w14:paraId="463B6B41" w14:textId="6BCC4C18" w:rsidR="00A812FA" w:rsidRPr="00FD62C4" w:rsidRDefault="00A812FA" w:rsidP="00A812FA">
      <w:pPr>
        <w:pStyle w:val="Equationlegend"/>
        <w:rPr>
          <w:lang w:val="en-GB"/>
        </w:rPr>
      </w:pPr>
      <w:r w:rsidRPr="00FD62C4">
        <w:rPr>
          <w:i/>
          <w:lang w:val="en-GB"/>
        </w:rPr>
        <w:tab/>
      </w:r>
      <m:oMath>
        <m:r>
          <w:rPr>
            <w:rFonts w:ascii="Cambria Math" w:hAnsi="Cambria Math"/>
            <w:lang w:val="en-GB"/>
          </w:rPr>
          <m:t xml:space="preserve">SUE </m:t>
        </m:r>
      </m:oMath>
      <w:r w:rsidRPr="00FD62C4">
        <w:rPr>
          <w:lang w:val="en-GB"/>
        </w:rPr>
        <w:t>:</w:t>
      </w:r>
      <w:r w:rsidRPr="00FD62C4">
        <w:rPr>
          <w:lang w:val="en-GB"/>
        </w:rPr>
        <w:tab/>
      </w:r>
      <w:r w:rsidRPr="00FD62C4">
        <w:rPr>
          <w:rFonts w:eastAsia="Malgun Gothic"/>
          <w:lang w:val="en-GB" w:eastAsia="ko-KR"/>
        </w:rPr>
        <w:t>spectrum utilization efficiency</w:t>
      </w:r>
    </w:p>
    <w:p w14:paraId="708E8489" w14:textId="2B79B310" w:rsidR="00A812FA" w:rsidRPr="00FD62C4" w:rsidRDefault="00A812FA" w:rsidP="00A812FA">
      <w:pPr>
        <w:pStyle w:val="Equationlegend"/>
        <w:rPr>
          <w:lang w:val="en-GB"/>
        </w:rPr>
      </w:pPr>
      <w:r w:rsidRPr="00FD62C4">
        <w:rPr>
          <w:i/>
          <w:lang w:val="en-GB"/>
        </w:rPr>
        <w:tab/>
      </w:r>
      <m:oMath>
        <m:r>
          <w:rPr>
            <w:rFonts w:ascii="Cambria Math" w:hAnsi="Cambria Math"/>
            <w:lang w:val="en-GB"/>
          </w:rPr>
          <m:t xml:space="preserve">S </m:t>
        </m:r>
      </m:oMath>
      <w:r w:rsidRPr="00FD62C4">
        <w:rPr>
          <w:lang w:val="en-GB"/>
        </w:rPr>
        <w:t>:</w:t>
      </w:r>
      <w:r w:rsidRPr="00FD62C4">
        <w:rPr>
          <w:lang w:val="en-GB"/>
        </w:rPr>
        <w:tab/>
        <w:t>Geometric/Geographic space denied by other potential users</w:t>
      </w:r>
      <w:r w:rsidR="00655F73" w:rsidRPr="00FD62C4">
        <w:rPr>
          <w:lang w:val="en-GB"/>
        </w:rPr>
        <w:t>.</w:t>
      </w:r>
    </w:p>
    <w:p w14:paraId="267F7980" w14:textId="5010F2C9" w:rsidR="00A812FA" w:rsidRPr="00FD62C4" w:rsidRDefault="00A812FA" w:rsidP="00A812FA">
      <w:pPr>
        <w:rPr>
          <w:lang w:eastAsia="zh-CN"/>
        </w:rPr>
      </w:pPr>
      <w:r w:rsidRPr="00FD62C4">
        <w:rPr>
          <w:lang w:eastAsia="zh-CN"/>
        </w:rPr>
        <w:t>Thus, in terms of SUE and</w:t>
      </w:r>
      <w:r w:rsidR="00655F73" w:rsidRPr="00FD62C4">
        <w:rPr>
          <w:lang w:eastAsia="zh-CN"/>
        </w:rPr>
        <w:t xml:space="preserve"> </w:t>
      </w:r>
      <w:r w:rsidR="00655F73" w:rsidRPr="00FD62C4">
        <w:rPr>
          <w:i/>
          <w:iCs/>
          <w:lang w:eastAsia="zh-CN"/>
        </w:rPr>
        <w:t>S</w:t>
      </w:r>
      <w:r w:rsidRPr="00FD62C4">
        <w:rPr>
          <w:lang w:eastAsia="zh-CN"/>
        </w:rPr>
        <w:t xml:space="preserve"> values, </w:t>
      </w:r>
      <w:r w:rsidR="00BA3876" w:rsidRPr="00FD62C4">
        <w:rPr>
          <w:lang w:eastAsia="zh-CN"/>
        </w:rPr>
        <w:t>e</w:t>
      </w:r>
      <w:r w:rsidRPr="00FD62C4">
        <w:rPr>
          <w:lang w:eastAsia="zh-CN"/>
        </w:rPr>
        <w:t>quations (E-3) and (E-4) in Annex 1 to this Report can be written as:</w:t>
      </w:r>
    </w:p>
    <w:p w14:paraId="0364F58D" w14:textId="77777777" w:rsidR="00A812FA" w:rsidRPr="00FD62C4" w:rsidRDefault="00A812FA" w:rsidP="00A812FA">
      <w:pPr>
        <w:pStyle w:val="Equation"/>
        <w:rPr>
          <w:lang w:eastAsia="ko-KR"/>
        </w:rPr>
      </w:pPr>
      <w:r w:rsidRPr="00FD62C4">
        <w:rPr>
          <w:iCs/>
          <w:lang w:eastAsia="zh-CN"/>
        </w:rPr>
        <w:tab/>
      </w:r>
      <w:r w:rsidRPr="00FD62C4">
        <w:rPr>
          <w:iCs/>
          <w:lang w:eastAsia="zh-CN"/>
        </w:rPr>
        <w:tab/>
      </w:r>
      <m:oMath>
        <m:r>
          <w:rPr>
            <w:rFonts w:ascii="Cambria Math" w:hAnsi="Cambria Math"/>
            <w:lang w:eastAsia="zh-CN"/>
          </w:rPr>
          <m:t>C</m:t>
        </m:r>
        <m:r>
          <m:rPr>
            <m:sty m:val="p"/>
          </m:rPr>
          <w:rPr>
            <w:rFonts w:ascii="Cambria Math" w:hAnsi="Cambria Math"/>
            <w:lang w:eastAsia="zh-CN"/>
          </w:rPr>
          <m:t>=</m:t>
        </m:r>
        <m:r>
          <w:rPr>
            <w:rFonts w:ascii="Cambria Math" w:hAnsi="Cambria Math"/>
            <w:lang w:eastAsia="zh-CN"/>
          </w:rPr>
          <m:t>B</m:t>
        </m:r>
        <m:r>
          <m:rPr>
            <m:sty m:val="p"/>
          </m:rPr>
          <w:rPr>
            <w:rFonts w:ascii="Cambria Math" w:hAnsi="Cambria Math"/>
            <w:lang w:eastAsia="zh-CN"/>
          </w:rPr>
          <m:t>×</m:t>
        </m:r>
        <m:r>
          <w:rPr>
            <w:rFonts w:ascii="Cambria Math" w:hAnsi="Cambria Math"/>
            <w:lang w:eastAsia="zh-CN"/>
          </w:rPr>
          <m:t>SUE</m:t>
        </m:r>
        <m:r>
          <m:rPr>
            <m:sty m:val="p"/>
          </m:rPr>
          <w:rPr>
            <w:rFonts w:ascii="Cambria Math" w:hAnsi="Cambria Math"/>
            <w:lang w:eastAsia="zh-CN"/>
          </w:rPr>
          <m:t>×</m:t>
        </m:r>
        <m:r>
          <w:rPr>
            <w:rFonts w:ascii="Cambria Math" w:hAnsi="Cambria Math"/>
            <w:lang w:eastAsia="zh-CN"/>
          </w:rPr>
          <m:t>S</m:t>
        </m:r>
        <m:r>
          <m:rPr>
            <m:sty m:val="p"/>
          </m:rPr>
          <w:rPr>
            <w:rFonts w:ascii="Cambria Math" w:hAnsi="Cambria Math"/>
            <w:lang w:eastAsia="zh-CN"/>
          </w:rPr>
          <m:t>×</m:t>
        </m:r>
        <m:sSub>
          <m:sSubPr>
            <m:ctrlPr>
              <w:rPr>
                <w:rFonts w:ascii="Cambria Math" w:hAnsi="Cambria Math"/>
                <w:lang w:eastAsia="zh-CN"/>
              </w:rPr>
            </m:ctrlPr>
          </m:sSubPr>
          <m:e>
            <m:r>
              <w:rPr>
                <w:rFonts w:ascii="Cambria Math" w:hAnsi="Cambria Math"/>
                <w:lang w:eastAsia="zh-CN"/>
              </w:rPr>
              <m:t>N</m:t>
            </m:r>
          </m:e>
          <m:sub>
            <m:r>
              <w:rPr>
                <w:rFonts w:ascii="Cambria Math" w:hAnsi="Cambria Math"/>
                <w:lang w:eastAsia="zh-CN"/>
              </w:rPr>
              <m:t>R</m:t>
            </m:r>
          </m:sub>
        </m:sSub>
      </m:oMath>
      <w:r w:rsidRPr="00FD62C4">
        <w:rPr>
          <w:lang w:eastAsia="zh-CN"/>
        </w:rPr>
        <w:t xml:space="preserve">      and     </w:t>
      </w:r>
      <m:oMath>
        <m:r>
          <m:rPr>
            <m:sty m:val="p"/>
          </m:rPr>
          <w:rPr>
            <w:rFonts w:ascii="Cambria Math" w:hAnsi="Cambria Math"/>
            <w:lang w:eastAsia="zh-CN"/>
          </w:rPr>
          <m:t xml:space="preserve"> </m:t>
        </m:r>
      </m:oMath>
      <w:r w:rsidRPr="00FD62C4">
        <w:rPr>
          <w:lang w:eastAsia="zh-CN"/>
        </w:rPr>
        <w:t xml:space="preserve">   </w:t>
      </w:r>
      <m:oMath>
        <m:r>
          <w:rPr>
            <w:rFonts w:ascii="Cambria Math" w:hAnsi="Cambria Math"/>
            <w:lang w:eastAsia="ko-KR"/>
          </w:rPr>
          <m:t>R</m:t>
        </m:r>
        <m:r>
          <m:rPr>
            <m:sty m:val="p"/>
          </m:rPr>
          <w:rPr>
            <w:rFonts w:ascii="Cambria Math" w:hAnsi="Cambria Math"/>
            <w:lang w:eastAsia="ko-KR"/>
          </w:rPr>
          <m:t>=</m:t>
        </m:r>
        <m:f>
          <m:fPr>
            <m:ctrlPr>
              <w:rPr>
                <w:rFonts w:ascii="Cambria Math" w:hAnsi="Cambria Math"/>
                <w:lang w:eastAsia="ko-KR"/>
              </w:rPr>
            </m:ctrlPr>
          </m:fPr>
          <m:num>
            <m:r>
              <w:rPr>
                <w:rFonts w:ascii="Cambria Math" w:hAnsi="Cambria Math"/>
                <w:lang w:eastAsia="ko-KR"/>
              </w:rPr>
              <m:t>T</m:t>
            </m:r>
          </m:num>
          <m:den>
            <m:d>
              <m:dPr>
                <m:ctrlPr>
                  <w:rPr>
                    <w:rFonts w:ascii="Cambria Math" w:hAnsi="Cambria Math"/>
                    <w:lang w:eastAsia="ko-KR"/>
                  </w:rPr>
                </m:ctrlPr>
              </m:dPr>
              <m:e>
                <m:r>
                  <w:rPr>
                    <w:rFonts w:ascii="Cambria Math" w:hAnsi="Cambria Math"/>
                    <w:lang w:eastAsia="ko-KR"/>
                  </w:rPr>
                  <m:t>SUE</m:t>
                </m:r>
                <m:r>
                  <m:rPr>
                    <m:sty m:val="p"/>
                  </m:rPr>
                  <w:rPr>
                    <w:rFonts w:ascii="Cambria Math" w:hAnsi="Cambria Math"/>
                    <w:lang w:eastAsia="ko-KR"/>
                  </w:rPr>
                  <m:t xml:space="preserve"> × </m:t>
                </m:r>
                <m:r>
                  <w:rPr>
                    <w:rFonts w:ascii="Cambria Math" w:hAnsi="Cambria Math"/>
                    <w:lang w:eastAsia="ko-KR"/>
                  </w:rPr>
                  <m:t>S</m:t>
                </m:r>
                <m:r>
                  <m:rPr>
                    <m:sty m:val="p"/>
                  </m:rPr>
                  <w:rPr>
                    <w:rFonts w:ascii="Cambria Math" w:hAnsi="Cambria Math"/>
                    <w:lang w:eastAsia="ko-KR"/>
                  </w:rPr>
                  <m:t xml:space="preserve"> ×</m:t>
                </m:r>
                <m:sSub>
                  <m:sSubPr>
                    <m:ctrlPr>
                      <w:rPr>
                        <w:rFonts w:ascii="Cambria Math" w:hAnsi="Cambria Math"/>
                        <w:lang w:eastAsia="ko-KR"/>
                      </w:rPr>
                    </m:ctrlPr>
                  </m:sSubPr>
                  <m:e>
                    <m:r>
                      <m:rPr>
                        <m:sty m:val="p"/>
                      </m:rPr>
                      <w:rPr>
                        <w:rFonts w:ascii="Cambria Math" w:hAnsi="Cambria Math"/>
                        <w:lang w:eastAsia="ko-KR"/>
                      </w:rPr>
                      <m:t xml:space="preserve"> </m:t>
                    </m:r>
                    <m:r>
                      <w:rPr>
                        <w:rFonts w:ascii="Cambria Math" w:hAnsi="Cambria Math"/>
                        <w:lang w:eastAsia="ko-KR"/>
                      </w:rPr>
                      <m:t>N</m:t>
                    </m:r>
                  </m:e>
                  <m:sub>
                    <m:r>
                      <w:rPr>
                        <w:rFonts w:ascii="Cambria Math" w:hAnsi="Cambria Math"/>
                        <w:lang w:eastAsia="ko-KR"/>
                      </w:rPr>
                      <m:t>R</m:t>
                    </m:r>
                  </m:sub>
                </m:sSub>
              </m:e>
            </m:d>
          </m:den>
        </m:f>
      </m:oMath>
    </w:p>
    <w:p w14:paraId="20BA6CD6" w14:textId="77777777" w:rsidR="00BA3876" w:rsidRPr="00FD62C4" w:rsidRDefault="00A812FA" w:rsidP="00A812FA">
      <w:pPr>
        <w:pStyle w:val="Reasons"/>
        <w:rPr>
          <w:rFonts w:eastAsia="Malgun Gothic"/>
          <w:lang w:eastAsia="ko-KR"/>
        </w:rPr>
      </w:pPr>
      <w:r w:rsidRPr="00FD62C4">
        <w:rPr>
          <w:rFonts w:eastAsia="Malgun Gothic"/>
          <w:lang w:eastAsia="ko-KR"/>
        </w:rPr>
        <w:t xml:space="preserve">where </w:t>
      </w:r>
      <m:oMath>
        <m:sSub>
          <m:sSubPr>
            <m:ctrlPr>
              <w:rPr>
                <w:rFonts w:ascii="Cambria Math" w:eastAsia="Malgun Gothic" w:hAnsi="Cambria Math"/>
                <w:i/>
                <w:lang w:eastAsia="ko-KR"/>
              </w:rPr>
            </m:ctrlPr>
          </m:sSubPr>
          <m:e>
            <m:r>
              <w:rPr>
                <w:rFonts w:ascii="Cambria Math" w:eastAsia="Malgun Gothic" w:hAnsi="Cambria Math"/>
                <w:lang w:eastAsia="ko-KR"/>
              </w:rPr>
              <m:t>N</m:t>
            </m:r>
          </m:e>
          <m:sub>
            <m:r>
              <w:rPr>
                <w:rFonts w:ascii="Cambria Math" w:eastAsia="Malgun Gothic" w:hAnsi="Cambria Math"/>
                <w:lang w:eastAsia="ko-KR"/>
              </w:rPr>
              <m:t>R</m:t>
            </m:r>
          </m:sub>
        </m:sSub>
      </m:oMath>
      <w:r w:rsidRPr="00FD62C4">
        <w:rPr>
          <w:rFonts w:eastAsia="Malgun Gothic"/>
          <w:lang w:eastAsia="ko-KR"/>
        </w:rPr>
        <w:t xml:space="preserve"> is the </w:t>
      </w:r>
      <w:r w:rsidRPr="00FD62C4">
        <w:t>number of units reusing the frequency band</w:t>
      </w:r>
      <w:r w:rsidRPr="00FD62C4">
        <w:rPr>
          <w:rFonts w:eastAsia="Malgun Gothic"/>
          <w:lang w:eastAsia="ko-KR"/>
        </w:rPr>
        <w:t>.</w:t>
      </w:r>
    </w:p>
    <w:p w14:paraId="05F62B39" w14:textId="77777777" w:rsidR="00E57E76" w:rsidRDefault="00E57E76" w:rsidP="00A812FA">
      <w:pPr>
        <w:pStyle w:val="Reasons"/>
        <w:rPr>
          <w:rFonts w:eastAsia="Malgun Gothic"/>
          <w:lang w:eastAsia="ko-KR"/>
        </w:rPr>
      </w:pPr>
    </w:p>
    <w:p w14:paraId="7AA55E26" w14:textId="77777777" w:rsidR="009314CB" w:rsidRPr="00FD62C4" w:rsidRDefault="009314CB" w:rsidP="00A812FA">
      <w:pPr>
        <w:pStyle w:val="Reasons"/>
        <w:rPr>
          <w:rFonts w:eastAsia="Malgun Gothic"/>
          <w:lang w:eastAsia="ko-KR"/>
        </w:rPr>
      </w:pPr>
    </w:p>
    <w:p w14:paraId="7976AC8D" w14:textId="77777777" w:rsidR="00A812FA" w:rsidRPr="00FD62C4" w:rsidRDefault="00A812FA" w:rsidP="00A812FA">
      <w:pPr>
        <w:pStyle w:val="AnnexNoTitle"/>
        <w:rPr>
          <w:rFonts w:eastAsia="Malgun Gothic"/>
          <w:lang w:eastAsia="ko-KR"/>
        </w:rPr>
      </w:pPr>
      <w:bookmarkStart w:id="149" w:name="_Toc181881791"/>
      <w:bookmarkStart w:id="150" w:name="_Toc182401815"/>
      <w:bookmarkStart w:id="151" w:name="_Toc232493302"/>
      <w:bookmarkStart w:id="152" w:name="_Toc235620229"/>
      <w:r w:rsidRPr="00FD62C4">
        <w:rPr>
          <w:lang w:eastAsia="ko-KR"/>
        </w:rPr>
        <w:t xml:space="preserve">Annex 5 </w:t>
      </w:r>
      <w:r w:rsidRPr="00FD62C4">
        <w:rPr>
          <w:lang w:eastAsia="ko-KR"/>
        </w:rPr>
        <w:br/>
      </w:r>
      <w:r w:rsidRPr="00FD62C4">
        <w:rPr>
          <w:lang w:eastAsia="ko-KR"/>
        </w:rPr>
        <w:br/>
        <w:t>Case studies from India (Republic of)</w:t>
      </w:r>
      <w:bookmarkEnd w:id="149"/>
      <w:bookmarkEnd w:id="150"/>
      <w:bookmarkEnd w:id="151"/>
      <w:bookmarkEnd w:id="152"/>
    </w:p>
    <w:p w14:paraId="58C69136" w14:textId="7652DF33" w:rsidR="00A812FA" w:rsidRPr="00FD62C4" w:rsidRDefault="00A812FA" w:rsidP="00A812FA">
      <w:pPr>
        <w:pStyle w:val="Normalaftertitle"/>
        <w:rPr>
          <w:lang w:eastAsia="ko-KR"/>
        </w:rPr>
      </w:pPr>
      <w:r w:rsidRPr="00FD62C4">
        <w:rPr>
          <w:lang w:eastAsia="ko-KR"/>
        </w:rPr>
        <w:t xml:space="preserve">This Annex introduces nontechnical approaches, that improve spectrum availability, studied in India (Republic of). </w:t>
      </w:r>
      <w:r w:rsidRPr="00FD62C4">
        <w:rPr>
          <w:rFonts w:eastAsia="Malgun Gothic"/>
          <w:lang w:eastAsia="ko-KR"/>
        </w:rPr>
        <w:t xml:space="preserve">Since spectrum availability is an indicator of whether a frequency band can accommodate specific spectrum requirement, it can be improved through several non-technical approaches related to spectrum utilization. There can be mechanisms through which spectrum </w:t>
      </w:r>
      <w:r w:rsidR="0062285D" w:rsidRPr="00FD62C4">
        <w:rPr>
          <w:rFonts w:eastAsia="Malgun Gothic"/>
          <w:lang w:eastAsia="ko-KR"/>
        </w:rPr>
        <w:t>that</w:t>
      </w:r>
      <w:r w:rsidRPr="00FD62C4">
        <w:rPr>
          <w:rFonts w:eastAsia="Malgun Gothic"/>
          <w:lang w:eastAsia="ko-KR"/>
        </w:rPr>
        <w:t xml:space="preserve"> are of no significant use to one operator can be returned to the administration leading to increased spectrum availability. Similarly, spectrum which is not getting utilized currently can be used by other operator through short term or long-term lease. Also, sharing of spectrum by operators can enable multiple operators to use the spectrum. These techniques are briefly introduced below.</w:t>
      </w:r>
    </w:p>
    <w:p w14:paraId="54BDA559" w14:textId="5B6F34A6" w:rsidR="00A812FA" w:rsidRPr="00FD62C4" w:rsidRDefault="00A812FA" w:rsidP="00CF7E38">
      <w:pPr>
        <w:pStyle w:val="Heading2"/>
        <w:rPr>
          <w:rFonts w:eastAsia="Malgun Gothic"/>
        </w:rPr>
      </w:pPr>
      <w:bookmarkStart w:id="153" w:name="_Toc232493303"/>
      <w:bookmarkStart w:id="154" w:name="_Toc235620230"/>
      <w:r w:rsidRPr="00FD62C4">
        <w:rPr>
          <w:lang w:eastAsia="zh-CN"/>
        </w:rPr>
        <w:t>A5</w:t>
      </w:r>
      <w:r w:rsidR="00E60DDA" w:rsidRPr="00FD62C4">
        <w:rPr>
          <w:lang w:eastAsia="zh-CN"/>
        </w:rPr>
        <w:t>.</w:t>
      </w:r>
      <w:r w:rsidRPr="00FD62C4">
        <w:rPr>
          <w:rFonts w:eastAsia="Malgun Gothic"/>
        </w:rPr>
        <w:t>1</w:t>
      </w:r>
      <w:r w:rsidRPr="00FD62C4">
        <w:rPr>
          <w:rFonts w:eastAsia="Malgun Gothic"/>
        </w:rPr>
        <w:tab/>
        <w:t>Spectrum surrender option</w:t>
      </w:r>
      <w:bookmarkEnd w:id="153"/>
      <w:bookmarkEnd w:id="154"/>
    </w:p>
    <w:p w14:paraId="0A7D3448" w14:textId="618D9251" w:rsidR="00A812FA" w:rsidRPr="00FD62C4" w:rsidRDefault="00A812FA" w:rsidP="00A812FA">
      <w:pPr>
        <w:rPr>
          <w:rFonts w:eastAsia="Malgun Gothic"/>
          <w:lang w:eastAsia="ko-KR"/>
        </w:rPr>
      </w:pPr>
      <w:r w:rsidRPr="00FD62C4">
        <w:rPr>
          <w:rFonts w:eastAsia="Malgun Gothic"/>
          <w:lang w:eastAsia="ko-KR"/>
        </w:rPr>
        <w:t xml:space="preserve">Spectrum </w:t>
      </w:r>
      <w:r w:rsidR="00DD4DD6" w:rsidRPr="00FD62C4">
        <w:rPr>
          <w:rFonts w:eastAsia="Malgun Gothic"/>
          <w:lang w:eastAsia="ko-KR"/>
        </w:rPr>
        <w:t>a</w:t>
      </w:r>
      <w:r w:rsidRPr="00FD62C4">
        <w:rPr>
          <w:rFonts w:eastAsia="Malgun Gothic"/>
          <w:lang w:eastAsia="ko-KR"/>
        </w:rPr>
        <w:t xml:space="preserve">uction across various countries have adopted instalment payment as it gives scope of enhanced capital expenditure by the operator. With the rapid change of technologies in spectrum bands, it has become difficult to forecast the utility of a band in long run. This has generated a </w:t>
      </w:r>
      <w:r w:rsidRPr="00FD62C4">
        <w:rPr>
          <w:rFonts w:eastAsia="Malgun Gothic"/>
          <w:lang w:eastAsia="ko-KR"/>
        </w:rPr>
        <w:lastRenderedPageBreak/>
        <w:t>requirement where operators can exit the acquired spectrum and save on future instalment payments. Such provisions have the potential to improve the spectrum availability.</w:t>
      </w:r>
    </w:p>
    <w:p w14:paraId="004B65AF" w14:textId="73E593EE" w:rsidR="00A812FA" w:rsidRPr="00FD62C4" w:rsidRDefault="00A812FA" w:rsidP="00CF7E38">
      <w:pPr>
        <w:pStyle w:val="Heading2"/>
        <w:rPr>
          <w:rFonts w:eastAsia="Malgun Gothic"/>
        </w:rPr>
      </w:pPr>
      <w:bookmarkStart w:id="155" w:name="_Toc232493304"/>
      <w:bookmarkStart w:id="156" w:name="_Toc235620231"/>
      <w:r w:rsidRPr="00FD62C4">
        <w:rPr>
          <w:lang w:eastAsia="zh-CN"/>
        </w:rPr>
        <w:t>A5</w:t>
      </w:r>
      <w:r w:rsidR="00E60DDA" w:rsidRPr="00FD62C4">
        <w:rPr>
          <w:lang w:eastAsia="zh-CN"/>
        </w:rPr>
        <w:t>.</w:t>
      </w:r>
      <w:r w:rsidRPr="00FD62C4">
        <w:rPr>
          <w:rFonts w:eastAsia="Malgun Gothic"/>
        </w:rPr>
        <w:t>2</w:t>
      </w:r>
      <w:r w:rsidRPr="00FD62C4">
        <w:rPr>
          <w:rFonts w:eastAsia="Malgun Gothic"/>
        </w:rPr>
        <w:tab/>
        <w:t>Spectrum lease option</w:t>
      </w:r>
      <w:bookmarkEnd w:id="155"/>
      <w:bookmarkEnd w:id="156"/>
    </w:p>
    <w:p w14:paraId="67888E8A" w14:textId="722499D1" w:rsidR="00A812FA" w:rsidRPr="00FD62C4" w:rsidRDefault="00A812FA" w:rsidP="00A812FA">
      <w:pPr>
        <w:rPr>
          <w:rFonts w:eastAsia="Malgun Gothic"/>
          <w:lang w:eastAsia="ko-KR"/>
        </w:rPr>
      </w:pPr>
      <w:r w:rsidRPr="00FD62C4">
        <w:rPr>
          <w:rFonts w:eastAsia="Malgun Gothic"/>
          <w:lang w:eastAsia="ko-KR"/>
        </w:rPr>
        <w:t xml:space="preserve">With the advent of IMT-2020 technology, there is enhanced demand of spectrum for the captive usage by the industry. There are challenges in terms of licensing condition, location and band identification for allocating spectrum to captive industrial application. Spectrum leasing option by the telecom service providers to industrial users will be beneficial for all the stakeholders. This option will meet the requirement of all stakeholders, thus leading to improvement in availability of </w:t>
      </w:r>
      <w:r w:rsidR="00CE38F8" w:rsidRPr="00FD62C4">
        <w:rPr>
          <w:rFonts w:eastAsia="Malgun Gothic"/>
          <w:lang w:eastAsia="ko-KR"/>
        </w:rPr>
        <w:t>s</w:t>
      </w:r>
      <w:r w:rsidRPr="00FD62C4">
        <w:rPr>
          <w:rFonts w:eastAsia="Malgun Gothic"/>
          <w:lang w:eastAsia="ko-KR"/>
        </w:rPr>
        <w:t>pectrum.</w:t>
      </w:r>
    </w:p>
    <w:p w14:paraId="7CD1252A" w14:textId="42909828" w:rsidR="00A812FA" w:rsidRPr="00FD62C4" w:rsidRDefault="00A812FA" w:rsidP="00CF7E38">
      <w:pPr>
        <w:pStyle w:val="Heading2"/>
        <w:rPr>
          <w:rFonts w:eastAsia="Malgun Gothic"/>
        </w:rPr>
      </w:pPr>
      <w:bookmarkStart w:id="157" w:name="_Toc232493305"/>
      <w:bookmarkStart w:id="158" w:name="_Toc235620232"/>
      <w:r w:rsidRPr="00FD62C4">
        <w:rPr>
          <w:lang w:eastAsia="zh-CN"/>
        </w:rPr>
        <w:t>A5</w:t>
      </w:r>
      <w:r w:rsidR="00E60DDA" w:rsidRPr="00FD62C4">
        <w:rPr>
          <w:lang w:eastAsia="zh-CN"/>
        </w:rPr>
        <w:t>.</w:t>
      </w:r>
      <w:r w:rsidRPr="00FD62C4">
        <w:rPr>
          <w:rFonts w:eastAsia="Malgun Gothic"/>
        </w:rPr>
        <w:t>3</w:t>
      </w:r>
      <w:r w:rsidRPr="00FD62C4">
        <w:rPr>
          <w:rFonts w:eastAsia="Malgun Gothic"/>
        </w:rPr>
        <w:tab/>
        <w:t>Spectrum sharing option</w:t>
      </w:r>
      <w:bookmarkEnd w:id="157"/>
      <w:bookmarkEnd w:id="158"/>
    </w:p>
    <w:p w14:paraId="7E8BAD19" w14:textId="25EEEC4D" w:rsidR="00A812FA" w:rsidRPr="00FD62C4" w:rsidRDefault="00A812FA" w:rsidP="00A812FA">
      <w:pPr>
        <w:rPr>
          <w:rFonts w:eastAsia="Malgun Gothic"/>
          <w:lang w:eastAsia="ko-KR"/>
        </w:rPr>
      </w:pPr>
      <w:r w:rsidRPr="00FD62C4">
        <w:rPr>
          <w:rFonts w:eastAsia="Malgun Gothic"/>
          <w:lang w:eastAsia="ko-KR"/>
        </w:rPr>
        <w:t>In shared use of licensed spectrum, an operator wishes to use a licensed spectrum for which a license owner already exists. Such arrangements may be decided by both users</w:t>
      </w:r>
      <w:r w:rsidR="00E32C54" w:rsidRPr="00FD62C4">
        <w:rPr>
          <w:rFonts w:eastAsia="Malgun Gothic"/>
          <w:lang w:eastAsia="ko-KR"/>
        </w:rPr>
        <w:t>,</w:t>
      </w:r>
      <w:r w:rsidRPr="00FD62C4">
        <w:rPr>
          <w:rFonts w:eastAsia="Malgun Gothic"/>
          <w:lang w:eastAsia="ko-KR"/>
        </w:rPr>
        <w:t xml:space="preserve"> and it can last as per their mutual requirements. This mechanism has potential to improve the availability of spectrum.</w:t>
      </w:r>
    </w:p>
    <w:p w14:paraId="4F7C8733" w14:textId="78D78CD9" w:rsidR="00A812FA" w:rsidRPr="00FD62C4" w:rsidRDefault="00A812FA" w:rsidP="00A812FA">
      <w:pPr>
        <w:rPr>
          <w:rFonts w:eastAsia="Malgun Gothic"/>
          <w:lang w:eastAsia="ko-KR"/>
        </w:rPr>
      </w:pPr>
      <w:r w:rsidRPr="00FD62C4">
        <w:rPr>
          <w:rFonts w:eastAsia="Malgun Gothic"/>
          <w:lang w:eastAsia="ko-KR"/>
        </w:rPr>
        <w:t xml:space="preserve">To create a non-linear mathematical model for </w:t>
      </w:r>
      <w:r w:rsidR="00634CE3" w:rsidRPr="00FD62C4">
        <w:rPr>
          <w:rFonts w:eastAsia="Malgun Gothic"/>
          <w:lang w:eastAsia="ko-KR"/>
        </w:rPr>
        <w:t>s</w:t>
      </w:r>
      <w:r w:rsidRPr="00FD62C4">
        <w:rPr>
          <w:rFonts w:eastAsia="Malgun Gothic"/>
          <w:lang w:eastAsia="ko-KR"/>
        </w:rPr>
        <w:t xml:space="preserve">pectrum </w:t>
      </w:r>
      <w:r w:rsidR="00634CE3" w:rsidRPr="00FD62C4">
        <w:rPr>
          <w:rFonts w:eastAsia="Malgun Gothic"/>
          <w:lang w:eastAsia="ko-KR"/>
        </w:rPr>
        <w:t>a</w:t>
      </w:r>
      <w:r w:rsidRPr="00FD62C4">
        <w:rPr>
          <w:rFonts w:eastAsia="Malgun Gothic"/>
          <w:lang w:eastAsia="ko-KR"/>
        </w:rPr>
        <w:t xml:space="preserve">vailability, incorporating </w:t>
      </w:r>
      <w:r w:rsidR="006F2DFA" w:rsidRPr="00FD62C4">
        <w:rPr>
          <w:rFonts w:eastAsia="Malgun Gothic"/>
          <w:lang w:eastAsia="ko-KR"/>
        </w:rPr>
        <w:t>s</w:t>
      </w:r>
      <w:r w:rsidRPr="00FD62C4">
        <w:rPr>
          <w:rFonts w:eastAsia="Malgun Gothic"/>
          <w:lang w:eastAsia="ko-KR"/>
        </w:rPr>
        <w:t xml:space="preserve">pectrum </w:t>
      </w:r>
      <w:r w:rsidR="006F2DFA" w:rsidRPr="00FD62C4">
        <w:rPr>
          <w:rFonts w:eastAsia="Malgun Gothic"/>
          <w:lang w:eastAsia="ko-KR"/>
        </w:rPr>
        <w:t>s</w:t>
      </w:r>
      <w:r w:rsidRPr="00FD62C4">
        <w:rPr>
          <w:rFonts w:eastAsia="Malgun Gothic"/>
          <w:lang w:eastAsia="ko-KR"/>
        </w:rPr>
        <w:t xml:space="preserve">urrender, </w:t>
      </w:r>
      <w:r w:rsidR="006F2DFA" w:rsidRPr="00FD62C4">
        <w:rPr>
          <w:rFonts w:eastAsia="Malgun Gothic"/>
          <w:lang w:eastAsia="ko-KR"/>
        </w:rPr>
        <w:t>s</w:t>
      </w:r>
      <w:r w:rsidRPr="00FD62C4">
        <w:rPr>
          <w:rFonts w:eastAsia="Malgun Gothic"/>
          <w:lang w:eastAsia="ko-KR"/>
        </w:rPr>
        <w:t xml:space="preserve">pectrum </w:t>
      </w:r>
      <w:r w:rsidR="006F2DFA" w:rsidRPr="00FD62C4">
        <w:rPr>
          <w:rFonts w:eastAsia="Malgun Gothic"/>
          <w:lang w:eastAsia="ko-KR"/>
        </w:rPr>
        <w:t>l</w:t>
      </w:r>
      <w:r w:rsidRPr="00FD62C4">
        <w:rPr>
          <w:rFonts w:eastAsia="Malgun Gothic"/>
          <w:lang w:eastAsia="ko-KR"/>
        </w:rPr>
        <w:t xml:space="preserve">ease, and </w:t>
      </w:r>
      <w:r w:rsidR="006F2DFA" w:rsidRPr="00FD62C4">
        <w:rPr>
          <w:rFonts w:eastAsia="Malgun Gothic"/>
          <w:lang w:eastAsia="ko-KR"/>
        </w:rPr>
        <w:t>s</w:t>
      </w:r>
      <w:r w:rsidRPr="00FD62C4">
        <w:rPr>
          <w:rFonts w:eastAsia="Malgun Gothic"/>
          <w:lang w:eastAsia="ko-KR"/>
        </w:rPr>
        <w:t xml:space="preserve">pectrum </w:t>
      </w:r>
      <w:r w:rsidR="006F2DFA" w:rsidRPr="00FD62C4">
        <w:rPr>
          <w:rFonts w:eastAsia="Malgun Gothic"/>
          <w:lang w:eastAsia="ko-KR"/>
        </w:rPr>
        <w:t>s</w:t>
      </w:r>
      <w:r w:rsidRPr="00FD62C4">
        <w:rPr>
          <w:rFonts w:eastAsia="Malgun Gothic"/>
          <w:lang w:eastAsia="ko-KR"/>
        </w:rPr>
        <w:t>hare as parameters, each of these parameters and the relationships among them</w:t>
      </w:r>
      <w:r w:rsidR="003E4073" w:rsidRPr="00FD62C4">
        <w:rPr>
          <w:rFonts w:eastAsia="Malgun Gothic"/>
          <w:lang w:eastAsia="ko-KR"/>
        </w:rPr>
        <w:t xml:space="preserve"> should be defined</w:t>
      </w:r>
      <w:r w:rsidRPr="00FD62C4">
        <w:rPr>
          <w:rFonts w:eastAsia="Malgun Gothic"/>
          <w:lang w:eastAsia="ko-KR"/>
        </w:rPr>
        <w:t>.</w:t>
      </w:r>
    </w:p>
    <w:p w14:paraId="775B97C0" w14:textId="17DDBA1E" w:rsidR="00A812FA" w:rsidRPr="00FD62C4" w:rsidRDefault="00070B9A" w:rsidP="00A812FA">
      <w:pPr>
        <w:rPr>
          <w:rFonts w:eastAsia="Malgun Gothic"/>
          <w:lang w:eastAsia="ko-KR"/>
        </w:rPr>
      </w:pPr>
      <m:oMath>
        <m:r>
          <w:rPr>
            <w:rFonts w:ascii="Cambria Math" w:eastAsia="Malgun Gothic" w:hAnsi="Cambria Math"/>
            <w:lang w:eastAsia="ko-KR"/>
          </w:rPr>
          <m:t>A</m:t>
        </m:r>
        <m:d>
          <m:dPr>
            <m:ctrlPr>
              <w:rPr>
                <w:rFonts w:ascii="Cambria Math" w:eastAsia="Malgun Gothic" w:hAnsi="Cambria Math"/>
                <w:i/>
                <w:lang w:eastAsia="ko-KR"/>
              </w:rPr>
            </m:ctrlPr>
          </m:dPr>
          <m:e>
            <m:r>
              <w:rPr>
                <w:rFonts w:ascii="Cambria Math" w:eastAsia="Malgun Gothic" w:hAnsi="Cambria Math"/>
                <w:lang w:eastAsia="ko-KR"/>
              </w:rPr>
              <m:t>t</m:t>
            </m:r>
          </m:e>
        </m:d>
      </m:oMath>
      <w:r w:rsidR="00A812FA" w:rsidRPr="00FD62C4">
        <w:rPr>
          <w:rFonts w:eastAsia="Malgun Gothic"/>
          <w:i/>
          <w:iCs/>
          <w:lang w:eastAsia="ko-KR"/>
        </w:rPr>
        <w:t xml:space="preserve"> </w:t>
      </w:r>
      <w:r w:rsidR="00A812FA" w:rsidRPr="00FD62C4">
        <w:rPr>
          <w:rFonts w:eastAsia="Malgun Gothic"/>
          <w:lang w:eastAsia="ko-KR"/>
        </w:rPr>
        <w:t xml:space="preserve">= Spectrum </w:t>
      </w:r>
      <w:r w:rsidR="00ED3963" w:rsidRPr="00FD62C4">
        <w:rPr>
          <w:rFonts w:eastAsia="Malgun Gothic"/>
          <w:lang w:eastAsia="ko-KR"/>
        </w:rPr>
        <w:t>a</w:t>
      </w:r>
      <w:r w:rsidR="00A812FA" w:rsidRPr="00FD62C4">
        <w:rPr>
          <w:rFonts w:eastAsia="Malgun Gothic"/>
          <w:lang w:eastAsia="ko-KR"/>
        </w:rPr>
        <w:t xml:space="preserve">vailability at time </w:t>
      </w:r>
      <w:r w:rsidR="00A812FA" w:rsidRPr="00FD62C4">
        <w:rPr>
          <w:rFonts w:eastAsia="Malgun Gothic"/>
          <w:i/>
          <w:iCs/>
          <w:lang w:eastAsia="ko-KR"/>
        </w:rPr>
        <w:t>t</w:t>
      </w:r>
    </w:p>
    <w:p w14:paraId="0FD993FE" w14:textId="6E333662" w:rsidR="00A812FA" w:rsidRPr="00FD62C4" w:rsidRDefault="00070B9A" w:rsidP="00A812FA">
      <w:pPr>
        <w:rPr>
          <w:rFonts w:eastAsia="Malgun Gothic"/>
          <w:lang w:eastAsia="ko-KR"/>
        </w:rPr>
      </w:pPr>
      <m:oMath>
        <m:r>
          <w:rPr>
            <w:rFonts w:ascii="Cambria Math" w:eastAsia="Malgun Gothic" w:hAnsi="Cambria Math"/>
            <w:lang w:eastAsia="ko-KR"/>
          </w:rPr>
          <m:t>Ss</m:t>
        </m:r>
        <m:d>
          <m:dPr>
            <m:ctrlPr>
              <w:rPr>
                <w:rFonts w:ascii="Cambria Math" w:eastAsia="Malgun Gothic" w:hAnsi="Cambria Math"/>
                <w:i/>
                <w:lang w:eastAsia="ko-KR"/>
              </w:rPr>
            </m:ctrlPr>
          </m:dPr>
          <m:e>
            <m:r>
              <w:rPr>
                <w:rFonts w:ascii="Cambria Math" w:eastAsia="Malgun Gothic" w:hAnsi="Cambria Math"/>
                <w:lang w:eastAsia="ko-KR"/>
              </w:rPr>
              <m:t>t</m:t>
            </m:r>
          </m:e>
        </m:d>
      </m:oMath>
      <w:r w:rsidR="00A812FA" w:rsidRPr="00FD62C4">
        <w:rPr>
          <w:rFonts w:eastAsia="Malgun Gothic"/>
          <w:lang w:eastAsia="ko-KR"/>
        </w:rPr>
        <w:t xml:space="preserve"> = Spectrum </w:t>
      </w:r>
      <w:r w:rsidR="00ED3963" w:rsidRPr="00FD62C4">
        <w:rPr>
          <w:rFonts w:eastAsia="Malgun Gothic"/>
          <w:lang w:eastAsia="ko-KR"/>
        </w:rPr>
        <w:t>s</w:t>
      </w:r>
      <w:r w:rsidR="00A812FA" w:rsidRPr="00FD62C4">
        <w:rPr>
          <w:rFonts w:eastAsia="Malgun Gothic"/>
          <w:lang w:eastAsia="ko-KR"/>
        </w:rPr>
        <w:t>urrender at time t (portion of the spectrum given up voluntarily or due to regulatory constraints)</w:t>
      </w:r>
    </w:p>
    <w:p w14:paraId="290F38D6" w14:textId="1D2CA708" w:rsidR="00A812FA" w:rsidRPr="00FD62C4" w:rsidRDefault="00070B9A" w:rsidP="00A812FA">
      <w:pPr>
        <w:rPr>
          <w:rFonts w:eastAsia="Malgun Gothic"/>
          <w:lang w:eastAsia="ko-KR"/>
        </w:rPr>
      </w:pPr>
      <m:oMath>
        <m:r>
          <w:rPr>
            <w:rFonts w:ascii="Cambria Math" w:eastAsia="Malgun Gothic" w:hAnsi="Cambria Math"/>
            <w:lang w:eastAsia="ko-KR"/>
          </w:rPr>
          <m:t>Sl</m:t>
        </m:r>
        <m:d>
          <m:dPr>
            <m:ctrlPr>
              <w:rPr>
                <w:rFonts w:ascii="Cambria Math" w:eastAsia="Malgun Gothic" w:hAnsi="Cambria Math"/>
                <w:i/>
                <w:lang w:eastAsia="ko-KR"/>
              </w:rPr>
            </m:ctrlPr>
          </m:dPr>
          <m:e>
            <m:r>
              <w:rPr>
                <w:rFonts w:ascii="Cambria Math" w:eastAsia="Malgun Gothic" w:hAnsi="Cambria Math"/>
                <w:lang w:eastAsia="ko-KR"/>
              </w:rPr>
              <m:t>t</m:t>
            </m:r>
          </m:e>
        </m:d>
      </m:oMath>
      <w:r w:rsidR="00A812FA" w:rsidRPr="00FD62C4">
        <w:rPr>
          <w:rFonts w:eastAsia="Malgun Gothic"/>
          <w:lang w:eastAsia="ko-KR"/>
        </w:rPr>
        <w:t xml:space="preserve"> = Spectrum </w:t>
      </w:r>
      <w:r w:rsidR="00ED3963" w:rsidRPr="00FD62C4">
        <w:rPr>
          <w:rFonts w:eastAsia="Malgun Gothic"/>
          <w:lang w:eastAsia="ko-KR"/>
        </w:rPr>
        <w:t>l</w:t>
      </w:r>
      <w:r w:rsidR="00A812FA" w:rsidRPr="00FD62C4">
        <w:rPr>
          <w:rFonts w:eastAsia="Malgun Gothic"/>
          <w:lang w:eastAsia="ko-KR"/>
        </w:rPr>
        <w:t xml:space="preserve">ease at time </w:t>
      </w:r>
      <w:r w:rsidR="00A812FA" w:rsidRPr="00FD62C4">
        <w:rPr>
          <w:rFonts w:eastAsia="Malgun Gothic"/>
          <w:i/>
          <w:iCs/>
          <w:lang w:eastAsia="ko-KR"/>
        </w:rPr>
        <w:t>t</w:t>
      </w:r>
      <w:r w:rsidR="00A812FA" w:rsidRPr="00FD62C4">
        <w:rPr>
          <w:rFonts w:eastAsia="Malgun Gothic"/>
          <w:lang w:eastAsia="ko-KR"/>
        </w:rPr>
        <w:t xml:space="preserve"> (portion of the spectrum leased out to other entities)</w:t>
      </w:r>
    </w:p>
    <w:p w14:paraId="4804411C" w14:textId="0EAD5951" w:rsidR="00A812FA" w:rsidRPr="00FD62C4" w:rsidRDefault="00070B9A" w:rsidP="00A812FA">
      <w:pPr>
        <w:rPr>
          <w:rFonts w:eastAsia="Malgun Gothic"/>
          <w:lang w:eastAsia="ko-KR"/>
        </w:rPr>
      </w:pPr>
      <m:oMath>
        <m:r>
          <w:rPr>
            <w:rFonts w:ascii="Cambria Math" w:eastAsia="Malgun Gothic" w:hAnsi="Cambria Math"/>
            <w:lang w:eastAsia="ko-KR"/>
          </w:rPr>
          <m:t>Ssh</m:t>
        </m:r>
        <m:d>
          <m:dPr>
            <m:ctrlPr>
              <w:rPr>
                <w:rFonts w:ascii="Cambria Math" w:eastAsia="Malgun Gothic" w:hAnsi="Cambria Math"/>
                <w:i/>
                <w:lang w:eastAsia="ko-KR"/>
              </w:rPr>
            </m:ctrlPr>
          </m:dPr>
          <m:e>
            <m:r>
              <w:rPr>
                <w:rFonts w:ascii="Cambria Math" w:eastAsia="Malgun Gothic" w:hAnsi="Cambria Math"/>
                <w:lang w:eastAsia="ko-KR"/>
              </w:rPr>
              <m:t>t</m:t>
            </m:r>
          </m:e>
        </m:d>
      </m:oMath>
      <w:r w:rsidR="00A812FA" w:rsidRPr="00FD62C4">
        <w:rPr>
          <w:rFonts w:eastAsia="Malgun Gothic"/>
          <w:lang w:eastAsia="ko-KR"/>
        </w:rPr>
        <w:t xml:space="preserve"> = Spectrum </w:t>
      </w:r>
      <w:r w:rsidR="00ED3963" w:rsidRPr="00FD62C4">
        <w:rPr>
          <w:rFonts w:eastAsia="Malgun Gothic"/>
          <w:lang w:eastAsia="ko-KR"/>
        </w:rPr>
        <w:t>s</w:t>
      </w:r>
      <w:r w:rsidR="00A812FA" w:rsidRPr="00FD62C4">
        <w:rPr>
          <w:rFonts w:eastAsia="Malgun Gothic"/>
          <w:lang w:eastAsia="ko-KR"/>
        </w:rPr>
        <w:t xml:space="preserve">hare at time </w:t>
      </w:r>
      <w:r w:rsidR="00A812FA" w:rsidRPr="00FD62C4">
        <w:rPr>
          <w:rFonts w:eastAsia="Malgun Gothic"/>
          <w:i/>
          <w:iCs/>
          <w:lang w:eastAsia="ko-KR"/>
        </w:rPr>
        <w:t>t</w:t>
      </w:r>
      <w:r w:rsidR="00A812FA" w:rsidRPr="00FD62C4">
        <w:rPr>
          <w:rFonts w:eastAsia="Malgun Gothic"/>
          <w:lang w:eastAsia="ko-KR"/>
        </w:rPr>
        <w:t xml:space="preserve"> (portion of the spectrum shared among users/operators)</w:t>
      </w:r>
    </w:p>
    <w:p w14:paraId="6642A111" w14:textId="77777777" w:rsidR="00A812FA" w:rsidRPr="00FD62C4" w:rsidRDefault="00A812FA" w:rsidP="00A812FA">
      <w:pPr>
        <w:rPr>
          <w:rFonts w:eastAsia="Malgun Gothic"/>
          <w:lang w:eastAsia="ko-KR"/>
        </w:rPr>
      </w:pPr>
      <w:r w:rsidRPr="00FD62C4">
        <w:rPr>
          <w:rFonts w:eastAsia="Malgun Gothic"/>
          <w:lang w:eastAsia="ko-KR"/>
        </w:rPr>
        <w:t>Now, it is assumed that:</w:t>
      </w:r>
    </w:p>
    <w:p w14:paraId="2529F779" w14:textId="132ED790" w:rsidR="00A812FA" w:rsidRPr="00FD62C4" w:rsidRDefault="00A812FA" w:rsidP="00A812FA">
      <w:pPr>
        <w:pStyle w:val="enumlev1"/>
        <w:rPr>
          <w:rFonts w:eastAsia="Malgun Gothic"/>
          <w:lang w:eastAsia="ko-KR"/>
        </w:rPr>
      </w:pPr>
      <w:r w:rsidRPr="00FD62C4">
        <w:rPr>
          <w:rFonts w:eastAsia="Malgun Gothic"/>
          <w:lang w:eastAsia="ko-KR"/>
        </w:rPr>
        <w:t>1</w:t>
      </w:r>
      <w:r w:rsidR="00781E32" w:rsidRPr="00FD62C4">
        <w:rPr>
          <w:rFonts w:eastAsia="Malgun Gothic"/>
          <w:lang w:eastAsia="ko-KR"/>
        </w:rPr>
        <w:t>)</w:t>
      </w:r>
      <w:r w:rsidRPr="00FD62C4">
        <w:rPr>
          <w:rFonts w:eastAsia="Malgun Gothic"/>
          <w:b/>
          <w:bCs/>
          <w:lang w:eastAsia="ko-KR"/>
        </w:rPr>
        <w:tab/>
      </w:r>
      <w:r w:rsidRPr="00FD62C4">
        <w:rPr>
          <w:rFonts w:eastAsia="Malgun Gothic"/>
          <w:lang w:eastAsia="ko-KR"/>
        </w:rPr>
        <w:t xml:space="preserve">Spectrum </w:t>
      </w:r>
      <w:r w:rsidR="003E4073" w:rsidRPr="00FD62C4">
        <w:rPr>
          <w:rFonts w:eastAsia="Malgun Gothic"/>
          <w:lang w:eastAsia="ko-KR"/>
        </w:rPr>
        <w:t>a</w:t>
      </w:r>
      <w:r w:rsidRPr="00FD62C4">
        <w:rPr>
          <w:rFonts w:eastAsia="Malgun Gothic"/>
          <w:lang w:eastAsia="ko-KR"/>
        </w:rPr>
        <w:t xml:space="preserve">vailability increases with </w:t>
      </w:r>
      <w:r w:rsidR="003E63A2" w:rsidRPr="00FD62C4">
        <w:rPr>
          <w:rFonts w:eastAsia="Malgun Gothic"/>
          <w:lang w:eastAsia="ko-KR"/>
        </w:rPr>
        <w:t>s</w:t>
      </w:r>
      <w:r w:rsidRPr="00FD62C4">
        <w:rPr>
          <w:rFonts w:eastAsia="Malgun Gothic"/>
          <w:lang w:eastAsia="ko-KR"/>
        </w:rPr>
        <w:t xml:space="preserve">pectrum </w:t>
      </w:r>
      <w:r w:rsidR="003E63A2" w:rsidRPr="00FD62C4">
        <w:rPr>
          <w:rFonts w:eastAsia="Malgun Gothic"/>
          <w:lang w:eastAsia="ko-KR"/>
        </w:rPr>
        <w:t>s</w:t>
      </w:r>
      <w:r w:rsidRPr="00FD62C4">
        <w:rPr>
          <w:rFonts w:eastAsia="Malgun Gothic"/>
          <w:lang w:eastAsia="ko-KR"/>
        </w:rPr>
        <w:t>urrender: as more spectrum is surrendered, it can be allocated to others.</w:t>
      </w:r>
    </w:p>
    <w:p w14:paraId="56079ED1" w14:textId="3B6083DB" w:rsidR="00A812FA" w:rsidRPr="00FD62C4" w:rsidRDefault="00A812FA" w:rsidP="00A812FA">
      <w:pPr>
        <w:pStyle w:val="enumlev1"/>
        <w:rPr>
          <w:rFonts w:eastAsia="Malgun Gothic"/>
          <w:lang w:eastAsia="ko-KR"/>
        </w:rPr>
      </w:pPr>
      <w:r w:rsidRPr="00FD62C4">
        <w:rPr>
          <w:rFonts w:eastAsia="Malgun Gothic"/>
          <w:lang w:eastAsia="ko-KR"/>
        </w:rPr>
        <w:t>2</w:t>
      </w:r>
      <w:r w:rsidR="003E63A2" w:rsidRPr="00FD62C4">
        <w:rPr>
          <w:rFonts w:eastAsia="Malgun Gothic"/>
          <w:lang w:eastAsia="ko-KR"/>
        </w:rPr>
        <w:t>)</w:t>
      </w:r>
      <w:r w:rsidRPr="00FD62C4">
        <w:rPr>
          <w:rFonts w:eastAsia="Malgun Gothic"/>
          <w:b/>
          <w:bCs/>
          <w:lang w:eastAsia="ko-KR"/>
        </w:rPr>
        <w:tab/>
      </w:r>
      <w:r w:rsidRPr="00FD62C4">
        <w:rPr>
          <w:rFonts w:eastAsia="Malgun Gothic"/>
          <w:lang w:eastAsia="ko-KR"/>
        </w:rPr>
        <w:t xml:space="preserve">Spectrum </w:t>
      </w:r>
      <w:r w:rsidR="003E4073" w:rsidRPr="00FD62C4">
        <w:rPr>
          <w:rFonts w:eastAsia="Malgun Gothic"/>
          <w:lang w:eastAsia="ko-KR"/>
        </w:rPr>
        <w:t>a</w:t>
      </w:r>
      <w:r w:rsidRPr="00FD62C4">
        <w:rPr>
          <w:rFonts w:eastAsia="Malgun Gothic"/>
          <w:lang w:eastAsia="ko-KR"/>
        </w:rPr>
        <w:t xml:space="preserve">vailability increases with </w:t>
      </w:r>
      <w:r w:rsidR="003E63A2" w:rsidRPr="00FD62C4">
        <w:rPr>
          <w:rFonts w:eastAsia="Malgun Gothic"/>
          <w:lang w:eastAsia="ko-KR"/>
        </w:rPr>
        <w:t>s</w:t>
      </w:r>
      <w:r w:rsidRPr="00FD62C4">
        <w:rPr>
          <w:rFonts w:eastAsia="Malgun Gothic"/>
          <w:lang w:eastAsia="ko-KR"/>
        </w:rPr>
        <w:t xml:space="preserve">pectrum </w:t>
      </w:r>
      <w:r w:rsidR="003E63A2" w:rsidRPr="00FD62C4">
        <w:rPr>
          <w:rFonts w:eastAsia="Malgun Gothic"/>
          <w:lang w:eastAsia="ko-KR"/>
        </w:rPr>
        <w:t>l</w:t>
      </w:r>
      <w:r w:rsidRPr="00FD62C4">
        <w:rPr>
          <w:rFonts w:eastAsia="Malgun Gothic"/>
          <w:lang w:eastAsia="ko-KR"/>
        </w:rPr>
        <w:t>ease: leasing out spectrum makes it available to multiple users/operators.</w:t>
      </w:r>
    </w:p>
    <w:p w14:paraId="7D64AB29" w14:textId="110A67BE" w:rsidR="00A812FA" w:rsidRPr="00FD62C4" w:rsidRDefault="00A812FA" w:rsidP="00A812FA">
      <w:pPr>
        <w:pStyle w:val="enumlev1"/>
        <w:rPr>
          <w:rFonts w:eastAsia="Malgun Gothic"/>
          <w:lang w:eastAsia="ko-KR"/>
        </w:rPr>
      </w:pPr>
      <w:r w:rsidRPr="00FD62C4">
        <w:rPr>
          <w:rFonts w:eastAsia="Malgun Gothic"/>
          <w:lang w:eastAsia="ko-KR"/>
        </w:rPr>
        <w:t>3</w:t>
      </w:r>
      <w:r w:rsidR="003E63A2" w:rsidRPr="00FD62C4">
        <w:rPr>
          <w:rFonts w:eastAsia="Malgun Gothic"/>
          <w:lang w:eastAsia="ko-KR"/>
        </w:rPr>
        <w:t>)</w:t>
      </w:r>
      <w:r w:rsidRPr="00FD62C4">
        <w:rPr>
          <w:rFonts w:eastAsia="Malgun Gothic"/>
          <w:b/>
          <w:bCs/>
          <w:lang w:eastAsia="ko-KR"/>
        </w:rPr>
        <w:tab/>
      </w:r>
      <w:r w:rsidRPr="00FD62C4">
        <w:rPr>
          <w:rFonts w:eastAsia="Malgun Gothic"/>
          <w:lang w:eastAsia="ko-KR"/>
        </w:rPr>
        <w:t xml:space="preserve">Spectrum </w:t>
      </w:r>
      <w:r w:rsidR="003E4073" w:rsidRPr="00FD62C4">
        <w:rPr>
          <w:rFonts w:eastAsia="Malgun Gothic"/>
          <w:lang w:eastAsia="ko-KR"/>
        </w:rPr>
        <w:t>a</w:t>
      </w:r>
      <w:r w:rsidRPr="00FD62C4">
        <w:rPr>
          <w:rFonts w:eastAsia="Malgun Gothic"/>
          <w:lang w:eastAsia="ko-KR"/>
        </w:rPr>
        <w:t xml:space="preserve">vailability also increases with </w:t>
      </w:r>
      <w:r w:rsidR="003E63A2" w:rsidRPr="00FD62C4">
        <w:rPr>
          <w:rFonts w:eastAsia="Malgun Gothic"/>
          <w:lang w:eastAsia="ko-KR"/>
        </w:rPr>
        <w:t>s</w:t>
      </w:r>
      <w:r w:rsidRPr="00FD62C4">
        <w:rPr>
          <w:rFonts w:eastAsia="Malgun Gothic"/>
          <w:lang w:eastAsia="ko-KR"/>
        </w:rPr>
        <w:t xml:space="preserve">pectrum </w:t>
      </w:r>
      <w:r w:rsidR="003E63A2" w:rsidRPr="00FD62C4">
        <w:rPr>
          <w:rFonts w:eastAsia="Malgun Gothic"/>
          <w:lang w:eastAsia="ko-KR"/>
        </w:rPr>
        <w:t>s</w:t>
      </w:r>
      <w:r w:rsidRPr="00FD62C4">
        <w:rPr>
          <w:rFonts w:eastAsia="Malgun Gothic"/>
          <w:lang w:eastAsia="ko-KR"/>
        </w:rPr>
        <w:t>hare: sharing the spectrum across different users/operators maximizes its utilization.</w:t>
      </w:r>
    </w:p>
    <w:p w14:paraId="1A075209" w14:textId="77777777" w:rsidR="00A812FA" w:rsidRPr="00FD62C4" w:rsidRDefault="00A812FA" w:rsidP="00A812FA">
      <w:pPr>
        <w:rPr>
          <w:rFonts w:eastAsia="Malgun Gothic"/>
          <w:lang w:eastAsia="ko-KR"/>
        </w:rPr>
      </w:pPr>
      <w:r w:rsidRPr="00FD62C4">
        <w:rPr>
          <w:rFonts w:eastAsia="Malgun Gothic"/>
          <w:lang w:eastAsia="ko-KR"/>
        </w:rPr>
        <w:t>The availability of spectrum as a function of these parameters can be modelled with non-linear interactions. One common approach is to use an additive non-linear model:</w:t>
      </w:r>
    </w:p>
    <w:p w14:paraId="190F0C2C" w14:textId="204C5107" w:rsidR="003E4073" w:rsidRPr="00FD62C4" w:rsidRDefault="006D2499" w:rsidP="00A812FA">
      <w:pPr>
        <w:pStyle w:val="Equation"/>
        <w:rPr>
          <w:rFonts w:eastAsia="Malgun Gothic"/>
          <w:lang w:eastAsia="ko-KR"/>
        </w:rPr>
      </w:pPr>
      <w:r w:rsidRPr="00FD62C4">
        <w:rPr>
          <w:rFonts w:eastAsia="Malgun Gothic"/>
          <w:lang w:eastAsia="ko-KR"/>
        </w:rPr>
        <w:tab/>
      </w:r>
      <w:r w:rsidR="00A812FA" w:rsidRPr="00FD62C4">
        <w:rPr>
          <w:rFonts w:eastAsia="Malgun Gothic"/>
          <w:lang w:eastAsia="ko-KR"/>
        </w:rPr>
        <w:tab/>
      </w:r>
      <m:oMath>
        <m:r>
          <w:rPr>
            <w:rFonts w:ascii="Cambria Math" w:eastAsia="Malgun Gothic" w:hAnsi="Cambria Math"/>
            <w:lang w:eastAsia="ko-KR"/>
          </w:rPr>
          <m:t>A</m:t>
        </m:r>
        <m:d>
          <m:dPr>
            <m:ctrlPr>
              <w:rPr>
                <w:rFonts w:ascii="Cambria Math" w:eastAsia="Malgun Gothic" w:hAnsi="Cambria Math"/>
                <w:i/>
                <w:lang w:eastAsia="ko-KR"/>
              </w:rPr>
            </m:ctrlPr>
          </m:dPr>
          <m:e>
            <m:r>
              <w:rPr>
                <w:rFonts w:ascii="Cambria Math" w:eastAsia="Malgun Gothic" w:hAnsi="Cambria Math"/>
                <w:lang w:eastAsia="ko-KR"/>
              </w:rPr>
              <m:t>t</m:t>
            </m:r>
          </m:e>
        </m:d>
        <m:r>
          <w:rPr>
            <w:rFonts w:ascii="Cambria Math" w:eastAsia="Malgun Gothic" w:hAnsi="Cambria Math"/>
            <w:lang w:eastAsia="ko-KR"/>
          </w:rPr>
          <m:t>=Ao+f</m:t>
        </m:r>
        <m:d>
          <m:dPr>
            <m:ctrlPr>
              <w:rPr>
                <w:rFonts w:ascii="Cambria Math" w:eastAsia="Malgun Gothic" w:hAnsi="Cambria Math"/>
                <w:i/>
                <w:lang w:eastAsia="ko-KR"/>
              </w:rPr>
            </m:ctrlPr>
          </m:dPr>
          <m:e>
            <m:r>
              <w:rPr>
                <w:rFonts w:ascii="Cambria Math" w:eastAsia="Malgun Gothic" w:hAnsi="Cambria Math"/>
                <w:lang w:eastAsia="ko-KR"/>
              </w:rPr>
              <m:t>Ss</m:t>
            </m:r>
            <m:d>
              <m:dPr>
                <m:ctrlPr>
                  <w:rPr>
                    <w:rFonts w:ascii="Cambria Math" w:eastAsia="Malgun Gothic" w:hAnsi="Cambria Math"/>
                    <w:i/>
                    <w:lang w:eastAsia="ko-KR"/>
                  </w:rPr>
                </m:ctrlPr>
              </m:dPr>
              <m:e>
                <m:r>
                  <w:rPr>
                    <w:rFonts w:ascii="Cambria Math" w:eastAsia="Malgun Gothic" w:hAnsi="Cambria Math"/>
                    <w:lang w:eastAsia="ko-KR"/>
                  </w:rPr>
                  <m:t>t</m:t>
                </m:r>
              </m:e>
            </m:d>
          </m:e>
        </m:d>
        <m:r>
          <w:rPr>
            <w:rFonts w:ascii="Cambria Math" w:eastAsia="Malgun Gothic" w:hAnsi="Cambria Math"/>
            <w:lang w:eastAsia="ko-KR"/>
          </w:rPr>
          <m:t>+g</m:t>
        </m:r>
        <m:d>
          <m:dPr>
            <m:ctrlPr>
              <w:rPr>
                <w:rFonts w:ascii="Cambria Math" w:eastAsia="Malgun Gothic" w:hAnsi="Cambria Math"/>
                <w:i/>
                <w:lang w:eastAsia="ko-KR"/>
              </w:rPr>
            </m:ctrlPr>
          </m:dPr>
          <m:e>
            <m:r>
              <w:rPr>
                <w:rFonts w:ascii="Cambria Math" w:eastAsia="Malgun Gothic" w:hAnsi="Cambria Math"/>
                <w:lang w:eastAsia="ko-KR"/>
              </w:rPr>
              <m:t>Sl</m:t>
            </m:r>
            <m:d>
              <m:dPr>
                <m:ctrlPr>
                  <w:rPr>
                    <w:rFonts w:ascii="Cambria Math" w:eastAsia="Malgun Gothic" w:hAnsi="Cambria Math"/>
                    <w:i/>
                    <w:lang w:eastAsia="ko-KR"/>
                  </w:rPr>
                </m:ctrlPr>
              </m:dPr>
              <m:e>
                <m:r>
                  <w:rPr>
                    <w:rFonts w:ascii="Cambria Math" w:eastAsia="Malgun Gothic" w:hAnsi="Cambria Math"/>
                    <w:lang w:eastAsia="ko-KR"/>
                  </w:rPr>
                  <m:t>t</m:t>
                </m:r>
              </m:e>
            </m:d>
          </m:e>
        </m:d>
        <m:r>
          <w:rPr>
            <w:rFonts w:ascii="Cambria Math" w:eastAsia="Malgun Gothic" w:hAnsi="Cambria Math"/>
            <w:lang w:eastAsia="ko-KR"/>
          </w:rPr>
          <m:t>+h</m:t>
        </m:r>
        <m:d>
          <m:dPr>
            <m:ctrlPr>
              <w:rPr>
                <w:rFonts w:ascii="Cambria Math" w:eastAsia="Malgun Gothic" w:hAnsi="Cambria Math"/>
                <w:i/>
                <w:lang w:eastAsia="ko-KR"/>
              </w:rPr>
            </m:ctrlPr>
          </m:dPr>
          <m:e>
            <m:r>
              <w:rPr>
                <w:rFonts w:ascii="Cambria Math" w:eastAsia="Malgun Gothic" w:hAnsi="Cambria Math"/>
                <w:lang w:eastAsia="ko-KR"/>
              </w:rPr>
              <m:t>Ssh</m:t>
            </m:r>
            <m:d>
              <m:dPr>
                <m:ctrlPr>
                  <w:rPr>
                    <w:rFonts w:ascii="Cambria Math" w:eastAsia="Malgun Gothic" w:hAnsi="Cambria Math"/>
                    <w:i/>
                    <w:lang w:eastAsia="ko-KR"/>
                  </w:rPr>
                </m:ctrlPr>
              </m:dPr>
              <m:e>
                <m:r>
                  <w:rPr>
                    <w:rFonts w:ascii="Cambria Math" w:eastAsia="Malgun Gothic" w:hAnsi="Cambria Math"/>
                    <w:lang w:eastAsia="ko-KR"/>
                  </w:rPr>
                  <m:t>t</m:t>
                </m:r>
              </m:e>
            </m:d>
          </m:e>
        </m:d>
      </m:oMath>
    </w:p>
    <w:p w14:paraId="0DA2490A" w14:textId="77777777" w:rsidR="00A812FA" w:rsidRPr="00FD62C4" w:rsidRDefault="00A812FA" w:rsidP="00A812FA">
      <w:pPr>
        <w:rPr>
          <w:rFonts w:eastAsia="Malgun Gothic"/>
          <w:lang w:eastAsia="ko-KR"/>
        </w:rPr>
      </w:pPr>
      <w:r w:rsidRPr="00FD62C4">
        <w:rPr>
          <w:rFonts w:eastAsia="Malgun Gothic"/>
          <w:lang w:eastAsia="ko-KR"/>
        </w:rPr>
        <w:t>where:</w:t>
      </w:r>
    </w:p>
    <w:p w14:paraId="25D8C7B2" w14:textId="6A095CFB" w:rsidR="00A812FA" w:rsidRPr="00FD62C4" w:rsidRDefault="00A812FA" w:rsidP="00A812FA">
      <w:pPr>
        <w:pStyle w:val="enumlev1"/>
        <w:rPr>
          <w:rFonts w:eastAsia="Malgun Gothic"/>
          <w:lang w:eastAsia="ko-KR"/>
        </w:rPr>
      </w:pPr>
      <w:r w:rsidRPr="00FD62C4">
        <w:rPr>
          <w:rFonts w:eastAsia="Malgun Gothic"/>
          <w:b/>
          <w:bCs/>
          <w:lang w:eastAsia="ko-KR"/>
        </w:rPr>
        <w:tab/>
      </w:r>
      <m:oMath>
        <m:r>
          <w:rPr>
            <w:rFonts w:ascii="Cambria Math" w:eastAsia="Malgun Gothic" w:hAnsi="Cambria Math"/>
            <w:lang w:eastAsia="ko-KR"/>
          </w:rPr>
          <m:t>Ao</m:t>
        </m:r>
      </m:oMath>
      <w:r w:rsidRPr="00FD62C4">
        <w:rPr>
          <w:rFonts w:eastAsia="Malgun Gothic"/>
          <w:lang w:eastAsia="ko-KR"/>
        </w:rPr>
        <w:t xml:space="preserve"> is the base spectrum availability when no surrender, lease or sharing is applied</w:t>
      </w:r>
    </w:p>
    <w:p w14:paraId="0871C0F3" w14:textId="175273EA" w:rsidR="00A812FA" w:rsidRPr="00FD62C4" w:rsidRDefault="00A812FA" w:rsidP="00A812FA">
      <w:pPr>
        <w:pStyle w:val="enumlev1"/>
        <w:rPr>
          <w:rFonts w:eastAsia="Malgun Gothic"/>
          <w:lang w:eastAsia="ko-KR"/>
        </w:rPr>
      </w:pPr>
      <w:r w:rsidRPr="00FD62C4">
        <w:rPr>
          <w:rFonts w:eastAsia="Malgun Gothic"/>
          <w:b/>
          <w:bCs/>
          <w:lang w:eastAsia="ko-KR"/>
        </w:rPr>
        <w:tab/>
      </w:r>
      <m:oMath>
        <m:r>
          <w:rPr>
            <w:rFonts w:ascii="Cambria Math" w:eastAsia="Malgun Gothic" w:hAnsi="Cambria Math"/>
            <w:lang w:eastAsia="ko-KR"/>
          </w:rPr>
          <m:t>f</m:t>
        </m:r>
        <m:d>
          <m:dPr>
            <m:ctrlPr>
              <w:rPr>
                <w:rFonts w:ascii="Cambria Math" w:eastAsia="Malgun Gothic" w:hAnsi="Cambria Math"/>
                <w:i/>
                <w:lang w:eastAsia="ko-KR"/>
              </w:rPr>
            </m:ctrlPr>
          </m:dPr>
          <m:e>
            <m:r>
              <w:rPr>
                <w:rFonts w:ascii="Cambria Math" w:eastAsia="Malgun Gothic" w:hAnsi="Cambria Math"/>
                <w:lang w:eastAsia="ko-KR"/>
              </w:rPr>
              <m:t>Ss</m:t>
            </m:r>
            <m:d>
              <m:dPr>
                <m:ctrlPr>
                  <w:rPr>
                    <w:rFonts w:ascii="Cambria Math" w:eastAsia="Malgun Gothic" w:hAnsi="Cambria Math"/>
                    <w:i/>
                    <w:lang w:eastAsia="ko-KR"/>
                  </w:rPr>
                </m:ctrlPr>
              </m:dPr>
              <m:e>
                <m:r>
                  <w:rPr>
                    <w:rFonts w:ascii="Cambria Math" w:eastAsia="Malgun Gothic" w:hAnsi="Cambria Math"/>
                    <w:lang w:eastAsia="ko-KR"/>
                  </w:rPr>
                  <m:t>t</m:t>
                </m:r>
              </m:e>
            </m:d>
          </m:e>
        </m:d>
      </m:oMath>
      <w:r w:rsidRPr="00FD62C4">
        <w:rPr>
          <w:rFonts w:eastAsia="Malgun Gothic"/>
          <w:lang w:eastAsia="ko-KR"/>
        </w:rPr>
        <w:t xml:space="preserve"> is a linear function representing the effect of spectrum surrender on availability</w:t>
      </w:r>
    </w:p>
    <w:p w14:paraId="0F03D01F" w14:textId="245982DD" w:rsidR="00A812FA" w:rsidRPr="00FD62C4" w:rsidRDefault="00A812FA" w:rsidP="00A812FA">
      <w:pPr>
        <w:pStyle w:val="enumlev1"/>
        <w:rPr>
          <w:rFonts w:eastAsia="Malgun Gothic"/>
          <w:lang w:eastAsia="ko-KR"/>
        </w:rPr>
      </w:pPr>
      <w:r w:rsidRPr="00FD62C4">
        <w:rPr>
          <w:rFonts w:eastAsia="Malgun Gothic"/>
          <w:b/>
          <w:bCs/>
          <w:lang w:eastAsia="ko-KR"/>
        </w:rPr>
        <w:tab/>
      </w:r>
      <m:oMath>
        <m:r>
          <w:rPr>
            <w:rFonts w:ascii="Cambria Math" w:eastAsia="Malgun Gothic" w:hAnsi="Cambria Math"/>
            <w:lang w:eastAsia="ko-KR"/>
          </w:rPr>
          <m:t>g</m:t>
        </m:r>
        <m:d>
          <m:dPr>
            <m:ctrlPr>
              <w:rPr>
                <w:rFonts w:ascii="Cambria Math" w:eastAsia="Malgun Gothic" w:hAnsi="Cambria Math"/>
                <w:i/>
                <w:lang w:eastAsia="ko-KR"/>
              </w:rPr>
            </m:ctrlPr>
          </m:dPr>
          <m:e>
            <m:r>
              <w:rPr>
                <w:rFonts w:ascii="Cambria Math" w:eastAsia="Malgun Gothic" w:hAnsi="Cambria Math"/>
                <w:lang w:eastAsia="ko-KR"/>
              </w:rPr>
              <m:t>Sl</m:t>
            </m:r>
            <m:d>
              <m:dPr>
                <m:ctrlPr>
                  <w:rPr>
                    <w:rFonts w:ascii="Cambria Math" w:eastAsia="Malgun Gothic" w:hAnsi="Cambria Math"/>
                    <w:i/>
                    <w:lang w:eastAsia="ko-KR"/>
                  </w:rPr>
                </m:ctrlPr>
              </m:dPr>
              <m:e>
                <m:r>
                  <w:rPr>
                    <w:rFonts w:ascii="Cambria Math" w:eastAsia="Malgun Gothic" w:hAnsi="Cambria Math"/>
                    <w:lang w:eastAsia="ko-KR"/>
                  </w:rPr>
                  <m:t>t</m:t>
                </m:r>
              </m:e>
            </m:d>
          </m:e>
        </m:d>
      </m:oMath>
      <w:r w:rsidRPr="00FD62C4">
        <w:rPr>
          <w:rFonts w:eastAsia="Malgun Gothic"/>
          <w:lang w:eastAsia="ko-KR"/>
        </w:rPr>
        <w:t xml:space="preserve"> is a non-linear function representing the effect of spectrum lease on availability</w:t>
      </w:r>
    </w:p>
    <w:p w14:paraId="2053DE53" w14:textId="1F584D4D" w:rsidR="00A812FA" w:rsidRPr="00FD62C4" w:rsidRDefault="00A812FA" w:rsidP="00A812FA">
      <w:pPr>
        <w:pStyle w:val="enumlev1"/>
        <w:rPr>
          <w:rFonts w:eastAsia="Malgun Gothic"/>
          <w:lang w:eastAsia="ko-KR"/>
        </w:rPr>
      </w:pPr>
      <w:r w:rsidRPr="00FD62C4">
        <w:rPr>
          <w:rFonts w:eastAsia="Malgun Gothic"/>
          <w:b/>
          <w:bCs/>
          <w:lang w:eastAsia="ko-KR"/>
        </w:rPr>
        <w:tab/>
      </w:r>
      <m:oMath>
        <m:r>
          <w:rPr>
            <w:rFonts w:ascii="Cambria Math" w:eastAsia="Malgun Gothic" w:hAnsi="Cambria Math"/>
            <w:lang w:eastAsia="ko-KR"/>
          </w:rPr>
          <m:t>h</m:t>
        </m:r>
        <m:d>
          <m:dPr>
            <m:ctrlPr>
              <w:rPr>
                <w:rFonts w:ascii="Cambria Math" w:eastAsia="Malgun Gothic" w:hAnsi="Cambria Math"/>
                <w:i/>
                <w:lang w:eastAsia="ko-KR"/>
              </w:rPr>
            </m:ctrlPr>
          </m:dPr>
          <m:e>
            <m:r>
              <w:rPr>
                <w:rFonts w:ascii="Cambria Math" w:eastAsia="Malgun Gothic" w:hAnsi="Cambria Math"/>
                <w:lang w:eastAsia="ko-KR"/>
              </w:rPr>
              <m:t>Ssh</m:t>
            </m:r>
            <m:d>
              <m:dPr>
                <m:ctrlPr>
                  <w:rPr>
                    <w:rFonts w:ascii="Cambria Math" w:eastAsia="Malgun Gothic" w:hAnsi="Cambria Math"/>
                    <w:i/>
                    <w:lang w:eastAsia="ko-KR"/>
                  </w:rPr>
                </m:ctrlPr>
              </m:dPr>
              <m:e>
                <m:r>
                  <w:rPr>
                    <w:rFonts w:ascii="Cambria Math" w:eastAsia="Malgun Gothic" w:hAnsi="Cambria Math"/>
                    <w:lang w:eastAsia="ko-KR"/>
                  </w:rPr>
                  <m:t>t</m:t>
                </m:r>
              </m:e>
            </m:d>
          </m:e>
        </m:d>
      </m:oMath>
      <w:r w:rsidRPr="00FD62C4">
        <w:rPr>
          <w:rFonts w:eastAsia="Malgun Gothic"/>
          <w:lang w:eastAsia="ko-KR"/>
        </w:rPr>
        <w:t xml:space="preserve"> is a non-linear function representing the effect of spectrum sharing on availability.</w:t>
      </w:r>
    </w:p>
    <w:p w14:paraId="4C84DE4F" w14:textId="4DCF5896" w:rsidR="00A812FA" w:rsidRPr="00FD62C4" w:rsidRDefault="00A812FA" w:rsidP="009314CB">
      <w:pPr>
        <w:keepNext/>
        <w:keepLines/>
        <w:rPr>
          <w:rFonts w:eastAsia="Malgun Gothic"/>
          <w:lang w:eastAsia="ko-KR"/>
        </w:rPr>
      </w:pPr>
      <w:r w:rsidRPr="00FD62C4">
        <w:rPr>
          <w:rFonts w:eastAsia="Malgun Gothic"/>
          <w:lang w:eastAsia="ko-KR"/>
        </w:rPr>
        <w:t>Choosing the simplistic functions</w:t>
      </w:r>
      <w:r w:rsidR="005F2AC6" w:rsidRPr="00FD62C4">
        <w:rPr>
          <w:rFonts w:eastAsia="Malgun Gothic"/>
          <w:lang w:eastAsia="ko-KR"/>
        </w:rPr>
        <w:t>:</w:t>
      </w:r>
    </w:p>
    <w:p w14:paraId="20515378" w14:textId="31001DF2" w:rsidR="00A812FA" w:rsidRPr="00FD62C4" w:rsidRDefault="00A812FA" w:rsidP="00A812FA">
      <w:pPr>
        <w:pStyle w:val="enumlev1"/>
        <w:rPr>
          <w:rFonts w:eastAsia="Malgun Gothic"/>
          <w:lang w:eastAsia="ko-KR"/>
        </w:rPr>
      </w:pPr>
      <w:r w:rsidRPr="00FD62C4">
        <w:rPr>
          <w:rFonts w:eastAsia="Malgun Gothic"/>
          <w:lang w:eastAsia="ko-KR"/>
        </w:rPr>
        <w:t>1</w:t>
      </w:r>
      <w:r w:rsidR="005F2AC6" w:rsidRPr="00FD62C4">
        <w:rPr>
          <w:rFonts w:eastAsia="Malgun Gothic"/>
          <w:lang w:eastAsia="ko-KR"/>
        </w:rPr>
        <w:t>)</w:t>
      </w:r>
      <w:r w:rsidRPr="00FD62C4">
        <w:rPr>
          <w:rFonts w:eastAsia="Malgun Gothic"/>
          <w:lang w:eastAsia="ko-KR"/>
        </w:rPr>
        <w:tab/>
        <w:t xml:space="preserve">Spectrum </w:t>
      </w:r>
      <w:r w:rsidR="00C55358" w:rsidRPr="00FD62C4">
        <w:rPr>
          <w:rFonts w:eastAsia="Malgun Gothic"/>
          <w:lang w:eastAsia="ko-KR"/>
        </w:rPr>
        <w:t>s</w:t>
      </w:r>
      <w:r w:rsidRPr="00FD62C4">
        <w:rPr>
          <w:rFonts w:eastAsia="Malgun Gothic"/>
          <w:lang w:eastAsia="ko-KR"/>
        </w:rPr>
        <w:t xml:space="preserve">urrender </w:t>
      </w:r>
      <m:oMath>
        <m:r>
          <w:rPr>
            <w:rFonts w:ascii="Cambria Math" w:eastAsia="Malgun Gothic" w:hAnsi="Cambria Math"/>
            <w:lang w:eastAsia="ko-KR"/>
          </w:rPr>
          <m:t>f</m:t>
        </m:r>
        <m:d>
          <m:dPr>
            <m:ctrlPr>
              <w:rPr>
                <w:rFonts w:ascii="Cambria Math" w:eastAsia="Malgun Gothic" w:hAnsi="Cambria Math"/>
                <w:i/>
                <w:lang w:eastAsia="ko-KR"/>
              </w:rPr>
            </m:ctrlPr>
          </m:dPr>
          <m:e>
            <m:r>
              <w:rPr>
                <w:rFonts w:ascii="Cambria Math" w:eastAsia="Malgun Gothic" w:hAnsi="Cambria Math"/>
                <w:lang w:eastAsia="ko-KR"/>
              </w:rPr>
              <m:t>Ss</m:t>
            </m:r>
            <m:d>
              <m:dPr>
                <m:ctrlPr>
                  <w:rPr>
                    <w:rFonts w:ascii="Cambria Math" w:eastAsia="Malgun Gothic" w:hAnsi="Cambria Math"/>
                    <w:i/>
                    <w:lang w:eastAsia="ko-KR"/>
                  </w:rPr>
                </m:ctrlPr>
              </m:dPr>
              <m:e>
                <m:r>
                  <w:rPr>
                    <w:rFonts w:ascii="Cambria Math" w:eastAsia="Malgun Gothic" w:hAnsi="Cambria Math"/>
                    <w:lang w:eastAsia="ko-KR"/>
                  </w:rPr>
                  <m:t>t</m:t>
                </m:r>
              </m:e>
            </m:d>
          </m:e>
        </m:d>
        <m:r>
          <w:rPr>
            <w:rFonts w:ascii="Cambria Math" w:eastAsia="Malgun Gothic" w:hAnsi="Cambria Math"/>
            <w:lang w:eastAsia="ko-KR"/>
          </w:rPr>
          <m:t>=Ss</m:t>
        </m:r>
      </m:oMath>
      <w:r w:rsidRPr="00FD62C4">
        <w:rPr>
          <w:rFonts w:eastAsia="Malgun Gothic"/>
          <w:lang w:eastAsia="ko-KR"/>
        </w:rPr>
        <w:t xml:space="preserve">. It can be taken as amount of Spectrum Surrendered at time </w:t>
      </w:r>
      <w:r w:rsidRPr="00FD62C4">
        <w:rPr>
          <w:rFonts w:eastAsia="Malgun Gothic"/>
          <w:i/>
          <w:iCs/>
          <w:lang w:eastAsia="ko-KR"/>
        </w:rPr>
        <w:t>t</w:t>
      </w:r>
      <w:r w:rsidRPr="00FD62C4">
        <w:rPr>
          <w:rFonts w:eastAsia="Malgun Gothic"/>
          <w:lang w:eastAsia="ko-KR"/>
        </w:rPr>
        <w:t>. This will act as a constant number for any given time.</w:t>
      </w:r>
    </w:p>
    <w:p w14:paraId="6AFBE31B" w14:textId="5CDF8A3C" w:rsidR="00A812FA" w:rsidRPr="00FD62C4" w:rsidRDefault="00A812FA" w:rsidP="00A812FA">
      <w:pPr>
        <w:pStyle w:val="enumlev1"/>
        <w:rPr>
          <w:rFonts w:eastAsia="Malgun Gothic"/>
          <w:lang w:eastAsia="ko-KR"/>
        </w:rPr>
      </w:pPr>
      <w:r w:rsidRPr="00FD62C4">
        <w:rPr>
          <w:rFonts w:eastAsia="Malgun Gothic"/>
          <w:lang w:eastAsia="ko-KR"/>
        </w:rPr>
        <w:lastRenderedPageBreak/>
        <w:t>2</w:t>
      </w:r>
      <w:r w:rsidR="005F2AC6" w:rsidRPr="00FD62C4">
        <w:rPr>
          <w:rFonts w:eastAsia="Malgun Gothic"/>
          <w:lang w:eastAsia="ko-KR"/>
        </w:rPr>
        <w:t>)</w:t>
      </w:r>
      <w:r w:rsidRPr="00FD62C4">
        <w:rPr>
          <w:rFonts w:eastAsia="Malgun Gothic"/>
          <w:lang w:eastAsia="ko-KR"/>
        </w:rPr>
        <w:tab/>
        <w:t xml:space="preserve">Spectrum </w:t>
      </w:r>
      <w:r w:rsidR="00C55358" w:rsidRPr="00FD62C4">
        <w:rPr>
          <w:rFonts w:eastAsia="Malgun Gothic"/>
          <w:lang w:eastAsia="ko-KR"/>
        </w:rPr>
        <w:t>l</w:t>
      </w:r>
      <w:r w:rsidRPr="00FD62C4">
        <w:rPr>
          <w:rFonts w:eastAsia="Malgun Gothic"/>
          <w:lang w:eastAsia="ko-KR"/>
        </w:rPr>
        <w:t xml:space="preserve">ease </w:t>
      </w:r>
      <m:oMath>
        <m:r>
          <w:rPr>
            <w:rFonts w:ascii="Cambria Math" w:eastAsia="Malgun Gothic" w:hAnsi="Cambria Math"/>
            <w:lang w:eastAsia="ko-KR"/>
          </w:rPr>
          <m:t>g</m:t>
        </m:r>
        <m:d>
          <m:dPr>
            <m:ctrlPr>
              <w:rPr>
                <w:rFonts w:ascii="Cambria Math" w:eastAsia="Malgun Gothic" w:hAnsi="Cambria Math"/>
                <w:i/>
                <w:lang w:eastAsia="ko-KR"/>
              </w:rPr>
            </m:ctrlPr>
          </m:dPr>
          <m:e>
            <m:r>
              <w:rPr>
                <w:rFonts w:ascii="Cambria Math" w:eastAsia="Malgun Gothic" w:hAnsi="Cambria Math"/>
                <w:lang w:eastAsia="ko-KR"/>
              </w:rPr>
              <m:t>Sl</m:t>
            </m:r>
            <m:d>
              <m:dPr>
                <m:ctrlPr>
                  <w:rPr>
                    <w:rFonts w:ascii="Cambria Math" w:eastAsia="Malgun Gothic" w:hAnsi="Cambria Math"/>
                    <w:i/>
                    <w:lang w:eastAsia="ko-KR"/>
                  </w:rPr>
                </m:ctrlPr>
              </m:dPr>
              <m:e>
                <m:r>
                  <w:rPr>
                    <w:rFonts w:ascii="Cambria Math" w:eastAsia="Malgun Gothic" w:hAnsi="Cambria Math"/>
                    <w:lang w:eastAsia="ko-KR"/>
                  </w:rPr>
                  <m:t>t</m:t>
                </m:r>
              </m:e>
            </m:d>
          </m:e>
        </m:d>
        <m:r>
          <w:rPr>
            <w:rFonts w:ascii="Cambria Math" w:eastAsia="Malgun Gothic" w:hAnsi="Cambria Math"/>
            <w:lang w:eastAsia="ko-KR"/>
          </w:rPr>
          <m:t>=</m:t>
        </m:r>
        <m:r>
          <m:rPr>
            <m:sty m:val="p"/>
          </m:rPr>
          <w:rPr>
            <w:rFonts w:ascii="Cambria Math" w:eastAsia="Malgun Gothic" w:hAnsi="Cambria Math"/>
            <w:lang w:eastAsia="ko-KR"/>
          </w:rPr>
          <m:t>β</m:t>
        </m:r>
        <m:r>
          <w:rPr>
            <w:rFonts w:ascii="Cambria Math" w:eastAsia="Malgun Gothic" w:hAnsi="Cambria Math"/>
            <w:lang w:eastAsia="ko-KR"/>
          </w:rPr>
          <m:t>*Sl</m:t>
        </m:r>
        <m:d>
          <m:dPr>
            <m:ctrlPr>
              <w:rPr>
                <w:rFonts w:ascii="Cambria Math" w:eastAsia="Malgun Gothic" w:hAnsi="Cambria Math"/>
                <w:i/>
                <w:lang w:eastAsia="ko-KR"/>
              </w:rPr>
            </m:ctrlPr>
          </m:dPr>
          <m:e>
            <m:r>
              <w:rPr>
                <w:rFonts w:ascii="Cambria Math" w:eastAsia="Malgun Gothic" w:hAnsi="Cambria Math"/>
                <w:lang w:eastAsia="ko-KR"/>
              </w:rPr>
              <m:t>t</m:t>
            </m:r>
          </m:e>
        </m:d>
        <m:r>
          <w:rPr>
            <w:rFonts w:ascii="Cambria Math" w:eastAsia="Malgun Gothic" w:hAnsi="Cambria Math"/>
            <w:lang w:eastAsia="ko-KR"/>
          </w:rPr>
          <m:t>^</m:t>
        </m:r>
        <m:r>
          <m:rPr>
            <m:sty m:val="p"/>
          </m:rPr>
          <w:rPr>
            <w:rFonts w:ascii="Cambria Math" w:eastAsia="Malgun Gothic" w:hAnsi="Cambria Math"/>
            <w:lang w:eastAsia="ko-KR"/>
          </w:rPr>
          <m:t>γ</m:t>
        </m:r>
      </m:oMath>
      <w:r w:rsidRPr="00FD62C4">
        <w:rPr>
          <w:rFonts w:eastAsia="Malgun Gothic"/>
          <w:lang w:eastAsia="ko-KR"/>
        </w:rPr>
        <w:t>. The leasing term, where β and γ model the impact of leasing on the increase in availability. The effect grows non-linearly with more spectrum leased.</w:t>
      </w:r>
    </w:p>
    <w:p w14:paraId="5C446BB5" w14:textId="3CD375C6" w:rsidR="00A812FA" w:rsidRPr="00FD62C4" w:rsidRDefault="00A812FA" w:rsidP="00A812FA">
      <w:pPr>
        <w:pStyle w:val="enumlev1"/>
        <w:rPr>
          <w:rFonts w:eastAsia="Malgun Gothic"/>
          <w:lang w:eastAsia="ko-KR"/>
        </w:rPr>
      </w:pPr>
      <w:r w:rsidRPr="00FD62C4">
        <w:rPr>
          <w:rFonts w:eastAsia="Malgun Gothic"/>
          <w:lang w:eastAsia="ko-KR"/>
        </w:rPr>
        <w:t>3</w:t>
      </w:r>
      <w:r w:rsidR="005F2AC6" w:rsidRPr="00FD62C4">
        <w:rPr>
          <w:rFonts w:eastAsia="Malgun Gothic"/>
          <w:lang w:eastAsia="ko-KR"/>
        </w:rPr>
        <w:t>)</w:t>
      </w:r>
      <w:r w:rsidRPr="00FD62C4">
        <w:rPr>
          <w:rFonts w:eastAsia="Malgun Gothic"/>
          <w:lang w:eastAsia="ko-KR"/>
        </w:rPr>
        <w:tab/>
        <w:t xml:space="preserve">Spectrum Share </w:t>
      </w:r>
      <m:oMath>
        <m:r>
          <w:rPr>
            <w:rFonts w:ascii="Cambria Math" w:eastAsia="Malgun Gothic" w:hAnsi="Cambria Math"/>
            <w:lang w:eastAsia="ko-KR"/>
          </w:rPr>
          <m:t>h</m:t>
        </m:r>
        <m:d>
          <m:dPr>
            <m:ctrlPr>
              <w:rPr>
                <w:rFonts w:ascii="Cambria Math" w:eastAsia="Malgun Gothic" w:hAnsi="Cambria Math"/>
                <w:i/>
                <w:lang w:eastAsia="ko-KR"/>
              </w:rPr>
            </m:ctrlPr>
          </m:dPr>
          <m:e>
            <m:r>
              <w:rPr>
                <w:rFonts w:ascii="Cambria Math" w:eastAsia="Malgun Gothic" w:hAnsi="Cambria Math"/>
                <w:lang w:eastAsia="ko-KR"/>
              </w:rPr>
              <m:t>Ssh</m:t>
            </m:r>
            <m:d>
              <m:dPr>
                <m:ctrlPr>
                  <w:rPr>
                    <w:rFonts w:ascii="Cambria Math" w:eastAsia="Malgun Gothic" w:hAnsi="Cambria Math"/>
                    <w:i/>
                    <w:lang w:eastAsia="ko-KR"/>
                  </w:rPr>
                </m:ctrlPr>
              </m:dPr>
              <m:e>
                <m:r>
                  <w:rPr>
                    <w:rFonts w:ascii="Cambria Math" w:eastAsia="Malgun Gothic" w:hAnsi="Cambria Math"/>
                    <w:lang w:eastAsia="ko-KR"/>
                  </w:rPr>
                  <m:t>t</m:t>
                </m:r>
              </m:e>
            </m:d>
          </m:e>
        </m:d>
        <m:r>
          <w:rPr>
            <w:rFonts w:ascii="Cambria Math" w:eastAsia="Malgun Gothic" w:hAnsi="Cambria Math"/>
            <w:lang w:eastAsia="ko-KR"/>
          </w:rPr>
          <m:t>=</m:t>
        </m:r>
        <m:r>
          <m:rPr>
            <m:sty m:val="p"/>
          </m:rPr>
          <w:rPr>
            <w:rFonts w:ascii="Cambria Math" w:eastAsia="Malgun Gothic" w:hAnsi="Cambria Math"/>
            <w:lang w:eastAsia="ko-KR"/>
          </w:rPr>
          <m:t>δ*</m:t>
        </m:r>
        <m:r>
          <w:rPr>
            <w:rFonts w:ascii="Cambria Math" w:eastAsia="Malgun Gothic" w:hAnsi="Cambria Math"/>
            <w:lang w:eastAsia="ko-KR"/>
          </w:rPr>
          <m:t>Ssh</m:t>
        </m:r>
        <m:d>
          <m:dPr>
            <m:ctrlPr>
              <w:rPr>
                <w:rFonts w:ascii="Cambria Math" w:eastAsia="Malgun Gothic" w:hAnsi="Cambria Math"/>
                <w:i/>
                <w:lang w:eastAsia="ko-KR"/>
              </w:rPr>
            </m:ctrlPr>
          </m:dPr>
          <m:e>
            <m:r>
              <w:rPr>
                <w:rFonts w:ascii="Cambria Math" w:eastAsia="Malgun Gothic" w:hAnsi="Cambria Math"/>
                <w:lang w:eastAsia="ko-KR"/>
              </w:rPr>
              <m:t>t</m:t>
            </m:r>
          </m:e>
        </m:d>
        <m:r>
          <w:rPr>
            <w:rFonts w:ascii="Cambria Math" w:eastAsia="Malgun Gothic" w:hAnsi="Cambria Math"/>
            <w:lang w:eastAsia="ko-KR"/>
          </w:rPr>
          <m:t>^</m:t>
        </m:r>
        <m:r>
          <m:rPr>
            <m:sty m:val="p"/>
          </m:rPr>
          <w:rPr>
            <w:rFonts w:ascii="Cambria Math" w:eastAsia="Malgun Gothic" w:hAnsi="Cambria Math"/>
            <w:lang w:eastAsia="ko-KR"/>
          </w:rPr>
          <m:t>η</m:t>
        </m:r>
      </m:oMath>
      <w:r w:rsidRPr="00FD62C4">
        <w:rPr>
          <w:rFonts w:eastAsia="Malgun Gothic"/>
          <w:lang w:eastAsia="ko-KR"/>
        </w:rPr>
        <w:t>. This term along with δ and η models the effect of sharing, where sharing tends to increase availability but with diminishing returns as more entities share the same spectrum.</w:t>
      </w:r>
    </w:p>
    <w:p w14:paraId="47E4E3FB" w14:textId="77777777" w:rsidR="00A812FA" w:rsidRPr="00FD62C4" w:rsidRDefault="00A812FA" w:rsidP="00A812FA">
      <w:r w:rsidRPr="00FD62C4">
        <w:rPr>
          <w:rFonts w:eastAsia="Malgun Gothic"/>
          <w:lang w:eastAsia="ko-KR"/>
        </w:rPr>
        <w:t>This model can be calibrated with actual spectrum data to set values for the parameters β, γ, δ and η to reflect real-world scenarios and trends.</w:t>
      </w:r>
    </w:p>
    <w:p w14:paraId="30924566" w14:textId="77777777" w:rsidR="001A213A" w:rsidRPr="00FD62C4" w:rsidRDefault="001A213A" w:rsidP="001A213A">
      <w:pPr>
        <w:rPr>
          <w:rFonts w:eastAsiaTheme="minorEastAsia"/>
        </w:rPr>
      </w:pPr>
    </w:p>
    <w:p w14:paraId="57F5A925" w14:textId="77777777" w:rsidR="00DC2B47" w:rsidRPr="00FD62C4" w:rsidRDefault="00DC2B47" w:rsidP="00684A8A">
      <w:pPr>
        <w:pStyle w:val="Line"/>
      </w:pPr>
    </w:p>
    <w:sectPr w:rsidR="00DC2B47" w:rsidRPr="00FD62C4" w:rsidSect="00FD62C4">
      <w:headerReference w:type="even" r:id="rId56"/>
      <w:headerReference w:type="default" r:id="rId57"/>
      <w:footerReference w:type="even" r:id="rId58"/>
      <w:footerReference w:type="default" r:id="rId59"/>
      <w:pgSz w:w="11907" w:h="16834" w:code="9"/>
      <w:pgMar w:top="1418" w:right="1134" w:bottom="1134" w:left="1134" w:header="720" w:footer="48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0570DD" w14:textId="77777777" w:rsidR="00A70B5D" w:rsidRDefault="00A70B5D">
      <w:r>
        <w:separator/>
      </w:r>
    </w:p>
  </w:endnote>
  <w:endnote w:type="continuationSeparator" w:id="0">
    <w:p w14:paraId="3A28EEC2" w14:textId="77777777" w:rsidR="00A70B5D" w:rsidRDefault="00A70B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venirNext LT Pro Medium">
    <w:panose1 w:val="020B0604020202020204"/>
    <w:charset w:val="00"/>
    <w:family w:val="swiss"/>
    <w:notTrueType/>
    <w:pitch w:val="variable"/>
    <w:sig w:usb0="800000AF" w:usb1="5000204A" w:usb2="00000000" w:usb3="00000000" w:csb0="00000093" w:csb1="00000000"/>
  </w:font>
  <w:font w:name="AvenirNext LT Pro Regular">
    <w:panose1 w:val="020B0504020202020204"/>
    <w:charset w:val="00"/>
    <w:family w:val="swiss"/>
    <w:notTrueType/>
    <w:pitch w:val="variable"/>
    <w:sig w:usb0="800000AF" w:usb1="5000204A" w:usb2="00000000" w:usb3="00000000" w:csb0="00000093"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나눔고딕 ExtraBold">
    <w:altName w:val="Malgun Gothic"/>
    <w:charset w:val="81"/>
    <w:family w:val="modern"/>
    <w:pitch w:val="default"/>
    <w:sig w:usb0="00000000" w:usb1="29D7FCFB" w:usb2="00000010" w:usb3="00000001" w:csb0="00080001" w:csb1="00000001"/>
  </w:font>
  <w:font w:name="Gulim">
    <w:panose1 w:val="020B0600000101010101"/>
    <w:charset w:val="81"/>
    <w:family w:val="swiss"/>
    <w:pitch w:val="variable"/>
    <w:sig w:usb0="B00002AF" w:usb1="69D77CFB" w:usb2="00000030" w:usb3="00000000" w:csb0="0008009F" w:csb1="00000000"/>
  </w:font>
  <w:font w:name="Batang">
    <w:panose1 w:val="02030600000101010101"/>
    <w:charset w:val="81"/>
    <w:family w:val="roman"/>
    <w:pitch w:val="variable"/>
    <w:sig w:usb0="B00002AF" w:usb1="69D77CFB" w:usb2="00000030" w:usb3="00000000" w:csb0="0008009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Helvetica[T]">
    <w:altName w:val="Arial"/>
    <w:panose1 w:val="00000000000000000000"/>
    <w:charset w:val="00"/>
    <w:family w:val="swiss"/>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Cambria Math">
    <w:panose1 w:val="02040503050406030204"/>
    <w:charset w:val="00"/>
    <w:family w:val="roman"/>
    <w:pitch w:val="variable"/>
    <w:sig w:usb0="E00006FF" w:usb1="420024FF" w:usb2="02000000" w:usb3="00000000" w:csb0="0000019F" w:csb1="00000000"/>
  </w:font>
  <w:font w:name="Tms Rmn">
    <w:altName w:val="Times New Roman"/>
    <w:panose1 w:val="02020603040505020304"/>
    <w:charset w:val="00"/>
    <w:family w:val="roman"/>
    <w:notTrueType/>
    <w:pitch w:val="variable"/>
    <w:sig w:usb0="00000003" w:usb1="00000000" w:usb2="00000000" w:usb3="00000000" w:csb0="00000001" w:csb1="00000000"/>
  </w:font>
  <w:font w:name="Courier">
    <w:altName w:val="Courier New"/>
    <w:panose1 w:val="02070409020205020404"/>
    <w:charset w:val="00"/>
    <w:family w:val="modern"/>
    <w:notTrueType/>
    <w:pitch w:val="fixed"/>
    <w:sig w:usb0="00000003" w:usb1="00000000" w:usb2="00000000" w:usb3="00000000" w:csb0="00000001" w:csb1="00000000"/>
  </w:font>
  <w:font w:name="FangSong">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26F79" w14:textId="77777777" w:rsidR="004C2370" w:rsidRDefault="004C2370">
    <w:pPr>
      <w:pStyle w:val="Footer"/>
    </w:pPr>
    <w:r>
      <w:drawing>
        <wp:anchor distT="0" distB="0" distL="0" distR="0" simplePos="0" relativeHeight="251656192" behindDoc="0" locked="0" layoutInCell="1" allowOverlap="1" wp14:anchorId="7D1468DA" wp14:editId="130776D9">
          <wp:simplePos x="0" y="0"/>
          <wp:positionH relativeFrom="page">
            <wp:posOffset>6346209</wp:posOffset>
          </wp:positionH>
          <wp:positionV relativeFrom="page">
            <wp:posOffset>9501505</wp:posOffset>
          </wp:positionV>
          <wp:extent cx="738000" cy="813600"/>
          <wp:effectExtent l="0" t="0" r="0" b="0"/>
          <wp:wrapNone/>
          <wp:docPr id="1" name="image1.png" descr="IT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ITU logo"/>
                  <pic:cNvPicPr/>
                </pic:nvPicPr>
                <pic:blipFill>
                  <a:blip r:embed="rId1" cstate="print"/>
                  <a:stretch>
                    <a:fillRect/>
                  </a:stretch>
                </pic:blipFill>
                <pic:spPr>
                  <a:xfrm>
                    <a:off x="0" y="0"/>
                    <a:ext cx="738000" cy="813600"/>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6826A" w14:textId="77777777" w:rsidR="00FD62C4" w:rsidRDefault="00FD62C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F5229" w14:textId="77777777" w:rsidR="00FD62C4" w:rsidRDefault="00FD62C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173019" w14:textId="4EE8642E" w:rsidR="00FD62C4" w:rsidRDefault="00FD62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F2D8CE" w14:textId="77777777" w:rsidR="00A70B5D" w:rsidRDefault="00A70B5D">
      <w:r>
        <w:separator/>
      </w:r>
    </w:p>
  </w:footnote>
  <w:footnote w:type="continuationSeparator" w:id="0">
    <w:p w14:paraId="685FC6D5" w14:textId="77777777" w:rsidR="00A70B5D" w:rsidRDefault="00A70B5D">
      <w:r>
        <w:continuationSeparator/>
      </w:r>
    </w:p>
  </w:footnote>
  <w:footnote w:id="1">
    <w:p w14:paraId="1E3359D4" w14:textId="77777777" w:rsidR="00A812FA" w:rsidRPr="00345C5F" w:rsidRDefault="00A812FA" w:rsidP="00A812FA">
      <w:pPr>
        <w:pStyle w:val="FootnoteText"/>
        <w:rPr>
          <w:lang w:eastAsia="ko-KR"/>
        </w:rPr>
      </w:pPr>
      <w:r w:rsidRPr="00345C5F">
        <w:rPr>
          <w:rStyle w:val="FootnoteReference"/>
        </w:rPr>
        <w:footnoteRef/>
      </w:r>
      <w:r w:rsidRPr="00345C5F">
        <w:rPr>
          <w:lang w:eastAsia="ko-KR"/>
        </w:rPr>
        <w:tab/>
      </w:r>
      <w:r w:rsidRPr="00345C5F">
        <w:rPr>
          <w:rFonts w:hint="eastAsia"/>
          <w:lang w:eastAsia="ko-KR"/>
        </w:rPr>
        <w:t>T</w:t>
      </w:r>
      <w:r w:rsidRPr="00345C5F">
        <w:rPr>
          <w:lang w:eastAsia="ko-KR"/>
        </w:rPr>
        <w:t xml:space="preserve">his </w:t>
      </w:r>
      <w:r w:rsidRPr="00345C5F">
        <w:rPr>
          <w:rFonts w:hint="eastAsia"/>
          <w:lang w:eastAsia="ko-KR"/>
        </w:rPr>
        <w:t>Annex</w:t>
      </w:r>
      <w:r w:rsidRPr="00345C5F">
        <w:rPr>
          <w:lang w:eastAsia="ko-KR"/>
        </w:rPr>
        <w:t xml:space="preserve"> does not address the evaluation of fairness. For information on evaluating the fairness index, please refer to [18].</w:t>
      </w:r>
    </w:p>
  </w:footnote>
  <w:footnote w:id="2">
    <w:p w14:paraId="3309D9C8" w14:textId="077608CD" w:rsidR="00A812FA" w:rsidRPr="00345C5F" w:rsidRDefault="00A812FA" w:rsidP="00A812FA">
      <w:pPr>
        <w:pStyle w:val="FootnoteText"/>
        <w:rPr>
          <w:lang w:eastAsia="ko-KR"/>
        </w:rPr>
      </w:pPr>
      <w:r w:rsidRPr="00345C5F">
        <w:rPr>
          <w:rStyle w:val="FootnoteReference"/>
        </w:rPr>
        <w:footnoteRef/>
      </w:r>
      <w:r w:rsidRPr="00345C5F">
        <w:tab/>
      </w:r>
      <w:r w:rsidRPr="00774CD5">
        <w:rPr>
          <w:rFonts w:hint="eastAsia"/>
          <w:lang w:eastAsia="ko-KR"/>
        </w:rPr>
        <w:t>R</w:t>
      </w:r>
      <w:r w:rsidRPr="00774CD5">
        <w:rPr>
          <w:lang w:eastAsia="ko-KR"/>
        </w:rPr>
        <w:t xml:space="preserve">eport ITU-R SM.2404 addresses regulatory solutions for shared use of spectrum, while </w:t>
      </w:r>
      <w:r w:rsidR="00BB74C2" w:rsidRPr="00774CD5">
        <w:rPr>
          <w:lang w:eastAsia="ko-KR"/>
        </w:rPr>
        <w:t>§</w:t>
      </w:r>
      <w:r w:rsidR="00DA5A7B" w:rsidRPr="00774CD5">
        <w:rPr>
          <w:lang w:eastAsia="ko-KR"/>
        </w:rPr>
        <w:t xml:space="preserve"> A1.</w:t>
      </w:r>
      <w:r w:rsidR="000D2E66">
        <w:rPr>
          <w:lang w:eastAsia="ko-KR"/>
        </w:rPr>
        <w:t>3</w:t>
      </w:r>
      <w:r w:rsidRPr="00774CD5">
        <w:rPr>
          <w:lang w:eastAsia="ko-KR"/>
        </w:rPr>
        <w:t xml:space="preserve"> </w:t>
      </w:r>
      <w:r w:rsidRPr="009D18E5">
        <w:rPr>
          <w:lang w:eastAsia="ko-KR"/>
        </w:rPr>
        <w:t>covers technical assessment methodologies for spectrum</w:t>
      </w:r>
      <w:r w:rsidRPr="00345C5F">
        <w:rPr>
          <w:lang w:eastAsia="ko-KR"/>
        </w:rPr>
        <w:t>.</w:t>
      </w:r>
    </w:p>
  </w:footnote>
  <w:footnote w:id="3">
    <w:p w14:paraId="1BF4973D" w14:textId="5FE1858A" w:rsidR="00A812FA" w:rsidRPr="00345C5F" w:rsidRDefault="00A812FA" w:rsidP="00A812FA">
      <w:pPr>
        <w:pStyle w:val="FootnoteText"/>
        <w:rPr>
          <w:lang w:eastAsia="ko-KR"/>
        </w:rPr>
      </w:pPr>
      <w:r w:rsidRPr="00345C5F">
        <w:rPr>
          <w:rStyle w:val="FootnoteReference"/>
        </w:rPr>
        <w:footnoteRef/>
      </w:r>
      <w:r w:rsidRPr="00345C5F">
        <w:tab/>
        <w:t>The area of spectrum use region is equivalent to the spectrum utilization factor defined in Recommendation ITU-R SM.1046, which is the product of frequency bandwidth, geographic space and time denied to other potential users.</w:t>
      </w:r>
    </w:p>
  </w:footnote>
  <w:footnote w:id="4">
    <w:p w14:paraId="115AC0E0" w14:textId="4BA77086" w:rsidR="00A812FA" w:rsidRPr="00345C5F" w:rsidRDefault="00A812FA" w:rsidP="00A812FA">
      <w:pPr>
        <w:pStyle w:val="FootnoteText"/>
        <w:rPr>
          <w:lang w:eastAsia="ko-KR"/>
        </w:rPr>
      </w:pPr>
      <w:r w:rsidRPr="00345C5F">
        <w:rPr>
          <w:rStyle w:val="FootnoteReference"/>
        </w:rPr>
        <w:footnoteRef/>
      </w:r>
      <w:r w:rsidRPr="00345C5F">
        <w:tab/>
      </w:r>
      <w:r w:rsidRPr="00345C5F">
        <w:rPr>
          <w:rFonts w:hint="eastAsia"/>
          <w:lang w:eastAsia="ko-KR"/>
        </w:rPr>
        <w:t>T</w:t>
      </w:r>
      <w:r w:rsidRPr="00345C5F">
        <w:rPr>
          <w:lang w:eastAsia="ko-KR"/>
        </w:rPr>
        <w:t xml:space="preserve">his </w:t>
      </w:r>
      <w:r w:rsidRPr="00345C5F">
        <w:t xml:space="preserve">abridged methodology </w:t>
      </w:r>
      <w:r w:rsidRPr="00345C5F">
        <w:rPr>
          <w:lang w:eastAsia="ko-KR"/>
        </w:rPr>
        <w:t>is based on several methodologies described in Report ITU-R M.2290</w:t>
      </w:r>
      <w:r w:rsidRPr="00345C5F">
        <w:rPr>
          <w:rFonts w:hint="eastAsia"/>
          <w:lang w:eastAsia="ko-KR"/>
        </w:rPr>
        <w:t>, [</w:t>
      </w:r>
      <w:r w:rsidRPr="00345C5F">
        <w:rPr>
          <w:lang w:eastAsia="ko-KR"/>
        </w:rPr>
        <w:t>20</w:t>
      </w:r>
      <w:r w:rsidRPr="00345C5F">
        <w:rPr>
          <w:rFonts w:hint="eastAsia"/>
          <w:lang w:eastAsia="ko-KR"/>
        </w:rPr>
        <w:t>] and [</w:t>
      </w:r>
      <w:r w:rsidRPr="00345C5F">
        <w:rPr>
          <w:lang w:eastAsia="ko-KR"/>
        </w:rPr>
        <w:t>23</w:t>
      </w:r>
      <w:r w:rsidRPr="00345C5F">
        <w:rPr>
          <w:rFonts w:hint="eastAsia"/>
          <w:lang w:eastAsia="ko-KR"/>
        </w:rPr>
        <w:t>]</w:t>
      </w:r>
      <w:r w:rsidRPr="00345C5F">
        <w:rPr>
          <w:lang w:eastAsia="ko-KR"/>
        </w:rPr>
        <w:t>.</w:t>
      </w:r>
    </w:p>
  </w:footnote>
  <w:footnote w:id="5">
    <w:p w14:paraId="61A61050" w14:textId="6187779B" w:rsidR="00A812FA" w:rsidRPr="00345C5F" w:rsidRDefault="00A812FA" w:rsidP="00A812FA">
      <w:pPr>
        <w:pStyle w:val="FootnoteText"/>
        <w:rPr>
          <w:lang w:eastAsia="ko-KR"/>
        </w:rPr>
      </w:pPr>
      <w:r w:rsidRPr="00345C5F">
        <w:rPr>
          <w:rStyle w:val="FootnoteReference"/>
        </w:rPr>
        <w:footnoteRef/>
      </w:r>
      <w:r w:rsidRPr="00345C5F">
        <w:tab/>
        <w:t xml:space="preserve">This method of calculating total traffic amount is utilized in the following documents: </w:t>
      </w:r>
      <w:r w:rsidRPr="00345C5F">
        <w:rPr>
          <w:lang w:eastAsia="ko-KR"/>
        </w:rPr>
        <w:t xml:space="preserve">Report ITU-R F.2438, Report ITU-R M.2218 and </w:t>
      </w:r>
      <w:r w:rsidRPr="00345C5F">
        <w:rPr>
          <w:rFonts w:hint="eastAsia"/>
          <w:lang w:eastAsia="ko-KR"/>
        </w:rPr>
        <w:t>[</w:t>
      </w:r>
      <w:r w:rsidRPr="00345C5F">
        <w:rPr>
          <w:lang w:eastAsia="ko-KR"/>
        </w:rPr>
        <w:t>23</w:t>
      </w:r>
      <w:r w:rsidRPr="00345C5F">
        <w:rPr>
          <w:rFonts w:hint="eastAsia"/>
          <w:lang w:eastAsia="ko-KR"/>
        </w:rPr>
        <w:t>]</w:t>
      </w:r>
      <w:r w:rsidRPr="00345C5F">
        <w:rPr>
          <w:lang w:eastAsia="ko-KR"/>
        </w:rPr>
        <w:t>.</w:t>
      </w:r>
    </w:p>
  </w:footnote>
  <w:footnote w:id="6">
    <w:p w14:paraId="3ACCBD15" w14:textId="77777777" w:rsidR="00A812FA" w:rsidRPr="00345C5F" w:rsidRDefault="00A812FA" w:rsidP="00A812FA">
      <w:pPr>
        <w:pStyle w:val="FootnoteText"/>
        <w:rPr>
          <w:lang w:eastAsia="ko-KR"/>
        </w:rPr>
      </w:pPr>
      <w:r w:rsidRPr="00345C5F">
        <w:rPr>
          <w:rStyle w:val="FootnoteReference"/>
        </w:rPr>
        <w:footnoteRef/>
      </w:r>
      <w:r w:rsidRPr="00345C5F">
        <w:tab/>
        <w:t xml:space="preserve">This method of quantifying spectrum demand through spectrum usage is utilized in </w:t>
      </w:r>
      <w:r w:rsidRPr="00345C5F">
        <w:rPr>
          <w:rFonts w:hint="eastAsia"/>
          <w:lang w:eastAsia="ko-KR"/>
        </w:rPr>
        <w:t>[</w:t>
      </w:r>
      <w:r w:rsidRPr="00345C5F">
        <w:rPr>
          <w:lang w:eastAsia="ko-KR"/>
        </w:rPr>
        <w:t>20</w:t>
      </w:r>
      <w:r w:rsidRPr="00345C5F">
        <w:rPr>
          <w:rFonts w:hint="eastAsia"/>
          <w:lang w:eastAsia="ko-KR"/>
        </w:rPr>
        <w:t>]</w:t>
      </w:r>
      <w:r w:rsidRPr="00345C5F">
        <w:t>.</w:t>
      </w:r>
    </w:p>
  </w:footnote>
  <w:footnote w:id="7">
    <w:p w14:paraId="5B7E974F" w14:textId="77777777" w:rsidR="00A812FA" w:rsidRPr="00345C5F" w:rsidRDefault="00A812FA" w:rsidP="00A812FA">
      <w:pPr>
        <w:pStyle w:val="FootnoteText"/>
        <w:rPr>
          <w:lang w:eastAsia="ko-KR"/>
        </w:rPr>
      </w:pPr>
      <w:r w:rsidRPr="00345C5F">
        <w:rPr>
          <w:rStyle w:val="FootnoteReference"/>
        </w:rPr>
        <w:footnoteRef/>
      </w:r>
      <w:r w:rsidRPr="00345C5F">
        <w:tab/>
        <w:t>Guidance on determining the nec</w:t>
      </w:r>
      <w:r w:rsidRPr="00345C5F">
        <w:rPr>
          <w:lang w:eastAsia="ko-KR"/>
        </w:rPr>
        <w:t>essary bandwidth of various systems can be found in Recommendation ITU-R SM.1138 and [14].</w:t>
      </w:r>
    </w:p>
  </w:footnote>
  <w:footnote w:id="8">
    <w:p w14:paraId="227F92E2" w14:textId="5DC579D5" w:rsidR="00A812FA" w:rsidRPr="00345C5F" w:rsidRDefault="00A812FA" w:rsidP="00A812FA">
      <w:pPr>
        <w:pStyle w:val="FootnoteText"/>
        <w:rPr>
          <w:lang w:eastAsia="ko-KR"/>
        </w:rPr>
      </w:pPr>
      <w:r w:rsidRPr="00345C5F">
        <w:rPr>
          <w:rStyle w:val="FootnoteReference"/>
        </w:rPr>
        <w:footnoteRef/>
      </w:r>
      <w:bookmarkStart w:id="88" w:name="_Hlk176796678"/>
      <w:r w:rsidRPr="00345C5F">
        <w:tab/>
        <w:t xml:space="preserve">For example, if the system has </w:t>
      </w:r>
      <m:oMath>
        <m:r>
          <w:rPr>
            <w:rFonts w:ascii="Cambria Math" w:hAnsi="Cambria Math"/>
          </w:rPr>
          <m:t xml:space="preserve">B=10 </m:t>
        </m:r>
        <m:r>
          <m:rPr>
            <m:sty m:val="p"/>
          </m:rPr>
          <w:rPr>
            <w:rFonts w:ascii="Cambria Math" w:hAnsi="Cambria Math"/>
          </w:rPr>
          <m:t>MHz</m:t>
        </m:r>
      </m:oMath>
      <w:r w:rsidRPr="00345C5F">
        <w:rPr>
          <w:rFonts w:hint="eastAsia"/>
          <w:iCs/>
          <w:lang w:eastAsia="ko-KR"/>
        </w:rPr>
        <w:t>,</w:t>
      </w:r>
      <w:r w:rsidRPr="00345C5F">
        <w:t xml:space="preserve"> </w:t>
      </w:r>
      <m:oMath>
        <m:r>
          <w:rPr>
            <w:rFonts w:ascii="Cambria Math" w:hAnsi="Cambria Math"/>
          </w:rPr>
          <m:t xml:space="preserve">E=2.22 </m:t>
        </m:r>
        <m:r>
          <m:rPr>
            <m:sty m:val="p"/>
          </m:rPr>
          <w:rPr>
            <w:rFonts w:ascii="Cambria Math" w:hAnsi="Cambria Math"/>
          </w:rPr>
          <m:t>bit/s/Hz</m:t>
        </m:r>
      </m:oMath>
      <w:r w:rsidRPr="00345C5F">
        <w:rPr>
          <w:lang w:eastAsia="ko-KR"/>
        </w:rPr>
        <w:t xml:space="preserve">, and </w:t>
      </w:r>
      <m:oMath>
        <m:sSub>
          <m:sSubPr>
            <m:ctrlPr>
              <w:rPr>
                <w:rFonts w:ascii="Cambria Math" w:hAnsi="Cambria Math"/>
                <w:i/>
              </w:rPr>
            </m:ctrlPr>
          </m:sSubPr>
          <m:e>
            <m:r>
              <w:rPr>
                <w:rFonts w:ascii="Cambria Math" w:hAnsi="Cambria Math"/>
              </w:rPr>
              <m:t>N</m:t>
            </m:r>
          </m:e>
          <m:sub>
            <m:r>
              <w:rPr>
                <w:rFonts w:ascii="Cambria Math" w:hAnsi="Cambria Math"/>
              </w:rPr>
              <m:t>R</m:t>
            </m:r>
          </m:sub>
        </m:sSub>
        <m:r>
          <w:rPr>
            <w:rFonts w:ascii="Cambria Math" w:hAnsi="Cambria Math"/>
          </w:rPr>
          <m:t>=100</m:t>
        </m:r>
      </m:oMath>
      <w:r w:rsidRPr="00345C5F">
        <w:rPr>
          <w:rFonts w:hint="eastAsia"/>
          <w:lang w:eastAsia="ko-KR"/>
        </w:rPr>
        <w:t>,</w:t>
      </w:r>
      <w:r w:rsidRPr="00345C5F">
        <w:rPr>
          <w:lang w:eastAsia="ko-KR"/>
        </w:rPr>
        <w:t xml:space="preserve"> then its capacity </w:t>
      </w:r>
      <m:oMath>
        <m:r>
          <w:rPr>
            <w:rFonts w:ascii="Cambria Math" w:hAnsi="Cambria Math"/>
          </w:rPr>
          <m:t xml:space="preserve">C=1 </m:t>
        </m:r>
        <m:r>
          <m:rPr>
            <m:sty m:val="p"/>
          </m:rPr>
          <w:rPr>
            <w:rFonts w:ascii="Cambria Math" w:hAnsi="Cambria Math"/>
          </w:rPr>
          <m:t>GB/hour</m:t>
        </m:r>
      </m:oMath>
      <w:r w:rsidRPr="00345C5F">
        <w:rPr>
          <w:rFonts w:hint="eastAsia"/>
          <w:iCs/>
          <w:lang w:eastAsia="ko-KR"/>
        </w:rPr>
        <w:t>,</w:t>
      </w:r>
      <w:r w:rsidRPr="00345C5F">
        <w:rPr>
          <w:iCs/>
          <w:lang w:eastAsia="ko-KR"/>
        </w:rPr>
        <w:t xml:space="preserve"> as calculated</w:t>
      </w:r>
      <w:r w:rsidRPr="00345C5F">
        <w:rPr>
          <w:rFonts w:hint="eastAsia"/>
          <w:iCs/>
          <w:lang w:eastAsia="ko-KR"/>
        </w:rPr>
        <w:t xml:space="preserve"> </w:t>
      </w:r>
      <w:r w:rsidRPr="00345C5F">
        <w:rPr>
          <w:iCs/>
          <w:lang w:eastAsia="ko-KR"/>
        </w:rPr>
        <w:t>by equation (E-3)</w:t>
      </w:r>
      <w:r w:rsidRPr="00345C5F">
        <w:rPr>
          <w:rFonts w:hint="eastAsia"/>
          <w:iCs/>
          <w:lang w:eastAsia="ko-KR"/>
        </w:rPr>
        <w:t>.</w:t>
      </w:r>
      <w:r w:rsidRPr="00345C5F">
        <w:t xml:space="preserve"> </w:t>
      </w:r>
      <w:bookmarkEnd w:id="88"/>
      <w:r w:rsidRPr="00345C5F">
        <w:t>This method of conversing bandwidth (in Hz) to system capacity (in b</w:t>
      </w:r>
      <w:r w:rsidR="00612107">
        <w:t>it/</w:t>
      </w:r>
      <w:r w:rsidRPr="00345C5F">
        <w:t xml:space="preserve">s) is utilized in </w:t>
      </w:r>
      <w:r w:rsidRPr="00345C5F">
        <w:rPr>
          <w:rFonts w:hint="eastAsia"/>
          <w:lang w:eastAsia="ko-KR"/>
        </w:rPr>
        <w:t>[</w:t>
      </w:r>
      <w:r w:rsidRPr="00345C5F">
        <w:rPr>
          <w:lang w:eastAsia="ko-KR"/>
        </w:rPr>
        <w:t>23</w:t>
      </w:r>
      <w:r w:rsidRPr="00345C5F">
        <w:rPr>
          <w:rFonts w:hint="eastAsia"/>
          <w:lang w:eastAsia="ko-KR"/>
        </w:rPr>
        <w:t>]</w:t>
      </w:r>
      <w:r w:rsidRPr="00345C5F">
        <w:t>.</w:t>
      </w:r>
    </w:p>
  </w:footnote>
  <w:footnote w:id="9">
    <w:p w14:paraId="1332B222" w14:textId="77777777" w:rsidR="00A812FA" w:rsidRPr="00345C5F" w:rsidRDefault="00A812FA" w:rsidP="00A812FA">
      <w:pPr>
        <w:pStyle w:val="FootnoteText"/>
        <w:rPr>
          <w:lang w:eastAsia="ko-KR"/>
        </w:rPr>
      </w:pPr>
      <w:r w:rsidRPr="00345C5F">
        <w:rPr>
          <w:rStyle w:val="FootnoteReference"/>
        </w:rPr>
        <w:footnoteRef/>
      </w:r>
      <w:r w:rsidRPr="00345C5F">
        <w:tab/>
        <w:t xml:space="preserve">The spectral efficiency </w:t>
      </w:r>
      <m:oMath>
        <m:r>
          <w:rPr>
            <w:rFonts w:ascii="Cambria Math" w:hAnsi="Cambria Math"/>
          </w:rPr>
          <m:t>E</m:t>
        </m:r>
      </m:oMath>
      <w:r w:rsidRPr="00345C5F">
        <w:t xml:space="preserve"> is equivalent to the spectrum utilization efficiency defined in Recommendation ITU-R SM.1046 when geographic space is not considered. More information on spectral efficiency can be found in Recommendation ITU-R SM.1046 and [15].</w:t>
      </w:r>
    </w:p>
  </w:footnote>
  <w:footnote w:id="10">
    <w:p w14:paraId="1AE88783" w14:textId="2A1F1B99" w:rsidR="00A812FA" w:rsidRPr="00345C5F" w:rsidRDefault="00A812FA" w:rsidP="00A812FA">
      <w:pPr>
        <w:pStyle w:val="FootnoteText"/>
        <w:rPr>
          <w:lang w:eastAsia="ko-KR"/>
        </w:rPr>
      </w:pPr>
      <w:r w:rsidRPr="00345C5F">
        <w:rPr>
          <w:rStyle w:val="FootnoteReference"/>
        </w:rPr>
        <w:footnoteRef/>
      </w:r>
      <w:r w:rsidRPr="00345C5F">
        <w:tab/>
        <w:t xml:space="preserve">For example, </w:t>
      </w:r>
      <w:r w:rsidRPr="00345C5F">
        <w:rPr>
          <w:lang w:eastAsia="ko-KR"/>
        </w:rPr>
        <w:t xml:space="preserve">if the system has </w:t>
      </w:r>
      <m:oMath>
        <m:r>
          <w:rPr>
            <w:rFonts w:ascii="Cambria Math" w:hAnsi="Cambria Math"/>
            <w:lang w:eastAsia="ko-KR"/>
          </w:rPr>
          <m:t xml:space="preserve">T=0.7 </m:t>
        </m:r>
        <m:r>
          <m:rPr>
            <m:sty m:val="p"/>
          </m:rPr>
          <w:rPr>
            <w:rFonts w:ascii="Cambria Math" w:hAnsi="Cambria Math"/>
            <w:lang w:eastAsia="ko-KR"/>
          </w:rPr>
          <m:t>GB/hour</m:t>
        </m:r>
      </m:oMath>
      <w:r w:rsidRPr="00345C5F">
        <w:rPr>
          <w:rFonts w:hint="eastAsia"/>
          <w:lang w:eastAsia="ko-KR"/>
        </w:rPr>
        <w:t>,</w:t>
      </w:r>
      <w:r w:rsidRPr="00345C5F">
        <w:rPr>
          <w:lang w:eastAsia="ko-KR"/>
        </w:rPr>
        <w:t xml:space="preserve"> </w:t>
      </w:r>
      <m:oMath>
        <m:r>
          <w:rPr>
            <w:rFonts w:ascii="Cambria Math" w:hAnsi="Cambria Math"/>
          </w:rPr>
          <m:t xml:space="preserve">E=2.22 </m:t>
        </m:r>
        <m:r>
          <m:rPr>
            <m:sty m:val="p"/>
          </m:rPr>
          <w:rPr>
            <w:rFonts w:ascii="Cambria Math" w:hAnsi="Cambria Math"/>
          </w:rPr>
          <m:t>bit/s/Hz</m:t>
        </m:r>
      </m:oMath>
      <w:r w:rsidRPr="00345C5F">
        <w:rPr>
          <w:lang w:eastAsia="ko-KR"/>
        </w:rPr>
        <w:t xml:space="preserve">, and </w:t>
      </w:r>
      <m:oMath>
        <m:sSub>
          <m:sSubPr>
            <m:ctrlPr>
              <w:rPr>
                <w:rFonts w:ascii="Cambria Math" w:hAnsi="Cambria Math"/>
                <w:i/>
              </w:rPr>
            </m:ctrlPr>
          </m:sSubPr>
          <m:e>
            <m:r>
              <w:rPr>
                <w:rFonts w:ascii="Cambria Math" w:hAnsi="Cambria Math"/>
              </w:rPr>
              <m:t>N</m:t>
            </m:r>
          </m:e>
          <m:sub>
            <m:r>
              <w:rPr>
                <w:rFonts w:ascii="Cambria Math" w:hAnsi="Cambria Math"/>
              </w:rPr>
              <m:t>R</m:t>
            </m:r>
          </m:sub>
        </m:sSub>
        <m:r>
          <w:rPr>
            <w:rFonts w:ascii="Cambria Math" w:hAnsi="Cambria Math"/>
          </w:rPr>
          <m:t>=100</m:t>
        </m:r>
      </m:oMath>
      <w:r w:rsidRPr="00345C5F">
        <w:rPr>
          <w:rFonts w:hint="eastAsia"/>
          <w:lang w:eastAsia="ko-KR"/>
        </w:rPr>
        <w:t>,</w:t>
      </w:r>
      <w:r w:rsidRPr="00345C5F">
        <w:rPr>
          <w:lang w:eastAsia="ko-KR"/>
        </w:rPr>
        <w:t xml:space="preserve"> then its spectrum usage </w:t>
      </w:r>
      <m:oMath>
        <m:r>
          <w:rPr>
            <w:rFonts w:ascii="Cambria Math" w:hAnsi="Cambria Math"/>
            <w:lang w:eastAsia="ko-KR"/>
          </w:rPr>
          <m:t>R</m:t>
        </m:r>
        <m:r>
          <w:rPr>
            <w:rFonts w:ascii="Cambria Math" w:hAnsi="Cambria Math"/>
          </w:rPr>
          <m:t>=</m:t>
        </m:r>
        <m:r>
          <w:rPr>
            <w:rFonts w:ascii="Cambria Math" w:hAnsi="Cambria Math"/>
            <w:lang w:eastAsia="ko-KR"/>
          </w:rPr>
          <m:t xml:space="preserve">7 </m:t>
        </m:r>
        <m:r>
          <m:rPr>
            <m:sty m:val="p"/>
          </m:rPr>
          <w:rPr>
            <w:rFonts w:ascii="Cambria Math" w:hAnsi="Cambria Math"/>
            <w:lang w:eastAsia="ko-KR"/>
          </w:rPr>
          <m:t>MHz</m:t>
        </m:r>
      </m:oMath>
      <w:r w:rsidRPr="00345C5F">
        <w:rPr>
          <w:rFonts w:hint="eastAsia"/>
          <w:lang w:eastAsia="ko-KR"/>
        </w:rPr>
        <w:t>,</w:t>
      </w:r>
      <w:r w:rsidRPr="00345C5F">
        <w:rPr>
          <w:lang w:eastAsia="ko-KR"/>
        </w:rPr>
        <w:t xml:space="preserve"> as calculated</w:t>
      </w:r>
      <w:r w:rsidRPr="00345C5F">
        <w:rPr>
          <w:rFonts w:hint="eastAsia"/>
          <w:lang w:eastAsia="ko-KR"/>
        </w:rPr>
        <w:t xml:space="preserve"> </w:t>
      </w:r>
      <w:r w:rsidRPr="00345C5F">
        <w:rPr>
          <w:lang w:eastAsia="ko-KR"/>
        </w:rPr>
        <w:t>by equation (</w:t>
      </w:r>
      <w:r w:rsidR="00CA0300">
        <w:rPr>
          <w:lang w:eastAsia="ko-KR"/>
        </w:rPr>
        <w:t>A1</w:t>
      </w:r>
      <w:r w:rsidRPr="00345C5F">
        <w:rPr>
          <w:lang w:eastAsia="ko-KR"/>
        </w:rPr>
        <w:t>-4). This method of conversing traffic amount (in b</w:t>
      </w:r>
      <w:r w:rsidR="00E16DE5">
        <w:rPr>
          <w:lang w:eastAsia="ko-KR"/>
        </w:rPr>
        <w:t>it/</w:t>
      </w:r>
      <w:r w:rsidRPr="00345C5F">
        <w:rPr>
          <w:lang w:eastAsia="ko-KR"/>
        </w:rPr>
        <w:t>s) to spectrum usage (in Hz) is utilized in the following documents: Report ITU-R F.2438, Report ITU</w:t>
      </w:r>
      <w:r w:rsidR="00C17884">
        <w:rPr>
          <w:lang w:eastAsia="ko-KR"/>
        </w:rPr>
        <w:t>‑</w:t>
      </w:r>
      <w:r w:rsidRPr="00345C5F">
        <w:rPr>
          <w:lang w:eastAsia="ko-KR"/>
        </w:rPr>
        <w:t>R</w:t>
      </w:r>
      <w:r w:rsidR="00C17884">
        <w:rPr>
          <w:lang w:eastAsia="ko-KR"/>
        </w:rPr>
        <w:t> </w:t>
      </w:r>
      <w:r w:rsidRPr="00345C5F">
        <w:rPr>
          <w:lang w:eastAsia="ko-KR"/>
        </w:rPr>
        <w:t xml:space="preserve">M.2218, and </w:t>
      </w:r>
      <w:r w:rsidRPr="00345C5F">
        <w:rPr>
          <w:rFonts w:hint="eastAsia"/>
          <w:lang w:eastAsia="ko-KR"/>
        </w:rPr>
        <w:t>[</w:t>
      </w:r>
      <w:r w:rsidRPr="00345C5F">
        <w:rPr>
          <w:lang w:eastAsia="ko-KR"/>
        </w:rPr>
        <w:t>20</w:t>
      </w:r>
      <w:r w:rsidRPr="00345C5F">
        <w:rPr>
          <w:rFonts w:hint="eastAsia"/>
          <w:lang w:eastAsia="ko-KR"/>
        </w:rPr>
        <w:t>]</w:t>
      </w:r>
      <w:r w:rsidRPr="00345C5F">
        <w:rPr>
          <w:lang w:eastAsia="ko-KR"/>
        </w:rPr>
        <w:t>.</w:t>
      </w:r>
    </w:p>
  </w:footnote>
  <w:footnote w:id="11">
    <w:p w14:paraId="65A3792A" w14:textId="50EA638E" w:rsidR="00A812FA" w:rsidRPr="00345C5F" w:rsidRDefault="00A812FA" w:rsidP="00A812FA">
      <w:pPr>
        <w:pStyle w:val="FootnoteText"/>
        <w:rPr>
          <w:lang w:eastAsia="ko-KR"/>
        </w:rPr>
      </w:pPr>
      <w:r w:rsidRPr="00345C5F">
        <w:rPr>
          <w:rStyle w:val="FootnoteReference"/>
        </w:rPr>
        <w:footnoteRef/>
      </w:r>
      <w:r w:rsidRPr="00345C5F">
        <w:rPr>
          <w:lang w:eastAsia="ko-KR"/>
        </w:rPr>
        <w:tab/>
        <w:t>Recommendation ITU-R M.2091 and Report ITU-R M.2290 converts total traffic amount (in b</w:t>
      </w:r>
      <w:r w:rsidR="00E16DE5">
        <w:rPr>
          <w:lang w:eastAsia="ko-KR"/>
        </w:rPr>
        <w:t>it/</w:t>
      </w:r>
      <w:r w:rsidRPr="00345C5F">
        <w:rPr>
          <w:lang w:eastAsia="ko-KR"/>
        </w:rPr>
        <w:t>s) to spectrum usage (in Hz) using the Erlang-B formula and the ITU-R M.1768 methodology, respectively.</w:t>
      </w:r>
    </w:p>
  </w:footnote>
  <w:footnote w:id="12">
    <w:p w14:paraId="4B6C3286" w14:textId="77777777" w:rsidR="00A812FA" w:rsidRPr="00345C5F" w:rsidRDefault="00A812FA" w:rsidP="00A812FA">
      <w:pPr>
        <w:pStyle w:val="FootnoteText"/>
        <w:rPr>
          <w:rFonts w:eastAsiaTheme="minorEastAsia"/>
          <w:lang w:eastAsia="ko-KR"/>
        </w:rPr>
      </w:pPr>
      <w:r w:rsidRPr="00345C5F">
        <w:rPr>
          <w:rStyle w:val="FootnoteReference"/>
        </w:rPr>
        <w:footnoteRef/>
      </w:r>
      <w:r w:rsidRPr="00345C5F">
        <w:tab/>
      </w:r>
      <w:r w:rsidRPr="00345C5F">
        <w:rPr>
          <w:rFonts w:hint="eastAsia"/>
          <w:szCs w:val="24"/>
          <w:lang w:eastAsia="ko-KR"/>
        </w:rPr>
        <w:t>[</w:t>
      </w:r>
      <w:r w:rsidRPr="00345C5F">
        <w:rPr>
          <w:szCs w:val="24"/>
          <w:lang w:eastAsia="ko-KR"/>
        </w:rPr>
        <w:t>23</w:t>
      </w:r>
      <w:r w:rsidRPr="00345C5F">
        <w:rPr>
          <w:rFonts w:hint="eastAsia"/>
          <w:szCs w:val="24"/>
          <w:lang w:eastAsia="ko-KR"/>
        </w:rPr>
        <w:t>]</w:t>
      </w:r>
      <w:r w:rsidRPr="00345C5F">
        <w:rPr>
          <w:lang w:eastAsia="ko-KR"/>
        </w:rPr>
        <w:t xml:space="preserve"> </w:t>
      </w:r>
      <w:r w:rsidRPr="00345C5F">
        <w:rPr>
          <w:lang w:eastAsia="zh-CN"/>
        </w:rPr>
        <w:t xml:space="preserve">measures the total traffic amount </w:t>
      </w:r>
      <w:r w:rsidRPr="00345C5F">
        <w:rPr>
          <w:lang w:eastAsia="ko-KR"/>
        </w:rPr>
        <w:t xml:space="preserve">of the system each month and utilizes this time series data to derive an equation representing the future trend of traffic based on regression analysis. </w:t>
      </w:r>
      <w:r w:rsidRPr="00345C5F">
        <w:rPr>
          <w:rFonts w:hint="eastAsia"/>
          <w:lang w:eastAsia="ko-KR"/>
        </w:rPr>
        <w:t>[</w:t>
      </w:r>
      <w:r w:rsidRPr="00345C5F">
        <w:rPr>
          <w:lang w:eastAsia="ko-KR"/>
        </w:rPr>
        <w:t>20</w:t>
      </w:r>
      <w:r w:rsidRPr="00345C5F">
        <w:rPr>
          <w:rFonts w:hint="eastAsia"/>
          <w:lang w:eastAsia="ko-KR"/>
        </w:rPr>
        <w:t>]</w:t>
      </w:r>
      <w:r w:rsidRPr="00345C5F">
        <w:rPr>
          <w:lang w:eastAsia="ko-KR"/>
        </w:rPr>
        <w:t xml:space="preserve"> measures </w:t>
      </w:r>
      <w:r w:rsidRPr="00345C5F">
        <w:rPr>
          <w:lang w:eastAsia="zh-CN"/>
        </w:rPr>
        <w:t xml:space="preserve">the spectrum usage </w:t>
      </w:r>
      <w:r w:rsidRPr="00345C5F">
        <w:rPr>
          <w:lang w:eastAsia="ko-KR"/>
        </w:rPr>
        <w:t>of the system each month and utilizes this time series data to train predictive models such as long short-term memory networks.</w:t>
      </w:r>
    </w:p>
  </w:footnote>
  <w:footnote w:id="13">
    <w:p w14:paraId="10DB1899" w14:textId="77777777" w:rsidR="00A812FA" w:rsidRPr="00345C5F" w:rsidRDefault="00A812FA" w:rsidP="00A812FA">
      <w:pPr>
        <w:pStyle w:val="FootnoteText"/>
        <w:rPr>
          <w:lang w:eastAsia="ko-KR"/>
        </w:rPr>
      </w:pPr>
      <w:r w:rsidRPr="00345C5F">
        <w:rPr>
          <w:rStyle w:val="FootnoteReference"/>
        </w:rPr>
        <w:footnoteRef/>
      </w:r>
      <w:r w:rsidRPr="00345C5F">
        <w:tab/>
      </w:r>
      <w:r w:rsidRPr="00345C5F">
        <w:rPr>
          <w:rFonts w:hint="eastAsia"/>
          <w:lang w:eastAsia="ko-KR"/>
        </w:rPr>
        <w:t>T</w:t>
      </w:r>
      <w:r w:rsidRPr="00345C5F">
        <w:rPr>
          <w:lang w:eastAsia="ko-KR"/>
        </w:rPr>
        <w:t xml:space="preserve">his </w:t>
      </w:r>
      <w:r w:rsidRPr="00345C5F">
        <w:t xml:space="preserve">abridged methodology </w:t>
      </w:r>
      <w:r w:rsidRPr="00345C5F">
        <w:rPr>
          <w:lang w:eastAsia="ko-KR"/>
        </w:rPr>
        <w:t>is based on the methodology described in [16].</w:t>
      </w:r>
    </w:p>
  </w:footnote>
  <w:footnote w:id="14">
    <w:p w14:paraId="404B57DC" w14:textId="45160002" w:rsidR="00A812FA" w:rsidRPr="00345C5F" w:rsidRDefault="00A812FA" w:rsidP="00A812FA">
      <w:pPr>
        <w:pStyle w:val="FootnoteText"/>
        <w:rPr>
          <w:lang w:eastAsia="ko-KR"/>
        </w:rPr>
      </w:pPr>
      <w:r w:rsidRPr="00345C5F">
        <w:rPr>
          <w:rStyle w:val="FootnoteReference"/>
        </w:rPr>
        <w:footnoteRef/>
      </w:r>
      <w:r w:rsidRPr="00345C5F">
        <w:tab/>
        <w:t>For propagation loss model, the following document can be referred to</w:t>
      </w:r>
      <w:r w:rsidR="004354CE">
        <w:t>:</w:t>
      </w:r>
      <w:r w:rsidRPr="00345C5F">
        <w:t xml:space="preserve"> </w:t>
      </w:r>
      <w:r w:rsidRPr="00345C5F">
        <w:rPr>
          <w:lang w:eastAsia="ko-KR"/>
        </w:rPr>
        <w:t>Recommendation ITU-R P.452</w:t>
      </w:r>
      <w:r w:rsidRPr="00345C5F">
        <w:t>.</w:t>
      </w:r>
    </w:p>
  </w:footnote>
  <w:footnote w:id="15">
    <w:p w14:paraId="25766831" w14:textId="77777777" w:rsidR="00A812FA" w:rsidRPr="00345C5F" w:rsidRDefault="00A812FA" w:rsidP="00A812FA">
      <w:pPr>
        <w:pStyle w:val="FootnoteText"/>
        <w:rPr>
          <w:lang w:eastAsia="ko-KR"/>
        </w:rPr>
      </w:pPr>
      <w:r w:rsidRPr="00345C5F">
        <w:rPr>
          <w:rStyle w:val="FootnoteReference"/>
        </w:rPr>
        <w:footnoteRef/>
      </w:r>
      <w:r w:rsidRPr="00345C5F">
        <w:tab/>
      </w:r>
      <w:r w:rsidRPr="00345C5F">
        <w:rPr>
          <w:rFonts w:hint="eastAsia"/>
          <w:lang w:eastAsia="ko-KR"/>
        </w:rPr>
        <w:t>T</w:t>
      </w:r>
      <w:r w:rsidRPr="00345C5F">
        <w:rPr>
          <w:lang w:eastAsia="ko-KR"/>
        </w:rPr>
        <w:t xml:space="preserve">his </w:t>
      </w:r>
      <w:r w:rsidRPr="00345C5F">
        <w:t xml:space="preserve">abridged methodology </w:t>
      </w:r>
      <w:r w:rsidRPr="00345C5F">
        <w:rPr>
          <w:lang w:eastAsia="ko-KR"/>
        </w:rPr>
        <w:t>is based on the methodologies in [17].</w:t>
      </w:r>
    </w:p>
  </w:footnote>
  <w:footnote w:id="16">
    <w:p w14:paraId="4A87EE66" w14:textId="7DFE55B2" w:rsidR="00A812FA" w:rsidRPr="00345C5F" w:rsidRDefault="00A812FA" w:rsidP="00A812FA">
      <w:pPr>
        <w:pStyle w:val="FootnoteText"/>
        <w:rPr>
          <w:lang w:eastAsia="ko-KR"/>
        </w:rPr>
      </w:pPr>
      <w:r w:rsidRPr="00345C5F">
        <w:rPr>
          <w:rStyle w:val="FootnoteReference"/>
        </w:rPr>
        <w:footnoteRef/>
      </w:r>
      <w:r w:rsidRPr="00345C5F">
        <w:tab/>
        <w:t>For pathloss function, the following document can be referred to:</w:t>
      </w:r>
      <w:r>
        <w:t xml:space="preserve"> </w:t>
      </w:r>
      <w:r w:rsidRPr="00345C5F">
        <w:rPr>
          <w:lang w:eastAsia="ko-KR"/>
        </w:rPr>
        <w:t>Recommendation ITU-R P.1411.</w:t>
      </w:r>
    </w:p>
  </w:footnote>
  <w:footnote w:id="17">
    <w:p w14:paraId="5BD1ADA6" w14:textId="77777777" w:rsidR="00A812FA" w:rsidRPr="00345C5F" w:rsidRDefault="00A812FA" w:rsidP="00A812FA">
      <w:pPr>
        <w:pStyle w:val="FootnoteText"/>
        <w:rPr>
          <w:lang w:eastAsia="ko-KR"/>
        </w:rPr>
      </w:pPr>
      <w:r w:rsidRPr="00345C5F">
        <w:rPr>
          <w:rStyle w:val="FootnoteReference"/>
        </w:rPr>
        <w:footnoteRef/>
      </w:r>
      <w:r w:rsidRPr="00345C5F">
        <w:tab/>
      </w:r>
      <w:r w:rsidRPr="00345C5F">
        <w:rPr>
          <w:lang w:eastAsia="ko-KR"/>
        </w:rPr>
        <w:t>References relevant to CR</w:t>
      </w:r>
      <w:r w:rsidRPr="00345C5F">
        <w:rPr>
          <w:rFonts w:hint="eastAsia"/>
          <w:lang w:eastAsia="ko-KR"/>
        </w:rPr>
        <w:t xml:space="preserve"> </w:t>
      </w:r>
      <w:r w:rsidRPr="00345C5F">
        <w:rPr>
          <w:lang w:eastAsia="ko-KR"/>
        </w:rPr>
        <w:t xml:space="preserve">include </w:t>
      </w:r>
      <w:r w:rsidRPr="00345C5F">
        <w:rPr>
          <w:rFonts w:hint="eastAsia"/>
          <w:lang w:eastAsia="ko-KR"/>
        </w:rPr>
        <w:t>R</w:t>
      </w:r>
      <w:r w:rsidRPr="00345C5F">
        <w:rPr>
          <w:lang w:eastAsia="ko-KR"/>
        </w:rPr>
        <w:t xml:space="preserve">eport ITU-R SM.2404, Report ITU-R </w:t>
      </w:r>
      <w:r w:rsidRPr="00345C5F">
        <w:rPr>
          <w:rFonts w:hint="eastAsia"/>
          <w:lang w:eastAsia="ko-KR"/>
        </w:rPr>
        <w:t>S</w:t>
      </w:r>
      <w:r w:rsidRPr="00345C5F">
        <w:rPr>
          <w:lang w:eastAsia="ko-KR"/>
        </w:rPr>
        <w:t>M.2405, [19], [22].</w:t>
      </w:r>
    </w:p>
  </w:footnote>
  <w:footnote w:id="18">
    <w:p w14:paraId="15FF970B" w14:textId="77777777" w:rsidR="00A812FA" w:rsidRPr="00345C5F" w:rsidRDefault="00A812FA" w:rsidP="00A812FA">
      <w:pPr>
        <w:pStyle w:val="FootnoteText"/>
        <w:rPr>
          <w:lang w:eastAsia="ko-KR"/>
        </w:rPr>
      </w:pPr>
      <w:r w:rsidRPr="00345C5F">
        <w:rPr>
          <w:rStyle w:val="FootnoteReference"/>
        </w:rPr>
        <w:footnoteRef/>
      </w:r>
      <w:r w:rsidRPr="00345C5F">
        <w:tab/>
      </w:r>
      <w:r w:rsidRPr="00345C5F">
        <w:rPr>
          <w:lang w:eastAsia="ko-KR"/>
        </w:rPr>
        <w:t>References relevant to MIMO with deep learning include [21].</w:t>
      </w:r>
    </w:p>
  </w:footnote>
  <w:footnote w:id="19">
    <w:p w14:paraId="09523D64" w14:textId="77777777" w:rsidR="00A812FA" w:rsidRPr="00345C5F" w:rsidRDefault="00A812FA" w:rsidP="00A812FA">
      <w:pPr>
        <w:pStyle w:val="FootnoteText"/>
        <w:rPr>
          <w:sz w:val="28"/>
          <w:szCs w:val="22"/>
          <w:lang w:eastAsia="zh-CN"/>
        </w:rPr>
      </w:pPr>
      <w:r w:rsidRPr="00345C5F">
        <w:rPr>
          <w:rStyle w:val="FootnoteReference"/>
          <w:szCs w:val="18"/>
        </w:rPr>
        <w:footnoteRef/>
      </w:r>
      <w:r w:rsidRPr="00345C5F">
        <w:tab/>
      </w:r>
      <w:hyperlink r:id="rId1" w:history="1">
        <w:r w:rsidRPr="00345C5F">
          <w:rPr>
            <w:rStyle w:val="Hyperlink"/>
            <w:szCs w:val="24"/>
          </w:rPr>
          <w:t>https://www.miit.gov.cn/jgsj/wgj/wjfb/art/2020/art_f1b30a0a1e7341bc8a3b497c04bc7da9.html</w:t>
        </w:r>
      </w:hyperlink>
    </w:p>
  </w:footnote>
  <w:footnote w:id="20">
    <w:p w14:paraId="60EBF4E6" w14:textId="77777777" w:rsidR="0056771B" w:rsidRDefault="00A812FA" w:rsidP="00DF3E0E">
      <w:pPr>
        <w:pStyle w:val="FootnoteText"/>
        <w:jc w:val="left"/>
        <w:rPr>
          <w:rFonts w:eastAsia="SimSun"/>
          <w:lang w:eastAsia="zh-CN"/>
        </w:rPr>
      </w:pPr>
      <w:r w:rsidRPr="00345C5F">
        <w:rPr>
          <w:rStyle w:val="FootnoteReference"/>
          <w:szCs w:val="18"/>
        </w:rPr>
        <w:footnoteRef/>
      </w:r>
      <w:r w:rsidRPr="00345C5F">
        <w:tab/>
      </w:r>
      <w:r w:rsidRPr="00345C5F">
        <w:rPr>
          <w:rFonts w:eastAsia="SimSun"/>
          <w:lang w:eastAsia="zh-CN"/>
        </w:rPr>
        <w:t>For example:</w:t>
      </w:r>
      <w:r w:rsidRPr="00345C5F">
        <w:rPr>
          <w:rFonts w:eastAsia="SimSun"/>
          <w:lang w:eastAsia="zh-CN"/>
        </w:rPr>
        <w:br/>
      </w:r>
      <w:r w:rsidRPr="00345C5F">
        <w:rPr>
          <w:i/>
          <w:lang w:eastAsia="zh-CN"/>
        </w:rPr>
        <w:t>−</w:t>
      </w:r>
      <w:r w:rsidRPr="00345C5F">
        <w:rPr>
          <w:i/>
          <w:lang w:eastAsia="zh-CN"/>
        </w:rPr>
        <w:tab/>
      </w:r>
      <w:r w:rsidRPr="00345C5F">
        <w:rPr>
          <w:rFonts w:eastAsia="SimSun"/>
          <w:spacing w:val="-4"/>
          <w:lang w:eastAsia="zh-CN"/>
        </w:rPr>
        <w:t xml:space="preserve">For the </w:t>
      </w:r>
      <w:r w:rsidRPr="0056771B">
        <w:rPr>
          <w:rFonts w:eastAsia="SimSun"/>
          <w:lang w:eastAsia="zh-CN"/>
        </w:rPr>
        <w:t>public</w:t>
      </w:r>
      <w:r w:rsidRPr="00345C5F">
        <w:rPr>
          <w:rFonts w:eastAsia="SimSun"/>
          <w:spacing w:val="-4"/>
          <w:lang w:eastAsia="zh-CN"/>
        </w:rPr>
        <w:t xml:space="preserve"> mobile communication systems: The frequency band occupancy shall not be less than </w:t>
      </w:r>
      <w:r w:rsidRPr="000C71C0">
        <w:rPr>
          <w:rFonts w:eastAsia="SimSun"/>
          <w:spacing w:val="-6"/>
          <w:lang w:eastAsia="zh-CN"/>
        </w:rPr>
        <w:t>80%, the area coverage rate shall not less than 60%, and the user carrying rate shall not less than 60%;</w:t>
      </w:r>
      <w:r w:rsidR="004C2370" w:rsidRPr="000D2E66">
        <w:rPr>
          <w:rFonts w:eastAsia="SimSun"/>
          <w:spacing w:val="-6"/>
          <w:lang w:eastAsia="zh-CN"/>
        </w:rPr>
        <w:t xml:space="preserve"> </w:t>
      </w:r>
    </w:p>
    <w:p w14:paraId="59CF49C0" w14:textId="4FF9A57D" w:rsidR="0056771B" w:rsidRDefault="0056771B" w:rsidP="00DF3E0E">
      <w:pPr>
        <w:pStyle w:val="FootnoteText"/>
        <w:jc w:val="left"/>
        <w:rPr>
          <w:rFonts w:eastAsia="SimSun"/>
          <w:lang w:eastAsia="zh-CN"/>
        </w:rPr>
      </w:pPr>
      <w:r>
        <w:rPr>
          <w:i/>
          <w:lang w:eastAsia="zh-CN"/>
        </w:rPr>
        <w:tab/>
      </w:r>
      <w:r w:rsidR="00A812FA" w:rsidRPr="00345C5F">
        <w:rPr>
          <w:i/>
          <w:lang w:eastAsia="zh-CN"/>
        </w:rPr>
        <w:t>−</w:t>
      </w:r>
      <w:r w:rsidR="00A812FA" w:rsidRPr="00345C5F">
        <w:rPr>
          <w:i/>
          <w:lang w:eastAsia="zh-CN"/>
        </w:rPr>
        <w:tab/>
      </w:r>
      <w:r w:rsidR="00A812FA" w:rsidRPr="00345C5F">
        <w:rPr>
          <w:rFonts w:eastAsia="SimSun"/>
          <w:lang w:eastAsia="zh-CN"/>
        </w:rPr>
        <w:t>For land mobile service using HF band: The annual time occupancy shall not be less than 60%;</w:t>
      </w:r>
    </w:p>
    <w:p w14:paraId="3309E83D" w14:textId="6213A9BC" w:rsidR="00A812FA" w:rsidRPr="00345C5F" w:rsidRDefault="00A812FA" w:rsidP="0056771B">
      <w:pPr>
        <w:pStyle w:val="FootnoteText"/>
        <w:ind w:left="794" w:hanging="794"/>
        <w:jc w:val="left"/>
        <w:rPr>
          <w:lang w:eastAsia="zh-CN"/>
        </w:rPr>
      </w:pPr>
      <w:r w:rsidRPr="00345C5F">
        <w:rPr>
          <w:i/>
          <w:lang w:eastAsia="zh-CN"/>
        </w:rPr>
        <w:t>−</w:t>
      </w:r>
      <w:r w:rsidRPr="00345C5F">
        <w:rPr>
          <w:i/>
          <w:lang w:eastAsia="zh-CN"/>
        </w:rPr>
        <w:tab/>
      </w:r>
      <w:r w:rsidR="0056771B">
        <w:rPr>
          <w:i/>
          <w:lang w:eastAsia="zh-CN"/>
        </w:rPr>
        <w:tab/>
      </w:r>
      <w:r w:rsidRPr="00345C5F">
        <w:rPr>
          <w:rFonts w:eastAsiaTheme="minorEastAsia"/>
          <w:lang w:eastAsia="zh-CN"/>
        </w:rPr>
        <w:t xml:space="preserve">For </w:t>
      </w:r>
      <w:r w:rsidRPr="00345C5F">
        <w:t xml:space="preserve">maritime mobile service using </w:t>
      </w:r>
      <w:r w:rsidRPr="00345C5F">
        <w:rPr>
          <w:rFonts w:eastAsiaTheme="minorEastAsia"/>
          <w:lang w:eastAsia="zh-CN"/>
        </w:rPr>
        <w:t>HF band</w:t>
      </w:r>
      <w:r w:rsidRPr="00345C5F">
        <w:t xml:space="preserve">: </w:t>
      </w:r>
      <w:r w:rsidRPr="00345C5F">
        <w:rPr>
          <w:rFonts w:eastAsiaTheme="minorEastAsia"/>
          <w:lang w:eastAsia="zh-CN"/>
        </w:rPr>
        <w:t>T</w:t>
      </w:r>
      <w:r w:rsidRPr="00345C5F">
        <w:t xml:space="preserve">he annual time occupancy </w:t>
      </w:r>
      <w:r w:rsidRPr="00345C5F">
        <w:rPr>
          <w:rFonts w:eastAsiaTheme="minorEastAsia"/>
          <w:lang w:eastAsia="zh-CN"/>
        </w:rPr>
        <w:t xml:space="preserve">shall </w:t>
      </w:r>
      <w:r w:rsidRPr="00345C5F">
        <w:t>not</w:t>
      </w:r>
      <w:r w:rsidRPr="00345C5F">
        <w:rPr>
          <w:rFonts w:eastAsiaTheme="minorEastAsia"/>
          <w:lang w:eastAsia="zh-CN"/>
        </w:rPr>
        <w:t xml:space="preserve"> be</w:t>
      </w:r>
      <w:r w:rsidRPr="00345C5F">
        <w:t xml:space="preserve"> less than 60%. </w:t>
      </w:r>
      <w:r w:rsidRPr="00345C5F">
        <w:rPr>
          <w:rFonts w:eastAsiaTheme="minorEastAsia"/>
          <w:lang w:eastAsia="zh-CN"/>
        </w:rPr>
        <w:t xml:space="preserve">For </w:t>
      </w:r>
      <w:r w:rsidRPr="00345C5F">
        <w:t xml:space="preserve">maritime mobile service using </w:t>
      </w:r>
      <w:r w:rsidRPr="00345C5F">
        <w:rPr>
          <w:rFonts w:eastAsiaTheme="minorEastAsia"/>
          <w:lang w:eastAsia="zh-CN"/>
        </w:rPr>
        <w:t>other bands,</w:t>
      </w:r>
      <w:r w:rsidRPr="00345C5F">
        <w:t xml:space="preserve"> the annual time occupancy </w:t>
      </w:r>
      <w:r w:rsidRPr="00345C5F">
        <w:rPr>
          <w:rFonts w:eastAsiaTheme="minorEastAsia"/>
          <w:lang w:eastAsia="zh-CN"/>
        </w:rPr>
        <w:t xml:space="preserve">shall </w:t>
      </w:r>
      <w:r w:rsidRPr="00345C5F">
        <w:t>not</w:t>
      </w:r>
      <w:r w:rsidRPr="00345C5F">
        <w:rPr>
          <w:rFonts w:eastAsiaTheme="minorEastAsia"/>
          <w:lang w:eastAsia="zh-CN"/>
        </w:rPr>
        <w:t xml:space="preserve"> be</w:t>
      </w:r>
      <w:r w:rsidRPr="00345C5F">
        <w:t xml:space="preserve"> less than 60%, and the frequency band occupancy </w:t>
      </w:r>
      <w:r w:rsidRPr="00345C5F">
        <w:rPr>
          <w:rFonts w:eastAsiaTheme="minorEastAsia"/>
          <w:lang w:eastAsia="zh-CN"/>
        </w:rPr>
        <w:t>shall not be</w:t>
      </w:r>
      <w:r w:rsidRPr="00345C5F">
        <w:t xml:space="preserve"> less than 80%.</w:t>
      </w:r>
    </w:p>
  </w:footnote>
  <w:footnote w:id="21">
    <w:p w14:paraId="1E1F4DDE" w14:textId="77777777" w:rsidR="00A812FA" w:rsidRPr="00345C5F" w:rsidRDefault="00A812FA" w:rsidP="00A812FA">
      <w:pPr>
        <w:pStyle w:val="FootnoteText"/>
        <w:rPr>
          <w:rFonts w:eastAsiaTheme="minorEastAsia"/>
          <w:lang w:eastAsia="zh-CN"/>
        </w:rPr>
      </w:pPr>
      <w:r w:rsidRPr="00345C5F">
        <w:rPr>
          <w:rStyle w:val="FootnoteReference"/>
          <w:sz w:val="15"/>
          <w:szCs w:val="16"/>
        </w:rPr>
        <w:footnoteRef/>
      </w:r>
      <w:r w:rsidRPr="00345C5F">
        <w:rPr>
          <w:sz w:val="21"/>
          <w:szCs w:val="16"/>
        </w:rPr>
        <w:tab/>
      </w:r>
      <w:r w:rsidRPr="00345C5F">
        <w:t>S. Huang, Z. Feng, Y. Yao, Y. Zhang and P. Zhang, “Multi-centres cooperative estimation based fast spectrum sensing,” 2016 IEEE International Conference on Communications (ICC), Kuala Lumpur, Malaysia, 2016, pp. 1</w:t>
      </w:r>
      <w:r w:rsidRPr="00345C5F">
        <w:noBreakHyphen/>
        <w:t xml:space="preserve">6, doi: 10.1109/ICC.2016.7510684. [Online]. Available: </w:t>
      </w:r>
      <w:hyperlink r:id="rId2" w:history="1">
        <w:r w:rsidRPr="00345C5F">
          <w:rPr>
            <w:rStyle w:val="Hyperlink"/>
          </w:rPr>
          <w:t>https://ieeexplore.ieee.org/abstract/document/7510684</w:t>
        </w:r>
      </w:hyperlink>
      <w:r w:rsidRPr="00345C5F">
        <w:t xml:space="preserve"> </w:t>
      </w:r>
    </w:p>
  </w:footnote>
  <w:footnote w:id="22">
    <w:p w14:paraId="31FB1218" w14:textId="261B2C1E" w:rsidR="00A812FA" w:rsidRPr="005C0579" w:rsidRDefault="00A812FA" w:rsidP="00A812FA">
      <w:pPr>
        <w:pStyle w:val="FootnoteText"/>
        <w:rPr>
          <w:rFonts w:eastAsiaTheme="minorEastAsia"/>
          <w:szCs w:val="24"/>
          <w:lang w:eastAsia="zh-CN"/>
        </w:rPr>
      </w:pPr>
      <w:r w:rsidRPr="00345C5F">
        <w:rPr>
          <w:rStyle w:val="FootnoteReference"/>
          <w:sz w:val="15"/>
          <w:szCs w:val="16"/>
        </w:rPr>
        <w:footnoteRef/>
      </w:r>
      <w:r w:rsidRPr="00345C5F">
        <w:rPr>
          <w:sz w:val="21"/>
          <w:szCs w:val="16"/>
        </w:rPr>
        <w:tab/>
      </w:r>
      <w:r w:rsidRPr="00345C5F">
        <w:rPr>
          <w:szCs w:val="24"/>
        </w:rPr>
        <w:t>Z. Chen and R. C. Qiu, “Prediction of channel state for cognitive radio using higher-order hidden Markov model,” Proceedings of the IEEE SoutheastCon 2010 (SoutheastCon), Concord, NC, USA, 2010, pp.</w:t>
      </w:r>
      <w:r w:rsidR="004C2370" w:rsidRPr="000D2E66">
        <w:rPr>
          <w:szCs w:val="24"/>
        </w:rPr>
        <w:t> </w:t>
      </w:r>
      <w:r w:rsidRPr="00345C5F">
        <w:rPr>
          <w:szCs w:val="24"/>
        </w:rPr>
        <w:t>276</w:t>
      </w:r>
      <w:r w:rsidR="004C2370">
        <w:rPr>
          <w:szCs w:val="24"/>
        </w:rPr>
        <w:t>‑</w:t>
      </w:r>
      <w:r w:rsidRPr="00345C5F">
        <w:rPr>
          <w:szCs w:val="24"/>
        </w:rPr>
        <w:t xml:space="preserve">282, doi: 10.1109/SECON.2010.5453870. [Online]. Available: </w:t>
      </w:r>
      <w:hyperlink r:id="rId3" w:history="1">
        <w:r w:rsidRPr="00345C5F">
          <w:rPr>
            <w:rStyle w:val="Hyperlink"/>
            <w:szCs w:val="24"/>
          </w:rPr>
          <w:t>https://ieeexplore.ieee.org/abstract/document/5453870</w:t>
        </w:r>
      </w:hyperlink>
      <w:r w:rsidRPr="00345C5F">
        <w:rPr>
          <w:szCs w:val="24"/>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DA7AFD" w14:textId="77777777" w:rsidR="004C2370" w:rsidRDefault="004C2370">
    <w:pPr>
      <w:pStyle w:val="Header"/>
      <w:ind w:right="360"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490" w:type="dxa"/>
      <w:tblInd w:w="-3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4"/>
      <w:gridCol w:w="5936"/>
    </w:tblGrid>
    <w:tr w:rsidR="004C2370" w:rsidRPr="00A239D1" w14:paraId="5E2B4A0E" w14:textId="77777777" w:rsidTr="0019307B">
      <w:tc>
        <w:tcPr>
          <w:tcW w:w="4634" w:type="dxa"/>
          <w:vAlign w:val="center"/>
        </w:tcPr>
        <w:p w14:paraId="117F3995" w14:textId="77777777" w:rsidR="004C2370" w:rsidRPr="005B0371" w:rsidRDefault="004C2370" w:rsidP="00B9169E">
          <w:pPr>
            <w:pStyle w:val="Header"/>
            <w:jc w:val="left"/>
            <w:rPr>
              <w:rFonts w:ascii="Arial Black" w:hAnsi="Arial Black" w:cs="Arial"/>
              <w:color w:val="FFFFFF" w:themeColor="background1"/>
              <w:sz w:val="32"/>
              <w:szCs w:val="32"/>
            </w:rPr>
          </w:pPr>
          <w:r w:rsidRPr="005B0371">
            <w:rPr>
              <w:rFonts w:ascii="Arial Black" w:hAnsi="Arial Black" w:cs="Arial"/>
              <w:color w:val="FFFFFF" w:themeColor="background1"/>
              <w:sz w:val="32"/>
              <w:szCs w:val="32"/>
            </w:rPr>
            <w:t xml:space="preserve"> </w:t>
          </w:r>
        </w:p>
      </w:tc>
      <w:tc>
        <w:tcPr>
          <w:tcW w:w="5998" w:type="dxa"/>
          <w:vAlign w:val="center"/>
        </w:tcPr>
        <w:p w14:paraId="58D0D294" w14:textId="77777777" w:rsidR="004C2370" w:rsidRPr="00260B24" w:rsidRDefault="004C2370" w:rsidP="00744F8B">
          <w:pPr>
            <w:pStyle w:val="Header"/>
            <w:jc w:val="right"/>
            <w:rPr>
              <w:rFonts w:asciiTheme="minorBidi" w:hAnsiTheme="minorBidi"/>
              <w:b/>
              <w:spacing w:val="4"/>
              <w:szCs w:val="24"/>
            </w:rPr>
          </w:pPr>
          <w:r w:rsidRPr="00260B24">
            <w:rPr>
              <w:rFonts w:asciiTheme="minorBidi" w:hAnsiTheme="minorBidi"/>
              <w:b/>
              <w:spacing w:val="4"/>
              <w:szCs w:val="24"/>
            </w:rPr>
            <w:t>International Telecommunication Union</w:t>
          </w:r>
        </w:p>
      </w:tc>
    </w:tr>
    <w:tr w:rsidR="004C2370" w:rsidRPr="00A239D1" w14:paraId="43ADC0BA" w14:textId="77777777" w:rsidTr="0019307B">
      <w:tc>
        <w:tcPr>
          <w:tcW w:w="4634" w:type="dxa"/>
          <w:vAlign w:val="center"/>
        </w:tcPr>
        <w:p w14:paraId="3DC4DDFE" w14:textId="77777777" w:rsidR="004C2370" w:rsidRPr="00260B24" w:rsidRDefault="004C2370" w:rsidP="00744F8B">
          <w:pPr>
            <w:pStyle w:val="Header"/>
            <w:jc w:val="left"/>
            <w:rPr>
              <w:rFonts w:asciiTheme="minorBidi" w:hAnsiTheme="minorBidi"/>
              <w:spacing w:val="4"/>
              <w:sz w:val="21"/>
              <w:szCs w:val="21"/>
            </w:rPr>
          </w:pPr>
        </w:p>
      </w:tc>
      <w:tc>
        <w:tcPr>
          <w:tcW w:w="5998" w:type="dxa"/>
          <w:vAlign w:val="center"/>
        </w:tcPr>
        <w:p w14:paraId="44852A1F" w14:textId="77777777" w:rsidR="004C2370" w:rsidRPr="00260B24" w:rsidRDefault="004C2370" w:rsidP="00744F8B">
          <w:pPr>
            <w:pStyle w:val="Header"/>
            <w:jc w:val="right"/>
            <w:rPr>
              <w:rFonts w:asciiTheme="minorBidi" w:hAnsiTheme="minorBidi"/>
              <w:spacing w:val="4"/>
              <w:szCs w:val="24"/>
            </w:rPr>
          </w:pPr>
          <w:r w:rsidRPr="00260B24">
            <w:rPr>
              <w:rFonts w:asciiTheme="minorBidi" w:hAnsiTheme="minorBidi"/>
              <w:spacing w:val="4"/>
              <w:szCs w:val="24"/>
            </w:rPr>
            <w:t>Radiocommunication Sector</w:t>
          </w:r>
        </w:p>
      </w:tc>
    </w:tr>
  </w:tbl>
  <w:p w14:paraId="7BC774C3" w14:textId="77777777" w:rsidR="004C2370" w:rsidRDefault="004C2370" w:rsidP="004A6FEB">
    <w:pPr>
      <w:pStyle w:val="Header"/>
    </w:pPr>
    <w:r>
      <w:rPr>
        <w:rFonts w:ascii="Arial Black" w:hAnsi="Arial Black" w:cs="Arial"/>
        <w:noProof/>
        <w:sz w:val="32"/>
        <w:szCs w:val="32"/>
      </w:rPr>
      <w:drawing>
        <wp:anchor distT="0" distB="0" distL="114300" distR="114300" simplePos="0" relativeHeight="251657216" behindDoc="0" locked="0" layoutInCell="1" allowOverlap="1" wp14:anchorId="48FC3614" wp14:editId="0EB3838C">
          <wp:simplePos x="0" y="0"/>
          <wp:positionH relativeFrom="column">
            <wp:posOffset>-358302</wp:posOffset>
          </wp:positionH>
          <wp:positionV relativeFrom="paragraph">
            <wp:posOffset>-534670</wp:posOffset>
          </wp:positionV>
          <wp:extent cx="1945758" cy="414616"/>
          <wp:effectExtent l="0" t="0" r="0" b="0"/>
          <wp:wrapNone/>
          <wp:docPr id="5" name="Picture 5" descr="ITUPublic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ITUPublication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45758" cy="414616"/>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w:hAnsi="Arial" w:cs="Arial"/>
        <w:noProof/>
      </w:rPr>
      <mc:AlternateContent>
        <mc:Choice Requires="wps">
          <w:drawing>
            <wp:anchor distT="0" distB="0" distL="114300" distR="114300" simplePos="0" relativeHeight="251658240" behindDoc="0" locked="0" layoutInCell="1" allowOverlap="1" wp14:anchorId="17CA4304" wp14:editId="4579A9EC">
              <wp:simplePos x="0" y="0"/>
              <wp:positionH relativeFrom="column">
                <wp:posOffset>-106045</wp:posOffset>
              </wp:positionH>
              <wp:positionV relativeFrom="paragraph">
                <wp:posOffset>164465</wp:posOffset>
              </wp:positionV>
              <wp:extent cx="301625" cy="172085"/>
              <wp:effectExtent l="17780" t="12065" r="23495" b="15875"/>
              <wp:wrapNone/>
              <wp:docPr id="6" name="AutoShap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301625" cy="172085"/>
                      </a:xfrm>
                      <a:prstGeom prst="triangle">
                        <a:avLst>
                          <a:gd name="adj" fmla="val 50000"/>
                        </a:avLst>
                      </a:prstGeom>
                      <a:solidFill>
                        <a:schemeClr val="bg1">
                          <a:lumMod val="100000"/>
                          <a:lumOff val="0"/>
                        </a:schemeClr>
                      </a:solidFill>
                      <a:ln w="9525">
                        <a:solidFill>
                          <a:srgbClr val="F8F8F8"/>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5B2AE3"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1" o:spid="_x0000_s1026" type="#_x0000_t5" alt="&quot;&quot;" style="position:absolute;margin-left:-8.35pt;margin-top:12.95pt;width:23.75pt;height:13.55pt;rotation:18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" fillcolor="white [3212]" strokecolor="#f8f8f8"/>
          </w:pict>
        </mc:Fallback>
      </mc:AlternateContent>
    </w:r>
  </w:p>
  <w:p w14:paraId="2DD74AD6" w14:textId="77777777" w:rsidR="004C2370" w:rsidRDefault="004C2370" w:rsidP="004A6FEB">
    <w:pPr>
      <w:pStyle w:val="Header"/>
      <w:ind w:right="360"/>
      <w:jc w:val="both"/>
    </w:pPr>
    <w:r>
      <w:rPr>
        <w:noProof/>
      </w:rPr>
      <mc:AlternateContent>
        <mc:Choice Requires="wpg">
          <w:drawing>
            <wp:anchor distT="0" distB="0" distL="114300" distR="114300" simplePos="0" relativeHeight="251659264" behindDoc="0" locked="0" layoutInCell="1" allowOverlap="1" wp14:anchorId="6778A8C9" wp14:editId="1AF00FFF">
              <wp:simplePos x="0" y="0"/>
              <wp:positionH relativeFrom="page">
                <wp:posOffset>0</wp:posOffset>
              </wp:positionH>
              <wp:positionV relativeFrom="page">
                <wp:posOffset>1196340</wp:posOffset>
              </wp:positionV>
              <wp:extent cx="7560310" cy="236220"/>
              <wp:effectExtent l="0" t="0" r="0" b="0"/>
              <wp:wrapNone/>
              <wp:docPr id="841824815" name="Group 8418248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236220"/>
                        <a:chOff x="0" y="1884"/>
                        <a:chExt cx="11906" cy="372"/>
                      </a:xfrm>
                    </wpg:grpSpPr>
                    <wps:wsp>
                      <wps:cNvPr id="1620123391" name="docshape4"/>
                      <wps:cNvSpPr>
                        <a:spLocks noChangeArrowheads="1"/>
                      </wps:cNvSpPr>
                      <wps:spPr bwMode="auto">
                        <a:xfrm>
                          <a:off x="0" y="1944"/>
                          <a:ext cx="11906" cy="312"/>
                        </a:xfrm>
                        <a:prstGeom prst="rect">
                          <a:avLst/>
                        </a:prstGeom>
                        <a:solidFill>
                          <a:srgbClr val="52BA6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47320771" name="docshape5" descr="Header separation line"/>
                      <wps:cNvSpPr>
                        <a:spLocks/>
                      </wps:cNvSpPr>
                      <wps:spPr bwMode="auto">
                        <a:xfrm>
                          <a:off x="1109" y="1884"/>
                          <a:ext cx="627" cy="314"/>
                        </a:xfrm>
                        <a:custGeom>
                          <a:avLst/>
                          <a:gdLst>
                            <a:gd name="T0" fmla="+- 0 1736 1109"/>
                            <a:gd name="T1" fmla="*/ T0 w 627"/>
                            <a:gd name="T2" fmla="+- 0 1884 1884"/>
                            <a:gd name="T3" fmla="*/ 1884 h 314"/>
                            <a:gd name="T4" fmla="+- 0 1109 1109"/>
                            <a:gd name="T5" fmla="*/ T4 w 627"/>
                            <a:gd name="T6" fmla="+- 0 1884 1884"/>
                            <a:gd name="T7" fmla="*/ 1884 h 314"/>
                            <a:gd name="T8" fmla="+- 0 1423 1109"/>
                            <a:gd name="T9" fmla="*/ T8 w 627"/>
                            <a:gd name="T10" fmla="+- 0 2197 1884"/>
                            <a:gd name="T11" fmla="*/ 2197 h 314"/>
                            <a:gd name="T12" fmla="+- 0 1736 1109"/>
                            <a:gd name="T13" fmla="*/ T12 w 627"/>
                            <a:gd name="T14" fmla="+- 0 1884 1884"/>
                            <a:gd name="T15" fmla="*/ 1884 h 314"/>
                          </a:gdLst>
                          <a:ahLst/>
                          <a:cxnLst>
                            <a:cxn ang="0">
                              <a:pos x="T1" y="T3"/>
                            </a:cxn>
                            <a:cxn ang="0">
                              <a:pos x="T5" y="T7"/>
                            </a:cxn>
                            <a:cxn ang="0">
                              <a:pos x="T9" y="T11"/>
                            </a:cxn>
                            <a:cxn ang="0">
                              <a:pos x="T13" y="T15"/>
                            </a:cxn>
                          </a:cxnLst>
                          <a:rect l="0" t="0" r="r" b="b"/>
                          <a:pathLst>
                            <a:path w="627" h="314">
                              <a:moveTo>
                                <a:pt x="627" y="0"/>
                              </a:moveTo>
                              <a:lnTo>
                                <a:pt x="0" y="0"/>
                              </a:lnTo>
                              <a:lnTo>
                                <a:pt x="314" y="313"/>
                              </a:lnTo>
                              <a:lnTo>
                                <a:pt x="627"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15B0F8F" id="Group 841824815" o:spid="_x0000_s1026" alt="&quot;&quot;" style="position:absolute;margin-left:0;margin-top:94.2pt;width:595.3pt;height:18.6pt;z-index:251661312;mso-position-horizontal-relative:page;mso-position-vertical-relative:page" coordorigin=",1884" coordsize="11906,3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">
              <v:rect id="docshape4" o:spid="_x0000_s1027" style="position:absolute;top:1944;width:11906;height: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" fillcolor="#52ba6c" stroked="f"/>
              <v:shape id="docshape5" o:spid="_x0000_s1028" alt="Header separation line" style="position:absolute;left:1109;top:1884;width:627;height:314;visibility:visible;mso-wrap-style:square;v-text-anchor:top" coordsize="627,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" path="m627,l,,314,313,627,xe" stroked="f">
                <v:path arrowok="t" o:connecttype="custom" o:connectlocs="627,1884;0,1884;314,2197;627,1884" o:connectangles="0,0,0,0"/>
              </v:shape>
              <w10:wrap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71BDB" w14:textId="70BB9533" w:rsidR="004C2370" w:rsidRPr="002A5668" w:rsidRDefault="004C2370" w:rsidP="00D72623">
    <w:pPr>
      <w:pStyle w:val="Header"/>
      <w:jc w:val="left"/>
      <w:rPr>
        <w:b/>
        <w:bCs/>
        <w:lang w:val="en-US"/>
      </w:rPr>
    </w:pPr>
    <w:r>
      <w:rPr>
        <w:rStyle w:val="PageNumber"/>
        <w:b/>
        <w:bCs/>
      </w:rPr>
      <w:fldChar w:fldCharType="begin"/>
    </w:r>
    <w:r>
      <w:rPr>
        <w:rStyle w:val="PageNumber"/>
        <w:b/>
        <w:bCs/>
        <w:lang w:val="en-US"/>
      </w:rPr>
      <w:instrText xml:space="preserve"> PAGE </w:instrText>
    </w:r>
    <w:r>
      <w:rPr>
        <w:rStyle w:val="PageNumber"/>
        <w:b/>
        <w:bCs/>
      </w:rPr>
      <w:fldChar w:fldCharType="separate"/>
    </w:r>
    <w:r>
      <w:rPr>
        <w:rStyle w:val="PageNumber"/>
        <w:b/>
        <w:bCs/>
      </w:rPr>
      <w:t>ii</w:t>
    </w:r>
    <w:r>
      <w:rPr>
        <w:rStyle w:val="PageNumber"/>
        <w:b/>
        <w:bCs/>
      </w:rPr>
      <w:fldChar w:fldCharType="end"/>
    </w:r>
    <w:r>
      <w:rPr>
        <w:lang w:val="en-US"/>
      </w:rPr>
      <w:tab/>
    </w:r>
    <w:r w:rsidR="002A5668">
      <w:rPr>
        <w:b/>
        <w:bCs/>
        <w:lang w:val="en-US"/>
      </w:rPr>
      <w:fldChar w:fldCharType="begin"/>
    </w:r>
    <w:r w:rsidR="002A5668">
      <w:rPr>
        <w:b/>
        <w:bCs/>
        <w:lang w:val="en-US"/>
      </w:rPr>
      <w:instrText xml:space="preserve"> DOCPROPERTY  "Header 2"  \* MERGEFORMAT </w:instrText>
    </w:r>
    <w:r w:rsidR="002A5668">
      <w:rPr>
        <w:b/>
        <w:bCs/>
        <w:lang w:val="en-US"/>
      </w:rPr>
      <w:fldChar w:fldCharType="separate"/>
    </w:r>
    <w:r w:rsidR="002A5668">
      <w:rPr>
        <w:b/>
        <w:bCs/>
        <w:lang w:val="en-US"/>
      </w:rPr>
      <w:t xml:space="preserve">Rep. </w:t>
    </w:r>
    <w:r w:rsidR="002A5668">
      <w:rPr>
        <w:b/>
        <w:bCs/>
        <w:lang w:val="en-US"/>
      </w:rPr>
      <w:fldChar w:fldCharType="end"/>
    </w:r>
    <w:r w:rsidR="002A5668">
      <w:rPr>
        <w:b/>
        <w:bCs/>
      </w:rPr>
      <w:t xml:space="preserve"> </w:t>
    </w:r>
    <w:r w:rsidR="002A5668">
      <w:rPr>
        <w:b/>
        <w:bCs/>
      </w:rPr>
      <w:fldChar w:fldCharType="begin"/>
    </w:r>
    <w:r w:rsidR="002A5668">
      <w:rPr>
        <w:b/>
        <w:bCs/>
        <w:lang w:val="en-US"/>
      </w:rPr>
      <w:instrText>styleref href</w:instrText>
    </w:r>
    <w:r w:rsidR="002A5668">
      <w:rPr>
        <w:b/>
        <w:bCs/>
      </w:rPr>
      <w:fldChar w:fldCharType="separate"/>
    </w:r>
    <w:r w:rsidR="0076209C">
      <w:rPr>
        <w:b/>
        <w:bCs/>
        <w:noProof/>
        <w:lang w:val="en-US"/>
      </w:rPr>
      <w:t>ITU-R  SM.2570-0</w:t>
    </w:r>
    <w:r w:rsidR="002A5668">
      <w:rPr>
        <w:b/>
        <w:bCs/>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88FFCF" w14:textId="77777777" w:rsidR="004C2370" w:rsidRDefault="004C2370">
    <w:pPr>
      <w:pStyle w:val="Header"/>
    </w:pPr>
    <w:r>
      <w:tab/>
    </w:r>
    <w:r>
      <w:rPr>
        <w:b/>
        <w:bCs/>
      </w:rPr>
      <w:fldChar w:fldCharType="begin"/>
    </w:r>
    <w:r>
      <w:rPr>
        <w:b/>
        <w:bCs/>
      </w:rPr>
      <w:instrText xml:space="preserve"> DOCPROPERTY  "Header 2"  \* MERGEFORMAT </w:instrText>
    </w:r>
    <w:r>
      <w:rPr>
        <w:b/>
        <w:bCs/>
      </w:rPr>
      <w:fldChar w:fldCharType="separate"/>
    </w:r>
    <w:r>
      <w:rPr>
        <w:b/>
        <w:bCs/>
      </w:rPr>
      <w:t xml:space="preserve">Rep. </w:t>
    </w:r>
    <w:r>
      <w:rPr>
        <w:b/>
        <w:bCs/>
      </w:rPr>
      <w:fldChar w:fldCharType="end"/>
    </w:r>
    <w:r>
      <w:rPr>
        <w:b/>
        <w:bCs/>
      </w:rPr>
      <w:t xml:space="preserve"> </w:t>
    </w:r>
    <w:r>
      <w:rPr>
        <w:b/>
        <w:bCs/>
      </w:rPr>
      <w:fldChar w:fldCharType="begin"/>
    </w:r>
    <w:r>
      <w:rPr>
        <w:b/>
        <w:bCs/>
      </w:rPr>
      <w:instrText>styleref href</w:instrText>
    </w:r>
    <w:r>
      <w:rPr>
        <w:b/>
        <w:bCs/>
      </w:rPr>
      <w:fldChar w:fldCharType="separate"/>
    </w:r>
    <w:r>
      <w:rPr>
        <w:b/>
        <w:bCs/>
        <w:noProof/>
      </w:rPr>
      <w:t>ITU-R  SM.XXX</w:t>
    </w:r>
    <w:r>
      <w:rPr>
        <w:b/>
        <w:bCs/>
      </w:rPr>
      <w:fldChar w:fldCharType="end"/>
    </w:r>
    <w:r>
      <w:tab/>
    </w:r>
    <w:r>
      <w:rPr>
        <w:rStyle w:val="PageNumber"/>
        <w:b/>
        <w:bCs/>
      </w:rPr>
      <w:fldChar w:fldCharType="begin"/>
    </w:r>
    <w:r>
      <w:rPr>
        <w:rStyle w:val="PageNumber"/>
        <w:b/>
        <w:bCs/>
      </w:rPr>
      <w:instrText xml:space="preserve"> PAGE </w:instrText>
    </w:r>
    <w:r>
      <w:rPr>
        <w:rStyle w:val="PageNumber"/>
        <w:b/>
        <w:bCs/>
      </w:rPr>
      <w:fldChar w:fldCharType="separate"/>
    </w:r>
    <w:r>
      <w:rPr>
        <w:rStyle w:val="PageNumber"/>
        <w:b/>
        <w:bCs/>
        <w:noProof/>
      </w:rPr>
      <w:t>1</w:t>
    </w:r>
    <w:r>
      <w:rPr>
        <w:rStyle w:val="PageNumber"/>
        <w:b/>
        <w:bCs/>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BD7B9" w14:textId="7A5EC7A7" w:rsidR="00607D68" w:rsidRPr="00B40696" w:rsidRDefault="00B40696" w:rsidP="00B40696">
    <w:pPr>
      <w:pStyle w:val="Header"/>
      <w:jc w:val="left"/>
      <w:rPr>
        <w:lang w:val="en-US"/>
      </w:rPr>
    </w:pPr>
    <w:r>
      <w:rPr>
        <w:rStyle w:val="PageNumber"/>
        <w:b/>
        <w:bCs/>
      </w:rPr>
      <w:fldChar w:fldCharType="begin"/>
    </w:r>
    <w:r>
      <w:rPr>
        <w:rStyle w:val="PageNumber"/>
        <w:b/>
        <w:bCs/>
        <w:lang w:val="en-US"/>
      </w:rPr>
      <w:instrText xml:space="preserve"> PAGE </w:instrText>
    </w:r>
    <w:r>
      <w:rPr>
        <w:rStyle w:val="PageNumber"/>
        <w:b/>
        <w:bCs/>
      </w:rPr>
      <w:fldChar w:fldCharType="separate"/>
    </w:r>
    <w:r>
      <w:rPr>
        <w:rStyle w:val="PageNumber"/>
        <w:b/>
        <w:bCs/>
      </w:rPr>
      <w:t>36</w:t>
    </w:r>
    <w:r>
      <w:rPr>
        <w:rStyle w:val="PageNumber"/>
        <w:b/>
        <w:bCs/>
      </w:rPr>
      <w:fldChar w:fldCharType="end"/>
    </w:r>
    <w:r>
      <w:rPr>
        <w:lang w:val="en-US"/>
      </w:rPr>
      <w:tab/>
    </w:r>
    <w:r>
      <w:rPr>
        <w:b/>
        <w:bCs/>
        <w:lang w:val="en-US"/>
      </w:rPr>
      <w:fldChar w:fldCharType="begin"/>
    </w:r>
    <w:r>
      <w:rPr>
        <w:b/>
        <w:bCs/>
        <w:lang w:val="en-US"/>
      </w:rPr>
      <w:instrText xml:space="preserve"> DOCPROPERTY  "Header 2"  \* MERGEFORMAT </w:instrText>
    </w:r>
    <w:r>
      <w:rPr>
        <w:b/>
        <w:bCs/>
        <w:lang w:val="en-US"/>
      </w:rPr>
      <w:fldChar w:fldCharType="separate"/>
    </w:r>
    <w:r w:rsidR="006F2DFA">
      <w:rPr>
        <w:b/>
        <w:bCs/>
        <w:lang w:val="en-US"/>
      </w:rPr>
      <w:t xml:space="preserve">Rep. </w:t>
    </w:r>
    <w:r>
      <w:rPr>
        <w:b/>
        <w:bCs/>
        <w:lang w:val="en-US"/>
      </w:rPr>
      <w:fldChar w:fldCharType="end"/>
    </w:r>
    <w:r>
      <w:rPr>
        <w:b/>
        <w:bCs/>
      </w:rPr>
      <w:t xml:space="preserve"> </w:t>
    </w:r>
    <w:r>
      <w:rPr>
        <w:b/>
        <w:bCs/>
      </w:rPr>
      <w:fldChar w:fldCharType="begin"/>
    </w:r>
    <w:r>
      <w:rPr>
        <w:b/>
        <w:bCs/>
        <w:lang w:val="en-US"/>
      </w:rPr>
      <w:instrText>styleref href</w:instrText>
    </w:r>
    <w:r>
      <w:rPr>
        <w:b/>
        <w:bCs/>
      </w:rPr>
      <w:fldChar w:fldCharType="separate"/>
    </w:r>
    <w:r w:rsidR="0076209C">
      <w:rPr>
        <w:b/>
        <w:bCs/>
        <w:noProof/>
        <w:lang w:val="en-US"/>
      </w:rPr>
      <w:t>ITU-R  SM.2570-0</w:t>
    </w:r>
    <w:r>
      <w:rPr>
        <w:b/>
        <w:bCs/>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88D74" w14:textId="1F6095FE" w:rsidR="00607D68" w:rsidRDefault="00607D68">
    <w:pPr>
      <w:pStyle w:val="Header"/>
    </w:pPr>
    <w:r>
      <w:tab/>
    </w:r>
    <w:r w:rsidR="00B40696">
      <w:rPr>
        <w:b/>
        <w:bCs/>
        <w:lang w:val="en-US"/>
      </w:rPr>
      <w:fldChar w:fldCharType="begin"/>
    </w:r>
    <w:r w:rsidR="00B40696">
      <w:rPr>
        <w:b/>
        <w:bCs/>
        <w:lang w:val="en-US"/>
      </w:rPr>
      <w:instrText xml:space="preserve"> DOCPROPERTY  "Header 2"  \* MERGEFORMAT </w:instrText>
    </w:r>
    <w:r w:rsidR="00B40696">
      <w:rPr>
        <w:b/>
        <w:bCs/>
        <w:lang w:val="en-US"/>
      </w:rPr>
      <w:fldChar w:fldCharType="separate"/>
    </w:r>
    <w:r w:rsidR="006F2DFA">
      <w:rPr>
        <w:b/>
        <w:bCs/>
        <w:lang w:val="en-US"/>
      </w:rPr>
      <w:t xml:space="preserve">Rep. </w:t>
    </w:r>
    <w:r w:rsidR="00B40696">
      <w:rPr>
        <w:b/>
        <w:bCs/>
        <w:lang w:val="en-US"/>
      </w:rPr>
      <w:fldChar w:fldCharType="end"/>
    </w:r>
    <w:r w:rsidR="00B40696">
      <w:rPr>
        <w:b/>
        <w:bCs/>
      </w:rPr>
      <w:t xml:space="preserve"> </w:t>
    </w:r>
    <w:r w:rsidR="00B40696">
      <w:rPr>
        <w:b/>
        <w:bCs/>
      </w:rPr>
      <w:fldChar w:fldCharType="begin"/>
    </w:r>
    <w:r w:rsidR="00B40696">
      <w:rPr>
        <w:b/>
        <w:bCs/>
        <w:lang w:val="en-US"/>
      </w:rPr>
      <w:instrText>styleref href</w:instrText>
    </w:r>
    <w:r w:rsidR="00B40696">
      <w:rPr>
        <w:b/>
        <w:bCs/>
      </w:rPr>
      <w:fldChar w:fldCharType="separate"/>
    </w:r>
    <w:r w:rsidR="0076209C">
      <w:rPr>
        <w:b/>
        <w:bCs/>
        <w:noProof/>
        <w:lang w:val="en-US"/>
      </w:rPr>
      <w:t>ITU-R  SM.2570-0</w:t>
    </w:r>
    <w:r w:rsidR="00B40696">
      <w:rPr>
        <w:b/>
        <w:bCs/>
      </w:rPr>
      <w:fldChar w:fldCharType="end"/>
    </w:r>
    <w:r>
      <w:tab/>
    </w:r>
    <w:r>
      <w:rPr>
        <w:rStyle w:val="PageNumber"/>
        <w:b/>
        <w:bCs/>
      </w:rPr>
      <w:fldChar w:fldCharType="begin"/>
    </w:r>
    <w:r>
      <w:rPr>
        <w:rStyle w:val="PageNumber"/>
        <w:b/>
        <w:bCs/>
      </w:rPr>
      <w:instrText xml:space="preserve"> PAGE </w:instrText>
    </w:r>
    <w:r>
      <w:rPr>
        <w:rStyle w:val="PageNumber"/>
        <w:b/>
        <w:bCs/>
      </w:rPr>
      <w:fldChar w:fldCharType="separate"/>
    </w:r>
    <w:r w:rsidR="00242AEE">
      <w:rPr>
        <w:rStyle w:val="PageNumber"/>
        <w:b/>
        <w:bCs/>
        <w:noProof/>
      </w:rPr>
      <w:t>1</w:t>
    </w:r>
    <w:r>
      <w:rPr>
        <w:rStyle w:val="PageNumber"/>
        <w:b/>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64036"/>
    <w:multiLevelType w:val="hybridMultilevel"/>
    <w:tmpl w:val="824E7AB0"/>
    <w:lvl w:ilvl="0" w:tplc="54D875F4">
      <w:start w:val="1"/>
      <w:numFmt w:val="bullet"/>
      <w:pStyle w:val="a"/>
      <w:lvlText w:val=""/>
      <w:lvlJc w:val="left"/>
      <w:pPr>
        <w:ind w:left="1429" w:hanging="360"/>
      </w:pPr>
      <w:rPr>
        <w:rFonts w:ascii="Wingdings" w:hAnsi="Wingdings"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 w15:restartNumberingAfterBreak="0">
    <w:nsid w:val="54952746"/>
    <w:multiLevelType w:val="singleLevel"/>
    <w:tmpl w:val="08090001"/>
    <w:lvl w:ilvl="0">
      <w:start w:val="1"/>
      <w:numFmt w:val="bullet"/>
      <w:pStyle w:val="ListBullet"/>
      <w:lvlText w:val=""/>
      <w:lvlJc w:val="left"/>
      <w:pPr>
        <w:ind w:left="360" w:hanging="360"/>
      </w:pPr>
      <w:rPr>
        <w:rFonts w:ascii="Symbol" w:hAnsi="Symbol" w:hint="default"/>
        <w:color w:val="FF0000"/>
      </w:rPr>
    </w:lvl>
  </w:abstractNum>
  <w:num w:numId="1" w16cid:durableId="18818234">
    <w:abstractNumId w:val="1"/>
  </w:num>
  <w:num w:numId="2" w16cid:durableId="621812519">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mirrorMargins/>
  <w:activeWritingStyle w:appName="MSWord" w:lang="en-US" w:vendorID="64" w:dllVersion="5" w:nlCheck="1" w:checkStyle="0"/>
  <w:activeWritingStyle w:appName="MSWord" w:lang="en-US" w:vendorID="64" w:dllVersion="6" w:nlCheck="1" w:checkStyle="1"/>
  <w:activeWritingStyle w:appName="MSWord" w:lang="fr-FR" w:vendorID="64" w:dllVersion="6" w:nlCheck="1" w:checkStyle="1"/>
  <w:activeWritingStyle w:appName="MSWord" w:lang="en-US" w:vendorID="64" w:dllVersion="0" w:nlCheck="1" w:checkStyle="0"/>
  <w:activeWritingStyle w:appName="MSWord" w:lang="fr-FR" w:vendorID="64" w:dllVersion="0" w:nlCheck="1" w:checkStyle="0"/>
  <w:activeWritingStyle w:appName="MSWord" w:lang="en-GB" w:vendorID="64" w:dllVersion="0" w:nlCheck="1" w:checkStyle="0"/>
  <w:activeWritingStyle w:appName="MSWord" w:lang="fr-CH" w:vendorID="64" w:dllVersion="0" w:nlCheck="1" w:checkStyle="0"/>
  <w:activeWritingStyle w:appName="MSWord" w:lang="es-ES_tradnl" w:vendorID="64" w:dllVersion="0" w:nlCheck="1" w:checkStyle="0"/>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213A"/>
    <w:rsid w:val="00003054"/>
    <w:rsid w:val="00005AC5"/>
    <w:rsid w:val="00017D0A"/>
    <w:rsid w:val="00020282"/>
    <w:rsid w:val="000242C8"/>
    <w:rsid w:val="00043BF5"/>
    <w:rsid w:val="00044D18"/>
    <w:rsid w:val="00057419"/>
    <w:rsid w:val="0006197C"/>
    <w:rsid w:val="0006398C"/>
    <w:rsid w:val="00064CCD"/>
    <w:rsid w:val="00070B9A"/>
    <w:rsid w:val="00085A31"/>
    <w:rsid w:val="000873DD"/>
    <w:rsid w:val="000906D9"/>
    <w:rsid w:val="000A0982"/>
    <w:rsid w:val="000A3476"/>
    <w:rsid w:val="000C176A"/>
    <w:rsid w:val="000C67D8"/>
    <w:rsid w:val="000D0A9A"/>
    <w:rsid w:val="000D2E66"/>
    <w:rsid w:val="000E5AD4"/>
    <w:rsid w:val="000F0D32"/>
    <w:rsid w:val="000F3DCC"/>
    <w:rsid w:val="000F7E35"/>
    <w:rsid w:val="00106661"/>
    <w:rsid w:val="00106794"/>
    <w:rsid w:val="001102D2"/>
    <w:rsid w:val="00114552"/>
    <w:rsid w:val="0013382C"/>
    <w:rsid w:val="001375D5"/>
    <w:rsid w:val="00140F00"/>
    <w:rsid w:val="001710AD"/>
    <w:rsid w:val="00177C6C"/>
    <w:rsid w:val="00177C81"/>
    <w:rsid w:val="0018569D"/>
    <w:rsid w:val="00195CCD"/>
    <w:rsid w:val="00196580"/>
    <w:rsid w:val="001A213A"/>
    <w:rsid w:val="001B0807"/>
    <w:rsid w:val="001B1F3D"/>
    <w:rsid w:val="001B3740"/>
    <w:rsid w:val="001B6821"/>
    <w:rsid w:val="001C4FFD"/>
    <w:rsid w:val="001F338E"/>
    <w:rsid w:val="00207EEF"/>
    <w:rsid w:val="00216867"/>
    <w:rsid w:val="00217EBF"/>
    <w:rsid w:val="002335B2"/>
    <w:rsid w:val="00242AEE"/>
    <w:rsid w:val="00254D24"/>
    <w:rsid w:val="00260E37"/>
    <w:rsid w:val="0026530B"/>
    <w:rsid w:val="00271FA7"/>
    <w:rsid w:val="00281D09"/>
    <w:rsid w:val="0028335E"/>
    <w:rsid w:val="00296116"/>
    <w:rsid w:val="00297F3A"/>
    <w:rsid w:val="002A1DFC"/>
    <w:rsid w:val="002A5668"/>
    <w:rsid w:val="002A7AE9"/>
    <w:rsid w:val="002B5EFA"/>
    <w:rsid w:val="002B619B"/>
    <w:rsid w:val="002D0479"/>
    <w:rsid w:val="002D11B9"/>
    <w:rsid w:val="002D76C4"/>
    <w:rsid w:val="002E17B1"/>
    <w:rsid w:val="002E28A8"/>
    <w:rsid w:val="002F16B7"/>
    <w:rsid w:val="002F197B"/>
    <w:rsid w:val="002F7EDC"/>
    <w:rsid w:val="0033081C"/>
    <w:rsid w:val="00337DE5"/>
    <w:rsid w:val="003461D0"/>
    <w:rsid w:val="00375993"/>
    <w:rsid w:val="003B16AB"/>
    <w:rsid w:val="003C0A6F"/>
    <w:rsid w:val="003C2F95"/>
    <w:rsid w:val="003C5D07"/>
    <w:rsid w:val="003D6D27"/>
    <w:rsid w:val="003E014C"/>
    <w:rsid w:val="003E4073"/>
    <w:rsid w:val="003E63A2"/>
    <w:rsid w:val="003F5D60"/>
    <w:rsid w:val="004048D3"/>
    <w:rsid w:val="00414AFF"/>
    <w:rsid w:val="00425814"/>
    <w:rsid w:val="00427E15"/>
    <w:rsid w:val="00431BD4"/>
    <w:rsid w:val="004354CE"/>
    <w:rsid w:val="00436F4A"/>
    <w:rsid w:val="004460D0"/>
    <w:rsid w:val="0045665A"/>
    <w:rsid w:val="00456894"/>
    <w:rsid w:val="0045691F"/>
    <w:rsid w:val="00463BD9"/>
    <w:rsid w:val="00465E34"/>
    <w:rsid w:val="00471501"/>
    <w:rsid w:val="00497292"/>
    <w:rsid w:val="004A1383"/>
    <w:rsid w:val="004A7D28"/>
    <w:rsid w:val="004C2370"/>
    <w:rsid w:val="004D2555"/>
    <w:rsid w:val="004F6CE6"/>
    <w:rsid w:val="00500246"/>
    <w:rsid w:val="0052529D"/>
    <w:rsid w:val="005407B2"/>
    <w:rsid w:val="00540E27"/>
    <w:rsid w:val="005418FB"/>
    <w:rsid w:val="00545047"/>
    <w:rsid w:val="00545245"/>
    <w:rsid w:val="005550FC"/>
    <w:rsid w:val="0056315D"/>
    <w:rsid w:val="005637BE"/>
    <w:rsid w:val="0056771B"/>
    <w:rsid w:val="005727FD"/>
    <w:rsid w:val="005920D3"/>
    <w:rsid w:val="005C41BD"/>
    <w:rsid w:val="005E23FA"/>
    <w:rsid w:val="005E2A2B"/>
    <w:rsid w:val="005E6D57"/>
    <w:rsid w:val="005F2AC6"/>
    <w:rsid w:val="00601709"/>
    <w:rsid w:val="00605559"/>
    <w:rsid w:val="00607D68"/>
    <w:rsid w:val="00612107"/>
    <w:rsid w:val="00620DD9"/>
    <w:rsid w:val="0062285D"/>
    <w:rsid w:val="00632602"/>
    <w:rsid w:val="00634CE3"/>
    <w:rsid w:val="00643EEA"/>
    <w:rsid w:val="00650B34"/>
    <w:rsid w:val="00651A98"/>
    <w:rsid w:val="0065234D"/>
    <w:rsid w:val="00655782"/>
    <w:rsid w:val="00655F73"/>
    <w:rsid w:val="00657AA3"/>
    <w:rsid w:val="00657CB1"/>
    <w:rsid w:val="00671328"/>
    <w:rsid w:val="006837A0"/>
    <w:rsid w:val="00684A8A"/>
    <w:rsid w:val="00691FD0"/>
    <w:rsid w:val="00693F39"/>
    <w:rsid w:val="006941C4"/>
    <w:rsid w:val="006A7C01"/>
    <w:rsid w:val="006B1088"/>
    <w:rsid w:val="006D2499"/>
    <w:rsid w:val="006D44F3"/>
    <w:rsid w:val="006D5CE1"/>
    <w:rsid w:val="006F012D"/>
    <w:rsid w:val="006F13E6"/>
    <w:rsid w:val="006F2DFA"/>
    <w:rsid w:val="006F67DB"/>
    <w:rsid w:val="00703FC2"/>
    <w:rsid w:val="00720185"/>
    <w:rsid w:val="00726569"/>
    <w:rsid w:val="00730B74"/>
    <w:rsid w:val="0073241B"/>
    <w:rsid w:val="0074289E"/>
    <w:rsid w:val="007468DA"/>
    <w:rsid w:val="00750FEA"/>
    <w:rsid w:val="00757F22"/>
    <w:rsid w:val="0076209C"/>
    <w:rsid w:val="007656BE"/>
    <w:rsid w:val="00774996"/>
    <w:rsid w:val="00774CD5"/>
    <w:rsid w:val="00781E32"/>
    <w:rsid w:val="00783B40"/>
    <w:rsid w:val="00784B9E"/>
    <w:rsid w:val="0078561C"/>
    <w:rsid w:val="0079161B"/>
    <w:rsid w:val="007A0053"/>
    <w:rsid w:val="007A15D9"/>
    <w:rsid w:val="007B59CE"/>
    <w:rsid w:val="007B7D46"/>
    <w:rsid w:val="007D2D3F"/>
    <w:rsid w:val="007F2DE4"/>
    <w:rsid w:val="007F65FE"/>
    <w:rsid w:val="007F68ED"/>
    <w:rsid w:val="0080005E"/>
    <w:rsid w:val="00813C86"/>
    <w:rsid w:val="00844EBD"/>
    <w:rsid w:val="00845DCD"/>
    <w:rsid w:val="00855179"/>
    <w:rsid w:val="008568B8"/>
    <w:rsid w:val="008615CC"/>
    <w:rsid w:val="00887456"/>
    <w:rsid w:val="008904E8"/>
    <w:rsid w:val="008908C5"/>
    <w:rsid w:val="008E00ED"/>
    <w:rsid w:val="008E3B25"/>
    <w:rsid w:val="008F480E"/>
    <w:rsid w:val="008F72A3"/>
    <w:rsid w:val="009014D3"/>
    <w:rsid w:val="00901514"/>
    <w:rsid w:val="00912541"/>
    <w:rsid w:val="009163FC"/>
    <w:rsid w:val="009168F9"/>
    <w:rsid w:val="00930C0C"/>
    <w:rsid w:val="00930E33"/>
    <w:rsid w:val="009314CB"/>
    <w:rsid w:val="0094352B"/>
    <w:rsid w:val="00944FC8"/>
    <w:rsid w:val="0095147C"/>
    <w:rsid w:val="0095327F"/>
    <w:rsid w:val="00961509"/>
    <w:rsid w:val="00971779"/>
    <w:rsid w:val="009A1B49"/>
    <w:rsid w:val="009A1D71"/>
    <w:rsid w:val="009B6C2D"/>
    <w:rsid w:val="009B7B3D"/>
    <w:rsid w:val="009C2A39"/>
    <w:rsid w:val="009D18E5"/>
    <w:rsid w:val="009D23F3"/>
    <w:rsid w:val="009D2874"/>
    <w:rsid w:val="009E00A8"/>
    <w:rsid w:val="009F5D28"/>
    <w:rsid w:val="00A00774"/>
    <w:rsid w:val="00A07215"/>
    <w:rsid w:val="00A14AED"/>
    <w:rsid w:val="00A213FE"/>
    <w:rsid w:val="00A437F2"/>
    <w:rsid w:val="00A51311"/>
    <w:rsid w:val="00A57236"/>
    <w:rsid w:val="00A608A3"/>
    <w:rsid w:val="00A62080"/>
    <w:rsid w:val="00A6617B"/>
    <w:rsid w:val="00A70B5D"/>
    <w:rsid w:val="00A812FA"/>
    <w:rsid w:val="00A83BEA"/>
    <w:rsid w:val="00A90105"/>
    <w:rsid w:val="00A91BFB"/>
    <w:rsid w:val="00A92DF1"/>
    <w:rsid w:val="00AB080B"/>
    <w:rsid w:val="00AB0DC8"/>
    <w:rsid w:val="00AC4E54"/>
    <w:rsid w:val="00AD010A"/>
    <w:rsid w:val="00AD0DD3"/>
    <w:rsid w:val="00AD33CD"/>
    <w:rsid w:val="00AD4063"/>
    <w:rsid w:val="00AE6E13"/>
    <w:rsid w:val="00AE781F"/>
    <w:rsid w:val="00B22D03"/>
    <w:rsid w:val="00B40696"/>
    <w:rsid w:val="00B43918"/>
    <w:rsid w:val="00B43A59"/>
    <w:rsid w:val="00B44E24"/>
    <w:rsid w:val="00B46C89"/>
    <w:rsid w:val="00B56A61"/>
    <w:rsid w:val="00B63CB6"/>
    <w:rsid w:val="00B66E9C"/>
    <w:rsid w:val="00B740CF"/>
    <w:rsid w:val="00BA0A9C"/>
    <w:rsid w:val="00BA3245"/>
    <w:rsid w:val="00BA3876"/>
    <w:rsid w:val="00BA4766"/>
    <w:rsid w:val="00BB02A8"/>
    <w:rsid w:val="00BB603F"/>
    <w:rsid w:val="00BB74C2"/>
    <w:rsid w:val="00BC40FE"/>
    <w:rsid w:val="00BF01B4"/>
    <w:rsid w:val="00BF2B61"/>
    <w:rsid w:val="00BF571B"/>
    <w:rsid w:val="00C1571A"/>
    <w:rsid w:val="00C17884"/>
    <w:rsid w:val="00C3336C"/>
    <w:rsid w:val="00C352AD"/>
    <w:rsid w:val="00C40AB3"/>
    <w:rsid w:val="00C440D7"/>
    <w:rsid w:val="00C45D95"/>
    <w:rsid w:val="00C527BC"/>
    <w:rsid w:val="00C55358"/>
    <w:rsid w:val="00C63214"/>
    <w:rsid w:val="00C6322F"/>
    <w:rsid w:val="00C908AA"/>
    <w:rsid w:val="00C9328F"/>
    <w:rsid w:val="00C97BAB"/>
    <w:rsid w:val="00CA0300"/>
    <w:rsid w:val="00CA7A07"/>
    <w:rsid w:val="00CB0B22"/>
    <w:rsid w:val="00CE38F8"/>
    <w:rsid w:val="00CE6F1D"/>
    <w:rsid w:val="00CF4EE4"/>
    <w:rsid w:val="00CF588A"/>
    <w:rsid w:val="00CF7E38"/>
    <w:rsid w:val="00D03839"/>
    <w:rsid w:val="00D203A9"/>
    <w:rsid w:val="00D45E07"/>
    <w:rsid w:val="00D533E7"/>
    <w:rsid w:val="00D57928"/>
    <w:rsid w:val="00D71F48"/>
    <w:rsid w:val="00DA451B"/>
    <w:rsid w:val="00DA5A7B"/>
    <w:rsid w:val="00DA6D9B"/>
    <w:rsid w:val="00DB3DDD"/>
    <w:rsid w:val="00DB51A6"/>
    <w:rsid w:val="00DC2B47"/>
    <w:rsid w:val="00DC538E"/>
    <w:rsid w:val="00DC6825"/>
    <w:rsid w:val="00DD07B0"/>
    <w:rsid w:val="00DD346B"/>
    <w:rsid w:val="00DD4DD6"/>
    <w:rsid w:val="00DE29DD"/>
    <w:rsid w:val="00DE618D"/>
    <w:rsid w:val="00DE7C14"/>
    <w:rsid w:val="00DF3277"/>
    <w:rsid w:val="00DF3E0E"/>
    <w:rsid w:val="00DF4176"/>
    <w:rsid w:val="00E16DE5"/>
    <w:rsid w:val="00E17BF9"/>
    <w:rsid w:val="00E22F44"/>
    <w:rsid w:val="00E300B3"/>
    <w:rsid w:val="00E31ABD"/>
    <w:rsid w:val="00E32C54"/>
    <w:rsid w:val="00E34DFA"/>
    <w:rsid w:val="00E44DF3"/>
    <w:rsid w:val="00E47FB5"/>
    <w:rsid w:val="00E562C8"/>
    <w:rsid w:val="00E57E76"/>
    <w:rsid w:val="00E60DDA"/>
    <w:rsid w:val="00E81763"/>
    <w:rsid w:val="00E8315F"/>
    <w:rsid w:val="00E84E0D"/>
    <w:rsid w:val="00E906F0"/>
    <w:rsid w:val="00EA06DA"/>
    <w:rsid w:val="00EA12B3"/>
    <w:rsid w:val="00EA3AA8"/>
    <w:rsid w:val="00EA4524"/>
    <w:rsid w:val="00EA5839"/>
    <w:rsid w:val="00EA65DA"/>
    <w:rsid w:val="00EB1C8C"/>
    <w:rsid w:val="00EB433C"/>
    <w:rsid w:val="00EB5503"/>
    <w:rsid w:val="00EB5C9F"/>
    <w:rsid w:val="00EB6A90"/>
    <w:rsid w:val="00EB78CB"/>
    <w:rsid w:val="00EC740E"/>
    <w:rsid w:val="00ED3963"/>
    <w:rsid w:val="00EF0F4C"/>
    <w:rsid w:val="00EF4155"/>
    <w:rsid w:val="00EF5C75"/>
    <w:rsid w:val="00F01331"/>
    <w:rsid w:val="00F1228A"/>
    <w:rsid w:val="00F1245C"/>
    <w:rsid w:val="00F1767A"/>
    <w:rsid w:val="00F273FE"/>
    <w:rsid w:val="00F611A5"/>
    <w:rsid w:val="00F61E4F"/>
    <w:rsid w:val="00F704D3"/>
    <w:rsid w:val="00F75409"/>
    <w:rsid w:val="00F77084"/>
    <w:rsid w:val="00F91225"/>
    <w:rsid w:val="00F95312"/>
    <w:rsid w:val="00FA1AD1"/>
    <w:rsid w:val="00FA49DF"/>
    <w:rsid w:val="00FA7D33"/>
    <w:rsid w:val="00FB0493"/>
    <w:rsid w:val="00FC4C90"/>
    <w:rsid w:val="00FC4DA6"/>
    <w:rsid w:val="00FC5704"/>
    <w:rsid w:val="00FD0B42"/>
    <w:rsid w:val="00FD62C4"/>
    <w:rsid w:val="00FE1F20"/>
    <w:rsid w:val="00FE3A43"/>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810A0E"/>
  <w15:docId w15:val="{7FCC3E33-08C2-442D-BBA2-08CAA07DAA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qFormat="1"/>
    <w:lsdException w:name="footer" w:semiHidden="1"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06794"/>
    <w:pPr>
      <w:tabs>
        <w:tab w:val="left" w:pos="794"/>
        <w:tab w:val="left" w:pos="1191"/>
        <w:tab w:val="left" w:pos="1588"/>
        <w:tab w:val="left" w:pos="1985"/>
      </w:tabs>
      <w:overflowPunct w:val="0"/>
      <w:autoSpaceDE w:val="0"/>
      <w:autoSpaceDN w:val="0"/>
      <w:adjustRightInd w:val="0"/>
      <w:spacing w:before="120"/>
      <w:jc w:val="both"/>
      <w:textAlignment w:val="baseline"/>
    </w:pPr>
    <w:rPr>
      <w:sz w:val="24"/>
      <w:lang w:val="en-GB" w:eastAsia="en-US"/>
    </w:rPr>
  </w:style>
  <w:style w:type="paragraph" w:styleId="Heading1">
    <w:name w:val="heading 1"/>
    <w:basedOn w:val="Normal"/>
    <w:next w:val="Normal"/>
    <w:link w:val="Heading1Char"/>
    <w:qFormat/>
    <w:pPr>
      <w:keepNext/>
      <w:keepLines/>
      <w:spacing w:before="480"/>
      <w:ind w:left="794" w:hanging="794"/>
      <w:outlineLvl w:val="0"/>
    </w:pPr>
    <w:rPr>
      <w:b/>
    </w:rPr>
  </w:style>
  <w:style w:type="paragraph" w:styleId="Heading2">
    <w:name w:val="heading 2"/>
    <w:basedOn w:val="Heading1"/>
    <w:next w:val="Normal"/>
    <w:link w:val="Heading2Char"/>
    <w:qFormat/>
    <w:pPr>
      <w:spacing w:before="320"/>
      <w:outlineLvl w:val="1"/>
    </w:pPr>
  </w:style>
  <w:style w:type="paragraph" w:styleId="Heading3">
    <w:name w:val="heading 3"/>
    <w:basedOn w:val="Heading1"/>
    <w:next w:val="Normal"/>
    <w:link w:val="Heading3Char"/>
    <w:qFormat/>
    <w:pPr>
      <w:spacing w:before="200"/>
      <w:outlineLvl w:val="2"/>
    </w:pPr>
  </w:style>
  <w:style w:type="paragraph" w:styleId="Heading4">
    <w:name w:val="heading 4"/>
    <w:basedOn w:val="Heading3"/>
    <w:next w:val="Normal"/>
    <w:link w:val="Heading4Char"/>
    <w:qFormat/>
    <w:pPr>
      <w:tabs>
        <w:tab w:val="clear" w:pos="794"/>
        <w:tab w:val="left" w:pos="992"/>
      </w:tabs>
      <w:ind w:left="992" w:hanging="992"/>
      <w:outlineLvl w:val="3"/>
    </w:pPr>
  </w:style>
  <w:style w:type="paragraph" w:styleId="Heading5">
    <w:name w:val="heading 5"/>
    <w:basedOn w:val="Heading4"/>
    <w:next w:val="Normal"/>
    <w:link w:val="Heading5Char"/>
    <w:qFormat/>
    <w:pPr>
      <w:outlineLvl w:val="4"/>
    </w:pPr>
  </w:style>
  <w:style w:type="paragraph" w:styleId="Heading6">
    <w:name w:val="heading 6"/>
    <w:basedOn w:val="Heading4"/>
    <w:next w:val="Normal"/>
    <w:link w:val="Heading6Char"/>
    <w:qFormat/>
    <w:pPr>
      <w:tabs>
        <w:tab w:val="clear" w:pos="992"/>
        <w:tab w:val="clear" w:pos="1191"/>
      </w:tabs>
      <w:ind w:left="1588" w:hanging="1588"/>
      <w:outlineLvl w:val="5"/>
    </w:pPr>
  </w:style>
  <w:style w:type="paragraph" w:styleId="Heading7">
    <w:name w:val="heading 7"/>
    <w:basedOn w:val="Heading6"/>
    <w:next w:val="Normal"/>
    <w:link w:val="Heading7Char"/>
    <w:qFormat/>
    <w:pPr>
      <w:outlineLvl w:val="6"/>
    </w:pPr>
  </w:style>
  <w:style w:type="paragraph" w:styleId="Heading8">
    <w:name w:val="heading 8"/>
    <w:basedOn w:val="Heading6"/>
    <w:next w:val="Normal"/>
    <w:link w:val="Heading8Char"/>
    <w:qFormat/>
    <w:pPr>
      <w:outlineLvl w:val="7"/>
    </w:pPr>
  </w:style>
  <w:style w:type="paragraph" w:styleId="Heading9">
    <w:name w:val="heading 9"/>
    <w:basedOn w:val="Heading6"/>
    <w:next w:val="Normal"/>
    <w:link w:val="Heading9Char"/>
    <w:qFormat/>
    <w:pPr>
      <w:jc w:val="left"/>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encabezado,header odd,header odd1,header odd2,he,header odd3,header odd4,header odd5,header odd6,header1,header2,header3,header odd11,header odd21,header odd7,header4,header odd8,header odd9,header5,header odd12,header11,header21,h,ho"/>
    <w:basedOn w:val="Normal"/>
    <w:link w:val="HeaderChar"/>
    <w:uiPriority w:val="99"/>
    <w:qFormat/>
    <w:pPr>
      <w:tabs>
        <w:tab w:val="clear" w:pos="794"/>
        <w:tab w:val="clear" w:pos="1191"/>
        <w:tab w:val="clear" w:pos="1588"/>
        <w:tab w:val="clear" w:pos="1985"/>
        <w:tab w:val="center" w:pos="4848"/>
        <w:tab w:val="right" w:pos="9696"/>
      </w:tabs>
      <w:spacing w:before="0"/>
      <w:jc w:val="center"/>
    </w:pPr>
  </w:style>
  <w:style w:type="paragraph" w:styleId="Footer">
    <w:name w:val="footer"/>
    <w:basedOn w:val="Normal"/>
    <w:link w:val="FooterChar"/>
    <w:pPr>
      <w:tabs>
        <w:tab w:val="clear" w:pos="794"/>
        <w:tab w:val="clear" w:pos="1191"/>
        <w:tab w:val="clear" w:pos="1588"/>
        <w:tab w:val="clear" w:pos="1985"/>
      </w:tabs>
      <w:spacing w:before="0"/>
    </w:pPr>
    <w:rPr>
      <w:noProof/>
      <w:sz w:val="18"/>
    </w:rPr>
  </w:style>
  <w:style w:type="character" w:styleId="PageNumber">
    <w:name w:val="page number"/>
    <w:basedOn w:val="DefaultParagraphFont"/>
    <w:qFormat/>
  </w:style>
  <w:style w:type="paragraph" w:customStyle="1" w:styleId="Headingb">
    <w:name w:val="Heading_b"/>
    <w:basedOn w:val="Heading3"/>
    <w:next w:val="Normal"/>
    <w:link w:val="HeadingbChar"/>
    <w:qFormat/>
    <w:pPr>
      <w:spacing w:before="160"/>
      <w:ind w:left="0" w:firstLine="0"/>
      <w:outlineLvl w:val="9"/>
    </w:pPr>
  </w:style>
  <w:style w:type="paragraph" w:customStyle="1" w:styleId="Headingi">
    <w:name w:val="Heading_i"/>
    <w:basedOn w:val="Heading3"/>
    <w:next w:val="Normal"/>
    <w:qFormat/>
    <w:pPr>
      <w:spacing w:before="160"/>
      <w:ind w:left="0" w:firstLine="0"/>
    </w:pPr>
    <w:rPr>
      <w:b w:val="0"/>
      <w:i/>
    </w:rPr>
  </w:style>
  <w:style w:type="character" w:customStyle="1" w:styleId="href">
    <w:name w:val="href"/>
    <w:basedOn w:val="DefaultParagraphFont"/>
  </w:style>
  <w:style w:type="paragraph" w:customStyle="1" w:styleId="enumlev1">
    <w:name w:val="enumlev1"/>
    <w:basedOn w:val="Normal"/>
    <w:link w:val="enumlev1Char"/>
    <w:qFormat/>
    <w:pPr>
      <w:spacing w:before="80"/>
      <w:ind w:left="794" w:hanging="794"/>
    </w:pPr>
  </w:style>
  <w:style w:type="paragraph" w:customStyle="1" w:styleId="enumlev2">
    <w:name w:val="enumlev2"/>
    <w:basedOn w:val="enumlev1"/>
    <w:pPr>
      <w:ind w:left="1191" w:hanging="397"/>
    </w:pPr>
  </w:style>
  <w:style w:type="paragraph" w:customStyle="1" w:styleId="enumlev3">
    <w:name w:val="enumlev3"/>
    <w:basedOn w:val="enumlev2"/>
    <w:pPr>
      <w:ind w:left="1588"/>
    </w:pPr>
  </w:style>
  <w:style w:type="paragraph" w:customStyle="1" w:styleId="Normalaftertitle">
    <w:name w:val="Normal_after_title"/>
    <w:basedOn w:val="Normal"/>
    <w:next w:val="Normal"/>
    <w:link w:val="NormalaftertitleChar"/>
    <w:pPr>
      <w:spacing w:before="320"/>
    </w:pPr>
  </w:style>
  <w:style w:type="paragraph" w:customStyle="1" w:styleId="Note">
    <w:name w:val="Note"/>
    <w:basedOn w:val="Normal"/>
    <w:pPr>
      <w:tabs>
        <w:tab w:val="clear" w:pos="794"/>
        <w:tab w:val="clear" w:pos="1191"/>
        <w:tab w:val="clear" w:pos="1588"/>
        <w:tab w:val="clear" w:pos="1985"/>
      </w:tabs>
      <w:spacing w:before="80"/>
    </w:pPr>
    <w:rPr>
      <w:sz w:val="22"/>
    </w:rPr>
  </w:style>
  <w:style w:type="paragraph" w:customStyle="1" w:styleId="RecNo">
    <w:name w:val="Rec_No"/>
    <w:basedOn w:val="Normal"/>
    <w:next w:val="Rectitle"/>
    <w:pPr>
      <w:keepNext/>
      <w:keepLines/>
      <w:tabs>
        <w:tab w:val="clear" w:pos="794"/>
        <w:tab w:val="clear" w:pos="1191"/>
        <w:tab w:val="clear" w:pos="1588"/>
        <w:tab w:val="clear" w:pos="1985"/>
      </w:tabs>
      <w:spacing w:before="480"/>
      <w:jc w:val="center"/>
    </w:pPr>
    <w:rPr>
      <w:sz w:val="28"/>
    </w:rPr>
  </w:style>
  <w:style w:type="paragraph" w:customStyle="1" w:styleId="HeadingSum">
    <w:name w:val="Heading_Sum"/>
    <w:basedOn w:val="Headingb"/>
    <w:next w:val="Normal"/>
    <w:autoRedefine/>
    <w:rsid w:val="00242AEE"/>
    <w:pPr>
      <w:spacing w:before="240"/>
    </w:pPr>
    <w:rPr>
      <w:sz w:val="22"/>
      <w:lang w:val="es-ES_tradnl"/>
    </w:rPr>
  </w:style>
  <w:style w:type="paragraph" w:customStyle="1" w:styleId="Recref">
    <w:name w:val="Rec_ref"/>
    <w:basedOn w:val="Normal"/>
    <w:next w:val="Recdate"/>
    <w:pPr>
      <w:jc w:val="center"/>
    </w:pPr>
  </w:style>
  <w:style w:type="paragraph" w:customStyle="1" w:styleId="Recdate">
    <w:name w:val="Rec_date"/>
    <w:basedOn w:val="Recref"/>
    <w:next w:val="Normalaftertitle"/>
    <w:pPr>
      <w:jc w:val="right"/>
    </w:pPr>
  </w:style>
  <w:style w:type="paragraph" w:customStyle="1" w:styleId="AnnexNoTitle">
    <w:name w:val="Annex_NoTitle"/>
    <w:basedOn w:val="Normal"/>
    <w:next w:val="Normalaftertitle"/>
    <w:link w:val="AnnexNoTitleChar1"/>
    <w:rsid w:val="00B40696"/>
    <w:pPr>
      <w:keepNext/>
      <w:keepLines/>
      <w:spacing w:before="480" w:after="80"/>
      <w:jc w:val="center"/>
      <w:outlineLvl w:val="0"/>
    </w:pPr>
    <w:rPr>
      <w:b/>
      <w:sz w:val="28"/>
    </w:rPr>
  </w:style>
  <w:style w:type="paragraph" w:customStyle="1" w:styleId="AppendixNoTitle">
    <w:name w:val="Appendix_NoTitle"/>
    <w:basedOn w:val="AnnexNoTitle"/>
    <w:next w:val="Normal"/>
  </w:style>
  <w:style w:type="paragraph" w:customStyle="1" w:styleId="Tablefin">
    <w:name w:val="Table_fin"/>
    <w:basedOn w:val="Normal"/>
    <w:next w:val="Normal"/>
    <w:qFormat/>
    <w:pPr>
      <w:spacing w:before="0"/>
    </w:pPr>
    <w:rPr>
      <w:sz w:val="20"/>
    </w:rPr>
  </w:style>
  <w:style w:type="paragraph" w:customStyle="1" w:styleId="Tablehead">
    <w:name w:val="Table_head"/>
    <w:basedOn w:val="Normal"/>
    <w:next w:val="Normal"/>
    <w:link w:val="TableheadChar"/>
    <w:qFormat/>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pPr>
    <w:rPr>
      <w:b/>
      <w:sz w:val="22"/>
    </w:rPr>
  </w:style>
  <w:style w:type="paragraph" w:customStyle="1" w:styleId="Tablelegend">
    <w:name w:val="Table_legend"/>
    <w:basedOn w:val="Normal"/>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ind w:left="284" w:right="-85" w:hanging="369"/>
    </w:pPr>
    <w:rPr>
      <w:sz w:val="22"/>
    </w:rPr>
  </w:style>
  <w:style w:type="paragraph" w:customStyle="1" w:styleId="TableNo">
    <w:name w:val="Table_No"/>
    <w:basedOn w:val="Normal"/>
    <w:next w:val="Normal"/>
    <w:link w:val="TableNoChar"/>
    <w:qFormat/>
    <w:pPr>
      <w:keepNext/>
      <w:spacing w:before="360" w:after="120"/>
      <w:jc w:val="center"/>
    </w:pPr>
  </w:style>
  <w:style w:type="paragraph" w:customStyle="1" w:styleId="Tabletext">
    <w:name w:val="Table_text"/>
    <w:basedOn w:val="Normal"/>
    <w:link w:val="TabletextChar"/>
    <w:qFormat/>
    <w:rsid w:val="00B40696"/>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left"/>
    </w:pPr>
    <w:rPr>
      <w:sz w:val="22"/>
    </w:rPr>
  </w:style>
  <w:style w:type="paragraph" w:customStyle="1" w:styleId="Equation">
    <w:name w:val="Equation"/>
    <w:basedOn w:val="Normal"/>
    <w:link w:val="EquationChar"/>
    <w:qFormat/>
    <w:pPr>
      <w:tabs>
        <w:tab w:val="clear" w:pos="1191"/>
        <w:tab w:val="clear" w:pos="1588"/>
        <w:tab w:val="clear" w:pos="1985"/>
        <w:tab w:val="center" w:pos="4820"/>
        <w:tab w:val="right" w:pos="9639"/>
      </w:tabs>
    </w:pPr>
  </w:style>
  <w:style w:type="paragraph" w:customStyle="1" w:styleId="Equationlegend">
    <w:name w:val="Equation_legend"/>
    <w:basedOn w:val="NormalIndent"/>
    <w:link w:val="EquationlegendChar"/>
    <w:qFormat/>
    <w:pPr>
      <w:tabs>
        <w:tab w:val="clear" w:pos="794"/>
        <w:tab w:val="clear" w:pos="1191"/>
        <w:tab w:val="clear" w:pos="1588"/>
        <w:tab w:val="right" w:pos="1701"/>
      </w:tabs>
      <w:spacing w:before="80"/>
      <w:ind w:left="1985" w:hanging="1985"/>
    </w:pPr>
    <w:rPr>
      <w:lang w:val="en-US"/>
    </w:rPr>
  </w:style>
  <w:style w:type="paragraph" w:styleId="NormalIndent">
    <w:name w:val="Normal Indent"/>
    <w:basedOn w:val="Normal"/>
    <w:pPr>
      <w:ind w:left="794"/>
    </w:pPr>
  </w:style>
  <w:style w:type="paragraph" w:customStyle="1" w:styleId="Figurelegend">
    <w:name w:val="Figure_legend"/>
    <w:basedOn w:val="Normal"/>
    <w:pPr>
      <w:keepNext/>
      <w:keepLines/>
      <w:tabs>
        <w:tab w:val="clear" w:pos="794"/>
        <w:tab w:val="clear" w:pos="1191"/>
        <w:tab w:val="clear" w:pos="1588"/>
        <w:tab w:val="clear" w:pos="1985"/>
      </w:tabs>
      <w:spacing w:before="20" w:after="20"/>
    </w:pPr>
    <w:rPr>
      <w:sz w:val="18"/>
    </w:rPr>
  </w:style>
  <w:style w:type="paragraph" w:customStyle="1" w:styleId="FigureNo">
    <w:name w:val="Figure_No"/>
    <w:basedOn w:val="Normal"/>
    <w:next w:val="Figuretitle"/>
    <w:link w:val="FigureNoChar"/>
    <w:qFormat/>
    <w:rsid w:val="00DF4176"/>
    <w:pPr>
      <w:keepNext/>
      <w:keepLines/>
      <w:spacing w:before="480" w:after="80"/>
      <w:jc w:val="center"/>
    </w:pPr>
    <w:rPr>
      <w:caps/>
      <w:sz w:val="18"/>
    </w:rPr>
  </w:style>
  <w:style w:type="paragraph" w:customStyle="1" w:styleId="tocpart">
    <w:name w:val="tocpart"/>
    <w:basedOn w:val="Normal"/>
    <w:pPr>
      <w:tabs>
        <w:tab w:val="clear" w:pos="794"/>
        <w:tab w:val="clear" w:pos="1191"/>
        <w:tab w:val="clear" w:pos="1588"/>
        <w:tab w:val="clear" w:pos="1985"/>
        <w:tab w:val="left" w:pos="2693"/>
        <w:tab w:val="left" w:pos="8789"/>
        <w:tab w:val="right" w:pos="9639"/>
      </w:tabs>
      <w:ind w:left="2693" w:hanging="2693"/>
    </w:pPr>
  </w:style>
  <w:style w:type="paragraph" w:customStyle="1" w:styleId="ArtNo">
    <w:name w:val="Art_No"/>
    <w:basedOn w:val="Normal"/>
    <w:next w:val="Normal"/>
    <w:pPr>
      <w:keepNext/>
      <w:keepLines/>
      <w:spacing w:before="480"/>
      <w:jc w:val="center"/>
    </w:pPr>
    <w:rPr>
      <w:sz w:val="28"/>
    </w:rPr>
  </w:style>
  <w:style w:type="paragraph" w:customStyle="1" w:styleId="Arttitle">
    <w:name w:val="Art_title"/>
    <w:basedOn w:val="Normal"/>
    <w:next w:val="Normalaftertitle"/>
    <w:pPr>
      <w:keepNext/>
      <w:keepLines/>
      <w:spacing w:before="240"/>
      <w:jc w:val="center"/>
    </w:pPr>
    <w:rPr>
      <w:b/>
      <w:sz w:val="28"/>
    </w:rPr>
  </w:style>
  <w:style w:type="paragraph" w:customStyle="1" w:styleId="Blanc">
    <w:name w:val="Blanc"/>
    <w:basedOn w:val="Normal"/>
    <w:next w:val="Tabletext"/>
    <w:qFormat/>
    <w:pPr>
      <w:keepNext/>
      <w:keepLines/>
      <w:tabs>
        <w:tab w:val="clear" w:pos="794"/>
        <w:tab w:val="clear" w:pos="1191"/>
        <w:tab w:val="clear" w:pos="1588"/>
        <w:tab w:val="clear" w:pos="1985"/>
      </w:tabs>
      <w:spacing w:before="0"/>
    </w:pPr>
    <w:rPr>
      <w:sz w:val="16"/>
    </w:rPr>
  </w:style>
  <w:style w:type="paragraph" w:customStyle="1" w:styleId="ASN1">
    <w:name w:val="ASN.1"/>
    <w:basedOn w:val="Normal"/>
    <w:next w:val="Normal"/>
    <w:pPr>
      <w:tabs>
        <w:tab w:val="clear" w:pos="794"/>
        <w:tab w:val="clear" w:pos="1191"/>
        <w:tab w:val="clear" w:pos="1588"/>
        <w:tab w:val="clear" w:pos="1985"/>
        <w:tab w:val="left" w:pos="567"/>
        <w:tab w:val="left" w:pos="1134"/>
        <w:tab w:val="left" w:pos="1701"/>
        <w:tab w:val="left" w:pos="2268"/>
        <w:tab w:val="left" w:pos="2835"/>
        <w:tab w:val="left" w:pos="3402"/>
        <w:tab w:val="left" w:pos="3969"/>
        <w:tab w:val="left" w:pos="4536"/>
        <w:tab w:val="left" w:pos="5103"/>
        <w:tab w:val="left" w:pos="5670"/>
      </w:tabs>
      <w:spacing w:before="0"/>
    </w:pPr>
    <w:rPr>
      <w:b/>
      <w:noProof/>
      <w:sz w:val="20"/>
    </w:rPr>
  </w:style>
  <w:style w:type="paragraph" w:customStyle="1" w:styleId="Call">
    <w:name w:val="Call"/>
    <w:basedOn w:val="Normal"/>
    <w:next w:val="Normal"/>
    <w:link w:val="CallChar"/>
    <w:pPr>
      <w:keepNext/>
      <w:keepLines/>
      <w:spacing w:before="160"/>
      <w:ind w:left="794"/>
    </w:pPr>
    <w:rPr>
      <w:i/>
    </w:rPr>
  </w:style>
  <w:style w:type="paragraph" w:customStyle="1" w:styleId="ChapNo">
    <w:name w:val="Chap_No"/>
    <w:basedOn w:val="ArtNo"/>
    <w:next w:val="Chaptitle"/>
    <w:rPr>
      <w:b/>
    </w:rPr>
  </w:style>
  <w:style w:type="paragraph" w:customStyle="1" w:styleId="Chaptitle">
    <w:name w:val="Chap_title"/>
    <w:basedOn w:val="Arttitle"/>
    <w:next w:val="Normalaftertitle"/>
    <w:link w:val="ChaptitleChar"/>
    <w:rsid w:val="00D203A9"/>
  </w:style>
  <w:style w:type="character" w:styleId="FootnoteReference">
    <w:name w:val="footnote reference"/>
    <w:basedOn w:val="DefaultParagraphFont"/>
    <w:qFormat/>
    <w:rPr>
      <w:position w:val="6"/>
      <w:sz w:val="18"/>
    </w:rPr>
  </w:style>
  <w:style w:type="paragraph" w:styleId="FootnoteText">
    <w:name w:val="footnote text"/>
    <w:basedOn w:val="Normal"/>
    <w:link w:val="FootnoteTextChar"/>
    <w:qFormat/>
    <w:pPr>
      <w:keepLines/>
      <w:tabs>
        <w:tab w:val="left" w:pos="255"/>
      </w:tabs>
      <w:ind w:left="255" w:hanging="255"/>
    </w:pPr>
    <w:rPr>
      <w:sz w:val="22"/>
    </w:rPr>
  </w:style>
  <w:style w:type="paragraph" w:styleId="Index1">
    <w:name w:val="index 1"/>
    <w:basedOn w:val="Normal"/>
    <w:next w:val="Normal"/>
    <w:semiHidden/>
  </w:style>
  <w:style w:type="paragraph" w:styleId="Index2">
    <w:name w:val="index 2"/>
    <w:basedOn w:val="Normal"/>
    <w:next w:val="Normal"/>
    <w:semiHidden/>
    <w:pPr>
      <w:ind w:left="283"/>
    </w:pPr>
  </w:style>
  <w:style w:type="paragraph" w:styleId="Index3">
    <w:name w:val="index 3"/>
    <w:basedOn w:val="Normal"/>
    <w:next w:val="Normal"/>
    <w:semiHidden/>
    <w:pPr>
      <w:ind w:left="566"/>
    </w:pPr>
  </w:style>
  <w:style w:type="paragraph" w:styleId="IndexHeading">
    <w:name w:val="index heading"/>
    <w:basedOn w:val="Normal"/>
    <w:next w:val="Index1"/>
  </w:style>
  <w:style w:type="paragraph" w:customStyle="1" w:styleId="Line">
    <w:name w:val="Line"/>
    <w:basedOn w:val="Normal"/>
    <w:next w:val="Normal"/>
    <w:pPr>
      <w:pBdr>
        <w:top w:val="single" w:sz="6" w:space="1" w:color="auto"/>
      </w:pBdr>
      <w:tabs>
        <w:tab w:val="clear" w:pos="794"/>
        <w:tab w:val="clear" w:pos="1191"/>
        <w:tab w:val="clear" w:pos="1588"/>
        <w:tab w:val="clear" w:pos="1985"/>
      </w:tabs>
      <w:spacing w:before="240"/>
      <w:ind w:left="3997" w:right="3997"/>
      <w:jc w:val="center"/>
    </w:pPr>
    <w:rPr>
      <w:sz w:val="20"/>
    </w:rPr>
  </w:style>
  <w:style w:type="paragraph" w:customStyle="1" w:styleId="toctemp">
    <w:name w:val="toctemp"/>
    <w:basedOn w:val="Normal"/>
    <w:pPr>
      <w:tabs>
        <w:tab w:val="clear" w:pos="794"/>
        <w:tab w:val="clear" w:pos="1191"/>
        <w:tab w:val="clear" w:pos="1588"/>
        <w:tab w:val="clear" w:pos="1985"/>
        <w:tab w:val="left" w:pos="2693"/>
        <w:tab w:val="left" w:leader="dot" w:pos="8789"/>
        <w:tab w:val="right" w:pos="9639"/>
      </w:tabs>
      <w:ind w:left="2693" w:right="964" w:hanging="2693"/>
    </w:pPr>
  </w:style>
  <w:style w:type="paragraph" w:customStyle="1" w:styleId="PartNo">
    <w:name w:val="Part_No"/>
    <w:basedOn w:val="Normal"/>
    <w:next w:val="Normal"/>
  </w:style>
  <w:style w:type="paragraph" w:customStyle="1" w:styleId="Partref">
    <w:name w:val="Part_ref"/>
    <w:basedOn w:val="Normal"/>
    <w:next w:val="Normal"/>
    <w:pPr>
      <w:keepNext/>
      <w:keepLines/>
      <w:spacing w:after="280"/>
      <w:jc w:val="center"/>
    </w:pPr>
  </w:style>
  <w:style w:type="paragraph" w:customStyle="1" w:styleId="Parttitle">
    <w:name w:val="Part_title"/>
    <w:basedOn w:val="Normal"/>
    <w:next w:val="Normalaftertitle"/>
    <w:pPr>
      <w:keepNext/>
      <w:keepLines/>
      <w:tabs>
        <w:tab w:val="clear" w:pos="794"/>
        <w:tab w:val="clear" w:pos="1191"/>
        <w:tab w:val="clear" w:pos="1588"/>
        <w:tab w:val="clear" w:pos="1985"/>
      </w:tabs>
      <w:spacing w:before="280" w:after="40"/>
      <w:jc w:val="center"/>
    </w:pPr>
    <w:rPr>
      <w:b/>
      <w:sz w:val="28"/>
    </w:rPr>
  </w:style>
  <w:style w:type="paragraph" w:customStyle="1" w:styleId="Questiondate">
    <w:name w:val="Question_date"/>
    <w:basedOn w:val="Recdate"/>
    <w:next w:val="Normalaftertitle"/>
  </w:style>
  <w:style w:type="paragraph" w:customStyle="1" w:styleId="QuestionNo">
    <w:name w:val="Question_No"/>
    <w:basedOn w:val="RecNo"/>
    <w:next w:val="Normal"/>
  </w:style>
  <w:style w:type="paragraph" w:customStyle="1" w:styleId="Questionref">
    <w:name w:val="Question_ref"/>
    <w:basedOn w:val="Recref"/>
    <w:next w:val="Questiondate"/>
  </w:style>
  <w:style w:type="paragraph" w:customStyle="1" w:styleId="Questiontitle">
    <w:name w:val="Question_title"/>
    <w:basedOn w:val="Normal"/>
    <w:next w:val="Questionref"/>
    <w:uiPriority w:val="99"/>
  </w:style>
  <w:style w:type="paragraph" w:customStyle="1" w:styleId="Reftext">
    <w:name w:val="Ref_text"/>
    <w:basedOn w:val="Normal"/>
    <w:pPr>
      <w:ind w:left="794" w:hanging="794"/>
    </w:pPr>
    <w:rPr>
      <w:sz w:val="22"/>
    </w:rPr>
  </w:style>
  <w:style w:type="paragraph" w:customStyle="1" w:styleId="Reftitle">
    <w:name w:val="Ref_title"/>
    <w:basedOn w:val="Normal"/>
    <w:next w:val="Reftext"/>
    <w:pPr>
      <w:tabs>
        <w:tab w:val="clear" w:pos="794"/>
        <w:tab w:val="clear" w:pos="1191"/>
        <w:tab w:val="clear" w:pos="1588"/>
        <w:tab w:val="clear" w:pos="1985"/>
      </w:tabs>
      <w:spacing w:before="480"/>
      <w:jc w:val="center"/>
    </w:pPr>
    <w:rPr>
      <w:b/>
      <w:sz w:val="28"/>
    </w:rPr>
  </w:style>
  <w:style w:type="paragraph" w:customStyle="1" w:styleId="Repdate">
    <w:name w:val="Rep_date"/>
    <w:basedOn w:val="Recdate"/>
    <w:next w:val="Normal"/>
  </w:style>
  <w:style w:type="paragraph" w:customStyle="1" w:styleId="RepNo">
    <w:name w:val="Rep_No"/>
    <w:basedOn w:val="RecNo"/>
    <w:next w:val="Reptitle"/>
  </w:style>
  <w:style w:type="paragraph" w:customStyle="1" w:styleId="Repref">
    <w:name w:val="Rep_ref"/>
    <w:basedOn w:val="Recref"/>
    <w:next w:val="Repdate"/>
  </w:style>
  <w:style w:type="paragraph" w:customStyle="1" w:styleId="Reptitle">
    <w:name w:val="Rep_title"/>
    <w:basedOn w:val="Rectitle"/>
    <w:next w:val="Repref"/>
  </w:style>
  <w:style w:type="paragraph" w:customStyle="1" w:styleId="Resdate">
    <w:name w:val="Res_date"/>
    <w:basedOn w:val="Recdate"/>
    <w:next w:val="Normalaftertitle"/>
  </w:style>
  <w:style w:type="paragraph" w:customStyle="1" w:styleId="ResNo">
    <w:name w:val="Res_No"/>
    <w:basedOn w:val="RecNo"/>
    <w:next w:val="Restitle"/>
  </w:style>
  <w:style w:type="paragraph" w:customStyle="1" w:styleId="Resref">
    <w:name w:val="Res_ref"/>
    <w:basedOn w:val="Recref"/>
    <w:next w:val="Resdate"/>
  </w:style>
  <w:style w:type="paragraph" w:customStyle="1" w:styleId="Restitle">
    <w:name w:val="Res_title"/>
    <w:basedOn w:val="Normal"/>
    <w:next w:val="Resref"/>
    <w:rsid w:val="00AB0DC8"/>
    <w:pPr>
      <w:spacing w:before="240"/>
      <w:jc w:val="center"/>
    </w:pPr>
    <w:rPr>
      <w:b/>
      <w:sz w:val="28"/>
    </w:rPr>
  </w:style>
  <w:style w:type="paragraph" w:customStyle="1" w:styleId="SectionNo">
    <w:name w:val="Section_No"/>
    <w:basedOn w:val="Normal"/>
    <w:next w:val="Normal"/>
  </w:style>
  <w:style w:type="paragraph" w:customStyle="1" w:styleId="Sectiontitle">
    <w:name w:val="Section_title"/>
    <w:basedOn w:val="Normal"/>
    <w:next w:val="Normalaftertitle"/>
    <w:pPr>
      <w:keepNext/>
      <w:keepLines/>
      <w:tabs>
        <w:tab w:val="clear" w:pos="794"/>
        <w:tab w:val="clear" w:pos="1191"/>
        <w:tab w:val="clear" w:pos="1588"/>
        <w:tab w:val="clear" w:pos="1985"/>
      </w:tabs>
      <w:spacing w:before="280" w:after="40"/>
      <w:jc w:val="center"/>
    </w:pPr>
    <w:rPr>
      <w:b/>
      <w:sz w:val="28"/>
    </w:rPr>
  </w:style>
  <w:style w:type="paragraph" w:customStyle="1" w:styleId="toc0">
    <w:name w:val="toc 0"/>
    <w:basedOn w:val="Normal"/>
    <w:next w:val="TOC1"/>
    <w:pPr>
      <w:tabs>
        <w:tab w:val="clear" w:pos="794"/>
        <w:tab w:val="clear" w:pos="1191"/>
        <w:tab w:val="clear" w:pos="1588"/>
        <w:tab w:val="clear" w:pos="1985"/>
        <w:tab w:val="right" w:pos="9611"/>
      </w:tabs>
    </w:pPr>
    <w:rPr>
      <w:i/>
    </w:rPr>
  </w:style>
  <w:style w:type="paragraph" w:styleId="TOC1">
    <w:name w:val="toc 1"/>
    <w:basedOn w:val="Normal"/>
    <w:uiPriority w:val="39"/>
    <w:pPr>
      <w:keepLines/>
      <w:tabs>
        <w:tab w:val="clear" w:pos="794"/>
        <w:tab w:val="clear" w:pos="1191"/>
        <w:tab w:val="clear" w:pos="1588"/>
        <w:tab w:val="clear" w:pos="1985"/>
        <w:tab w:val="left" w:pos="567"/>
        <w:tab w:val="left" w:leader="dot" w:pos="8789"/>
        <w:tab w:val="right" w:pos="9611"/>
      </w:tabs>
      <w:spacing w:before="240"/>
      <w:ind w:left="567" w:right="851" w:hanging="567"/>
    </w:pPr>
    <w:rPr>
      <w:lang w:val="en-US"/>
    </w:rPr>
  </w:style>
  <w:style w:type="paragraph" w:styleId="TOC2">
    <w:name w:val="toc 2"/>
    <w:basedOn w:val="TOC1"/>
    <w:uiPriority w:val="39"/>
    <w:pPr>
      <w:tabs>
        <w:tab w:val="clear" w:pos="567"/>
        <w:tab w:val="left" w:pos="1276"/>
      </w:tabs>
      <w:spacing w:before="160"/>
      <w:ind w:left="1276" w:hanging="709"/>
    </w:pPr>
  </w:style>
  <w:style w:type="paragraph" w:styleId="TOC3">
    <w:name w:val="toc 3"/>
    <w:basedOn w:val="TOC2"/>
    <w:uiPriority w:val="39"/>
    <w:pPr>
      <w:tabs>
        <w:tab w:val="clear" w:pos="1276"/>
        <w:tab w:val="left" w:pos="2155"/>
      </w:tabs>
      <w:ind w:left="2155" w:hanging="879"/>
    </w:pPr>
  </w:style>
  <w:style w:type="paragraph" w:styleId="TOC4">
    <w:name w:val="toc 4"/>
    <w:basedOn w:val="TOC3"/>
    <w:pPr>
      <w:tabs>
        <w:tab w:val="left" w:pos="3261"/>
      </w:tabs>
      <w:spacing w:before="80"/>
      <w:ind w:left="3261" w:hanging="993"/>
    </w:pPr>
  </w:style>
  <w:style w:type="paragraph" w:styleId="TOC5">
    <w:name w:val="toc 5"/>
    <w:basedOn w:val="TOC4"/>
  </w:style>
  <w:style w:type="paragraph" w:styleId="TOC6">
    <w:name w:val="toc 6"/>
    <w:basedOn w:val="TOC4"/>
  </w:style>
  <w:style w:type="paragraph" w:styleId="TOC7">
    <w:name w:val="toc 7"/>
    <w:basedOn w:val="TOC4"/>
  </w:style>
  <w:style w:type="paragraph" w:styleId="TOC8">
    <w:name w:val="toc 8"/>
    <w:basedOn w:val="TOC4"/>
  </w:style>
  <w:style w:type="paragraph" w:customStyle="1" w:styleId="Rectitle">
    <w:name w:val="Rec_title"/>
    <w:basedOn w:val="Normal"/>
    <w:next w:val="Recref"/>
    <w:pPr>
      <w:keepNext/>
      <w:keepLines/>
      <w:spacing w:before="240"/>
      <w:jc w:val="center"/>
    </w:pPr>
    <w:rPr>
      <w:b/>
      <w:sz w:val="28"/>
    </w:rPr>
  </w:style>
  <w:style w:type="paragraph" w:customStyle="1" w:styleId="Annexref">
    <w:name w:val="Annex_ref"/>
    <w:basedOn w:val="Normal"/>
    <w:next w:val="Normalaftertitle"/>
    <w:pPr>
      <w:keepNext/>
      <w:keepLines/>
      <w:spacing w:after="280"/>
      <w:jc w:val="center"/>
    </w:pPr>
  </w:style>
  <w:style w:type="paragraph" w:customStyle="1" w:styleId="Appendixref">
    <w:name w:val="Appendix_ref"/>
    <w:basedOn w:val="Annexref"/>
    <w:next w:val="Normalaftertitle"/>
  </w:style>
  <w:style w:type="paragraph" w:customStyle="1" w:styleId="Figuretitle">
    <w:name w:val="Figure_title"/>
    <w:basedOn w:val="Normal"/>
    <w:next w:val="Figure"/>
    <w:link w:val="FiguretitleChar"/>
    <w:qFormat/>
    <w:pPr>
      <w:keepNext/>
      <w:spacing w:before="0" w:after="120"/>
      <w:jc w:val="center"/>
    </w:pPr>
    <w:rPr>
      <w:rFonts w:ascii="Times New Roman Bold" w:hAnsi="Times New Roman Bold"/>
      <w:b/>
      <w:sz w:val="18"/>
    </w:rPr>
  </w:style>
  <w:style w:type="paragraph" w:customStyle="1" w:styleId="Tabletitle">
    <w:name w:val="Table_title"/>
    <w:basedOn w:val="Normal"/>
    <w:next w:val="Tablehead"/>
    <w:pPr>
      <w:keepNext/>
      <w:spacing w:before="0" w:after="120"/>
      <w:jc w:val="center"/>
    </w:pPr>
    <w:rPr>
      <w:b/>
    </w:rPr>
  </w:style>
  <w:style w:type="paragraph" w:customStyle="1" w:styleId="Summary">
    <w:name w:val="Summary"/>
    <w:basedOn w:val="Normal"/>
    <w:next w:val="Normalaftertitle"/>
    <w:autoRedefine/>
    <w:rsid w:val="00DC6825"/>
    <w:pPr>
      <w:spacing w:after="480"/>
    </w:pPr>
    <w:rPr>
      <w:sz w:val="22"/>
      <w:szCs w:val="18"/>
    </w:rPr>
  </w:style>
  <w:style w:type="paragraph" w:customStyle="1" w:styleId="TableLegendNote">
    <w:name w:val="Table_Legend_Note"/>
    <w:basedOn w:val="Tablelegend"/>
    <w:next w:val="Tablelegend"/>
    <w:rsid w:val="007468DA"/>
    <w:pPr>
      <w:ind w:left="-85" w:firstLine="0"/>
    </w:pPr>
    <w:rPr>
      <w:lang w:val="en-US"/>
    </w:rPr>
  </w:style>
  <w:style w:type="paragraph" w:customStyle="1" w:styleId="Figure">
    <w:name w:val="Figure"/>
    <w:basedOn w:val="FigureNo"/>
    <w:next w:val="Normal"/>
    <w:rsid w:val="00A6617B"/>
    <w:pPr>
      <w:keepNext w:val="0"/>
      <w:spacing w:before="0" w:after="240"/>
    </w:pPr>
  </w:style>
  <w:style w:type="character" w:customStyle="1" w:styleId="Heading1Char">
    <w:name w:val="Heading 1 Char"/>
    <w:basedOn w:val="DefaultParagraphFont"/>
    <w:link w:val="Heading1"/>
    <w:rsid w:val="001A213A"/>
    <w:rPr>
      <w:b/>
      <w:sz w:val="24"/>
      <w:lang w:val="en-GB" w:eastAsia="en-US"/>
    </w:rPr>
  </w:style>
  <w:style w:type="character" w:customStyle="1" w:styleId="HeaderChar">
    <w:name w:val="Header Char"/>
    <w:aliases w:val="encabezado Char,header odd Char,header odd1 Char,header odd2 Char,he Char,header odd3 Char,header odd4 Char,header odd5 Char,header odd6 Char,header1 Char,header2 Char,header3 Char,header odd11 Char,header odd21 Char,header odd7 Char,h Char"/>
    <w:basedOn w:val="DefaultParagraphFont"/>
    <w:link w:val="Header"/>
    <w:uiPriority w:val="99"/>
    <w:qFormat/>
    <w:rsid w:val="001A213A"/>
    <w:rPr>
      <w:sz w:val="24"/>
      <w:lang w:val="en-GB" w:eastAsia="en-US"/>
    </w:rPr>
  </w:style>
  <w:style w:type="character" w:customStyle="1" w:styleId="FooterChar">
    <w:name w:val="Footer Char"/>
    <w:basedOn w:val="DefaultParagraphFont"/>
    <w:link w:val="Footer"/>
    <w:rsid w:val="001A213A"/>
    <w:rPr>
      <w:noProof/>
      <w:sz w:val="18"/>
      <w:lang w:val="en-GB" w:eastAsia="en-US"/>
    </w:rPr>
  </w:style>
  <w:style w:type="character" w:styleId="Hyperlink">
    <w:name w:val="Hyperlink"/>
    <w:basedOn w:val="DefaultParagraphFont"/>
    <w:uiPriority w:val="99"/>
    <w:qFormat/>
    <w:rsid w:val="001A213A"/>
    <w:rPr>
      <w:color w:val="0000FF"/>
      <w:u w:val="single"/>
    </w:rPr>
  </w:style>
  <w:style w:type="table" w:styleId="TableGrid">
    <w:name w:val="Table Grid"/>
    <w:basedOn w:val="TableNormal"/>
    <w:uiPriority w:val="39"/>
    <w:rsid w:val="001A213A"/>
    <w:rPr>
      <w:rFonts w:asciiTheme="minorHAnsi" w:eastAsiaTheme="minorHAnsi" w:hAnsiTheme="minorHAnsi" w:cstheme="minorBid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verNumber">
    <w:name w:val="Cover Number"/>
    <w:basedOn w:val="Normal"/>
    <w:qFormat/>
    <w:rsid w:val="001A213A"/>
    <w:pPr>
      <w:widowControl w:val="0"/>
      <w:tabs>
        <w:tab w:val="clear" w:pos="794"/>
        <w:tab w:val="clear" w:pos="1191"/>
        <w:tab w:val="clear" w:pos="1588"/>
        <w:tab w:val="clear" w:pos="1985"/>
      </w:tabs>
      <w:overflowPunct/>
      <w:adjustRightInd/>
      <w:spacing w:before="93"/>
      <w:ind w:left="284"/>
      <w:jc w:val="left"/>
      <w:textAlignment w:val="auto"/>
      <w:outlineLvl w:val="0"/>
    </w:pPr>
    <w:rPr>
      <w:rFonts w:ascii="Arial" w:eastAsia="AvenirNext LT Pro Medium" w:hAnsi="Arial" w:cs="AvenirNext LT Pro Medium"/>
      <w:b/>
      <w:bCs/>
      <w:spacing w:val="-10"/>
      <w:sz w:val="44"/>
      <w:szCs w:val="52"/>
      <w:lang w:val="en-US"/>
    </w:rPr>
  </w:style>
  <w:style w:type="paragraph" w:customStyle="1" w:styleId="CoverDate">
    <w:name w:val="Cover Date"/>
    <w:basedOn w:val="Normal"/>
    <w:qFormat/>
    <w:rsid w:val="001A213A"/>
    <w:pPr>
      <w:widowControl w:val="0"/>
      <w:tabs>
        <w:tab w:val="clear" w:pos="794"/>
        <w:tab w:val="clear" w:pos="1191"/>
        <w:tab w:val="clear" w:pos="1588"/>
        <w:tab w:val="clear" w:pos="1985"/>
      </w:tabs>
      <w:overflowPunct/>
      <w:adjustRightInd/>
      <w:spacing w:before="126"/>
      <w:ind w:left="284"/>
      <w:jc w:val="left"/>
      <w:textAlignment w:val="auto"/>
    </w:pPr>
    <w:rPr>
      <w:rFonts w:ascii="Arial" w:eastAsia="AvenirNext LT Pro Regular" w:hAnsi="Arial" w:cs="AvenirNext LT Pro Regular"/>
      <w:b/>
      <w:spacing w:val="-2"/>
      <w:sz w:val="36"/>
      <w:szCs w:val="22"/>
      <w:lang w:val="en-US"/>
    </w:rPr>
  </w:style>
  <w:style w:type="paragraph" w:customStyle="1" w:styleId="CoverSeries">
    <w:name w:val="Cover Series"/>
    <w:basedOn w:val="Normal"/>
    <w:qFormat/>
    <w:rsid w:val="001A213A"/>
    <w:pPr>
      <w:widowControl w:val="0"/>
      <w:tabs>
        <w:tab w:val="clear" w:pos="794"/>
        <w:tab w:val="clear" w:pos="1191"/>
        <w:tab w:val="clear" w:pos="1588"/>
        <w:tab w:val="clear" w:pos="1985"/>
      </w:tabs>
      <w:overflowPunct/>
      <w:adjustRightInd/>
      <w:spacing w:before="241" w:line="244" w:lineRule="auto"/>
      <w:ind w:left="284"/>
      <w:jc w:val="left"/>
      <w:textAlignment w:val="auto"/>
    </w:pPr>
    <w:rPr>
      <w:rFonts w:ascii="Arial" w:eastAsia="AvenirNext LT Pro Regular" w:hAnsi="Arial" w:cs="AvenirNext LT Pro Regular"/>
      <w:bCs/>
      <w:color w:val="1A1A1A"/>
      <w:spacing w:val="-4"/>
      <w:sz w:val="40"/>
      <w:szCs w:val="48"/>
      <w:lang w:val="en-US"/>
    </w:rPr>
  </w:style>
  <w:style w:type="paragraph" w:customStyle="1" w:styleId="CoverTitle">
    <w:name w:val="Cover Title"/>
    <w:basedOn w:val="Normal"/>
    <w:qFormat/>
    <w:rsid w:val="001A213A"/>
    <w:pPr>
      <w:widowControl w:val="0"/>
      <w:tabs>
        <w:tab w:val="clear" w:pos="794"/>
        <w:tab w:val="clear" w:pos="1191"/>
        <w:tab w:val="clear" w:pos="1588"/>
        <w:tab w:val="clear" w:pos="1985"/>
      </w:tabs>
      <w:overflowPunct/>
      <w:adjustRightInd/>
      <w:spacing w:before="338" w:line="244" w:lineRule="auto"/>
      <w:ind w:left="284" w:right="1002"/>
      <w:jc w:val="left"/>
      <w:textAlignment w:val="auto"/>
    </w:pPr>
    <w:rPr>
      <w:rFonts w:ascii="Arial" w:eastAsia="AvenirNext LT Pro Regular" w:hAnsi="Arial" w:cs="AvenirNext LT Pro Regular"/>
      <w:b/>
      <w:bCs/>
      <w:sz w:val="44"/>
      <w:szCs w:val="48"/>
      <w:lang w:val="en-US"/>
    </w:rPr>
  </w:style>
  <w:style w:type="character" w:styleId="UnresolvedMention">
    <w:name w:val="Unresolved Mention"/>
    <w:basedOn w:val="DefaultParagraphFont"/>
    <w:uiPriority w:val="99"/>
    <w:semiHidden/>
    <w:unhideWhenUsed/>
    <w:rsid w:val="001A213A"/>
    <w:rPr>
      <w:color w:val="605E5C"/>
      <w:shd w:val="clear" w:color="auto" w:fill="E1DFDD"/>
    </w:rPr>
  </w:style>
  <w:style w:type="character" w:customStyle="1" w:styleId="Heading2Char">
    <w:name w:val="Heading 2 Char"/>
    <w:basedOn w:val="DefaultParagraphFont"/>
    <w:link w:val="Heading2"/>
    <w:qFormat/>
    <w:rsid w:val="001A213A"/>
    <w:rPr>
      <w:b/>
      <w:sz w:val="24"/>
      <w:lang w:val="en-GB" w:eastAsia="en-US"/>
    </w:rPr>
  </w:style>
  <w:style w:type="character" w:customStyle="1" w:styleId="Heading3Char">
    <w:name w:val="Heading 3 Char"/>
    <w:basedOn w:val="DefaultParagraphFont"/>
    <w:link w:val="Heading3"/>
    <w:rsid w:val="001A213A"/>
    <w:rPr>
      <w:b/>
      <w:sz w:val="24"/>
      <w:lang w:val="en-GB" w:eastAsia="en-US"/>
    </w:rPr>
  </w:style>
  <w:style w:type="character" w:customStyle="1" w:styleId="Heading4Char">
    <w:name w:val="Heading 4 Char"/>
    <w:basedOn w:val="DefaultParagraphFont"/>
    <w:link w:val="Heading4"/>
    <w:rsid w:val="001A213A"/>
    <w:rPr>
      <w:b/>
      <w:sz w:val="24"/>
      <w:lang w:val="en-GB" w:eastAsia="en-US"/>
    </w:rPr>
  </w:style>
  <w:style w:type="character" w:customStyle="1" w:styleId="Heading5Char">
    <w:name w:val="Heading 5 Char"/>
    <w:basedOn w:val="DefaultParagraphFont"/>
    <w:link w:val="Heading5"/>
    <w:rsid w:val="001A213A"/>
    <w:rPr>
      <w:b/>
      <w:sz w:val="24"/>
      <w:lang w:val="en-GB" w:eastAsia="en-US"/>
    </w:rPr>
  </w:style>
  <w:style w:type="character" w:customStyle="1" w:styleId="Heading6Char">
    <w:name w:val="Heading 6 Char"/>
    <w:basedOn w:val="DefaultParagraphFont"/>
    <w:link w:val="Heading6"/>
    <w:rsid w:val="001A213A"/>
    <w:rPr>
      <w:b/>
      <w:sz w:val="24"/>
      <w:lang w:val="en-GB" w:eastAsia="en-US"/>
    </w:rPr>
  </w:style>
  <w:style w:type="character" w:customStyle="1" w:styleId="Heading7Char">
    <w:name w:val="Heading 7 Char"/>
    <w:basedOn w:val="DefaultParagraphFont"/>
    <w:link w:val="Heading7"/>
    <w:rsid w:val="001A213A"/>
    <w:rPr>
      <w:b/>
      <w:sz w:val="24"/>
      <w:lang w:val="en-GB" w:eastAsia="en-US"/>
    </w:rPr>
  </w:style>
  <w:style w:type="character" w:customStyle="1" w:styleId="Heading8Char">
    <w:name w:val="Heading 8 Char"/>
    <w:basedOn w:val="DefaultParagraphFont"/>
    <w:link w:val="Heading8"/>
    <w:rsid w:val="001A213A"/>
    <w:rPr>
      <w:b/>
      <w:sz w:val="24"/>
      <w:lang w:val="en-GB" w:eastAsia="en-US"/>
    </w:rPr>
  </w:style>
  <w:style w:type="character" w:customStyle="1" w:styleId="Heading9Char">
    <w:name w:val="Heading 9 Char"/>
    <w:basedOn w:val="DefaultParagraphFont"/>
    <w:link w:val="Heading9"/>
    <w:rsid w:val="001A213A"/>
    <w:rPr>
      <w:b/>
      <w:sz w:val="24"/>
      <w:lang w:val="en-GB" w:eastAsia="en-US"/>
    </w:rPr>
  </w:style>
  <w:style w:type="paragraph" w:customStyle="1" w:styleId="Artheading">
    <w:name w:val="Art_heading"/>
    <w:basedOn w:val="Normal"/>
    <w:next w:val="Normal"/>
    <w:rsid w:val="001A213A"/>
    <w:pPr>
      <w:keepNext/>
      <w:keepLines/>
      <w:tabs>
        <w:tab w:val="clear" w:pos="794"/>
        <w:tab w:val="clear" w:pos="1191"/>
        <w:tab w:val="clear" w:pos="1588"/>
        <w:tab w:val="clear" w:pos="1985"/>
        <w:tab w:val="left" w:pos="1134"/>
        <w:tab w:val="left" w:pos="1871"/>
        <w:tab w:val="left" w:pos="2268"/>
      </w:tabs>
      <w:spacing w:before="480"/>
      <w:jc w:val="center"/>
    </w:pPr>
    <w:rPr>
      <w:rFonts w:ascii="Times New Roman Bold" w:hAnsi="Times New Roman Bold"/>
      <w:b/>
      <w:sz w:val="28"/>
    </w:rPr>
  </w:style>
  <w:style w:type="character" w:styleId="EndnoteReference">
    <w:name w:val="endnote reference"/>
    <w:basedOn w:val="DefaultParagraphFont"/>
    <w:rsid w:val="001A213A"/>
    <w:rPr>
      <w:vertAlign w:val="superscript"/>
    </w:rPr>
  </w:style>
  <w:style w:type="paragraph" w:customStyle="1" w:styleId="Figurewithouttitle">
    <w:name w:val="Figure_without_title"/>
    <w:basedOn w:val="FigureNo"/>
    <w:next w:val="Normal"/>
    <w:rsid w:val="001A213A"/>
    <w:pPr>
      <w:keepNext w:val="0"/>
      <w:tabs>
        <w:tab w:val="clear" w:pos="794"/>
        <w:tab w:val="clear" w:pos="1191"/>
        <w:tab w:val="clear" w:pos="1588"/>
        <w:tab w:val="clear" w:pos="1985"/>
        <w:tab w:val="left" w:pos="1134"/>
        <w:tab w:val="left" w:pos="1871"/>
        <w:tab w:val="left" w:pos="2268"/>
      </w:tabs>
      <w:spacing w:after="120"/>
    </w:pPr>
    <w:rPr>
      <w:sz w:val="20"/>
    </w:rPr>
  </w:style>
  <w:style w:type="paragraph" w:customStyle="1" w:styleId="FirstFooter">
    <w:name w:val="FirstFooter"/>
    <w:basedOn w:val="Footer"/>
    <w:rsid w:val="001A213A"/>
    <w:pPr>
      <w:overflowPunct/>
      <w:autoSpaceDE/>
      <w:autoSpaceDN/>
      <w:adjustRightInd/>
      <w:spacing w:before="40"/>
      <w:jc w:val="left"/>
      <w:textAlignment w:val="auto"/>
    </w:pPr>
    <w:rPr>
      <w:noProof w:val="0"/>
      <w:sz w:val="16"/>
    </w:rPr>
  </w:style>
  <w:style w:type="character" w:customStyle="1" w:styleId="FootnoteTextChar">
    <w:name w:val="Footnote Text Char"/>
    <w:basedOn w:val="DefaultParagraphFont"/>
    <w:link w:val="FootnoteText"/>
    <w:uiPriority w:val="99"/>
    <w:qFormat/>
    <w:rsid w:val="001A213A"/>
    <w:rPr>
      <w:sz w:val="22"/>
      <w:lang w:val="en-GB" w:eastAsia="en-US"/>
    </w:rPr>
  </w:style>
  <w:style w:type="paragraph" w:customStyle="1" w:styleId="Source">
    <w:name w:val="Source"/>
    <w:basedOn w:val="Normal"/>
    <w:next w:val="Normal"/>
    <w:rsid w:val="001A213A"/>
    <w:pPr>
      <w:tabs>
        <w:tab w:val="clear" w:pos="794"/>
        <w:tab w:val="clear" w:pos="1191"/>
        <w:tab w:val="clear" w:pos="1588"/>
        <w:tab w:val="clear" w:pos="1985"/>
        <w:tab w:val="left" w:pos="1134"/>
        <w:tab w:val="left" w:pos="1871"/>
        <w:tab w:val="left" w:pos="2268"/>
      </w:tabs>
      <w:spacing w:before="840"/>
      <w:jc w:val="center"/>
    </w:pPr>
    <w:rPr>
      <w:b/>
      <w:sz w:val="28"/>
    </w:rPr>
  </w:style>
  <w:style w:type="paragraph" w:customStyle="1" w:styleId="SpecialFooter">
    <w:name w:val="Special Footer"/>
    <w:basedOn w:val="Footer"/>
    <w:qFormat/>
    <w:rsid w:val="001A213A"/>
    <w:pPr>
      <w:tabs>
        <w:tab w:val="left" w:pos="567"/>
        <w:tab w:val="left" w:pos="1134"/>
        <w:tab w:val="left" w:pos="1701"/>
        <w:tab w:val="left" w:pos="2268"/>
        <w:tab w:val="left" w:pos="2835"/>
        <w:tab w:val="left" w:pos="5954"/>
        <w:tab w:val="right" w:pos="9639"/>
      </w:tabs>
    </w:pPr>
    <w:rPr>
      <w:noProof w:val="0"/>
      <w:sz w:val="16"/>
    </w:rPr>
  </w:style>
  <w:style w:type="paragraph" w:customStyle="1" w:styleId="Tableref">
    <w:name w:val="Table_ref"/>
    <w:basedOn w:val="Normal"/>
    <w:next w:val="Normal"/>
    <w:rsid w:val="001A213A"/>
    <w:pPr>
      <w:keepNext/>
      <w:tabs>
        <w:tab w:val="clear" w:pos="794"/>
        <w:tab w:val="clear" w:pos="1191"/>
        <w:tab w:val="clear" w:pos="1588"/>
        <w:tab w:val="clear" w:pos="1985"/>
        <w:tab w:val="left" w:pos="1134"/>
        <w:tab w:val="left" w:pos="1871"/>
        <w:tab w:val="left" w:pos="2268"/>
      </w:tabs>
      <w:spacing w:before="560"/>
      <w:jc w:val="center"/>
    </w:pPr>
    <w:rPr>
      <w:sz w:val="20"/>
    </w:rPr>
  </w:style>
  <w:style w:type="paragraph" w:customStyle="1" w:styleId="Title1">
    <w:name w:val="Title 1"/>
    <w:basedOn w:val="Source"/>
    <w:next w:val="Normal"/>
    <w:link w:val="Title1Char"/>
    <w:rsid w:val="001A213A"/>
    <w:pPr>
      <w:tabs>
        <w:tab w:val="left" w:pos="567"/>
        <w:tab w:val="left" w:pos="1701"/>
        <w:tab w:val="left" w:pos="2835"/>
      </w:tabs>
      <w:spacing w:before="240"/>
    </w:pPr>
    <w:rPr>
      <w:b w:val="0"/>
      <w:caps/>
    </w:rPr>
  </w:style>
  <w:style w:type="paragraph" w:customStyle="1" w:styleId="Title2">
    <w:name w:val="Title 2"/>
    <w:basedOn w:val="Source"/>
    <w:next w:val="Normal"/>
    <w:rsid w:val="001A213A"/>
    <w:pPr>
      <w:overflowPunct/>
      <w:autoSpaceDE/>
      <w:autoSpaceDN/>
      <w:adjustRightInd/>
      <w:spacing w:before="480"/>
      <w:textAlignment w:val="auto"/>
    </w:pPr>
    <w:rPr>
      <w:b w:val="0"/>
      <w:caps/>
    </w:rPr>
  </w:style>
  <w:style w:type="paragraph" w:customStyle="1" w:styleId="Title3">
    <w:name w:val="Title 3"/>
    <w:basedOn w:val="Title2"/>
    <w:next w:val="Normal"/>
    <w:link w:val="Title3Char"/>
    <w:rsid w:val="001A213A"/>
    <w:pPr>
      <w:spacing w:before="240"/>
    </w:pPr>
    <w:rPr>
      <w:caps w:val="0"/>
    </w:rPr>
  </w:style>
  <w:style w:type="paragraph" w:customStyle="1" w:styleId="Title4">
    <w:name w:val="Title 4"/>
    <w:basedOn w:val="Title3"/>
    <w:next w:val="Heading1"/>
    <w:rsid w:val="001A213A"/>
    <w:rPr>
      <w:b/>
    </w:rPr>
  </w:style>
  <w:style w:type="character" w:customStyle="1" w:styleId="Appdef">
    <w:name w:val="App_def"/>
    <w:basedOn w:val="DefaultParagraphFont"/>
    <w:rsid w:val="001A213A"/>
    <w:rPr>
      <w:rFonts w:ascii="Times New Roman" w:hAnsi="Times New Roman"/>
      <w:b/>
    </w:rPr>
  </w:style>
  <w:style w:type="character" w:customStyle="1" w:styleId="Appref">
    <w:name w:val="App_ref"/>
    <w:basedOn w:val="DefaultParagraphFont"/>
    <w:rsid w:val="001A213A"/>
  </w:style>
  <w:style w:type="character" w:customStyle="1" w:styleId="Artdef">
    <w:name w:val="Art_def"/>
    <w:basedOn w:val="DefaultParagraphFont"/>
    <w:rsid w:val="001A213A"/>
    <w:rPr>
      <w:rFonts w:ascii="Times New Roman" w:hAnsi="Times New Roman"/>
      <w:b/>
    </w:rPr>
  </w:style>
  <w:style w:type="character" w:customStyle="1" w:styleId="Artref">
    <w:name w:val="Art_ref"/>
    <w:basedOn w:val="DefaultParagraphFont"/>
    <w:rsid w:val="001A213A"/>
  </w:style>
  <w:style w:type="character" w:customStyle="1" w:styleId="Tablefreq">
    <w:name w:val="Table_freq"/>
    <w:basedOn w:val="DefaultParagraphFont"/>
    <w:rsid w:val="001A213A"/>
    <w:rPr>
      <w:b/>
      <w:color w:val="auto"/>
      <w:sz w:val="20"/>
    </w:rPr>
  </w:style>
  <w:style w:type="paragraph" w:customStyle="1" w:styleId="Formal">
    <w:name w:val="Formal"/>
    <w:basedOn w:val="ASN1"/>
    <w:rsid w:val="001A213A"/>
    <w:pPr>
      <w:tabs>
        <w:tab w:val="left" w:pos="1871"/>
      </w:tabs>
      <w:jc w:val="left"/>
    </w:pPr>
    <w:rPr>
      <w:rFonts w:ascii="Times New Roman Bold" w:hAnsi="Times New Roman Bold"/>
      <w:b w:val="0"/>
    </w:rPr>
  </w:style>
  <w:style w:type="paragraph" w:customStyle="1" w:styleId="Section1">
    <w:name w:val="Section_1"/>
    <w:basedOn w:val="Normal"/>
    <w:rsid w:val="001A213A"/>
    <w:pPr>
      <w:tabs>
        <w:tab w:val="clear" w:pos="794"/>
        <w:tab w:val="clear" w:pos="1191"/>
        <w:tab w:val="clear" w:pos="1588"/>
        <w:tab w:val="clear" w:pos="1985"/>
        <w:tab w:val="center" w:pos="4820"/>
      </w:tabs>
      <w:spacing w:before="360"/>
      <w:jc w:val="center"/>
    </w:pPr>
    <w:rPr>
      <w:b/>
    </w:rPr>
  </w:style>
  <w:style w:type="paragraph" w:customStyle="1" w:styleId="Section2">
    <w:name w:val="Section_2"/>
    <w:basedOn w:val="Section1"/>
    <w:rsid w:val="001A213A"/>
    <w:rPr>
      <w:b w:val="0"/>
      <w:i/>
    </w:rPr>
  </w:style>
  <w:style w:type="paragraph" w:customStyle="1" w:styleId="AnnexNo">
    <w:name w:val="Annex_No"/>
    <w:basedOn w:val="Normal"/>
    <w:next w:val="Normal"/>
    <w:link w:val="AnnexNoCar"/>
    <w:rsid w:val="001A213A"/>
    <w:pPr>
      <w:keepNext/>
      <w:keepLines/>
      <w:tabs>
        <w:tab w:val="clear" w:pos="794"/>
        <w:tab w:val="clear" w:pos="1191"/>
        <w:tab w:val="clear" w:pos="1588"/>
        <w:tab w:val="clear" w:pos="1985"/>
        <w:tab w:val="left" w:pos="1134"/>
        <w:tab w:val="left" w:pos="1871"/>
        <w:tab w:val="left" w:pos="2268"/>
      </w:tabs>
      <w:spacing w:before="480" w:after="80"/>
      <w:jc w:val="center"/>
    </w:pPr>
    <w:rPr>
      <w:caps/>
      <w:sz w:val="28"/>
    </w:rPr>
  </w:style>
  <w:style w:type="paragraph" w:customStyle="1" w:styleId="Annextitle">
    <w:name w:val="Annex_title"/>
    <w:basedOn w:val="Normal"/>
    <w:next w:val="Normal"/>
    <w:rsid w:val="001A213A"/>
    <w:pPr>
      <w:keepNext/>
      <w:keepLines/>
      <w:tabs>
        <w:tab w:val="clear" w:pos="794"/>
        <w:tab w:val="clear" w:pos="1191"/>
        <w:tab w:val="clear" w:pos="1588"/>
        <w:tab w:val="clear" w:pos="1985"/>
        <w:tab w:val="left" w:pos="1134"/>
        <w:tab w:val="left" w:pos="1871"/>
        <w:tab w:val="left" w:pos="2268"/>
      </w:tabs>
      <w:spacing w:before="240" w:after="280"/>
      <w:jc w:val="center"/>
    </w:pPr>
    <w:rPr>
      <w:rFonts w:ascii="Times New Roman Bold" w:hAnsi="Times New Roman Bold"/>
      <w:b/>
      <w:sz w:val="28"/>
    </w:rPr>
  </w:style>
  <w:style w:type="paragraph" w:customStyle="1" w:styleId="AppendixNo">
    <w:name w:val="Appendix_No"/>
    <w:basedOn w:val="AnnexNo"/>
    <w:next w:val="Annexref"/>
    <w:rsid w:val="001A213A"/>
  </w:style>
  <w:style w:type="paragraph" w:customStyle="1" w:styleId="Appendixtitle">
    <w:name w:val="Appendix_title"/>
    <w:basedOn w:val="Annextitle"/>
    <w:next w:val="Normal"/>
    <w:rsid w:val="001A213A"/>
  </w:style>
  <w:style w:type="paragraph" w:customStyle="1" w:styleId="Border">
    <w:name w:val="Border"/>
    <w:basedOn w:val="Normal"/>
    <w:rsid w:val="001A213A"/>
    <w:pPr>
      <w:pBdr>
        <w:bottom w:val="single" w:sz="6" w:space="0" w:color="auto"/>
      </w:pBdr>
      <w:tabs>
        <w:tab w:val="clear" w:pos="794"/>
        <w:tab w:val="clear" w:pos="1191"/>
        <w:tab w:val="clear" w:pos="1588"/>
        <w:tab w:val="clear" w:pos="1985"/>
        <w:tab w:val="left" w:pos="170"/>
        <w:tab w:val="left" w:pos="567"/>
        <w:tab w:val="left" w:pos="737"/>
        <w:tab w:val="left" w:pos="1871"/>
        <w:tab w:val="left" w:pos="2977"/>
        <w:tab w:val="left" w:pos="3266"/>
      </w:tabs>
      <w:spacing w:before="0" w:line="10" w:lineRule="exact"/>
      <w:ind w:left="28" w:right="28"/>
      <w:jc w:val="center"/>
    </w:pPr>
    <w:rPr>
      <w:b/>
      <w:noProof/>
      <w:sz w:val="20"/>
    </w:rPr>
  </w:style>
  <w:style w:type="paragraph" w:styleId="Index4">
    <w:name w:val="index 4"/>
    <w:basedOn w:val="Normal"/>
    <w:next w:val="Normal"/>
    <w:rsid w:val="001A213A"/>
    <w:pPr>
      <w:tabs>
        <w:tab w:val="clear" w:pos="794"/>
        <w:tab w:val="clear" w:pos="1191"/>
        <w:tab w:val="clear" w:pos="1588"/>
        <w:tab w:val="clear" w:pos="1985"/>
        <w:tab w:val="left" w:pos="1134"/>
        <w:tab w:val="left" w:pos="1871"/>
        <w:tab w:val="left" w:pos="2268"/>
      </w:tabs>
      <w:ind w:left="849"/>
      <w:jc w:val="left"/>
    </w:pPr>
  </w:style>
  <w:style w:type="paragraph" w:styleId="Index5">
    <w:name w:val="index 5"/>
    <w:basedOn w:val="Normal"/>
    <w:next w:val="Normal"/>
    <w:rsid w:val="001A213A"/>
    <w:pPr>
      <w:tabs>
        <w:tab w:val="clear" w:pos="794"/>
        <w:tab w:val="clear" w:pos="1191"/>
        <w:tab w:val="clear" w:pos="1588"/>
        <w:tab w:val="clear" w:pos="1985"/>
        <w:tab w:val="left" w:pos="1134"/>
        <w:tab w:val="left" w:pos="1871"/>
        <w:tab w:val="left" w:pos="2268"/>
      </w:tabs>
      <w:ind w:left="1132"/>
      <w:jc w:val="left"/>
    </w:pPr>
  </w:style>
  <w:style w:type="paragraph" w:styleId="Index6">
    <w:name w:val="index 6"/>
    <w:basedOn w:val="Normal"/>
    <w:next w:val="Normal"/>
    <w:rsid w:val="001A213A"/>
    <w:pPr>
      <w:tabs>
        <w:tab w:val="clear" w:pos="794"/>
        <w:tab w:val="clear" w:pos="1191"/>
        <w:tab w:val="clear" w:pos="1588"/>
        <w:tab w:val="clear" w:pos="1985"/>
        <w:tab w:val="left" w:pos="1134"/>
        <w:tab w:val="left" w:pos="1871"/>
        <w:tab w:val="left" w:pos="2268"/>
      </w:tabs>
      <w:ind w:left="1415"/>
      <w:jc w:val="left"/>
    </w:pPr>
  </w:style>
  <w:style w:type="paragraph" w:styleId="Index7">
    <w:name w:val="index 7"/>
    <w:basedOn w:val="Normal"/>
    <w:next w:val="Normal"/>
    <w:rsid w:val="001A213A"/>
    <w:pPr>
      <w:tabs>
        <w:tab w:val="clear" w:pos="794"/>
        <w:tab w:val="clear" w:pos="1191"/>
        <w:tab w:val="clear" w:pos="1588"/>
        <w:tab w:val="clear" w:pos="1985"/>
        <w:tab w:val="left" w:pos="1134"/>
        <w:tab w:val="left" w:pos="1871"/>
        <w:tab w:val="left" w:pos="2268"/>
      </w:tabs>
      <w:ind w:left="1698"/>
      <w:jc w:val="left"/>
    </w:pPr>
  </w:style>
  <w:style w:type="character" w:styleId="LineNumber">
    <w:name w:val="line number"/>
    <w:basedOn w:val="DefaultParagraphFont"/>
    <w:rsid w:val="001A213A"/>
  </w:style>
  <w:style w:type="paragraph" w:customStyle="1" w:styleId="Normalaftertitle0">
    <w:name w:val="Normal after title"/>
    <w:basedOn w:val="Normal"/>
    <w:next w:val="Normal"/>
    <w:link w:val="NormalaftertitleChar0"/>
    <w:uiPriority w:val="99"/>
    <w:rsid w:val="001A213A"/>
    <w:pPr>
      <w:tabs>
        <w:tab w:val="clear" w:pos="794"/>
        <w:tab w:val="clear" w:pos="1191"/>
        <w:tab w:val="clear" w:pos="1588"/>
        <w:tab w:val="clear" w:pos="1985"/>
        <w:tab w:val="left" w:pos="1134"/>
        <w:tab w:val="left" w:pos="1871"/>
        <w:tab w:val="left" w:pos="2268"/>
      </w:tabs>
      <w:spacing w:before="280"/>
      <w:jc w:val="left"/>
    </w:pPr>
  </w:style>
  <w:style w:type="paragraph" w:customStyle="1" w:styleId="Proposal">
    <w:name w:val="Proposal"/>
    <w:basedOn w:val="Normal"/>
    <w:next w:val="Normal"/>
    <w:rsid w:val="001A213A"/>
    <w:pPr>
      <w:keepNext/>
      <w:tabs>
        <w:tab w:val="clear" w:pos="794"/>
        <w:tab w:val="clear" w:pos="1191"/>
        <w:tab w:val="clear" w:pos="1588"/>
        <w:tab w:val="clear" w:pos="1985"/>
        <w:tab w:val="left" w:pos="1134"/>
        <w:tab w:val="left" w:pos="1871"/>
        <w:tab w:val="left" w:pos="2268"/>
      </w:tabs>
      <w:spacing w:before="240"/>
      <w:jc w:val="left"/>
    </w:pPr>
    <w:rPr>
      <w:rFonts w:hAnsi="Times New Roman Bold"/>
      <w:b/>
    </w:rPr>
  </w:style>
  <w:style w:type="paragraph" w:customStyle="1" w:styleId="Reasons">
    <w:name w:val="Reasons"/>
    <w:basedOn w:val="Normal"/>
    <w:qFormat/>
    <w:rsid w:val="001A213A"/>
    <w:pPr>
      <w:tabs>
        <w:tab w:val="clear" w:pos="794"/>
        <w:tab w:val="clear" w:pos="1191"/>
        <w:tab w:val="left" w:pos="1134"/>
      </w:tabs>
      <w:jc w:val="left"/>
    </w:pPr>
  </w:style>
  <w:style w:type="paragraph" w:customStyle="1" w:styleId="Section3">
    <w:name w:val="Section_3"/>
    <w:basedOn w:val="Section1"/>
    <w:rsid w:val="001A213A"/>
    <w:rPr>
      <w:b w:val="0"/>
    </w:rPr>
  </w:style>
  <w:style w:type="paragraph" w:customStyle="1" w:styleId="TableTextS5">
    <w:name w:val="Table_TextS5"/>
    <w:basedOn w:val="Normal"/>
    <w:rsid w:val="001A213A"/>
    <w:pPr>
      <w:tabs>
        <w:tab w:val="clear" w:pos="794"/>
        <w:tab w:val="clear" w:pos="1191"/>
        <w:tab w:val="clear" w:pos="1588"/>
        <w:tab w:val="clear" w:pos="1985"/>
        <w:tab w:val="left" w:pos="170"/>
        <w:tab w:val="left" w:pos="567"/>
        <w:tab w:val="left" w:pos="737"/>
        <w:tab w:val="left" w:pos="2977"/>
        <w:tab w:val="left" w:pos="3266"/>
      </w:tabs>
      <w:spacing w:before="40" w:after="40"/>
      <w:ind w:left="170" w:hanging="170"/>
      <w:jc w:val="left"/>
    </w:pPr>
    <w:rPr>
      <w:sz w:val="20"/>
    </w:rPr>
  </w:style>
  <w:style w:type="paragraph" w:customStyle="1" w:styleId="Agendaitem">
    <w:name w:val="Agenda_item"/>
    <w:basedOn w:val="Normal"/>
    <w:next w:val="Normal"/>
    <w:qFormat/>
    <w:rsid w:val="001A213A"/>
    <w:pPr>
      <w:tabs>
        <w:tab w:val="clear" w:pos="794"/>
        <w:tab w:val="clear" w:pos="1191"/>
        <w:tab w:val="clear" w:pos="1588"/>
        <w:tab w:val="clear" w:pos="1985"/>
        <w:tab w:val="left" w:pos="1134"/>
        <w:tab w:val="left" w:pos="1871"/>
        <w:tab w:val="left" w:pos="2268"/>
      </w:tabs>
      <w:overflowPunct/>
      <w:autoSpaceDE/>
      <w:autoSpaceDN/>
      <w:adjustRightInd/>
      <w:spacing w:before="240"/>
      <w:jc w:val="center"/>
      <w:textAlignment w:val="auto"/>
    </w:pPr>
    <w:rPr>
      <w:sz w:val="28"/>
    </w:rPr>
  </w:style>
  <w:style w:type="paragraph" w:customStyle="1" w:styleId="AppArtNo">
    <w:name w:val="App_Art_No"/>
    <w:basedOn w:val="ArtNo"/>
    <w:qFormat/>
    <w:rsid w:val="001A213A"/>
    <w:pPr>
      <w:tabs>
        <w:tab w:val="clear" w:pos="794"/>
        <w:tab w:val="clear" w:pos="1191"/>
        <w:tab w:val="clear" w:pos="1588"/>
        <w:tab w:val="clear" w:pos="1985"/>
        <w:tab w:val="left" w:pos="1134"/>
        <w:tab w:val="left" w:pos="1871"/>
        <w:tab w:val="left" w:pos="2268"/>
      </w:tabs>
    </w:pPr>
    <w:rPr>
      <w:caps/>
    </w:rPr>
  </w:style>
  <w:style w:type="paragraph" w:customStyle="1" w:styleId="AppArttitle">
    <w:name w:val="App_Art_title"/>
    <w:basedOn w:val="Arttitle"/>
    <w:qFormat/>
    <w:rsid w:val="001A213A"/>
    <w:pPr>
      <w:tabs>
        <w:tab w:val="clear" w:pos="794"/>
        <w:tab w:val="clear" w:pos="1191"/>
        <w:tab w:val="clear" w:pos="1588"/>
        <w:tab w:val="clear" w:pos="1985"/>
        <w:tab w:val="left" w:pos="1134"/>
        <w:tab w:val="left" w:pos="1871"/>
        <w:tab w:val="left" w:pos="2268"/>
      </w:tabs>
    </w:pPr>
  </w:style>
  <w:style w:type="paragraph" w:customStyle="1" w:styleId="ApptoAnnex">
    <w:name w:val="App_to_Annex"/>
    <w:basedOn w:val="AppendixNo"/>
    <w:next w:val="Normal"/>
    <w:qFormat/>
    <w:rsid w:val="001A213A"/>
  </w:style>
  <w:style w:type="paragraph" w:customStyle="1" w:styleId="Committee">
    <w:name w:val="Committee"/>
    <w:basedOn w:val="Normal"/>
    <w:qFormat/>
    <w:rsid w:val="001A213A"/>
    <w:pPr>
      <w:framePr w:hSpace="180" w:wrap="around" w:hAnchor="margin" w:y="-675"/>
      <w:tabs>
        <w:tab w:val="clear" w:pos="794"/>
        <w:tab w:val="clear" w:pos="1191"/>
        <w:tab w:val="clear" w:pos="1588"/>
        <w:tab w:val="clear" w:pos="1985"/>
        <w:tab w:val="left" w:pos="851"/>
        <w:tab w:val="left" w:pos="1134"/>
        <w:tab w:val="left" w:pos="1871"/>
        <w:tab w:val="left" w:pos="2268"/>
      </w:tabs>
      <w:spacing w:before="0" w:line="240" w:lineRule="atLeast"/>
      <w:jc w:val="left"/>
    </w:pPr>
    <w:rPr>
      <w:rFonts w:asciiTheme="minorHAnsi" w:hAnsiTheme="minorHAnsi" w:cstheme="minorHAnsi"/>
      <w:b/>
      <w:szCs w:val="24"/>
    </w:rPr>
  </w:style>
  <w:style w:type="paragraph" w:customStyle="1" w:styleId="Normalend">
    <w:name w:val="Normal_end"/>
    <w:basedOn w:val="Normal"/>
    <w:next w:val="Normal"/>
    <w:qFormat/>
    <w:rsid w:val="001A213A"/>
    <w:pPr>
      <w:tabs>
        <w:tab w:val="clear" w:pos="794"/>
        <w:tab w:val="clear" w:pos="1191"/>
        <w:tab w:val="clear" w:pos="1588"/>
        <w:tab w:val="clear" w:pos="1985"/>
        <w:tab w:val="left" w:pos="1134"/>
        <w:tab w:val="left" w:pos="1871"/>
        <w:tab w:val="left" w:pos="2268"/>
      </w:tabs>
      <w:jc w:val="left"/>
    </w:pPr>
    <w:rPr>
      <w:lang w:val="en-US"/>
    </w:rPr>
  </w:style>
  <w:style w:type="paragraph" w:customStyle="1" w:styleId="Part1">
    <w:name w:val="Part_1"/>
    <w:basedOn w:val="Section1"/>
    <w:next w:val="Section1"/>
    <w:qFormat/>
    <w:rsid w:val="001A213A"/>
    <w:pPr>
      <w:keepNext/>
      <w:keepLines/>
    </w:pPr>
  </w:style>
  <w:style w:type="paragraph" w:customStyle="1" w:styleId="Subsection1">
    <w:name w:val="Subsection_1"/>
    <w:basedOn w:val="Section1"/>
    <w:next w:val="Normalaftertitle0"/>
    <w:qFormat/>
    <w:rsid w:val="001A213A"/>
  </w:style>
  <w:style w:type="paragraph" w:customStyle="1" w:styleId="Volumetitle">
    <w:name w:val="Volume_title"/>
    <w:basedOn w:val="Normal"/>
    <w:qFormat/>
    <w:rsid w:val="001A213A"/>
    <w:pPr>
      <w:tabs>
        <w:tab w:val="clear" w:pos="794"/>
        <w:tab w:val="clear" w:pos="1191"/>
        <w:tab w:val="clear" w:pos="1588"/>
        <w:tab w:val="clear" w:pos="1985"/>
        <w:tab w:val="left" w:pos="1134"/>
        <w:tab w:val="left" w:pos="1871"/>
        <w:tab w:val="left" w:pos="2268"/>
      </w:tabs>
      <w:jc w:val="center"/>
    </w:pPr>
    <w:rPr>
      <w:b/>
      <w:bCs/>
      <w:sz w:val="28"/>
      <w:szCs w:val="28"/>
    </w:rPr>
  </w:style>
  <w:style w:type="paragraph" w:customStyle="1" w:styleId="Headingsplit">
    <w:name w:val="Heading_split"/>
    <w:basedOn w:val="Headingi"/>
    <w:qFormat/>
    <w:rsid w:val="001A213A"/>
    <w:pPr>
      <w:tabs>
        <w:tab w:val="clear" w:pos="794"/>
        <w:tab w:val="clear" w:pos="1191"/>
        <w:tab w:val="clear" w:pos="1588"/>
        <w:tab w:val="clear" w:pos="1985"/>
        <w:tab w:val="left" w:pos="1134"/>
        <w:tab w:val="left" w:pos="1871"/>
        <w:tab w:val="left" w:pos="2268"/>
      </w:tabs>
      <w:jc w:val="left"/>
      <w:outlineLvl w:val="9"/>
    </w:pPr>
    <w:rPr>
      <w:lang w:val="en-US"/>
    </w:rPr>
  </w:style>
  <w:style w:type="paragraph" w:customStyle="1" w:styleId="Normalsplit">
    <w:name w:val="Normal_split"/>
    <w:basedOn w:val="Normal"/>
    <w:qFormat/>
    <w:rsid w:val="001A213A"/>
    <w:pPr>
      <w:tabs>
        <w:tab w:val="clear" w:pos="794"/>
        <w:tab w:val="clear" w:pos="1191"/>
        <w:tab w:val="clear" w:pos="1588"/>
        <w:tab w:val="clear" w:pos="1985"/>
        <w:tab w:val="left" w:pos="1134"/>
        <w:tab w:val="left" w:pos="1871"/>
        <w:tab w:val="left" w:pos="2268"/>
      </w:tabs>
      <w:jc w:val="left"/>
    </w:pPr>
  </w:style>
  <w:style w:type="character" w:customStyle="1" w:styleId="Provsplit">
    <w:name w:val="Prov_split"/>
    <w:basedOn w:val="DefaultParagraphFont"/>
    <w:qFormat/>
    <w:rsid w:val="001A213A"/>
    <w:rPr>
      <w:rFonts w:ascii="Times New Roman" w:hAnsi="Times New Roman"/>
      <w:b w:val="0"/>
    </w:rPr>
  </w:style>
  <w:style w:type="paragraph" w:customStyle="1" w:styleId="Tablesplit">
    <w:name w:val="Table_split"/>
    <w:basedOn w:val="Tabletext"/>
    <w:qFormat/>
    <w:rsid w:val="001A213A"/>
    <w:pPr>
      <w:keepN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sz w:val="20"/>
    </w:rPr>
  </w:style>
  <w:style w:type="paragraph" w:customStyle="1" w:styleId="Methodheading1">
    <w:name w:val="Method_heading1"/>
    <w:basedOn w:val="Heading1"/>
    <w:next w:val="Normal"/>
    <w:qFormat/>
    <w:rsid w:val="001A213A"/>
    <w:pPr>
      <w:tabs>
        <w:tab w:val="clear" w:pos="794"/>
        <w:tab w:val="clear" w:pos="1191"/>
        <w:tab w:val="clear" w:pos="1588"/>
        <w:tab w:val="clear" w:pos="1985"/>
        <w:tab w:val="left" w:pos="1134"/>
        <w:tab w:val="left" w:pos="1871"/>
        <w:tab w:val="left" w:pos="2268"/>
      </w:tabs>
      <w:spacing w:before="280"/>
      <w:ind w:left="1134" w:hanging="1134"/>
      <w:jc w:val="left"/>
    </w:pPr>
    <w:rPr>
      <w:sz w:val="28"/>
    </w:rPr>
  </w:style>
  <w:style w:type="paragraph" w:customStyle="1" w:styleId="Methodheading2">
    <w:name w:val="Method_heading2"/>
    <w:basedOn w:val="Heading2"/>
    <w:next w:val="Normal"/>
    <w:qFormat/>
    <w:rsid w:val="001A213A"/>
    <w:pPr>
      <w:tabs>
        <w:tab w:val="clear" w:pos="794"/>
        <w:tab w:val="clear" w:pos="1191"/>
        <w:tab w:val="clear" w:pos="1588"/>
        <w:tab w:val="clear" w:pos="1985"/>
        <w:tab w:val="left" w:pos="1134"/>
        <w:tab w:val="left" w:pos="1871"/>
        <w:tab w:val="left" w:pos="2268"/>
      </w:tabs>
      <w:spacing w:before="200"/>
      <w:ind w:left="1134" w:hanging="1134"/>
      <w:jc w:val="left"/>
    </w:pPr>
  </w:style>
  <w:style w:type="paragraph" w:customStyle="1" w:styleId="Methodheading3">
    <w:name w:val="Method_heading3"/>
    <w:basedOn w:val="Heading3"/>
    <w:next w:val="Normal"/>
    <w:qFormat/>
    <w:rsid w:val="001A213A"/>
    <w:pPr>
      <w:tabs>
        <w:tab w:val="clear" w:pos="794"/>
        <w:tab w:val="clear" w:pos="1191"/>
        <w:tab w:val="clear" w:pos="1588"/>
        <w:tab w:val="clear" w:pos="1985"/>
        <w:tab w:val="left" w:pos="1871"/>
        <w:tab w:val="left" w:pos="2268"/>
      </w:tabs>
      <w:ind w:left="1134" w:hanging="1134"/>
      <w:jc w:val="left"/>
    </w:pPr>
  </w:style>
  <w:style w:type="paragraph" w:customStyle="1" w:styleId="Methodheading4">
    <w:name w:val="Method_heading4"/>
    <w:basedOn w:val="Heading4"/>
    <w:next w:val="Normal"/>
    <w:qFormat/>
    <w:rsid w:val="001A213A"/>
    <w:pPr>
      <w:tabs>
        <w:tab w:val="clear" w:pos="992"/>
        <w:tab w:val="clear" w:pos="1191"/>
        <w:tab w:val="clear" w:pos="1588"/>
        <w:tab w:val="clear" w:pos="1985"/>
        <w:tab w:val="left" w:pos="1871"/>
        <w:tab w:val="left" w:pos="2268"/>
      </w:tabs>
      <w:ind w:left="1134" w:hanging="1134"/>
      <w:jc w:val="left"/>
    </w:pPr>
  </w:style>
  <w:style w:type="paragraph" w:customStyle="1" w:styleId="MethodHeadingb">
    <w:name w:val="Method_Headingb"/>
    <w:basedOn w:val="Headingb"/>
    <w:next w:val="Normal"/>
    <w:qFormat/>
    <w:rsid w:val="001A213A"/>
    <w:pPr>
      <w:tabs>
        <w:tab w:val="clear" w:pos="794"/>
        <w:tab w:val="clear" w:pos="1191"/>
        <w:tab w:val="clear" w:pos="1588"/>
        <w:tab w:val="clear" w:pos="1985"/>
      </w:tabs>
      <w:overflowPunct/>
      <w:autoSpaceDE/>
      <w:autoSpaceDN/>
      <w:adjustRightInd/>
      <w:jc w:val="left"/>
      <w:textAlignment w:val="auto"/>
    </w:pPr>
    <w:rPr>
      <w:rFonts w:ascii="Times New Roman Bold" w:hAnsi="Times New Roman Bold" w:cs="Times New Roman Bold"/>
      <w:lang w:eastAsia="zh-CN"/>
    </w:rPr>
  </w:style>
  <w:style w:type="paragraph" w:customStyle="1" w:styleId="EditorsNote">
    <w:name w:val="EditorsNote"/>
    <w:basedOn w:val="Normal"/>
    <w:rsid w:val="001A213A"/>
    <w:pPr>
      <w:tabs>
        <w:tab w:val="clear" w:pos="794"/>
        <w:tab w:val="clear" w:pos="1191"/>
        <w:tab w:val="clear" w:pos="1588"/>
        <w:tab w:val="clear" w:pos="1985"/>
        <w:tab w:val="left" w:pos="1134"/>
        <w:tab w:val="left" w:pos="1871"/>
        <w:tab w:val="left" w:pos="2268"/>
      </w:tabs>
      <w:spacing w:before="240" w:after="240"/>
      <w:jc w:val="left"/>
    </w:pPr>
    <w:rPr>
      <w:i/>
      <w:iCs/>
    </w:rPr>
  </w:style>
  <w:style w:type="character" w:customStyle="1" w:styleId="FiguretitleChar">
    <w:name w:val="Figure_title Char"/>
    <w:basedOn w:val="DefaultParagraphFont"/>
    <w:link w:val="Figuretitle"/>
    <w:qFormat/>
    <w:rsid w:val="001A213A"/>
    <w:rPr>
      <w:rFonts w:ascii="Times New Roman Bold" w:hAnsi="Times New Roman Bold"/>
      <w:b/>
      <w:sz w:val="18"/>
      <w:lang w:val="en-GB" w:eastAsia="en-US"/>
    </w:rPr>
  </w:style>
  <w:style w:type="paragraph" w:customStyle="1" w:styleId="Figurewithlegend">
    <w:name w:val="Figure_with_legend"/>
    <w:basedOn w:val="Figure"/>
    <w:rsid w:val="001A213A"/>
    <w:pPr>
      <w:keepLines w:val="0"/>
      <w:tabs>
        <w:tab w:val="clear" w:pos="794"/>
        <w:tab w:val="clear" w:pos="1191"/>
        <w:tab w:val="clear" w:pos="1588"/>
        <w:tab w:val="clear" w:pos="1985"/>
        <w:tab w:val="left" w:pos="1134"/>
        <w:tab w:val="left" w:pos="1871"/>
        <w:tab w:val="left" w:pos="2268"/>
      </w:tabs>
      <w:spacing w:before="120"/>
    </w:pPr>
    <w:rPr>
      <w:caps w:val="0"/>
      <w:noProof/>
      <w:sz w:val="24"/>
      <w:lang w:eastAsia="zh-CN"/>
    </w:rPr>
  </w:style>
  <w:style w:type="paragraph" w:styleId="Signature">
    <w:name w:val="Signature"/>
    <w:basedOn w:val="Normal"/>
    <w:link w:val="SignatureChar"/>
    <w:unhideWhenUsed/>
    <w:rsid w:val="001A213A"/>
    <w:pPr>
      <w:tabs>
        <w:tab w:val="clear" w:pos="794"/>
        <w:tab w:val="clear" w:pos="1191"/>
        <w:tab w:val="clear" w:pos="1588"/>
        <w:tab w:val="clear" w:pos="1985"/>
        <w:tab w:val="center" w:pos="7371"/>
      </w:tabs>
      <w:spacing w:before="600"/>
      <w:jc w:val="left"/>
    </w:pPr>
  </w:style>
  <w:style w:type="character" w:customStyle="1" w:styleId="SignatureChar">
    <w:name w:val="Signature Char"/>
    <w:basedOn w:val="DefaultParagraphFont"/>
    <w:link w:val="Signature"/>
    <w:rsid w:val="001A213A"/>
    <w:rPr>
      <w:sz w:val="24"/>
      <w:lang w:val="en-GB" w:eastAsia="en-US"/>
    </w:rPr>
  </w:style>
  <w:style w:type="character" w:customStyle="1" w:styleId="NormalaftertitleChar">
    <w:name w:val="Normal_after_title Char"/>
    <w:basedOn w:val="DefaultParagraphFont"/>
    <w:link w:val="Normalaftertitle"/>
    <w:locked/>
    <w:rsid w:val="001A213A"/>
    <w:rPr>
      <w:sz w:val="24"/>
      <w:lang w:val="en-GB" w:eastAsia="en-US"/>
    </w:rPr>
  </w:style>
  <w:style w:type="character" w:customStyle="1" w:styleId="ChaptitleChar">
    <w:name w:val="Chap_title Char"/>
    <w:link w:val="Chaptitle"/>
    <w:uiPriority w:val="99"/>
    <w:locked/>
    <w:rsid w:val="00D203A9"/>
    <w:rPr>
      <w:b/>
      <w:sz w:val="28"/>
      <w:lang w:val="en-GB" w:eastAsia="en-US"/>
    </w:rPr>
  </w:style>
  <w:style w:type="character" w:customStyle="1" w:styleId="enumlev1Char">
    <w:name w:val="enumlev1 Char"/>
    <w:link w:val="enumlev1"/>
    <w:locked/>
    <w:rsid w:val="001A213A"/>
    <w:rPr>
      <w:sz w:val="24"/>
      <w:lang w:val="en-GB" w:eastAsia="en-US"/>
    </w:rPr>
  </w:style>
  <w:style w:type="character" w:customStyle="1" w:styleId="EquationChar">
    <w:name w:val="Equation Char"/>
    <w:link w:val="Equation"/>
    <w:qFormat/>
    <w:locked/>
    <w:rsid w:val="001A213A"/>
    <w:rPr>
      <w:sz w:val="24"/>
      <w:lang w:val="en-GB" w:eastAsia="en-US"/>
    </w:rPr>
  </w:style>
  <w:style w:type="character" w:customStyle="1" w:styleId="EquationlegendChar">
    <w:name w:val="Equation_legend Char"/>
    <w:link w:val="Equationlegend"/>
    <w:qFormat/>
    <w:locked/>
    <w:rsid w:val="001A213A"/>
    <w:rPr>
      <w:sz w:val="24"/>
      <w:lang w:eastAsia="en-US"/>
    </w:rPr>
  </w:style>
  <w:style w:type="character" w:customStyle="1" w:styleId="TabletextChar">
    <w:name w:val="Table_text Char"/>
    <w:basedOn w:val="DefaultParagraphFont"/>
    <w:link w:val="Tabletext"/>
    <w:qFormat/>
    <w:locked/>
    <w:rsid w:val="00B40696"/>
    <w:rPr>
      <w:sz w:val="22"/>
      <w:lang w:val="en-GB" w:eastAsia="en-US"/>
    </w:rPr>
  </w:style>
  <w:style w:type="character" w:customStyle="1" w:styleId="FigureNoChar">
    <w:name w:val="Figure_No Char"/>
    <w:link w:val="FigureNo"/>
    <w:locked/>
    <w:rsid w:val="001A213A"/>
    <w:rPr>
      <w:caps/>
      <w:sz w:val="18"/>
      <w:lang w:val="en-GB" w:eastAsia="en-US"/>
    </w:rPr>
  </w:style>
  <w:style w:type="character" w:customStyle="1" w:styleId="AnnexNoCar">
    <w:name w:val="Annex_No Car"/>
    <w:link w:val="AnnexNo"/>
    <w:locked/>
    <w:rsid w:val="001A213A"/>
    <w:rPr>
      <w:caps/>
      <w:sz w:val="28"/>
      <w:lang w:val="en-GB" w:eastAsia="en-US"/>
    </w:rPr>
  </w:style>
  <w:style w:type="character" w:customStyle="1" w:styleId="TableheadChar">
    <w:name w:val="Table_head Char"/>
    <w:basedOn w:val="DefaultParagraphFont"/>
    <w:link w:val="Tablehead"/>
    <w:qFormat/>
    <w:rsid w:val="001A213A"/>
    <w:rPr>
      <w:b/>
      <w:sz w:val="22"/>
      <w:lang w:val="en-GB" w:eastAsia="en-US"/>
    </w:rPr>
  </w:style>
  <w:style w:type="character" w:customStyle="1" w:styleId="TableNoChar">
    <w:name w:val="Table_No Char"/>
    <w:link w:val="TableNo"/>
    <w:qFormat/>
    <w:locked/>
    <w:rsid w:val="001A213A"/>
    <w:rPr>
      <w:sz w:val="24"/>
      <w:lang w:val="en-GB" w:eastAsia="en-US"/>
    </w:rPr>
  </w:style>
  <w:style w:type="character" w:customStyle="1" w:styleId="HeadingbChar">
    <w:name w:val="Heading_b Char"/>
    <w:basedOn w:val="DefaultParagraphFont"/>
    <w:link w:val="Headingb"/>
    <w:qFormat/>
    <w:locked/>
    <w:rsid w:val="001A213A"/>
    <w:rPr>
      <w:b/>
      <w:sz w:val="24"/>
      <w:lang w:val="en-GB" w:eastAsia="en-US"/>
    </w:rPr>
  </w:style>
  <w:style w:type="character" w:styleId="PlaceholderText">
    <w:name w:val="Placeholder Text"/>
    <w:basedOn w:val="DefaultParagraphFont"/>
    <w:uiPriority w:val="99"/>
    <w:semiHidden/>
    <w:rsid w:val="001A213A"/>
    <w:rPr>
      <w:color w:val="808080"/>
    </w:rPr>
  </w:style>
  <w:style w:type="paragraph" w:customStyle="1" w:styleId="DocData">
    <w:name w:val="DocData"/>
    <w:basedOn w:val="Normal"/>
    <w:rsid w:val="001A213A"/>
    <w:pPr>
      <w:framePr w:hSpace="180" w:wrap="around" w:hAnchor="margin" w:y="-687"/>
      <w:shd w:val="solid" w:color="FFFFFF" w:fill="FFFFFF"/>
      <w:tabs>
        <w:tab w:val="clear" w:pos="794"/>
        <w:tab w:val="clear" w:pos="1191"/>
        <w:tab w:val="clear" w:pos="1588"/>
        <w:tab w:val="clear" w:pos="1985"/>
        <w:tab w:val="left" w:pos="1134"/>
        <w:tab w:val="left" w:pos="1871"/>
        <w:tab w:val="left" w:pos="2268"/>
      </w:tabs>
      <w:spacing w:before="0" w:line="240" w:lineRule="atLeast"/>
      <w:jc w:val="left"/>
    </w:pPr>
    <w:rPr>
      <w:rFonts w:ascii="Verdana" w:hAnsi="Verdana"/>
      <w:b/>
      <w:sz w:val="20"/>
      <w:lang w:eastAsia="zh-CN"/>
    </w:rPr>
  </w:style>
  <w:style w:type="character" w:customStyle="1" w:styleId="rynqvb">
    <w:name w:val="rynqvb"/>
    <w:basedOn w:val="DefaultParagraphFont"/>
    <w:rsid w:val="001A213A"/>
  </w:style>
  <w:style w:type="paragraph" w:styleId="Revision">
    <w:name w:val="Revision"/>
    <w:hidden/>
    <w:uiPriority w:val="99"/>
    <w:semiHidden/>
    <w:rsid w:val="001A213A"/>
    <w:rPr>
      <w:sz w:val="24"/>
      <w:lang w:val="en-GB" w:eastAsia="en-US"/>
    </w:rPr>
  </w:style>
  <w:style w:type="paragraph" w:customStyle="1" w:styleId="msonormal0">
    <w:name w:val="msonormal"/>
    <w:basedOn w:val="Normal"/>
    <w:uiPriority w:val="99"/>
    <w:rsid w:val="001A213A"/>
    <w:pPr>
      <w:tabs>
        <w:tab w:val="clear" w:pos="794"/>
        <w:tab w:val="clear" w:pos="1191"/>
        <w:tab w:val="clear" w:pos="1588"/>
        <w:tab w:val="clear" w:pos="1985"/>
      </w:tabs>
      <w:overflowPunct/>
      <w:autoSpaceDE/>
      <w:autoSpaceDN/>
      <w:adjustRightInd/>
      <w:spacing w:before="100" w:beforeAutospacing="1" w:after="100" w:afterAutospacing="1"/>
      <w:jc w:val="left"/>
      <w:textAlignment w:val="auto"/>
    </w:pPr>
    <w:rPr>
      <w:szCs w:val="24"/>
      <w:lang w:val="ru-RU" w:eastAsia="ru-RU"/>
    </w:rPr>
  </w:style>
  <w:style w:type="character" w:customStyle="1" w:styleId="AnnexNoChar">
    <w:name w:val="Annex_No Char"/>
    <w:basedOn w:val="DefaultParagraphFont"/>
    <w:locked/>
    <w:rsid w:val="001A213A"/>
    <w:rPr>
      <w:rFonts w:ascii="MS Mincho" w:eastAsia="MS Mincho" w:hAnsi="MS Mincho"/>
      <w:caps/>
      <w:sz w:val="28"/>
      <w:lang w:val="en-GB" w:eastAsia="en-US"/>
    </w:rPr>
  </w:style>
  <w:style w:type="paragraph" w:styleId="TOCHeading">
    <w:name w:val="TOC Heading"/>
    <w:basedOn w:val="Heading1"/>
    <w:next w:val="Normal"/>
    <w:uiPriority w:val="39"/>
    <w:unhideWhenUsed/>
    <w:qFormat/>
    <w:rsid w:val="001A213A"/>
    <w:pPr>
      <w:tabs>
        <w:tab w:val="clear" w:pos="794"/>
        <w:tab w:val="clear" w:pos="1191"/>
        <w:tab w:val="clear" w:pos="1588"/>
        <w:tab w:val="clear" w:pos="1985"/>
        <w:tab w:val="left" w:pos="1134"/>
        <w:tab w:val="left" w:pos="1871"/>
        <w:tab w:val="left" w:pos="2268"/>
      </w:tabs>
      <w:spacing w:before="240"/>
      <w:ind w:left="0" w:firstLine="0"/>
      <w:jc w:val="left"/>
      <w:outlineLvl w:val="9"/>
    </w:pPr>
    <w:rPr>
      <w:rFonts w:asciiTheme="majorHAnsi" w:eastAsiaTheme="majorEastAsia" w:hAnsiTheme="majorHAnsi" w:cstheme="majorBidi"/>
      <w:b w:val="0"/>
      <w:color w:val="365F91" w:themeColor="accent1" w:themeShade="BF"/>
      <w:sz w:val="32"/>
      <w:szCs w:val="32"/>
    </w:rPr>
  </w:style>
  <w:style w:type="character" w:customStyle="1" w:styleId="Recdef">
    <w:name w:val="Rec_def"/>
    <w:basedOn w:val="DefaultParagraphFont"/>
    <w:rsid w:val="001A213A"/>
    <w:rPr>
      <w:b/>
    </w:rPr>
  </w:style>
  <w:style w:type="character" w:customStyle="1" w:styleId="Resdef">
    <w:name w:val="Res_def"/>
    <w:basedOn w:val="DefaultParagraphFont"/>
    <w:rsid w:val="001A213A"/>
    <w:rPr>
      <w:rFonts w:ascii="Times New Roman" w:hAnsi="Times New Roman"/>
      <w:b/>
    </w:rPr>
  </w:style>
  <w:style w:type="paragraph" w:styleId="BalloonText">
    <w:name w:val="Balloon Text"/>
    <w:basedOn w:val="Normal"/>
    <w:link w:val="BalloonTextChar"/>
    <w:unhideWhenUsed/>
    <w:rsid w:val="001A213A"/>
    <w:pPr>
      <w:tabs>
        <w:tab w:val="clear" w:pos="794"/>
        <w:tab w:val="clear" w:pos="1191"/>
        <w:tab w:val="clear" w:pos="1588"/>
        <w:tab w:val="clear" w:pos="1985"/>
        <w:tab w:val="left" w:pos="1134"/>
        <w:tab w:val="left" w:pos="1871"/>
        <w:tab w:val="left" w:pos="2268"/>
      </w:tabs>
      <w:adjustRightInd/>
      <w:spacing w:before="0"/>
      <w:jc w:val="left"/>
    </w:pPr>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rsid w:val="001A213A"/>
    <w:rPr>
      <w:rFonts w:asciiTheme="majorHAnsi" w:eastAsiaTheme="majorEastAsia" w:hAnsiTheme="majorHAnsi" w:cstheme="majorBidi"/>
      <w:sz w:val="18"/>
      <w:szCs w:val="18"/>
      <w:lang w:val="en-GB" w:eastAsia="en-US"/>
    </w:rPr>
  </w:style>
  <w:style w:type="paragraph" w:customStyle="1" w:styleId="a0">
    <w:name w:val="바탕글"/>
    <w:basedOn w:val="Normal"/>
    <w:rsid w:val="001A213A"/>
    <w:pPr>
      <w:widowControl w:val="0"/>
      <w:tabs>
        <w:tab w:val="clear" w:pos="794"/>
        <w:tab w:val="clear" w:pos="1191"/>
        <w:tab w:val="clear" w:pos="1588"/>
        <w:tab w:val="clear" w:pos="1985"/>
      </w:tabs>
      <w:wordWrap w:val="0"/>
      <w:overflowPunct/>
      <w:adjustRightInd/>
      <w:spacing w:before="0" w:line="384" w:lineRule="auto"/>
      <w:jc w:val="left"/>
    </w:pPr>
    <w:rPr>
      <w:rFonts w:ascii="나눔고딕 ExtraBold" w:eastAsia="Gulim" w:hAnsi="Gulim" w:cs="Gulim"/>
      <w:color w:val="000000"/>
      <w:sz w:val="20"/>
      <w:lang w:val="en-US" w:eastAsia="ko-KR"/>
    </w:rPr>
  </w:style>
  <w:style w:type="paragraph" w:styleId="ListParagraph">
    <w:name w:val="List Paragraph"/>
    <w:basedOn w:val="Normal"/>
    <w:uiPriority w:val="34"/>
    <w:qFormat/>
    <w:rsid w:val="001A213A"/>
    <w:pPr>
      <w:tabs>
        <w:tab w:val="clear" w:pos="794"/>
        <w:tab w:val="clear" w:pos="1191"/>
        <w:tab w:val="clear" w:pos="1588"/>
        <w:tab w:val="clear" w:pos="1985"/>
        <w:tab w:val="left" w:pos="1134"/>
        <w:tab w:val="left" w:pos="1871"/>
        <w:tab w:val="left" w:pos="2268"/>
      </w:tabs>
      <w:adjustRightInd/>
      <w:ind w:leftChars="400" w:left="800"/>
      <w:jc w:val="left"/>
    </w:pPr>
    <w:rPr>
      <w:rFonts w:eastAsia="Batang"/>
    </w:rPr>
  </w:style>
  <w:style w:type="character" w:customStyle="1" w:styleId="x01">
    <w:name w:val="x01"/>
    <w:basedOn w:val="DefaultParagraphFont"/>
    <w:rsid w:val="001A213A"/>
    <w:rPr>
      <w:rFonts w:ascii="Arial" w:hAnsi="Arial" w:cs="Arial" w:hint="default"/>
      <w:color w:val="6D6E71"/>
      <w:sz w:val="18"/>
      <w:szCs w:val="18"/>
    </w:rPr>
  </w:style>
  <w:style w:type="paragraph" w:styleId="CommentText">
    <w:name w:val="annotation text"/>
    <w:basedOn w:val="Normal"/>
    <w:link w:val="CommentTextChar"/>
    <w:unhideWhenUsed/>
    <w:rsid w:val="001A213A"/>
    <w:pPr>
      <w:tabs>
        <w:tab w:val="clear" w:pos="794"/>
        <w:tab w:val="clear" w:pos="1191"/>
        <w:tab w:val="clear" w:pos="1588"/>
        <w:tab w:val="clear" w:pos="1985"/>
      </w:tabs>
      <w:overflowPunct/>
      <w:autoSpaceDE/>
      <w:autoSpaceDN/>
      <w:adjustRightInd/>
      <w:spacing w:before="0"/>
      <w:jc w:val="left"/>
      <w:textAlignment w:val="auto"/>
    </w:pPr>
    <w:rPr>
      <w:rFonts w:eastAsiaTheme="minorEastAsia"/>
      <w:sz w:val="20"/>
      <w:lang w:eastAsia="fr-FR"/>
    </w:rPr>
  </w:style>
  <w:style w:type="character" w:customStyle="1" w:styleId="CommentTextChar">
    <w:name w:val="Comment Text Char"/>
    <w:basedOn w:val="DefaultParagraphFont"/>
    <w:link w:val="CommentText"/>
    <w:rsid w:val="001A213A"/>
    <w:rPr>
      <w:rFonts w:eastAsiaTheme="minorEastAsia"/>
      <w:lang w:val="en-GB" w:eastAsia="fr-FR"/>
    </w:rPr>
  </w:style>
  <w:style w:type="paragraph" w:styleId="CommentSubject">
    <w:name w:val="annotation subject"/>
    <w:basedOn w:val="CommentText"/>
    <w:next w:val="CommentText"/>
    <w:link w:val="CommentSubjectChar"/>
    <w:semiHidden/>
    <w:unhideWhenUsed/>
    <w:rsid w:val="001A213A"/>
    <w:rPr>
      <w:b/>
      <w:bCs/>
    </w:rPr>
  </w:style>
  <w:style w:type="character" w:customStyle="1" w:styleId="CommentSubjectChar">
    <w:name w:val="Comment Subject Char"/>
    <w:basedOn w:val="CommentTextChar"/>
    <w:link w:val="CommentSubject"/>
    <w:semiHidden/>
    <w:rsid w:val="001A213A"/>
    <w:rPr>
      <w:rFonts w:eastAsiaTheme="minorEastAsia"/>
      <w:b/>
      <w:bCs/>
      <w:lang w:val="en-GB" w:eastAsia="fr-FR"/>
    </w:rPr>
  </w:style>
  <w:style w:type="paragraph" w:customStyle="1" w:styleId="Default">
    <w:name w:val="Default"/>
    <w:rsid w:val="001A213A"/>
    <w:pPr>
      <w:autoSpaceDE w:val="0"/>
      <w:autoSpaceDN w:val="0"/>
      <w:adjustRightInd w:val="0"/>
    </w:pPr>
    <w:rPr>
      <w:rFonts w:ascii="timesnewroman" w:eastAsiaTheme="minorEastAsia" w:hAnsi="timesnewroman"/>
      <w:lang w:eastAsia="en-US"/>
    </w:rPr>
  </w:style>
  <w:style w:type="paragraph" w:customStyle="1" w:styleId="Lev0">
    <w:name w:val="Lev 0"/>
    <w:basedOn w:val="Normal"/>
    <w:qFormat/>
    <w:rsid w:val="001A213A"/>
    <w:pPr>
      <w:tabs>
        <w:tab w:val="clear" w:pos="794"/>
        <w:tab w:val="clear" w:pos="1191"/>
        <w:tab w:val="clear" w:pos="1588"/>
        <w:tab w:val="clear" w:pos="1985"/>
      </w:tabs>
      <w:suppressAutoHyphens/>
      <w:overflowPunct/>
      <w:autoSpaceDE/>
      <w:autoSpaceDN/>
      <w:adjustRightInd/>
      <w:spacing w:after="120" w:line="276" w:lineRule="auto"/>
      <w:jc w:val="center"/>
      <w:textAlignment w:val="auto"/>
    </w:pPr>
    <w:rPr>
      <w:rFonts w:ascii="Arial" w:eastAsiaTheme="minorEastAsia" w:hAnsi="Arial" w:cs="Arial"/>
      <w:b/>
      <w:szCs w:val="24"/>
    </w:rPr>
  </w:style>
  <w:style w:type="paragraph" w:customStyle="1" w:styleId="B1">
    <w:name w:val="B1"/>
    <w:basedOn w:val="Normal"/>
    <w:qFormat/>
    <w:rsid w:val="001A213A"/>
    <w:pPr>
      <w:keepLines/>
      <w:pBdr>
        <w:top w:val="single" w:sz="4" w:space="1" w:color="auto"/>
        <w:left w:val="single" w:sz="4" w:space="4" w:color="auto"/>
        <w:bottom w:val="single" w:sz="4" w:space="1" w:color="auto"/>
        <w:right w:val="single" w:sz="4" w:space="4" w:color="auto"/>
      </w:pBdr>
      <w:shd w:val="clear" w:color="auto" w:fill="BDD6EE"/>
      <w:tabs>
        <w:tab w:val="clear" w:pos="794"/>
        <w:tab w:val="clear" w:pos="1191"/>
        <w:tab w:val="clear" w:pos="1588"/>
        <w:tab w:val="clear" w:pos="1985"/>
      </w:tabs>
      <w:overflowPunct/>
      <w:autoSpaceDE/>
      <w:autoSpaceDN/>
      <w:adjustRightInd/>
      <w:spacing w:before="0" w:after="240" w:line="320" w:lineRule="exact"/>
      <w:textAlignment w:val="auto"/>
    </w:pPr>
    <w:rPr>
      <w:rFonts w:ascii="Arial" w:eastAsia="Calibri" w:hAnsi="Arial" w:cs="Arial"/>
      <w:szCs w:val="22"/>
    </w:rPr>
  </w:style>
  <w:style w:type="paragraph" w:styleId="NormalWeb">
    <w:name w:val="Normal (Web)"/>
    <w:basedOn w:val="Normal"/>
    <w:uiPriority w:val="99"/>
    <w:unhideWhenUsed/>
    <w:rsid w:val="001A213A"/>
    <w:pPr>
      <w:tabs>
        <w:tab w:val="clear" w:pos="794"/>
        <w:tab w:val="clear" w:pos="1191"/>
        <w:tab w:val="clear" w:pos="1588"/>
        <w:tab w:val="clear" w:pos="1985"/>
      </w:tabs>
      <w:overflowPunct/>
      <w:autoSpaceDE/>
      <w:autoSpaceDN/>
      <w:adjustRightInd/>
      <w:spacing w:before="100" w:beforeAutospacing="1" w:after="100" w:afterAutospacing="1"/>
      <w:jc w:val="left"/>
      <w:textAlignment w:val="auto"/>
    </w:pPr>
    <w:rPr>
      <w:rFonts w:eastAsiaTheme="minorEastAsia"/>
      <w:szCs w:val="24"/>
      <w:lang w:eastAsia="fr-FR"/>
    </w:rPr>
  </w:style>
  <w:style w:type="paragraph" w:customStyle="1" w:styleId="I1">
    <w:name w:val="I1"/>
    <w:basedOn w:val="ListBullet"/>
    <w:link w:val="I1Char"/>
    <w:qFormat/>
    <w:rsid w:val="001A213A"/>
    <w:pPr>
      <w:numPr>
        <w:numId w:val="0"/>
      </w:numPr>
      <w:tabs>
        <w:tab w:val="num" w:pos="926"/>
      </w:tabs>
      <w:spacing w:after="240" w:line="320" w:lineRule="atLeast"/>
      <w:ind w:left="926" w:hanging="360"/>
      <w:contextualSpacing w:val="0"/>
      <w:jc w:val="both"/>
    </w:pPr>
    <w:rPr>
      <w:rFonts w:eastAsiaTheme="minorHAnsi" w:cstheme="minorBidi"/>
      <w:sz w:val="22"/>
      <w:szCs w:val="22"/>
    </w:rPr>
  </w:style>
  <w:style w:type="paragraph" w:styleId="ListBullet">
    <w:name w:val="List Bullet"/>
    <w:basedOn w:val="Normal"/>
    <w:unhideWhenUsed/>
    <w:rsid w:val="001A213A"/>
    <w:pPr>
      <w:numPr>
        <w:numId w:val="1"/>
      </w:numPr>
      <w:tabs>
        <w:tab w:val="clear" w:pos="794"/>
        <w:tab w:val="clear" w:pos="1191"/>
        <w:tab w:val="clear" w:pos="1588"/>
        <w:tab w:val="clear" w:pos="1985"/>
      </w:tabs>
      <w:overflowPunct/>
      <w:autoSpaceDE/>
      <w:autoSpaceDN/>
      <w:adjustRightInd/>
      <w:spacing w:before="0"/>
      <w:contextualSpacing/>
      <w:jc w:val="left"/>
      <w:textAlignment w:val="auto"/>
    </w:pPr>
    <w:rPr>
      <w:rFonts w:eastAsiaTheme="minorEastAsia"/>
      <w:szCs w:val="24"/>
    </w:rPr>
  </w:style>
  <w:style w:type="character" w:customStyle="1" w:styleId="I1Char">
    <w:name w:val="I1 Char"/>
    <w:link w:val="I1"/>
    <w:rsid w:val="001A213A"/>
    <w:rPr>
      <w:rFonts w:eastAsiaTheme="minorHAnsi" w:cstheme="minorBidi"/>
      <w:sz w:val="22"/>
      <w:szCs w:val="22"/>
      <w:lang w:val="en-GB" w:eastAsia="en-US"/>
    </w:rPr>
  </w:style>
  <w:style w:type="paragraph" w:customStyle="1" w:styleId="DecimalAligned">
    <w:name w:val="Decimal Aligned"/>
    <w:basedOn w:val="Normal"/>
    <w:uiPriority w:val="40"/>
    <w:qFormat/>
    <w:rsid w:val="001A213A"/>
    <w:pPr>
      <w:tabs>
        <w:tab w:val="clear" w:pos="794"/>
        <w:tab w:val="clear" w:pos="1191"/>
        <w:tab w:val="clear" w:pos="1588"/>
        <w:tab w:val="clear" w:pos="1985"/>
        <w:tab w:val="decimal" w:pos="360"/>
      </w:tabs>
      <w:overflowPunct/>
      <w:autoSpaceDE/>
      <w:autoSpaceDN/>
      <w:adjustRightInd/>
      <w:spacing w:before="0" w:after="200" w:line="276" w:lineRule="auto"/>
      <w:jc w:val="left"/>
      <w:textAlignment w:val="auto"/>
    </w:pPr>
    <w:rPr>
      <w:rFonts w:asciiTheme="minorHAnsi" w:eastAsiaTheme="minorEastAsia" w:hAnsiTheme="minorHAnsi"/>
      <w:sz w:val="22"/>
      <w:szCs w:val="22"/>
    </w:rPr>
  </w:style>
  <w:style w:type="character" w:styleId="SubtleEmphasis">
    <w:name w:val="Subtle Emphasis"/>
    <w:basedOn w:val="DefaultParagraphFont"/>
    <w:uiPriority w:val="19"/>
    <w:qFormat/>
    <w:rsid w:val="001A213A"/>
    <w:rPr>
      <w:i/>
      <w:iCs/>
    </w:rPr>
  </w:style>
  <w:style w:type="character" w:customStyle="1" w:styleId="EndnoteTextChar">
    <w:name w:val="Endnote Text Char"/>
    <w:basedOn w:val="DefaultParagraphFont"/>
    <w:link w:val="EndnoteText"/>
    <w:semiHidden/>
    <w:rsid w:val="001A213A"/>
    <w:rPr>
      <w:lang w:val="en-GB" w:eastAsia="fr-FR"/>
    </w:rPr>
  </w:style>
  <w:style w:type="paragraph" w:styleId="EndnoteText">
    <w:name w:val="endnote text"/>
    <w:basedOn w:val="Normal"/>
    <w:link w:val="EndnoteTextChar"/>
    <w:semiHidden/>
    <w:unhideWhenUsed/>
    <w:rsid w:val="001A213A"/>
    <w:pPr>
      <w:tabs>
        <w:tab w:val="clear" w:pos="794"/>
        <w:tab w:val="clear" w:pos="1191"/>
        <w:tab w:val="clear" w:pos="1588"/>
        <w:tab w:val="clear" w:pos="1985"/>
      </w:tabs>
      <w:overflowPunct/>
      <w:autoSpaceDE/>
      <w:autoSpaceDN/>
      <w:adjustRightInd/>
      <w:spacing w:before="0"/>
      <w:jc w:val="left"/>
      <w:textAlignment w:val="auto"/>
    </w:pPr>
    <w:rPr>
      <w:sz w:val="20"/>
      <w:lang w:eastAsia="fr-FR"/>
    </w:rPr>
  </w:style>
  <w:style w:type="character" w:customStyle="1" w:styleId="EndnoteTextChar1">
    <w:name w:val="Endnote Text Char1"/>
    <w:basedOn w:val="DefaultParagraphFont"/>
    <w:semiHidden/>
    <w:rsid w:val="001A213A"/>
    <w:rPr>
      <w:lang w:val="en-GB" w:eastAsia="en-US"/>
    </w:rPr>
  </w:style>
  <w:style w:type="character" w:customStyle="1" w:styleId="1">
    <w:name w:val="Текст концевой сноски Знак1"/>
    <w:basedOn w:val="DefaultParagraphFont"/>
    <w:semiHidden/>
    <w:rsid w:val="001A213A"/>
    <w:rPr>
      <w:rFonts w:ascii="Times New Roman" w:hAnsi="Times New Roman"/>
      <w:lang w:val="en-GB" w:eastAsia="en-US"/>
    </w:rPr>
  </w:style>
  <w:style w:type="character" w:customStyle="1" w:styleId="A5">
    <w:name w:val="A5"/>
    <w:uiPriority w:val="99"/>
    <w:rsid w:val="001A213A"/>
    <w:rPr>
      <w:rFonts w:cs="Helvetica[T]"/>
      <w:color w:val="000000"/>
      <w:sz w:val="20"/>
      <w:szCs w:val="20"/>
    </w:rPr>
  </w:style>
  <w:style w:type="paragraph" w:styleId="Caption">
    <w:name w:val="caption"/>
    <w:basedOn w:val="Normal"/>
    <w:next w:val="Normal"/>
    <w:unhideWhenUsed/>
    <w:qFormat/>
    <w:rsid w:val="001A213A"/>
    <w:pPr>
      <w:tabs>
        <w:tab w:val="clear" w:pos="794"/>
        <w:tab w:val="clear" w:pos="1191"/>
        <w:tab w:val="clear" w:pos="1588"/>
        <w:tab w:val="clear" w:pos="1985"/>
      </w:tabs>
      <w:overflowPunct/>
      <w:autoSpaceDE/>
      <w:autoSpaceDN/>
      <w:adjustRightInd/>
      <w:spacing w:before="0" w:after="200"/>
      <w:jc w:val="left"/>
      <w:textAlignment w:val="auto"/>
    </w:pPr>
    <w:rPr>
      <w:rFonts w:eastAsiaTheme="minorEastAsia"/>
      <w:i/>
      <w:iCs/>
      <w:color w:val="1F497D" w:themeColor="text2"/>
      <w:sz w:val="18"/>
      <w:szCs w:val="18"/>
    </w:rPr>
  </w:style>
  <w:style w:type="character" w:styleId="Strong">
    <w:name w:val="Strong"/>
    <w:basedOn w:val="DefaultParagraphFont"/>
    <w:uiPriority w:val="22"/>
    <w:qFormat/>
    <w:rsid w:val="001A213A"/>
    <w:rPr>
      <w:b/>
      <w:bCs/>
    </w:rPr>
  </w:style>
  <w:style w:type="paragraph" w:styleId="TableofFigures">
    <w:name w:val="table of figures"/>
    <w:basedOn w:val="Normal"/>
    <w:next w:val="Normal"/>
    <w:uiPriority w:val="99"/>
    <w:unhideWhenUsed/>
    <w:rsid w:val="001A213A"/>
    <w:pPr>
      <w:tabs>
        <w:tab w:val="clear" w:pos="794"/>
        <w:tab w:val="clear" w:pos="1191"/>
        <w:tab w:val="clear" w:pos="1588"/>
        <w:tab w:val="clear" w:pos="1985"/>
      </w:tabs>
      <w:overflowPunct/>
      <w:autoSpaceDE/>
      <w:autoSpaceDN/>
      <w:adjustRightInd/>
      <w:spacing w:before="0"/>
      <w:jc w:val="left"/>
      <w:textAlignment w:val="auto"/>
    </w:pPr>
    <w:rPr>
      <w:rFonts w:eastAsiaTheme="minorEastAsia"/>
      <w:szCs w:val="24"/>
    </w:rPr>
  </w:style>
  <w:style w:type="paragraph" w:styleId="Subtitle">
    <w:name w:val="Subtitle"/>
    <w:basedOn w:val="Normal"/>
    <w:next w:val="Normal"/>
    <w:link w:val="SubtitleChar"/>
    <w:qFormat/>
    <w:rsid w:val="001A213A"/>
    <w:pPr>
      <w:numPr>
        <w:ilvl w:val="1"/>
      </w:numPr>
      <w:tabs>
        <w:tab w:val="clear" w:pos="794"/>
        <w:tab w:val="clear" w:pos="1191"/>
        <w:tab w:val="clear" w:pos="1588"/>
        <w:tab w:val="clear" w:pos="1985"/>
      </w:tabs>
      <w:overflowPunct/>
      <w:autoSpaceDE/>
      <w:autoSpaceDN/>
      <w:adjustRightInd/>
      <w:spacing w:before="0" w:after="160"/>
      <w:jc w:val="left"/>
      <w:textAlignment w:val="auto"/>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1A213A"/>
    <w:rPr>
      <w:rFonts w:asciiTheme="minorHAnsi" w:eastAsiaTheme="minorEastAsia" w:hAnsiTheme="minorHAnsi" w:cstheme="minorBidi"/>
      <w:color w:val="5A5A5A" w:themeColor="text1" w:themeTint="A5"/>
      <w:spacing w:val="15"/>
      <w:sz w:val="22"/>
      <w:szCs w:val="22"/>
      <w:lang w:val="en-GB" w:eastAsia="en-US"/>
    </w:rPr>
  </w:style>
  <w:style w:type="character" w:styleId="Emphasis">
    <w:name w:val="Emphasis"/>
    <w:basedOn w:val="DefaultParagraphFont"/>
    <w:uiPriority w:val="20"/>
    <w:qFormat/>
    <w:rsid w:val="001A213A"/>
    <w:rPr>
      <w:i/>
      <w:iCs/>
    </w:rPr>
  </w:style>
  <w:style w:type="paragraph" w:styleId="Title">
    <w:name w:val="Title"/>
    <w:basedOn w:val="Normal"/>
    <w:next w:val="Normal"/>
    <w:link w:val="TitleChar"/>
    <w:qFormat/>
    <w:rsid w:val="001A213A"/>
    <w:pPr>
      <w:tabs>
        <w:tab w:val="clear" w:pos="794"/>
        <w:tab w:val="clear" w:pos="1191"/>
        <w:tab w:val="clear" w:pos="1588"/>
        <w:tab w:val="clear" w:pos="1985"/>
      </w:tabs>
      <w:overflowPunct/>
      <w:autoSpaceDE/>
      <w:autoSpaceDN/>
      <w:adjustRightInd/>
      <w:spacing w:before="0"/>
      <w:contextualSpacing/>
      <w:jc w:val="left"/>
      <w:textAlignment w:val="auto"/>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1A213A"/>
    <w:rPr>
      <w:rFonts w:asciiTheme="majorHAnsi" w:eastAsiaTheme="majorEastAsia" w:hAnsiTheme="majorHAnsi" w:cstheme="majorBidi"/>
      <w:spacing w:val="-10"/>
      <w:kern w:val="28"/>
      <w:sz w:val="56"/>
      <w:szCs w:val="56"/>
      <w:lang w:val="en-GB" w:eastAsia="en-US"/>
    </w:rPr>
  </w:style>
  <w:style w:type="paragraph" w:styleId="NoSpacing">
    <w:name w:val="No Spacing"/>
    <w:uiPriority w:val="1"/>
    <w:qFormat/>
    <w:rsid w:val="001A213A"/>
    <w:rPr>
      <w:rFonts w:eastAsiaTheme="minorEastAsia"/>
      <w:sz w:val="24"/>
      <w:szCs w:val="24"/>
      <w:lang w:val="en-GB" w:eastAsia="en-US"/>
    </w:rPr>
  </w:style>
  <w:style w:type="character" w:styleId="BookTitle">
    <w:name w:val="Book Title"/>
    <w:basedOn w:val="DefaultParagraphFont"/>
    <w:uiPriority w:val="33"/>
    <w:qFormat/>
    <w:rsid w:val="001A213A"/>
    <w:rPr>
      <w:b/>
      <w:bCs/>
      <w:i/>
      <w:iCs/>
      <w:spacing w:val="5"/>
    </w:rPr>
  </w:style>
  <w:style w:type="character" w:styleId="IntenseReference">
    <w:name w:val="Intense Reference"/>
    <w:basedOn w:val="DefaultParagraphFont"/>
    <w:uiPriority w:val="32"/>
    <w:qFormat/>
    <w:rsid w:val="001A213A"/>
    <w:rPr>
      <w:b/>
      <w:bCs/>
      <w:smallCaps/>
      <w:color w:val="4F81BD" w:themeColor="accent1"/>
      <w:spacing w:val="5"/>
    </w:rPr>
  </w:style>
  <w:style w:type="character" w:styleId="SubtleReference">
    <w:name w:val="Subtle Reference"/>
    <w:basedOn w:val="DefaultParagraphFont"/>
    <w:uiPriority w:val="31"/>
    <w:qFormat/>
    <w:rsid w:val="001A213A"/>
    <w:rPr>
      <w:smallCaps/>
      <w:color w:val="5A5A5A" w:themeColor="text1" w:themeTint="A5"/>
    </w:rPr>
  </w:style>
  <w:style w:type="paragraph" w:styleId="IntenseQuote">
    <w:name w:val="Intense Quote"/>
    <w:basedOn w:val="Normal"/>
    <w:next w:val="Normal"/>
    <w:link w:val="IntenseQuoteChar"/>
    <w:uiPriority w:val="30"/>
    <w:qFormat/>
    <w:rsid w:val="001A213A"/>
    <w:pPr>
      <w:pBdr>
        <w:top w:val="single" w:sz="4" w:space="10" w:color="4F81BD" w:themeColor="accent1"/>
        <w:bottom w:val="single" w:sz="4" w:space="10" w:color="4F81BD" w:themeColor="accent1"/>
      </w:pBdr>
      <w:tabs>
        <w:tab w:val="clear" w:pos="794"/>
        <w:tab w:val="clear" w:pos="1191"/>
        <w:tab w:val="clear" w:pos="1588"/>
        <w:tab w:val="clear" w:pos="1985"/>
      </w:tabs>
      <w:overflowPunct/>
      <w:autoSpaceDE/>
      <w:autoSpaceDN/>
      <w:adjustRightInd/>
      <w:spacing w:before="360" w:after="360"/>
      <w:ind w:left="864" w:right="864"/>
      <w:jc w:val="center"/>
      <w:textAlignment w:val="auto"/>
    </w:pPr>
    <w:rPr>
      <w:rFonts w:eastAsiaTheme="minorEastAsia"/>
      <w:i/>
      <w:iCs/>
      <w:color w:val="4F81BD" w:themeColor="accent1"/>
      <w:szCs w:val="24"/>
    </w:rPr>
  </w:style>
  <w:style w:type="character" w:customStyle="1" w:styleId="IntenseQuoteChar">
    <w:name w:val="Intense Quote Char"/>
    <w:basedOn w:val="DefaultParagraphFont"/>
    <w:link w:val="IntenseQuote"/>
    <w:uiPriority w:val="30"/>
    <w:rsid w:val="001A213A"/>
    <w:rPr>
      <w:rFonts w:eastAsiaTheme="minorEastAsia"/>
      <w:i/>
      <w:iCs/>
      <w:color w:val="4F81BD" w:themeColor="accent1"/>
      <w:sz w:val="24"/>
      <w:szCs w:val="24"/>
      <w:lang w:val="en-GB" w:eastAsia="en-US"/>
    </w:rPr>
  </w:style>
  <w:style w:type="paragraph" w:styleId="Quote">
    <w:name w:val="Quote"/>
    <w:basedOn w:val="Normal"/>
    <w:next w:val="Normal"/>
    <w:link w:val="QuoteChar"/>
    <w:uiPriority w:val="29"/>
    <w:qFormat/>
    <w:rsid w:val="001A213A"/>
    <w:pPr>
      <w:tabs>
        <w:tab w:val="clear" w:pos="794"/>
        <w:tab w:val="clear" w:pos="1191"/>
        <w:tab w:val="clear" w:pos="1588"/>
        <w:tab w:val="clear" w:pos="1985"/>
      </w:tabs>
      <w:overflowPunct/>
      <w:autoSpaceDE/>
      <w:autoSpaceDN/>
      <w:adjustRightInd/>
      <w:spacing w:before="200" w:after="160"/>
      <w:ind w:left="864" w:right="864"/>
      <w:jc w:val="center"/>
      <w:textAlignment w:val="auto"/>
    </w:pPr>
    <w:rPr>
      <w:rFonts w:eastAsiaTheme="minorEastAsia"/>
      <w:i/>
      <w:iCs/>
      <w:color w:val="404040" w:themeColor="text1" w:themeTint="BF"/>
      <w:szCs w:val="24"/>
    </w:rPr>
  </w:style>
  <w:style w:type="character" w:customStyle="1" w:styleId="QuoteChar">
    <w:name w:val="Quote Char"/>
    <w:basedOn w:val="DefaultParagraphFont"/>
    <w:link w:val="Quote"/>
    <w:uiPriority w:val="29"/>
    <w:rsid w:val="001A213A"/>
    <w:rPr>
      <w:rFonts w:eastAsiaTheme="minorEastAsia"/>
      <w:i/>
      <w:iCs/>
      <w:color w:val="404040" w:themeColor="text1" w:themeTint="BF"/>
      <w:sz w:val="24"/>
      <w:szCs w:val="24"/>
      <w:lang w:val="en-GB" w:eastAsia="en-US"/>
    </w:rPr>
  </w:style>
  <w:style w:type="character" w:customStyle="1" w:styleId="apple-converted-space">
    <w:name w:val="apple-converted-space"/>
    <w:basedOn w:val="DefaultParagraphFont"/>
    <w:rsid w:val="001A213A"/>
  </w:style>
  <w:style w:type="paragraph" w:customStyle="1" w:styleId="Tabletext0">
    <w:name w:val="Tabletext"/>
    <w:basedOn w:val="Normal"/>
    <w:rsid w:val="001A213A"/>
    <w:pPr>
      <w:tabs>
        <w:tab w:val="clear" w:pos="794"/>
        <w:tab w:val="clear" w:pos="1191"/>
        <w:tab w:val="clear" w:pos="1588"/>
        <w:tab w:val="clear" w:pos="1985"/>
      </w:tabs>
      <w:overflowPunct/>
      <w:autoSpaceDE/>
      <w:autoSpaceDN/>
      <w:adjustRightInd/>
      <w:spacing w:before="60" w:after="60"/>
      <w:textAlignment w:val="auto"/>
    </w:pPr>
    <w:rPr>
      <w:rFonts w:ascii="Arial" w:eastAsiaTheme="minorEastAsia" w:hAnsi="Arial"/>
      <w:sz w:val="22"/>
      <w:szCs w:val="24"/>
      <w:lang w:val="en-IE"/>
    </w:rPr>
  </w:style>
  <w:style w:type="paragraph" w:styleId="TOC9">
    <w:name w:val="toc 9"/>
    <w:basedOn w:val="Normal"/>
    <w:next w:val="Normal"/>
    <w:autoRedefine/>
    <w:uiPriority w:val="39"/>
    <w:unhideWhenUsed/>
    <w:rsid w:val="001A213A"/>
    <w:pPr>
      <w:tabs>
        <w:tab w:val="clear" w:pos="794"/>
        <w:tab w:val="clear" w:pos="1191"/>
        <w:tab w:val="clear" w:pos="1588"/>
        <w:tab w:val="clear" w:pos="1985"/>
      </w:tabs>
      <w:overflowPunct/>
      <w:autoSpaceDE/>
      <w:autoSpaceDN/>
      <w:adjustRightInd/>
      <w:spacing w:before="0"/>
      <w:ind w:left="1920"/>
      <w:jc w:val="left"/>
      <w:textAlignment w:val="auto"/>
    </w:pPr>
    <w:rPr>
      <w:rFonts w:asciiTheme="minorHAnsi" w:eastAsiaTheme="minorEastAsia" w:hAnsiTheme="minorHAnsi" w:cstheme="minorHAnsi"/>
      <w:sz w:val="20"/>
      <w:lang w:eastAsia="fr-FR"/>
    </w:rPr>
  </w:style>
  <w:style w:type="character" w:styleId="FollowedHyperlink">
    <w:name w:val="FollowedHyperlink"/>
    <w:basedOn w:val="DefaultParagraphFont"/>
    <w:semiHidden/>
    <w:unhideWhenUsed/>
    <w:rsid w:val="001A213A"/>
    <w:rPr>
      <w:color w:val="800080" w:themeColor="followedHyperlink"/>
      <w:u w:val="single"/>
    </w:rPr>
  </w:style>
  <w:style w:type="paragraph" w:customStyle="1" w:styleId="StyleChapNoNotBold">
    <w:name w:val="Style Chap_No + Not Bold"/>
    <w:basedOn w:val="ChapNo"/>
    <w:rsid w:val="00B40696"/>
    <w:pPr>
      <w:outlineLvl w:val="0"/>
    </w:pPr>
    <w:rPr>
      <w:b w:val="0"/>
    </w:rPr>
  </w:style>
  <w:style w:type="paragraph" w:customStyle="1" w:styleId="StyleChapNoNotBold1">
    <w:name w:val="Style Chap_No + Not Bold1"/>
    <w:basedOn w:val="ChapNo"/>
    <w:rsid w:val="00D203A9"/>
    <w:pPr>
      <w:outlineLvl w:val="0"/>
    </w:pPr>
    <w:rPr>
      <w:b w:val="0"/>
    </w:rPr>
  </w:style>
  <w:style w:type="character" w:customStyle="1" w:styleId="CallChar">
    <w:name w:val="Call Char"/>
    <w:basedOn w:val="DefaultParagraphFont"/>
    <w:link w:val="Call"/>
    <w:locked/>
    <w:rsid w:val="00A812FA"/>
    <w:rPr>
      <w:i/>
      <w:sz w:val="24"/>
      <w:lang w:val="en-GB" w:eastAsia="en-US"/>
    </w:rPr>
  </w:style>
  <w:style w:type="character" w:customStyle="1" w:styleId="Title1Char">
    <w:name w:val="Title 1 Char"/>
    <w:basedOn w:val="DefaultParagraphFont"/>
    <w:link w:val="Title1"/>
    <w:locked/>
    <w:rsid w:val="00A812FA"/>
    <w:rPr>
      <w:caps/>
      <w:sz w:val="28"/>
      <w:lang w:val="en-GB" w:eastAsia="en-US"/>
    </w:rPr>
  </w:style>
  <w:style w:type="character" w:customStyle="1" w:styleId="Title3Char">
    <w:name w:val="Title 3 Char"/>
    <w:basedOn w:val="DefaultParagraphFont"/>
    <w:link w:val="Title3"/>
    <w:locked/>
    <w:rsid w:val="00A812FA"/>
    <w:rPr>
      <w:sz w:val="28"/>
      <w:lang w:val="en-GB" w:eastAsia="en-US"/>
    </w:rPr>
  </w:style>
  <w:style w:type="character" w:customStyle="1" w:styleId="NormalaftertitleChar0">
    <w:name w:val="Normal after title Char"/>
    <w:basedOn w:val="DefaultParagraphFont"/>
    <w:link w:val="Normalaftertitle0"/>
    <w:uiPriority w:val="99"/>
    <w:locked/>
    <w:rsid w:val="00A812FA"/>
    <w:rPr>
      <w:sz w:val="24"/>
      <w:lang w:val="en-GB" w:eastAsia="en-US"/>
    </w:rPr>
  </w:style>
  <w:style w:type="character" w:customStyle="1" w:styleId="a1">
    <w:name w:val="Маркерованный список Знак"/>
    <w:basedOn w:val="DefaultParagraphFont"/>
    <w:link w:val="a"/>
    <w:locked/>
    <w:rsid w:val="00A812FA"/>
    <w:rPr>
      <w:rFonts w:eastAsia="Calibri"/>
      <w:sz w:val="28"/>
      <w:szCs w:val="28"/>
      <w:lang w:val="ru-RU" w:eastAsia="en-US"/>
    </w:rPr>
  </w:style>
  <w:style w:type="paragraph" w:customStyle="1" w:styleId="a">
    <w:name w:val="Маркерованный список"/>
    <w:basedOn w:val="ListParagraph"/>
    <w:link w:val="a1"/>
    <w:qFormat/>
    <w:rsid w:val="00A812FA"/>
    <w:pPr>
      <w:numPr>
        <w:numId w:val="2"/>
      </w:numPr>
      <w:tabs>
        <w:tab w:val="clear" w:pos="1134"/>
        <w:tab w:val="clear" w:pos="1871"/>
        <w:tab w:val="clear" w:pos="2268"/>
      </w:tabs>
      <w:overflowPunct/>
      <w:autoSpaceDE/>
      <w:autoSpaceDN/>
      <w:spacing w:before="0" w:line="360" w:lineRule="auto"/>
      <w:ind w:leftChars="0" w:left="0"/>
      <w:contextualSpacing/>
      <w:jc w:val="both"/>
      <w:textAlignment w:val="auto"/>
    </w:pPr>
    <w:rPr>
      <w:rFonts w:eastAsia="Calibri"/>
      <w:sz w:val="28"/>
      <w:szCs w:val="28"/>
      <w:lang w:val="ru-RU"/>
    </w:rPr>
  </w:style>
  <w:style w:type="character" w:customStyle="1" w:styleId="10">
    <w:name w:val="Таблица_1 Знак"/>
    <w:basedOn w:val="DefaultParagraphFont"/>
    <w:link w:val="11"/>
    <w:locked/>
    <w:rsid w:val="00A812FA"/>
    <w:rPr>
      <w:rFonts w:eastAsiaTheme="minorHAnsi"/>
      <w:sz w:val="22"/>
      <w:szCs w:val="22"/>
      <w:lang w:val="ru-RU" w:eastAsia="ru-RU"/>
    </w:rPr>
  </w:style>
  <w:style w:type="paragraph" w:customStyle="1" w:styleId="11">
    <w:name w:val="Таблица_1"/>
    <w:basedOn w:val="Normal"/>
    <w:link w:val="10"/>
    <w:qFormat/>
    <w:rsid w:val="00A812FA"/>
    <w:pPr>
      <w:tabs>
        <w:tab w:val="clear" w:pos="794"/>
        <w:tab w:val="clear" w:pos="1191"/>
        <w:tab w:val="clear" w:pos="1588"/>
        <w:tab w:val="clear" w:pos="1985"/>
      </w:tabs>
      <w:overflowPunct/>
      <w:autoSpaceDE/>
      <w:autoSpaceDN/>
      <w:adjustRightInd/>
      <w:spacing w:before="0"/>
      <w:textAlignment w:val="auto"/>
    </w:pPr>
    <w:rPr>
      <w:rFonts w:eastAsiaTheme="minorHAnsi"/>
      <w:sz w:val="22"/>
      <w:szCs w:val="22"/>
      <w:lang w:val="ru-RU" w:eastAsia="ru-RU"/>
    </w:rPr>
  </w:style>
  <w:style w:type="character" w:customStyle="1" w:styleId="a2">
    <w:name w:val="Заголовок таблицы Знак"/>
    <w:basedOn w:val="DefaultParagraphFont"/>
    <w:link w:val="a3"/>
    <w:locked/>
    <w:rsid w:val="00A812FA"/>
    <w:rPr>
      <w:rFonts w:eastAsiaTheme="minorHAnsi" w:cstheme="minorBidi"/>
      <w:sz w:val="28"/>
      <w:szCs w:val="28"/>
      <w:lang w:val="ru-RU" w:eastAsia="ru-RU"/>
    </w:rPr>
  </w:style>
  <w:style w:type="paragraph" w:customStyle="1" w:styleId="a3">
    <w:name w:val="Заголовок таблицы"/>
    <w:basedOn w:val="Normal"/>
    <w:link w:val="a2"/>
    <w:qFormat/>
    <w:rsid w:val="00A812FA"/>
    <w:pPr>
      <w:tabs>
        <w:tab w:val="clear" w:pos="794"/>
        <w:tab w:val="clear" w:pos="1191"/>
        <w:tab w:val="clear" w:pos="1588"/>
        <w:tab w:val="clear" w:pos="1985"/>
      </w:tabs>
      <w:overflowPunct/>
      <w:autoSpaceDE/>
      <w:autoSpaceDN/>
      <w:adjustRightInd/>
      <w:spacing w:before="0" w:line="360" w:lineRule="auto"/>
      <w:textAlignment w:val="auto"/>
    </w:pPr>
    <w:rPr>
      <w:rFonts w:eastAsiaTheme="minorHAnsi" w:cstheme="minorBidi"/>
      <w:sz w:val="28"/>
      <w:szCs w:val="28"/>
      <w:lang w:val="ru-RU" w:eastAsia="ru-RU"/>
    </w:rPr>
  </w:style>
  <w:style w:type="character" w:customStyle="1" w:styleId="AnnexNoTitleChar1">
    <w:name w:val="Annex_NoTitle Char1"/>
    <w:link w:val="AnnexNoTitle"/>
    <w:locked/>
    <w:rsid w:val="00A812FA"/>
    <w:rPr>
      <w:b/>
      <w:sz w:val="28"/>
      <w:lang w:val="en-GB" w:eastAsia="en-US"/>
    </w:rPr>
  </w:style>
  <w:style w:type="character" w:styleId="CommentReference">
    <w:name w:val="annotation reference"/>
    <w:basedOn w:val="DefaultParagraphFont"/>
    <w:semiHidden/>
    <w:unhideWhenUsed/>
    <w:rsid w:val="00A812FA"/>
    <w:rPr>
      <w:sz w:val="16"/>
      <w:szCs w:val="16"/>
    </w:rPr>
  </w:style>
  <w:style w:type="character" w:customStyle="1" w:styleId="UnresolvedMention1">
    <w:name w:val="Unresolved Mention1"/>
    <w:basedOn w:val="DefaultParagraphFont"/>
    <w:uiPriority w:val="99"/>
    <w:semiHidden/>
    <w:rsid w:val="00A812FA"/>
    <w:rPr>
      <w:color w:val="605E5C"/>
      <w:shd w:val="clear" w:color="auto" w:fill="E1DFDD"/>
    </w:rPr>
  </w:style>
  <w:style w:type="character" w:customStyle="1" w:styleId="a4">
    <w:name w:val="_"/>
    <w:basedOn w:val="DefaultParagraphFont"/>
    <w:rsid w:val="00A812FA"/>
  </w:style>
  <w:style w:type="character" w:customStyle="1" w:styleId="ff6">
    <w:name w:val="ff6"/>
    <w:basedOn w:val="DefaultParagraphFont"/>
    <w:rsid w:val="00A812FA"/>
  </w:style>
  <w:style w:type="character" w:customStyle="1" w:styleId="ff5">
    <w:name w:val="ff5"/>
    <w:basedOn w:val="DefaultParagraphFont"/>
    <w:rsid w:val="00A812FA"/>
  </w:style>
  <w:style w:type="character" w:customStyle="1" w:styleId="vlist-s">
    <w:name w:val="vlist-s"/>
    <w:basedOn w:val="DefaultParagraphFont"/>
    <w:rsid w:val="00A812FA"/>
  </w:style>
  <w:style w:type="paragraph" w:customStyle="1" w:styleId="Heading">
    <w:name w:val="Heading_"/>
    <w:basedOn w:val="Headingb"/>
    <w:rsid w:val="00A812FA"/>
    <w:pPr>
      <w:tabs>
        <w:tab w:val="clear" w:pos="794"/>
        <w:tab w:val="clear" w:pos="1191"/>
        <w:tab w:val="clear" w:pos="1588"/>
        <w:tab w:val="clear" w:pos="1985"/>
        <w:tab w:val="left" w:pos="1134"/>
        <w:tab w:val="left" w:pos="1871"/>
        <w:tab w:val="left" w:pos="2268"/>
      </w:tabs>
      <w:jc w:val="left"/>
    </w:pPr>
    <w:rPr>
      <w:rFonts w:ascii="Times New Roman Bold" w:hAnsi="Times New Roman Bold" w:cs="Times New Roman Bold"/>
      <w:sz w:val="22"/>
      <w:szCs w:val="18"/>
      <w:lang w:eastAsia="zh-CN"/>
    </w:rPr>
  </w:style>
  <w:style w:type="paragraph" w:customStyle="1" w:styleId="Headingsummary">
    <w:name w:val="Heading_summary"/>
    <w:basedOn w:val="Heading"/>
    <w:rsid w:val="00A812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1639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image" Target="media/image4.png"/><Relationship Id="rId26" Type="http://schemas.openxmlformats.org/officeDocument/2006/relationships/hyperlink" Target="https://www.itu.int/rec/R-REC-M.2091/en" TargetMode="External"/><Relationship Id="rId39" Type="http://schemas.openxmlformats.org/officeDocument/2006/relationships/hyperlink" Target="https://ieeexplore.ieee.org/document/8731997" TargetMode="External"/><Relationship Id="rId21" Type="http://schemas.openxmlformats.org/officeDocument/2006/relationships/hyperlink" Target="https://www.itu.int/rec/R-REC-SM.1046/en" TargetMode="External"/><Relationship Id="rId34" Type="http://schemas.openxmlformats.org/officeDocument/2006/relationships/hyperlink" Target="https://its.ntia.gov/publications/details.aspx?pub=3204" TargetMode="External"/><Relationship Id="rId42" Type="http://schemas.openxmlformats.org/officeDocument/2006/relationships/hyperlink" Target="https://ietresearch.onlinelibrary.wiley.com/doi/full/10.1049/el.2020.1544" TargetMode="External"/><Relationship Id="rId47" Type="http://schemas.openxmlformats.org/officeDocument/2006/relationships/image" Target="media/image10.png"/><Relationship Id="rId50" Type="http://schemas.openxmlformats.org/officeDocument/2006/relationships/hyperlink" Target="https://maps.google.com/pluscodes/technology/" TargetMode="External"/><Relationship Id="rId55" Type="http://schemas.openxmlformats.org/officeDocument/2006/relationships/image" Target="media/image16.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itu.int/pub/R-QUE-SG01.241" TargetMode="External"/><Relationship Id="rId29" Type="http://schemas.openxmlformats.org/officeDocument/2006/relationships/hyperlink" Target="https://www.itu.int/pub/R-REP-SM.2405" TargetMode="External"/><Relationship Id="rId11" Type="http://schemas.openxmlformats.org/officeDocument/2006/relationships/hyperlink" Target="https://www.itu.int/ITU-R/go/patents/en" TargetMode="External"/><Relationship Id="rId24" Type="http://schemas.openxmlformats.org/officeDocument/2006/relationships/hyperlink" Target="https://www.itu.int/rec/R-REC-P.1411/en" TargetMode="External"/><Relationship Id="rId32" Type="http://schemas.openxmlformats.org/officeDocument/2006/relationships/hyperlink" Target="https://www.itu.int/pub/R-REP-M.2290" TargetMode="External"/><Relationship Id="rId37" Type="http://schemas.openxmlformats.org/officeDocument/2006/relationships/hyperlink" Target="https://www.sciencedirect.com/science/article/pii/S0140366417302177" TargetMode="External"/><Relationship Id="rId40" Type="http://schemas.openxmlformats.org/officeDocument/2006/relationships/hyperlink" Target="https://ieeexplore.ieee.org/document/8666641" TargetMode="External"/><Relationship Id="rId45" Type="http://schemas.openxmlformats.org/officeDocument/2006/relationships/image" Target="media/image8.png"/><Relationship Id="rId53" Type="http://schemas.openxmlformats.org/officeDocument/2006/relationships/image" Target="media/image14.png"/><Relationship Id="rId58" Type="http://schemas.openxmlformats.org/officeDocument/2006/relationships/footer" Target="footer3.xml"/><Relationship Id="rId5" Type="http://schemas.openxmlformats.org/officeDocument/2006/relationships/webSettings" Target="webSettings.xml"/><Relationship Id="rId61" Type="http://schemas.openxmlformats.org/officeDocument/2006/relationships/theme" Target="theme/theme1.xml"/><Relationship Id="rId19" Type="http://schemas.openxmlformats.org/officeDocument/2006/relationships/image" Target="media/image5.png"/><Relationship Id="rId14" Type="http://schemas.openxmlformats.org/officeDocument/2006/relationships/header" Target="header4.xml"/><Relationship Id="rId22" Type="http://schemas.openxmlformats.org/officeDocument/2006/relationships/hyperlink" Target="https://www.itu.int/rec/R-REC-SM.1138/en" TargetMode="External"/><Relationship Id="rId27" Type="http://schemas.openxmlformats.org/officeDocument/2006/relationships/hyperlink" Target="https://www.itu.int/pub/R-REP-SM.2028" TargetMode="External"/><Relationship Id="rId30" Type="http://schemas.openxmlformats.org/officeDocument/2006/relationships/hyperlink" Target="https://www.itu.int/pub/R-REP-F.2438" TargetMode="External"/><Relationship Id="rId35" Type="http://schemas.openxmlformats.org/officeDocument/2006/relationships/hyperlink" Target="https://www.ntia.gov/report/2016/quantitative-assessments-spectrum-usage" TargetMode="External"/><Relationship Id="rId43" Type="http://schemas.openxmlformats.org/officeDocument/2006/relationships/image" Target="media/image6.jpeg"/><Relationship Id="rId48" Type="http://schemas.openxmlformats.org/officeDocument/2006/relationships/image" Target="media/image11.JPG"/><Relationship Id="rId56" Type="http://schemas.openxmlformats.org/officeDocument/2006/relationships/header" Target="header5.xml"/><Relationship Id="rId8" Type="http://schemas.openxmlformats.org/officeDocument/2006/relationships/header" Target="header1.xml"/><Relationship Id="rId51" Type="http://schemas.openxmlformats.org/officeDocument/2006/relationships/hyperlink" Target="https://www.itu.int/rec/R-REC-SM.1046-3-201709-I/en" TargetMode="External"/><Relationship Id="rId3" Type="http://schemas.openxmlformats.org/officeDocument/2006/relationships/styles" Target="styles.xml"/><Relationship Id="rId12" Type="http://schemas.openxmlformats.org/officeDocument/2006/relationships/hyperlink" Target="https://www.itu.int/publ/R-REP/en" TargetMode="External"/><Relationship Id="rId17" Type="http://schemas.openxmlformats.org/officeDocument/2006/relationships/image" Target="media/image3.png"/><Relationship Id="rId25" Type="http://schemas.openxmlformats.org/officeDocument/2006/relationships/hyperlink" Target="https://www.itu.int/rec/R-REC-M.1768/en" TargetMode="External"/><Relationship Id="rId33" Type="http://schemas.openxmlformats.org/officeDocument/2006/relationships/hyperlink" Target="https://www.ntia.gov/sites/default/files/2023-11/j_2021_edition_rev_2023.pdf" TargetMode="External"/><Relationship Id="rId38" Type="http://schemas.openxmlformats.org/officeDocument/2006/relationships/hyperlink" Target="https://ieeexplore.ieee.org/document/8423460" TargetMode="External"/><Relationship Id="rId46" Type="http://schemas.openxmlformats.org/officeDocument/2006/relationships/image" Target="media/image9.png"/><Relationship Id="rId59" Type="http://schemas.openxmlformats.org/officeDocument/2006/relationships/footer" Target="footer4.xml"/><Relationship Id="rId20" Type="http://schemas.openxmlformats.org/officeDocument/2006/relationships/hyperlink" Target="https://www.itu.int/pub/R-HDB-21" TargetMode="External"/><Relationship Id="rId41" Type="http://schemas.openxmlformats.org/officeDocument/2006/relationships/hyperlink" Target="https://ieeexplore.ieee.org/document/8998400" TargetMode="External"/><Relationship Id="rId54"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hyperlink" Target="https://www.itu.int/rec/R-REC-P.452/en" TargetMode="External"/><Relationship Id="rId28" Type="http://schemas.openxmlformats.org/officeDocument/2006/relationships/hyperlink" Target="https://www.itu.int/pub/R-REP-SM.2404" TargetMode="External"/><Relationship Id="rId36" Type="http://schemas.openxmlformats.org/officeDocument/2006/relationships/hyperlink" Target="https://www.ofcom.org.uk/consultations-and-statements/category-1/scc" TargetMode="External"/><Relationship Id="rId49" Type="http://schemas.openxmlformats.org/officeDocument/2006/relationships/image" Target="media/image12.png"/><Relationship Id="rId57" Type="http://schemas.openxmlformats.org/officeDocument/2006/relationships/header" Target="header6.xml"/><Relationship Id="rId10" Type="http://schemas.openxmlformats.org/officeDocument/2006/relationships/footer" Target="footer1.xml"/><Relationship Id="rId31" Type="http://schemas.openxmlformats.org/officeDocument/2006/relationships/hyperlink" Target="https://www.itu.int/pub/R-REP-M.2218/en" TargetMode="External"/><Relationship Id="rId44" Type="http://schemas.openxmlformats.org/officeDocument/2006/relationships/image" Target="media/image7.png"/><Relationship Id="rId52" Type="http://schemas.openxmlformats.org/officeDocument/2006/relationships/image" Target="media/image13.png"/><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3" Type="http://schemas.openxmlformats.org/officeDocument/2006/relationships/hyperlink" Target="https://ieeexplore.ieee.org/abstract/document/5453870" TargetMode="External"/><Relationship Id="rId2" Type="http://schemas.openxmlformats.org/officeDocument/2006/relationships/hyperlink" Target="https://ieeexplore.ieee.org/abstract/document/7510684" TargetMode="External"/><Relationship Id="rId1" Type="http://schemas.openxmlformats.org/officeDocument/2006/relationships/hyperlink" Target="https://www.miit.gov.cn/jgsj/wgj/wjfb/art/2020/art_f1b30a0a1e7341bc8a3b497c04bc7da9.htm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omezy\AppData\Roaming\Microsoft\Templates\BR_Rec_2005.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45CD17-2F1C-4C5B-955B-360D8ACB9E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BR_Rec_2005.dotm</Template>
  <TotalTime>4077</TotalTime>
  <Pages>40</Pages>
  <Words>13370</Words>
  <Characters>73669</Characters>
  <Application>Microsoft Office Word</Application>
  <DocSecurity>0</DocSecurity>
  <Lines>1248</Lines>
  <Paragraphs>537</Paragraphs>
  <ScaleCrop>false</ScaleCrop>
  <HeadingPairs>
    <vt:vector size="2" baseType="variant">
      <vt:variant>
        <vt:lpstr>Title</vt:lpstr>
      </vt:variant>
      <vt:variant>
        <vt:i4>1</vt:i4>
      </vt:variant>
    </vt:vector>
  </HeadingPairs>
  <TitlesOfParts>
    <vt:vector size="1" baseType="lpstr">
      <vt:lpstr>Report ITU-R SM.2570-0 (06/2026) Methodologies for assessing or predicting spectrum availability countries</vt:lpstr>
    </vt:vector>
  </TitlesOfParts>
  <Manager/>
  <Company>ITU</Company>
  <LinksUpToDate>false</LinksUpToDate>
  <CharactersWithSpaces>86502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ITU-R SM.2570-0 (06/2026) Methodologies for assessing or predicting spectrum availability countries</dc:title>
  <dc:subject/>
  <dc:creator/>
  <cp:keywords>SM.2570-0</cp:keywords>
  <dc:description/>
  <cp:lastModifiedBy>Gachet, Christelle</cp:lastModifiedBy>
  <cp:revision>320</cp:revision>
  <cp:lastPrinted>2025-06-27T12:49:00Z</cp:lastPrinted>
  <dcterms:created xsi:type="dcterms:W3CDTF">2025-06-25T04:18:00Z</dcterms:created>
  <dcterms:modified xsi:type="dcterms:W3CDTF">2026-08-03T09:29:00Z</dcterms:modified>
  <cp:category>Template:  BR_Rec_2005.dot   (dès 25.10.2002)</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eader">
    <vt:lpwstr>Rec. </vt:lpwstr>
  </property>
  <property fmtid="{D5CDD505-2E9C-101B-9397-08002B2CF9AE}" pid="3" name="Header 1">
    <vt:lpwstr>Rap. </vt:lpwstr>
  </property>
  <property fmtid="{D5CDD505-2E9C-101B-9397-08002B2CF9AE}" pid="4" name="Header 2">
    <vt:lpwstr>Rep. </vt:lpwstr>
  </property>
  <property fmtid="{D5CDD505-2E9C-101B-9397-08002B2CF9AE}" pid="5" name="Header 3">
    <vt:lpwstr>I. </vt:lpwstr>
  </property>
  <property fmtid="{D5CDD505-2E9C-101B-9397-08002B2CF9AE}" pid="6" name="Header 4">
    <vt:lpwstr>Op. </vt:lpwstr>
  </property>
  <property fmtid="{D5CDD505-2E9C-101B-9397-08002B2CF9AE}" pid="7" name="Header 5">
    <vt:lpwstr>V. </vt:lpwstr>
  </property>
  <property fmtid="{D5CDD505-2E9C-101B-9397-08002B2CF9AE}" pid="8" name="Header 6">
    <vt:lpwstr>Ru. </vt:lpwstr>
  </property>
</Properties>
</file>