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1CDDD" w14:textId="2FAF12A9" w:rsidR="0013550A" w:rsidRPr="00E13B55" w:rsidRDefault="0013550A" w:rsidP="0013550A">
      <w:pPr>
        <w:rPr>
          <w:lang w:val="en-GB"/>
        </w:rPr>
      </w:pPr>
    </w:p>
    <w:p w14:paraId="58C37E76" w14:textId="77777777" w:rsidR="0013550A" w:rsidRPr="00E13B55" w:rsidRDefault="0013550A" w:rsidP="0013550A">
      <w:pPr>
        <w:rPr>
          <w:lang w:val="en-GB"/>
        </w:rPr>
      </w:pPr>
    </w:p>
    <w:p w14:paraId="5ED75346" w14:textId="77777777" w:rsidR="0013550A" w:rsidRPr="00E13B55" w:rsidRDefault="0013550A" w:rsidP="0013550A">
      <w:pPr>
        <w:rPr>
          <w:lang w:val="en-GB"/>
        </w:rPr>
      </w:pPr>
    </w:p>
    <w:p w14:paraId="05A29F8A" w14:textId="77777777" w:rsidR="0013550A" w:rsidRPr="00E13B55" w:rsidRDefault="0013550A" w:rsidP="0013550A">
      <w:pPr>
        <w:rPr>
          <w:lang w:val="en-GB"/>
        </w:rPr>
      </w:pPr>
    </w:p>
    <w:p w14:paraId="4ACF3551" w14:textId="77777777" w:rsidR="0013550A" w:rsidRPr="00E13B55" w:rsidRDefault="0013550A" w:rsidP="0013550A">
      <w:pPr>
        <w:rPr>
          <w:lang w:val="en-GB"/>
        </w:rPr>
      </w:pPr>
    </w:p>
    <w:p w14:paraId="0A3D4982" w14:textId="77777777" w:rsidR="0013550A" w:rsidRPr="00E13B55" w:rsidRDefault="0013550A" w:rsidP="0013550A">
      <w:pPr>
        <w:rPr>
          <w:lang w:val="en-GB"/>
        </w:rPr>
      </w:pPr>
    </w:p>
    <w:p w14:paraId="6C39B4F9" w14:textId="77777777" w:rsidR="0013550A" w:rsidRPr="00E13B55" w:rsidRDefault="0013550A" w:rsidP="0013550A">
      <w:pPr>
        <w:rPr>
          <w:lang w:val="en-GB"/>
        </w:rPr>
      </w:pPr>
    </w:p>
    <w:p w14:paraId="7CE0AFDC" w14:textId="77777777" w:rsidR="0013550A" w:rsidRPr="00E13B55" w:rsidRDefault="0013550A" w:rsidP="0013550A">
      <w:pPr>
        <w:rPr>
          <w:lang w:val="en-GB"/>
        </w:rPr>
      </w:pPr>
    </w:p>
    <w:p w14:paraId="52C7916B" w14:textId="77777777" w:rsidR="0013550A" w:rsidRPr="00E13B55" w:rsidRDefault="0013550A" w:rsidP="0013550A">
      <w:pPr>
        <w:rPr>
          <w:lang w:val="en-GB"/>
        </w:rPr>
      </w:pPr>
    </w:p>
    <w:p w14:paraId="4D229182" w14:textId="77777777" w:rsidR="0013550A" w:rsidRPr="00E13B55" w:rsidRDefault="0013550A" w:rsidP="0013550A">
      <w:pPr>
        <w:rPr>
          <w:lang w:val="en-GB"/>
        </w:rPr>
      </w:pPr>
    </w:p>
    <w:p w14:paraId="423507AF" w14:textId="77777777" w:rsidR="0013550A" w:rsidRPr="00E13B55" w:rsidRDefault="0013550A" w:rsidP="0013550A">
      <w:pPr>
        <w:rPr>
          <w:lang w:val="en-GB"/>
        </w:rPr>
      </w:pPr>
    </w:p>
    <w:p w14:paraId="0774AE27" w14:textId="77777777" w:rsidR="0013550A" w:rsidRPr="00E13B55" w:rsidRDefault="0013550A" w:rsidP="0013550A">
      <w:pPr>
        <w:rPr>
          <w:lang w:val="en-GB"/>
        </w:rPr>
      </w:pPr>
    </w:p>
    <w:tbl>
      <w:tblPr>
        <w:tblW w:w="10089" w:type="dxa"/>
        <w:tblLook w:val="01E0" w:firstRow="1" w:lastRow="1" w:firstColumn="1" w:lastColumn="1" w:noHBand="0" w:noVBand="0"/>
      </w:tblPr>
      <w:tblGrid>
        <w:gridCol w:w="10089"/>
      </w:tblGrid>
      <w:tr w:rsidR="0013550A" w:rsidRPr="00E13B55" w14:paraId="0476F4BB" w14:textId="77777777" w:rsidTr="00E9482F">
        <w:tc>
          <w:tcPr>
            <w:tcW w:w="10089" w:type="dxa"/>
          </w:tcPr>
          <w:p w14:paraId="2249BF06" w14:textId="77777777" w:rsidR="0013550A" w:rsidRPr="00E13B55" w:rsidRDefault="0013550A" w:rsidP="00E9482F">
            <w:pPr>
              <w:spacing w:before="380" w:line="280" w:lineRule="exact"/>
              <w:jc w:val="right"/>
              <w:rPr>
                <w:rFonts w:ascii="Tahoma" w:hAnsi="Tahoma" w:cs="Tahoma"/>
                <w:b/>
                <w:bCs/>
                <w:iCs/>
                <w:color w:val="509141"/>
                <w:sz w:val="32"/>
                <w:szCs w:val="32"/>
                <w:lang w:val="en-GB"/>
              </w:rPr>
            </w:pPr>
            <w:r w:rsidRPr="00E13B55">
              <w:rPr>
                <w:rFonts w:ascii="Tahoma" w:hAnsi="Tahoma" w:cs="Tahoma"/>
                <w:b/>
                <w:bCs/>
                <w:iCs/>
                <w:color w:val="509141"/>
                <w:position w:val="-10"/>
                <w:sz w:val="32"/>
                <w:szCs w:val="32"/>
                <w:lang w:val="en-GB"/>
              </w:rPr>
              <w:object w:dxaOrig="180" w:dyaOrig="340" w14:anchorId="12406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8.15pt" o:ole="">
                  <v:imagedata r:id="rId8" o:title=""/>
                </v:shape>
                <o:OLEObject Type="Embed" ProgID="Equation.3" ShapeID="_x0000_i1025" DrawAspect="Content" ObjectID="_1723272009" r:id="rId9"/>
              </w:object>
            </w:r>
          </w:p>
          <w:p w14:paraId="02320D25" w14:textId="76D8E61B" w:rsidR="0013550A" w:rsidRPr="00E13B55" w:rsidRDefault="0013550A" w:rsidP="00E9482F">
            <w:pPr>
              <w:spacing w:before="380" w:line="280" w:lineRule="exact"/>
              <w:jc w:val="right"/>
              <w:rPr>
                <w:rFonts w:ascii="Tahoma" w:hAnsi="Tahoma" w:cs="Tahoma"/>
                <w:b/>
                <w:bCs/>
                <w:iCs/>
                <w:color w:val="509141"/>
                <w:sz w:val="36"/>
                <w:szCs w:val="36"/>
                <w:lang w:val="en-GB"/>
              </w:rPr>
            </w:pPr>
            <w:proofErr w:type="gramStart"/>
            <w:r w:rsidRPr="00E13B55">
              <w:rPr>
                <w:rFonts w:ascii="Tahoma" w:hAnsi="Tahoma" w:cs="Tahoma"/>
                <w:b/>
                <w:bCs/>
                <w:iCs/>
                <w:color w:val="509141"/>
                <w:sz w:val="36"/>
                <w:szCs w:val="36"/>
                <w:lang w:val="en-GB"/>
              </w:rPr>
              <w:t>Report  ITU</w:t>
            </w:r>
            <w:proofErr w:type="gramEnd"/>
            <w:r w:rsidRPr="00E13B55">
              <w:rPr>
                <w:rFonts w:ascii="Tahoma" w:hAnsi="Tahoma" w:cs="Tahoma"/>
                <w:b/>
                <w:bCs/>
                <w:iCs/>
                <w:color w:val="509141"/>
                <w:sz w:val="36"/>
                <w:szCs w:val="36"/>
                <w:lang w:val="en-GB"/>
              </w:rPr>
              <w:t>-R  SM.2452-</w:t>
            </w:r>
            <w:r w:rsidR="00AD50A5" w:rsidRPr="00E13B55">
              <w:rPr>
                <w:rFonts w:ascii="Tahoma" w:hAnsi="Tahoma" w:cs="Tahoma"/>
                <w:b/>
                <w:bCs/>
                <w:iCs/>
                <w:color w:val="509141"/>
                <w:sz w:val="36"/>
                <w:szCs w:val="36"/>
                <w:lang w:val="en-GB"/>
              </w:rPr>
              <w:t>1</w:t>
            </w:r>
          </w:p>
          <w:p w14:paraId="552EEE40" w14:textId="10750B66" w:rsidR="0013550A" w:rsidRPr="00E13B55" w:rsidRDefault="0013550A" w:rsidP="0013550A">
            <w:pPr>
              <w:spacing w:before="80" w:line="280" w:lineRule="exact"/>
              <w:jc w:val="right"/>
              <w:rPr>
                <w:rFonts w:ascii="Tahoma" w:hAnsi="Tahoma" w:cs="Tahoma"/>
                <w:iCs/>
                <w:color w:val="509141"/>
                <w:szCs w:val="24"/>
                <w:lang w:val="en-GB"/>
              </w:rPr>
            </w:pPr>
            <w:r w:rsidRPr="00E13B55">
              <w:rPr>
                <w:rFonts w:ascii="Tahoma" w:hAnsi="Tahoma" w:cs="Tahoma"/>
                <w:b/>
                <w:bCs/>
                <w:iCs/>
                <w:color w:val="509141"/>
                <w:szCs w:val="24"/>
                <w:lang w:val="en-GB"/>
              </w:rPr>
              <w:t>(0</w:t>
            </w:r>
            <w:r w:rsidR="00AD50A5" w:rsidRPr="00E13B55">
              <w:rPr>
                <w:rFonts w:ascii="Tahoma" w:hAnsi="Tahoma" w:cs="Tahoma"/>
                <w:b/>
                <w:bCs/>
                <w:iCs/>
                <w:color w:val="509141"/>
                <w:szCs w:val="24"/>
                <w:lang w:val="en-GB"/>
              </w:rPr>
              <w:t>7</w:t>
            </w:r>
            <w:r w:rsidRPr="00E13B55">
              <w:rPr>
                <w:rFonts w:ascii="Tahoma" w:hAnsi="Tahoma" w:cs="Tahoma"/>
                <w:b/>
                <w:bCs/>
                <w:iCs/>
                <w:color w:val="509141"/>
                <w:szCs w:val="24"/>
                <w:lang w:val="en-GB"/>
              </w:rPr>
              <w:t>/20</w:t>
            </w:r>
            <w:r w:rsidR="00AD50A5" w:rsidRPr="00E13B55">
              <w:rPr>
                <w:rFonts w:ascii="Tahoma" w:hAnsi="Tahoma" w:cs="Tahoma"/>
                <w:b/>
                <w:bCs/>
                <w:iCs/>
                <w:color w:val="509141"/>
                <w:szCs w:val="24"/>
                <w:lang w:val="en-GB"/>
              </w:rPr>
              <w:t>22</w:t>
            </w:r>
            <w:r w:rsidRPr="00E13B55">
              <w:rPr>
                <w:rFonts w:ascii="Tahoma" w:hAnsi="Tahoma" w:cs="Tahoma"/>
                <w:b/>
                <w:bCs/>
                <w:iCs/>
                <w:color w:val="509141"/>
                <w:szCs w:val="24"/>
                <w:lang w:val="en-GB"/>
              </w:rPr>
              <w:t>)</w:t>
            </w:r>
          </w:p>
        </w:tc>
      </w:tr>
      <w:tr w:rsidR="0013550A" w:rsidRPr="007C6CB3" w14:paraId="255CA08E" w14:textId="77777777" w:rsidTr="00E9482F">
        <w:tc>
          <w:tcPr>
            <w:tcW w:w="10089" w:type="dxa"/>
          </w:tcPr>
          <w:p w14:paraId="62976E7E" w14:textId="77777777" w:rsidR="0013550A" w:rsidRPr="00E13B55" w:rsidRDefault="0013550A" w:rsidP="00E9482F">
            <w:pPr>
              <w:spacing w:before="80" w:line="500" w:lineRule="exact"/>
              <w:jc w:val="right"/>
              <w:rPr>
                <w:rFonts w:ascii="Tahoma" w:hAnsi="Tahoma" w:cs="Tahoma"/>
                <w:b/>
                <w:bCs/>
                <w:iCs/>
                <w:color w:val="509141"/>
                <w:sz w:val="44"/>
                <w:szCs w:val="44"/>
                <w:lang w:val="en-GB"/>
              </w:rPr>
            </w:pPr>
          </w:p>
          <w:p w14:paraId="6676B954" w14:textId="77777777" w:rsidR="0013550A" w:rsidRPr="00E13B55" w:rsidRDefault="0013550A" w:rsidP="00E9482F">
            <w:pPr>
              <w:pStyle w:val="Reptitle"/>
              <w:jc w:val="right"/>
              <w:rPr>
                <w:rFonts w:ascii="Tahoma" w:hAnsi="Tahoma" w:cs="Tahoma"/>
                <w:bCs/>
                <w:iCs/>
                <w:color w:val="509141"/>
                <w:sz w:val="44"/>
                <w:szCs w:val="44"/>
                <w:lang w:val="en-GB"/>
              </w:rPr>
            </w:pPr>
            <w:r w:rsidRPr="00E13B55">
              <w:rPr>
                <w:rFonts w:ascii="Tahoma" w:hAnsi="Tahoma" w:cs="Tahoma"/>
                <w:bCs/>
                <w:iCs/>
                <w:color w:val="509141"/>
                <w:sz w:val="44"/>
                <w:szCs w:val="44"/>
                <w:lang w:val="en-GB" w:eastAsia="zh-CN"/>
              </w:rPr>
              <w:t>Electromagnetic field measurements to assess human exposure</w:t>
            </w:r>
          </w:p>
          <w:p w14:paraId="73B0B862" w14:textId="77777777" w:rsidR="0013550A" w:rsidRPr="00E13B55" w:rsidRDefault="0013550A" w:rsidP="00E9482F">
            <w:pPr>
              <w:spacing w:before="80" w:line="500" w:lineRule="exact"/>
              <w:jc w:val="right"/>
              <w:rPr>
                <w:rFonts w:ascii="Tahoma" w:hAnsi="Tahoma" w:cs="Tahoma"/>
                <w:b/>
                <w:bCs/>
                <w:iCs/>
                <w:color w:val="509141"/>
                <w:sz w:val="44"/>
                <w:szCs w:val="44"/>
                <w:lang w:val="en-GB"/>
              </w:rPr>
            </w:pPr>
          </w:p>
          <w:p w14:paraId="5D9E84E1" w14:textId="77777777" w:rsidR="0013550A" w:rsidRPr="00E13B55" w:rsidRDefault="0013550A" w:rsidP="00E9482F">
            <w:pPr>
              <w:spacing w:before="80" w:line="500" w:lineRule="exact"/>
              <w:jc w:val="right"/>
              <w:rPr>
                <w:rFonts w:ascii="Tahoma" w:hAnsi="Tahoma" w:cs="Tahoma"/>
                <w:b/>
                <w:bCs/>
                <w:iCs/>
                <w:color w:val="509141"/>
                <w:sz w:val="44"/>
                <w:szCs w:val="44"/>
                <w:lang w:val="en-GB"/>
              </w:rPr>
            </w:pPr>
            <w:r w:rsidRPr="00E13B55">
              <w:rPr>
                <w:rFonts w:ascii="Tahoma" w:hAnsi="Tahoma" w:cs="Tahoma"/>
                <w:b/>
                <w:bCs/>
                <w:iCs/>
                <w:color w:val="509141"/>
                <w:sz w:val="44"/>
                <w:szCs w:val="44"/>
                <w:lang w:val="en-GB"/>
              </w:rPr>
              <w:t xml:space="preserve">  </w:t>
            </w:r>
          </w:p>
        </w:tc>
      </w:tr>
      <w:tr w:rsidR="0013550A" w:rsidRPr="00E13B55" w14:paraId="0A6BD23D" w14:textId="77777777" w:rsidTr="00E9482F">
        <w:tc>
          <w:tcPr>
            <w:tcW w:w="10089" w:type="dxa"/>
          </w:tcPr>
          <w:p w14:paraId="6D8821E1" w14:textId="77777777" w:rsidR="0013550A" w:rsidRPr="00E13B55" w:rsidRDefault="0013550A" w:rsidP="00E9482F">
            <w:pPr>
              <w:spacing w:before="80" w:line="280" w:lineRule="exact"/>
              <w:ind w:right="640"/>
              <w:rPr>
                <w:rFonts w:ascii="Tahoma" w:hAnsi="Tahoma" w:cs="Tahoma"/>
                <w:b/>
                <w:bCs/>
                <w:iCs/>
                <w:color w:val="243285"/>
                <w:sz w:val="32"/>
                <w:szCs w:val="32"/>
                <w:lang w:val="en-GB"/>
              </w:rPr>
            </w:pPr>
          </w:p>
          <w:p w14:paraId="1A889AB8" w14:textId="77777777" w:rsidR="0013550A" w:rsidRPr="00E13B55" w:rsidRDefault="0013550A" w:rsidP="00E9482F">
            <w:pPr>
              <w:spacing w:before="80" w:line="280" w:lineRule="exact"/>
              <w:ind w:right="640"/>
              <w:rPr>
                <w:rFonts w:ascii="Tahoma" w:hAnsi="Tahoma" w:cs="Tahoma"/>
                <w:b/>
                <w:bCs/>
                <w:iCs/>
                <w:color w:val="243285"/>
                <w:sz w:val="32"/>
                <w:szCs w:val="32"/>
                <w:lang w:val="en-GB"/>
              </w:rPr>
            </w:pPr>
          </w:p>
          <w:p w14:paraId="05A44091" w14:textId="77777777" w:rsidR="0013550A" w:rsidRPr="00E13B55" w:rsidRDefault="0013550A" w:rsidP="00E9482F">
            <w:pPr>
              <w:spacing w:before="80" w:line="280" w:lineRule="exact"/>
              <w:ind w:right="640"/>
              <w:rPr>
                <w:rFonts w:ascii="Tahoma" w:hAnsi="Tahoma" w:cs="Tahoma"/>
                <w:b/>
                <w:bCs/>
                <w:iCs/>
                <w:color w:val="243285"/>
                <w:sz w:val="32"/>
                <w:szCs w:val="32"/>
                <w:lang w:val="en-GB"/>
              </w:rPr>
            </w:pPr>
          </w:p>
          <w:p w14:paraId="094DA53D" w14:textId="77777777" w:rsidR="0013550A" w:rsidRPr="00E13B55" w:rsidRDefault="0013550A" w:rsidP="00E9482F">
            <w:pPr>
              <w:spacing w:before="80" w:after="180" w:line="360" w:lineRule="exact"/>
              <w:jc w:val="right"/>
              <w:rPr>
                <w:rFonts w:ascii="Tahoma" w:hAnsi="Tahoma" w:cs="Tahoma"/>
                <w:b/>
                <w:bCs/>
                <w:iCs/>
                <w:color w:val="243285"/>
                <w:sz w:val="36"/>
                <w:szCs w:val="36"/>
                <w:lang w:val="en-GB"/>
              </w:rPr>
            </w:pPr>
          </w:p>
          <w:p w14:paraId="02C8CF3C" w14:textId="77777777" w:rsidR="0013550A" w:rsidRPr="00E13B55" w:rsidRDefault="0013550A" w:rsidP="00E9482F">
            <w:pPr>
              <w:spacing w:before="80" w:after="180" w:line="360" w:lineRule="exact"/>
              <w:jc w:val="right"/>
              <w:rPr>
                <w:rFonts w:ascii="Tahoma" w:hAnsi="Tahoma" w:cs="Tahoma"/>
                <w:b/>
                <w:bCs/>
                <w:iCs/>
                <w:color w:val="509141"/>
                <w:sz w:val="36"/>
                <w:szCs w:val="36"/>
                <w:lang w:val="en-GB"/>
              </w:rPr>
            </w:pPr>
            <w:r w:rsidRPr="00E13B55">
              <w:rPr>
                <w:rFonts w:ascii="Tahoma" w:hAnsi="Tahoma" w:cs="Tahoma"/>
                <w:b/>
                <w:bCs/>
                <w:iCs/>
                <w:color w:val="509141"/>
                <w:sz w:val="36"/>
                <w:szCs w:val="36"/>
                <w:lang w:val="en-GB"/>
              </w:rPr>
              <w:t>SM Series</w:t>
            </w:r>
          </w:p>
          <w:p w14:paraId="6CC2DB81" w14:textId="77777777" w:rsidR="0013550A" w:rsidRPr="00E13B55" w:rsidRDefault="0013550A" w:rsidP="00E9482F">
            <w:pPr>
              <w:spacing w:before="80" w:line="420" w:lineRule="exact"/>
              <w:jc w:val="right"/>
              <w:rPr>
                <w:rFonts w:ascii="Tahoma" w:hAnsi="Tahoma" w:cs="Tahoma"/>
                <w:b/>
                <w:bCs/>
                <w:iCs/>
                <w:color w:val="509141"/>
                <w:sz w:val="36"/>
                <w:szCs w:val="36"/>
                <w:lang w:val="en-GB"/>
              </w:rPr>
            </w:pPr>
            <w:r w:rsidRPr="00E13B55">
              <w:rPr>
                <w:rFonts w:ascii="Tahoma" w:hAnsi="Tahoma" w:cs="Tahoma"/>
                <w:b/>
                <w:bCs/>
                <w:iCs/>
                <w:color w:val="509141"/>
                <w:sz w:val="36"/>
                <w:szCs w:val="36"/>
                <w:lang w:val="en-GB"/>
              </w:rPr>
              <w:t>Spectrum management</w:t>
            </w:r>
          </w:p>
        </w:tc>
      </w:tr>
    </w:tbl>
    <w:p w14:paraId="656D27A1" w14:textId="77777777" w:rsidR="0013550A" w:rsidRPr="00E13B55" w:rsidRDefault="0013550A" w:rsidP="0013550A">
      <w:pPr>
        <w:spacing w:before="80"/>
        <w:rPr>
          <w:i/>
          <w:sz w:val="22"/>
          <w:lang w:val="en-GB"/>
        </w:rPr>
      </w:pPr>
    </w:p>
    <w:p w14:paraId="2796318B" w14:textId="77777777" w:rsidR="0013550A" w:rsidRPr="00E13B55" w:rsidRDefault="0013550A" w:rsidP="0013550A">
      <w:pPr>
        <w:spacing w:before="80"/>
        <w:rPr>
          <w:i/>
          <w:sz w:val="22"/>
          <w:lang w:val="en-GB"/>
        </w:rPr>
      </w:pPr>
    </w:p>
    <w:p w14:paraId="47F7641B" w14:textId="77777777" w:rsidR="0013550A" w:rsidRPr="00E13B55" w:rsidRDefault="0013550A" w:rsidP="0013550A">
      <w:pPr>
        <w:spacing w:before="80"/>
        <w:rPr>
          <w:i/>
          <w:sz w:val="22"/>
          <w:lang w:val="en-GB"/>
        </w:rPr>
      </w:pPr>
    </w:p>
    <w:p w14:paraId="78C84C00" w14:textId="77777777" w:rsidR="0013550A" w:rsidRPr="00E13B55" w:rsidRDefault="0013550A" w:rsidP="0013550A">
      <w:pPr>
        <w:spacing w:before="80"/>
        <w:rPr>
          <w:i/>
          <w:sz w:val="22"/>
          <w:lang w:val="en-GB"/>
        </w:rPr>
      </w:pPr>
    </w:p>
    <w:p w14:paraId="3718A74B" w14:textId="77777777" w:rsidR="0013550A" w:rsidRPr="00E13B55" w:rsidRDefault="0013550A" w:rsidP="0013550A">
      <w:pPr>
        <w:spacing w:before="80"/>
        <w:rPr>
          <w:i/>
          <w:sz w:val="22"/>
          <w:lang w:val="en-GB"/>
        </w:rPr>
      </w:pPr>
    </w:p>
    <w:p w14:paraId="47D6B57F" w14:textId="77777777" w:rsidR="0013550A" w:rsidRPr="00E13B55" w:rsidRDefault="0013550A" w:rsidP="0013550A">
      <w:pPr>
        <w:spacing w:before="80"/>
        <w:rPr>
          <w:i/>
          <w:sz w:val="22"/>
          <w:lang w:val="en-GB"/>
        </w:rPr>
      </w:pPr>
    </w:p>
    <w:p w14:paraId="12FDAD65" w14:textId="77777777" w:rsidR="0013550A" w:rsidRPr="00E13B55" w:rsidRDefault="0013550A" w:rsidP="0013550A">
      <w:pPr>
        <w:rPr>
          <w:rFonts w:ascii="Palatino Linotype" w:hAnsi="Palatino Linotype"/>
          <w:lang w:val="en-GB"/>
        </w:rPr>
        <w:sectPr w:rsidR="0013550A" w:rsidRPr="00E13B55" w:rsidSect="009A351D">
          <w:headerReference w:type="even" r:id="rId10"/>
          <w:headerReference w:type="default" r:id="rId11"/>
          <w:pgSz w:w="11907" w:h="16840" w:code="9"/>
          <w:pgMar w:top="1089" w:right="1089" w:bottom="284" w:left="1089" w:header="567" w:footer="284" w:gutter="0"/>
          <w:pgNumType w:start="1"/>
          <w:cols w:space="720"/>
        </w:sectPr>
      </w:pPr>
    </w:p>
    <w:p w14:paraId="28F1B085" w14:textId="77777777" w:rsidR="0013550A" w:rsidRPr="00E13B55" w:rsidRDefault="0013550A" w:rsidP="0013550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E13B55">
        <w:rPr>
          <w:bCs/>
          <w:sz w:val="24"/>
          <w:szCs w:val="24"/>
          <w:lang w:val="en-GB"/>
        </w:rPr>
        <w:lastRenderedPageBreak/>
        <w:t>Foreword</w:t>
      </w:r>
    </w:p>
    <w:p w14:paraId="5B0D93F7" w14:textId="77777777" w:rsidR="0013550A" w:rsidRPr="00E13B55" w:rsidRDefault="0013550A" w:rsidP="0013550A">
      <w:pPr>
        <w:spacing w:before="240"/>
        <w:rPr>
          <w:sz w:val="20"/>
          <w:lang w:val="en-GB"/>
        </w:rPr>
      </w:pPr>
      <w:r w:rsidRPr="00E13B55">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E13B55">
        <w:rPr>
          <w:sz w:val="20"/>
          <w:lang w:val="en-GB"/>
        </w:rPr>
        <w:t>on the basis of</w:t>
      </w:r>
      <w:proofErr w:type="gramEnd"/>
      <w:r w:rsidRPr="00E13B55">
        <w:rPr>
          <w:sz w:val="20"/>
          <w:lang w:val="en-GB"/>
        </w:rPr>
        <w:t xml:space="preserve"> which Recommendations are adopted.</w:t>
      </w:r>
    </w:p>
    <w:p w14:paraId="32F246AB" w14:textId="77777777" w:rsidR="0013550A" w:rsidRPr="00E13B55" w:rsidRDefault="0013550A" w:rsidP="0013550A">
      <w:pPr>
        <w:rPr>
          <w:sz w:val="20"/>
          <w:lang w:val="en-GB"/>
        </w:rPr>
      </w:pPr>
      <w:r w:rsidRPr="00E13B55">
        <w:rPr>
          <w:sz w:val="20"/>
          <w:lang w:val="en-GB"/>
        </w:rPr>
        <w:t>The regulatory and policy functions of the Radiocommunication Sector are performed by World and Regional Radiocommunication Conferences and Radiocommunication Assemblies supported by Study Groups.</w:t>
      </w:r>
    </w:p>
    <w:p w14:paraId="138DE318" w14:textId="77777777" w:rsidR="0013550A" w:rsidRPr="00E13B55" w:rsidRDefault="0013550A" w:rsidP="0013550A">
      <w:pPr>
        <w:pStyle w:val="Heading1"/>
        <w:spacing w:before="400"/>
        <w:jc w:val="center"/>
        <w:rPr>
          <w:szCs w:val="24"/>
          <w:lang w:val="en-GB"/>
        </w:rPr>
      </w:pPr>
    </w:p>
    <w:p w14:paraId="454DC272" w14:textId="77777777" w:rsidR="0013550A" w:rsidRPr="00E13B55" w:rsidRDefault="0013550A" w:rsidP="0013550A">
      <w:pPr>
        <w:pStyle w:val="Heading1"/>
        <w:spacing w:before="540"/>
        <w:jc w:val="center"/>
        <w:rPr>
          <w:szCs w:val="24"/>
          <w:lang w:val="en-GB"/>
        </w:rPr>
      </w:pPr>
      <w:bookmarkStart w:id="1" w:name="_Toc13061981"/>
      <w:bookmarkStart w:id="2" w:name="_Toc112657085"/>
      <w:r w:rsidRPr="00E13B55">
        <w:rPr>
          <w:szCs w:val="24"/>
          <w:lang w:val="en-GB"/>
        </w:rPr>
        <w:t>Policy on Intellectual Property Right (IPR)</w:t>
      </w:r>
      <w:bookmarkEnd w:id="1"/>
      <w:bookmarkEnd w:id="2"/>
    </w:p>
    <w:p w14:paraId="53296821" w14:textId="77777777" w:rsidR="0013550A" w:rsidRPr="00E13B55" w:rsidRDefault="0013550A" w:rsidP="0013550A">
      <w:pPr>
        <w:tabs>
          <w:tab w:val="left" w:pos="720"/>
        </w:tabs>
        <w:spacing w:before="240"/>
        <w:rPr>
          <w:sz w:val="20"/>
          <w:lang w:val="en-GB"/>
        </w:rPr>
      </w:pPr>
      <w:r w:rsidRPr="00E13B55">
        <w:rPr>
          <w:sz w:val="20"/>
          <w:lang w:val="en-GB"/>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2" w:history="1">
        <w:r w:rsidRPr="00E13B55">
          <w:rPr>
            <w:rStyle w:val="Hyperlink"/>
            <w:sz w:val="20"/>
            <w:lang w:val="en-GB"/>
          </w:rPr>
          <w:t>http://www.itu.int/ITU-R/go/patents/en</w:t>
        </w:r>
      </w:hyperlink>
      <w:r w:rsidRPr="00E13B55">
        <w:rPr>
          <w:sz w:val="20"/>
          <w:lang w:val="en-GB"/>
        </w:rPr>
        <w:t xml:space="preserve"> where the Guidelines for Implementation of the Common Patent Policy for ITU</w:t>
      </w:r>
      <w:r w:rsidRPr="00E13B55">
        <w:rPr>
          <w:sz w:val="20"/>
          <w:lang w:val="en-GB"/>
        </w:rPr>
        <w:noBreakHyphen/>
        <w:t>T/ITU</w:t>
      </w:r>
      <w:r w:rsidRPr="00E13B55">
        <w:rPr>
          <w:sz w:val="20"/>
          <w:lang w:val="en-GB"/>
        </w:rPr>
        <w:noBreakHyphen/>
        <w:t xml:space="preserve">R/ISO/IEC and the ITU-R patent information database can also be found. </w:t>
      </w:r>
    </w:p>
    <w:p w14:paraId="768C9639" w14:textId="77777777" w:rsidR="0013550A" w:rsidRPr="00E13B55" w:rsidRDefault="0013550A" w:rsidP="0013550A">
      <w:pPr>
        <w:jc w:val="center"/>
        <w:rPr>
          <w:sz w:val="22"/>
          <w:lang w:val="en-GB"/>
        </w:rPr>
      </w:pPr>
    </w:p>
    <w:p w14:paraId="0A6BF98D" w14:textId="77777777" w:rsidR="0013550A" w:rsidRPr="00E13B55" w:rsidRDefault="0013550A" w:rsidP="0013550A">
      <w:pPr>
        <w:jc w:val="center"/>
        <w:rPr>
          <w:sz w:val="22"/>
          <w:lang w:val="en-GB"/>
        </w:rPr>
      </w:pPr>
    </w:p>
    <w:p w14:paraId="6B515EFA" w14:textId="77777777" w:rsidR="0013550A" w:rsidRPr="00E13B55" w:rsidRDefault="0013550A" w:rsidP="0013550A">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3550A" w:rsidRPr="007C6CB3" w14:paraId="3B8F3D6D" w14:textId="77777777" w:rsidTr="00E9482F">
        <w:tc>
          <w:tcPr>
            <w:tcW w:w="9360" w:type="dxa"/>
            <w:gridSpan w:val="2"/>
            <w:tcBorders>
              <w:top w:val="single" w:sz="12" w:space="0" w:color="000080"/>
              <w:left w:val="single" w:sz="12" w:space="0" w:color="000080"/>
              <w:bottom w:val="nil"/>
              <w:right w:val="single" w:sz="12" w:space="0" w:color="000080"/>
            </w:tcBorders>
          </w:tcPr>
          <w:p w14:paraId="2BB584F9" w14:textId="77777777" w:rsidR="0013550A" w:rsidRPr="00E13B55" w:rsidRDefault="0013550A" w:rsidP="00E9482F">
            <w:pPr>
              <w:pStyle w:val="ChapNo"/>
              <w:spacing w:before="240"/>
              <w:rPr>
                <w:sz w:val="22"/>
                <w:szCs w:val="22"/>
                <w:lang w:val="en-GB"/>
              </w:rPr>
            </w:pPr>
            <w:r w:rsidRPr="00E13B55">
              <w:rPr>
                <w:sz w:val="22"/>
                <w:szCs w:val="22"/>
                <w:lang w:val="en-GB"/>
              </w:rPr>
              <w:t xml:space="preserve">Series of ITU-R Reports </w:t>
            </w:r>
          </w:p>
          <w:p w14:paraId="6DBB0A83" w14:textId="77777777" w:rsidR="0013550A" w:rsidRPr="00E13B55" w:rsidRDefault="0013550A" w:rsidP="00E9482F">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E13B55">
              <w:rPr>
                <w:b w:val="0"/>
                <w:sz w:val="18"/>
                <w:szCs w:val="18"/>
                <w:lang w:val="en-GB"/>
              </w:rPr>
              <w:t xml:space="preserve">(Also available online at </w:t>
            </w:r>
            <w:hyperlink r:id="rId13" w:history="1">
              <w:r w:rsidRPr="00E13B55">
                <w:rPr>
                  <w:rStyle w:val="Hyperlink"/>
                  <w:b w:val="0"/>
                  <w:bCs/>
                  <w:sz w:val="18"/>
                  <w:szCs w:val="18"/>
                  <w:lang w:val="en-GB"/>
                </w:rPr>
                <w:t>http://www.itu.int/publ/R-REP/en</w:t>
              </w:r>
            </w:hyperlink>
            <w:r w:rsidRPr="00E13B55">
              <w:rPr>
                <w:b w:val="0"/>
                <w:sz w:val="18"/>
                <w:szCs w:val="18"/>
                <w:lang w:val="en-GB"/>
              </w:rPr>
              <w:t>)</w:t>
            </w:r>
          </w:p>
        </w:tc>
      </w:tr>
      <w:tr w:rsidR="0013550A" w:rsidRPr="00E13B55" w14:paraId="1577591E" w14:textId="77777777" w:rsidTr="00E9482F">
        <w:tc>
          <w:tcPr>
            <w:tcW w:w="1140" w:type="dxa"/>
            <w:tcBorders>
              <w:top w:val="nil"/>
              <w:left w:val="single" w:sz="12" w:space="0" w:color="000080"/>
              <w:bottom w:val="nil"/>
              <w:right w:val="nil"/>
            </w:tcBorders>
          </w:tcPr>
          <w:p w14:paraId="01343F91" w14:textId="77777777" w:rsidR="0013550A" w:rsidRPr="00E13B55" w:rsidRDefault="0013550A" w:rsidP="00E9482F">
            <w:pPr>
              <w:spacing w:before="200" w:after="100"/>
              <w:ind w:left="57"/>
              <w:rPr>
                <w:b/>
                <w:bCs/>
                <w:sz w:val="20"/>
                <w:lang w:val="en-GB"/>
              </w:rPr>
            </w:pPr>
            <w:r w:rsidRPr="00E13B55">
              <w:rPr>
                <w:b/>
                <w:bCs/>
                <w:sz w:val="20"/>
                <w:lang w:val="en-GB"/>
              </w:rPr>
              <w:t>Series</w:t>
            </w:r>
          </w:p>
        </w:tc>
        <w:tc>
          <w:tcPr>
            <w:tcW w:w="8220" w:type="dxa"/>
            <w:tcBorders>
              <w:top w:val="nil"/>
              <w:left w:val="nil"/>
              <w:bottom w:val="nil"/>
              <w:right w:val="single" w:sz="12" w:space="0" w:color="000080"/>
            </w:tcBorders>
          </w:tcPr>
          <w:p w14:paraId="4C773D4C" w14:textId="77777777" w:rsidR="0013550A" w:rsidRPr="00E13B55" w:rsidRDefault="0013550A" w:rsidP="00E9482F">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E13B55">
              <w:rPr>
                <w:bCs/>
                <w:sz w:val="20"/>
                <w:lang w:val="en-GB"/>
              </w:rPr>
              <w:t>Title</w:t>
            </w:r>
          </w:p>
        </w:tc>
      </w:tr>
      <w:tr w:rsidR="0013550A" w:rsidRPr="00E13B55" w14:paraId="7B5A9906" w14:textId="77777777" w:rsidTr="00E9482F">
        <w:tc>
          <w:tcPr>
            <w:tcW w:w="1140" w:type="dxa"/>
            <w:tcBorders>
              <w:top w:val="nil"/>
              <w:left w:val="single" w:sz="12" w:space="0" w:color="000080"/>
              <w:bottom w:val="nil"/>
              <w:right w:val="nil"/>
            </w:tcBorders>
            <w:shd w:val="clear" w:color="auto" w:fill="auto"/>
          </w:tcPr>
          <w:p w14:paraId="1EA27DF0" w14:textId="77777777" w:rsidR="0013550A" w:rsidRPr="00E13B55" w:rsidRDefault="0013550A" w:rsidP="00E9482F">
            <w:pPr>
              <w:spacing w:before="30" w:after="30"/>
              <w:ind w:left="57"/>
              <w:jc w:val="left"/>
              <w:rPr>
                <w:rFonts w:ascii="Times New Roman Bold" w:hAnsi="Times New Roman Bold" w:cs="Times New Roman Bold"/>
                <w:b/>
                <w:bCs/>
                <w:sz w:val="20"/>
                <w:lang w:val="en-GB"/>
              </w:rPr>
            </w:pPr>
            <w:r w:rsidRPr="00E13B55">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14:paraId="5AC60FD7" w14:textId="77777777" w:rsidR="0013550A" w:rsidRPr="00E13B55" w:rsidRDefault="0013550A" w:rsidP="00E9482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13B55">
              <w:rPr>
                <w:b w:val="0"/>
                <w:sz w:val="20"/>
                <w:lang w:val="en-GB"/>
              </w:rPr>
              <w:t>Satellite delivery</w:t>
            </w:r>
          </w:p>
        </w:tc>
      </w:tr>
      <w:tr w:rsidR="0013550A" w:rsidRPr="007C6CB3" w14:paraId="562E9A69" w14:textId="77777777" w:rsidTr="00E9482F">
        <w:tc>
          <w:tcPr>
            <w:tcW w:w="1140" w:type="dxa"/>
            <w:tcBorders>
              <w:top w:val="nil"/>
              <w:left w:val="single" w:sz="12" w:space="0" w:color="000080"/>
              <w:bottom w:val="nil"/>
              <w:right w:val="nil"/>
            </w:tcBorders>
          </w:tcPr>
          <w:p w14:paraId="5DAD66ED" w14:textId="77777777" w:rsidR="0013550A" w:rsidRPr="00E13B55" w:rsidRDefault="0013550A" w:rsidP="00E9482F">
            <w:pPr>
              <w:spacing w:before="30" w:after="30"/>
              <w:ind w:left="57"/>
              <w:jc w:val="left"/>
              <w:rPr>
                <w:b/>
                <w:bCs/>
                <w:sz w:val="20"/>
                <w:lang w:val="en-GB"/>
              </w:rPr>
            </w:pPr>
            <w:r w:rsidRPr="00E13B55">
              <w:rPr>
                <w:b/>
                <w:bCs/>
                <w:sz w:val="20"/>
                <w:lang w:val="en-GB"/>
              </w:rPr>
              <w:t>BR</w:t>
            </w:r>
          </w:p>
        </w:tc>
        <w:tc>
          <w:tcPr>
            <w:tcW w:w="8220" w:type="dxa"/>
            <w:tcBorders>
              <w:top w:val="nil"/>
              <w:left w:val="nil"/>
              <w:bottom w:val="nil"/>
              <w:right w:val="single" w:sz="12" w:space="0" w:color="000080"/>
            </w:tcBorders>
          </w:tcPr>
          <w:p w14:paraId="605273BA" w14:textId="77777777" w:rsidR="0013550A" w:rsidRPr="00E13B55" w:rsidRDefault="0013550A" w:rsidP="00E9482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13B55">
              <w:rPr>
                <w:b w:val="0"/>
                <w:sz w:val="20"/>
                <w:lang w:val="en-GB"/>
              </w:rPr>
              <w:t>Recording for production, archival and play-out; film for television</w:t>
            </w:r>
          </w:p>
        </w:tc>
      </w:tr>
      <w:tr w:rsidR="0013550A" w:rsidRPr="00E13B55" w14:paraId="14637C04" w14:textId="77777777" w:rsidTr="00E9482F">
        <w:tc>
          <w:tcPr>
            <w:tcW w:w="1140" w:type="dxa"/>
            <w:tcBorders>
              <w:top w:val="nil"/>
              <w:left w:val="single" w:sz="12" w:space="0" w:color="000080"/>
              <w:bottom w:val="nil"/>
              <w:right w:val="nil"/>
            </w:tcBorders>
            <w:shd w:val="clear" w:color="auto" w:fill="auto"/>
          </w:tcPr>
          <w:p w14:paraId="54E680F0" w14:textId="77777777" w:rsidR="0013550A" w:rsidRPr="00E13B55" w:rsidRDefault="0013550A" w:rsidP="00E9482F">
            <w:pPr>
              <w:spacing w:before="30" w:after="30"/>
              <w:ind w:left="57"/>
              <w:jc w:val="left"/>
              <w:rPr>
                <w:rFonts w:ascii="Times New Roman Bold" w:hAnsi="Times New Roman Bold" w:cs="Times New Roman Bold"/>
                <w:b/>
                <w:bCs/>
                <w:sz w:val="20"/>
                <w:lang w:val="en-GB"/>
              </w:rPr>
            </w:pPr>
            <w:r w:rsidRPr="00E13B55">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14:paraId="29ED6C61" w14:textId="77777777" w:rsidR="0013550A" w:rsidRPr="00E13B55" w:rsidRDefault="0013550A" w:rsidP="00E9482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13B55">
              <w:rPr>
                <w:b w:val="0"/>
                <w:sz w:val="20"/>
                <w:lang w:val="en-GB"/>
              </w:rPr>
              <w:t>Broadcasting service (sound)</w:t>
            </w:r>
          </w:p>
        </w:tc>
      </w:tr>
      <w:tr w:rsidR="0013550A" w:rsidRPr="00E13B55" w14:paraId="16605819" w14:textId="77777777" w:rsidTr="00E9482F">
        <w:tc>
          <w:tcPr>
            <w:tcW w:w="1140" w:type="dxa"/>
            <w:tcBorders>
              <w:top w:val="nil"/>
              <w:left w:val="single" w:sz="12" w:space="0" w:color="000080"/>
              <w:bottom w:val="nil"/>
              <w:right w:val="nil"/>
            </w:tcBorders>
            <w:shd w:val="clear" w:color="auto" w:fill="auto"/>
          </w:tcPr>
          <w:p w14:paraId="47995076" w14:textId="77777777" w:rsidR="0013550A" w:rsidRPr="00E13B55" w:rsidRDefault="0013550A" w:rsidP="00E9482F">
            <w:pPr>
              <w:spacing w:before="30" w:after="30"/>
              <w:ind w:left="57"/>
              <w:jc w:val="left"/>
              <w:rPr>
                <w:rFonts w:ascii="Times New Roman Bold" w:hAnsi="Times New Roman Bold" w:cs="Times New Roman Bold"/>
                <w:b/>
                <w:bCs/>
                <w:sz w:val="20"/>
                <w:lang w:val="en-GB"/>
              </w:rPr>
            </w:pPr>
            <w:r w:rsidRPr="00E13B55">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5FB0A2BF" w14:textId="77777777" w:rsidR="0013550A" w:rsidRPr="00E13B55" w:rsidRDefault="0013550A" w:rsidP="00E9482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13B55">
              <w:rPr>
                <w:b w:val="0"/>
                <w:sz w:val="20"/>
                <w:lang w:val="en-GB"/>
              </w:rPr>
              <w:t>Broadcasting service (television)</w:t>
            </w:r>
          </w:p>
        </w:tc>
      </w:tr>
      <w:tr w:rsidR="0013550A" w:rsidRPr="00E13B55" w14:paraId="2E4288EA" w14:textId="77777777" w:rsidTr="00E9482F">
        <w:tc>
          <w:tcPr>
            <w:tcW w:w="1140" w:type="dxa"/>
            <w:tcBorders>
              <w:top w:val="nil"/>
              <w:left w:val="single" w:sz="12" w:space="0" w:color="000080"/>
              <w:bottom w:val="nil"/>
              <w:right w:val="nil"/>
            </w:tcBorders>
            <w:shd w:val="clear" w:color="auto" w:fill="auto"/>
          </w:tcPr>
          <w:p w14:paraId="09208157" w14:textId="77777777" w:rsidR="0013550A" w:rsidRPr="00E13B55" w:rsidRDefault="0013550A" w:rsidP="00E9482F">
            <w:pPr>
              <w:spacing w:before="30" w:after="30"/>
              <w:ind w:left="57"/>
              <w:jc w:val="left"/>
              <w:rPr>
                <w:rFonts w:ascii="Times New Roman Bold" w:hAnsi="Times New Roman Bold" w:cs="Times New Roman Bold"/>
                <w:b/>
                <w:bCs/>
                <w:sz w:val="20"/>
                <w:lang w:val="en-GB"/>
              </w:rPr>
            </w:pPr>
            <w:r w:rsidRPr="00E13B55">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14:paraId="3F0E9A4E" w14:textId="77777777" w:rsidR="0013550A" w:rsidRPr="00E13B55" w:rsidRDefault="0013550A" w:rsidP="00E9482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13B55">
              <w:rPr>
                <w:sz w:val="20"/>
                <w:lang w:val="en-GB"/>
              </w:rPr>
              <w:t>Fixed service</w:t>
            </w:r>
          </w:p>
        </w:tc>
      </w:tr>
      <w:tr w:rsidR="0013550A" w:rsidRPr="00E13B55" w14:paraId="544112F3" w14:textId="77777777" w:rsidTr="00E9482F">
        <w:tc>
          <w:tcPr>
            <w:tcW w:w="1140" w:type="dxa"/>
            <w:tcBorders>
              <w:top w:val="nil"/>
              <w:left w:val="single" w:sz="12" w:space="0" w:color="000080"/>
              <w:bottom w:val="nil"/>
              <w:right w:val="nil"/>
            </w:tcBorders>
            <w:shd w:val="clear" w:color="auto" w:fill="auto"/>
          </w:tcPr>
          <w:p w14:paraId="498B4609" w14:textId="77777777" w:rsidR="0013550A" w:rsidRPr="00E13B55" w:rsidRDefault="0013550A" w:rsidP="00E9482F">
            <w:pPr>
              <w:spacing w:before="30" w:after="30"/>
              <w:ind w:left="57"/>
              <w:jc w:val="left"/>
              <w:rPr>
                <w:b/>
                <w:bCs/>
                <w:sz w:val="20"/>
                <w:lang w:val="en-GB"/>
              </w:rPr>
            </w:pPr>
            <w:r w:rsidRPr="00E13B55">
              <w:rPr>
                <w:b/>
                <w:bCs/>
                <w:sz w:val="20"/>
                <w:lang w:val="en-GB"/>
              </w:rPr>
              <w:t>M</w:t>
            </w:r>
          </w:p>
        </w:tc>
        <w:tc>
          <w:tcPr>
            <w:tcW w:w="8220" w:type="dxa"/>
            <w:tcBorders>
              <w:top w:val="nil"/>
              <w:left w:val="nil"/>
              <w:bottom w:val="nil"/>
              <w:right w:val="single" w:sz="12" w:space="0" w:color="000080"/>
            </w:tcBorders>
            <w:shd w:val="clear" w:color="auto" w:fill="auto"/>
          </w:tcPr>
          <w:p w14:paraId="7F0A969D" w14:textId="77777777" w:rsidR="0013550A" w:rsidRPr="00E13B55" w:rsidRDefault="0013550A" w:rsidP="00E9482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13B55">
              <w:rPr>
                <w:b w:val="0"/>
                <w:sz w:val="20"/>
                <w:lang w:val="en-GB"/>
              </w:rPr>
              <w:t>Mobile, radiodetermination, amateur and related satellite services</w:t>
            </w:r>
          </w:p>
        </w:tc>
      </w:tr>
      <w:tr w:rsidR="0013550A" w:rsidRPr="00E13B55" w14:paraId="2CEB26AE" w14:textId="77777777" w:rsidTr="00E9482F">
        <w:tc>
          <w:tcPr>
            <w:tcW w:w="1140" w:type="dxa"/>
            <w:tcBorders>
              <w:top w:val="nil"/>
              <w:left w:val="single" w:sz="12" w:space="0" w:color="000080"/>
              <w:bottom w:val="nil"/>
              <w:right w:val="nil"/>
            </w:tcBorders>
            <w:shd w:val="clear" w:color="auto" w:fill="auto"/>
          </w:tcPr>
          <w:p w14:paraId="5F80CF50" w14:textId="77777777" w:rsidR="0013550A" w:rsidRPr="00E13B55" w:rsidRDefault="0013550A" w:rsidP="00E9482F">
            <w:pPr>
              <w:spacing w:before="30" w:after="30"/>
              <w:ind w:left="57"/>
              <w:jc w:val="left"/>
              <w:rPr>
                <w:rFonts w:ascii="Times New Roman Bold" w:hAnsi="Times New Roman Bold" w:cs="Times New Roman Bold"/>
                <w:b/>
                <w:bCs/>
                <w:sz w:val="20"/>
                <w:lang w:val="en-GB"/>
              </w:rPr>
            </w:pPr>
            <w:r w:rsidRPr="00E13B55">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14:paraId="6B9E2480" w14:textId="77777777" w:rsidR="0013550A" w:rsidRPr="00E13B55" w:rsidRDefault="0013550A" w:rsidP="00E9482F">
            <w:pPr>
              <w:spacing w:before="30" w:after="30"/>
              <w:jc w:val="left"/>
              <w:rPr>
                <w:sz w:val="20"/>
                <w:lang w:val="en-GB"/>
              </w:rPr>
            </w:pPr>
            <w:proofErr w:type="spellStart"/>
            <w:r w:rsidRPr="00E13B55">
              <w:rPr>
                <w:sz w:val="20"/>
                <w:lang w:val="en-GB"/>
              </w:rPr>
              <w:t>Radiowave</w:t>
            </w:r>
            <w:proofErr w:type="spellEnd"/>
            <w:r w:rsidRPr="00E13B55">
              <w:rPr>
                <w:sz w:val="20"/>
                <w:lang w:val="en-GB"/>
              </w:rPr>
              <w:t xml:space="preserve"> propagation</w:t>
            </w:r>
          </w:p>
        </w:tc>
      </w:tr>
      <w:tr w:rsidR="0013550A" w:rsidRPr="00E13B55" w14:paraId="0A07672D" w14:textId="77777777" w:rsidTr="00E9482F">
        <w:tc>
          <w:tcPr>
            <w:tcW w:w="1140" w:type="dxa"/>
            <w:tcBorders>
              <w:top w:val="nil"/>
              <w:left w:val="single" w:sz="12" w:space="0" w:color="000080"/>
              <w:bottom w:val="nil"/>
              <w:right w:val="nil"/>
            </w:tcBorders>
            <w:shd w:val="clear" w:color="auto" w:fill="auto"/>
          </w:tcPr>
          <w:p w14:paraId="5437B581" w14:textId="77777777" w:rsidR="0013550A" w:rsidRPr="00E13B55" w:rsidRDefault="0013550A" w:rsidP="00E9482F">
            <w:pPr>
              <w:spacing w:before="30" w:after="30"/>
              <w:ind w:left="57"/>
              <w:jc w:val="left"/>
              <w:rPr>
                <w:rFonts w:ascii="Times New Roman Bold" w:hAnsi="Times New Roman Bold" w:cs="Times New Roman Bold"/>
                <w:b/>
                <w:bCs/>
                <w:sz w:val="20"/>
                <w:lang w:val="en-GB"/>
              </w:rPr>
            </w:pPr>
            <w:r w:rsidRPr="00E13B55">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14:paraId="783AFCF6" w14:textId="77777777" w:rsidR="0013550A" w:rsidRPr="00E13B55" w:rsidRDefault="0013550A" w:rsidP="00E9482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13B55">
              <w:rPr>
                <w:sz w:val="20"/>
                <w:lang w:val="en-GB"/>
              </w:rPr>
              <w:t>Radio astronomy</w:t>
            </w:r>
          </w:p>
        </w:tc>
      </w:tr>
      <w:tr w:rsidR="0013550A" w:rsidRPr="00E13B55" w14:paraId="32DEBEDB" w14:textId="77777777" w:rsidTr="00E9482F">
        <w:tc>
          <w:tcPr>
            <w:tcW w:w="1140" w:type="dxa"/>
            <w:tcBorders>
              <w:top w:val="nil"/>
              <w:left w:val="single" w:sz="12" w:space="0" w:color="000080"/>
              <w:bottom w:val="nil"/>
              <w:right w:val="nil"/>
            </w:tcBorders>
            <w:shd w:val="clear" w:color="auto" w:fill="auto"/>
          </w:tcPr>
          <w:p w14:paraId="590DDBEC" w14:textId="77777777" w:rsidR="0013550A" w:rsidRPr="00E13B55" w:rsidRDefault="0013550A" w:rsidP="00E9482F">
            <w:pPr>
              <w:spacing w:before="30" w:after="30"/>
              <w:ind w:left="57"/>
              <w:jc w:val="left"/>
              <w:rPr>
                <w:rFonts w:ascii="Times New Roman Bold" w:hAnsi="Times New Roman Bold" w:cs="Times New Roman Bold"/>
                <w:b/>
                <w:bCs/>
                <w:sz w:val="20"/>
                <w:lang w:val="en-GB"/>
              </w:rPr>
            </w:pPr>
            <w:r w:rsidRPr="00E13B55">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14:paraId="03BADDE1" w14:textId="77777777" w:rsidR="0013550A" w:rsidRPr="00E13B55" w:rsidRDefault="0013550A" w:rsidP="00E9482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13B55">
              <w:rPr>
                <w:sz w:val="20"/>
                <w:lang w:val="en-GB"/>
              </w:rPr>
              <w:t>Remote sensing systems</w:t>
            </w:r>
          </w:p>
        </w:tc>
      </w:tr>
      <w:tr w:rsidR="0013550A" w:rsidRPr="00E13B55" w14:paraId="42FB3578" w14:textId="77777777" w:rsidTr="00E9482F">
        <w:tc>
          <w:tcPr>
            <w:tcW w:w="1140" w:type="dxa"/>
            <w:tcBorders>
              <w:top w:val="nil"/>
              <w:left w:val="single" w:sz="12" w:space="0" w:color="000080"/>
              <w:bottom w:val="nil"/>
              <w:right w:val="nil"/>
            </w:tcBorders>
            <w:shd w:val="clear" w:color="auto" w:fill="auto"/>
          </w:tcPr>
          <w:p w14:paraId="264CA14A" w14:textId="77777777" w:rsidR="0013550A" w:rsidRPr="00E13B55" w:rsidRDefault="0013550A" w:rsidP="00E9482F">
            <w:pPr>
              <w:spacing w:before="30" w:after="30"/>
              <w:ind w:left="57"/>
              <w:jc w:val="left"/>
              <w:rPr>
                <w:rFonts w:ascii="Times New Roman Bold" w:hAnsi="Times New Roman Bold" w:cs="Times New Roman Bold"/>
                <w:b/>
                <w:bCs/>
                <w:sz w:val="20"/>
                <w:lang w:val="en-GB"/>
              </w:rPr>
            </w:pPr>
            <w:r w:rsidRPr="00E13B55">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14:paraId="64D46388" w14:textId="77777777" w:rsidR="0013550A" w:rsidRPr="00E13B55" w:rsidRDefault="0013550A" w:rsidP="00E9482F">
            <w:pPr>
              <w:spacing w:before="30" w:after="30"/>
              <w:jc w:val="left"/>
              <w:rPr>
                <w:sz w:val="20"/>
                <w:lang w:val="en-GB"/>
              </w:rPr>
            </w:pPr>
            <w:r w:rsidRPr="00E13B55">
              <w:rPr>
                <w:sz w:val="20"/>
                <w:lang w:val="en-GB"/>
              </w:rPr>
              <w:t>Fixed-satellite service</w:t>
            </w:r>
          </w:p>
        </w:tc>
      </w:tr>
      <w:tr w:rsidR="0013550A" w:rsidRPr="00E13B55" w14:paraId="5014E78D" w14:textId="77777777" w:rsidTr="00E9482F">
        <w:tc>
          <w:tcPr>
            <w:tcW w:w="1140" w:type="dxa"/>
            <w:tcBorders>
              <w:top w:val="nil"/>
              <w:left w:val="single" w:sz="12" w:space="0" w:color="000080"/>
              <w:bottom w:val="nil"/>
              <w:right w:val="nil"/>
            </w:tcBorders>
            <w:shd w:val="clear" w:color="auto" w:fill="auto"/>
          </w:tcPr>
          <w:p w14:paraId="3A3F0700" w14:textId="77777777" w:rsidR="0013550A" w:rsidRPr="00E13B55" w:rsidRDefault="0013550A" w:rsidP="00E9482F">
            <w:pPr>
              <w:spacing w:before="30" w:after="30"/>
              <w:ind w:left="57"/>
              <w:jc w:val="left"/>
              <w:rPr>
                <w:rFonts w:ascii="Times New Roman Bold" w:hAnsi="Times New Roman Bold" w:cs="Times New Roman Bold"/>
                <w:b/>
                <w:bCs/>
                <w:sz w:val="20"/>
                <w:lang w:val="en-GB"/>
              </w:rPr>
            </w:pPr>
            <w:r w:rsidRPr="00E13B55">
              <w:rPr>
                <w:rFonts w:ascii="Times New Roman Bold" w:hAnsi="Times New Roman Bold" w:cs="Times New Roman Bold"/>
                <w:b/>
                <w:bCs/>
                <w:sz w:val="20"/>
                <w:lang w:val="en-GB"/>
              </w:rPr>
              <w:t>SA</w:t>
            </w:r>
          </w:p>
        </w:tc>
        <w:tc>
          <w:tcPr>
            <w:tcW w:w="8220" w:type="dxa"/>
            <w:tcBorders>
              <w:top w:val="nil"/>
              <w:left w:val="nil"/>
              <w:bottom w:val="nil"/>
              <w:right w:val="single" w:sz="12" w:space="0" w:color="000080"/>
            </w:tcBorders>
            <w:shd w:val="clear" w:color="auto" w:fill="auto"/>
          </w:tcPr>
          <w:p w14:paraId="1EFC4CA4" w14:textId="77777777" w:rsidR="0013550A" w:rsidRPr="00E13B55" w:rsidRDefault="0013550A" w:rsidP="00E9482F">
            <w:pPr>
              <w:spacing w:before="30" w:after="30"/>
              <w:jc w:val="left"/>
              <w:rPr>
                <w:sz w:val="20"/>
                <w:lang w:val="en-GB"/>
              </w:rPr>
            </w:pPr>
            <w:r w:rsidRPr="00E13B55">
              <w:rPr>
                <w:sz w:val="20"/>
                <w:lang w:val="en-GB"/>
              </w:rPr>
              <w:t>Space applications and meteorology</w:t>
            </w:r>
          </w:p>
        </w:tc>
      </w:tr>
      <w:tr w:rsidR="0013550A" w:rsidRPr="007C6CB3" w14:paraId="4A65670A" w14:textId="77777777" w:rsidTr="00E9482F">
        <w:tc>
          <w:tcPr>
            <w:tcW w:w="1140" w:type="dxa"/>
            <w:tcBorders>
              <w:top w:val="nil"/>
              <w:left w:val="single" w:sz="12" w:space="0" w:color="000080"/>
              <w:bottom w:val="nil"/>
              <w:right w:val="nil"/>
            </w:tcBorders>
            <w:shd w:val="clear" w:color="auto" w:fill="auto"/>
          </w:tcPr>
          <w:p w14:paraId="4D03D9FF" w14:textId="77777777" w:rsidR="0013550A" w:rsidRPr="00E13B55" w:rsidRDefault="0013550A" w:rsidP="00E9482F">
            <w:pPr>
              <w:spacing w:before="30" w:after="30"/>
              <w:ind w:left="57"/>
              <w:jc w:val="left"/>
              <w:rPr>
                <w:rFonts w:ascii="Times New Roman Bold" w:hAnsi="Times New Roman Bold" w:cs="Times New Roman Bold"/>
                <w:b/>
                <w:bCs/>
                <w:sz w:val="20"/>
                <w:lang w:val="en-GB"/>
              </w:rPr>
            </w:pPr>
            <w:r w:rsidRPr="00E13B55">
              <w:rPr>
                <w:rFonts w:ascii="Times New Roman Bold" w:hAnsi="Times New Roman Bold" w:cs="Times New Roman Bold"/>
                <w:b/>
                <w:bCs/>
                <w:sz w:val="20"/>
                <w:lang w:val="en-GB"/>
              </w:rPr>
              <w:t>SF</w:t>
            </w:r>
          </w:p>
        </w:tc>
        <w:tc>
          <w:tcPr>
            <w:tcW w:w="8220" w:type="dxa"/>
            <w:tcBorders>
              <w:top w:val="nil"/>
              <w:left w:val="nil"/>
              <w:bottom w:val="nil"/>
              <w:right w:val="single" w:sz="12" w:space="0" w:color="000080"/>
            </w:tcBorders>
            <w:shd w:val="clear" w:color="auto" w:fill="auto"/>
          </w:tcPr>
          <w:p w14:paraId="27CEFA4F" w14:textId="77777777" w:rsidR="0013550A" w:rsidRPr="00E13B55" w:rsidRDefault="0013550A" w:rsidP="00E9482F">
            <w:pPr>
              <w:spacing w:before="30" w:after="30"/>
              <w:jc w:val="left"/>
              <w:rPr>
                <w:sz w:val="20"/>
                <w:lang w:val="en-GB"/>
              </w:rPr>
            </w:pPr>
            <w:r w:rsidRPr="00E13B55">
              <w:rPr>
                <w:sz w:val="20"/>
                <w:lang w:val="en-GB"/>
              </w:rPr>
              <w:t>Frequency sharing and coordination between fixed-satellite and fixed service systems</w:t>
            </w:r>
          </w:p>
        </w:tc>
      </w:tr>
      <w:tr w:rsidR="0013550A" w:rsidRPr="00E13B55" w14:paraId="6D7B9DE1" w14:textId="77777777" w:rsidTr="00E9482F">
        <w:tc>
          <w:tcPr>
            <w:tcW w:w="1140" w:type="dxa"/>
            <w:tcBorders>
              <w:top w:val="nil"/>
              <w:left w:val="single" w:sz="12" w:space="0" w:color="000080"/>
              <w:bottom w:val="single" w:sz="12" w:space="0" w:color="000080"/>
              <w:right w:val="nil"/>
            </w:tcBorders>
            <w:shd w:val="clear" w:color="auto" w:fill="F3F3F3"/>
          </w:tcPr>
          <w:p w14:paraId="2F2EC945" w14:textId="77777777" w:rsidR="0013550A" w:rsidRPr="00E13B55" w:rsidRDefault="0013550A" w:rsidP="00E9482F">
            <w:pPr>
              <w:spacing w:before="30" w:after="30"/>
              <w:ind w:left="57"/>
              <w:jc w:val="left"/>
              <w:rPr>
                <w:b/>
                <w:bCs/>
                <w:color w:val="000080"/>
                <w:sz w:val="20"/>
                <w:lang w:val="en-GB"/>
              </w:rPr>
            </w:pPr>
            <w:r w:rsidRPr="00E13B55">
              <w:rPr>
                <w:b/>
                <w:bCs/>
                <w:color w:val="000080"/>
                <w:sz w:val="20"/>
                <w:lang w:val="en-GB"/>
              </w:rPr>
              <w:t>SM</w:t>
            </w:r>
          </w:p>
        </w:tc>
        <w:tc>
          <w:tcPr>
            <w:tcW w:w="8220" w:type="dxa"/>
            <w:tcBorders>
              <w:top w:val="nil"/>
              <w:left w:val="nil"/>
              <w:bottom w:val="single" w:sz="12" w:space="0" w:color="000080"/>
              <w:right w:val="single" w:sz="12" w:space="0" w:color="000080"/>
            </w:tcBorders>
            <w:shd w:val="clear" w:color="auto" w:fill="F3F3F3"/>
          </w:tcPr>
          <w:p w14:paraId="30EC1F5A" w14:textId="77777777" w:rsidR="0013550A" w:rsidRPr="00E13B55" w:rsidRDefault="0013550A" w:rsidP="00E9482F">
            <w:pPr>
              <w:spacing w:before="30" w:after="180"/>
              <w:jc w:val="left"/>
              <w:rPr>
                <w:b/>
                <w:bCs/>
                <w:color w:val="000080"/>
                <w:sz w:val="20"/>
                <w:lang w:val="en-GB"/>
              </w:rPr>
            </w:pPr>
            <w:r w:rsidRPr="00E13B55">
              <w:rPr>
                <w:b/>
                <w:bCs/>
                <w:color w:val="000080"/>
                <w:sz w:val="20"/>
                <w:lang w:val="en-GB"/>
              </w:rPr>
              <w:t>Spectrum management</w:t>
            </w:r>
          </w:p>
        </w:tc>
      </w:tr>
    </w:tbl>
    <w:p w14:paraId="3A64A6F1" w14:textId="77777777" w:rsidR="0013550A" w:rsidRPr="00E13B55" w:rsidRDefault="0013550A" w:rsidP="0013550A">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13550A" w:rsidRPr="00E13B55" w14:paraId="40BF6F09" w14:textId="77777777" w:rsidTr="00E9482F">
        <w:tc>
          <w:tcPr>
            <w:tcW w:w="720" w:type="dxa"/>
          </w:tcPr>
          <w:p w14:paraId="42653C19" w14:textId="77777777" w:rsidR="0013550A" w:rsidRPr="00E13B55" w:rsidRDefault="0013550A" w:rsidP="00E9482F">
            <w:pPr>
              <w:jc w:val="center"/>
              <w:rPr>
                <w:sz w:val="22"/>
                <w:lang w:val="en-GB"/>
              </w:rPr>
            </w:pPr>
          </w:p>
        </w:tc>
      </w:tr>
    </w:tbl>
    <w:p w14:paraId="0B1391F3" w14:textId="77777777" w:rsidR="0013550A" w:rsidRPr="00E13B55" w:rsidRDefault="0013550A" w:rsidP="0013550A">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13550A" w:rsidRPr="007C6CB3" w14:paraId="1C84DF96" w14:textId="77777777" w:rsidTr="00E9482F">
        <w:tc>
          <w:tcPr>
            <w:tcW w:w="9360" w:type="dxa"/>
            <w:tcBorders>
              <w:top w:val="single" w:sz="12" w:space="0" w:color="000080"/>
              <w:left w:val="single" w:sz="12" w:space="0" w:color="000080"/>
              <w:bottom w:val="single" w:sz="12" w:space="0" w:color="000080"/>
              <w:right w:val="single" w:sz="12" w:space="0" w:color="000080"/>
            </w:tcBorders>
          </w:tcPr>
          <w:p w14:paraId="08D2DD6A" w14:textId="77777777" w:rsidR="0013550A" w:rsidRPr="00E13B55" w:rsidRDefault="0013550A" w:rsidP="00E9482F">
            <w:pPr>
              <w:spacing w:after="120"/>
              <w:jc w:val="left"/>
              <w:rPr>
                <w:b/>
                <w:bCs/>
                <w:sz w:val="20"/>
                <w:lang w:val="en-GB"/>
              </w:rPr>
            </w:pPr>
            <w:r w:rsidRPr="00E13B55">
              <w:rPr>
                <w:b/>
                <w:bCs/>
                <w:i/>
                <w:iCs/>
                <w:sz w:val="20"/>
                <w:lang w:val="en-GB"/>
              </w:rPr>
              <w:t>Note</w:t>
            </w:r>
            <w:r w:rsidRPr="00E13B55">
              <w:rPr>
                <w:i/>
                <w:iCs/>
                <w:sz w:val="20"/>
                <w:lang w:val="en-GB"/>
              </w:rPr>
              <w:t>: This ITU-R Report was approved in English by the Study Group under the procedure detailed in Resolution ITU-R 1.</w:t>
            </w:r>
          </w:p>
        </w:tc>
      </w:tr>
    </w:tbl>
    <w:p w14:paraId="30823A2F" w14:textId="77777777" w:rsidR="0013550A" w:rsidRPr="00E13B55" w:rsidRDefault="0013550A" w:rsidP="0013550A">
      <w:pPr>
        <w:spacing w:before="0"/>
        <w:jc w:val="center"/>
        <w:rPr>
          <w:sz w:val="22"/>
          <w:lang w:val="en-GB"/>
        </w:rPr>
      </w:pPr>
    </w:p>
    <w:p w14:paraId="0EFEFBDD" w14:textId="77777777" w:rsidR="0013550A" w:rsidRPr="00E13B55" w:rsidRDefault="0013550A" w:rsidP="0013550A">
      <w:pPr>
        <w:spacing w:before="0"/>
        <w:jc w:val="center"/>
        <w:rPr>
          <w:sz w:val="22"/>
          <w:lang w:val="en-GB"/>
        </w:rPr>
      </w:pPr>
    </w:p>
    <w:p w14:paraId="6710F824" w14:textId="77777777" w:rsidR="0013550A" w:rsidRPr="00E13B55" w:rsidRDefault="0013550A" w:rsidP="0013550A">
      <w:pPr>
        <w:spacing w:before="0"/>
        <w:jc w:val="right"/>
        <w:rPr>
          <w:i/>
          <w:iCs/>
          <w:sz w:val="20"/>
          <w:lang w:val="en-GB"/>
        </w:rPr>
      </w:pPr>
      <w:r w:rsidRPr="00E13B55">
        <w:rPr>
          <w:i/>
          <w:iCs/>
          <w:sz w:val="20"/>
          <w:lang w:val="en-GB"/>
        </w:rPr>
        <w:t>Electronic Publication</w:t>
      </w:r>
    </w:p>
    <w:p w14:paraId="110C7963" w14:textId="2679888B" w:rsidR="0013550A" w:rsidRPr="00E13B55" w:rsidRDefault="0013550A" w:rsidP="0013550A">
      <w:pPr>
        <w:spacing w:before="0"/>
        <w:jc w:val="right"/>
        <w:rPr>
          <w:sz w:val="20"/>
          <w:lang w:val="en-GB"/>
        </w:rPr>
      </w:pPr>
      <w:r w:rsidRPr="00E13B55">
        <w:rPr>
          <w:sz w:val="20"/>
          <w:lang w:val="en-GB"/>
        </w:rPr>
        <w:t>Geneva, 20</w:t>
      </w:r>
      <w:r w:rsidR="00FC178D" w:rsidRPr="00E13B55">
        <w:rPr>
          <w:sz w:val="20"/>
          <w:lang w:val="en-GB"/>
        </w:rPr>
        <w:t>22</w:t>
      </w:r>
    </w:p>
    <w:p w14:paraId="26998B8E" w14:textId="7457D8D7" w:rsidR="0013550A" w:rsidRPr="00E13B55" w:rsidRDefault="0013550A" w:rsidP="0013550A">
      <w:pPr>
        <w:jc w:val="center"/>
        <w:rPr>
          <w:sz w:val="20"/>
          <w:lang w:val="en-GB"/>
        </w:rPr>
      </w:pPr>
      <w:r w:rsidRPr="00E13B55">
        <w:rPr>
          <w:sz w:val="20"/>
          <w:lang w:val="en-GB"/>
        </w:rPr>
        <w:sym w:font="Symbol" w:char="00E3"/>
      </w:r>
      <w:r w:rsidRPr="00E13B55">
        <w:rPr>
          <w:sz w:val="20"/>
          <w:lang w:val="en-GB"/>
        </w:rPr>
        <w:t xml:space="preserve"> ITU </w:t>
      </w:r>
      <w:bookmarkStart w:id="3" w:name="iiannee"/>
      <w:bookmarkEnd w:id="3"/>
      <w:r w:rsidRPr="00E13B55">
        <w:rPr>
          <w:sz w:val="20"/>
          <w:lang w:val="en-GB"/>
        </w:rPr>
        <w:t>20</w:t>
      </w:r>
      <w:r w:rsidR="00FC178D" w:rsidRPr="00E13B55">
        <w:rPr>
          <w:sz w:val="20"/>
          <w:lang w:val="en-GB"/>
        </w:rPr>
        <w:t>22</w:t>
      </w:r>
    </w:p>
    <w:p w14:paraId="6B8B9017" w14:textId="77777777" w:rsidR="0013550A" w:rsidRPr="00E13B55" w:rsidRDefault="0013550A" w:rsidP="0013550A">
      <w:pPr>
        <w:rPr>
          <w:sz w:val="18"/>
          <w:szCs w:val="18"/>
          <w:lang w:val="en-GB"/>
        </w:rPr>
      </w:pPr>
      <w:r w:rsidRPr="00E13B55">
        <w:rPr>
          <w:sz w:val="18"/>
          <w:szCs w:val="18"/>
          <w:lang w:val="en-GB"/>
        </w:rPr>
        <w:t>All rights reserved. No part of this publication may be reproduced, by any means whatsoever, without written permission of ITU.</w:t>
      </w:r>
    </w:p>
    <w:p w14:paraId="6423A376" w14:textId="77777777" w:rsidR="0013550A" w:rsidRPr="00E13B55" w:rsidRDefault="0013550A" w:rsidP="0013550A">
      <w:pPr>
        <w:tabs>
          <w:tab w:val="clear" w:pos="794"/>
          <w:tab w:val="clear" w:pos="1191"/>
          <w:tab w:val="clear" w:pos="1588"/>
          <w:tab w:val="clear" w:pos="1985"/>
        </w:tabs>
        <w:overflowPunct/>
        <w:autoSpaceDE/>
        <w:autoSpaceDN/>
        <w:adjustRightInd/>
        <w:spacing w:before="0"/>
        <w:jc w:val="left"/>
        <w:rPr>
          <w:i/>
          <w:sz w:val="20"/>
          <w:lang w:val="en-GB"/>
        </w:rPr>
        <w:sectPr w:rsidR="0013550A" w:rsidRPr="00E13B55">
          <w:pgSz w:w="11907" w:h="16834"/>
          <w:pgMar w:top="1418" w:right="1134" w:bottom="1134" w:left="1134" w:header="720" w:footer="482" w:gutter="0"/>
          <w:paperSrc w:first="15" w:other="15"/>
          <w:pgNumType w:fmt="lowerRoman" w:start="2"/>
          <w:cols w:space="720"/>
        </w:sectPr>
      </w:pPr>
    </w:p>
    <w:p w14:paraId="4642CF4B" w14:textId="542F6A3D" w:rsidR="0013550A" w:rsidRPr="00E13B55" w:rsidRDefault="0013550A" w:rsidP="0013550A">
      <w:pPr>
        <w:pStyle w:val="RepNo"/>
        <w:spacing w:before="0"/>
        <w:rPr>
          <w:lang w:val="en-GB"/>
        </w:rPr>
      </w:pPr>
      <w:bookmarkStart w:id="4" w:name="irecnoe"/>
      <w:bookmarkEnd w:id="4"/>
      <w:proofErr w:type="gramStart"/>
      <w:r w:rsidRPr="00E13B55">
        <w:rPr>
          <w:lang w:val="en-GB"/>
        </w:rPr>
        <w:lastRenderedPageBreak/>
        <w:t xml:space="preserve">REPORT  </w:t>
      </w:r>
      <w:r w:rsidRPr="00E13B55">
        <w:rPr>
          <w:rStyle w:val="href"/>
          <w:lang w:val="en-GB"/>
        </w:rPr>
        <w:t>ITU</w:t>
      </w:r>
      <w:proofErr w:type="gramEnd"/>
      <w:r w:rsidRPr="00E13B55">
        <w:rPr>
          <w:rStyle w:val="href"/>
          <w:lang w:val="en-GB"/>
        </w:rPr>
        <w:t>-R  SM.2452-</w:t>
      </w:r>
      <w:r w:rsidR="00FC178D" w:rsidRPr="00E13B55">
        <w:rPr>
          <w:rStyle w:val="href"/>
          <w:lang w:val="en-GB"/>
        </w:rPr>
        <w:t>1</w:t>
      </w:r>
    </w:p>
    <w:p w14:paraId="0C173988" w14:textId="77777777" w:rsidR="0013550A" w:rsidRPr="00E13B55" w:rsidRDefault="0013550A" w:rsidP="00FD4BC6">
      <w:pPr>
        <w:pStyle w:val="Restitle"/>
        <w:rPr>
          <w:lang w:val="en-GB"/>
        </w:rPr>
      </w:pPr>
      <w:r w:rsidRPr="00E13B55">
        <w:rPr>
          <w:lang w:val="en-GB"/>
        </w:rPr>
        <w:t>Electromagnetic field measurements to assess human exposure</w:t>
      </w:r>
    </w:p>
    <w:p w14:paraId="7206BC3E" w14:textId="0A0DC578" w:rsidR="0013550A" w:rsidRPr="00E13B55" w:rsidRDefault="0013550A" w:rsidP="0013550A">
      <w:pPr>
        <w:pStyle w:val="Repdate"/>
        <w:rPr>
          <w:lang w:val="en-GB"/>
        </w:rPr>
      </w:pPr>
      <w:r w:rsidRPr="00E13B55">
        <w:rPr>
          <w:lang w:val="en-GB"/>
        </w:rPr>
        <w:t>(2019</w:t>
      </w:r>
      <w:r w:rsidR="00FC178D" w:rsidRPr="00E13B55">
        <w:rPr>
          <w:lang w:val="en-GB"/>
        </w:rPr>
        <w:t>-2022</w:t>
      </w:r>
      <w:r w:rsidRPr="00E13B55">
        <w:rPr>
          <w:lang w:val="en-GB"/>
        </w:rPr>
        <w:t>)</w:t>
      </w:r>
    </w:p>
    <w:p w14:paraId="07708C51" w14:textId="6C3B71AA" w:rsidR="0013550A" w:rsidRPr="00E13B55" w:rsidRDefault="000219E1" w:rsidP="00CE1AE5">
      <w:pPr>
        <w:jc w:val="center"/>
        <w:rPr>
          <w:lang w:val="en-GB"/>
        </w:rPr>
      </w:pPr>
      <w:r w:rsidRPr="00E13B55">
        <w:rPr>
          <w:lang w:val="en-GB"/>
        </w:rPr>
        <w:t>TABLE OF CONTENTS</w:t>
      </w:r>
    </w:p>
    <w:p w14:paraId="03C3A139" w14:textId="77777777" w:rsidR="0013550A" w:rsidRPr="00E13B55" w:rsidRDefault="0013550A" w:rsidP="00CE1AE5">
      <w:pPr>
        <w:pStyle w:val="toc0"/>
        <w:jc w:val="right"/>
        <w:rPr>
          <w:lang w:val="en-GB"/>
        </w:rPr>
      </w:pPr>
      <w:r w:rsidRPr="00E13B55">
        <w:rPr>
          <w:lang w:val="en-GB"/>
        </w:rPr>
        <w:t>Page</w:t>
      </w:r>
    </w:p>
    <w:p w14:paraId="448938CA" w14:textId="5281EE84" w:rsidR="007D31A3" w:rsidRDefault="00225CA4">
      <w:pPr>
        <w:pStyle w:val="TOC1"/>
        <w:rPr>
          <w:rFonts w:asciiTheme="minorHAnsi" w:eastAsiaTheme="minorEastAsia" w:hAnsiTheme="minorHAnsi" w:cstheme="minorBidi"/>
          <w:noProof/>
          <w:sz w:val="22"/>
          <w:szCs w:val="22"/>
          <w:lang w:val="en-GB" w:eastAsia="en-GB"/>
        </w:rPr>
      </w:pPr>
      <w:r w:rsidRPr="00E13B55">
        <w:rPr>
          <w:lang w:val="en-GB"/>
        </w:rPr>
        <w:fldChar w:fldCharType="begin"/>
      </w:r>
      <w:r w:rsidRPr="00E13B55">
        <w:rPr>
          <w:lang w:val="en-GB"/>
        </w:rPr>
        <w:instrText xml:space="preserve"> TOC \o "1-2" \h \z \u </w:instrText>
      </w:r>
      <w:r w:rsidRPr="00E13B55">
        <w:rPr>
          <w:lang w:val="en-GB"/>
        </w:rPr>
        <w:fldChar w:fldCharType="separate"/>
      </w:r>
      <w:hyperlink w:anchor="_Toc112657085" w:history="1">
        <w:r w:rsidR="007D31A3" w:rsidRPr="00E8464F">
          <w:rPr>
            <w:rStyle w:val="Hyperlink"/>
            <w:noProof/>
            <w:lang w:val="en-GB"/>
          </w:rPr>
          <w:t>Policy on Intellectual Property Right (IPR)</w:t>
        </w:r>
        <w:r w:rsidR="007D31A3">
          <w:rPr>
            <w:rStyle w:val="Hyperlink"/>
            <w:noProof/>
            <w:lang w:val="en-GB"/>
          </w:rPr>
          <w:tab/>
        </w:r>
        <w:r w:rsidR="007D31A3">
          <w:rPr>
            <w:noProof/>
            <w:webHidden/>
          </w:rPr>
          <w:tab/>
        </w:r>
        <w:r w:rsidR="007D31A3">
          <w:rPr>
            <w:noProof/>
            <w:webHidden/>
          </w:rPr>
          <w:fldChar w:fldCharType="begin"/>
        </w:r>
        <w:r w:rsidR="007D31A3">
          <w:rPr>
            <w:noProof/>
            <w:webHidden/>
          </w:rPr>
          <w:instrText xml:space="preserve"> PAGEREF _Toc112657085 \h </w:instrText>
        </w:r>
        <w:r w:rsidR="007D31A3">
          <w:rPr>
            <w:noProof/>
            <w:webHidden/>
          </w:rPr>
        </w:r>
        <w:r w:rsidR="007D31A3">
          <w:rPr>
            <w:noProof/>
            <w:webHidden/>
          </w:rPr>
          <w:fldChar w:fldCharType="separate"/>
        </w:r>
        <w:r w:rsidR="007C6CB3">
          <w:rPr>
            <w:noProof/>
            <w:webHidden/>
          </w:rPr>
          <w:t>ii</w:t>
        </w:r>
        <w:r w:rsidR="007D31A3">
          <w:rPr>
            <w:noProof/>
            <w:webHidden/>
          </w:rPr>
          <w:fldChar w:fldCharType="end"/>
        </w:r>
      </w:hyperlink>
    </w:p>
    <w:p w14:paraId="5F546DB4" w14:textId="765E1B60" w:rsidR="007D31A3" w:rsidRDefault="00D3774C">
      <w:pPr>
        <w:pStyle w:val="TOC1"/>
        <w:rPr>
          <w:rFonts w:asciiTheme="minorHAnsi" w:eastAsiaTheme="minorEastAsia" w:hAnsiTheme="minorHAnsi" w:cstheme="minorBidi"/>
          <w:noProof/>
          <w:sz w:val="22"/>
          <w:szCs w:val="22"/>
          <w:lang w:val="en-GB" w:eastAsia="en-GB"/>
        </w:rPr>
      </w:pPr>
      <w:hyperlink w:anchor="_Toc112657086" w:history="1">
        <w:r w:rsidR="007D31A3" w:rsidRPr="00E8464F">
          <w:rPr>
            <w:rStyle w:val="Hyperlink"/>
            <w:noProof/>
            <w:lang w:val="en-GB"/>
          </w:rPr>
          <w:t>1</w:t>
        </w:r>
        <w:r w:rsidR="007D31A3">
          <w:rPr>
            <w:rFonts w:asciiTheme="minorHAnsi" w:eastAsiaTheme="minorEastAsia" w:hAnsiTheme="minorHAnsi" w:cstheme="minorBidi"/>
            <w:noProof/>
            <w:sz w:val="22"/>
            <w:szCs w:val="22"/>
            <w:lang w:val="en-GB" w:eastAsia="en-GB"/>
          </w:rPr>
          <w:tab/>
        </w:r>
        <w:r w:rsidR="007D31A3" w:rsidRPr="00E8464F">
          <w:rPr>
            <w:rStyle w:val="Hyperlink"/>
            <w:noProof/>
            <w:lang w:val="en-GB"/>
          </w:rPr>
          <w:t>Introduction</w:t>
        </w:r>
        <w:r w:rsidR="007D31A3">
          <w:rPr>
            <w:rStyle w:val="Hyperlink"/>
            <w:noProof/>
            <w:lang w:val="en-GB"/>
          </w:rPr>
          <w:tab/>
        </w:r>
        <w:r w:rsidR="007D31A3">
          <w:rPr>
            <w:noProof/>
            <w:webHidden/>
          </w:rPr>
          <w:tab/>
        </w:r>
        <w:r w:rsidR="007D31A3">
          <w:rPr>
            <w:noProof/>
            <w:webHidden/>
          </w:rPr>
          <w:fldChar w:fldCharType="begin"/>
        </w:r>
        <w:r w:rsidR="007D31A3">
          <w:rPr>
            <w:noProof/>
            <w:webHidden/>
          </w:rPr>
          <w:instrText xml:space="preserve"> PAGEREF _Toc112657086 \h </w:instrText>
        </w:r>
        <w:r w:rsidR="007D31A3">
          <w:rPr>
            <w:noProof/>
            <w:webHidden/>
          </w:rPr>
        </w:r>
        <w:r w:rsidR="007D31A3">
          <w:rPr>
            <w:noProof/>
            <w:webHidden/>
          </w:rPr>
          <w:fldChar w:fldCharType="separate"/>
        </w:r>
        <w:r w:rsidR="007C6CB3">
          <w:rPr>
            <w:noProof/>
            <w:webHidden/>
          </w:rPr>
          <w:t>2</w:t>
        </w:r>
        <w:r w:rsidR="007D31A3">
          <w:rPr>
            <w:noProof/>
            <w:webHidden/>
          </w:rPr>
          <w:fldChar w:fldCharType="end"/>
        </w:r>
      </w:hyperlink>
    </w:p>
    <w:p w14:paraId="450187CE" w14:textId="3EBBDAF1" w:rsidR="007D31A3" w:rsidRDefault="00D3774C">
      <w:pPr>
        <w:pStyle w:val="TOC1"/>
        <w:rPr>
          <w:rFonts w:asciiTheme="minorHAnsi" w:eastAsiaTheme="minorEastAsia" w:hAnsiTheme="minorHAnsi" w:cstheme="minorBidi"/>
          <w:noProof/>
          <w:sz w:val="22"/>
          <w:szCs w:val="22"/>
          <w:lang w:val="en-GB" w:eastAsia="en-GB"/>
        </w:rPr>
      </w:pPr>
      <w:hyperlink w:anchor="_Toc112657087" w:history="1">
        <w:r w:rsidR="007D31A3" w:rsidRPr="00E8464F">
          <w:rPr>
            <w:rStyle w:val="Hyperlink"/>
            <w:noProof/>
            <w:lang w:val="en-GB"/>
          </w:rPr>
          <w:t>2</w:t>
        </w:r>
        <w:r w:rsidR="007D31A3">
          <w:rPr>
            <w:rFonts w:asciiTheme="minorHAnsi" w:eastAsiaTheme="minorEastAsia" w:hAnsiTheme="minorHAnsi" w:cstheme="minorBidi"/>
            <w:noProof/>
            <w:sz w:val="22"/>
            <w:szCs w:val="22"/>
            <w:lang w:val="en-GB" w:eastAsia="en-GB"/>
          </w:rPr>
          <w:tab/>
        </w:r>
        <w:r w:rsidR="007D31A3" w:rsidRPr="00E8464F">
          <w:rPr>
            <w:rStyle w:val="Hyperlink"/>
            <w:noProof/>
            <w:lang w:val="en-GB"/>
          </w:rPr>
          <w:t>Regulatory framework</w:t>
        </w:r>
        <w:r w:rsidR="007D31A3">
          <w:rPr>
            <w:noProof/>
            <w:webHidden/>
          </w:rPr>
          <w:tab/>
        </w:r>
        <w:r w:rsidR="007D31A3">
          <w:rPr>
            <w:noProof/>
            <w:webHidden/>
          </w:rPr>
          <w:tab/>
        </w:r>
        <w:r w:rsidR="007D31A3">
          <w:rPr>
            <w:noProof/>
            <w:webHidden/>
          </w:rPr>
          <w:fldChar w:fldCharType="begin"/>
        </w:r>
        <w:r w:rsidR="007D31A3">
          <w:rPr>
            <w:noProof/>
            <w:webHidden/>
          </w:rPr>
          <w:instrText xml:space="preserve"> PAGEREF _Toc112657087 \h </w:instrText>
        </w:r>
        <w:r w:rsidR="007D31A3">
          <w:rPr>
            <w:noProof/>
            <w:webHidden/>
          </w:rPr>
        </w:r>
        <w:r w:rsidR="007D31A3">
          <w:rPr>
            <w:noProof/>
            <w:webHidden/>
          </w:rPr>
          <w:fldChar w:fldCharType="separate"/>
        </w:r>
        <w:r w:rsidR="007C6CB3">
          <w:rPr>
            <w:noProof/>
            <w:webHidden/>
          </w:rPr>
          <w:t>2</w:t>
        </w:r>
        <w:r w:rsidR="007D31A3">
          <w:rPr>
            <w:noProof/>
            <w:webHidden/>
          </w:rPr>
          <w:fldChar w:fldCharType="end"/>
        </w:r>
      </w:hyperlink>
    </w:p>
    <w:p w14:paraId="66C3B583" w14:textId="37584DD9" w:rsidR="007D31A3" w:rsidRDefault="00D3774C">
      <w:pPr>
        <w:pStyle w:val="TOC2"/>
        <w:rPr>
          <w:rFonts w:asciiTheme="minorHAnsi" w:eastAsiaTheme="minorEastAsia" w:hAnsiTheme="minorHAnsi" w:cstheme="minorBidi"/>
          <w:noProof/>
          <w:sz w:val="22"/>
          <w:szCs w:val="22"/>
          <w:lang w:val="en-GB" w:eastAsia="en-GB"/>
        </w:rPr>
      </w:pPr>
      <w:hyperlink w:anchor="_Toc112657088" w:history="1">
        <w:r w:rsidR="007D31A3" w:rsidRPr="00E8464F">
          <w:rPr>
            <w:rStyle w:val="Hyperlink"/>
            <w:noProof/>
            <w:lang w:val="en-GB"/>
          </w:rPr>
          <w:t>2.1</w:t>
        </w:r>
        <w:r w:rsidR="007D31A3">
          <w:rPr>
            <w:rFonts w:asciiTheme="minorHAnsi" w:eastAsiaTheme="minorEastAsia" w:hAnsiTheme="minorHAnsi" w:cstheme="minorBidi"/>
            <w:noProof/>
            <w:sz w:val="22"/>
            <w:szCs w:val="22"/>
            <w:lang w:val="en-GB" w:eastAsia="en-GB"/>
          </w:rPr>
          <w:tab/>
        </w:r>
        <w:r w:rsidR="007D31A3" w:rsidRPr="00E8464F">
          <w:rPr>
            <w:rStyle w:val="Hyperlink"/>
            <w:noProof/>
            <w:lang w:val="en-GB"/>
          </w:rPr>
          <w:t>ICNIRP 2020 and IEEE 2019 exposure levels around transmitters</w:t>
        </w:r>
        <w:r w:rsidR="007D31A3">
          <w:rPr>
            <w:noProof/>
            <w:webHidden/>
          </w:rPr>
          <w:tab/>
        </w:r>
        <w:r w:rsidR="007D31A3">
          <w:rPr>
            <w:noProof/>
            <w:webHidden/>
          </w:rPr>
          <w:tab/>
        </w:r>
        <w:r w:rsidR="007D31A3">
          <w:rPr>
            <w:noProof/>
            <w:webHidden/>
          </w:rPr>
          <w:fldChar w:fldCharType="begin"/>
        </w:r>
        <w:r w:rsidR="007D31A3">
          <w:rPr>
            <w:noProof/>
            <w:webHidden/>
          </w:rPr>
          <w:instrText xml:space="preserve"> PAGEREF _Toc112657088 \h </w:instrText>
        </w:r>
        <w:r w:rsidR="007D31A3">
          <w:rPr>
            <w:noProof/>
            <w:webHidden/>
          </w:rPr>
        </w:r>
        <w:r w:rsidR="007D31A3">
          <w:rPr>
            <w:noProof/>
            <w:webHidden/>
          </w:rPr>
          <w:fldChar w:fldCharType="separate"/>
        </w:r>
        <w:r w:rsidR="007C6CB3">
          <w:rPr>
            <w:noProof/>
            <w:webHidden/>
          </w:rPr>
          <w:t>2</w:t>
        </w:r>
        <w:r w:rsidR="007D31A3">
          <w:rPr>
            <w:noProof/>
            <w:webHidden/>
          </w:rPr>
          <w:fldChar w:fldCharType="end"/>
        </w:r>
      </w:hyperlink>
    </w:p>
    <w:p w14:paraId="7D174DF5" w14:textId="0292BD37" w:rsidR="007D31A3" w:rsidRDefault="00D3774C">
      <w:pPr>
        <w:pStyle w:val="TOC2"/>
        <w:rPr>
          <w:rFonts w:asciiTheme="minorHAnsi" w:eastAsiaTheme="minorEastAsia" w:hAnsiTheme="minorHAnsi" w:cstheme="minorBidi"/>
          <w:noProof/>
          <w:sz w:val="22"/>
          <w:szCs w:val="22"/>
          <w:lang w:val="en-GB" w:eastAsia="en-GB"/>
        </w:rPr>
      </w:pPr>
      <w:hyperlink w:anchor="_Toc112657089" w:history="1">
        <w:r w:rsidR="007D31A3" w:rsidRPr="00E8464F">
          <w:rPr>
            <w:rStyle w:val="Hyperlink"/>
            <w:noProof/>
            <w:lang w:val="en-GB"/>
          </w:rPr>
          <w:t>2.2</w:t>
        </w:r>
        <w:r w:rsidR="007D31A3">
          <w:rPr>
            <w:rFonts w:asciiTheme="minorHAnsi" w:eastAsiaTheme="minorEastAsia" w:hAnsiTheme="minorHAnsi" w:cstheme="minorBidi"/>
            <w:noProof/>
            <w:sz w:val="22"/>
            <w:szCs w:val="22"/>
            <w:lang w:val="en-GB" w:eastAsia="en-GB"/>
          </w:rPr>
          <w:tab/>
        </w:r>
        <w:r w:rsidR="007D31A3" w:rsidRPr="00E8464F">
          <w:rPr>
            <w:rStyle w:val="Hyperlink"/>
            <w:noProof/>
            <w:lang w:val="en-GB"/>
          </w:rPr>
          <w:t>Presenting maps of calculated field-strength around transmitters</w:t>
        </w:r>
        <w:r w:rsidR="007D31A3">
          <w:rPr>
            <w:noProof/>
            <w:webHidden/>
          </w:rPr>
          <w:tab/>
        </w:r>
        <w:r w:rsidR="007D31A3">
          <w:rPr>
            <w:noProof/>
            <w:webHidden/>
          </w:rPr>
          <w:tab/>
        </w:r>
        <w:r w:rsidR="007D31A3">
          <w:rPr>
            <w:noProof/>
            <w:webHidden/>
          </w:rPr>
          <w:fldChar w:fldCharType="begin"/>
        </w:r>
        <w:r w:rsidR="007D31A3">
          <w:rPr>
            <w:noProof/>
            <w:webHidden/>
          </w:rPr>
          <w:instrText xml:space="preserve"> PAGEREF _Toc112657089 \h </w:instrText>
        </w:r>
        <w:r w:rsidR="007D31A3">
          <w:rPr>
            <w:noProof/>
            <w:webHidden/>
          </w:rPr>
        </w:r>
        <w:r w:rsidR="007D31A3">
          <w:rPr>
            <w:noProof/>
            <w:webHidden/>
          </w:rPr>
          <w:fldChar w:fldCharType="separate"/>
        </w:r>
        <w:r w:rsidR="007C6CB3">
          <w:rPr>
            <w:noProof/>
            <w:webHidden/>
          </w:rPr>
          <w:t>7</w:t>
        </w:r>
        <w:r w:rsidR="007D31A3">
          <w:rPr>
            <w:noProof/>
            <w:webHidden/>
          </w:rPr>
          <w:fldChar w:fldCharType="end"/>
        </w:r>
      </w:hyperlink>
    </w:p>
    <w:p w14:paraId="0216BB60" w14:textId="6075952E" w:rsidR="007D31A3" w:rsidRDefault="00D3774C">
      <w:pPr>
        <w:pStyle w:val="TOC1"/>
        <w:rPr>
          <w:rFonts w:asciiTheme="minorHAnsi" w:eastAsiaTheme="minorEastAsia" w:hAnsiTheme="minorHAnsi" w:cstheme="minorBidi"/>
          <w:noProof/>
          <w:sz w:val="22"/>
          <w:szCs w:val="22"/>
          <w:lang w:val="en-GB" w:eastAsia="en-GB"/>
        </w:rPr>
      </w:pPr>
      <w:hyperlink w:anchor="_Toc112657090" w:history="1">
        <w:r w:rsidR="007D31A3" w:rsidRPr="00E8464F">
          <w:rPr>
            <w:rStyle w:val="Hyperlink"/>
            <w:noProof/>
            <w:lang w:val="en-GB"/>
          </w:rPr>
          <w:t>3</w:t>
        </w:r>
        <w:r w:rsidR="007D31A3">
          <w:rPr>
            <w:rFonts w:asciiTheme="minorHAnsi" w:eastAsiaTheme="minorEastAsia" w:hAnsiTheme="minorHAnsi" w:cstheme="minorBidi"/>
            <w:noProof/>
            <w:sz w:val="22"/>
            <w:szCs w:val="22"/>
            <w:lang w:val="en-GB" w:eastAsia="en-GB"/>
          </w:rPr>
          <w:tab/>
        </w:r>
        <w:r w:rsidR="007D31A3" w:rsidRPr="00E8464F">
          <w:rPr>
            <w:rStyle w:val="Hyperlink"/>
            <w:noProof/>
            <w:lang w:val="en-GB"/>
          </w:rPr>
          <w:t>A practical guide for EMF measurements to assess human exposure</w:t>
        </w:r>
        <w:r w:rsidR="007D31A3">
          <w:rPr>
            <w:noProof/>
            <w:webHidden/>
          </w:rPr>
          <w:tab/>
        </w:r>
        <w:r w:rsidR="007D31A3">
          <w:rPr>
            <w:noProof/>
            <w:webHidden/>
          </w:rPr>
          <w:tab/>
        </w:r>
        <w:r w:rsidR="007D31A3">
          <w:rPr>
            <w:noProof/>
            <w:webHidden/>
          </w:rPr>
          <w:fldChar w:fldCharType="begin"/>
        </w:r>
        <w:r w:rsidR="007D31A3">
          <w:rPr>
            <w:noProof/>
            <w:webHidden/>
          </w:rPr>
          <w:instrText xml:space="preserve"> PAGEREF _Toc112657090 \h </w:instrText>
        </w:r>
        <w:r w:rsidR="007D31A3">
          <w:rPr>
            <w:noProof/>
            <w:webHidden/>
          </w:rPr>
        </w:r>
        <w:r w:rsidR="007D31A3">
          <w:rPr>
            <w:noProof/>
            <w:webHidden/>
          </w:rPr>
          <w:fldChar w:fldCharType="separate"/>
        </w:r>
        <w:r w:rsidR="007C6CB3">
          <w:rPr>
            <w:noProof/>
            <w:webHidden/>
          </w:rPr>
          <w:t>9</w:t>
        </w:r>
        <w:r w:rsidR="007D31A3">
          <w:rPr>
            <w:noProof/>
            <w:webHidden/>
          </w:rPr>
          <w:fldChar w:fldCharType="end"/>
        </w:r>
      </w:hyperlink>
    </w:p>
    <w:p w14:paraId="3D1EFFA8" w14:textId="548875F8" w:rsidR="007D31A3" w:rsidRDefault="00D3774C">
      <w:pPr>
        <w:pStyle w:val="TOC2"/>
        <w:rPr>
          <w:rFonts w:asciiTheme="minorHAnsi" w:eastAsiaTheme="minorEastAsia" w:hAnsiTheme="minorHAnsi" w:cstheme="minorBidi"/>
          <w:noProof/>
          <w:sz w:val="22"/>
          <w:szCs w:val="22"/>
          <w:lang w:val="en-GB" w:eastAsia="en-GB"/>
        </w:rPr>
      </w:pPr>
      <w:hyperlink w:anchor="_Toc112657091" w:history="1">
        <w:r w:rsidR="007D31A3" w:rsidRPr="00E8464F">
          <w:rPr>
            <w:rStyle w:val="Hyperlink"/>
            <w:noProof/>
            <w:lang w:val="en-GB"/>
          </w:rPr>
          <w:t>3.1</w:t>
        </w:r>
        <w:r w:rsidR="007D31A3">
          <w:rPr>
            <w:rFonts w:asciiTheme="minorHAnsi" w:eastAsiaTheme="minorEastAsia" w:hAnsiTheme="minorHAnsi" w:cstheme="minorBidi"/>
            <w:noProof/>
            <w:sz w:val="22"/>
            <w:szCs w:val="22"/>
            <w:lang w:val="en-GB" w:eastAsia="en-GB"/>
          </w:rPr>
          <w:tab/>
        </w:r>
        <w:r w:rsidR="007D31A3" w:rsidRPr="00E8464F">
          <w:rPr>
            <w:rStyle w:val="Hyperlink"/>
            <w:noProof/>
            <w:lang w:val="en-GB"/>
          </w:rPr>
          <w:t>Basic knowledge for a successful EMF assessment measurement process</w:t>
        </w:r>
        <w:r w:rsidR="007D31A3">
          <w:rPr>
            <w:noProof/>
            <w:webHidden/>
          </w:rPr>
          <w:tab/>
        </w:r>
        <w:r w:rsidR="007D31A3">
          <w:rPr>
            <w:noProof/>
            <w:webHidden/>
          </w:rPr>
          <w:tab/>
        </w:r>
        <w:r w:rsidR="007D31A3">
          <w:rPr>
            <w:noProof/>
            <w:webHidden/>
          </w:rPr>
          <w:fldChar w:fldCharType="begin"/>
        </w:r>
        <w:r w:rsidR="007D31A3">
          <w:rPr>
            <w:noProof/>
            <w:webHidden/>
          </w:rPr>
          <w:instrText xml:space="preserve"> PAGEREF _Toc112657091 \h </w:instrText>
        </w:r>
        <w:r w:rsidR="007D31A3">
          <w:rPr>
            <w:noProof/>
            <w:webHidden/>
          </w:rPr>
        </w:r>
        <w:r w:rsidR="007D31A3">
          <w:rPr>
            <w:noProof/>
            <w:webHidden/>
          </w:rPr>
          <w:fldChar w:fldCharType="separate"/>
        </w:r>
        <w:r w:rsidR="007C6CB3">
          <w:rPr>
            <w:noProof/>
            <w:webHidden/>
          </w:rPr>
          <w:t>9</w:t>
        </w:r>
        <w:r w:rsidR="007D31A3">
          <w:rPr>
            <w:noProof/>
            <w:webHidden/>
          </w:rPr>
          <w:fldChar w:fldCharType="end"/>
        </w:r>
      </w:hyperlink>
    </w:p>
    <w:p w14:paraId="6942A932" w14:textId="665E5E5A" w:rsidR="007D31A3" w:rsidRDefault="00D3774C">
      <w:pPr>
        <w:pStyle w:val="TOC2"/>
        <w:rPr>
          <w:rFonts w:asciiTheme="minorHAnsi" w:eastAsiaTheme="minorEastAsia" w:hAnsiTheme="minorHAnsi" w:cstheme="minorBidi"/>
          <w:noProof/>
          <w:sz w:val="22"/>
          <w:szCs w:val="22"/>
          <w:lang w:val="en-GB" w:eastAsia="en-GB"/>
        </w:rPr>
      </w:pPr>
      <w:hyperlink w:anchor="_Toc112657092" w:history="1">
        <w:r w:rsidR="007D31A3" w:rsidRPr="00E8464F">
          <w:rPr>
            <w:rStyle w:val="Hyperlink"/>
            <w:noProof/>
            <w:lang w:val="en-GB"/>
          </w:rPr>
          <w:t>3.2</w:t>
        </w:r>
        <w:r w:rsidR="007D31A3">
          <w:rPr>
            <w:rFonts w:asciiTheme="minorHAnsi" w:eastAsiaTheme="minorEastAsia" w:hAnsiTheme="minorHAnsi" w:cstheme="minorBidi"/>
            <w:noProof/>
            <w:sz w:val="22"/>
            <w:szCs w:val="22"/>
            <w:lang w:val="en-GB" w:eastAsia="en-GB"/>
          </w:rPr>
          <w:tab/>
        </w:r>
        <w:r w:rsidR="007D31A3" w:rsidRPr="00E8464F">
          <w:rPr>
            <w:rStyle w:val="Hyperlink"/>
            <w:noProof/>
            <w:lang w:val="en-GB"/>
          </w:rPr>
          <w:t>Measurement instruments with specific features for EMF assessment</w:t>
        </w:r>
        <w:r w:rsidR="007D31A3">
          <w:rPr>
            <w:noProof/>
            <w:webHidden/>
          </w:rPr>
          <w:tab/>
        </w:r>
        <w:r w:rsidR="007D31A3">
          <w:rPr>
            <w:noProof/>
            <w:webHidden/>
          </w:rPr>
          <w:tab/>
        </w:r>
        <w:r w:rsidR="007D31A3">
          <w:rPr>
            <w:noProof/>
            <w:webHidden/>
          </w:rPr>
          <w:fldChar w:fldCharType="begin"/>
        </w:r>
        <w:r w:rsidR="007D31A3">
          <w:rPr>
            <w:noProof/>
            <w:webHidden/>
          </w:rPr>
          <w:instrText xml:space="preserve"> PAGEREF _Toc112657092 \h </w:instrText>
        </w:r>
        <w:r w:rsidR="007D31A3">
          <w:rPr>
            <w:noProof/>
            <w:webHidden/>
          </w:rPr>
        </w:r>
        <w:r w:rsidR="007D31A3">
          <w:rPr>
            <w:noProof/>
            <w:webHidden/>
          </w:rPr>
          <w:fldChar w:fldCharType="separate"/>
        </w:r>
        <w:r w:rsidR="007C6CB3">
          <w:rPr>
            <w:noProof/>
            <w:webHidden/>
          </w:rPr>
          <w:t>12</w:t>
        </w:r>
        <w:r w:rsidR="007D31A3">
          <w:rPr>
            <w:noProof/>
            <w:webHidden/>
          </w:rPr>
          <w:fldChar w:fldCharType="end"/>
        </w:r>
      </w:hyperlink>
    </w:p>
    <w:p w14:paraId="3D61D9DA" w14:textId="3DF81E8E" w:rsidR="007D31A3" w:rsidRDefault="00D3774C">
      <w:pPr>
        <w:pStyle w:val="TOC2"/>
        <w:rPr>
          <w:rFonts w:asciiTheme="minorHAnsi" w:eastAsiaTheme="minorEastAsia" w:hAnsiTheme="minorHAnsi" w:cstheme="minorBidi"/>
          <w:noProof/>
          <w:sz w:val="22"/>
          <w:szCs w:val="22"/>
          <w:lang w:val="en-GB" w:eastAsia="en-GB"/>
        </w:rPr>
      </w:pPr>
      <w:hyperlink w:anchor="_Toc112657093" w:history="1">
        <w:r w:rsidR="007D31A3" w:rsidRPr="00E8464F">
          <w:rPr>
            <w:rStyle w:val="Hyperlink"/>
            <w:noProof/>
            <w:lang w:val="en-GB"/>
          </w:rPr>
          <w:t>3.3</w:t>
        </w:r>
        <w:r w:rsidR="007D31A3">
          <w:rPr>
            <w:rFonts w:asciiTheme="minorHAnsi" w:eastAsiaTheme="minorEastAsia" w:hAnsiTheme="minorHAnsi" w:cstheme="minorBidi"/>
            <w:noProof/>
            <w:sz w:val="22"/>
            <w:szCs w:val="22"/>
            <w:lang w:val="en-GB" w:eastAsia="en-GB"/>
          </w:rPr>
          <w:tab/>
        </w:r>
        <w:r w:rsidR="007D31A3" w:rsidRPr="00E8464F">
          <w:rPr>
            <w:rStyle w:val="Hyperlink"/>
            <w:noProof/>
            <w:lang w:val="en-GB"/>
          </w:rPr>
          <w:t>Reducing the number of measurement points in space</w:t>
        </w:r>
        <w:r w:rsidR="007D31A3">
          <w:rPr>
            <w:noProof/>
            <w:webHidden/>
          </w:rPr>
          <w:tab/>
        </w:r>
        <w:r w:rsidR="007D31A3">
          <w:rPr>
            <w:noProof/>
            <w:webHidden/>
          </w:rPr>
          <w:tab/>
        </w:r>
        <w:r w:rsidR="007D31A3">
          <w:rPr>
            <w:noProof/>
            <w:webHidden/>
          </w:rPr>
          <w:fldChar w:fldCharType="begin"/>
        </w:r>
        <w:r w:rsidR="007D31A3">
          <w:rPr>
            <w:noProof/>
            <w:webHidden/>
          </w:rPr>
          <w:instrText xml:space="preserve"> PAGEREF _Toc112657093 \h </w:instrText>
        </w:r>
        <w:r w:rsidR="007D31A3">
          <w:rPr>
            <w:noProof/>
            <w:webHidden/>
          </w:rPr>
        </w:r>
        <w:r w:rsidR="007D31A3">
          <w:rPr>
            <w:noProof/>
            <w:webHidden/>
          </w:rPr>
          <w:fldChar w:fldCharType="separate"/>
        </w:r>
        <w:r w:rsidR="007C6CB3">
          <w:rPr>
            <w:noProof/>
            <w:webHidden/>
          </w:rPr>
          <w:t>15</w:t>
        </w:r>
        <w:r w:rsidR="007D31A3">
          <w:rPr>
            <w:noProof/>
            <w:webHidden/>
          </w:rPr>
          <w:fldChar w:fldCharType="end"/>
        </w:r>
      </w:hyperlink>
    </w:p>
    <w:p w14:paraId="6DEF4F3E" w14:textId="60870EF1" w:rsidR="007D31A3" w:rsidRDefault="00D3774C">
      <w:pPr>
        <w:pStyle w:val="TOC2"/>
        <w:rPr>
          <w:rFonts w:asciiTheme="minorHAnsi" w:eastAsiaTheme="minorEastAsia" w:hAnsiTheme="minorHAnsi" w:cstheme="minorBidi"/>
          <w:noProof/>
          <w:sz w:val="22"/>
          <w:szCs w:val="22"/>
          <w:lang w:val="en-GB" w:eastAsia="en-GB"/>
        </w:rPr>
      </w:pPr>
      <w:hyperlink w:anchor="_Toc112657094" w:history="1">
        <w:r w:rsidR="007D31A3" w:rsidRPr="00E8464F">
          <w:rPr>
            <w:rStyle w:val="Hyperlink"/>
            <w:noProof/>
            <w:lang w:val="en-GB"/>
          </w:rPr>
          <w:t>3.4</w:t>
        </w:r>
        <w:r w:rsidR="007D31A3">
          <w:rPr>
            <w:rFonts w:asciiTheme="minorHAnsi" w:eastAsiaTheme="minorEastAsia" w:hAnsiTheme="minorHAnsi" w:cstheme="minorBidi"/>
            <w:noProof/>
            <w:sz w:val="22"/>
            <w:szCs w:val="22"/>
            <w:lang w:val="en-GB" w:eastAsia="en-GB"/>
          </w:rPr>
          <w:tab/>
        </w:r>
        <w:r w:rsidR="007D31A3" w:rsidRPr="00E8464F">
          <w:rPr>
            <w:rStyle w:val="Hyperlink"/>
            <w:noProof/>
            <w:lang w:val="en-GB"/>
          </w:rPr>
          <w:t>Reducing the observation time and extrapolation to the maximal exposure</w:t>
        </w:r>
        <w:r w:rsidR="007D31A3">
          <w:rPr>
            <w:noProof/>
            <w:webHidden/>
          </w:rPr>
          <w:tab/>
        </w:r>
        <w:r w:rsidR="007D31A3">
          <w:rPr>
            <w:noProof/>
            <w:webHidden/>
          </w:rPr>
          <w:tab/>
        </w:r>
        <w:r w:rsidR="007D31A3">
          <w:rPr>
            <w:noProof/>
            <w:webHidden/>
          </w:rPr>
          <w:fldChar w:fldCharType="begin"/>
        </w:r>
        <w:r w:rsidR="007D31A3">
          <w:rPr>
            <w:noProof/>
            <w:webHidden/>
          </w:rPr>
          <w:instrText xml:space="preserve"> PAGEREF _Toc112657094 \h </w:instrText>
        </w:r>
        <w:r w:rsidR="007D31A3">
          <w:rPr>
            <w:noProof/>
            <w:webHidden/>
          </w:rPr>
        </w:r>
        <w:r w:rsidR="007D31A3">
          <w:rPr>
            <w:noProof/>
            <w:webHidden/>
          </w:rPr>
          <w:fldChar w:fldCharType="separate"/>
        </w:r>
        <w:r w:rsidR="007C6CB3">
          <w:rPr>
            <w:noProof/>
            <w:webHidden/>
          </w:rPr>
          <w:t>16</w:t>
        </w:r>
        <w:r w:rsidR="007D31A3">
          <w:rPr>
            <w:noProof/>
            <w:webHidden/>
          </w:rPr>
          <w:fldChar w:fldCharType="end"/>
        </w:r>
      </w:hyperlink>
    </w:p>
    <w:p w14:paraId="10BFEF91" w14:textId="369A9D4C" w:rsidR="007D31A3" w:rsidRDefault="00D3774C">
      <w:pPr>
        <w:pStyle w:val="TOC2"/>
        <w:rPr>
          <w:rFonts w:asciiTheme="minorHAnsi" w:eastAsiaTheme="minorEastAsia" w:hAnsiTheme="minorHAnsi" w:cstheme="minorBidi"/>
          <w:noProof/>
          <w:sz w:val="22"/>
          <w:szCs w:val="22"/>
          <w:lang w:val="en-GB" w:eastAsia="en-GB"/>
        </w:rPr>
      </w:pPr>
      <w:hyperlink w:anchor="_Toc112657095" w:history="1">
        <w:r w:rsidR="007D31A3" w:rsidRPr="00E8464F">
          <w:rPr>
            <w:rStyle w:val="Hyperlink"/>
            <w:noProof/>
            <w:lang w:val="en-GB"/>
          </w:rPr>
          <w:t>3.5</w:t>
        </w:r>
        <w:r w:rsidR="007D31A3">
          <w:rPr>
            <w:rFonts w:asciiTheme="minorHAnsi" w:eastAsiaTheme="minorEastAsia" w:hAnsiTheme="minorHAnsi" w:cstheme="minorBidi"/>
            <w:noProof/>
            <w:sz w:val="22"/>
            <w:szCs w:val="22"/>
            <w:lang w:val="en-GB" w:eastAsia="en-GB"/>
          </w:rPr>
          <w:tab/>
        </w:r>
        <w:r w:rsidR="007D31A3" w:rsidRPr="00E8464F">
          <w:rPr>
            <w:rStyle w:val="Hyperlink"/>
            <w:noProof/>
            <w:lang w:val="en-GB"/>
          </w:rPr>
          <w:t>How to assess the exposure due to specific services</w:t>
        </w:r>
        <w:r w:rsidR="007D31A3">
          <w:rPr>
            <w:noProof/>
            <w:webHidden/>
          </w:rPr>
          <w:tab/>
        </w:r>
        <w:r w:rsidR="007D31A3">
          <w:rPr>
            <w:noProof/>
            <w:webHidden/>
          </w:rPr>
          <w:tab/>
        </w:r>
        <w:r w:rsidR="007D31A3">
          <w:rPr>
            <w:noProof/>
            <w:webHidden/>
          </w:rPr>
          <w:fldChar w:fldCharType="begin"/>
        </w:r>
        <w:r w:rsidR="007D31A3">
          <w:rPr>
            <w:noProof/>
            <w:webHidden/>
          </w:rPr>
          <w:instrText xml:space="preserve"> PAGEREF _Toc112657095 \h </w:instrText>
        </w:r>
        <w:r w:rsidR="007D31A3">
          <w:rPr>
            <w:noProof/>
            <w:webHidden/>
          </w:rPr>
        </w:r>
        <w:r w:rsidR="007D31A3">
          <w:rPr>
            <w:noProof/>
            <w:webHidden/>
          </w:rPr>
          <w:fldChar w:fldCharType="separate"/>
        </w:r>
        <w:r w:rsidR="007C6CB3">
          <w:rPr>
            <w:noProof/>
            <w:webHidden/>
          </w:rPr>
          <w:t>17</w:t>
        </w:r>
        <w:r w:rsidR="007D31A3">
          <w:rPr>
            <w:noProof/>
            <w:webHidden/>
          </w:rPr>
          <w:fldChar w:fldCharType="end"/>
        </w:r>
      </w:hyperlink>
    </w:p>
    <w:p w14:paraId="2E5652D6" w14:textId="73422392" w:rsidR="007D31A3" w:rsidRDefault="00D3774C">
      <w:pPr>
        <w:pStyle w:val="TOC1"/>
        <w:rPr>
          <w:rFonts w:asciiTheme="minorHAnsi" w:eastAsiaTheme="minorEastAsia" w:hAnsiTheme="minorHAnsi" w:cstheme="minorBidi"/>
          <w:noProof/>
          <w:sz w:val="22"/>
          <w:szCs w:val="22"/>
          <w:lang w:val="en-GB" w:eastAsia="en-GB"/>
        </w:rPr>
      </w:pPr>
      <w:hyperlink w:anchor="_Toc112657096" w:history="1">
        <w:r w:rsidR="007D31A3" w:rsidRPr="00E8464F">
          <w:rPr>
            <w:rStyle w:val="Hyperlink"/>
            <w:noProof/>
            <w:lang w:val="en-GB"/>
          </w:rPr>
          <w:t>4</w:t>
        </w:r>
        <w:r w:rsidR="007D31A3">
          <w:rPr>
            <w:rFonts w:asciiTheme="minorHAnsi" w:eastAsiaTheme="minorEastAsia" w:hAnsiTheme="minorHAnsi" w:cstheme="minorBidi"/>
            <w:noProof/>
            <w:sz w:val="22"/>
            <w:szCs w:val="22"/>
            <w:lang w:val="en-GB" w:eastAsia="en-GB"/>
          </w:rPr>
          <w:tab/>
        </w:r>
        <w:r w:rsidR="007D31A3" w:rsidRPr="00E8464F">
          <w:rPr>
            <w:rStyle w:val="Hyperlink"/>
            <w:noProof/>
            <w:lang w:val="en-GB"/>
          </w:rPr>
          <w:t>References</w:t>
        </w:r>
        <w:r w:rsidR="007D31A3">
          <w:rPr>
            <w:noProof/>
            <w:webHidden/>
          </w:rPr>
          <w:tab/>
        </w:r>
        <w:r w:rsidR="007D31A3">
          <w:rPr>
            <w:noProof/>
            <w:webHidden/>
          </w:rPr>
          <w:tab/>
        </w:r>
        <w:r w:rsidR="007D31A3">
          <w:rPr>
            <w:noProof/>
            <w:webHidden/>
          </w:rPr>
          <w:fldChar w:fldCharType="begin"/>
        </w:r>
        <w:r w:rsidR="007D31A3">
          <w:rPr>
            <w:noProof/>
            <w:webHidden/>
          </w:rPr>
          <w:instrText xml:space="preserve"> PAGEREF _Toc112657096 \h </w:instrText>
        </w:r>
        <w:r w:rsidR="007D31A3">
          <w:rPr>
            <w:noProof/>
            <w:webHidden/>
          </w:rPr>
        </w:r>
        <w:r w:rsidR="007D31A3">
          <w:rPr>
            <w:noProof/>
            <w:webHidden/>
          </w:rPr>
          <w:fldChar w:fldCharType="separate"/>
        </w:r>
        <w:r w:rsidR="007C6CB3">
          <w:rPr>
            <w:noProof/>
            <w:webHidden/>
          </w:rPr>
          <w:t>20</w:t>
        </w:r>
        <w:r w:rsidR="007D31A3">
          <w:rPr>
            <w:noProof/>
            <w:webHidden/>
          </w:rPr>
          <w:fldChar w:fldCharType="end"/>
        </w:r>
      </w:hyperlink>
    </w:p>
    <w:p w14:paraId="40B4A852" w14:textId="1D8D5B49" w:rsidR="007D31A3" w:rsidRDefault="00D3774C">
      <w:pPr>
        <w:pStyle w:val="TOC1"/>
        <w:rPr>
          <w:rFonts w:asciiTheme="minorHAnsi" w:eastAsiaTheme="minorEastAsia" w:hAnsiTheme="minorHAnsi" w:cstheme="minorBidi"/>
          <w:noProof/>
          <w:sz w:val="22"/>
          <w:szCs w:val="22"/>
          <w:lang w:val="en-GB" w:eastAsia="en-GB"/>
        </w:rPr>
      </w:pPr>
      <w:hyperlink w:anchor="_Toc112657097" w:history="1">
        <w:r w:rsidR="007D31A3" w:rsidRPr="00E8464F">
          <w:rPr>
            <w:rStyle w:val="Hyperlink"/>
            <w:noProof/>
            <w:lang w:val="en-GB"/>
          </w:rPr>
          <w:t>5</w:t>
        </w:r>
        <w:r w:rsidR="007D31A3">
          <w:rPr>
            <w:rFonts w:asciiTheme="minorHAnsi" w:eastAsiaTheme="minorEastAsia" w:hAnsiTheme="minorHAnsi" w:cstheme="minorBidi"/>
            <w:noProof/>
            <w:sz w:val="22"/>
            <w:szCs w:val="22"/>
            <w:lang w:val="en-GB" w:eastAsia="en-GB"/>
          </w:rPr>
          <w:tab/>
        </w:r>
        <w:r w:rsidR="007D31A3" w:rsidRPr="00E8464F">
          <w:rPr>
            <w:rStyle w:val="Hyperlink"/>
            <w:noProof/>
            <w:lang w:val="en-GB"/>
          </w:rPr>
          <w:t>Glossary and abbreviations</w:t>
        </w:r>
        <w:r w:rsidR="007D31A3">
          <w:rPr>
            <w:noProof/>
            <w:webHidden/>
          </w:rPr>
          <w:tab/>
        </w:r>
        <w:r w:rsidR="007D31A3">
          <w:rPr>
            <w:noProof/>
            <w:webHidden/>
          </w:rPr>
          <w:tab/>
        </w:r>
        <w:r w:rsidR="007D31A3">
          <w:rPr>
            <w:noProof/>
            <w:webHidden/>
          </w:rPr>
          <w:fldChar w:fldCharType="begin"/>
        </w:r>
        <w:r w:rsidR="007D31A3">
          <w:rPr>
            <w:noProof/>
            <w:webHidden/>
          </w:rPr>
          <w:instrText xml:space="preserve"> PAGEREF _Toc112657097 \h </w:instrText>
        </w:r>
        <w:r w:rsidR="007D31A3">
          <w:rPr>
            <w:noProof/>
            <w:webHidden/>
          </w:rPr>
        </w:r>
        <w:r w:rsidR="007D31A3">
          <w:rPr>
            <w:noProof/>
            <w:webHidden/>
          </w:rPr>
          <w:fldChar w:fldCharType="separate"/>
        </w:r>
        <w:r w:rsidR="007C6CB3">
          <w:rPr>
            <w:noProof/>
            <w:webHidden/>
          </w:rPr>
          <w:t>22</w:t>
        </w:r>
        <w:r w:rsidR="007D31A3">
          <w:rPr>
            <w:noProof/>
            <w:webHidden/>
          </w:rPr>
          <w:fldChar w:fldCharType="end"/>
        </w:r>
      </w:hyperlink>
    </w:p>
    <w:p w14:paraId="6DAA1DB0" w14:textId="38537CFF" w:rsidR="007D31A3" w:rsidRDefault="00D3774C">
      <w:pPr>
        <w:pStyle w:val="TOC1"/>
        <w:rPr>
          <w:rFonts w:asciiTheme="minorHAnsi" w:eastAsiaTheme="minorEastAsia" w:hAnsiTheme="minorHAnsi" w:cstheme="minorBidi"/>
          <w:noProof/>
          <w:sz w:val="22"/>
          <w:szCs w:val="22"/>
          <w:lang w:val="en-GB" w:eastAsia="en-GB"/>
        </w:rPr>
      </w:pPr>
      <w:hyperlink w:anchor="_Toc112657098" w:history="1">
        <w:r w:rsidR="007D31A3" w:rsidRPr="00E8464F">
          <w:rPr>
            <w:rStyle w:val="Hyperlink"/>
            <w:noProof/>
            <w:lang w:val="en-GB"/>
          </w:rPr>
          <w:t>Annex  Electromagnetic field around an Amateur Radio Station, 14 MHz to 440 MHz</w:t>
        </w:r>
        <w:r w:rsidR="007D31A3">
          <w:rPr>
            <w:noProof/>
            <w:webHidden/>
          </w:rPr>
          <w:tab/>
        </w:r>
        <w:r w:rsidR="007D31A3">
          <w:rPr>
            <w:noProof/>
            <w:webHidden/>
          </w:rPr>
          <w:tab/>
        </w:r>
        <w:r w:rsidR="007D31A3">
          <w:rPr>
            <w:noProof/>
            <w:webHidden/>
          </w:rPr>
          <w:fldChar w:fldCharType="begin"/>
        </w:r>
        <w:r w:rsidR="007D31A3">
          <w:rPr>
            <w:noProof/>
            <w:webHidden/>
          </w:rPr>
          <w:instrText xml:space="preserve"> PAGEREF _Toc112657098 \h </w:instrText>
        </w:r>
        <w:r w:rsidR="007D31A3">
          <w:rPr>
            <w:noProof/>
            <w:webHidden/>
          </w:rPr>
        </w:r>
        <w:r w:rsidR="007D31A3">
          <w:rPr>
            <w:noProof/>
            <w:webHidden/>
          </w:rPr>
          <w:fldChar w:fldCharType="separate"/>
        </w:r>
        <w:r w:rsidR="007C6CB3">
          <w:rPr>
            <w:noProof/>
            <w:webHidden/>
          </w:rPr>
          <w:t>23</w:t>
        </w:r>
        <w:r w:rsidR="007D31A3">
          <w:rPr>
            <w:noProof/>
            <w:webHidden/>
          </w:rPr>
          <w:fldChar w:fldCharType="end"/>
        </w:r>
      </w:hyperlink>
    </w:p>
    <w:p w14:paraId="3241E937" w14:textId="5CBC8C37" w:rsidR="007D31A3" w:rsidRDefault="00D3774C">
      <w:pPr>
        <w:pStyle w:val="TOC1"/>
        <w:rPr>
          <w:rFonts w:asciiTheme="minorHAnsi" w:eastAsiaTheme="minorEastAsia" w:hAnsiTheme="minorHAnsi" w:cstheme="minorBidi"/>
          <w:noProof/>
          <w:sz w:val="22"/>
          <w:szCs w:val="22"/>
          <w:lang w:val="en-GB" w:eastAsia="en-GB"/>
        </w:rPr>
      </w:pPr>
      <w:hyperlink w:anchor="_Toc112657099" w:history="1">
        <w:r w:rsidR="007D31A3" w:rsidRPr="00E8464F">
          <w:rPr>
            <w:rStyle w:val="Hyperlink"/>
            <w:noProof/>
            <w:lang w:val="en-GB"/>
          </w:rPr>
          <w:t>Attachment 1 to the Annex  Site information, the station, the surrounding area and measurements</w:t>
        </w:r>
        <w:r w:rsidR="007D31A3">
          <w:rPr>
            <w:noProof/>
            <w:webHidden/>
          </w:rPr>
          <w:tab/>
        </w:r>
        <w:r w:rsidR="007D31A3">
          <w:rPr>
            <w:noProof/>
            <w:webHidden/>
          </w:rPr>
          <w:tab/>
        </w:r>
        <w:r w:rsidR="007D31A3">
          <w:rPr>
            <w:noProof/>
            <w:webHidden/>
          </w:rPr>
          <w:fldChar w:fldCharType="begin"/>
        </w:r>
        <w:r w:rsidR="007D31A3">
          <w:rPr>
            <w:noProof/>
            <w:webHidden/>
          </w:rPr>
          <w:instrText xml:space="preserve"> PAGEREF _Toc112657099 \h </w:instrText>
        </w:r>
        <w:r w:rsidR="007D31A3">
          <w:rPr>
            <w:noProof/>
            <w:webHidden/>
          </w:rPr>
        </w:r>
        <w:r w:rsidR="007D31A3">
          <w:rPr>
            <w:noProof/>
            <w:webHidden/>
          </w:rPr>
          <w:fldChar w:fldCharType="separate"/>
        </w:r>
        <w:r w:rsidR="007C6CB3">
          <w:rPr>
            <w:noProof/>
            <w:webHidden/>
          </w:rPr>
          <w:t>23</w:t>
        </w:r>
        <w:r w:rsidR="007D31A3">
          <w:rPr>
            <w:noProof/>
            <w:webHidden/>
          </w:rPr>
          <w:fldChar w:fldCharType="end"/>
        </w:r>
      </w:hyperlink>
    </w:p>
    <w:p w14:paraId="259CBB9F" w14:textId="393032DE" w:rsidR="007D31A3" w:rsidRDefault="00D3774C">
      <w:pPr>
        <w:pStyle w:val="TOC1"/>
        <w:rPr>
          <w:rFonts w:asciiTheme="minorHAnsi" w:eastAsiaTheme="minorEastAsia" w:hAnsiTheme="minorHAnsi" w:cstheme="minorBidi"/>
          <w:noProof/>
          <w:sz w:val="22"/>
          <w:szCs w:val="22"/>
          <w:lang w:val="en-GB" w:eastAsia="en-GB"/>
        </w:rPr>
      </w:pPr>
      <w:hyperlink w:anchor="_Toc112657100" w:history="1">
        <w:r w:rsidR="007D31A3" w:rsidRPr="00E8464F">
          <w:rPr>
            <w:rStyle w:val="Hyperlink"/>
            <w:noProof/>
            <w:lang w:val="en-GB"/>
          </w:rPr>
          <w:t>Attachment 2 to the Annex  Tx power and antennas</w:t>
        </w:r>
        <w:r w:rsidR="007D31A3">
          <w:rPr>
            <w:noProof/>
            <w:webHidden/>
          </w:rPr>
          <w:tab/>
        </w:r>
        <w:r w:rsidR="007D31A3">
          <w:rPr>
            <w:noProof/>
            <w:webHidden/>
          </w:rPr>
          <w:tab/>
        </w:r>
        <w:r w:rsidR="007D31A3">
          <w:rPr>
            <w:noProof/>
            <w:webHidden/>
          </w:rPr>
          <w:fldChar w:fldCharType="begin"/>
        </w:r>
        <w:r w:rsidR="007D31A3">
          <w:rPr>
            <w:noProof/>
            <w:webHidden/>
          </w:rPr>
          <w:instrText xml:space="preserve"> PAGEREF _Toc112657100 \h </w:instrText>
        </w:r>
        <w:r w:rsidR="007D31A3">
          <w:rPr>
            <w:noProof/>
            <w:webHidden/>
          </w:rPr>
        </w:r>
        <w:r w:rsidR="007D31A3">
          <w:rPr>
            <w:noProof/>
            <w:webHidden/>
          </w:rPr>
          <w:fldChar w:fldCharType="separate"/>
        </w:r>
        <w:r w:rsidR="007C6CB3">
          <w:rPr>
            <w:noProof/>
            <w:webHidden/>
          </w:rPr>
          <w:t>24</w:t>
        </w:r>
        <w:r w:rsidR="007D31A3">
          <w:rPr>
            <w:noProof/>
            <w:webHidden/>
          </w:rPr>
          <w:fldChar w:fldCharType="end"/>
        </w:r>
      </w:hyperlink>
    </w:p>
    <w:p w14:paraId="08D69809" w14:textId="4B3D5F70" w:rsidR="007D31A3" w:rsidRDefault="00D3774C">
      <w:pPr>
        <w:pStyle w:val="TOC1"/>
        <w:rPr>
          <w:rFonts w:asciiTheme="minorHAnsi" w:eastAsiaTheme="minorEastAsia" w:hAnsiTheme="minorHAnsi" w:cstheme="minorBidi"/>
          <w:noProof/>
          <w:sz w:val="22"/>
          <w:szCs w:val="22"/>
          <w:lang w:val="en-GB" w:eastAsia="en-GB"/>
        </w:rPr>
      </w:pPr>
      <w:hyperlink w:anchor="_Toc112657101" w:history="1">
        <w:r w:rsidR="007D31A3" w:rsidRPr="00E8464F">
          <w:rPr>
            <w:rStyle w:val="Hyperlink"/>
            <w:noProof/>
            <w:lang w:val="en-GB"/>
          </w:rPr>
          <w:t>Attachment 3 to the Annex  Measurement equipment</w:t>
        </w:r>
        <w:r w:rsidR="007D31A3">
          <w:rPr>
            <w:noProof/>
            <w:webHidden/>
          </w:rPr>
          <w:tab/>
        </w:r>
        <w:r w:rsidR="007D31A3">
          <w:rPr>
            <w:noProof/>
            <w:webHidden/>
          </w:rPr>
          <w:tab/>
        </w:r>
        <w:r w:rsidR="007D31A3">
          <w:rPr>
            <w:noProof/>
            <w:webHidden/>
          </w:rPr>
          <w:fldChar w:fldCharType="begin"/>
        </w:r>
        <w:r w:rsidR="007D31A3">
          <w:rPr>
            <w:noProof/>
            <w:webHidden/>
          </w:rPr>
          <w:instrText xml:space="preserve"> PAGEREF _Toc112657101 \h </w:instrText>
        </w:r>
        <w:r w:rsidR="007D31A3">
          <w:rPr>
            <w:noProof/>
            <w:webHidden/>
          </w:rPr>
        </w:r>
        <w:r w:rsidR="007D31A3">
          <w:rPr>
            <w:noProof/>
            <w:webHidden/>
          </w:rPr>
          <w:fldChar w:fldCharType="separate"/>
        </w:r>
        <w:r w:rsidR="007C6CB3">
          <w:rPr>
            <w:noProof/>
            <w:webHidden/>
          </w:rPr>
          <w:t>24</w:t>
        </w:r>
        <w:r w:rsidR="007D31A3">
          <w:rPr>
            <w:noProof/>
            <w:webHidden/>
          </w:rPr>
          <w:fldChar w:fldCharType="end"/>
        </w:r>
      </w:hyperlink>
    </w:p>
    <w:p w14:paraId="2B933982" w14:textId="668B76F1" w:rsidR="007D31A3" w:rsidRDefault="00D3774C">
      <w:pPr>
        <w:pStyle w:val="TOC1"/>
        <w:rPr>
          <w:rFonts w:asciiTheme="minorHAnsi" w:eastAsiaTheme="minorEastAsia" w:hAnsiTheme="minorHAnsi" w:cstheme="minorBidi"/>
          <w:noProof/>
          <w:sz w:val="22"/>
          <w:szCs w:val="22"/>
          <w:lang w:val="en-GB" w:eastAsia="en-GB"/>
        </w:rPr>
      </w:pPr>
      <w:hyperlink w:anchor="_Toc112657102" w:history="1">
        <w:r w:rsidR="007D31A3" w:rsidRPr="00E8464F">
          <w:rPr>
            <w:rStyle w:val="Hyperlink"/>
            <w:noProof/>
            <w:lang w:val="en-GB"/>
          </w:rPr>
          <w:t>Attachment 4 to the Annex  Measurements results 14 to 440 MHz, field-strengths</w:t>
        </w:r>
        <w:r w:rsidR="007D31A3">
          <w:rPr>
            <w:noProof/>
            <w:webHidden/>
          </w:rPr>
          <w:tab/>
        </w:r>
        <w:r w:rsidR="007D31A3">
          <w:rPr>
            <w:noProof/>
            <w:webHidden/>
          </w:rPr>
          <w:tab/>
        </w:r>
        <w:r w:rsidR="007D31A3">
          <w:rPr>
            <w:noProof/>
            <w:webHidden/>
          </w:rPr>
          <w:fldChar w:fldCharType="begin"/>
        </w:r>
        <w:r w:rsidR="007D31A3">
          <w:rPr>
            <w:noProof/>
            <w:webHidden/>
          </w:rPr>
          <w:instrText xml:space="preserve"> PAGEREF _Toc112657102 \h </w:instrText>
        </w:r>
        <w:r w:rsidR="007D31A3">
          <w:rPr>
            <w:noProof/>
            <w:webHidden/>
          </w:rPr>
        </w:r>
        <w:r w:rsidR="007D31A3">
          <w:rPr>
            <w:noProof/>
            <w:webHidden/>
          </w:rPr>
          <w:fldChar w:fldCharType="separate"/>
        </w:r>
        <w:r w:rsidR="007C6CB3">
          <w:rPr>
            <w:noProof/>
            <w:webHidden/>
          </w:rPr>
          <w:t>25</w:t>
        </w:r>
        <w:r w:rsidR="007D31A3">
          <w:rPr>
            <w:noProof/>
            <w:webHidden/>
          </w:rPr>
          <w:fldChar w:fldCharType="end"/>
        </w:r>
      </w:hyperlink>
    </w:p>
    <w:p w14:paraId="4A11F875" w14:textId="1FBB27AB" w:rsidR="007D31A3" w:rsidRDefault="00D3774C">
      <w:pPr>
        <w:pStyle w:val="TOC1"/>
        <w:rPr>
          <w:rFonts w:asciiTheme="minorHAnsi" w:eastAsiaTheme="minorEastAsia" w:hAnsiTheme="minorHAnsi" w:cstheme="minorBidi"/>
          <w:noProof/>
          <w:sz w:val="22"/>
          <w:szCs w:val="22"/>
          <w:lang w:val="en-GB" w:eastAsia="en-GB"/>
        </w:rPr>
      </w:pPr>
      <w:hyperlink w:anchor="_Toc112657103" w:history="1">
        <w:r w:rsidR="007D31A3" w:rsidRPr="00E8464F">
          <w:rPr>
            <w:rStyle w:val="Hyperlink"/>
            <w:noProof/>
            <w:lang w:val="en-GB"/>
          </w:rPr>
          <w:t>Attachment 5 to the Annex  Summary and conclusions of the Annex</w:t>
        </w:r>
        <w:r w:rsidR="007D31A3">
          <w:rPr>
            <w:noProof/>
            <w:webHidden/>
          </w:rPr>
          <w:tab/>
        </w:r>
        <w:r w:rsidR="007D31A3">
          <w:rPr>
            <w:noProof/>
            <w:webHidden/>
          </w:rPr>
          <w:tab/>
        </w:r>
        <w:r w:rsidR="007D31A3">
          <w:rPr>
            <w:noProof/>
            <w:webHidden/>
          </w:rPr>
          <w:fldChar w:fldCharType="begin"/>
        </w:r>
        <w:r w:rsidR="007D31A3">
          <w:rPr>
            <w:noProof/>
            <w:webHidden/>
          </w:rPr>
          <w:instrText xml:space="preserve"> PAGEREF _Toc112657103 \h </w:instrText>
        </w:r>
        <w:r w:rsidR="007D31A3">
          <w:rPr>
            <w:noProof/>
            <w:webHidden/>
          </w:rPr>
        </w:r>
        <w:r w:rsidR="007D31A3">
          <w:rPr>
            <w:noProof/>
            <w:webHidden/>
          </w:rPr>
          <w:fldChar w:fldCharType="separate"/>
        </w:r>
        <w:r w:rsidR="007C6CB3">
          <w:rPr>
            <w:noProof/>
            <w:webHidden/>
          </w:rPr>
          <w:t>26</w:t>
        </w:r>
        <w:r w:rsidR="007D31A3">
          <w:rPr>
            <w:noProof/>
            <w:webHidden/>
          </w:rPr>
          <w:fldChar w:fldCharType="end"/>
        </w:r>
      </w:hyperlink>
    </w:p>
    <w:p w14:paraId="1C6AABD0" w14:textId="559EB4C1" w:rsidR="0013550A" w:rsidRPr="00E13B55" w:rsidRDefault="00225CA4" w:rsidP="0013550A">
      <w:pPr>
        <w:rPr>
          <w:lang w:val="en-GB"/>
        </w:rPr>
      </w:pPr>
      <w:r w:rsidRPr="00E13B55">
        <w:rPr>
          <w:lang w:val="en-GB"/>
        </w:rPr>
        <w:fldChar w:fldCharType="end"/>
      </w:r>
    </w:p>
    <w:p w14:paraId="434E1245" w14:textId="77777777" w:rsidR="00CE1AE5" w:rsidRPr="00E13B55" w:rsidRDefault="00CE1AE5" w:rsidP="0013550A">
      <w:pPr>
        <w:rPr>
          <w:lang w:val="en-GB"/>
        </w:rPr>
      </w:pPr>
    </w:p>
    <w:p w14:paraId="251FB463" w14:textId="77777777" w:rsidR="0094260F" w:rsidRPr="00E13B55" w:rsidRDefault="0094260F" w:rsidP="0013550A">
      <w:pPr>
        <w:pStyle w:val="Heading1"/>
        <w:rPr>
          <w:lang w:val="en-GB"/>
        </w:rPr>
      </w:pPr>
      <w:bookmarkStart w:id="5" w:name="_Toc483436715"/>
      <w:bookmarkStart w:id="6" w:name="_Toc10138184"/>
      <w:r w:rsidRPr="00E13B55">
        <w:rPr>
          <w:lang w:val="en-GB"/>
        </w:rPr>
        <w:br w:type="page"/>
      </w:r>
    </w:p>
    <w:p w14:paraId="4C581334" w14:textId="77777777" w:rsidR="0013550A" w:rsidRPr="00E13B55" w:rsidRDefault="0013550A" w:rsidP="0013550A">
      <w:pPr>
        <w:pStyle w:val="Heading1"/>
        <w:rPr>
          <w:lang w:val="en-GB"/>
        </w:rPr>
      </w:pPr>
      <w:bookmarkStart w:id="7" w:name="_Toc112657086"/>
      <w:r w:rsidRPr="00E13B55">
        <w:rPr>
          <w:lang w:val="en-GB"/>
        </w:rPr>
        <w:lastRenderedPageBreak/>
        <w:t>1</w:t>
      </w:r>
      <w:r w:rsidRPr="00E13B55">
        <w:rPr>
          <w:lang w:val="en-GB"/>
        </w:rPr>
        <w:tab/>
        <w:t>Introduction</w:t>
      </w:r>
      <w:bookmarkEnd w:id="5"/>
      <w:bookmarkEnd w:id="6"/>
      <w:bookmarkEnd w:id="7"/>
    </w:p>
    <w:p w14:paraId="3ABF6C0B" w14:textId="0EF8D5CC" w:rsidR="002A521A" w:rsidRPr="00E13B55" w:rsidRDefault="002A521A" w:rsidP="002A521A">
      <w:pPr>
        <w:rPr>
          <w:lang w:val="en-GB"/>
        </w:rPr>
      </w:pPr>
      <w:bookmarkStart w:id="8" w:name="_Toc483436716"/>
      <w:bookmarkStart w:id="9" w:name="_Toc10138185"/>
      <w:bookmarkStart w:id="10" w:name="_Toc457389074"/>
      <w:bookmarkStart w:id="11" w:name="_Toc459733095"/>
      <w:bookmarkStart w:id="12" w:name="_Toc464650133"/>
      <w:r w:rsidRPr="00E13B55">
        <w:rPr>
          <w:lang w:val="en-GB"/>
        </w:rPr>
        <w:t xml:space="preserve">The proliferation of wireless installations of all types around the world obligates careful measurements. This concern is reflected in Question </w:t>
      </w:r>
      <w:hyperlink r:id="rId14" w:history="1">
        <w:r w:rsidRPr="00E13B55">
          <w:rPr>
            <w:rStyle w:val="Hyperlink"/>
            <w:color w:val="auto"/>
            <w:u w:val="none"/>
            <w:lang w:val="en-GB"/>
          </w:rPr>
          <w:t xml:space="preserve">ITU-R </w:t>
        </w:r>
        <w:r w:rsidRPr="00E13B55">
          <w:rPr>
            <w:rStyle w:val="Hyperlink"/>
            <w:color w:val="auto"/>
            <w:szCs w:val="24"/>
            <w:u w:val="none"/>
            <w:lang w:val="en-GB" w:eastAsia="zh-CN"/>
          </w:rPr>
          <w:t>239/1</w:t>
        </w:r>
      </w:hyperlink>
      <w:r w:rsidRPr="00E13B55">
        <w:rPr>
          <w:lang w:val="en-GB"/>
        </w:rPr>
        <w:t xml:space="preserve"> “</w:t>
      </w:r>
      <w:r w:rsidRPr="00E13B55">
        <w:rPr>
          <w:bCs/>
          <w:lang w:val="en-GB"/>
        </w:rPr>
        <w:t>Electromagnetic field measurements to assess human exposure</w:t>
      </w:r>
      <w:r w:rsidRPr="00E13B55">
        <w:rPr>
          <w:bCs/>
          <w:lang w:val="en-GB" w:eastAsia="zh-CN"/>
        </w:rPr>
        <w:t xml:space="preserve">”; </w:t>
      </w:r>
      <w:r w:rsidRPr="00E13B55">
        <w:rPr>
          <w:lang w:val="en-GB"/>
        </w:rPr>
        <w:t xml:space="preserve">ITU Plenipotentiary Resolution </w:t>
      </w:r>
      <w:hyperlink r:id="rId15" w:history="1">
        <w:r w:rsidRPr="00E13B55">
          <w:rPr>
            <w:rStyle w:val="Hyperlink"/>
            <w:color w:val="auto"/>
            <w:szCs w:val="24"/>
            <w:u w:val="none"/>
            <w:lang w:val="en-GB"/>
          </w:rPr>
          <w:t>176 (Rev. Dubai, 2018)</w:t>
        </w:r>
      </w:hyperlink>
      <w:r w:rsidRPr="00E13B55">
        <w:rPr>
          <w:lang w:val="en-GB"/>
        </w:rPr>
        <w:t xml:space="preserve"> “Measurement and assessment concerns related to human exposure to electromagnetic fields”</w:t>
      </w:r>
      <w:r w:rsidRPr="00E13B55">
        <w:rPr>
          <w:bCs/>
          <w:lang w:val="en-GB" w:eastAsia="zh-CN"/>
        </w:rPr>
        <w:t>; and</w:t>
      </w:r>
      <w:r w:rsidRPr="00E13B55">
        <w:rPr>
          <w:lang w:val="en-GB"/>
        </w:rPr>
        <w:t xml:space="preserve"> the ITU </w:t>
      </w:r>
      <w:hyperlink r:id="rId16" w:history="1">
        <w:r w:rsidRPr="00E13B55">
          <w:rPr>
            <w:rStyle w:val="Hyperlink"/>
            <w:color w:val="auto"/>
            <w:szCs w:val="24"/>
            <w:u w:val="none"/>
            <w:lang w:val="en-GB"/>
          </w:rPr>
          <w:t>Handbook on Spectrum Monitoring</w:t>
        </w:r>
      </w:hyperlink>
      <w:r w:rsidRPr="00E13B55">
        <w:rPr>
          <w:lang w:val="en-GB"/>
        </w:rPr>
        <w:t xml:space="preserve"> (Edition 2011), where section 5.6 details non-ionizing radiation measurements. </w:t>
      </w:r>
    </w:p>
    <w:p w14:paraId="5CA0B338" w14:textId="6433AF6E" w:rsidR="002A521A" w:rsidRPr="00E13B55" w:rsidRDefault="002A521A" w:rsidP="002A521A">
      <w:pPr>
        <w:rPr>
          <w:lang w:val="en-GB"/>
        </w:rPr>
      </w:pPr>
      <w:r w:rsidRPr="00E13B55">
        <w:rPr>
          <w:lang w:val="en-GB"/>
        </w:rPr>
        <w:t xml:space="preserve">The Electromagnetic Field (EMF) exposure limits are implemented at national level, mostly with references to international standards that specify different exposure limits for the general public and for workers accessing areas close to wireless installations. </w:t>
      </w:r>
    </w:p>
    <w:p w14:paraId="1C08414A" w14:textId="20FC5334" w:rsidR="002A521A" w:rsidRPr="00E13B55" w:rsidRDefault="002A521A" w:rsidP="002A521A">
      <w:pPr>
        <w:rPr>
          <w:lang w:val="en-GB"/>
        </w:rPr>
      </w:pPr>
      <w:r w:rsidRPr="00E13B55">
        <w:rPr>
          <w:lang w:val="en-GB"/>
        </w:rPr>
        <w:t xml:space="preserve">The International Commission for Non-Ionizing Radiation Protection (ICNIRP) and the Institute of Electrical and Electronics Engineers (IEEE) are the expert groups for setting the safety exposure levels. </w:t>
      </w:r>
      <w:r w:rsidRPr="00E13B55">
        <w:rPr>
          <w:lang w:val="en-GB" w:eastAsia="ja-JP"/>
        </w:rPr>
        <w:t>Many Administrations have adopted or may at some point adopt these guidelines or modified/updated guidelines based on their own experts’ studies.</w:t>
      </w:r>
      <w:r w:rsidRPr="00E13B55">
        <w:rPr>
          <w:lang w:val="en-GB"/>
        </w:rPr>
        <w:t xml:space="preserve"> </w:t>
      </w:r>
    </w:p>
    <w:p w14:paraId="03BD747A" w14:textId="1B035D89" w:rsidR="002A521A" w:rsidRPr="00E13B55" w:rsidRDefault="002A521A" w:rsidP="002A521A">
      <w:pPr>
        <w:rPr>
          <w:lang w:val="en-GB"/>
        </w:rPr>
      </w:pPr>
      <w:r w:rsidRPr="00E13B55">
        <w:rPr>
          <w:lang w:val="en-GB"/>
        </w:rPr>
        <w:t>Compliance with EMF limits should be assessed considering several aspects:</w:t>
      </w:r>
    </w:p>
    <w:p w14:paraId="162A0F77" w14:textId="77777777" w:rsidR="002A521A" w:rsidRPr="00E13B55" w:rsidRDefault="002A521A" w:rsidP="002A521A">
      <w:pPr>
        <w:pStyle w:val="enumlev1"/>
        <w:rPr>
          <w:lang w:val="en-GB"/>
        </w:rPr>
      </w:pPr>
      <w:r w:rsidRPr="00E13B55">
        <w:rPr>
          <w:lang w:val="en-GB"/>
        </w:rPr>
        <w:t>–</w:t>
      </w:r>
      <w:r w:rsidRPr="00E13B55">
        <w:rPr>
          <w:lang w:val="en-GB"/>
        </w:rPr>
        <w:tab/>
        <w:t xml:space="preserve">The power density and field strength are aggregated from different sources; </w:t>
      </w:r>
    </w:p>
    <w:p w14:paraId="66A002F9" w14:textId="6B28109B" w:rsidR="002A521A" w:rsidRPr="00E13B55" w:rsidRDefault="002A521A" w:rsidP="002A521A">
      <w:pPr>
        <w:pStyle w:val="enumlev1"/>
        <w:rPr>
          <w:lang w:val="en-GB"/>
        </w:rPr>
      </w:pPr>
      <w:r w:rsidRPr="00E13B55">
        <w:rPr>
          <w:lang w:val="en-GB"/>
        </w:rPr>
        <w:t>–</w:t>
      </w:r>
      <w:r w:rsidRPr="00E13B55">
        <w:rPr>
          <w:lang w:val="en-GB"/>
        </w:rPr>
        <w:tab/>
        <w:t>The exposure levels in the proximity of wireless installations may occur in the near-field;</w:t>
      </w:r>
    </w:p>
    <w:p w14:paraId="239EF3E2" w14:textId="7B120137" w:rsidR="002A521A" w:rsidRPr="00E13B55" w:rsidRDefault="002A521A" w:rsidP="002A521A">
      <w:pPr>
        <w:pStyle w:val="enumlev1"/>
        <w:rPr>
          <w:lang w:val="en-GB"/>
        </w:rPr>
      </w:pPr>
      <w:r w:rsidRPr="00E13B55">
        <w:rPr>
          <w:lang w:val="en-GB"/>
        </w:rPr>
        <w:t>–</w:t>
      </w:r>
      <w:r w:rsidRPr="00E13B55">
        <w:rPr>
          <w:lang w:val="en-GB"/>
        </w:rPr>
        <w:tab/>
        <w:t xml:space="preserve">The exposure levels should be measured in areas accessible to people (workers or the public as appropriate); </w:t>
      </w:r>
    </w:p>
    <w:p w14:paraId="23FEEE62" w14:textId="7CC5A55F" w:rsidR="002A521A" w:rsidRPr="00E13B55" w:rsidRDefault="002A521A" w:rsidP="002A521A">
      <w:pPr>
        <w:pStyle w:val="enumlev1"/>
        <w:rPr>
          <w:lang w:val="en-GB"/>
        </w:rPr>
      </w:pPr>
      <w:r w:rsidRPr="00E13B55">
        <w:rPr>
          <w:lang w:val="en-GB"/>
        </w:rPr>
        <w:t>–</w:t>
      </w:r>
      <w:r w:rsidRPr="00E13B55">
        <w:rPr>
          <w:lang w:val="en-GB"/>
        </w:rPr>
        <w:tab/>
        <w:t xml:space="preserve">Wireless installations may not transmit with their maximum theoretical power at the time of measurement, and so should be power scaled to reflect their maximal power, when determining compliance; </w:t>
      </w:r>
    </w:p>
    <w:p w14:paraId="060BF1CF" w14:textId="1DE062CF" w:rsidR="002A521A" w:rsidRPr="00E13B55" w:rsidRDefault="002A521A" w:rsidP="002A521A">
      <w:pPr>
        <w:pStyle w:val="enumlev1"/>
        <w:rPr>
          <w:lang w:val="en-GB"/>
        </w:rPr>
      </w:pPr>
      <w:r w:rsidRPr="00E13B55">
        <w:rPr>
          <w:lang w:val="en-GB"/>
        </w:rPr>
        <w:t>–</w:t>
      </w:r>
      <w:r w:rsidRPr="00E13B55">
        <w:rPr>
          <w:lang w:val="en-GB"/>
        </w:rPr>
        <w:tab/>
        <w:t>There may be a need for measuring the E and the H field separately, especially in the near</w:t>
      </w:r>
      <w:r w:rsidR="00231BE7" w:rsidRPr="00E13B55">
        <w:rPr>
          <w:lang w:val="en-GB"/>
        </w:rPr>
        <w:noBreakHyphen/>
      </w:r>
      <w:r w:rsidRPr="00E13B55">
        <w:rPr>
          <w:lang w:val="en-GB"/>
        </w:rPr>
        <w:t xml:space="preserve">field domain, where the relationship between E and H field is very complicated as opposed to the far-field; </w:t>
      </w:r>
    </w:p>
    <w:p w14:paraId="13483B43" w14:textId="77777777" w:rsidR="002A521A" w:rsidRPr="00E13B55" w:rsidRDefault="002A521A" w:rsidP="002A521A">
      <w:pPr>
        <w:pStyle w:val="enumlev1"/>
        <w:rPr>
          <w:lang w:val="en-GB"/>
        </w:rPr>
      </w:pPr>
      <w:r w:rsidRPr="00E13B55">
        <w:rPr>
          <w:lang w:val="en-GB"/>
        </w:rPr>
        <w:t>–</w:t>
      </w:r>
      <w:r w:rsidRPr="00E13B55">
        <w:rPr>
          <w:lang w:val="en-GB"/>
        </w:rPr>
        <w:tab/>
        <w:t>The results of the measurements may be presented in a variety of formats concerning the intended use and potential audience.</w:t>
      </w:r>
    </w:p>
    <w:p w14:paraId="5516417F" w14:textId="77777777" w:rsidR="002A521A" w:rsidRPr="00E13B55" w:rsidRDefault="002A521A" w:rsidP="002A521A">
      <w:pPr>
        <w:rPr>
          <w:lang w:val="en-GB"/>
        </w:rPr>
      </w:pPr>
      <w:r w:rsidRPr="00E13B55">
        <w:rPr>
          <w:lang w:val="en-GB"/>
        </w:rPr>
        <w:t>Compliance of portable user equipment such as handsets or notebooks intended for use close to the head or body is outside the scope of this Report.</w:t>
      </w:r>
    </w:p>
    <w:p w14:paraId="51DB7BE7" w14:textId="77777777" w:rsidR="002A521A" w:rsidRPr="00E13B55" w:rsidRDefault="002A521A" w:rsidP="002A521A">
      <w:pPr>
        <w:rPr>
          <w:lang w:val="en-GB"/>
        </w:rPr>
      </w:pPr>
      <w:r w:rsidRPr="00E13B55">
        <w:rPr>
          <w:lang w:val="en-GB"/>
        </w:rPr>
        <w:t>While ICNIRP limits have been established to protect the public, concerns on EMF effects encourage measures in some countries to monitor and control the power density and field strength of the emissions. It is necessary to share good practices in EMF monitoring that guides Administrations to check compliance with the limits established by ICNIRP.</w:t>
      </w:r>
    </w:p>
    <w:p w14:paraId="03C60D01" w14:textId="16C6517A" w:rsidR="0013550A" w:rsidRPr="00E13B55" w:rsidRDefault="0013550A" w:rsidP="0013550A">
      <w:pPr>
        <w:pStyle w:val="Heading1"/>
        <w:rPr>
          <w:lang w:val="en-GB"/>
        </w:rPr>
      </w:pPr>
      <w:bookmarkStart w:id="13" w:name="_Toc112657087"/>
      <w:r w:rsidRPr="00E13B55">
        <w:rPr>
          <w:lang w:val="en-GB"/>
        </w:rPr>
        <w:t>2</w:t>
      </w:r>
      <w:r w:rsidRPr="00E13B55">
        <w:rPr>
          <w:lang w:val="en-GB"/>
        </w:rPr>
        <w:tab/>
        <w:t xml:space="preserve">Regulatory </w:t>
      </w:r>
      <w:proofErr w:type="gramStart"/>
      <w:r w:rsidR="002753A9" w:rsidRPr="00E13B55">
        <w:rPr>
          <w:lang w:val="en-GB"/>
        </w:rPr>
        <w:t>f</w:t>
      </w:r>
      <w:r w:rsidRPr="00E13B55">
        <w:rPr>
          <w:lang w:val="en-GB"/>
        </w:rPr>
        <w:t>ramework</w:t>
      </w:r>
      <w:bookmarkEnd w:id="8"/>
      <w:bookmarkEnd w:id="9"/>
      <w:bookmarkEnd w:id="13"/>
      <w:proofErr w:type="gramEnd"/>
    </w:p>
    <w:p w14:paraId="2C883835" w14:textId="78B92A24" w:rsidR="006F0B6B" w:rsidRPr="00E13B55" w:rsidRDefault="00A8569E" w:rsidP="006F0B6B">
      <w:pPr>
        <w:pStyle w:val="Heading2"/>
        <w:rPr>
          <w:lang w:val="en-GB"/>
        </w:rPr>
      </w:pPr>
      <w:bookmarkStart w:id="14" w:name="_Toc112657088"/>
      <w:bookmarkStart w:id="15" w:name="_Toc464650142"/>
      <w:bookmarkStart w:id="16" w:name="_Toc483436718"/>
      <w:bookmarkStart w:id="17" w:name="_Toc10138187"/>
      <w:bookmarkEnd w:id="10"/>
      <w:bookmarkEnd w:id="11"/>
      <w:bookmarkEnd w:id="12"/>
      <w:r w:rsidRPr="00E13B55">
        <w:rPr>
          <w:lang w:val="en-GB"/>
        </w:rPr>
        <w:t>2.1</w:t>
      </w:r>
      <w:r w:rsidRPr="00E13B55">
        <w:rPr>
          <w:lang w:val="en-GB"/>
        </w:rPr>
        <w:tab/>
      </w:r>
      <w:r w:rsidR="006F0B6B" w:rsidRPr="00E13B55">
        <w:rPr>
          <w:lang w:val="en-GB"/>
        </w:rPr>
        <w:t>ICNIRP 2020 and IEEE 2019 exposure levels around transmitters</w:t>
      </w:r>
      <w:bookmarkEnd w:id="14"/>
    </w:p>
    <w:p w14:paraId="00E12173" w14:textId="77777777" w:rsidR="006F0B6B" w:rsidRPr="00E13B55" w:rsidRDefault="006F0B6B" w:rsidP="006F0B6B">
      <w:pPr>
        <w:pStyle w:val="Heading3"/>
        <w:rPr>
          <w:lang w:val="en-GB"/>
        </w:rPr>
      </w:pPr>
      <w:bookmarkStart w:id="18" w:name="_Toc102638936"/>
      <w:bookmarkStart w:id="19" w:name="_Toc107752100"/>
      <w:bookmarkStart w:id="20" w:name="_Toc54190458"/>
      <w:r w:rsidRPr="00E13B55">
        <w:rPr>
          <w:lang w:val="en-GB"/>
        </w:rPr>
        <w:t>2.1.1</w:t>
      </w:r>
      <w:r w:rsidRPr="00E13B55">
        <w:rPr>
          <w:lang w:val="en-GB"/>
        </w:rPr>
        <w:tab/>
        <w:t>Overview</w:t>
      </w:r>
      <w:bookmarkEnd w:id="18"/>
      <w:bookmarkEnd w:id="19"/>
      <w:r w:rsidRPr="00E13B55">
        <w:rPr>
          <w:lang w:val="en-GB"/>
        </w:rPr>
        <w:t xml:space="preserve"> </w:t>
      </w:r>
      <w:bookmarkEnd w:id="20"/>
    </w:p>
    <w:p w14:paraId="57CCE43C" w14:textId="77777777" w:rsidR="006F0B6B" w:rsidRPr="00E13B55" w:rsidRDefault="00D3774C" w:rsidP="002753A9">
      <w:pPr>
        <w:rPr>
          <w:lang w:val="en-GB"/>
        </w:rPr>
      </w:pPr>
      <w:hyperlink r:id="rId17" w:history="1">
        <w:r w:rsidR="006F0B6B" w:rsidRPr="00E13B55">
          <w:rPr>
            <w:rStyle w:val="Hyperlink"/>
            <w:color w:val="auto"/>
            <w:szCs w:val="24"/>
            <w:u w:val="none"/>
            <w:shd w:val="clear" w:color="auto" w:fill="FFFFFF"/>
            <w:lang w:val="en-GB"/>
          </w:rPr>
          <w:t>ICNIRP</w:t>
        </w:r>
      </w:hyperlink>
      <w:r w:rsidR="006F0B6B" w:rsidRPr="00E13B55">
        <w:rPr>
          <w:color w:val="333333"/>
          <w:szCs w:val="24"/>
          <w:shd w:val="clear" w:color="auto" w:fill="FFFFFF"/>
          <w:lang w:val="en-GB"/>
        </w:rPr>
        <w:t xml:space="preserve"> aims to protect people and the environment against adverse effects of non-ionizing radiation (NIR). </w:t>
      </w:r>
      <w:r w:rsidR="006F0B6B" w:rsidRPr="00E13B55">
        <w:rPr>
          <w:lang w:val="en-GB" w:eastAsia="zh-CN"/>
        </w:rPr>
        <w:t xml:space="preserve">ICNIRP Guidelines have been widely adopted in standards and regulations around the world; where national limits do not exist, or if they do not cover the frequencies of interest, then ICNIRP limits should be used. </w:t>
      </w:r>
      <w:r w:rsidR="006F0B6B" w:rsidRPr="00E13B55">
        <w:rPr>
          <w:lang w:val="en-GB"/>
        </w:rPr>
        <w:t xml:space="preserve">Those are the ICNIRP Guidelines: </w:t>
      </w:r>
    </w:p>
    <w:p w14:paraId="6A5CB91F" w14:textId="77777777" w:rsidR="006F0B6B" w:rsidRPr="00E13B55" w:rsidRDefault="006F0B6B" w:rsidP="006F0B6B">
      <w:pPr>
        <w:pStyle w:val="enumlev1"/>
        <w:rPr>
          <w:lang w:val="en-GB"/>
        </w:rPr>
      </w:pPr>
      <w:r w:rsidRPr="00E13B55">
        <w:rPr>
          <w:lang w:val="en-GB"/>
        </w:rPr>
        <w:t>–</w:t>
      </w:r>
      <w:r w:rsidRPr="00E13B55">
        <w:rPr>
          <w:lang w:val="en-GB"/>
        </w:rPr>
        <w:tab/>
      </w:r>
      <w:hyperlink r:id="rId18" w:history="1">
        <w:r w:rsidRPr="00E13B55">
          <w:rPr>
            <w:rStyle w:val="Hyperlink"/>
            <w:color w:val="auto"/>
            <w:u w:val="none"/>
            <w:lang w:val="en-GB"/>
          </w:rPr>
          <w:t>ICNIRP (1998</w:t>
        </w:r>
      </w:hyperlink>
      <w:r w:rsidRPr="00E13B55">
        <w:rPr>
          <w:rStyle w:val="Hyperlink"/>
          <w:color w:val="auto"/>
          <w:u w:val="none"/>
          <w:lang w:val="en-GB"/>
        </w:rPr>
        <w:t>)</w:t>
      </w:r>
      <w:r w:rsidRPr="00E13B55">
        <w:rPr>
          <w:lang w:val="en-GB"/>
        </w:rPr>
        <w:t>: Guidelines for limiting exposure to time</w:t>
      </w:r>
      <w:r w:rsidRPr="00E13B55">
        <w:rPr>
          <w:rFonts w:ascii="Cambria Math" w:hAnsi="Cambria Math" w:cs="Cambria Math"/>
          <w:lang w:val="en-GB"/>
        </w:rPr>
        <w:t>‐</w:t>
      </w:r>
      <w:r w:rsidRPr="00E13B55">
        <w:rPr>
          <w:lang w:val="en-GB"/>
        </w:rPr>
        <w:t>varying electric, magnetic and electromagnetic fields (up to 300 GHz</w:t>
      </w:r>
      <w:proofErr w:type="gramStart"/>
      <w:r w:rsidRPr="00E13B55">
        <w:rPr>
          <w:lang w:val="en-GB"/>
        </w:rPr>
        <w:t>);</w:t>
      </w:r>
      <w:proofErr w:type="gramEnd"/>
      <w:r w:rsidRPr="00E13B55">
        <w:rPr>
          <w:lang w:val="en-GB"/>
        </w:rPr>
        <w:t xml:space="preserve"> </w:t>
      </w:r>
    </w:p>
    <w:p w14:paraId="0236D213" w14:textId="77777777" w:rsidR="006F0B6B" w:rsidRPr="00E13B55" w:rsidRDefault="006F0B6B" w:rsidP="006F0B6B">
      <w:pPr>
        <w:pStyle w:val="enumlev1"/>
        <w:rPr>
          <w:lang w:val="en-GB"/>
        </w:rPr>
      </w:pPr>
      <w:r w:rsidRPr="00E13B55">
        <w:rPr>
          <w:lang w:val="en-GB"/>
        </w:rPr>
        <w:lastRenderedPageBreak/>
        <w:t>–</w:t>
      </w:r>
      <w:r w:rsidRPr="00E13B55">
        <w:rPr>
          <w:lang w:val="en-GB"/>
        </w:rPr>
        <w:tab/>
      </w:r>
      <w:hyperlink r:id="rId19" w:history="1">
        <w:r w:rsidRPr="00E13B55">
          <w:rPr>
            <w:rStyle w:val="Hyperlink"/>
            <w:color w:val="auto"/>
            <w:u w:val="none"/>
            <w:lang w:val="en-GB"/>
          </w:rPr>
          <w:t>ICNIRP (2010</w:t>
        </w:r>
      </w:hyperlink>
      <w:r w:rsidRPr="00E13B55">
        <w:rPr>
          <w:rStyle w:val="Hyperlink"/>
          <w:color w:val="auto"/>
          <w:u w:val="none"/>
          <w:lang w:val="en-GB"/>
        </w:rPr>
        <w:t>)</w:t>
      </w:r>
      <w:r w:rsidRPr="00E13B55">
        <w:rPr>
          <w:lang w:val="en-GB"/>
        </w:rPr>
        <w:t>: Guidelines for limiting exposure to time</w:t>
      </w:r>
      <w:r w:rsidRPr="00E13B55">
        <w:rPr>
          <w:rFonts w:ascii="Cambria Math" w:hAnsi="Cambria Math" w:cs="Cambria Math"/>
          <w:lang w:val="en-GB"/>
        </w:rPr>
        <w:t>‐</w:t>
      </w:r>
      <w:r w:rsidRPr="00E13B55">
        <w:rPr>
          <w:lang w:val="en-GB"/>
        </w:rPr>
        <w:t>varying electric and magnetic fields (1 Hz – 100 kHz</w:t>
      </w:r>
      <w:proofErr w:type="gramStart"/>
      <w:r w:rsidRPr="00E13B55">
        <w:rPr>
          <w:lang w:val="en-GB"/>
        </w:rPr>
        <w:t>);</w:t>
      </w:r>
      <w:proofErr w:type="gramEnd"/>
    </w:p>
    <w:p w14:paraId="0C25E764" w14:textId="7D88F641" w:rsidR="006F0B6B" w:rsidRPr="00E13B55" w:rsidRDefault="006F0B6B" w:rsidP="006F0B6B">
      <w:pPr>
        <w:pStyle w:val="enumlev1"/>
        <w:rPr>
          <w:lang w:val="en-GB"/>
        </w:rPr>
      </w:pPr>
      <w:bookmarkStart w:id="21" w:name="_Hlk49676124"/>
      <w:r w:rsidRPr="00E13B55">
        <w:rPr>
          <w:lang w:val="en-GB"/>
        </w:rPr>
        <w:t>–</w:t>
      </w:r>
      <w:r w:rsidRPr="00E13B55">
        <w:rPr>
          <w:lang w:val="en-GB"/>
        </w:rPr>
        <w:tab/>
      </w:r>
      <w:hyperlink r:id="rId20" w:history="1">
        <w:r w:rsidRPr="00E13B55">
          <w:rPr>
            <w:rStyle w:val="Hyperlink"/>
            <w:color w:val="auto"/>
            <w:u w:val="none"/>
            <w:lang w:val="en-GB"/>
          </w:rPr>
          <w:t>ICNIRP (2020</w:t>
        </w:r>
      </w:hyperlink>
      <w:bookmarkEnd w:id="21"/>
      <w:r w:rsidRPr="00E13B55">
        <w:rPr>
          <w:rStyle w:val="Hyperlink"/>
          <w:color w:val="auto"/>
          <w:u w:val="none"/>
          <w:lang w:val="en-GB"/>
        </w:rPr>
        <w:t>)</w:t>
      </w:r>
      <w:r w:rsidRPr="00E13B55">
        <w:rPr>
          <w:lang w:val="en-GB"/>
        </w:rPr>
        <w:t>: Guidelines for limiting exposure to electromagnetic fields (100 kHz to 300</w:t>
      </w:r>
      <w:r w:rsidR="002753A9" w:rsidRPr="00E13B55">
        <w:rPr>
          <w:lang w:val="en-GB"/>
        </w:rPr>
        <w:t> </w:t>
      </w:r>
      <w:r w:rsidRPr="00E13B55">
        <w:rPr>
          <w:lang w:val="en-GB"/>
        </w:rPr>
        <w:t>GHz).</w:t>
      </w:r>
    </w:p>
    <w:p w14:paraId="252A9B8F" w14:textId="77777777" w:rsidR="006F0B6B" w:rsidRPr="00E13B55" w:rsidRDefault="006F0B6B" w:rsidP="006F0B6B">
      <w:pPr>
        <w:rPr>
          <w:lang w:val="en-GB" w:eastAsia="zh-CN" w:bidi="he-IL"/>
        </w:rPr>
      </w:pPr>
      <w:r w:rsidRPr="00E13B55">
        <w:rPr>
          <w:lang w:val="en-GB"/>
        </w:rPr>
        <w:t>T</w:t>
      </w:r>
      <w:r w:rsidRPr="00E13B55">
        <w:rPr>
          <w:lang w:val="en-GB" w:eastAsia="zh-CN" w:bidi="he-IL"/>
        </w:rPr>
        <w:t>he limits below 100 kHz are the ones published in ICNIRP (2010), and, with the publication of the 2020 Guidelines, the 1998 Guidelines have become obsolete. It should be noted, however, that in some regions, standards concerning EMF assessment methods continue referring to basic restrictions, and reference levels in the ICNIRP 1998 Guidelines. Until the relevant standards have been updated, the 1998 Guidelines can still be used as the valid basis for compliance framework.</w:t>
      </w:r>
    </w:p>
    <w:p w14:paraId="6E9E7835" w14:textId="77777777" w:rsidR="006F0B6B" w:rsidRPr="00E13B55" w:rsidRDefault="006F0B6B" w:rsidP="006F0B6B">
      <w:pPr>
        <w:pStyle w:val="Heading3"/>
        <w:rPr>
          <w:lang w:val="en-GB"/>
        </w:rPr>
      </w:pPr>
      <w:bookmarkStart w:id="22" w:name="_Toc54190459"/>
      <w:bookmarkStart w:id="23" w:name="_Toc102638937"/>
      <w:bookmarkStart w:id="24" w:name="_Toc107752101"/>
      <w:r w:rsidRPr="00E13B55">
        <w:rPr>
          <w:lang w:val="en-GB"/>
        </w:rPr>
        <w:t>2.1.2</w:t>
      </w:r>
      <w:r w:rsidRPr="00E13B55">
        <w:rPr>
          <w:lang w:val="en-GB"/>
        </w:rPr>
        <w:tab/>
        <w:t>ICNIRP (2020) Tables and Figures</w:t>
      </w:r>
      <w:bookmarkEnd w:id="22"/>
      <w:bookmarkEnd w:id="23"/>
      <w:bookmarkEnd w:id="24"/>
    </w:p>
    <w:p w14:paraId="50766DD8" w14:textId="77777777" w:rsidR="006F0B6B" w:rsidRPr="00E13B55" w:rsidRDefault="006F0B6B" w:rsidP="006F0B6B">
      <w:pPr>
        <w:rPr>
          <w:szCs w:val="24"/>
          <w:lang w:val="en-GB"/>
        </w:rPr>
      </w:pPr>
      <w:r w:rsidRPr="00E13B55">
        <w:rPr>
          <w:szCs w:val="24"/>
          <w:lang w:val="en-GB"/>
        </w:rPr>
        <w:t xml:space="preserve">ICNIRP (2020) Table 5 is the most relevant to Monitoring base-stations. It </w:t>
      </w:r>
      <w:r w:rsidRPr="00E13B55">
        <w:rPr>
          <w:lang w:val="en-GB" w:eastAsia="zh-CN" w:bidi="he-IL"/>
        </w:rPr>
        <w:t xml:space="preserve">details reference levels for exposure to RF-EMF, averaged, over 30 minutes and the whole body, from 100 kHz to 300 GHz (unperturbed rms values). </w:t>
      </w:r>
      <w:r w:rsidRPr="00E13B55">
        <w:rPr>
          <w:szCs w:val="24"/>
          <w:lang w:val="en-GB"/>
        </w:rPr>
        <w:t xml:space="preserve">The re-elaborated Figures depict the values. </w:t>
      </w:r>
      <w:r w:rsidRPr="00E13B55">
        <w:rPr>
          <w:b/>
          <w:bCs/>
          <w:szCs w:val="24"/>
          <w:lang w:val="en-GB"/>
        </w:rPr>
        <w:t>Bolds</w:t>
      </w:r>
      <w:r w:rsidRPr="00E13B55">
        <w:rPr>
          <w:szCs w:val="24"/>
          <w:lang w:val="en-GB"/>
        </w:rPr>
        <w:t xml:space="preserve"> indicate the significant parameter.</w:t>
      </w:r>
      <w:r w:rsidRPr="00E13B55">
        <w:rPr>
          <w:lang w:val="en-GB"/>
        </w:rPr>
        <w:t xml:space="preserve"> </w:t>
      </w:r>
      <w:r w:rsidRPr="00E13B55">
        <w:rPr>
          <w:lang w:val="en-GB" w:eastAsia="zh-CN" w:bidi="he-IL"/>
        </w:rPr>
        <w:t xml:space="preserve">The ICNIRP Table and Figures quantify and depict how the exposure depends on the transmitted frequency. The RF-EMF Reference Levels for the Occupational and General Public whole-body exposures decrease 0.1-30 MHz, </w:t>
      </w:r>
      <w:r w:rsidRPr="00E13B55">
        <w:rPr>
          <w:szCs w:val="24"/>
          <w:lang w:val="en-GB"/>
        </w:rPr>
        <w:t xml:space="preserve">stay steady 30-400 MHz, </w:t>
      </w:r>
      <w:r w:rsidRPr="00E13B55">
        <w:rPr>
          <w:szCs w:val="24"/>
          <w:lang w:val="en-GB" w:eastAsia="zh-CN" w:bidi="he-IL"/>
        </w:rPr>
        <w:t xml:space="preserve">increase again between </w:t>
      </w:r>
      <w:r w:rsidRPr="00E13B55">
        <w:rPr>
          <w:szCs w:val="24"/>
          <w:lang w:val="en-GB"/>
        </w:rPr>
        <w:t>400</w:t>
      </w:r>
      <w:r w:rsidRPr="00E13B55">
        <w:rPr>
          <w:szCs w:val="24"/>
          <w:lang w:val="en-GB"/>
        </w:rPr>
        <w:noBreakHyphen/>
        <w:t>2 000 MHz and stay steady 2-300 GHz.</w:t>
      </w:r>
    </w:p>
    <w:p w14:paraId="2155BDD6" w14:textId="06063FE1" w:rsidR="006F0B6B" w:rsidRPr="00E13B55" w:rsidRDefault="00A427B0" w:rsidP="006F0B6B">
      <w:pPr>
        <w:pStyle w:val="TableNo"/>
        <w:rPr>
          <w:b/>
          <w:bCs/>
          <w:lang w:val="en-GB"/>
        </w:rPr>
      </w:pPr>
      <w:bookmarkStart w:id="25" w:name="_Ref54559043"/>
      <w:bookmarkStart w:id="26" w:name="_Toc54190490"/>
      <w:r w:rsidRPr="00E13B55">
        <w:rPr>
          <w:lang w:val="en-GB"/>
        </w:rPr>
        <w:t xml:space="preserve">TABLE </w:t>
      </w:r>
      <w:bookmarkEnd w:id="25"/>
      <w:r w:rsidR="006F0B6B" w:rsidRPr="00E13B55">
        <w:rPr>
          <w:lang w:val="en-GB"/>
        </w:rPr>
        <w:t>1</w:t>
      </w:r>
    </w:p>
    <w:p w14:paraId="71607F00" w14:textId="77777777" w:rsidR="006F0B6B" w:rsidRPr="00E13B55" w:rsidRDefault="006F0B6B" w:rsidP="006F0B6B">
      <w:pPr>
        <w:pStyle w:val="Tabletitle"/>
        <w:rPr>
          <w:bCs/>
          <w:lang w:val="en-GB" w:eastAsia="zh-CN" w:bidi="he-IL"/>
        </w:rPr>
      </w:pPr>
      <w:r w:rsidRPr="00E13B55">
        <w:rPr>
          <w:lang w:val="en-GB"/>
        </w:rPr>
        <w:t xml:space="preserve">(ICNIRP 2020 Table 5) </w:t>
      </w:r>
      <w:r w:rsidRPr="00E13B55">
        <w:rPr>
          <w:lang w:val="en-GB" w:eastAsia="en-GB"/>
        </w:rPr>
        <w:t xml:space="preserve">Reference levels for exposure from 100 kHz to 300 GHz </w:t>
      </w:r>
      <w:bookmarkEnd w:id="26"/>
    </w:p>
    <w:tbl>
      <w:tblPr>
        <w:tblW w:w="963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left w:w="57" w:type="dxa"/>
          <w:bottom w:w="57" w:type="dxa"/>
          <w:right w:w="57" w:type="dxa"/>
        </w:tblCellMar>
        <w:tblLook w:val="0620" w:firstRow="1" w:lastRow="0" w:firstColumn="0" w:lastColumn="0" w:noHBand="1" w:noVBand="1"/>
      </w:tblPr>
      <w:tblGrid>
        <w:gridCol w:w="1607"/>
        <w:gridCol w:w="1994"/>
        <w:gridCol w:w="1933"/>
        <w:gridCol w:w="1894"/>
        <w:gridCol w:w="2211"/>
      </w:tblGrid>
      <w:tr w:rsidR="006F0B6B" w:rsidRPr="007C6CB3" w14:paraId="3A4D1D0D" w14:textId="77777777" w:rsidTr="00231BE7">
        <w:trPr>
          <w:trHeight w:val="20"/>
          <w:tblHeader/>
        </w:trPr>
        <w:tc>
          <w:tcPr>
            <w:tcW w:w="1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F50F0D" w14:textId="77777777" w:rsidR="006F0B6B" w:rsidRPr="00E13B55" w:rsidRDefault="006F0B6B" w:rsidP="00146A88">
            <w:pPr>
              <w:pStyle w:val="Tablehead"/>
              <w:spacing w:before="20" w:after="20"/>
              <w:rPr>
                <w:sz w:val="18"/>
                <w:szCs w:val="18"/>
                <w:lang w:val="en-GB" w:eastAsia="zh-CN"/>
              </w:rPr>
            </w:pPr>
            <w:r w:rsidRPr="00E13B55">
              <w:rPr>
                <w:sz w:val="18"/>
                <w:szCs w:val="18"/>
                <w:lang w:val="en-GB" w:eastAsia="zh-CN"/>
              </w:rPr>
              <w:t>Exposure scenario</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4F1680" w14:textId="77777777" w:rsidR="006F0B6B" w:rsidRPr="00E13B55" w:rsidRDefault="006F0B6B" w:rsidP="00146A88">
            <w:pPr>
              <w:pStyle w:val="Tablehead"/>
              <w:spacing w:before="20" w:after="20"/>
              <w:rPr>
                <w:sz w:val="18"/>
                <w:szCs w:val="18"/>
                <w:lang w:val="en-GB" w:eastAsia="zh-CN"/>
              </w:rPr>
            </w:pPr>
            <w:r w:rsidRPr="00E13B55">
              <w:rPr>
                <w:sz w:val="18"/>
                <w:szCs w:val="18"/>
                <w:lang w:val="en-GB" w:eastAsia="zh-CN"/>
              </w:rPr>
              <w:t>Frequency range</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1F0FDB" w14:textId="77777777" w:rsidR="006F0B6B" w:rsidRPr="00E13B55" w:rsidRDefault="006F0B6B" w:rsidP="00146A88">
            <w:pPr>
              <w:pStyle w:val="Tablehead"/>
              <w:spacing w:before="20" w:after="20"/>
              <w:rPr>
                <w:sz w:val="18"/>
                <w:szCs w:val="18"/>
                <w:lang w:val="en-GB" w:eastAsia="zh-CN"/>
              </w:rPr>
            </w:pPr>
            <w:r w:rsidRPr="00E13B55">
              <w:rPr>
                <w:sz w:val="18"/>
                <w:szCs w:val="18"/>
                <w:lang w:val="en-GB" w:eastAsia="zh-CN"/>
              </w:rPr>
              <w:t>Incident E-field</w:t>
            </w:r>
            <w:r w:rsidRPr="00E13B55">
              <w:rPr>
                <w:sz w:val="18"/>
                <w:szCs w:val="18"/>
                <w:lang w:val="en-GB" w:eastAsia="zh-CN"/>
              </w:rPr>
              <w:br/>
              <w:t xml:space="preserve">strength; </w:t>
            </w:r>
            <w:proofErr w:type="spellStart"/>
            <w:r w:rsidRPr="00E13B55">
              <w:rPr>
                <w:i/>
                <w:iCs/>
                <w:sz w:val="18"/>
                <w:szCs w:val="18"/>
                <w:lang w:val="en-GB" w:eastAsia="zh-CN"/>
              </w:rPr>
              <w:t>E</w:t>
            </w:r>
            <w:r w:rsidRPr="00E13B55">
              <w:rPr>
                <w:i/>
                <w:iCs/>
                <w:sz w:val="18"/>
                <w:szCs w:val="18"/>
                <w:vertAlign w:val="subscript"/>
                <w:lang w:val="en-GB" w:eastAsia="ja-JP"/>
              </w:rPr>
              <w:t>inc</w:t>
            </w:r>
            <w:proofErr w:type="spellEnd"/>
            <w:r w:rsidRPr="00E13B55">
              <w:rPr>
                <w:sz w:val="18"/>
                <w:szCs w:val="18"/>
                <w:vertAlign w:val="subscript"/>
                <w:lang w:val="en-GB" w:eastAsia="ja-JP"/>
              </w:rPr>
              <w:t xml:space="preserve"> </w:t>
            </w:r>
            <w:r w:rsidRPr="00E13B55">
              <w:rPr>
                <w:sz w:val="18"/>
                <w:szCs w:val="18"/>
                <w:lang w:val="en-GB" w:eastAsia="zh-CN"/>
              </w:rPr>
              <w:t>(V m</w:t>
            </w:r>
            <w:r w:rsidRPr="00E13B55">
              <w:rPr>
                <w:sz w:val="18"/>
                <w:szCs w:val="18"/>
                <w:vertAlign w:val="superscript"/>
                <w:lang w:val="en-GB" w:eastAsia="zh-CN"/>
              </w:rPr>
              <w:t>-1</w:t>
            </w:r>
            <w:r w:rsidRPr="00E13B55">
              <w:rPr>
                <w:sz w:val="18"/>
                <w:szCs w:val="18"/>
                <w:lang w:val="en-GB" w:eastAsia="zh-CN"/>
              </w:rPr>
              <w:t>)</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B018DA" w14:textId="77777777" w:rsidR="006F0B6B" w:rsidRPr="00E13B55" w:rsidRDefault="006F0B6B" w:rsidP="00146A88">
            <w:pPr>
              <w:pStyle w:val="Tablehead"/>
              <w:spacing w:before="20" w:after="20"/>
              <w:rPr>
                <w:sz w:val="18"/>
                <w:szCs w:val="18"/>
                <w:lang w:val="en-GB" w:eastAsia="zh-CN"/>
              </w:rPr>
            </w:pPr>
            <w:r w:rsidRPr="00E13B55">
              <w:rPr>
                <w:sz w:val="18"/>
                <w:szCs w:val="18"/>
                <w:lang w:val="en-GB" w:eastAsia="zh-CN"/>
              </w:rPr>
              <w:t>Incident H-field</w:t>
            </w:r>
            <w:r w:rsidRPr="00E13B55">
              <w:rPr>
                <w:sz w:val="18"/>
                <w:szCs w:val="18"/>
                <w:lang w:val="en-GB" w:eastAsia="zh-CN"/>
              </w:rPr>
              <w:br/>
              <w:t xml:space="preserve">strength; </w:t>
            </w:r>
            <w:proofErr w:type="spellStart"/>
            <w:r w:rsidRPr="00E13B55">
              <w:rPr>
                <w:i/>
                <w:iCs/>
                <w:sz w:val="18"/>
                <w:szCs w:val="18"/>
                <w:lang w:val="en-GB" w:eastAsia="zh-CN"/>
              </w:rPr>
              <w:t>H</w:t>
            </w:r>
            <w:r w:rsidRPr="00E13B55">
              <w:rPr>
                <w:i/>
                <w:iCs/>
                <w:sz w:val="18"/>
                <w:szCs w:val="18"/>
                <w:vertAlign w:val="subscript"/>
                <w:lang w:val="en-GB" w:eastAsia="ja-JP"/>
              </w:rPr>
              <w:t>inc</w:t>
            </w:r>
            <w:proofErr w:type="spellEnd"/>
            <w:r w:rsidRPr="00E13B55">
              <w:rPr>
                <w:sz w:val="18"/>
                <w:szCs w:val="18"/>
                <w:vertAlign w:val="subscript"/>
                <w:lang w:val="en-GB" w:eastAsia="ja-JP"/>
              </w:rPr>
              <w:t xml:space="preserve"> </w:t>
            </w:r>
            <w:r w:rsidRPr="00E13B55">
              <w:rPr>
                <w:sz w:val="18"/>
                <w:szCs w:val="18"/>
                <w:lang w:val="en-GB" w:eastAsia="zh-CN"/>
              </w:rPr>
              <w:t>(A m</w:t>
            </w:r>
            <w:r w:rsidRPr="00E13B55">
              <w:rPr>
                <w:sz w:val="18"/>
                <w:szCs w:val="18"/>
                <w:vertAlign w:val="superscript"/>
                <w:lang w:val="en-GB" w:eastAsia="zh-CN"/>
              </w:rPr>
              <w:t>-1</w:t>
            </w:r>
            <w:r w:rsidRPr="00E13B55">
              <w:rPr>
                <w:sz w:val="18"/>
                <w:szCs w:val="18"/>
                <w:lang w:val="en-GB" w:eastAsia="zh-CN"/>
              </w:rPr>
              <w:t>)</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B64A4C" w14:textId="750945F2" w:rsidR="006F0B6B" w:rsidRPr="00E13B55" w:rsidRDefault="006F0B6B" w:rsidP="00146A88">
            <w:pPr>
              <w:pStyle w:val="Tablehead"/>
              <w:spacing w:before="20" w:after="20"/>
              <w:rPr>
                <w:sz w:val="18"/>
                <w:szCs w:val="18"/>
                <w:lang w:val="en-GB" w:eastAsia="zh-CN"/>
              </w:rPr>
            </w:pPr>
            <w:r w:rsidRPr="00E13B55">
              <w:rPr>
                <w:sz w:val="18"/>
                <w:szCs w:val="18"/>
                <w:lang w:val="en-GB" w:eastAsia="zh-CN"/>
              </w:rPr>
              <w:t xml:space="preserve">Incident power density; </w:t>
            </w:r>
            <w:proofErr w:type="spellStart"/>
            <w:r w:rsidRPr="00E13B55">
              <w:rPr>
                <w:i/>
                <w:iCs/>
                <w:sz w:val="18"/>
                <w:szCs w:val="18"/>
                <w:lang w:val="en-GB" w:eastAsia="zh-CN"/>
              </w:rPr>
              <w:t>S</w:t>
            </w:r>
            <w:r w:rsidRPr="00E13B55">
              <w:rPr>
                <w:i/>
                <w:iCs/>
                <w:sz w:val="18"/>
                <w:szCs w:val="18"/>
                <w:vertAlign w:val="subscript"/>
                <w:lang w:val="en-GB" w:eastAsia="zh-CN"/>
              </w:rPr>
              <w:t>inc</w:t>
            </w:r>
            <w:proofErr w:type="spellEnd"/>
            <w:r w:rsidR="00231BE7" w:rsidRPr="00E13B55">
              <w:rPr>
                <w:sz w:val="18"/>
                <w:szCs w:val="18"/>
                <w:lang w:val="en-GB" w:eastAsia="zh-CN"/>
              </w:rPr>
              <w:t xml:space="preserve"> </w:t>
            </w:r>
            <w:r w:rsidRPr="00E13B55">
              <w:rPr>
                <w:sz w:val="18"/>
                <w:szCs w:val="18"/>
                <w:lang w:val="en-GB" w:eastAsia="zh-CN"/>
              </w:rPr>
              <w:t>(W m</w:t>
            </w:r>
            <w:r w:rsidRPr="00E13B55">
              <w:rPr>
                <w:sz w:val="18"/>
                <w:szCs w:val="18"/>
                <w:vertAlign w:val="superscript"/>
                <w:lang w:val="en-GB" w:eastAsia="zh-CN"/>
              </w:rPr>
              <w:t>-2</w:t>
            </w:r>
            <w:r w:rsidRPr="00E13B55">
              <w:rPr>
                <w:sz w:val="18"/>
                <w:szCs w:val="18"/>
                <w:lang w:val="en-GB" w:eastAsia="zh-CN"/>
              </w:rPr>
              <w:t>)</w:t>
            </w:r>
          </w:p>
        </w:tc>
      </w:tr>
      <w:tr w:rsidR="006F0B6B" w:rsidRPr="00E13B55" w14:paraId="1F0F8589" w14:textId="77777777" w:rsidTr="00231BE7">
        <w:trPr>
          <w:trHeight w:val="20"/>
        </w:trPr>
        <w:tc>
          <w:tcPr>
            <w:tcW w:w="16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605497" w14:textId="77777777" w:rsidR="006F0B6B" w:rsidRPr="00E13B55" w:rsidRDefault="006F0B6B" w:rsidP="00146A88">
            <w:pPr>
              <w:pStyle w:val="Tabletext"/>
              <w:spacing w:before="20" w:after="20"/>
              <w:rPr>
                <w:sz w:val="18"/>
                <w:szCs w:val="18"/>
                <w:lang w:val="en-GB" w:eastAsia="zh-CN"/>
              </w:rPr>
            </w:pPr>
            <w:r w:rsidRPr="00E13B55">
              <w:rPr>
                <w:sz w:val="18"/>
                <w:szCs w:val="18"/>
                <w:lang w:val="en-GB" w:eastAsia="zh-CN"/>
              </w:rPr>
              <w:t>Occupational</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99E8AA" w14:textId="77777777" w:rsidR="006F0B6B" w:rsidRPr="00E13B55" w:rsidRDefault="006F0B6B" w:rsidP="00146A88">
            <w:pPr>
              <w:pStyle w:val="Tabletext"/>
              <w:spacing w:before="20" w:after="20"/>
              <w:jc w:val="center"/>
              <w:rPr>
                <w:sz w:val="18"/>
                <w:szCs w:val="18"/>
                <w:lang w:val="en-GB" w:eastAsia="zh-CN"/>
              </w:rPr>
            </w:pPr>
            <w:bookmarkStart w:id="27" w:name="_Hlk54549465"/>
            <w:r w:rsidRPr="00E13B55">
              <w:rPr>
                <w:sz w:val="18"/>
                <w:szCs w:val="18"/>
                <w:lang w:val="en-GB" w:eastAsia="zh-CN"/>
              </w:rPr>
              <w:t>0.1 – 30 MHz</w:t>
            </w:r>
            <w:bookmarkEnd w:id="27"/>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7FAA5C"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660/</w:t>
            </w:r>
            <w:r w:rsidRPr="00E13B55">
              <w:rPr>
                <w:i/>
                <w:sz w:val="18"/>
                <w:szCs w:val="18"/>
                <w:lang w:val="en-GB" w:eastAsia="zh-CN"/>
              </w:rPr>
              <w:t>f</w:t>
            </w:r>
            <w:r w:rsidRPr="00E13B55">
              <w:rPr>
                <w:sz w:val="18"/>
                <w:szCs w:val="18"/>
                <w:vertAlign w:val="subscript"/>
                <w:lang w:val="en-GB" w:eastAsia="zh-CN"/>
              </w:rPr>
              <w:t>M</w:t>
            </w:r>
            <w:r w:rsidRPr="00E13B55">
              <w:rPr>
                <w:sz w:val="18"/>
                <w:szCs w:val="18"/>
                <w:vertAlign w:val="superscript"/>
                <w:lang w:val="en-GB" w:eastAsia="zh-CN"/>
              </w:rPr>
              <w:t>0.7</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B754C6"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4.9/</w:t>
            </w:r>
            <w:proofErr w:type="spellStart"/>
            <w:r w:rsidRPr="00E13B55">
              <w:rPr>
                <w:i/>
                <w:sz w:val="18"/>
                <w:szCs w:val="18"/>
                <w:lang w:val="en-GB" w:eastAsia="zh-CN"/>
              </w:rPr>
              <w:t>f</w:t>
            </w:r>
            <w:r w:rsidRPr="00E13B55">
              <w:rPr>
                <w:sz w:val="18"/>
                <w:szCs w:val="18"/>
                <w:vertAlign w:val="subscript"/>
                <w:lang w:val="en-GB" w:eastAsia="zh-CN"/>
              </w:rPr>
              <w:t>M</w:t>
            </w:r>
            <w:proofErr w:type="spellEnd"/>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3C2978"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NA</w:t>
            </w:r>
          </w:p>
        </w:tc>
      </w:tr>
      <w:tr w:rsidR="006F0B6B" w:rsidRPr="00E13B55" w14:paraId="3175F1AC" w14:textId="77777777" w:rsidTr="00231BE7">
        <w:trPr>
          <w:trHeight w:val="20"/>
        </w:trPr>
        <w:tc>
          <w:tcPr>
            <w:tcW w:w="16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82A14E" w14:textId="77777777" w:rsidR="006F0B6B" w:rsidRPr="00E13B55" w:rsidRDefault="006F0B6B" w:rsidP="00146A88">
            <w:pPr>
              <w:overflowPunct/>
              <w:autoSpaceDE/>
              <w:autoSpaceDN/>
              <w:adjustRightInd/>
              <w:spacing w:before="20" w:after="20"/>
              <w:rPr>
                <w:sz w:val="18"/>
                <w:szCs w:val="18"/>
                <w:lang w:val="en-GB" w:eastAsia="zh-CN"/>
              </w:rPr>
            </w:pP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2E89A"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&gt;30 – 400 MHz</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524FCA"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61</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CBA4F7"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0.16</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84747E"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10</w:t>
            </w:r>
          </w:p>
        </w:tc>
      </w:tr>
      <w:tr w:rsidR="006F0B6B" w:rsidRPr="00E13B55" w14:paraId="6D1F53CD" w14:textId="77777777" w:rsidTr="00231BE7">
        <w:trPr>
          <w:trHeight w:val="20"/>
        </w:trPr>
        <w:tc>
          <w:tcPr>
            <w:tcW w:w="16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C51C8B" w14:textId="77777777" w:rsidR="006F0B6B" w:rsidRPr="00E13B55" w:rsidRDefault="006F0B6B" w:rsidP="00146A88">
            <w:pPr>
              <w:overflowPunct/>
              <w:autoSpaceDE/>
              <w:autoSpaceDN/>
              <w:adjustRightInd/>
              <w:spacing w:before="20" w:after="20"/>
              <w:rPr>
                <w:sz w:val="18"/>
                <w:szCs w:val="18"/>
                <w:lang w:val="en-GB" w:eastAsia="zh-CN"/>
              </w:rPr>
            </w:pP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4B7CA"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&gt;400 – 2 000 MHz</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6BC289"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3</w:t>
            </w:r>
            <w:r w:rsidRPr="00E13B55">
              <w:rPr>
                <w:i/>
                <w:sz w:val="18"/>
                <w:szCs w:val="18"/>
                <w:lang w:val="en-GB" w:eastAsia="zh-CN"/>
              </w:rPr>
              <w:t>f</w:t>
            </w:r>
            <w:r w:rsidRPr="00E13B55">
              <w:rPr>
                <w:sz w:val="18"/>
                <w:szCs w:val="18"/>
                <w:vertAlign w:val="subscript"/>
                <w:lang w:val="en-GB" w:eastAsia="zh-CN"/>
              </w:rPr>
              <w:t>M</w:t>
            </w:r>
            <w:r w:rsidRPr="00E13B55">
              <w:rPr>
                <w:sz w:val="18"/>
                <w:szCs w:val="18"/>
                <w:vertAlign w:val="superscript"/>
                <w:lang w:val="en-GB" w:eastAsia="zh-CN"/>
              </w:rPr>
              <w:t>0.5</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2C8CE"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0.008</w:t>
            </w:r>
            <w:r w:rsidRPr="00E13B55">
              <w:rPr>
                <w:i/>
                <w:sz w:val="18"/>
                <w:szCs w:val="18"/>
                <w:lang w:val="en-GB" w:eastAsia="zh-CN"/>
              </w:rPr>
              <w:t>f</w:t>
            </w:r>
            <w:r w:rsidRPr="00E13B55">
              <w:rPr>
                <w:sz w:val="18"/>
                <w:szCs w:val="18"/>
                <w:vertAlign w:val="subscript"/>
                <w:lang w:val="en-GB" w:eastAsia="zh-CN"/>
              </w:rPr>
              <w:t>M</w:t>
            </w:r>
            <w:r w:rsidRPr="00E13B55">
              <w:rPr>
                <w:sz w:val="18"/>
                <w:szCs w:val="18"/>
                <w:vertAlign w:val="superscript"/>
                <w:lang w:val="en-GB" w:eastAsia="zh-CN"/>
              </w:rPr>
              <w:t>0.5</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AE41CE" w14:textId="77777777" w:rsidR="006F0B6B" w:rsidRPr="00E13B55" w:rsidRDefault="006F0B6B" w:rsidP="00146A88">
            <w:pPr>
              <w:pStyle w:val="Tabletext"/>
              <w:spacing w:before="20" w:after="20"/>
              <w:jc w:val="center"/>
              <w:rPr>
                <w:sz w:val="18"/>
                <w:szCs w:val="18"/>
                <w:lang w:val="en-GB" w:eastAsia="zh-CN"/>
              </w:rPr>
            </w:pPr>
            <w:proofErr w:type="spellStart"/>
            <w:r w:rsidRPr="00E13B55">
              <w:rPr>
                <w:i/>
                <w:sz w:val="18"/>
                <w:szCs w:val="18"/>
                <w:lang w:val="en-GB" w:eastAsia="zh-CN"/>
              </w:rPr>
              <w:t>f</w:t>
            </w:r>
            <w:r w:rsidRPr="00E13B55">
              <w:rPr>
                <w:sz w:val="18"/>
                <w:szCs w:val="18"/>
                <w:vertAlign w:val="subscript"/>
                <w:lang w:val="en-GB" w:eastAsia="zh-CN"/>
              </w:rPr>
              <w:t>M</w:t>
            </w:r>
            <w:proofErr w:type="spellEnd"/>
            <w:r w:rsidRPr="00E13B55">
              <w:rPr>
                <w:sz w:val="18"/>
                <w:szCs w:val="18"/>
                <w:lang w:val="en-GB" w:eastAsia="zh-CN"/>
              </w:rPr>
              <w:t>/40</w:t>
            </w:r>
          </w:p>
        </w:tc>
      </w:tr>
      <w:tr w:rsidR="006F0B6B" w:rsidRPr="00E13B55" w14:paraId="29FA09A6" w14:textId="77777777" w:rsidTr="00231BE7">
        <w:trPr>
          <w:trHeight w:val="20"/>
        </w:trPr>
        <w:tc>
          <w:tcPr>
            <w:tcW w:w="16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DEC2C0" w14:textId="77777777" w:rsidR="006F0B6B" w:rsidRPr="00E13B55" w:rsidRDefault="006F0B6B" w:rsidP="00146A88">
            <w:pPr>
              <w:overflowPunct/>
              <w:autoSpaceDE/>
              <w:autoSpaceDN/>
              <w:adjustRightInd/>
              <w:spacing w:before="20" w:after="20"/>
              <w:rPr>
                <w:sz w:val="18"/>
                <w:szCs w:val="18"/>
                <w:lang w:val="en-GB" w:eastAsia="zh-CN"/>
              </w:rPr>
            </w:pP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23384"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&gt;2 – 300 GHz</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F1AC8"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NA</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133D9A"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NA</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2F19B6"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50</w:t>
            </w:r>
          </w:p>
        </w:tc>
      </w:tr>
      <w:tr w:rsidR="006F0B6B" w:rsidRPr="00E13B55" w14:paraId="66A641F1" w14:textId="77777777" w:rsidTr="00231BE7">
        <w:trPr>
          <w:trHeight w:val="20"/>
        </w:trPr>
        <w:tc>
          <w:tcPr>
            <w:tcW w:w="16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50F76D" w14:textId="77777777" w:rsidR="006F0B6B" w:rsidRPr="00E13B55" w:rsidRDefault="006F0B6B" w:rsidP="00146A88">
            <w:pPr>
              <w:pStyle w:val="Tabletext"/>
              <w:spacing w:before="20" w:after="20"/>
              <w:rPr>
                <w:sz w:val="18"/>
                <w:szCs w:val="18"/>
                <w:lang w:val="en-GB" w:eastAsia="zh-CN"/>
              </w:rPr>
            </w:pPr>
            <w:r w:rsidRPr="00E13B55">
              <w:rPr>
                <w:sz w:val="18"/>
                <w:szCs w:val="18"/>
                <w:lang w:val="en-GB" w:eastAsia="zh-CN"/>
              </w:rPr>
              <w:t>General public</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30FBD2"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0.1 – 30 MHz</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397E6E"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300/</w:t>
            </w:r>
            <w:r w:rsidRPr="00E13B55">
              <w:rPr>
                <w:i/>
                <w:sz w:val="18"/>
                <w:szCs w:val="18"/>
                <w:lang w:val="en-GB" w:eastAsia="zh-CN"/>
              </w:rPr>
              <w:t>f</w:t>
            </w:r>
            <w:r w:rsidRPr="00E13B55">
              <w:rPr>
                <w:sz w:val="18"/>
                <w:szCs w:val="18"/>
                <w:vertAlign w:val="subscript"/>
                <w:lang w:val="en-GB" w:eastAsia="zh-CN"/>
              </w:rPr>
              <w:t>M</w:t>
            </w:r>
            <w:r w:rsidRPr="00E13B55">
              <w:rPr>
                <w:sz w:val="18"/>
                <w:szCs w:val="18"/>
                <w:vertAlign w:val="superscript"/>
                <w:lang w:val="en-GB" w:eastAsia="zh-CN"/>
              </w:rPr>
              <w:t>0.7</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B42550"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2.2/</w:t>
            </w:r>
            <w:proofErr w:type="spellStart"/>
            <w:r w:rsidRPr="00E13B55">
              <w:rPr>
                <w:i/>
                <w:sz w:val="18"/>
                <w:szCs w:val="18"/>
                <w:lang w:val="en-GB" w:eastAsia="zh-CN"/>
              </w:rPr>
              <w:t>f</w:t>
            </w:r>
            <w:r w:rsidRPr="00E13B55">
              <w:rPr>
                <w:sz w:val="18"/>
                <w:szCs w:val="18"/>
                <w:vertAlign w:val="subscript"/>
                <w:lang w:val="en-GB" w:eastAsia="zh-CN"/>
              </w:rPr>
              <w:t>M</w:t>
            </w:r>
            <w:proofErr w:type="spellEnd"/>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0868B9"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NA</w:t>
            </w:r>
          </w:p>
        </w:tc>
      </w:tr>
      <w:tr w:rsidR="006F0B6B" w:rsidRPr="00E13B55" w14:paraId="292038AD" w14:textId="77777777" w:rsidTr="00231BE7">
        <w:trPr>
          <w:trHeight w:val="20"/>
        </w:trPr>
        <w:tc>
          <w:tcPr>
            <w:tcW w:w="16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3CB85C" w14:textId="77777777" w:rsidR="006F0B6B" w:rsidRPr="00E13B55" w:rsidRDefault="006F0B6B" w:rsidP="00146A88">
            <w:pPr>
              <w:overflowPunct/>
              <w:autoSpaceDE/>
              <w:autoSpaceDN/>
              <w:adjustRightInd/>
              <w:spacing w:before="20" w:after="20"/>
              <w:rPr>
                <w:sz w:val="18"/>
                <w:szCs w:val="18"/>
                <w:lang w:val="en-GB" w:eastAsia="zh-CN"/>
              </w:rPr>
            </w:pP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7953ED"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&gt;30 – 400 MHz</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956EE9"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27.7</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CCA2E2"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0.073</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918175"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2</w:t>
            </w:r>
          </w:p>
        </w:tc>
      </w:tr>
      <w:tr w:rsidR="006F0B6B" w:rsidRPr="00E13B55" w14:paraId="21F1EA18" w14:textId="77777777" w:rsidTr="00231BE7">
        <w:trPr>
          <w:trHeight w:val="20"/>
        </w:trPr>
        <w:tc>
          <w:tcPr>
            <w:tcW w:w="16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2B1026" w14:textId="77777777" w:rsidR="006F0B6B" w:rsidRPr="00E13B55" w:rsidRDefault="006F0B6B" w:rsidP="00146A88">
            <w:pPr>
              <w:overflowPunct/>
              <w:autoSpaceDE/>
              <w:autoSpaceDN/>
              <w:adjustRightInd/>
              <w:spacing w:before="20" w:after="20"/>
              <w:rPr>
                <w:sz w:val="18"/>
                <w:szCs w:val="18"/>
                <w:lang w:val="en-GB" w:eastAsia="zh-CN"/>
              </w:rPr>
            </w:pP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770B4"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&gt;400 – 2 000 MHz</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4B5647"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1.375</w:t>
            </w:r>
            <w:r w:rsidRPr="00E13B55">
              <w:rPr>
                <w:i/>
                <w:sz w:val="18"/>
                <w:szCs w:val="18"/>
                <w:lang w:val="en-GB" w:eastAsia="zh-CN"/>
              </w:rPr>
              <w:t>f</w:t>
            </w:r>
            <w:r w:rsidRPr="00E13B55">
              <w:rPr>
                <w:sz w:val="18"/>
                <w:szCs w:val="18"/>
                <w:vertAlign w:val="subscript"/>
                <w:lang w:val="en-GB" w:eastAsia="zh-CN"/>
              </w:rPr>
              <w:t>M</w:t>
            </w:r>
            <w:r w:rsidRPr="00E13B55">
              <w:rPr>
                <w:sz w:val="18"/>
                <w:szCs w:val="18"/>
                <w:vertAlign w:val="superscript"/>
                <w:lang w:val="en-GB" w:eastAsia="zh-CN"/>
              </w:rPr>
              <w:t>0.5</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398DB4"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0.0037</w:t>
            </w:r>
            <w:r w:rsidRPr="00E13B55">
              <w:rPr>
                <w:i/>
                <w:sz w:val="18"/>
                <w:szCs w:val="18"/>
                <w:lang w:val="en-GB" w:eastAsia="zh-CN"/>
              </w:rPr>
              <w:t>f</w:t>
            </w:r>
            <w:r w:rsidRPr="00E13B55">
              <w:rPr>
                <w:sz w:val="18"/>
                <w:szCs w:val="18"/>
                <w:vertAlign w:val="subscript"/>
                <w:lang w:val="en-GB" w:eastAsia="zh-CN"/>
              </w:rPr>
              <w:t>M</w:t>
            </w:r>
            <w:r w:rsidRPr="00E13B55">
              <w:rPr>
                <w:sz w:val="18"/>
                <w:szCs w:val="18"/>
                <w:vertAlign w:val="superscript"/>
                <w:lang w:val="en-GB" w:eastAsia="zh-CN"/>
              </w:rPr>
              <w:t>0.5</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DF6CD" w14:textId="77777777" w:rsidR="006F0B6B" w:rsidRPr="00E13B55" w:rsidRDefault="006F0B6B" w:rsidP="00146A88">
            <w:pPr>
              <w:pStyle w:val="Tabletext"/>
              <w:spacing w:before="20" w:after="20"/>
              <w:jc w:val="center"/>
              <w:rPr>
                <w:sz w:val="18"/>
                <w:szCs w:val="18"/>
                <w:lang w:val="en-GB" w:eastAsia="zh-CN"/>
              </w:rPr>
            </w:pPr>
            <w:proofErr w:type="spellStart"/>
            <w:r w:rsidRPr="00E13B55">
              <w:rPr>
                <w:i/>
                <w:sz w:val="18"/>
                <w:szCs w:val="18"/>
                <w:lang w:val="en-GB" w:eastAsia="zh-CN"/>
              </w:rPr>
              <w:t>f</w:t>
            </w:r>
            <w:r w:rsidRPr="00E13B55">
              <w:rPr>
                <w:sz w:val="18"/>
                <w:szCs w:val="18"/>
                <w:vertAlign w:val="subscript"/>
                <w:lang w:val="en-GB" w:eastAsia="zh-CN"/>
              </w:rPr>
              <w:t>M</w:t>
            </w:r>
            <w:proofErr w:type="spellEnd"/>
            <w:r w:rsidRPr="00E13B55">
              <w:rPr>
                <w:sz w:val="18"/>
                <w:szCs w:val="18"/>
                <w:lang w:val="en-GB" w:eastAsia="zh-CN"/>
              </w:rPr>
              <w:t>/200</w:t>
            </w:r>
          </w:p>
        </w:tc>
      </w:tr>
      <w:tr w:rsidR="006F0B6B" w:rsidRPr="00E13B55" w14:paraId="418A333D" w14:textId="77777777" w:rsidTr="00231BE7">
        <w:trPr>
          <w:trHeight w:val="20"/>
        </w:trPr>
        <w:tc>
          <w:tcPr>
            <w:tcW w:w="16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AE6978" w14:textId="77777777" w:rsidR="006F0B6B" w:rsidRPr="00E13B55" w:rsidRDefault="006F0B6B" w:rsidP="00146A88">
            <w:pPr>
              <w:overflowPunct/>
              <w:autoSpaceDE/>
              <w:autoSpaceDN/>
              <w:adjustRightInd/>
              <w:spacing w:before="20" w:after="20"/>
              <w:rPr>
                <w:sz w:val="18"/>
                <w:szCs w:val="18"/>
                <w:lang w:val="en-GB" w:eastAsia="zh-CN"/>
              </w:rPr>
            </w:pP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10F6C3"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&gt;2 – 300 GHz</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76C55"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NA</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63DC62"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NA</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0A7DD6" w14:textId="77777777" w:rsidR="006F0B6B" w:rsidRPr="00E13B55" w:rsidRDefault="006F0B6B" w:rsidP="00146A88">
            <w:pPr>
              <w:pStyle w:val="Tabletext"/>
              <w:spacing w:before="20" w:after="20"/>
              <w:jc w:val="center"/>
              <w:rPr>
                <w:sz w:val="18"/>
                <w:szCs w:val="18"/>
                <w:lang w:val="en-GB" w:eastAsia="zh-CN"/>
              </w:rPr>
            </w:pPr>
            <w:r w:rsidRPr="00E13B55">
              <w:rPr>
                <w:sz w:val="18"/>
                <w:szCs w:val="18"/>
                <w:lang w:val="en-GB" w:eastAsia="zh-CN"/>
              </w:rPr>
              <w:t>10</w:t>
            </w:r>
          </w:p>
        </w:tc>
      </w:tr>
    </w:tbl>
    <w:p w14:paraId="77843856" w14:textId="77777777" w:rsidR="003C1C00" w:rsidRPr="00E13B55" w:rsidRDefault="003C1C00" w:rsidP="003C1C00">
      <w:pPr>
        <w:pStyle w:val="Note"/>
        <w:rPr>
          <w:lang w:val="en-GB"/>
        </w:rPr>
      </w:pPr>
      <w:bookmarkStart w:id="28" w:name="_Hlk50678025"/>
      <w:r w:rsidRPr="00E13B55">
        <w:rPr>
          <w:lang w:val="en-GB"/>
        </w:rPr>
        <w:t xml:space="preserve">NOTE – ‘NA’ signifies ‘not applicable’; </w:t>
      </w:r>
      <w:proofErr w:type="spellStart"/>
      <w:r w:rsidRPr="00E13B55">
        <w:rPr>
          <w:i/>
          <w:iCs/>
          <w:lang w:val="en-GB"/>
        </w:rPr>
        <w:t>f</w:t>
      </w:r>
      <w:r w:rsidRPr="00E13B55">
        <w:rPr>
          <w:i/>
          <w:iCs/>
          <w:vertAlign w:val="subscript"/>
          <w:lang w:val="en-GB"/>
        </w:rPr>
        <w:t>M</w:t>
      </w:r>
      <w:proofErr w:type="spellEnd"/>
      <w:r w:rsidRPr="00E13B55">
        <w:rPr>
          <w:lang w:val="en-GB"/>
        </w:rPr>
        <w:t xml:space="preserve"> is frequency in MHz.</w:t>
      </w:r>
    </w:p>
    <w:p w14:paraId="6DDC8359" w14:textId="77777777" w:rsidR="006F0B6B" w:rsidRPr="00E13B55" w:rsidRDefault="006F0B6B" w:rsidP="006F0B6B">
      <w:pPr>
        <w:pStyle w:val="Tablefin"/>
        <w:rPr>
          <w:lang w:bidi="he-IL"/>
        </w:rPr>
      </w:pPr>
    </w:p>
    <w:p w14:paraId="3FA7E584" w14:textId="0086A07E" w:rsidR="006F0B6B" w:rsidRPr="00E13B55" w:rsidRDefault="006F0B6B" w:rsidP="006F0B6B">
      <w:pPr>
        <w:rPr>
          <w:lang w:val="en-GB" w:eastAsia="zh-CN" w:bidi="he-IL"/>
        </w:rPr>
      </w:pPr>
      <w:r w:rsidRPr="00E13B55">
        <w:rPr>
          <w:lang w:val="en-GB" w:eastAsia="zh-CN" w:bidi="he-IL"/>
        </w:rPr>
        <w:t>The following two ICNIRP figures appear in the ‘</w:t>
      </w:r>
      <w:hyperlink r:id="rId21" w:history="1">
        <w:r w:rsidRPr="00E13B55">
          <w:rPr>
            <w:rStyle w:val="Hyperlink"/>
            <w:color w:val="auto"/>
            <w:u w:val="none"/>
            <w:lang w:val="en-GB" w:eastAsia="zh-CN" w:bidi="he-IL"/>
          </w:rPr>
          <w:t xml:space="preserve">Differences </w:t>
        </w:r>
        <w:r w:rsidRPr="00E13B55">
          <w:rPr>
            <w:rStyle w:val="Hyperlink"/>
            <w:color w:val="auto"/>
            <w:u w:val="none"/>
            <w:lang w:val="en-GB"/>
          </w:rPr>
          <w:t xml:space="preserve">Between the ICNIRP </w:t>
        </w:r>
        <w:r w:rsidRPr="00E13B55">
          <w:rPr>
            <w:rStyle w:val="Hyperlink"/>
            <w:color w:val="auto"/>
            <w:u w:val="none"/>
            <w:lang w:val="en-GB" w:eastAsia="zh-CN" w:bidi="he-IL"/>
          </w:rPr>
          <w:t>(2020) and Previous Guidelines</w:t>
        </w:r>
      </w:hyperlink>
      <w:r w:rsidRPr="00E13B55">
        <w:rPr>
          <w:lang w:val="en-GB" w:eastAsia="zh-CN" w:bidi="he-IL"/>
        </w:rPr>
        <w:t>’</w:t>
      </w:r>
      <w:bookmarkEnd w:id="28"/>
      <w:r w:rsidRPr="00E13B55">
        <w:rPr>
          <w:rStyle w:val="FootnoteReference"/>
          <w:lang w:val="en-GB" w:eastAsia="zh-CN" w:bidi="he-IL"/>
        </w:rPr>
        <w:footnoteReference w:id="1"/>
      </w:r>
      <w:r w:rsidRPr="00E13B55">
        <w:rPr>
          <w:lang w:val="en-GB" w:eastAsia="zh-CN" w:bidi="he-IL"/>
        </w:rPr>
        <w:t xml:space="preserve">. </w:t>
      </w:r>
      <w:r w:rsidRPr="00E13B55">
        <w:rPr>
          <w:rFonts w:cstheme="minorHAnsi"/>
          <w:szCs w:val="24"/>
          <w:lang w:val="en-GB" w:eastAsia="zh-CN" w:bidi="he-IL"/>
        </w:rPr>
        <w:t>The</w:t>
      </w:r>
      <w:r w:rsidRPr="00E13B55">
        <w:rPr>
          <w:rFonts w:cstheme="minorHAnsi"/>
          <w:b/>
          <w:bCs/>
          <w:szCs w:val="24"/>
          <w:lang w:val="en-GB" w:eastAsia="zh-CN" w:bidi="he-IL"/>
        </w:rPr>
        <w:t xml:space="preserve"> </w:t>
      </w:r>
      <w:r w:rsidRPr="00E13B55">
        <w:rPr>
          <w:rFonts w:cstheme="minorHAnsi"/>
          <w:szCs w:val="24"/>
          <w:lang w:val="en-GB" w:eastAsia="zh-CN" w:bidi="he-IL"/>
        </w:rPr>
        <w:t xml:space="preserve">reference-levels of ICNIRP (2020) stop electric-field at frequencies above 2 000 MHz and start power-density above 30 MHz. </w:t>
      </w:r>
      <w:r w:rsidRPr="00E13B55">
        <w:rPr>
          <w:lang w:val="en-GB" w:eastAsia="zh-CN" w:bidi="he-IL"/>
        </w:rPr>
        <w:t xml:space="preserve">The two following </w:t>
      </w:r>
      <w:r w:rsidR="002753A9" w:rsidRPr="00E13B55">
        <w:rPr>
          <w:lang w:val="en-GB" w:eastAsia="zh-CN" w:bidi="he-IL"/>
        </w:rPr>
        <w:t>F</w:t>
      </w:r>
      <w:r w:rsidRPr="00E13B55">
        <w:rPr>
          <w:lang w:val="en-GB" w:eastAsia="zh-CN" w:bidi="he-IL"/>
        </w:rPr>
        <w:t>igures</w:t>
      </w:r>
      <w:r w:rsidRPr="00E13B55">
        <w:rPr>
          <w:rStyle w:val="FootnoteReference"/>
          <w:rFonts w:eastAsiaTheme="minorHAnsi"/>
          <w:lang w:val="en-GB" w:eastAsia="zh-CN" w:bidi="he-IL"/>
        </w:rPr>
        <w:footnoteReference w:id="2"/>
      </w:r>
      <w:r w:rsidRPr="00E13B55">
        <w:rPr>
          <w:lang w:val="en-GB" w:eastAsia="zh-CN" w:bidi="he-IL"/>
        </w:rPr>
        <w:t xml:space="preserve"> reference for the whole-body average and 30 min time-averaging. Thus, to focus the reader and depict the differences, the titles are simplified, and the titles’ specifics are </w:t>
      </w:r>
      <w:r w:rsidRPr="00E13B55">
        <w:rPr>
          <w:u w:val="single"/>
          <w:lang w:val="en-GB" w:eastAsia="zh-CN" w:bidi="he-IL"/>
        </w:rPr>
        <w:t>underlined</w:t>
      </w:r>
      <w:r w:rsidRPr="00E13B55">
        <w:rPr>
          <w:lang w:val="en-GB" w:eastAsia="zh-CN" w:bidi="he-IL"/>
        </w:rPr>
        <w:t>:</w:t>
      </w:r>
    </w:p>
    <w:p w14:paraId="271CE048" w14:textId="77777777" w:rsidR="006F0B6B" w:rsidRPr="00E13B55" w:rsidRDefault="006F0B6B" w:rsidP="006F0B6B">
      <w:pPr>
        <w:pStyle w:val="FigureNo"/>
        <w:rPr>
          <w:lang w:val="en-GB"/>
        </w:rPr>
      </w:pPr>
      <w:bookmarkStart w:id="29" w:name="_Hlk49439905"/>
      <w:r w:rsidRPr="00E13B55">
        <w:rPr>
          <w:lang w:val="en-GB"/>
        </w:rPr>
        <w:lastRenderedPageBreak/>
        <w:t xml:space="preserve">Figure </w:t>
      </w:r>
      <w:bookmarkEnd w:id="29"/>
      <w:r w:rsidRPr="00E13B55">
        <w:rPr>
          <w:lang w:val="en-GB"/>
        </w:rPr>
        <w:t xml:space="preserve">1 </w:t>
      </w:r>
      <w:bookmarkStart w:id="30" w:name="_Hlk54551055"/>
    </w:p>
    <w:p w14:paraId="19D4F024" w14:textId="77777777" w:rsidR="006F0B6B" w:rsidRPr="00E13B55" w:rsidRDefault="006F0B6B" w:rsidP="006F0B6B">
      <w:pPr>
        <w:pStyle w:val="Figuretitle"/>
        <w:rPr>
          <w:lang w:val="en-GB"/>
        </w:rPr>
      </w:pPr>
      <w:r w:rsidRPr="00E13B55">
        <w:rPr>
          <w:lang w:val="en-GB"/>
        </w:rPr>
        <w:t xml:space="preserve">Comparing </w:t>
      </w:r>
      <w:r w:rsidRPr="00E13B55">
        <w:rPr>
          <w:u w:val="single"/>
          <w:lang w:val="en-GB"/>
        </w:rPr>
        <w:t>general public</w:t>
      </w:r>
      <w:r w:rsidRPr="00E13B55">
        <w:rPr>
          <w:lang w:val="en-GB"/>
        </w:rPr>
        <w:t xml:space="preserve"> reference levels </w:t>
      </w:r>
      <w:bookmarkStart w:id="31" w:name="_Hlk49679569"/>
      <w:r w:rsidRPr="00E13B55">
        <w:rPr>
          <w:lang w:val="en-GB"/>
        </w:rPr>
        <w:t>for ICNIRP (1998), (2010) and (2020) Guidelines</w:t>
      </w:r>
      <w:bookmarkEnd w:id="30"/>
      <w:bookmarkEnd w:id="31"/>
    </w:p>
    <w:p w14:paraId="190D6195" w14:textId="77777777" w:rsidR="006F0B6B" w:rsidRPr="00E13B55" w:rsidRDefault="006F0B6B" w:rsidP="006F0B6B">
      <w:pPr>
        <w:pStyle w:val="Figure"/>
        <w:rPr>
          <w:lang w:val="en-GB"/>
        </w:rPr>
      </w:pPr>
      <w:r w:rsidRPr="00E13B55">
        <w:rPr>
          <w:noProof/>
          <w:lang w:val="en-GB"/>
        </w:rPr>
        <w:drawing>
          <wp:inline distT="0" distB="0" distL="0" distR="0" wp14:anchorId="4CCC3001" wp14:editId="505A6410">
            <wp:extent cx="4286389" cy="2522220"/>
            <wp:effectExtent l="0" t="0" r="0" b="0"/>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lin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t="8470" r="17413"/>
                    <a:stretch>
                      <a:fillRect/>
                    </a:stretch>
                  </pic:blipFill>
                  <pic:spPr bwMode="auto">
                    <a:xfrm>
                      <a:off x="0" y="0"/>
                      <a:ext cx="4332900" cy="2549588"/>
                    </a:xfrm>
                    <a:prstGeom prst="rect">
                      <a:avLst/>
                    </a:prstGeom>
                    <a:noFill/>
                    <a:ln>
                      <a:noFill/>
                    </a:ln>
                  </pic:spPr>
                </pic:pic>
              </a:graphicData>
            </a:graphic>
          </wp:inline>
        </w:drawing>
      </w:r>
    </w:p>
    <w:p w14:paraId="31655610" w14:textId="77777777" w:rsidR="006F0B6B" w:rsidRPr="00E13B55" w:rsidRDefault="006F0B6B" w:rsidP="006F0B6B">
      <w:pPr>
        <w:pStyle w:val="FigureNo"/>
        <w:rPr>
          <w:lang w:val="en-GB" w:bidi="he-IL"/>
        </w:rPr>
      </w:pPr>
      <w:r w:rsidRPr="00E13B55">
        <w:rPr>
          <w:lang w:val="en-GB"/>
        </w:rPr>
        <w:t>Figure 2</w:t>
      </w:r>
      <w:r w:rsidRPr="00E13B55">
        <w:rPr>
          <w:rtl/>
          <w:lang w:val="en-GB" w:bidi="he-IL"/>
        </w:rPr>
        <w:t xml:space="preserve"> </w:t>
      </w:r>
    </w:p>
    <w:p w14:paraId="17A381DA" w14:textId="77777777" w:rsidR="006F0B6B" w:rsidRPr="00E13B55" w:rsidRDefault="006F0B6B" w:rsidP="006F0B6B">
      <w:pPr>
        <w:pStyle w:val="Figuretitle"/>
        <w:rPr>
          <w:lang w:val="en-GB"/>
        </w:rPr>
      </w:pPr>
      <w:r w:rsidRPr="00E13B55">
        <w:rPr>
          <w:lang w:val="en-GB"/>
        </w:rPr>
        <w:t xml:space="preserve">Comparing </w:t>
      </w:r>
      <w:r w:rsidRPr="00E13B55">
        <w:rPr>
          <w:u w:val="single"/>
          <w:lang w:val="en-GB"/>
        </w:rPr>
        <w:t>workers</w:t>
      </w:r>
      <w:r w:rsidRPr="00E13B55">
        <w:rPr>
          <w:lang w:val="en-GB"/>
        </w:rPr>
        <w:t xml:space="preserve"> reference levels for ICNIRP (1998), (2010) and (2020) Guidelines</w:t>
      </w:r>
    </w:p>
    <w:p w14:paraId="76B93A18" w14:textId="77777777" w:rsidR="006F0B6B" w:rsidRPr="00E13B55" w:rsidRDefault="006F0B6B" w:rsidP="006F0B6B">
      <w:pPr>
        <w:pStyle w:val="Figure"/>
        <w:rPr>
          <w:rStyle w:val="FigureChar"/>
          <w:rtl/>
          <w:lang w:val="en-GB"/>
        </w:rPr>
      </w:pPr>
      <w:r w:rsidRPr="00E13B55">
        <w:rPr>
          <w:noProof/>
          <w:lang w:val="en-GB"/>
        </w:rPr>
        <w:drawing>
          <wp:inline distT="0" distB="0" distL="0" distR="0" wp14:anchorId="36BDA184" wp14:editId="23EA076B">
            <wp:extent cx="4232479" cy="3006032"/>
            <wp:effectExtent l="0" t="0" r="0" b="4445"/>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 lin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t="7521" r="16673"/>
                    <a:stretch>
                      <a:fillRect/>
                    </a:stretch>
                  </pic:blipFill>
                  <pic:spPr bwMode="auto">
                    <a:xfrm>
                      <a:off x="0" y="0"/>
                      <a:ext cx="4288662" cy="3045935"/>
                    </a:xfrm>
                    <a:prstGeom prst="rect">
                      <a:avLst/>
                    </a:prstGeom>
                    <a:noFill/>
                    <a:ln>
                      <a:noFill/>
                    </a:ln>
                  </pic:spPr>
                </pic:pic>
              </a:graphicData>
            </a:graphic>
          </wp:inline>
        </w:drawing>
      </w:r>
    </w:p>
    <w:p w14:paraId="23DFB34B" w14:textId="05507508" w:rsidR="006F0B6B" w:rsidRPr="00E13B55" w:rsidRDefault="006F0B6B" w:rsidP="002753A9">
      <w:pPr>
        <w:pStyle w:val="Normalaftertitle"/>
        <w:rPr>
          <w:lang w:val="en-GB"/>
        </w:rPr>
      </w:pPr>
      <w:r w:rsidRPr="00E13B55">
        <w:rPr>
          <w:lang w:val="en-GB"/>
        </w:rPr>
        <w:t xml:space="preserve">The values in </w:t>
      </w:r>
      <w:r w:rsidR="00A37DC4" w:rsidRPr="00E13B55">
        <w:rPr>
          <w:lang w:val="en-GB"/>
        </w:rPr>
        <w:t>Figs</w:t>
      </w:r>
      <w:r w:rsidR="003C1C00" w:rsidRPr="00E13B55">
        <w:rPr>
          <w:lang w:val="en-GB"/>
        </w:rPr>
        <w:t xml:space="preserve"> 1 and 2</w:t>
      </w:r>
      <w:r w:rsidR="00A37DC4" w:rsidRPr="00E13B55">
        <w:rPr>
          <w:lang w:val="en-GB"/>
        </w:rPr>
        <w:t xml:space="preserve"> </w:t>
      </w:r>
      <w:r w:rsidRPr="00E13B55">
        <w:rPr>
          <w:lang w:val="en-GB"/>
        </w:rPr>
        <w:t>above represented by the green lines in comparing (2010 reference levels) are included in a separate table in ICNIRP (2020)</w:t>
      </w:r>
      <w:r w:rsidR="00E336F9" w:rsidRPr="00E13B55">
        <w:rPr>
          <w:lang w:val="en-GB"/>
        </w:rPr>
        <w:t>.</w:t>
      </w:r>
      <w:r w:rsidRPr="00E13B55">
        <w:rPr>
          <w:lang w:val="en-GB"/>
        </w:rPr>
        <w:t xml:space="preserve"> Table 8 provides reference levels for local exposure for frequencies in the range 100 kHz – 10 MHz. Since these localized values are lower than the </w:t>
      </w:r>
      <w:proofErr w:type="gramStart"/>
      <w:r w:rsidRPr="00E13B55">
        <w:rPr>
          <w:lang w:val="en-GB"/>
        </w:rPr>
        <w:t>whole body</w:t>
      </w:r>
      <w:proofErr w:type="gramEnd"/>
      <w:r w:rsidRPr="00E13B55">
        <w:rPr>
          <w:lang w:val="en-GB"/>
        </w:rPr>
        <w:t xml:space="preserve"> values, for frequencies below around 7 MHz, it follows that, in many cases, the higher, whole body reference levels will be relevant only when aggregating the thermal effect from multiple sources.</w:t>
      </w:r>
    </w:p>
    <w:p w14:paraId="57EE1192" w14:textId="4D49279D" w:rsidR="006F0B6B" w:rsidRPr="00E13B55" w:rsidRDefault="006F0B6B" w:rsidP="006F0B6B">
      <w:pPr>
        <w:rPr>
          <w:sz w:val="20"/>
          <w:lang w:val="en-GB"/>
        </w:rPr>
      </w:pPr>
      <w:r w:rsidRPr="00E13B55">
        <w:rPr>
          <w:lang w:val="en-GB"/>
        </w:rPr>
        <w:t xml:space="preserve">The following </w:t>
      </w:r>
      <w:r w:rsidR="007C1512" w:rsidRPr="00E13B55">
        <w:rPr>
          <w:lang w:val="en-GB"/>
        </w:rPr>
        <w:t>Figure</w:t>
      </w:r>
      <w:r w:rsidRPr="00E13B55">
        <w:rPr>
          <w:rStyle w:val="FootnoteReference"/>
          <w:lang w:val="en-GB"/>
        </w:rPr>
        <w:footnoteReference w:id="3"/>
      </w:r>
      <w:r w:rsidRPr="00E13B55">
        <w:rPr>
          <w:lang w:val="en-GB"/>
        </w:rPr>
        <w:t xml:space="preserve"> depicts the differences between the ICNIRP (2020) field-strength and </w:t>
      </w:r>
      <w:r w:rsidRPr="00E13B55">
        <w:rPr>
          <w:lang w:val="en-GB" w:bidi="he-IL"/>
        </w:rPr>
        <w:t>power-density</w:t>
      </w:r>
      <w:r w:rsidRPr="00E13B55">
        <w:rPr>
          <w:lang w:val="en-GB"/>
        </w:rPr>
        <w:t xml:space="preserve"> exposure levels above 30 MHz of occupational and general-public exposure, averaged over </w:t>
      </w:r>
      <w:r w:rsidRPr="00E13B55">
        <w:rPr>
          <w:lang w:val="en-GB"/>
        </w:rPr>
        <w:lastRenderedPageBreak/>
        <w:t>30</w:t>
      </w:r>
      <w:r w:rsidR="002753A9" w:rsidRPr="00E13B55">
        <w:rPr>
          <w:lang w:val="en-GB"/>
        </w:rPr>
        <w:t> </w:t>
      </w:r>
      <w:r w:rsidRPr="00E13B55">
        <w:rPr>
          <w:lang w:val="en-GB"/>
        </w:rPr>
        <w:t xml:space="preserve">min and the whole body. The </w:t>
      </w:r>
      <w:r w:rsidRPr="00E13B55">
        <w:rPr>
          <w:lang w:val="en-GB" w:bidi="he-IL"/>
        </w:rPr>
        <w:t>power-density</w:t>
      </w:r>
      <w:r w:rsidRPr="00E13B55">
        <w:rPr>
          <w:lang w:val="en-GB"/>
        </w:rPr>
        <w:t xml:space="preserve"> </w:t>
      </w:r>
      <w:r w:rsidRPr="00E13B55">
        <w:rPr>
          <w:lang w:val="en-GB" w:bidi="he-IL"/>
        </w:rPr>
        <w:t xml:space="preserve">ratio of 5 in ICNIRP (2020) Table 5 (e.g. at </w:t>
      </w:r>
      <w:r w:rsidRPr="00E13B55">
        <w:rPr>
          <w:lang w:val="en-GB"/>
        </w:rPr>
        <w:t>30</w:t>
      </w:r>
      <w:r w:rsidR="00E25A4E" w:rsidRPr="00E13B55">
        <w:rPr>
          <w:lang w:val="en-GB"/>
        </w:rPr>
        <w:noBreakHyphen/>
      </w:r>
      <w:r w:rsidRPr="00E13B55">
        <w:rPr>
          <w:lang w:val="en-GB"/>
        </w:rPr>
        <w:t>400 MHz</w:t>
      </w:r>
      <w:r w:rsidRPr="00E13B55">
        <w:rPr>
          <w:lang w:val="en-GB" w:bidi="he-IL"/>
        </w:rPr>
        <w:t xml:space="preserve">, Watts ratio 50/10) results in V/M ratio 61.0/27.7 = 2.2 ~ </w:t>
      </w:r>
      <w:proofErr w:type="gramStart"/>
      <w:r w:rsidRPr="00E13B55">
        <w:rPr>
          <w:lang w:val="en-GB" w:bidi="he-IL"/>
        </w:rPr>
        <w:t>√(</w:t>
      </w:r>
      <w:proofErr w:type="gramEnd"/>
      <w:r w:rsidRPr="00E13B55">
        <w:rPr>
          <w:lang w:val="en-GB" w:bidi="he-IL"/>
        </w:rPr>
        <w:t xml:space="preserve">5). </w:t>
      </w:r>
      <w:bookmarkStart w:id="33" w:name="_Ref49446725"/>
      <w:bookmarkStart w:id="34" w:name="_Hlk49954119"/>
    </w:p>
    <w:p w14:paraId="6324F942" w14:textId="77777777" w:rsidR="006F0B6B" w:rsidRPr="00E13B55" w:rsidRDefault="006F0B6B" w:rsidP="006F0B6B">
      <w:pPr>
        <w:pStyle w:val="FigureNo"/>
        <w:rPr>
          <w:lang w:val="en-GB"/>
        </w:rPr>
      </w:pPr>
      <w:r w:rsidRPr="00E13B55">
        <w:rPr>
          <w:lang w:val="en-GB"/>
        </w:rPr>
        <w:t>Figure 3</w:t>
      </w:r>
    </w:p>
    <w:p w14:paraId="1C7B5669" w14:textId="77777777" w:rsidR="006F0B6B" w:rsidRPr="00E13B55" w:rsidRDefault="006F0B6B" w:rsidP="006F0B6B">
      <w:pPr>
        <w:pStyle w:val="Figuretitle"/>
        <w:rPr>
          <w:lang w:val="en-GB"/>
        </w:rPr>
      </w:pPr>
      <w:r w:rsidRPr="00E13B55">
        <w:rPr>
          <w:lang w:val="en-GB" w:bidi="he-IL"/>
        </w:rPr>
        <w:t xml:space="preserve">Comparing ICNIRP (2020) Table 5, </w:t>
      </w:r>
      <w:r w:rsidRPr="00E13B55">
        <w:rPr>
          <w:u w:val="single"/>
          <w:lang w:val="en-GB" w:bidi="he-IL"/>
        </w:rPr>
        <w:t>power-density</w:t>
      </w:r>
      <w:r w:rsidRPr="00E13B55">
        <w:rPr>
          <w:lang w:val="en-GB" w:bidi="he-IL"/>
        </w:rPr>
        <w:t xml:space="preserve"> 30 MHz–</w:t>
      </w:r>
      <w:proofErr w:type="gramStart"/>
      <w:r w:rsidRPr="00E13B55">
        <w:rPr>
          <w:b w:val="0"/>
          <w:bCs/>
          <w:rtl/>
          <w:lang w:val="en-GB" w:bidi="he-IL"/>
        </w:rPr>
        <w:t>300</w:t>
      </w:r>
      <w:r w:rsidRPr="00E13B55">
        <w:rPr>
          <w:rtl/>
          <w:lang w:val="en-GB" w:bidi="he-IL"/>
        </w:rPr>
        <w:t xml:space="preserve"> </w:t>
      </w:r>
      <w:r w:rsidRPr="00E13B55">
        <w:rPr>
          <w:lang w:val="en-GB" w:bidi="he-IL"/>
        </w:rPr>
        <w:t xml:space="preserve"> GHz</w:t>
      </w:r>
      <w:bookmarkEnd w:id="33"/>
      <w:proofErr w:type="gramEnd"/>
    </w:p>
    <w:bookmarkEnd w:id="34"/>
    <w:p w14:paraId="42AEB02B" w14:textId="77777777" w:rsidR="006F0B6B" w:rsidRPr="00E13B55" w:rsidRDefault="006F0B6B" w:rsidP="006F0B6B">
      <w:pPr>
        <w:pStyle w:val="Figure"/>
        <w:rPr>
          <w:lang w:val="en-GB" w:eastAsia="ja-JP"/>
        </w:rPr>
      </w:pPr>
      <w:r w:rsidRPr="00E13B55">
        <w:rPr>
          <w:noProof/>
          <w:lang w:val="en-GB"/>
        </w:rPr>
        <w:drawing>
          <wp:inline distT="0" distB="0" distL="0" distR="0" wp14:anchorId="642B4BC4" wp14:editId="6C068B5F">
            <wp:extent cx="5956300" cy="3316605"/>
            <wp:effectExtent l="0" t="0" r="635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6300" cy="3316605"/>
                    </a:xfrm>
                    <a:prstGeom prst="rect">
                      <a:avLst/>
                    </a:prstGeom>
                    <a:noFill/>
                  </pic:spPr>
                </pic:pic>
              </a:graphicData>
            </a:graphic>
          </wp:inline>
        </w:drawing>
      </w:r>
    </w:p>
    <w:p w14:paraId="42A93A09" w14:textId="77777777" w:rsidR="006F0B6B" w:rsidRPr="00E13B55" w:rsidRDefault="006F0B6B" w:rsidP="002753A9">
      <w:pPr>
        <w:pStyle w:val="Normalaftertitle"/>
        <w:rPr>
          <w:lang w:val="en-GB" w:eastAsia="zh-CN"/>
        </w:rPr>
      </w:pPr>
      <w:bookmarkStart w:id="35" w:name="_Toc63075983"/>
      <w:r w:rsidRPr="00E13B55">
        <w:rPr>
          <w:lang w:val="en-GB" w:eastAsia="zh-CN"/>
        </w:rPr>
        <w:t xml:space="preserve">ICNIRP (2010) and ICNIRP (2020) are based on two different biological mechanisms, and averaging is diverse: </w:t>
      </w:r>
    </w:p>
    <w:p w14:paraId="712451FE" w14:textId="77777777" w:rsidR="006F0B6B" w:rsidRPr="00E13B55" w:rsidRDefault="006F0B6B" w:rsidP="006F0B6B">
      <w:pPr>
        <w:pStyle w:val="enumlev1"/>
        <w:rPr>
          <w:lang w:val="en-GB" w:eastAsia="ja-JP"/>
        </w:rPr>
      </w:pPr>
      <w:r w:rsidRPr="00E13B55">
        <w:rPr>
          <w:lang w:val="en-GB"/>
        </w:rPr>
        <w:t>–</w:t>
      </w:r>
      <w:r w:rsidRPr="00E13B55">
        <w:rPr>
          <w:lang w:val="en-GB"/>
        </w:rPr>
        <w:tab/>
      </w:r>
      <w:r w:rsidRPr="00E13B55">
        <w:rPr>
          <w:lang w:val="en-GB" w:eastAsia="zh-CN"/>
        </w:rPr>
        <w:t xml:space="preserve">nerve stimulation- instantaneous below 10 MHz; </w:t>
      </w:r>
    </w:p>
    <w:p w14:paraId="196A7E9A" w14:textId="77777777" w:rsidR="006F0B6B" w:rsidRPr="00E13B55" w:rsidRDefault="006F0B6B" w:rsidP="006F0B6B">
      <w:pPr>
        <w:pStyle w:val="enumlev1"/>
        <w:rPr>
          <w:lang w:val="en-GB" w:eastAsia="zh-CN"/>
        </w:rPr>
      </w:pPr>
      <w:bookmarkStart w:id="36" w:name="_Hlk69737712"/>
      <w:r w:rsidRPr="00E13B55">
        <w:rPr>
          <w:lang w:val="en-GB"/>
        </w:rPr>
        <w:t>–</w:t>
      </w:r>
      <w:r w:rsidRPr="00E13B55">
        <w:rPr>
          <w:lang w:val="en-GB"/>
        </w:rPr>
        <w:tab/>
      </w:r>
      <w:r w:rsidRPr="00E13B55">
        <w:rPr>
          <w:lang w:val="en-GB" w:eastAsia="zh-CN"/>
        </w:rPr>
        <w:t>thermal effect, produced by power over time (for frequencies above 100 kHz).</w:t>
      </w:r>
    </w:p>
    <w:p w14:paraId="2587A134" w14:textId="77777777" w:rsidR="006F0B6B" w:rsidRPr="00E13B55" w:rsidRDefault="006F0B6B" w:rsidP="006F0B6B">
      <w:pPr>
        <w:rPr>
          <w:lang w:val="en-GB" w:eastAsia="zh-CN"/>
        </w:rPr>
      </w:pPr>
      <w:bookmarkStart w:id="37" w:name="_Hlk87192987"/>
      <w:bookmarkEnd w:id="36"/>
      <w:r w:rsidRPr="00E13B55">
        <w:rPr>
          <w:lang w:val="en-GB" w:eastAsia="zh-CN"/>
        </w:rPr>
        <w:t xml:space="preserve">Below 100 kHz, ICNIRP (2010) should be applied. Between 100 kHz and 10 MHz both mechanisms may exist, in that case, restrictions for every frequency should be met simultaneously. </w:t>
      </w:r>
    </w:p>
    <w:bookmarkEnd w:id="37"/>
    <w:p w14:paraId="5F4017C3" w14:textId="77777777" w:rsidR="006F0B6B" w:rsidRPr="00E13B55" w:rsidRDefault="006F0B6B" w:rsidP="006F0B6B">
      <w:pPr>
        <w:rPr>
          <w:lang w:val="en-GB" w:eastAsia="zh-CN"/>
        </w:rPr>
      </w:pPr>
      <w:r w:rsidRPr="00E13B55">
        <w:rPr>
          <w:lang w:val="en-GB" w:eastAsia="zh-CN"/>
        </w:rPr>
        <w:t xml:space="preserve">Moreover, ICNIRP (2020) Table 8 states (pay attention to the bold text) “reference levels for </w:t>
      </w:r>
      <w:r w:rsidRPr="00E13B55">
        <w:rPr>
          <w:b/>
          <w:bCs/>
          <w:lang w:val="en-GB" w:eastAsia="zh-CN"/>
        </w:rPr>
        <w:t>local exposure</w:t>
      </w:r>
      <w:r w:rsidRPr="00E13B55">
        <w:rPr>
          <w:lang w:val="en-GB" w:eastAsia="zh-CN"/>
        </w:rPr>
        <w:t xml:space="preserve"> to EMFs from 100 kHz to 10 MHz (unperturbed rms values), for </w:t>
      </w:r>
      <w:r w:rsidRPr="00E13B55">
        <w:rPr>
          <w:b/>
          <w:bCs/>
          <w:lang w:val="en-GB" w:eastAsia="zh-CN"/>
        </w:rPr>
        <w:t>peak values</w:t>
      </w:r>
      <w:r w:rsidRPr="00E13B55">
        <w:rPr>
          <w:lang w:val="en-GB" w:eastAsia="zh-CN"/>
        </w:rPr>
        <w:t>, the occupational limit is 170 V/m and the general public is 83 V/m.”.</w:t>
      </w:r>
    </w:p>
    <w:p w14:paraId="38DC85CE" w14:textId="77777777" w:rsidR="006F0B6B" w:rsidRPr="00E13B55" w:rsidRDefault="006F0B6B" w:rsidP="006F0B6B">
      <w:pPr>
        <w:pStyle w:val="Heading3"/>
        <w:rPr>
          <w:lang w:val="en-GB"/>
        </w:rPr>
      </w:pPr>
      <w:bookmarkStart w:id="38" w:name="_Toc102638938"/>
      <w:bookmarkStart w:id="39" w:name="_Toc107752102"/>
      <w:bookmarkEnd w:id="35"/>
      <w:r w:rsidRPr="00E13B55">
        <w:rPr>
          <w:lang w:val="en-GB"/>
        </w:rPr>
        <w:t>2.1.3</w:t>
      </w:r>
      <w:r w:rsidRPr="00E13B55">
        <w:rPr>
          <w:lang w:val="en-GB"/>
        </w:rPr>
        <w:tab/>
        <w:t>Comparison of ICNIRP (1998), IEEE 95-1 (2019) and ICNIRP (2020)</w:t>
      </w:r>
      <w:bookmarkEnd w:id="38"/>
      <w:bookmarkEnd w:id="39"/>
    </w:p>
    <w:p w14:paraId="7F06143C" w14:textId="77777777" w:rsidR="006F0B6B" w:rsidRPr="00E13B55" w:rsidRDefault="006F0B6B" w:rsidP="00D9762A">
      <w:pPr>
        <w:rPr>
          <w:rFonts w:ascii="Calibri" w:hAnsi="Calibri"/>
          <w:sz w:val="22"/>
          <w:lang w:val="en-GB" w:eastAsia="fr-FR"/>
        </w:rPr>
      </w:pPr>
      <w:r w:rsidRPr="00E13B55">
        <w:rPr>
          <w:lang w:val="en-GB"/>
        </w:rPr>
        <w:t xml:space="preserve">The ICNIRP Guidelines (1998, and 2020) and the IEEE Standard (2019) separate between persons in unrestricted environments (general public) and persons permitted in restricted environments (occupational). </w:t>
      </w:r>
      <w:r w:rsidRPr="00E13B55">
        <w:rPr>
          <w:szCs w:val="24"/>
          <w:lang w:val="en-GB"/>
        </w:rPr>
        <w:t>The most relevant to Monitoring base-stations</w:t>
      </w:r>
      <w:r w:rsidRPr="00E13B55">
        <w:rPr>
          <w:lang w:val="en-GB"/>
        </w:rPr>
        <w:t xml:space="preserve"> </w:t>
      </w:r>
      <w:hyperlink r:id="rId25" w:history="1">
        <w:r w:rsidRPr="00E13B55">
          <w:rPr>
            <w:rStyle w:val="Hyperlink"/>
            <w:color w:val="auto"/>
            <w:u w:val="none"/>
            <w:lang w:val="en-GB"/>
          </w:rPr>
          <w:t>ICNIRP (1998</w:t>
        </w:r>
      </w:hyperlink>
      <w:r w:rsidRPr="00E13B55">
        <w:rPr>
          <w:rStyle w:val="Hyperlink"/>
          <w:color w:val="auto"/>
          <w:u w:val="none"/>
          <w:lang w:val="en-GB"/>
        </w:rPr>
        <w:t xml:space="preserve">) </w:t>
      </w:r>
      <w:r w:rsidRPr="00E13B55">
        <w:rPr>
          <w:lang w:val="en-GB"/>
        </w:rPr>
        <w:t>Tables 6</w:t>
      </w:r>
      <w:r w:rsidRPr="00E13B55">
        <w:rPr>
          <w:rStyle w:val="FootnoteReference"/>
          <w:lang w:val="en-GB"/>
        </w:rPr>
        <w:footnoteReference w:id="4"/>
      </w:r>
      <w:r w:rsidRPr="00E13B55">
        <w:rPr>
          <w:lang w:val="en-GB"/>
        </w:rPr>
        <w:t xml:space="preserve"> and 7</w:t>
      </w:r>
      <w:r w:rsidRPr="00E13B55">
        <w:rPr>
          <w:rStyle w:val="FootnoteReference"/>
          <w:lang w:val="en-GB"/>
        </w:rPr>
        <w:footnoteReference w:id="5"/>
      </w:r>
      <w:r w:rsidRPr="00E13B55">
        <w:rPr>
          <w:lang w:val="en-GB"/>
        </w:rPr>
        <w:t xml:space="preserve">, </w:t>
      </w:r>
      <w:bookmarkStart w:id="40" w:name="_Hlk54562771"/>
      <w:r w:rsidRPr="00E13B55">
        <w:rPr>
          <w:lang w:val="en-GB"/>
        </w:rPr>
        <w:fldChar w:fldCharType="begin"/>
      </w:r>
      <w:r w:rsidRPr="00E13B55">
        <w:rPr>
          <w:lang w:val="en-GB"/>
        </w:rPr>
        <w:instrText xml:space="preserve"> HYPERLINK "https://ieeexplore.ieee.org/document/8859679" </w:instrText>
      </w:r>
      <w:r w:rsidRPr="00E13B55">
        <w:rPr>
          <w:lang w:val="en-GB"/>
        </w:rPr>
        <w:fldChar w:fldCharType="separate"/>
      </w:r>
      <w:r w:rsidRPr="00E13B55">
        <w:rPr>
          <w:rStyle w:val="Hyperlink"/>
          <w:color w:val="auto"/>
          <w:szCs w:val="24"/>
          <w:u w:val="none"/>
          <w:lang w:val="en-GB"/>
        </w:rPr>
        <w:t>IEEE C95.1 (2019)</w:t>
      </w:r>
      <w:r w:rsidRPr="00E13B55">
        <w:rPr>
          <w:lang w:val="en-GB"/>
        </w:rPr>
        <w:fldChar w:fldCharType="end"/>
      </w:r>
      <w:r w:rsidRPr="00E13B55">
        <w:rPr>
          <w:rStyle w:val="Hyperlink"/>
          <w:color w:val="auto"/>
          <w:szCs w:val="24"/>
          <w:u w:val="none"/>
          <w:lang w:val="en-GB"/>
        </w:rPr>
        <w:t xml:space="preserve"> </w:t>
      </w:r>
      <w:r w:rsidRPr="00E13B55">
        <w:rPr>
          <w:lang w:val="en-GB"/>
        </w:rPr>
        <w:t>Tables 7</w:t>
      </w:r>
      <w:r w:rsidRPr="00E13B55">
        <w:rPr>
          <w:rStyle w:val="FootnoteReference"/>
          <w:lang w:val="en-GB"/>
        </w:rPr>
        <w:footnoteReference w:id="6"/>
      </w:r>
      <w:r w:rsidRPr="00E13B55">
        <w:rPr>
          <w:lang w:val="en-GB"/>
        </w:rPr>
        <w:t xml:space="preserve"> and 8</w:t>
      </w:r>
      <w:r w:rsidRPr="00E13B55">
        <w:rPr>
          <w:rStyle w:val="FootnoteReference"/>
          <w:lang w:val="en-GB"/>
        </w:rPr>
        <w:footnoteReference w:id="7"/>
      </w:r>
      <w:r w:rsidRPr="00E13B55">
        <w:rPr>
          <w:lang w:val="en-GB"/>
        </w:rPr>
        <w:t xml:space="preserve"> are compared with </w:t>
      </w:r>
      <w:hyperlink r:id="rId26" w:history="1">
        <w:r w:rsidRPr="00E13B55">
          <w:rPr>
            <w:rStyle w:val="Hyperlink"/>
            <w:color w:val="auto"/>
            <w:szCs w:val="24"/>
            <w:u w:val="none"/>
            <w:lang w:val="en-GB"/>
          </w:rPr>
          <w:t>ICNIRP (2020</w:t>
        </w:r>
      </w:hyperlink>
      <w:r w:rsidRPr="00E13B55">
        <w:rPr>
          <w:rStyle w:val="Hyperlink"/>
          <w:color w:val="auto"/>
          <w:szCs w:val="24"/>
          <w:u w:val="none"/>
          <w:lang w:val="en-GB"/>
        </w:rPr>
        <w:t>)</w:t>
      </w:r>
      <w:r w:rsidRPr="00E13B55">
        <w:rPr>
          <w:szCs w:val="24"/>
          <w:lang w:val="en-GB"/>
        </w:rPr>
        <w:t xml:space="preserve"> Table 5</w:t>
      </w:r>
      <w:r w:rsidRPr="00E13B55">
        <w:rPr>
          <w:rStyle w:val="FootnoteReference"/>
          <w:szCs w:val="24"/>
          <w:lang w:val="en-GB"/>
        </w:rPr>
        <w:footnoteReference w:id="8"/>
      </w:r>
      <w:r w:rsidRPr="00E13B55">
        <w:rPr>
          <w:szCs w:val="24"/>
          <w:lang w:val="en-GB"/>
        </w:rPr>
        <w:t>.</w:t>
      </w:r>
      <w:bookmarkEnd w:id="40"/>
      <w:r w:rsidRPr="00E13B55">
        <w:rPr>
          <w:szCs w:val="24"/>
          <w:lang w:val="en-GB"/>
        </w:rPr>
        <w:t xml:space="preserve"> </w:t>
      </w:r>
      <w:r w:rsidRPr="00E13B55">
        <w:rPr>
          <w:lang w:val="en-GB"/>
        </w:rPr>
        <w:t xml:space="preserve">The exposure </w:t>
      </w:r>
      <w:r w:rsidRPr="00E13B55">
        <w:rPr>
          <w:lang w:val="en-GB"/>
        </w:rPr>
        <w:lastRenderedPageBreak/>
        <w:t xml:space="preserve">levels of ICNIRP 2020 and the IEEE Standard are largely harmonized, and the power-density limits whole-body levels </w:t>
      </w:r>
      <w:r w:rsidRPr="00E13B55">
        <w:rPr>
          <w:u w:val="single"/>
          <w:lang w:val="en-GB"/>
        </w:rPr>
        <w:t>above 30 MHz</w:t>
      </w:r>
      <w:r w:rsidRPr="00E13B55">
        <w:rPr>
          <w:lang w:val="en-GB"/>
        </w:rPr>
        <w:t xml:space="preserve"> are </w:t>
      </w:r>
      <w:r w:rsidRPr="00E13B55">
        <w:rPr>
          <w:u w:val="single"/>
          <w:lang w:val="en-GB"/>
        </w:rPr>
        <w:t>identical</w:t>
      </w:r>
      <w:r w:rsidRPr="00E13B55">
        <w:rPr>
          <w:lang w:val="en-GB"/>
        </w:rPr>
        <w:t xml:space="preserve">! </w:t>
      </w:r>
    </w:p>
    <w:p w14:paraId="27435149" w14:textId="77777777" w:rsidR="006F0B6B" w:rsidRPr="00E13B55" w:rsidRDefault="006F0B6B" w:rsidP="006F0B6B">
      <w:pPr>
        <w:pStyle w:val="enumlev1"/>
        <w:rPr>
          <w:lang w:val="en-GB"/>
        </w:rPr>
      </w:pPr>
      <w:r w:rsidRPr="00E13B55">
        <w:rPr>
          <w:lang w:val="en-GB"/>
        </w:rPr>
        <w:t>–</w:t>
      </w:r>
      <w:r w:rsidRPr="00E13B55">
        <w:rPr>
          <w:lang w:val="en-GB"/>
        </w:rPr>
        <w:tab/>
        <w:t xml:space="preserve">Localised SAR limits in the Head/Torso equals </w:t>
      </w:r>
      <w:r w:rsidRPr="00E13B55">
        <w:rPr>
          <w:u w:val="single"/>
          <w:lang w:val="en-GB"/>
        </w:rPr>
        <w:t>2 W/kg</w:t>
      </w:r>
      <w:r w:rsidRPr="00E13B55">
        <w:rPr>
          <w:lang w:val="en-GB"/>
        </w:rPr>
        <w:t xml:space="preserve"> for general-public and </w:t>
      </w:r>
      <w:r w:rsidRPr="00E13B55">
        <w:rPr>
          <w:u w:val="single"/>
          <w:lang w:val="en-GB" w:eastAsia="fr-FR"/>
        </w:rPr>
        <w:t>10 </w:t>
      </w:r>
      <w:r w:rsidRPr="00E13B55">
        <w:rPr>
          <w:u w:val="single"/>
          <w:lang w:val="en-GB"/>
        </w:rPr>
        <w:t>W/kg</w:t>
      </w:r>
      <w:r w:rsidRPr="00E13B55">
        <w:rPr>
          <w:lang w:val="en-GB"/>
        </w:rPr>
        <w:t xml:space="preserve"> for occupational.</w:t>
      </w:r>
    </w:p>
    <w:p w14:paraId="5C92315D" w14:textId="77777777" w:rsidR="006F0B6B" w:rsidRPr="00E13B55" w:rsidRDefault="006F0B6B" w:rsidP="006F0B6B">
      <w:pPr>
        <w:pStyle w:val="enumlev1"/>
        <w:rPr>
          <w:lang w:val="en-GB"/>
        </w:rPr>
      </w:pPr>
      <w:r w:rsidRPr="00E13B55">
        <w:rPr>
          <w:lang w:val="en-GB"/>
        </w:rPr>
        <w:t>–</w:t>
      </w:r>
      <w:r w:rsidRPr="00E13B55">
        <w:rPr>
          <w:lang w:val="en-GB"/>
        </w:rPr>
        <w:tab/>
        <w:t xml:space="preserve">Whole-body average SAR limit equals </w:t>
      </w:r>
      <w:r w:rsidRPr="00E13B55">
        <w:rPr>
          <w:u w:val="single"/>
          <w:lang w:val="en-GB"/>
        </w:rPr>
        <w:t>0.08 W/kg</w:t>
      </w:r>
      <w:r w:rsidRPr="00E13B55">
        <w:rPr>
          <w:lang w:val="en-GB"/>
        </w:rPr>
        <w:t xml:space="preserve"> for general-public and </w:t>
      </w:r>
      <w:r w:rsidRPr="00E13B55">
        <w:rPr>
          <w:u w:val="single"/>
          <w:lang w:val="en-GB" w:eastAsia="fr-FR"/>
        </w:rPr>
        <w:t>0.4 </w:t>
      </w:r>
      <w:r w:rsidRPr="00E13B55">
        <w:rPr>
          <w:u w:val="single"/>
          <w:lang w:val="en-GB"/>
        </w:rPr>
        <w:t>W/kg</w:t>
      </w:r>
      <w:r w:rsidRPr="00E13B55">
        <w:rPr>
          <w:lang w:val="en-GB"/>
        </w:rPr>
        <w:t xml:space="preserve"> for occupational.</w:t>
      </w:r>
    </w:p>
    <w:p w14:paraId="6F7CA070" w14:textId="77777777" w:rsidR="006F0B6B" w:rsidRPr="00E13B55" w:rsidRDefault="006F0B6B" w:rsidP="006F0B6B">
      <w:pPr>
        <w:pStyle w:val="enumlev1"/>
        <w:rPr>
          <w:lang w:val="en-GB"/>
        </w:rPr>
      </w:pPr>
      <w:r w:rsidRPr="00E13B55">
        <w:rPr>
          <w:lang w:val="en-GB"/>
        </w:rPr>
        <w:t>–</w:t>
      </w:r>
      <w:r w:rsidRPr="00E13B55">
        <w:rPr>
          <w:lang w:val="en-GB"/>
        </w:rPr>
        <w:tab/>
      </w:r>
      <w:r w:rsidRPr="00E13B55">
        <w:rPr>
          <w:lang w:val="en-GB" w:eastAsia="zh-CN"/>
        </w:rPr>
        <w:t>Exposure power-density reference-levels</w:t>
      </w:r>
      <w:r w:rsidRPr="00E13B55">
        <w:rPr>
          <w:lang w:val="en-GB"/>
        </w:rPr>
        <w:t xml:space="preserve"> equal at:</w:t>
      </w:r>
    </w:p>
    <w:p w14:paraId="1B23D8DC" w14:textId="72101F3E" w:rsidR="006F0B6B" w:rsidRPr="00E13B55" w:rsidRDefault="002753A9" w:rsidP="002753A9">
      <w:pPr>
        <w:pStyle w:val="enumlev2"/>
        <w:rPr>
          <w:lang w:val="en-GB"/>
        </w:rPr>
      </w:pPr>
      <w:r w:rsidRPr="00E13B55">
        <w:rPr>
          <w:lang w:val="en-GB"/>
        </w:rPr>
        <w:t>•</w:t>
      </w:r>
      <w:r w:rsidRPr="00E13B55">
        <w:rPr>
          <w:lang w:val="en-GB"/>
        </w:rPr>
        <w:tab/>
      </w:r>
      <w:r w:rsidR="006F0B6B" w:rsidRPr="00E13B55">
        <w:rPr>
          <w:lang w:val="en-GB"/>
        </w:rPr>
        <w:t>30 to 400 MHz: </w:t>
      </w:r>
      <w:r w:rsidR="006F0B6B" w:rsidRPr="00E13B55">
        <w:rPr>
          <w:u w:val="single"/>
          <w:lang w:val="en-GB"/>
        </w:rPr>
        <w:t>2 W/m</w:t>
      </w:r>
      <w:r w:rsidR="006F0B6B" w:rsidRPr="00E13B55">
        <w:rPr>
          <w:u w:val="single"/>
          <w:vertAlign w:val="superscript"/>
          <w:lang w:val="en-GB"/>
        </w:rPr>
        <w:t>2</w:t>
      </w:r>
      <w:r w:rsidR="006F0B6B" w:rsidRPr="00E13B55">
        <w:rPr>
          <w:lang w:val="en-GB"/>
        </w:rPr>
        <w:t xml:space="preserve"> for general-public and </w:t>
      </w:r>
      <w:r w:rsidR="006F0B6B" w:rsidRPr="00E13B55">
        <w:rPr>
          <w:u w:val="single"/>
          <w:lang w:val="en-GB"/>
        </w:rPr>
        <w:t>10 W/m</w:t>
      </w:r>
      <w:r w:rsidR="006F0B6B" w:rsidRPr="00E13B55">
        <w:rPr>
          <w:u w:val="single"/>
          <w:vertAlign w:val="superscript"/>
          <w:lang w:val="en-GB"/>
        </w:rPr>
        <w:t>2</w:t>
      </w:r>
      <w:r w:rsidR="006F0B6B" w:rsidRPr="00E13B55">
        <w:rPr>
          <w:lang w:val="en-GB"/>
        </w:rPr>
        <w:t xml:space="preserve"> for occupational;</w:t>
      </w:r>
    </w:p>
    <w:p w14:paraId="49432040" w14:textId="07CBBFA4" w:rsidR="006F0B6B" w:rsidRPr="00E13B55" w:rsidRDefault="002753A9" w:rsidP="002753A9">
      <w:pPr>
        <w:pStyle w:val="enumlev2"/>
        <w:rPr>
          <w:lang w:val="en-GB"/>
        </w:rPr>
      </w:pPr>
      <w:r w:rsidRPr="00E13B55">
        <w:rPr>
          <w:lang w:val="en-GB"/>
        </w:rPr>
        <w:t>•</w:t>
      </w:r>
      <w:r w:rsidRPr="00E13B55">
        <w:rPr>
          <w:lang w:val="en-GB"/>
        </w:rPr>
        <w:tab/>
      </w:r>
      <w:r w:rsidR="006F0B6B" w:rsidRPr="00E13B55">
        <w:rPr>
          <w:lang w:val="en-GB"/>
        </w:rPr>
        <w:t>400 to 2 000 MHz: </w:t>
      </w:r>
      <w:proofErr w:type="spellStart"/>
      <w:r w:rsidR="006F0B6B" w:rsidRPr="00E13B55">
        <w:rPr>
          <w:i/>
          <w:iCs/>
          <w:lang w:val="en-GB"/>
        </w:rPr>
        <w:t>f</w:t>
      </w:r>
      <w:r w:rsidR="006F0B6B" w:rsidRPr="00E13B55">
        <w:rPr>
          <w:vertAlign w:val="subscript"/>
          <w:lang w:val="en-GB"/>
        </w:rPr>
        <w:t>M</w:t>
      </w:r>
      <w:proofErr w:type="spellEnd"/>
      <w:r w:rsidR="006F0B6B" w:rsidRPr="00E13B55">
        <w:rPr>
          <w:lang w:val="en-GB"/>
        </w:rPr>
        <w:t>/200 W/m</w:t>
      </w:r>
      <w:r w:rsidR="006F0B6B" w:rsidRPr="00E13B55">
        <w:rPr>
          <w:vertAlign w:val="superscript"/>
          <w:lang w:val="en-GB"/>
        </w:rPr>
        <w:t>2</w:t>
      </w:r>
      <w:r w:rsidR="006F0B6B" w:rsidRPr="00E13B55">
        <w:rPr>
          <w:lang w:val="en-GB"/>
        </w:rPr>
        <w:t xml:space="preserve"> for general-public and </w:t>
      </w:r>
      <w:proofErr w:type="spellStart"/>
      <w:r w:rsidR="006F0B6B" w:rsidRPr="00E13B55">
        <w:rPr>
          <w:i/>
          <w:iCs/>
          <w:lang w:val="en-GB"/>
        </w:rPr>
        <w:t>f</w:t>
      </w:r>
      <w:r w:rsidR="006F0B6B" w:rsidRPr="00E13B55">
        <w:rPr>
          <w:vertAlign w:val="subscript"/>
          <w:lang w:val="en-GB"/>
        </w:rPr>
        <w:t>M</w:t>
      </w:r>
      <w:proofErr w:type="spellEnd"/>
      <w:r w:rsidR="006F0B6B" w:rsidRPr="00E13B55">
        <w:rPr>
          <w:lang w:val="en-GB"/>
        </w:rPr>
        <w:t>/40 W/m</w:t>
      </w:r>
      <w:r w:rsidR="006F0B6B" w:rsidRPr="00E13B55">
        <w:rPr>
          <w:vertAlign w:val="superscript"/>
          <w:lang w:val="en-GB"/>
        </w:rPr>
        <w:t>2</w:t>
      </w:r>
      <w:r w:rsidR="006F0B6B" w:rsidRPr="00E13B55">
        <w:rPr>
          <w:lang w:val="en-GB"/>
        </w:rPr>
        <w:t xml:space="preserve"> for occupational;</w:t>
      </w:r>
    </w:p>
    <w:p w14:paraId="2F391729" w14:textId="6E3C2963" w:rsidR="006F0B6B" w:rsidRPr="00E13B55" w:rsidRDefault="002753A9" w:rsidP="002753A9">
      <w:pPr>
        <w:pStyle w:val="enumlev2"/>
        <w:rPr>
          <w:lang w:val="en-GB"/>
        </w:rPr>
      </w:pPr>
      <w:r w:rsidRPr="00E13B55">
        <w:rPr>
          <w:lang w:val="en-GB"/>
        </w:rPr>
        <w:t>•</w:t>
      </w:r>
      <w:r w:rsidRPr="00E13B55">
        <w:rPr>
          <w:lang w:val="en-GB"/>
        </w:rPr>
        <w:tab/>
      </w:r>
      <w:r w:rsidR="006F0B6B" w:rsidRPr="00E13B55">
        <w:rPr>
          <w:lang w:val="en-GB"/>
        </w:rPr>
        <w:t>2 000 to 300 000 MHz: 1</w:t>
      </w:r>
      <w:r w:rsidR="006F0B6B" w:rsidRPr="00E13B55">
        <w:rPr>
          <w:u w:val="single"/>
          <w:lang w:val="en-GB"/>
        </w:rPr>
        <w:t>0 W/m</w:t>
      </w:r>
      <w:r w:rsidR="006F0B6B" w:rsidRPr="00E13B55">
        <w:rPr>
          <w:u w:val="single"/>
          <w:vertAlign w:val="superscript"/>
          <w:lang w:val="en-GB"/>
        </w:rPr>
        <w:t>2</w:t>
      </w:r>
      <w:r w:rsidR="006F0B6B" w:rsidRPr="00E13B55">
        <w:rPr>
          <w:lang w:val="en-GB"/>
        </w:rPr>
        <w:t xml:space="preserve"> for general-public and </w:t>
      </w:r>
      <w:r w:rsidR="006F0B6B" w:rsidRPr="00E13B55">
        <w:rPr>
          <w:u w:val="single"/>
          <w:lang w:val="en-GB"/>
        </w:rPr>
        <w:t>50</w:t>
      </w:r>
      <w:r w:rsidR="006F0B6B" w:rsidRPr="00E13B55">
        <w:rPr>
          <w:i/>
          <w:iCs/>
          <w:u w:val="single"/>
          <w:lang w:val="en-GB"/>
        </w:rPr>
        <w:t> </w:t>
      </w:r>
      <w:r w:rsidR="006F0B6B" w:rsidRPr="00E13B55">
        <w:rPr>
          <w:u w:val="single"/>
          <w:lang w:val="en-GB"/>
        </w:rPr>
        <w:t>W/m</w:t>
      </w:r>
      <w:r w:rsidR="006F0B6B" w:rsidRPr="00E13B55">
        <w:rPr>
          <w:u w:val="single"/>
          <w:vertAlign w:val="superscript"/>
          <w:lang w:val="en-GB"/>
        </w:rPr>
        <w:t>2</w:t>
      </w:r>
      <w:r w:rsidR="006F0B6B" w:rsidRPr="00E13B55">
        <w:rPr>
          <w:lang w:val="en-GB"/>
        </w:rPr>
        <w:t xml:space="preserve"> for occupational.</w:t>
      </w:r>
    </w:p>
    <w:p w14:paraId="3C3A468D" w14:textId="58DF4F4A" w:rsidR="006F0B6B" w:rsidRPr="00E13B55" w:rsidRDefault="00C53D25" w:rsidP="006F0B6B">
      <w:pPr>
        <w:rPr>
          <w:szCs w:val="24"/>
          <w:lang w:val="en-GB" w:bidi="he-IL"/>
        </w:rPr>
      </w:pPr>
      <w:r w:rsidRPr="00E13B55">
        <w:rPr>
          <w:lang w:val="en-GB"/>
        </w:rPr>
        <w:t xml:space="preserve">Figures </w:t>
      </w:r>
      <w:r w:rsidR="003C1C00" w:rsidRPr="00E13B55">
        <w:rPr>
          <w:lang w:val="en-GB"/>
        </w:rPr>
        <w:t xml:space="preserve">4 to 6 </w:t>
      </w:r>
      <w:r w:rsidR="006F0B6B" w:rsidRPr="00E13B55">
        <w:rPr>
          <w:lang w:val="en-GB"/>
        </w:rPr>
        <w:t xml:space="preserve">illustrate that </w:t>
      </w:r>
      <w:hyperlink r:id="rId27" w:history="1">
        <w:r w:rsidR="006F0B6B" w:rsidRPr="00E13B55">
          <w:rPr>
            <w:rStyle w:val="Hyperlink"/>
            <w:color w:val="auto"/>
            <w:szCs w:val="24"/>
            <w:u w:val="none"/>
            <w:lang w:val="en-GB"/>
          </w:rPr>
          <w:t>IEEE C95.1 (2019)</w:t>
        </w:r>
      </w:hyperlink>
      <w:r w:rsidR="006F0B6B" w:rsidRPr="00E13B55">
        <w:rPr>
          <w:szCs w:val="24"/>
          <w:lang w:val="en-GB"/>
        </w:rPr>
        <w:t xml:space="preserve"> and </w:t>
      </w:r>
      <w:hyperlink r:id="rId28" w:history="1">
        <w:r w:rsidR="006F0B6B" w:rsidRPr="00E13B55">
          <w:rPr>
            <w:rStyle w:val="Hyperlink"/>
            <w:color w:val="auto"/>
            <w:szCs w:val="24"/>
            <w:u w:val="none"/>
            <w:lang w:val="en-GB"/>
          </w:rPr>
          <w:t>ICNIRP (2020)</w:t>
        </w:r>
      </w:hyperlink>
      <w:r w:rsidR="006F0B6B" w:rsidRPr="00E13B55">
        <w:rPr>
          <w:szCs w:val="24"/>
          <w:lang w:val="en-GB"/>
        </w:rPr>
        <w:t xml:space="preserve"> Guidelines are </w:t>
      </w:r>
      <w:r w:rsidR="006F0B6B" w:rsidRPr="00E13B55">
        <w:rPr>
          <w:b/>
          <w:lang w:val="en-GB"/>
        </w:rPr>
        <w:t>largely harmonized</w:t>
      </w:r>
      <w:r w:rsidR="006F0B6B" w:rsidRPr="00E13B55">
        <w:rPr>
          <w:szCs w:val="24"/>
          <w:lang w:val="en-GB"/>
        </w:rPr>
        <w:t xml:space="preserve">. </w:t>
      </w:r>
    </w:p>
    <w:p w14:paraId="22B17414" w14:textId="3D4BD83D" w:rsidR="006F0B6B" w:rsidRPr="00E13B55" w:rsidRDefault="006233A1" w:rsidP="006F0B6B">
      <w:pPr>
        <w:rPr>
          <w:rtl/>
          <w:lang w:val="en-GB"/>
        </w:rPr>
      </w:pPr>
      <w:r w:rsidRPr="00E13B55">
        <w:rPr>
          <w:lang w:val="en-GB"/>
        </w:rPr>
        <w:t>In</w:t>
      </w:r>
      <w:r w:rsidR="006F0B6B" w:rsidRPr="00E13B55">
        <w:rPr>
          <w:lang w:val="en-GB"/>
        </w:rPr>
        <w:t xml:space="preserve"> </w:t>
      </w:r>
      <w:r w:rsidR="00C53D25" w:rsidRPr="00E13B55">
        <w:rPr>
          <w:lang w:val="en-GB"/>
        </w:rPr>
        <w:t>Fig</w:t>
      </w:r>
      <w:r w:rsidRPr="00E13B55">
        <w:rPr>
          <w:lang w:val="en-GB"/>
        </w:rPr>
        <w:t>. 4</w:t>
      </w:r>
      <w:r w:rsidR="00C53D25" w:rsidRPr="00E13B55">
        <w:rPr>
          <w:lang w:val="en-GB"/>
        </w:rPr>
        <w:t xml:space="preserve"> </w:t>
      </w:r>
      <w:r w:rsidR="006F0B6B" w:rsidRPr="00E13B55">
        <w:rPr>
          <w:lang w:val="en-GB"/>
        </w:rPr>
        <w:t xml:space="preserve">(source Dr </w:t>
      </w:r>
      <w:hyperlink r:id="rId29" w:history="1">
        <w:r w:rsidR="006F0B6B" w:rsidRPr="00E13B55">
          <w:rPr>
            <w:rStyle w:val="Hyperlink"/>
            <w:color w:val="auto"/>
            <w:u w:val="none"/>
            <w:lang w:val="en-GB"/>
          </w:rPr>
          <w:t>Lewicki Frydery</w:t>
        </w:r>
      </w:hyperlink>
      <w:r w:rsidR="006F0B6B" w:rsidRPr="00E13B55">
        <w:rPr>
          <w:rStyle w:val="Hyperlink"/>
          <w:color w:val="auto"/>
          <w:u w:val="none"/>
          <w:lang w:val="en-GB"/>
        </w:rPr>
        <w:t>k)</w:t>
      </w:r>
      <w:r w:rsidR="006F0B6B" w:rsidRPr="00E13B55">
        <w:rPr>
          <w:rStyle w:val="FootnoteReference"/>
          <w:lang w:val="en-GB"/>
        </w:rPr>
        <w:footnoteReference w:id="9"/>
      </w:r>
      <w:r w:rsidR="00416FA1" w:rsidRPr="00E13B55">
        <w:rPr>
          <w:lang w:val="en-GB"/>
        </w:rPr>
        <w:t xml:space="preserve">, </w:t>
      </w:r>
      <w:r w:rsidR="00BB3770" w:rsidRPr="00E13B55">
        <w:rPr>
          <w:lang w:val="en-GB"/>
        </w:rPr>
        <w:t>no</w:t>
      </w:r>
      <w:r w:rsidR="006F0B6B" w:rsidRPr="00E13B55">
        <w:rPr>
          <w:lang w:val="en-GB"/>
        </w:rPr>
        <w:t xml:space="preserve">te that the </w:t>
      </w:r>
      <w:r w:rsidR="006F0B6B" w:rsidRPr="00E13B55">
        <w:rPr>
          <w:szCs w:val="24"/>
          <w:lang w:val="en-GB" w:eastAsia="zh-CN" w:bidi="he-IL"/>
        </w:rPr>
        <w:t>ICNIRP (2020) electric field reference-levels for general-public stop at frequencies above 2 000 MHz</w:t>
      </w:r>
      <w:r w:rsidR="006F0B6B" w:rsidRPr="00E13B55">
        <w:rPr>
          <w:lang w:val="en-GB"/>
        </w:rPr>
        <w:t xml:space="preserve">. </w:t>
      </w:r>
      <w:r w:rsidR="006F0B6B" w:rsidRPr="00E13B55">
        <w:rPr>
          <w:szCs w:val="24"/>
          <w:lang w:val="en-GB" w:eastAsia="zh-CN" w:bidi="he-IL"/>
        </w:rPr>
        <w:t xml:space="preserve">Electric-field units and measurements are convenient for administrations to monitor field strengths if needed. </w:t>
      </w:r>
      <w:r w:rsidR="006F0B6B" w:rsidRPr="00E13B55">
        <w:rPr>
          <w:rFonts w:cstheme="minorHAnsi"/>
          <w:szCs w:val="24"/>
          <w:lang w:val="en-GB" w:eastAsia="zh-CN" w:bidi="he-IL"/>
        </w:rPr>
        <w:t xml:space="preserve">As </w:t>
      </w:r>
      <w:r w:rsidR="006F0B6B" w:rsidRPr="00E13B55">
        <w:rPr>
          <w:lang w:val="en-GB" w:eastAsia="zh-CN"/>
        </w:rPr>
        <w:t>between 100 kHz and 10 MHz, the more stringent value of ICNIRP (2010) or ICNIRP (2020) for every frequency should be followed, below 6.27 MHz the general public limit is 83 V/m.</w:t>
      </w:r>
    </w:p>
    <w:p w14:paraId="0CBEE97A" w14:textId="77777777" w:rsidR="006F0B6B" w:rsidRPr="00E13B55" w:rsidRDefault="006F0B6B" w:rsidP="006F0B6B">
      <w:pPr>
        <w:pStyle w:val="FigureNo"/>
        <w:rPr>
          <w:lang w:val="en-GB"/>
        </w:rPr>
      </w:pPr>
      <w:r w:rsidRPr="00E13B55">
        <w:rPr>
          <w:lang w:val="en-GB"/>
        </w:rPr>
        <w:t>Figure 4</w:t>
      </w:r>
    </w:p>
    <w:p w14:paraId="130FA85E" w14:textId="0CA4E989" w:rsidR="006F0B6B" w:rsidRPr="00E13B55" w:rsidRDefault="006F0B6B" w:rsidP="006F0B6B">
      <w:pPr>
        <w:pStyle w:val="Figuretitle"/>
        <w:rPr>
          <w:lang w:val="en-GB"/>
        </w:rPr>
      </w:pPr>
      <w:r w:rsidRPr="00E13B55">
        <w:rPr>
          <w:lang w:val="en-GB"/>
        </w:rPr>
        <w:t xml:space="preserve">Reference levels- for ICNIRP (1998), IEEE (2019) and ICNIRP (2020) </w:t>
      </w:r>
      <w:r w:rsidR="002F177A" w:rsidRPr="00E13B55">
        <w:rPr>
          <w:lang w:val="en-GB"/>
        </w:rPr>
        <w:t>guidelines</w:t>
      </w:r>
    </w:p>
    <w:p w14:paraId="5ABAD6B8" w14:textId="77777777" w:rsidR="006F0B6B" w:rsidRPr="00E13B55" w:rsidRDefault="006F0B6B" w:rsidP="006F0B6B">
      <w:pPr>
        <w:pStyle w:val="Figure"/>
        <w:rPr>
          <w:lang w:val="en-GB" w:eastAsia="ja-JP"/>
        </w:rPr>
      </w:pPr>
      <w:r w:rsidRPr="00E13B55">
        <w:rPr>
          <w:noProof/>
          <w:lang w:val="en-GB"/>
        </w:rPr>
        <w:drawing>
          <wp:inline distT="0" distB="0" distL="0" distR="0" wp14:anchorId="521DAE4D" wp14:editId="57B4A44D">
            <wp:extent cx="5970905" cy="3725545"/>
            <wp:effectExtent l="0" t="0" r="0" b="8255"/>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t, line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0905" cy="3725545"/>
                    </a:xfrm>
                    <a:prstGeom prst="rect">
                      <a:avLst/>
                    </a:prstGeom>
                    <a:noFill/>
                    <a:ln>
                      <a:noFill/>
                    </a:ln>
                  </pic:spPr>
                </pic:pic>
              </a:graphicData>
            </a:graphic>
          </wp:inline>
        </w:drawing>
      </w:r>
    </w:p>
    <w:p w14:paraId="2E38C70B" w14:textId="77777777" w:rsidR="0013550A" w:rsidRPr="00E13B55" w:rsidRDefault="0013550A" w:rsidP="0013550A">
      <w:pPr>
        <w:pStyle w:val="Heading2"/>
        <w:rPr>
          <w:lang w:val="en-GB"/>
        </w:rPr>
      </w:pPr>
      <w:bookmarkStart w:id="41" w:name="_Toc112657089"/>
      <w:r w:rsidRPr="00E13B55">
        <w:rPr>
          <w:lang w:val="en-GB"/>
        </w:rPr>
        <w:lastRenderedPageBreak/>
        <w:t>2.2</w:t>
      </w:r>
      <w:r w:rsidRPr="00E13B55">
        <w:rPr>
          <w:lang w:val="en-GB"/>
        </w:rPr>
        <w:tab/>
        <w:t>Presenting maps of calculated field-strength around transmitters</w:t>
      </w:r>
      <w:bookmarkEnd w:id="15"/>
      <w:bookmarkEnd w:id="16"/>
      <w:bookmarkEnd w:id="17"/>
      <w:bookmarkEnd w:id="41"/>
    </w:p>
    <w:p w14:paraId="5338BB53" w14:textId="77777777" w:rsidR="0013550A" w:rsidRPr="00E13B55" w:rsidRDefault="0013550A" w:rsidP="0013550A">
      <w:pPr>
        <w:pStyle w:val="Heading3"/>
        <w:rPr>
          <w:lang w:val="en-GB"/>
        </w:rPr>
      </w:pPr>
      <w:bookmarkStart w:id="42" w:name="_Toc483436719"/>
      <w:bookmarkStart w:id="43" w:name="_Toc10138188"/>
      <w:r w:rsidRPr="00E13B55">
        <w:rPr>
          <w:lang w:val="en-GB"/>
        </w:rPr>
        <w:t>2.2.1</w:t>
      </w:r>
      <w:r w:rsidRPr="00E13B55">
        <w:rPr>
          <w:lang w:val="en-GB"/>
        </w:rPr>
        <w:tab/>
        <w:t>Definitions, free-space calculation and some assumptions</w:t>
      </w:r>
      <w:bookmarkEnd w:id="42"/>
      <w:bookmarkEnd w:id="43"/>
      <w:r w:rsidRPr="00E13B55">
        <w:rPr>
          <w:lang w:val="en-GB"/>
        </w:rPr>
        <w:t xml:space="preserve"> </w:t>
      </w:r>
    </w:p>
    <w:p w14:paraId="4277402F" w14:textId="77777777" w:rsidR="0013550A" w:rsidRPr="00E13B55" w:rsidRDefault="0013550A" w:rsidP="0013550A">
      <w:pPr>
        <w:pStyle w:val="Equationlegend"/>
        <w:rPr>
          <w:szCs w:val="24"/>
          <w:lang w:val="en-GB"/>
        </w:rPr>
      </w:pPr>
      <w:r w:rsidRPr="00E13B55">
        <w:rPr>
          <w:i/>
          <w:szCs w:val="24"/>
          <w:lang w:val="en-GB" w:bidi="he-IL"/>
        </w:rPr>
        <w:tab/>
      </w:r>
      <w:proofErr w:type="spellStart"/>
      <w:r w:rsidRPr="00E13B55">
        <w:rPr>
          <w:i/>
          <w:szCs w:val="24"/>
          <w:lang w:val="en-GB" w:bidi="he-IL"/>
        </w:rPr>
        <w:t>p</w:t>
      </w:r>
      <w:r w:rsidRPr="00E13B55">
        <w:rPr>
          <w:szCs w:val="24"/>
          <w:vertAlign w:val="subscript"/>
          <w:lang w:val="en-GB" w:bidi="he-IL"/>
        </w:rPr>
        <w:t>t</w:t>
      </w:r>
      <w:proofErr w:type="spellEnd"/>
      <w:r w:rsidRPr="00E13B55">
        <w:rPr>
          <w:szCs w:val="24"/>
          <w:lang w:val="en-GB"/>
        </w:rPr>
        <w:t>:</w:t>
      </w:r>
      <w:r w:rsidRPr="00E13B55">
        <w:rPr>
          <w:szCs w:val="24"/>
          <w:lang w:val="en-GB"/>
        </w:rPr>
        <w:tab/>
      </w:r>
      <w:r w:rsidRPr="00E13B55">
        <w:rPr>
          <w:szCs w:val="24"/>
          <w:lang w:val="en-GB" w:bidi="he-IL"/>
        </w:rPr>
        <w:t>transmitter power</w:t>
      </w:r>
      <w:r w:rsidR="00FD4BC6" w:rsidRPr="00E13B55">
        <w:rPr>
          <w:szCs w:val="24"/>
          <w:lang w:val="en-GB"/>
        </w:rPr>
        <w:t xml:space="preserve"> (watts)</w:t>
      </w:r>
    </w:p>
    <w:p w14:paraId="73E62D87" w14:textId="77777777" w:rsidR="0013550A" w:rsidRPr="00E13B55" w:rsidRDefault="0013550A" w:rsidP="0013550A">
      <w:pPr>
        <w:pStyle w:val="Equationlegend"/>
        <w:rPr>
          <w:szCs w:val="24"/>
          <w:lang w:val="en-GB"/>
        </w:rPr>
      </w:pPr>
      <w:r w:rsidRPr="00E13B55">
        <w:rPr>
          <w:i/>
          <w:iCs/>
          <w:position w:val="-6"/>
          <w:szCs w:val="24"/>
          <w:lang w:val="en-GB"/>
        </w:rPr>
        <w:tab/>
      </w:r>
      <w:proofErr w:type="spellStart"/>
      <w:proofErr w:type="gramStart"/>
      <w:r w:rsidRPr="00E13B55">
        <w:rPr>
          <w:i/>
          <w:iCs/>
          <w:position w:val="-6"/>
          <w:szCs w:val="24"/>
          <w:lang w:val="en-GB"/>
        </w:rPr>
        <w:t>g</w:t>
      </w:r>
      <w:r w:rsidRPr="00E13B55">
        <w:rPr>
          <w:position w:val="-6"/>
          <w:szCs w:val="24"/>
          <w:vertAlign w:val="subscript"/>
          <w:lang w:val="en-GB"/>
        </w:rPr>
        <w:t>t</w:t>
      </w:r>
      <w:proofErr w:type="spellEnd"/>
      <w:r w:rsidRPr="00E13B55">
        <w:rPr>
          <w:rFonts w:ascii="Tms Rmn" w:hAnsi="Tms Rmn"/>
          <w:szCs w:val="24"/>
          <w:lang w:val="en-GB"/>
        </w:rPr>
        <w:t> </w:t>
      </w:r>
      <w:r w:rsidRPr="00E13B55">
        <w:rPr>
          <w:szCs w:val="24"/>
          <w:lang w:val="en-GB"/>
        </w:rPr>
        <w:t>:</w:t>
      </w:r>
      <w:proofErr w:type="gramEnd"/>
      <w:r w:rsidRPr="00E13B55">
        <w:rPr>
          <w:szCs w:val="24"/>
          <w:lang w:val="en-GB"/>
        </w:rPr>
        <w:tab/>
      </w:r>
      <w:r w:rsidRPr="00E13B55">
        <w:rPr>
          <w:iCs/>
          <w:kern w:val="28"/>
          <w:szCs w:val="24"/>
          <w:lang w:val="en-GB" w:bidi="he-IL"/>
        </w:rPr>
        <w:t>transmitter antenna gain (numeric)</w:t>
      </w:r>
    </w:p>
    <w:p w14:paraId="606D87CE" w14:textId="77777777" w:rsidR="0013550A" w:rsidRPr="00E13B55" w:rsidRDefault="0013550A" w:rsidP="0013550A">
      <w:pPr>
        <w:pStyle w:val="Equationlegend"/>
        <w:rPr>
          <w:iCs/>
          <w:kern w:val="28"/>
          <w:szCs w:val="24"/>
          <w:lang w:val="en-GB" w:bidi="he-IL"/>
        </w:rPr>
      </w:pPr>
      <w:r w:rsidRPr="00E13B55">
        <w:rPr>
          <w:i/>
          <w:kern w:val="28"/>
          <w:szCs w:val="24"/>
          <w:lang w:val="en-GB" w:bidi="he-IL"/>
        </w:rPr>
        <w:tab/>
      </w:r>
      <w:r w:rsidRPr="00E13B55">
        <w:rPr>
          <w:iCs/>
          <w:kern w:val="28"/>
          <w:szCs w:val="24"/>
          <w:lang w:val="en-GB" w:bidi="he-IL"/>
        </w:rPr>
        <w:t>e.i.r.p.</w:t>
      </w:r>
      <w:r w:rsidRPr="00E13B55">
        <w:rPr>
          <w:szCs w:val="24"/>
          <w:vertAlign w:val="superscript"/>
          <w:lang w:val="en-GB"/>
        </w:rPr>
        <w:footnoteReference w:id="10"/>
      </w:r>
      <w:r w:rsidRPr="00E13B55">
        <w:rPr>
          <w:szCs w:val="24"/>
          <w:lang w:val="en-GB"/>
        </w:rPr>
        <w:t>:</w:t>
      </w:r>
      <w:r w:rsidRPr="00E13B55">
        <w:rPr>
          <w:szCs w:val="24"/>
          <w:lang w:val="en-GB"/>
        </w:rPr>
        <w:tab/>
      </w:r>
      <w:r w:rsidRPr="00E13B55">
        <w:rPr>
          <w:szCs w:val="24"/>
          <w:lang w:val="en-GB" w:bidi="he-IL"/>
        </w:rPr>
        <w:t>equivalent</w:t>
      </w:r>
      <w:r w:rsidRPr="00E13B55">
        <w:rPr>
          <w:szCs w:val="24"/>
          <w:lang w:val="en-GB"/>
        </w:rPr>
        <w:t xml:space="preserve"> isotropically radiated power </w:t>
      </w:r>
      <w:r w:rsidR="00FD4BC6" w:rsidRPr="00E13B55">
        <w:rPr>
          <w:iCs/>
          <w:kern w:val="28"/>
          <w:szCs w:val="24"/>
          <w:lang w:val="en-GB" w:bidi="he-IL"/>
        </w:rPr>
        <w:t>(watts)</w:t>
      </w:r>
    </w:p>
    <w:p w14:paraId="64FFDC1A" w14:textId="77777777" w:rsidR="0013550A" w:rsidRPr="00E13B55" w:rsidRDefault="0013550A" w:rsidP="0013550A">
      <w:pPr>
        <w:pStyle w:val="Equationlegend"/>
        <w:rPr>
          <w:iCs/>
          <w:kern w:val="28"/>
          <w:szCs w:val="24"/>
          <w:lang w:val="en-GB" w:bidi="he-IL"/>
        </w:rPr>
      </w:pPr>
      <w:r w:rsidRPr="00E13B55">
        <w:rPr>
          <w:i/>
          <w:kern w:val="28"/>
          <w:szCs w:val="24"/>
          <w:lang w:val="en-GB" w:bidi="he-IL"/>
        </w:rPr>
        <w:tab/>
        <w:t>d</w:t>
      </w:r>
      <w:r w:rsidRPr="00E13B55">
        <w:rPr>
          <w:iCs/>
          <w:kern w:val="28"/>
          <w:szCs w:val="24"/>
          <w:lang w:val="en-GB" w:bidi="he-IL"/>
        </w:rPr>
        <w:t>:</w:t>
      </w:r>
      <w:r w:rsidRPr="00E13B55">
        <w:rPr>
          <w:iCs/>
          <w:kern w:val="28"/>
          <w:szCs w:val="24"/>
          <w:lang w:val="en-GB" w:bidi="he-IL"/>
        </w:rPr>
        <w:tab/>
      </w:r>
      <w:r w:rsidRPr="00E13B55">
        <w:rPr>
          <w:szCs w:val="24"/>
          <w:lang w:val="en-GB" w:bidi="he-IL"/>
        </w:rPr>
        <w:t>distance</w:t>
      </w:r>
      <w:r w:rsidR="00FD4BC6" w:rsidRPr="00E13B55">
        <w:rPr>
          <w:iCs/>
          <w:kern w:val="28"/>
          <w:szCs w:val="24"/>
          <w:lang w:val="en-GB" w:bidi="he-IL"/>
        </w:rPr>
        <w:t xml:space="preserve"> from transmitter (meter)</w:t>
      </w:r>
    </w:p>
    <w:p w14:paraId="46ABAB5C" w14:textId="7617480A" w:rsidR="0013550A" w:rsidRPr="00E13B55" w:rsidRDefault="0013550A" w:rsidP="0013550A">
      <w:pPr>
        <w:pStyle w:val="Equationlegend"/>
        <w:rPr>
          <w:iCs/>
          <w:kern w:val="28"/>
          <w:szCs w:val="24"/>
          <w:lang w:val="en-GB" w:bidi="he-IL"/>
        </w:rPr>
      </w:pPr>
      <w:r w:rsidRPr="00E13B55">
        <w:rPr>
          <w:i/>
          <w:kern w:val="28"/>
          <w:szCs w:val="24"/>
          <w:lang w:val="en-GB" w:bidi="he-IL"/>
        </w:rPr>
        <w:tab/>
        <w:t>e</w:t>
      </w:r>
      <w:r w:rsidRPr="00E13B55">
        <w:rPr>
          <w:iCs/>
          <w:kern w:val="28"/>
          <w:szCs w:val="24"/>
          <w:lang w:val="en-GB" w:bidi="he-IL"/>
        </w:rPr>
        <w:t>:</w:t>
      </w:r>
      <w:r w:rsidRPr="00E13B55">
        <w:rPr>
          <w:iCs/>
          <w:kern w:val="28"/>
          <w:szCs w:val="24"/>
          <w:lang w:val="en-GB" w:bidi="he-IL"/>
        </w:rPr>
        <w:tab/>
      </w:r>
      <w:r w:rsidRPr="00E13B55">
        <w:rPr>
          <w:szCs w:val="24"/>
          <w:lang w:val="en-GB" w:bidi="he-IL"/>
        </w:rPr>
        <w:t>electric</w:t>
      </w:r>
      <w:r w:rsidRPr="00E13B55">
        <w:rPr>
          <w:iCs/>
          <w:kern w:val="28"/>
          <w:szCs w:val="24"/>
          <w:lang w:val="en-GB" w:bidi="he-IL"/>
        </w:rPr>
        <w:t xml:space="preserve"> field-strength Volt/met</w:t>
      </w:r>
      <w:r w:rsidR="00B030F6" w:rsidRPr="00E13B55">
        <w:rPr>
          <w:iCs/>
          <w:kern w:val="28"/>
          <w:szCs w:val="24"/>
          <w:lang w:val="en-GB" w:bidi="he-IL"/>
        </w:rPr>
        <w:t>r</w:t>
      </w:r>
      <w:r w:rsidRPr="00E13B55">
        <w:rPr>
          <w:iCs/>
          <w:kern w:val="28"/>
          <w:szCs w:val="24"/>
          <w:lang w:val="en-GB" w:bidi="he-IL"/>
        </w:rPr>
        <w:t>e (V/M).</w:t>
      </w:r>
    </w:p>
    <w:p w14:paraId="42D9C110" w14:textId="77B02E97" w:rsidR="0013550A" w:rsidRPr="00E13B55" w:rsidRDefault="0013550A" w:rsidP="0013550A">
      <w:pPr>
        <w:rPr>
          <w:iCs/>
          <w:kern w:val="28"/>
          <w:szCs w:val="24"/>
          <w:lang w:val="en-GB" w:bidi="he-IL"/>
        </w:rPr>
      </w:pPr>
      <w:r w:rsidRPr="00E13B55">
        <w:rPr>
          <w:iCs/>
          <w:kern w:val="28"/>
          <w:szCs w:val="24"/>
          <w:lang w:val="en-GB" w:bidi="he-IL"/>
        </w:rPr>
        <w:t xml:space="preserve">For free-space propagation loss, </w:t>
      </w:r>
      <w:r w:rsidR="003C1C00" w:rsidRPr="00E13B55">
        <w:rPr>
          <w:iCs/>
          <w:kern w:val="28"/>
          <w:position w:val="-24"/>
          <w:szCs w:val="24"/>
          <w:lang w:val="en-GB" w:bidi="he-IL"/>
        </w:rPr>
        <w:object w:dxaOrig="1500" w:dyaOrig="700" w14:anchorId="3E5B44FF">
          <v:shape id="_x0000_i1026" type="#_x0000_t75" style="width:71.35pt;height:35.7pt" o:ole="">
            <v:imagedata r:id="rId31" o:title=""/>
          </v:shape>
          <o:OLEObject Type="Embed" ProgID="Equation.DSMT4" ShapeID="_x0000_i1026" DrawAspect="Content" ObjectID="_1723272010" r:id="rId32"/>
        </w:object>
      </w:r>
      <w:r w:rsidRPr="00E13B55">
        <w:rPr>
          <w:iCs/>
          <w:kern w:val="28"/>
          <w:szCs w:val="24"/>
          <w:lang w:val="en-GB" w:bidi="he-IL"/>
        </w:rPr>
        <w:t xml:space="preserve"> and </w:t>
      </w:r>
      <w:r w:rsidR="003C1C00" w:rsidRPr="00E13B55">
        <w:rPr>
          <w:iCs/>
          <w:kern w:val="28"/>
          <w:position w:val="-24"/>
          <w:szCs w:val="24"/>
          <w:lang w:val="en-GB" w:bidi="he-IL"/>
        </w:rPr>
        <w:object w:dxaOrig="1540" w:dyaOrig="700" w14:anchorId="4E72B3FE">
          <v:shape id="_x0000_i1027" type="#_x0000_t75" style="width:69.5pt;height:35.05pt" o:ole="">
            <v:imagedata r:id="rId33" o:title=""/>
          </v:shape>
          <o:OLEObject Type="Embed" ProgID="Equation.DSMT4" ShapeID="_x0000_i1027" DrawAspect="Content" ObjectID="_1723272011" r:id="rId34"/>
        </w:object>
      </w:r>
    </w:p>
    <w:p w14:paraId="36D05815" w14:textId="5F9CCAE1" w:rsidR="0013550A" w:rsidRPr="00E13B55" w:rsidRDefault="0013550A" w:rsidP="0013550A">
      <w:pPr>
        <w:rPr>
          <w:lang w:val="en-GB"/>
        </w:rPr>
      </w:pPr>
      <w:r w:rsidRPr="00E13B55">
        <w:rPr>
          <w:lang w:val="en-GB"/>
        </w:rPr>
        <w:t xml:space="preserve">To exemplify, disregarding buildings and other obstacles, the safety distance for e.i.r.p. 60 kW, under free-space propagation conditions, the safety-contours are 45 m for 30 V/m (general-public exposure reference-level at 482 MHz), and 20 m for 66 V/m (occupational exposure reference-level). </w:t>
      </w:r>
      <w:proofErr w:type="gramStart"/>
      <w:r w:rsidRPr="00E13B55">
        <w:rPr>
          <w:lang w:val="en-GB"/>
        </w:rPr>
        <w:t>Taking into account</w:t>
      </w:r>
      <w:proofErr w:type="gramEnd"/>
      <w:r w:rsidRPr="00E13B55">
        <w:rPr>
          <w:lang w:val="en-GB"/>
        </w:rPr>
        <w:t xml:space="preserve"> terrain map and buildings, non-free-space propagation loss, the calculated safety-distances are lower.</w:t>
      </w:r>
    </w:p>
    <w:p w14:paraId="71CFEC3A" w14:textId="77777777" w:rsidR="0013550A" w:rsidRPr="00E13B55" w:rsidRDefault="0013550A" w:rsidP="0013550A">
      <w:pPr>
        <w:rPr>
          <w:lang w:val="en-GB"/>
        </w:rPr>
      </w:pPr>
      <w:r w:rsidRPr="00E13B55">
        <w:rPr>
          <w:lang w:val="en-GB"/>
        </w:rPr>
        <w:t xml:space="preserve">In the following simulations, the propagation model </w:t>
      </w:r>
      <w:proofErr w:type="gramStart"/>
      <w:r w:rsidRPr="00E13B55">
        <w:rPr>
          <w:lang w:val="en-GB"/>
        </w:rPr>
        <w:t>takes into account</w:t>
      </w:r>
      <w:proofErr w:type="gramEnd"/>
      <w:r w:rsidRPr="00E13B55">
        <w:rPr>
          <w:lang w:val="en-GB"/>
        </w:rPr>
        <w:t xml:space="preserve"> the attenuation due to buildings. </w:t>
      </w:r>
    </w:p>
    <w:p w14:paraId="50A65BAA" w14:textId="1B7766A5" w:rsidR="0013550A" w:rsidRPr="00E13B55" w:rsidRDefault="0013550A" w:rsidP="0013550A">
      <w:pPr>
        <w:rPr>
          <w:lang w:val="en-GB"/>
        </w:rPr>
      </w:pPr>
      <w:r w:rsidRPr="00E13B55">
        <w:rPr>
          <w:lang w:val="en-GB"/>
        </w:rPr>
        <w:t xml:space="preserve">Except for the point to point links, the receiver altitude </w:t>
      </w:r>
      <w:r w:rsidRPr="00E13B55">
        <w:rPr>
          <w:lang w:val="en-GB" w:eastAsia="ko-KR"/>
        </w:rPr>
        <w:t xml:space="preserve">Above Ground Level (AGL) is assumed </w:t>
      </w:r>
      <w:r w:rsidRPr="00E13B55">
        <w:rPr>
          <w:lang w:val="en-GB"/>
        </w:rPr>
        <w:t xml:space="preserve">at </w:t>
      </w:r>
      <w:r w:rsidRPr="00E13B55">
        <w:rPr>
          <w:lang w:val="en-GB" w:eastAsia="ko-KR"/>
        </w:rPr>
        <w:t>1.5</w:t>
      </w:r>
      <w:r w:rsidR="00475483" w:rsidRPr="00E13B55">
        <w:rPr>
          <w:lang w:val="en-GB" w:eastAsia="ko-KR"/>
        </w:rPr>
        <w:t> </w:t>
      </w:r>
      <w:r w:rsidRPr="00E13B55">
        <w:rPr>
          <w:lang w:val="en-GB" w:eastAsia="ko-KR"/>
        </w:rPr>
        <w:t>m. T</w:t>
      </w:r>
      <w:r w:rsidRPr="00E13B55">
        <w:rPr>
          <w:lang w:val="en-GB"/>
        </w:rPr>
        <w:t xml:space="preserve">he </w:t>
      </w:r>
      <w:r w:rsidR="00AE4325" w:rsidRPr="00E13B55">
        <w:rPr>
          <w:lang w:val="en-GB"/>
        </w:rPr>
        <w:t xml:space="preserve">Figures </w:t>
      </w:r>
      <w:r w:rsidRPr="00E13B55">
        <w:rPr>
          <w:lang w:val="en-GB"/>
        </w:rPr>
        <w:t xml:space="preserve">depict </w:t>
      </w:r>
      <w:r w:rsidRPr="00E13B55">
        <w:rPr>
          <w:iCs/>
          <w:kern w:val="28"/>
          <w:szCs w:val="24"/>
          <w:lang w:val="en-GB" w:bidi="he-IL"/>
        </w:rPr>
        <w:t xml:space="preserve">field-strength </w:t>
      </w:r>
      <w:r w:rsidRPr="00E13B55">
        <w:rPr>
          <w:lang w:val="en-GB"/>
        </w:rPr>
        <w:t xml:space="preserve">values (V/m); for example, at 482 MHz: 5, 15, 30 (the ICNIRP general public reference-level), 45 and 66 (the occupational reference-level) V/m. </w:t>
      </w:r>
    </w:p>
    <w:p w14:paraId="1917667F" w14:textId="77777777" w:rsidR="0013550A" w:rsidRPr="00E13B55" w:rsidRDefault="0013550A" w:rsidP="0013550A">
      <w:pPr>
        <w:rPr>
          <w:lang w:val="en-GB"/>
        </w:rPr>
      </w:pPr>
      <w:r w:rsidRPr="00E13B55">
        <w:rPr>
          <w:lang w:val="en-GB"/>
        </w:rPr>
        <w:t>The calculations performed are the following:</w:t>
      </w:r>
    </w:p>
    <w:p w14:paraId="31C3D288" w14:textId="77777777" w:rsidR="0013550A" w:rsidRPr="00E13B55" w:rsidRDefault="0013550A" w:rsidP="0013550A">
      <w:pPr>
        <w:pStyle w:val="enumlev1"/>
        <w:rPr>
          <w:lang w:val="en-GB"/>
        </w:rPr>
      </w:pPr>
      <w:r w:rsidRPr="00E13B55">
        <w:rPr>
          <w:lang w:val="en-GB"/>
        </w:rPr>
        <w:t>–</w:t>
      </w:r>
      <w:r w:rsidRPr="00E13B55">
        <w:rPr>
          <w:lang w:val="en-GB"/>
        </w:rPr>
        <w:tab/>
        <w:t xml:space="preserve">3D: three dimensions coverage on buildings facades is performed for a receiving antenna height varying from 1 m to rooftop. The highest power received on each building is used to provide the </w:t>
      </w:r>
      <w:r w:rsidRPr="00E13B55">
        <w:rPr>
          <w:iCs/>
          <w:kern w:val="28"/>
          <w:szCs w:val="24"/>
          <w:lang w:val="en-GB" w:bidi="he-IL"/>
        </w:rPr>
        <w:t>field-strength</w:t>
      </w:r>
      <w:r w:rsidRPr="00E13B55">
        <w:rPr>
          <w:lang w:val="en-GB"/>
        </w:rPr>
        <w:t xml:space="preserve"> colour to the whole building.</w:t>
      </w:r>
    </w:p>
    <w:p w14:paraId="40706E51" w14:textId="77777777" w:rsidR="0013550A" w:rsidRPr="00E13B55" w:rsidRDefault="0013550A" w:rsidP="0013550A">
      <w:pPr>
        <w:pStyle w:val="enumlev1"/>
        <w:rPr>
          <w:lang w:val="en-GB"/>
        </w:rPr>
      </w:pPr>
      <w:r w:rsidRPr="00E13B55">
        <w:rPr>
          <w:lang w:val="en-GB"/>
        </w:rPr>
        <w:t>–</w:t>
      </w:r>
      <w:r w:rsidRPr="00E13B55">
        <w:rPr>
          <w:lang w:val="en-GB"/>
        </w:rPr>
        <w:tab/>
        <w:t xml:space="preserve">2D: two dimensions similar to </w:t>
      </w:r>
      <w:proofErr w:type="gramStart"/>
      <w:r w:rsidRPr="00E13B55">
        <w:rPr>
          <w:lang w:val="en-GB"/>
        </w:rPr>
        <w:t>3D, but</w:t>
      </w:r>
      <w:proofErr w:type="gramEnd"/>
      <w:r w:rsidRPr="00E13B55">
        <w:rPr>
          <w:lang w:val="en-GB"/>
        </w:rPr>
        <w:t xml:space="preserve"> shown in 2D top view.</w:t>
      </w:r>
    </w:p>
    <w:p w14:paraId="3444FB22" w14:textId="77777777" w:rsidR="0013550A" w:rsidRPr="00E13B55" w:rsidRDefault="0013550A" w:rsidP="0013550A">
      <w:pPr>
        <w:pStyle w:val="Heading3"/>
        <w:rPr>
          <w:lang w:val="en-GB"/>
        </w:rPr>
      </w:pPr>
      <w:bookmarkStart w:id="44" w:name="_Toc464650143"/>
      <w:bookmarkStart w:id="45" w:name="_Toc483436720"/>
      <w:bookmarkStart w:id="46" w:name="_Toc10138189"/>
      <w:r w:rsidRPr="00E13B55">
        <w:rPr>
          <w:lang w:val="en-GB"/>
        </w:rPr>
        <w:t>2.2.2</w:t>
      </w:r>
      <w:r w:rsidRPr="00E13B55">
        <w:rPr>
          <w:lang w:val="en-GB"/>
        </w:rPr>
        <w:tab/>
        <w:t>Calculated field-strength around digital TV (DTV) transmitters</w:t>
      </w:r>
      <w:bookmarkEnd w:id="44"/>
      <w:bookmarkEnd w:id="45"/>
      <w:bookmarkEnd w:id="46"/>
    </w:p>
    <w:p w14:paraId="55631BCB" w14:textId="77777777" w:rsidR="0013550A" w:rsidRPr="00E13B55" w:rsidRDefault="0013550A" w:rsidP="0013550A">
      <w:pPr>
        <w:rPr>
          <w:szCs w:val="24"/>
          <w:lang w:val="en-GB"/>
        </w:rPr>
      </w:pPr>
      <w:r w:rsidRPr="00E13B55">
        <w:rPr>
          <w:szCs w:val="24"/>
          <w:lang w:val="en-GB"/>
        </w:rPr>
        <w:t>The following analysis refers to UHF Channel 22 (in Region 1):</w:t>
      </w:r>
    </w:p>
    <w:p w14:paraId="562E2FC8" w14:textId="77777777" w:rsidR="0013550A" w:rsidRPr="00E13B55" w:rsidRDefault="0013550A" w:rsidP="0013550A">
      <w:pPr>
        <w:pStyle w:val="enumlev1"/>
        <w:rPr>
          <w:lang w:val="en-GB"/>
        </w:rPr>
      </w:pPr>
      <w:r w:rsidRPr="00E13B55">
        <w:rPr>
          <w:lang w:val="en-GB"/>
        </w:rPr>
        <w:t>–</w:t>
      </w:r>
      <w:r w:rsidRPr="00E13B55">
        <w:rPr>
          <w:lang w:val="en-GB"/>
        </w:rPr>
        <w:tab/>
        <w:t>478-486 MHz (centre RF 482 MHz),</w:t>
      </w:r>
    </w:p>
    <w:p w14:paraId="44EC0138" w14:textId="77777777" w:rsidR="0013550A" w:rsidRPr="00E13B55" w:rsidRDefault="0013550A" w:rsidP="0013550A">
      <w:pPr>
        <w:pStyle w:val="enumlev1"/>
        <w:rPr>
          <w:lang w:val="en-GB"/>
        </w:rPr>
      </w:pPr>
      <w:r w:rsidRPr="00E13B55">
        <w:rPr>
          <w:lang w:val="en-GB"/>
        </w:rPr>
        <w:t>–</w:t>
      </w:r>
      <w:r w:rsidRPr="00E13B55">
        <w:rPr>
          <w:lang w:val="en-GB"/>
        </w:rPr>
        <w:tab/>
        <w:t>transmitter of 60 000 Watts e.i.r.p.,</w:t>
      </w:r>
    </w:p>
    <w:p w14:paraId="2CF79AF6" w14:textId="77777777" w:rsidR="0013550A" w:rsidRPr="00E13B55" w:rsidRDefault="0013550A" w:rsidP="0013550A">
      <w:pPr>
        <w:pStyle w:val="enumlev1"/>
        <w:rPr>
          <w:lang w:val="en-GB"/>
        </w:rPr>
      </w:pPr>
      <w:r w:rsidRPr="00E13B55">
        <w:rPr>
          <w:lang w:val="en-GB"/>
        </w:rPr>
        <w:t>–</w:t>
      </w:r>
      <w:r w:rsidRPr="00E13B55">
        <w:rPr>
          <w:lang w:val="en-GB"/>
        </w:rPr>
        <w:tab/>
        <w:t>60 m above ground level.</w:t>
      </w:r>
    </w:p>
    <w:p w14:paraId="32008C23" w14:textId="1DF7584C" w:rsidR="0013550A" w:rsidRPr="00E13B55" w:rsidRDefault="0013550A" w:rsidP="0013550A">
      <w:pPr>
        <w:rPr>
          <w:szCs w:val="24"/>
          <w:lang w:val="en-GB"/>
        </w:rPr>
      </w:pPr>
      <w:r w:rsidRPr="00E13B55">
        <w:rPr>
          <w:szCs w:val="24"/>
          <w:lang w:val="en-GB"/>
        </w:rPr>
        <w:t>At 482 MHz the electric field-strength ICNIRP general-public exposure reference-level (see Table</w:t>
      </w:r>
      <w:r w:rsidR="006D16F5" w:rsidRPr="00E13B55">
        <w:rPr>
          <w:szCs w:val="24"/>
          <w:lang w:val="en-GB"/>
        </w:rPr>
        <w:t> </w:t>
      </w:r>
      <w:r w:rsidRPr="00E13B55">
        <w:rPr>
          <w:szCs w:val="24"/>
          <w:lang w:val="en-GB"/>
        </w:rPr>
        <w:t>1) equals 30 V/m: 1.375</w:t>
      </w:r>
      <w:r w:rsidRPr="00E13B55">
        <w:rPr>
          <w:i/>
          <w:iCs/>
          <w:szCs w:val="24"/>
          <w:lang w:val="en-GB"/>
        </w:rPr>
        <w:t>f</w:t>
      </w:r>
      <w:r w:rsidRPr="00E13B55">
        <w:rPr>
          <w:szCs w:val="24"/>
          <w:vertAlign w:val="superscript"/>
          <w:lang w:val="en-GB"/>
        </w:rPr>
        <w:t>1/2</w:t>
      </w:r>
      <w:r w:rsidRPr="00E13B55">
        <w:rPr>
          <w:szCs w:val="24"/>
          <w:lang w:val="en-GB"/>
        </w:rPr>
        <w:t xml:space="preserve"> (MHz) = 1.375 × 482</w:t>
      </w:r>
      <w:r w:rsidRPr="00E13B55">
        <w:rPr>
          <w:szCs w:val="24"/>
          <w:vertAlign w:val="superscript"/>
          <w:lang w:val="en-GB"/>
        </w:rPr>
        <w:t>1/2</w:t>
      </w:r>
      <w:r w:rsidRPr="00E13B55">
        <w:rPr>
          <w:szCs w:val="24"/>
          <w:lang w:val="en-GB"/>
        </w:rPr>
        <w:t xml:space="preserve">. The </w:t>
      </w:r>
      <w:r w:rsidR="00543782" w:rsidRPr="00E13B55">
        <w:rPr>
          <w:szCs w:val="24"/>
          <w:lang w:val="en-GB"/>
        </w:rPr>
        <w:t>field strength</w:t>
      </w:r>
      <w:r w:rsidRPr="00E13B55">
        <w:rPr>
          <w:szCs w:val="24"/>
          <w:lang w:val="en-GB"/>
        </w:rPr>
        <w:t xml:space="preserve"> (V/m) ICNIRP occupational exposure reference-level is 66 V/m:</w:t>
      </w:r>
      <w:r w:rsidRPr="00E13B55">
        <w:rPr>
          <w:color w:val="006600"/>
          <w:szCs w:val="24"/>
          <w:lang w:val="en-GB"/>
        </w:rPr>
        <w:t xml:space="preserve"> </w:t>
      </w:r>
      <w:r w:rsidRPr="00E13B55">
        <w:rPr>
          <w:szCs w:val="24"/>
          <w:lang w:val="en-GB"/>
        </w:rPr>
        <w:t>3</w:t>
      </w:r>
      <w:r w:rsidRPr="00E13B55">
        <w:rPr>
          <w:i/>
          <w:iCs/>
          <w:szCs w:val="24"/>
          <w:lang w:val="en-GB"/>
        </w:rPr>
        <w:t>f</w:t>
      </w:r>
      <w:r w:rsidRPr="00E13B55">
        <w:rPr>
          <w:szCs w:val="24"/>
          <w:vertAlign w:val="superscript"/>
          <w:lang w:val="en-GB"/>
        </w:rPr>
        <w:t>1/2</w:t>
      </w:r>
      <w:r w:rsidRPr="00E13B55">
        <w:rPr>
          <w:szCs w:val="24"/>
          <w:lang w:val="en-GB"/>
        </w:rPr>
        <w:t xml:space="preserve"> (MHz) = 3 × 482</w:t>
      </w:r>
      <w:r w:rsidRPr="00E13B55">
        <w:rPr>
          <w:szCs w:val="24"/>
          <w:vertAlign w:val="superscript"/>
          <w:lang w:val="en-GB"/>
        </w:rPr>
        <w:t>1/2</w:t>
      </w:r>
      <w:r w:rsidRPr="00E13B55">
        <w:rPr>
          <w:szCs w:val="24"/>
          <w:lang w:val="en-GB"/>
        </w:rPr>
        <w:t>.</w:t>
      </w:r>
    </w:p>
    <w:p w14:paraId="5A0CDA1A" w14:textId="77777777" w:rsidR="0013550A" w:rsidRPr="00E13B55" w:rsidRDefault="0013550A" w:rsidP="0013550A">
      <w:pPr>
        <w:rPr>
          <w:lang w:val="en-GB"/>
        </w:rPr>
      </w:pPr>
      <w:r w:rsidRPr="00E13B55">
        <w:rPr>
          <w:lang w:val="en-GB"/>
        </w:rPr>
        <w:t xml:space="preserve">The following </w:t>
      </w:r>
      <w:r w:rsidR="0094260F" w:rsidRPr="00E13B55">
        <w:rPr>
          <w:lang w:val="en-GB"/>
        </w:rPr>
        <w:t>F</w:t>
      </w:r>
      <w:r w:rsidRPr="00E13B55">
        <w:rPr>
          <w:lang w:val="en-GB"/>
        </w:rPr>
        <w:t>igure depicts buildings impacted in 3D view.</w:t>
      </w:r>
    </w:p>
    <w:p w14:paraId="3A180AE9" w14:textId="3F125559" w:rsidR="0013550A" w:rsidRPr="00E13B55" w:rsidRDefault="0013550A" w:rsidP="0013550A">
      <w:pPr>
        <w:pStyle w:val="FigureNo"/>
        <w:rPr>
          <w:lang w:val="en-GB"/>
        </w:rPr>
      </w:pPr>
      <w:bookmarkStart w:id="47" w:name="_Toc485339513"/>
      <w:r w:rsidRPr="00E13B55">
        <w:rPr>
          <w:lang w:val="en-GB"/>
        </w:rPr>
        <w:lastRenderedPageBreak/>
        <w:t xml:space="preserve">FIGURE </w:t>
      </w:r>
      <w:bookmarkEnd w:id="47"/>
      <w:r w:rsidR="00543782" w:rsidRPr="00E13B55">
        <w:rPr>
          <w:lang w:val="en-GB"/>
        </w:rPr>
        <w:t>5</w:t>
      </w:r>
    </w:p>
    <w:p w14:paraId="476762F6" w14:textId="77777777" w:rsidR="0013550A" w:rsidRPr="00E13B55" w:rsidRDefault="0013550A" w:rsidP="0013550A">
      <w:pPr>
        <w:pStyle w:val="Figuretitle"/>
        <w:rPr>
          <w:lang w:val="en-GB"/>
        </w:rPr>
      </w:pPr>
      <w:r w:rsidRPr="00E13B55">
        <w:rPr>
          <w:lang w:val="en-GB"/>
        </w:rPr>
        <w:t>Three dimensions DTV general-public and occupational exposure-contours</w:t>
      </w:r>
    </w:p>
    <w:p w14:paraId="644C5ACC" w14:textId="3F282D63" w:rsidR="0013550A" w:rsidRPr="00E13B55" w:rsidRDefault="009F34EB" w:rsidP="00FD4BC6">
      <w:pPr>
        <w:pStyle w:val="Figure"/>
        <w:rPr>
          <w:lang w:val="en-GB"/>
        </w:rPr>
      </w:pPr>
      <w:r>
        <w:rPr>
          <w:noProof/>
          <w:lang w:val="en-GB"/>
        </w:rPr>
        <w:drawing>
          <wp:inline distT="0" distB="0" distL="0" distR="0" wp14:anchorId="036217F2" wp14:editId="0DF94A87">
            <wp:extent cx="5474219" cy="3035814"/>
            <wp:effectExtent l="0" t="0" r="0" b="0"/>
            <wp:docPr id="5" name="Picture 5" descr="A model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odel of a city&#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74219" cy="3035814"/>
                    </a:xfrm>
                    <a:prstGeom prst="rect">
                      <a:avLst/>
                    </a:prstGeom>
                  </pic:spPr>
                </pic:pic>
              </a:graphicData>
            </a:graphic>
          </wp:inline>
        </w:drawing>
      </w:r>
    </w:p>
    <w:p w14:paraId="60441F5F" w14:textId="77777777" w:rsidR="0013550A" w:rsidRPr="00E13B55" w:rsidRDefault="0013550A" w:rsidP="0013550A">
      <w:pPr>
        <w:pStyle w:val="Heading3"/>
        <w:rPr>
          <w:lang w:val="en-GB"/>
        </w:rPr>
      </w:pPr>
      <w:bookmarkStart w:id="48" w:name="_Toc10138190"/>
      <w:r w:rsidRPr="00E13B55">
        <w:rPr>
          <w:lang w:val="en-GB"/>
        </w:rPr>
        <w:t>2.2.3</w:t>
      </w:r>
      <w:r w:rsidRPr="00E13B55">
        <w:rPr>
          <w:lang w:val="en-GB"/>
        </w:rPr>
        <w:tab/>
        <w:t>Calculated field-strength around land mobile transmitters</w:t>
      </w:r>
      <w:bookmarkEnd w:id="48"/>
    </w:p>
    <w:p w14:paraId="3074627E" w14:textId="750FAAE5" w:rsidR="0013550A" w:rsidRPr="00E13B55" w:rsidRDefault="0013550A" w:rsidP="0013550A">
      <w:pPr>
        <w:rPr>
          <w:lang w:val="en-GB"/>
        </w:rPr>
      </w:pPr>
      <w:bookmarkStart w:id="49" w:name="_Toc462690336"/>
      <w:bookmarkStart w:id="50" w:name="_Toc462690501"/>
      <w:bookmarkStart w:id="51" w:name="_Toc464650144"/>
      <w:bookmarkEnd w:id="49"/>
      <w:bookmarkEnd w:id="50"/>
      <w:r w:rsidRPr="00E13B55">
        <w:rPr>
          <w:lang w:val="en-GB"/>
        </w:rPr>
        <w:t xml:space="preserve">The following </w:t>
      </w:r>
      <w:r w:rsidR="00746057" w:rsidRPr="00E13B55">
        <w:rPr>
          <w:lang w:val="en-GB"/>
        </w:rPr>
        <w:t xml:space="preserve">figures </w:t>
      </w:r>
      <w:r w:rsidRPr="00E13B55">
        <w:rPr>
          <w:lang w:val="en-GB"/>
        </w:rPr>
        <w:t>refer only to the downlink signals: from base stations to the mobile device. In general, the cellular patterns may be non-directive in Azimuth, or sectorial (such as three 12</w:t>
      </w:r>
      <w:r w:rsidR="00B53337" w:rsidRPr="00E13B55">
        <w:rPr>
          <w:lang w:val="en-GB"/>
        </w:rPr>
        <w:t>0</w:t>
      </w:r>
      <w:r w:rsidR="006D16F5" w:rsidRPr="00E13B55">
        <w:rPr>
          <w:lang w:val="en-GB"/>
        </w:rPr>
        <w:t> </w:t>
      </w:r>
      <w:r w:rsidR="00B53337" w:rsidRPr="00E13B55">
        <w:rPr>
          <w:lang w:val="en-GB"/>
        </w:rPr>
        <w:t>degrees</w:t>
      </w:r>
      <w:r w:rsidRPr="00E13B55">
        <w:rPr>
          <w:lang w:val="en-GB"/>
        </w:rPr>
        <w:t xml:space="preserve"> sectors).</w:t>
      </w:r>
    </w:p>
    <w:p w14:paraId="7BF35396" w14:textId="77777777" w:rsidR="0013550A" w:rsidRPr="00E13B55" w:rsidRDefault="0013550A" w:rsidP="0013550A">
      <w:pPr>
        <w:pStyle w:val="Heading4"/>
        <w:rPr>
          <w:lang w:val="en-GB"/>
        </w:rPr>
      </w:pPr>
      <w:r w:rsidRPr="00E13B55">
        <w:rPr>
          <w:lang w:val="en-GB"/>
        </w:rPr>
        <w:t>2.2.3.1</w:t>
      </w:r>
      <w:r w:rsidRPr="00E13B55">
        <w:rPr>
          <w:lang w:val="en-GB"/>
        </w:rPr>
        <w:tab/>
        <w:t>Field-strength around cellular transmitters</w:t>
      </w:r>
      <w:bookmarkEnd w:id="51"/>
    </w:p>
    <w:p w14:paraId="40DA9D33" w14:textId="77777777" w:rsidR="0013550A" w:rsidRPr="00E13B55" w:rsidRDefault="0013550A" w:rsidP="0013550A">
      <w:pPr>
        <w:rPr>
          <w:lang w:val="en-GB" w:eastAsia="ko-KR"/>
        </w:rPr>
      </w:pPr>
      <w:r w:rsidRPr="00E13B55">
        <w:rPr>
          <w:lang w:val="en-GB" w:eastAsia="ko-KR"/>
        </w:rPr>
        <w:t xml:space="preserve">At 900 MHz, 30 metres above the roof, for maximum downlink power of 100 W and antenna gain (including losses) 17 </w:t>
      </w:r>
      <w:proofErr w:type="spellStart"/>
      <w:r w:rsidRPr="00E13B55">
        <w:rPr>
          <w:lang w:val="en-GB" w:eastAsia="ko-KR"/>
        </w:rPr>
        <w:t>dBi</w:t>
      </w:r>
      <w:proofErr w:type="spellEnd"/>
      <w:r w:rsidRPr="00E13B55">
        <w:rPr>
          <w:lang w:val="en-GB" w:eastAsia="ko-KR"/>
        </w:rPr>
        <w:t xml:space="preserve">, </w:t>
      </w:r>
      <w:r w:rsidRPr="00E13B55">
        <w:rPr>
          <w:lang w:val="en-GB"/>
        </w:rPr>
        <w:t>e.i.r.p.</w:t>
      </w:r>
      <w:r w:rsidRPr="00E13B55">
        <w:rPr>
          <w:lang w:val="en-GB" w:eastAsia="ko-KR"/>
        </w:rPr>
        <w:t xml:space="preserve"> is 5 kW, the receiver 1.5 m AGL.</w:t>
      </w:r>
    </w:p>
    <w:p w14:paraId="1DCD832C" w14:textId="482A50C9" w:rsidR="0013550A" w:rsidRPr="00E13B55" w:rsidRDefault="0013550A" w:rsidP="0013550A">
      <w:pPr>
        <w:rPr>
          <w:lang w:val="en-GB"/>
        </w:rPr>
      </w:pPr>
      <w:r w:rsidRPr="00E13B55">
        <w:rPr>
          <w:lang w:val="en-GB" w:eastAsia="ko-KR"/>
        </w:rPr>
        <w:t>The ICNIRP general-public reference-level is 41 (1.375</w:t>
      </w:r>
      <w:r w:rsidRPr="00E13B55">
        <w:rPr>
          <w:i/>
          <w:lang w:val="en-GB" w:eastAsia="ko-KR"/>
        </w:rPr>
        <w:t>f</w:t>
      </w:r>
      <w:r w:rsidRPr="00E13B55">
        <w:rPr>
          <w:lang w:val="en-GB" w:eastAsia="ko-KR"/>
        </w:rPr>
        <w:t> </w:t>
      </w:r>
      <w:r w:rsidRPr="00E13B55">
        <w:rPr>
          <w:vertAlign w:val="superscript"/>
          <w:lang w:val="en-GB" w:eastAsia="ko-KR"/>
        </w:rPr>
        <w:t>1/2</w:t>
      </w:r>
      <w:r w:rsidRPr="00E13B55">
        <w:rPr>
          <w:lang w:val="en-GB" w:eastAsia="ko-KR"/>
        </w:rPr>
        <w:t xml:space="preserve"> = 1.375 × 30) V/m and the occupational reference-level is 90 V/M: </w:t>
      </w:r>
      <w:r w:rsidRPr="00E13B55">
        <w:rPr>
          <w:lang w:val="en-GB"/>
        </w:rPr>
        <w:t>3</w:t>
      </w:r>
      <w:r w:rsidRPr="00E13B55">
        <w:rPr>
          <w:i/>
          <w:iCs/>
          <w:lang w:val="en-GB"/>
        </w:rPr>
        <w:t>f</w:t>
      </w:r>
      <w:r w:rsidRPr="00E13B55">
        <w:rPr>
          <w:lang w:val="en-GB"/>
        </w:rPr>
        <w:t xml:space="preserve"> </w:t>
      </w:r>
      <w:r w:rsidRPr="00E13B55">
        <w:rPr>
          <w:vertAlign w:val="superscript"/>
          <w:lang w:val="en-GB"/>
        </w:rPr>
        <w:t>1/2</w:t>
      </w:r>
      <w:r w:rsidRPr="00E13B55">
        <w:rPr>
          <w:lang w:val="en-GB"/>
        </w:rPr>
        <w:t xml:space="preserve"> (MHz); the </w:t>
      </w:r>
      <w:r w:rsidR="005660E5" w:rsidRPr="00E13B55">
        <w:rPr>
          <w:lang w:val="en-GB"/>
        </w:rPr>
        <w:t>field strength</w:t>
      </w:r>
      <w:r w:rsidRPr="00E13B55">
        <w:rPr>
          <w:lang w:val="en-GB"/>
        </w:rPr>
        <w:t xml:space="preserve"> scales are 1, 5, 10, 20, 41 (</w:t>
      </w:r>
      <w:r w:rsidRPr="00E13B55">
        <w:rPr>
          <w:lang w:val="en-GB" w:eastAsia="ko-KR"/>
        </w:rPr>
        <w:t>general-public</w:t>
      </w:r>
      <w:r w:rsidRPr="00E13B55">
        <w:rPr>
          <w:lang w:val="en-GB"/>
        </w:rPr>
        <w:t>) and 90</w:t>
      </w:r>
      <w:r w:rsidR="00475483" w:rsidRPr="00E13B55">
        <w:rPr>
          <w:lang w:val="en-GB"/>
        </w:rPr>
        <w:t> </w:t>
      </w:r>
      <w:r w:rsidRPr="00E13B55">
        <w:rPr>
          <w:lang w:val="en-GB"/>
        </w:rPr>
        <w:t>(</w:t>
      </w:r>
      <w:r w:rsidRPr="00E13B55">
        <w:rPr>
          <w:lang w:val="en-GB" w:eastAsia="ko-KR"/>
        </w:rPr>
        <w:t>occupational</w:t>
      </w:r>
      <w:r w:rsidRPr="00E13B55">
        <w:rPr>
          <w:lang w:val="en-GB"/>
        </w:rPr>
        <w:t>) V/m.</w:t>
      </w:r>
    </w:p>
    <w:p w14:paraId="702DFA0F" w14:textId="4D0C6EF1" w:rsidR="0013550A" w:rsidRPr="00E13B55" w:rsidRDefault="0013550A" w:rsidP="0013550A">
      <w:pPr>
        <w:rPr>
          <w:lang w:val="en-GB" w:eastAsia="ko-KR"/>
        </w:rPr>
      </w:pPr>
      <w:r w:rsidRPr="00E13B55">
        <w:rPr>
          <w:lang w:val="en-GB"/>
        </w:rPr>
        <w:t xml:space="preserve">Figure </w:t>
      </w:r>
      <w:r w:rsidR="005660E5" w:rsidRPr="00E13B55">
        <w:rPr>
          <w:lang w:val="en-GB"/>
        </w:rPr>
        <w:t>6</w:t>
      </w:r>
      <w:r w:rsidRPr="00E13B55">
        <w:rPr>
          <w:lang w:val="en-GB"/>
        </w:rPr>
        <w:t xml:space="preserve"> depicts the buildings impacted.</w:t>
      </w:r>
    </w:p>
    <w:p w14:paraId="2EDF11CE" w14:textId="57057627" w:rsidR="0013550A" w:rsidRPr="00E13B55" w:rsidRDefault="0013550A" w:rsidP="0013550A">
      <w:pPr>
        <w:pStyle w:val="FigureNo"/>
        <w:rPr>
          <w:lang w:val="en-GB"/>
        </w:rPr>
      </w:pPr>
      <w:bookmarkStart w:id="52" w:name="_Toc485339516"/>
      <w:r w:rsidRPr="00E13B55">
        <w:rPr>
          <w:lang w:val="en-GB"/>
        </w:rPr>
        <w:lastRenderedPageBreak/>
        <w:t xml:space="preserve">FIGURE </w:t>
      </w:r>
      <w:bookmarkEnd w:id="52"/>
      <w:r w:rsidR="005660E5" w:rsidRPr="00E13B55">
        <w:rPr>
          <w:lang w:val="en-GB"/>
        </w:rPr>
        <w:t>6</w:t>
      </w:r>
    </w:p>
    <w:p w14:paraId="3EBAC528" w14:textId="77777777" w:rsidR="0013550A" w:rsidRPr="00E13B55" w:rsidRDefault="0013550A" w:rsidP="0013550A">
      <w:pPr>
        <w:pStyle w:val="Figuretitle"/>
        <w:rPr>
          <w:lang w:val="en-GB"/>
        </w:rPr>
      </w:pPr>
      <w:r w:rsidRPr="00E13B55">
        <w:rPr>
          <w:lang w:val="en-GB"/>
        </w:rPr>
        <w:t>Two dimensions satellite view of cellular exposure</w:t>
      </w:r>
      <w:r w:rsidR="00DF42EF" w:rsidRPr="00E13B55">
        <w:rPr>
          <w:lang w:val="en-GB"/>
        </w:rPr>
        <w:t xml:space="preserve"> </w:t>
      </w:r>
      <w:r w:rsidRPr="00E13B55">
        <w:rPr>
          <w:lang w:val="en-GB"/>
        </w:rPr>
        <w:t>distances</w:t>
      </w:r>
    </w:p>
    <w:p w14:paraId="1E2A67A6" w14:textId="0160C14D" w:rsidR="0013550A" w:rsidRPr="00E13B55" w:rsidRDefault="009F34EB" w:rsidP="0013550A">
      <w:pPr>
        <w:pStyle w:val="Figure"/>
        <w:rPr>
          <w:lang w:val="en-GB"/>
        </w:rPr>
      </w:pPr>
      <w:r>
        <w:rPr>
          <w:noProof/>
          <w:lang w:val="en-GB"/>
        </w:rPr>
        <w:drawing>
          <wp:inline distT="0" distB="0" distL="0" distR="0" wp14:anchorId="77E44B76" wp14:editId="62932F94">
            <wp:extent cx="5474219" cy="3105918"/>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4219" cy="3105918"/>
                    </a:xfrm>
                    <a:prstGeom prst="rect">
                      <a:avLst/>
                    </a:prstGeom>
                  </pic:spPr>
                </pic:pic>
              </a:graphicData>
            </a:graphic>
          </wp:inline>
        </w:drawing>
      </w:r>
    </w:p>
    <w:p w14:paraId="5BD71628" w14:textId="77777777" w:rsidR="0013550A" w:rsidRPr="00E13B55" w:rsidRDefault="0013550A" w:rsidP="0013550A">
      <w:pPr>
        <w:pStyle w:val="Heading1"/>
        <w:rPr>
          <w:lang w:val="en-GB"/>
        </w:rPr>
      </w:pPr>
      <w:bookmarkStart w:id="53" w:name="_Toc514256068"/>
      <w:bookmarkStart w:id="54" w:name="_Toc10138191"/>
      <w:bookmarkStart w:id="55" w:name="_Toc112657090"/>
      <w:r w:rsidRPr="00E13B55">
        <w:rPr>
          <w:lang w:val="en-GB"/>
        </w:rPr>
        <w:t>3</w:t>
      </w:r>
      <w:r w:rsidRPr="00E13B55">
        <w:rPr>
          <w:lang w:val="en-GB"/>
        </w:rPr>
        <w:tab/>
        <w:t>A practical guide for EMF measurements to assess human exposure</w:t>
      </w:r>
      <w:bookmarkEnd w:id="53"/>
      <w:bookmarkEnd w:id="54"/>
      <w:bookmarkEnd w:id="55"/>
    </w:p>
    <w:p w14:paraId="6579E7FA" w14:textId="77777777" w:rsidR="0013550A" w:rsidRPr="00E13B55" w:rsidRDefault="0013550A" w:rsidP="0013550A">
      <w:pPr>
        <w:pStyle w:val="Heading2"/>
        <w:rPr>
          <w:lang w:val="en-GB"/>
        </w:rPr>
      </w:pPr>
      <w:bookmarkStart w:id="56" w:name="_Toc514256069"/>
      <w:bookmarkStart w:id="57" w:name="_Toc10138192"/>
      <w:bookmarkStart w:id="58" w:name="_Toc112657091"/>
      <w:r w:rsidRPr="00E13B55">
        <w:rPr>
          <w:lang w:val="en-GB"/>
        </w:rPr>
        <w:t>3.1</w:t>
      </w:r>
      <w:r w:rsidRPr="00E13B55">
        <w:rPr>
          <w:lang w:val="en-GB"/>
        </w:rPr>
        <w:tab/>
        <w:t>Basic knowledge for a successful EMF assessment measurement process</w:t>
      </w:r>
      <w:bookmarkEnd w:id="56"/>
      <w:bookmarkEnd w:id="57"/>
      <w:bookmarkEnd w:id="58"/>
    </w:p>
    <w:p w14:paraId="705DE1C7" w14:textId="77777777" w:rsidR="00490FFA" w:rsidRPr="00E13B55" w:rsidRDefault="00490FFA" w:rsidP="00490FFA">
      <w:pPr>
        <w:rPr>
          <w:lang w:val="en-GB"/>
        </w:rPr>
      </w:pPr>
      <w:bookmarkStart w:id="59" w:name="_Toc10138193"/>
      <w:bookmarkStart w:id="60" w:name="_Toc514256070"/>
      <w:r w:rsidRPr="00E13B55">
        <w:rPr>
          <w:lang w:val="en-GB"/>
        </w:rPr>
        <w:t xml:space="preserve">Current guidelines provide limits for the effects of electrostimulation and thermal heating. At frequencies below 100 kHz, the main effect is described by the induction law and </w:t>
      </w:r>
      <w:proofErr w:type="spellStart"/>
      <w:r w:rsidRPr="00E13B55">
        <w:rPr>
          <w:lang w:val="en-GB"/>
        </w:rPr>
        <w:t>Lapicque’s</w:t>
      </w:r>
      <w:proofErr w:type="spellEnd"/>
      <w:r w:rsidRPr="00E13B55">
        <w:rPr>
          <w:lang w:val="en-GB"/>
        </w:rPr>
        <w:t xml:space="preserve"> law for electrostimulation. At frequencies above 10 MHz the main effect is the thermal effect. In the frequency range between 100 kHz and 10 MHz both effects can occur. Note that both effects </w:t>
      </w:r>
      <w:proofErr w:type="gramStart"/>
      <w:r w:rsidRPr="00E13B55">
        <w:rPr>
          <w:lang w:val="en-GB"/>
        </w:rPr>
        <w:t>have to</w:t>
      </w:r>
      <w:proofErr w:type="gramEnd"/>
      <w:r w:rsidRPr="00E13B55">
        <w:rPr>
          <w:lang w:val="en-GB"/>
        </w:rPr>
        <w:t xml:space="preserve"> be assessed separately because they do not aggregate, and their assessment methods are completely different.</w:t>
      </w:r>
    </w:p>
    <w:p w14:paraId="5CAB8DD8" w14:textId="77777777" w:rsidR="00490FFA" w:rsidRPr="00E13B55" w:rsidRDefault="00490FFA" w:rsidP="00490FFA">
      <w:pPr>
        <w:rPr>
          <w:lang w:val="en-GB"/>
        </w:rPr>
      </w:pPr>
      <w:r w:rsidRPr="00E13B55">
        <w:rPr>
          <w:lang w:val="en-GB"/>
        </w:rPr>
        <w:t xml:space="preserve">The appropriate assessment method for electrostimulation effects is called the weighted peak method and is described in the ICNIRP 2010 Guidelines. Only highly specialized EMF measurement systems have implemented this assessment method yet. Common spectrum analysers are not suitable for the assessment of the electrostimulation effect. Note that the ICNIRP Guidelines from 2020 supersede the ICNIRP 2010 Guidelines in the frequency range above 100 kHz. However, the electrostimulation effects above 100 kHz are covered now in Table 8 of the ICNIRP 2020 Guidelines. </w:t>
      </w:r>
    </w:p>
    <w:p w14:paraId="3C6D8FBB" w14:textId="77777777" w:rsidR="00490FFA" w:rsidRPr="00E13B55" w:rsidRDefault="00490FFA" w:rsidP="00490FFA">
      <w:pPr>
        <w:rPr>
          <w:lang w:val="en-GB"/>
        </w:rPr>
      </w:pPr>
      <w:r w:rsidRPr="00E13B55">
        <w:rPr>
          <w:lang w:val="en-GB"/>
        </w:rPr>
        <w:t xml:space="preserve">The assessment method for the exposure due to the thermal effect of external electromagnetic fields is described by equations (3), (4) and (7) of the ICNIRP 2020 Guidelines. These equations refer to the squared RMS (root mean square) value of the weighted external electric and magnetic field strength or to the weighted external power density and external energy density. The result is a normalized exposure value. Exposure values up to unity are permissible. The frequency response of the weighting filter is the reciprocal of the reference levels, which vary with frequency. </w:t>
      </w:r>
    </w:p>
    <w:p w14:paraId="522FC0DD" w14:textId="77777777" w:rsidR="00490FFA" w:rsidRPr="00E13B55" w:rsidRDefault="00490FFA" w:rsidP="00490FFA">
      <w:pPr>
        <w:rPr>
          <w:lang w:val="en-GB"/>
        </w:rPr>
      </w:pPr>
      <w:r w:rsidRPr="00E13B55">
        <w:rPr>
          <w:lang w:val="en-GB"/>
        </w:rPr>
        <w:t xml:space="preserve">The integration time of the RMS detector can be as high as 30 minutes for the whole-body exposure covered by equation (3). Note that shorter integration times may be used, but they may lead to an overestimation of the actual exposure. If the level fluctuations of the assessed field are fast, compared to the actual integration time, an overestimation will not occur. </w:t>
      </w:r>
    </w:p>
    <w:p w14:paraId="0D06C684" w14:textId="77777777" w:rsidR="00490FFA" w:rsidRPr="00E13B55" w:rsidRDefault="00490FFA" w:rsidP="00490FFA">
      <w:pPr>
        <w:rPr>
          <w:lang w:val="en-GB"/>
        </w:rPr>
      </w:pPr>
      <w:r w:rsidRPr="00E13B55">
        <w:rPr>
          <w:lang w:val="en-GB"/>
        </w:rPr>
        <w:lastRenderedPageBreak/>
        <w:t xml:space="preserve">For the local exposure covered by equation (4) the averaging time is defined as 6 minutes. Note that in the frequency range from 100 kHz to 30 MHz the field strength reference levels for equation (4) are the square root of 5 times higher compared to the reference levels for equation (3). In the frequency range from 30 MHz to 400 MHz the power density reference levels for equation (4) are 5 times higher compared to the reference levels for equation (3). Between 400 MHz and 2 GHz the ratio of the power density reference levels decreases from 5 to 4. Between 2 GHz and 6 GHz the ratio of the power density reference levels is 4. Between 6 GHz and 300 GHz the ratio of the power density reference levels decreases from 4 to 2. </w:t>
      </w:r>
    </w:p>
    <w:p w14:paraId="57FA5C77" w14:textId="77777777" w:rsidR="00490FFA" w:rsidRPr="00E13B55" w:rsidRDefault="00490FFA" w:rsidP="00490FFA">
      <w:pPr>
        <w:rPr>
          <w:lang w:val="en-GB"/>
        </w:rPr>
      </w:pPr>
      <w:r w:rsidRPr="00E13B55">
        <w:rPr>
          <w:lang w:val="en-GB"/>
        </w:rPr>
        <w:t xml:space="preserve">Local exposure with averaging times smaller than 6 minutes is defined by the permitted energy density and covered by equation (7). Below 400 MHz the permitted energy density is constant over the averaging time. Above 400 MHz the permitted energy density decreases with the square root of the averaging time until it reaches a value of 0.05 times the permitted energy density for 6 minutes averaging time. Note that for an averaging time of 6 minutes the permitted energy density for equation (7) is identical with the permitted power density for equation (4) multiplied by 6 minutes. </w:t>
      </w:r>
    </w:p>
    <w:p w14:paraId="3ABA2902" w14:textId="77777777" w:rsidR="00490FFA" w:rsidRPr="00E13B55" w:rsidRDefault="00490FFA" w:rsidP="00490FFA">
      <w:pPr>
        <w:rPr>
          <w:lang w:val="en-GB"/>
        </w:rPr>
      </w:pPr>
      <w:r w:rsidRPr="00E13B55">
        <w:rPr>
          <w:lang w:val="en-GB"/>
        </w:rPr>
        <w:t xml:space="preserve">In practice it will be difficult to assess the exposure with equations (3), (4) and (7) separately. It is possible to simplify the assessment with a modified equation (4), if a potential overestimation of the exposure is accepted. </w:t>
      </w:r>
    </w:p>
    <w:p w14:paraId="12C3FB29" w14:textId="77777777" w:rsidR="00490FFA" w:rsidRPr="00E13B55" w:rsidRDefault="00490FFA" w:rsidP="00490FFA">
      <w:pPr>
        <w:rPr>
          <w:lang w:val="en-GB"/>
        </w:rPr>
      </w:pPr>
      <w:r w:rsidRPr="00E13B55">
        <w:rPr>
          <w:lang w:val="en-GB"/>
        </w:rPr>
        <w:t xml:space="preserve">If the local exposure is assessed with equation (4) but using the </w:t>
      </w:r>
      <w:proofErr w:type="gramStart"/>
      <w:r w:rsidRPr="00E13B55">
        <w:rPr>
          <w:lang w:val="en-GB"/>
        </w:rPr>
        <w:t>whole body</w:t>
      </w:r>
      <w:proofErr w:type="gramEnd"/>
      <w:r w:rsidRPr="00E13B55">
        <w:rPr>
          <w:lang w:val="en-GB"/>
        </w:rPr>
        <w:t xml:space="preserve"> reference levels of equation (3), the assessed exposure index will be higher than the exposure indices of the equation (3) and the original equation (4). The ratio of the exposure index of modified equation (4) to the original equation (4) depends on frequency and is 5, for frequencies below 400 MHz, 4 from </w:t>
      </w:r>
      <w:r w:rsidRPr="00E13B55">
        <w:rPr>
          <w:sz w:val="22"/>
          <w:lang w:val="en-GB"/>
        </w:rPr>
        <w:t>2 GHz</w:t>
      </w:r>
      <w:r w:rsidRPr="00E13B55">
        <w:rPr>
          <w:lang w:val="en-GB"/>
        </w:rPr>
        <w:t xml:space="preserve"> to 6 GHz and 2 for 300 GHz. The ratio of the exposure index of modified equation (4) to equation (3) is greater than unity and is due to the 5 times lower averaging time and the search of local maxima instead of spatial averaging over the volume a virtual human body. </w:t>
      </w:r>
    </w:p>
    <w:p w14:paraId="038707AD" w14:textId="77777777" w:rsidR="00490FFA" w:rsidRPr="00E13B55" w:rsidRDefault="00490FFA" w:rsidP="00490FFA">
      <w:pPr>
        <w:rPr>
          <w:lang w:val="en-GB"/>
        </w:rPr>
      </w:pPr>
      <w:r w:rsidRPr="00E13B55">
        <w:rPr>
          <w:lang w:val="en-GB"/>
        </w:rPr>
        <w:t xml:space="preserve">If an averaging time lower than 6 minutes is used in the modified equation (4), it is also possible to overestimate equation (7). The minimum permitted energy density limit of equation (7) is achieved if the original equation (4) and an averaging time of 6 minutes times 0.05 which equals 18s is used. If equation (4) with the lower whole body reference levels is </w:t>
      </w:r>
      <w:proofErr w:type="gramStart"/>
      <w:r w:rsidRPr="00E13B55">
        <w:rPr>
          <w:lang w:val="en-GB"/>
        </w:rPr>
        <w:t>used</w:t>
      </w:r>
      <w:proofErr w:type="gramEnd"/>
      <w:r w:rsidRPr="00E13B55">
        <w:rPr>
          <w:lang w:val="en-GB"/>
        </w:rPr>
        <w:t xml:space="preserve"> then the permitted averaging time are higher and we obtain the maximum permitted averaging time of Table 2. </w:t>
      </w:r>
    </w:p>
    <w:p w14:paraId="6E3E18AA" w14:textId="77777777" w:rsidR="00490FFA" w:rsidRPr="00E13B55" w:rsidRDefault="00490FFA" w:rsidP="00490FFA">
      <w:pPr>
        <w:rPr>
          <w:lang w:val="en-GB"/>
        </w:rPr>
      </w:pPr>
      <w:r w:rsidRPr="00E13B55">
        <w:rPr>
          <w:lang w:val="en-GB"/>
        </w:rPr>
        <w:t>The simplified assessment method can now be described briefly: use equation (4) of the ICNIRP 2020 Guidelines, but with the reference levels for the whole-body exposure and the maximum permitted averaging times shown in the following Table. Find the local maxima of the exposure and do not use spatial averaging.</w:t>
      </w:r>
    </w:p>
    <w:p w14:paraId="5F452106" w14:textId="77777777" w:rsidR="00490FFA" w:rsidRPr="00E13B55" w:rsidRDefault="00490FFA" w:rsidP="00490FFA">
      <w:pPr>
        <w:pStyle w:val="TableNo"/>
        <w:rPr>
          <w:lang w:val="en-GB"/>
        </w:rPr>
      </w:pPr>
      <w:bookmarkStart w:id="61" w:name="_Ref72187120"/>
      <w:r w:rsidRPr="00E13B55">
        <w:rPr>
          <w:lang w:val="en-GB"/>
        </w:rPr>
        <w:t xml:space="preserve">TABLE </w:t>
      </w:r>
      <w:bookmarkEnd w:id="61"/>
      <w:r w:rsidRPr="00E13B55">
        <w:rPr>
          <w:lang w:val="en-GB"/>
        </w:rPr>
        <w:t>2</w:t>
      </w:r>
    </w:p>
    <w:p w14:paraId="7A10D957" w14:textId="77777777" w:rsidR="00490FFA" w:rsidRPr="00E13B55" w:rsidRDefault="00490FFA" w:rsidP="00490FFA">
      <w:pPr>
        <w:pStyle w:val="Tabletitle"/>
        <w:rPr>
          <w:lang w:val="en-GB"/>
        </w:rPr>
      </w:pPr>
      <w:r w:rsidRPr="00E13B55">
        <w:rPr>
          <w:lang w:val="en-GB"/>
        </w:rPr>
        <w:t>The maximum permitted averaging time for the simplified assessment method</w:t>
      </w:r>
    </w:p>
    <w:tbl>
      <w:tblPr>
        <w:tblStyle w:val="TableGrid"/>
        <w:tblW w:w="0" w:type="auto"/>
        <w:jc w:val="center"/>
        <w:tblLook w:val="04A0" w:firstRow="1" w:lastRow="0" w:firstColumn="1" w:lastColumn="0" w:noHBand="0" w:noVBand="1"/>
      </w:tblPr>
      <w:tblGrid>
        <w:gridCol w:w="3969"/>
        <w:gridCol w:w="3969"/>
      </w:tblGrid>
      <w:tr w:rsidR="00490FFA" w:rsidRPr="00E13B55" w14:paraId="31FA416B" w14:textId="77777777" w:rsidTr="005A47C7">
        <w:trPr>
          <w:jc w:val="center"/>
        </w:trPr>
        <w:tc>
          <w:tcPr>
            <w:tcW w:w="3969" w:type="dxa"/>
            <w:tcBorders>
              <w:top w:val="single" w:sz="4" w:space="0" w:color="auto"/>
              <w:left w:val="single" w:sz="4" w:space="0" w:color="auto"/>
              <w:bottom w:val="single" w:sz="4" w:space="0" w:color="auto"/>
              <w:right w:val="single" w:sz="4" w:space="0" w:color="auto"/>
            </w:tcBorders>
            <w:hideMark/>
          </w:tcPr>
          <w:p w14:paraId="736EC99A" w14:textId="77777777" w:rsidR="00490FFA" w:rsidRPr="00E13B55" w:rsidRDefault="00490FFA" w:rsidP="00146A88">
            <w:pPr>
              <w:pStyle w:val="Tablehead"/>
              <w:rPr>
                <w:lang w:val="en-GB" w:eastAsia="zh-CN"/>
              </w:rPr>
            </w:pPr>
            <w:r w:rsidRPr="00E13B55">
              <w:rPr>
                <w:lang w:val="en-GB" w:eastAsia="zh-CN"/>
              </w:rPr>
              <w:t>Frequency range</w:t>
            </w:r>
          </w:p>
        </w:tc>
        <w:tc>
          <w:tcPr>
            <w:tcW w:w="3969" w:type="dxa"/>
            <w:tcBorders>
              <w:top w:val="single" w:sz="4" w:space="0" w:color="auto"/>
              <w:left w:val="single" w:sz="4" w:space="0" w:color="auto"/>
              <w:bottom w:val="single" w:sz="4" w:space="0" w:color="auto"/>
              <w:right w:val="single" w:sz="4" w:space="0" w:color="auto"/>
            </w:tcBorders>
            <w:hideMark/>
          </w:tcPr>
          <w:p w14:paraId="7C390178" w14:textId="77777777" w:rsidR="00490FFA" w:rsidRPr="00E13B55" w:rsidRDefault="00490FFA" w:rsidP="00146A88">
            <w:pPr>
              <w:pStyle w:val="Tablehead"/>
              <w:rPr>
                <w:lang w:val="en-GB" w:eastAsia="zh-CN"/>
              </w:rPr>
            </w:pPr>
            <w:r w:rsidRPr="00E13B55">
              <w:rPr>
                <w:lang w:val="en-GB" w:eastAsia="zh-CN"/>
              </w:rPr>
              <w:t>Maximum permitted averaging time</w:t>
            </w:r>
          </w:p>
        </w:tc>
      </w:tr>
      <w:tr w:rsidR="00490FFA" w:rsidRPr="00E13B55" w14:paraId="0ED90237" w14:textId="77777777" w:rsidTr="005A47C7">
        <w:trPr>
          <w:jc w:val="center"/>
        </w:trPr>
        <w:tc>
          <w:tcPr>
            <w:tcW w:w="3969" w:type="dxa"/>
            <w:tcBorders>
              <w:top w:val="single" w:sz="4" w:space="0" w:color="auto"/>
              <w:left w:val="single" w:sz="4" w:space="0" w:color="auto"/>
              <w:bottom w:val="single" w:sz="4" w:space="0" w:color="auto"/>
              <w:right w:val="single" w:sz="4" w:space="0" w:color="auto"/>
            </w:tcBorders>
            <w:hideMark/>
          </w:tcPr>
          <w:p w14:paraId="68AC8434" w14:textId="4968AAD2" w:rsidR="00490FFA" w:rsidRPr="00E13B55" w:rsidRDefault="00490FFA" w:rsidP="005A47C7">
            <w:pPr>
              <w:pStyle w:val="Tabletext"/>
              <w:spacing w:before="80" w:after="80"/>
              <w:jc w:val="left"/>
              <w:rPr>
                <w:b/>
                <w:i/>
                <w:lang w:val="en-GB" w:eastAsia="zh-CN"/>
              </w:rPr>
            </w:pPr>
            <w:r w:rsidRPr="00E13B55">
              <w:rPr>
                <w:lang w:val="en-GB" w:eastAsia="zh-CN"/>
              </w:rPr>
              <w:t>0.1</w:t>
            </w:r>
            <w:r w:rsidR="00910348" w:rsidRPr="00E13B55">
              <w:rPr>
                <w:lang w:val="en-GB" w:eastAsia="zh-CN"/>
              </w:rPr>
              <w:t>-</w:t>
            </w:r>
            <w:r w:rsidRPr="00E13B55">
              <w:rPr>
                <w:lang w:val="en-GB" w:eastAsia="zh-CN"/>
              </w:rPr>
              <w:t>400 MHz</w:t>
            </w:r>
          </w:p>
        </w:tc>
        <w:tc>
          <w:tcPr>
            <w:tcW w:w="3969" w:type="dxa"/>
            <w:tcBorders>
              <w:top w:val="single" w:sz="4" w:space="0" w:color="auto"/>
              <w:left w:val="single" w:sz="4" w:space="0" w:color="auto"/>
              <w:bottom w:val="single" w:sz="4" w:space="0" w:color="auto"/>
              <w:right w:val="single" w:sz="4" w:space="0" w:color="auto"/>
            </w:tcBorders>
            <w:hideMark/>
          </w:tcPr>
          <w:p w14:paraId="3D58B308" w14:textId="77777777" w:rsidR="00490FFA" w:rsidRPr="00E13B55" w:rsidRDefault="00490FFA" w:rsidP="00146A88">
            <w:pPr>
              <w:pStyle w:val="Tabletext"/>
              <w:spacing w:before="80" w:after="80"/>
              <w:jc w:val="center"/>
              <w:rPr>
                <w:lang w:val="en-GB" w:eastAsia="zh-CN"/>
              </w:rPr>
            </w:pPr>
            <w:r w:rsidRPr="00E13B55">
              <w:rPr>
                <w:lang w:val="en-GB" w:eastAsia="zh-CN"/>
              </w:rPr>
              <w:t>360 s</w:t>
            </w:r>
          </w:p>
        </w:tc>
      </w:tr>
      <w:tr w:rsidR="00490FFA" w:rsidRPr="00E13B55" w14:paraId="6E8386E1" w14:textId="77777777" w:rsidTr="005A47C7">
        <w:trPr>
          <w:jc w:val="center"/>
        </w:trPr>
        <w:tc>
          <w:tcPr>
            <w:tcW w:w="3969" w:type="dxa"/>
            <w:tcBorders>
              <w:top w:val="single" w:sz="4" w:space="0" w:color="auto"/>
              <w:left w:val="single" w:sz="4" w:space="0" w:color="auto"/>
              <w:bottom w:val="single" w:sz="4" w:space="0" w:color="auto"/>
              <w:right w:val="single" w:sz="4" w:space="0" w:color="auto"/>
            </w:tcBorders>
            <w:hideMark/>
          </w:tcPr>
          <w:p w14:paraId="3636B652" w14:textId="23CA7F24" w:rsidR="00490FFA" w:rsidRPr="00E13B55" w:rsidRDefault="00490FFA" w:rsidP="005A47C7">
            <w:pPr>
              <w:pStyle w:val="Tabletext"/>
              <w:spacing w:before="80" w:after="80"/>
              <w:jc w:val="left"/>
              <w:rPr>
                <w:lang w:val="en-GB" w:eastAsia="zh-CN"/>
              </w:rPr>
            </w:pPr>
            <w:r w:rsidRPr="00E13B55">
              <w:rPr>
                <w:lang w:val="en-GB" w:eastAsia="zh-CN"/>
              </w:rPr>
              <w:t>400-2000 MHz</w:t>
            </w:r>
          </w:p>
        </w:tc>
        <w:tc>
          <w:tcPr>
            <w:tcW w:w="3969" w:type="dxa"/>
            <w:tcBorders>
              <w:top w:val="single" w:sz="4" w:space="0" w:color="auto"/>
              <w:left w:val="single" w:sz="4" w:space="0" w:color="auto"/>
              <w:bottom w:val="single" w:sz="4" w:space="0" w:color="auto"/>
              <w:right w:val="single" w:sz="4" w:space="0" w:color="auto"/>
            </w:tcBorders>
            <w:hideMark/>
          </w:tcPr>
          <w:p w14:paraId="6BFD466C" w14:textId="77777777" w:rsidR="00490FFA" w:rsidRPr="00E13B55" w:rsidRDefault="00D3774C" w:rsidP="00146A88">
            <w:pPr>
              <w:pStyle w:val="Tabletext"/>
              <w:spacing w:before="80" w:after="80"/>
              <w:jc w:val="center"/>
              <w:rPr>
                <w:lang w:val="en-GB" w:eastAsia="zh-CN"/>
              </w:rPr>
            </w:pPr>
            <m:oMathPara>
              <m:oMath>
                <m:sSup>
                  <m:sSupPr>
                    <m:ctrlPr>
                      <w:rPr>
                        <w:rFonts w:ascii="Cambria Math" w:hAnsi="Cambria Math"/>
                        <w:i/>
                        <w:lang w:val="en-GB" w:eastAsia="zh-CN"/>
                      </w:rPr>
                    </m:ctrlPr>
                  </m:sSupPr>
                  <m:e>
                    <m:d>
                      <m:dPr>
                        <m:ctrlPr>
                          <w:rPr>
                            <w:rFonts w:ascii="Cambria Math" w:hAnsi="Cambria Math"/>
                            <w:i/>
                            <w:lang w:val="en-GB" w:eastAsia="zh-CN"/>
                          </w:rPr>
                        </m:ctrlPr>
                      </m:dPr>
                      <m:e>
                        <m:f>
                          <m:fPr>
                            <m:ctrlPr>
                              <w:rPr>
                                <w:rFonts w:ascii="Cambria Math" w:hAnsi="Cambria Math"/>
                                <w:i/>
                                <w:lang w:val="en-GB" w:eastAsia="zh-CN"/>
                              </w:rPr>
                            </m:ctrlPr>
                          </m:fPr>
                          <m:num>
                            <m:r>
                              <w:rPr>
                                <w:rFonts w:ascii="Cambria Math" w:hAnsi="Cambria Math"/>
                                <w:lang w:val="en-GB" w:eastAsia="zh-CN"/>
                              </w:rPr>
                              <m:t>f</m:t>
                            </m:r>
                          </m:num>
                          <m:den>
                            <m:r>
                              <w:rPr>
                                <w:rFonts w:ascii="Cambria Math" w:hAnsi="Cambria Math"/>
                                <w:lang w:val="en-GB" w:eastAsia="zh-CN"/>
                              </w:rPr>
                              <m:t xml:space="preserve">400 </m:t>
                            </m:r>
                            <m:r>
                              <m:rPr>
                                <m:sty m:val="p"/>
                              </m:rPr>
                              <w:rPr>
                                <w:rFonts w:ascii="Cambria Math" w:hAnsi="Cambria Math"/>
                                <w:lang w:val="en-GB" w:eastAsia="zh-CN"/>
                              </w:rPr>
                              <m:t>MHz</m:t>
                            </m:r>
                          </m:den>
                        </m:f>
                      </m:e>
                    </m:d>
                  </m:e>
                  <m:sup>
                    <m:r>
                      <w:rPr>
                        <w:rFonts w:ascii="Cambria Math" w:hAnsi="Cambria Math"/>
                        <w:lang w:val="en-GB" w:eastAsia="zh-CN"/>
                      </w:rPr>
                      <m:t>-0,139</m:t>
                    </m:r>
                  </m:sup>
                </m:sSup>
                <m:r>
                  <w:rPr>
                    <w:rFonts w:ascii="Cambria Math" w:hAnsi="Cambria Math"/>
                    <w:lang w:val="en-GB" w:eastAsia="zh-CN"/>
                  </w:rPr>
                  <m:t xml:space="preserve">∙90 </m:t>
                </m:r>
                <m:r>
                  <m:rPr>
                    <m:sty m:val="p"/>
                  </m:rPr>
                  <w:rPr>
                    <w:rFonts w:ascii="Cambria Math" w:hAnsi="Cambria Math"/>
                    <w:lang w:val="en-GB" w:eastAsia="zh-CN"/>
                  </w:rPr>
                  <m:t>s</m:t>
                </m:r>
              </m:oMath>
            </m:oMathPara>
          </w:p>
        </w:tc>
      </w:tr>
      <w:tr w:rsidR="00490FFA" w:rsidRPr="00E13B55" w14:paraId="50E43568" w14:textId="77777777" w:rsidTr="005A47C7">
        <w:trPr>
          <w:jc w:val="center"/>
        </w:trPr>
        <w:tc>
          <w:tcPr>
            <w:tcW w:w="3969" w:type="dxa"/>
            <w:tcBorders>
              <w:top w:val="single" w:sz="4" w:space="0" w:color="auto"/>
              <w:left w:val="single" w:sz="4" w:space="0" w:color="auto"/>
              <w:bottom w:val="single" w:sz="4" w:space="0" w:color="auto"/>
              <w:right w:val="single" w:sz="4" w:space="0" w:color="auto"/>
            </w:tcBorders>
            <w:hideMark/>
          </w:tcPr>
          <w:p w14:paraId="46DA6A70" w14:textId="734909D8" w:rsidR="00490FFA" w:rsidRPr="00E13B55" w:rsidRDefault="00490FFA" w:rsidP="005A47C7">
            <w:pPr>
              <w:pStyle w:val="Tabletext"/>
              <w:spacing w:before="80" w:after="80"/>
              <w:jc w:val="left"/>
              <w:rPr>
                <w:lang w:val="en-GB" w:eastAsia="zh-CN"/>
              </w:rPr>
            </w:pPr>
            <w:r w:rsidRPr="00E13B55">
              <w:rPr>
                <w:lang w:val="en-GB" w:eastAsia="zh-CN"/>
              </w:rPr>
              <w:t>2-6 GHz</w:t>
            </w:r>
          </w:p>
        </w:tc>
        <w:tc>
          <w:tcPr>
            <w:tcW w:w="3969" w:type="dxa"/>
            <w:tcBorders>
              <w:top w:val="single" w:sz="4" w:space="0" w:color="auto"/>
              <w:left w:val="single" w:sz="4" w:space="0" w:color="auto"/>
              <w:bottom w:val="single" w:sz="4" w:space="0" w:color="auto"/>
              <w:right w:val="single" w:sz="4" w:space="0" w:color="auto"/>
            </w:tcBorders>
            <w:hideMark/>
          </w:tcPr>
          <w:p w14:paraId="4432188A" w14:textId="77777777" w:rsidR="00490FFA" w:rsidRPr="00E13B55" w:rsidRDefault="00490FFA" w:rsidP="00146A88">
            <w:pPr>
              <w:pStyle w:val="Tabletext"/>
              <w:spacing w:before="80" w:after="80"/>
              <w:jc w:val="center"/>
              <w:rPr>
                <w:lang w:val="en-GB" w:eastAsia="zh-CN"/>
              </w:rPr>
            </w:pPr>
            <w:r w:rsidRPr="00E13B55">
              <w:rPr>
                <w:lang w:val="en-GB" w:eastAsia="zh-CN"/>
              </w:rPr>
              <w:t>72 s</w:t>
            </w:r>
          </w:p>
        </w:tc>
      </w:tr>
      <w:tr w:rsidR="00490FFA" w:rsidRPr="00E13B55" w14:paraId="51CFD6DF" w14:textId="77777777" w:rsidTr="005A47C7">
        <w:trPr>
          <w:jc w:val="center"/>
        </w:trPr>
        <w:tc>
          <w:tcPr>
            <w:tcW w:w="3969" w:type="dxa"/>
            <w:tcBorders>
              <w:top w:val="single" w:sz="4" w:space="0" w:color="auto"/>
              <w:left w:val="single" w:sz="4" w:space="0" w:color="auto"/>
              <w:bottom w:val="single" w:sz="4" w:space="0" w:color="auto"/>
              <w:right w:val="single" w:sz="4" w:space="0" w:color="auto"/>
            </w:tcBorders>
            <w:hideMark/>
          </w:tcPr>
          <w:p w14:paraId="5DE1B75D" w14:textId="7BC256CC" w:rsidR="00490FFA" w:rsidRPr="00E13B55" w:rsidRDefault="00490FFA" w:rsidP="005A47C7">
            <w:pPr>
              <w:pStyle w:val="Tabletext"/>
              <w:spacing w:before="80" w:after="80"/>
              <w:jc w:val="left"/>
              <w:rPr>
                <w:lang w:val="en-GB" w:eastAsia="zh-CN"/>
              </w:rPr>
            </w:pPr>
            <w:r w:rsidRPr="00E13B55">
              <w:rPr>
                <w:lang w:val="en-GB" w:eastAsia="zh-CN"/>
              </w:rPr>
              <w:t>6</w:t>
            </w:r>
            <w:r w:rsidR="00910348" w:rsidRPr="00E13B55">
              <w:rPr>
                <w:lang w:val="en-GB" w:eastAsia="zh-CN"/>
              </w:rPr>
              <w:t>-</w:t>
            </w:r>
            <w:r w:rsidRPr="00E13B55">
              <w:rPr>
                <w:lang w:val="en-GB" w:eastAsia="zh-CN"/>
              </w:rPr>
              <w:t>300 GHz</w:t>
            </w:r>
          </w:p>
        </w:tc>
        <w:tc>
          <w:tcPr>
            <w:tcW w:w="3969" w:type="dxa"/>
            <w:tcBorders>
              <w:top w:val="single" w:sz="4" w:space="0" w:color="auto"/>
              <w:left w:val="single" w:sz="4" w:space="0" w:color="auto"/>
              <w:bottom w:val="single" w:sz="4" w:space="0" w:color="auto"/>
              <w:right w:val="single" w:sz="4" w:space="0" w:color="auto"/>
            </w:tcBorders>
            <w:hideMark/>
          </w:tcPr>
          <w:p w14:paraId="374449CC" w14:textId="77777777" w:rsidR="00490FFA" w:rsidRPr="00E13B55" w:rsidRDefault="00D3774C" w:rsidP="00146A88">
            <w:pPr>
              <w:pStyle w:val="Tabletext"/>
              <w:spacing w:before="80" w:after="80"/>
              <w:jc w:val="center"/>
              <w:rPr>
                <w:lang w:val="en-GB" w:eastAsia="zh-CN"/>
              </w:rPr>
            </w:pPr>
            <m:oMathPara>
              <m:oMath>
                <m:sSup>
                  <m:sSupPr>
                    <m:ctrlPr>
                      <w:rPr>
                        <w:rFonts w:ascii="Cambria Math" w:hAnsi="Cambria Math"/>
                        <w:i/>
                        <w:lang w:val="en-GB" w:eastAsia="zh-CN"/>
                      </w:rPr>
                    </m:ctrlPr>
                  </m:sSupPr>
                  <m:e>
                    <m:d>
                      <m:dPr>
                        <m:ctrlPr>
                          <w:rPr>
                            <w:rFonts w:ascii="Cambria Math" w:hAnsi="Cambria Math"/>
                            <w:i/>
                            <w:lang w:val="en-GB" w:eastAsia="zh-CN"/>
                          </w:rPr>
                        </m:ctrlPr>
                      </m:dPr>
                      <m:e>
                        <m:f>
                          <m:fPr>
                            <m:ctrlPr>
                              <w:rPr>
                                <w:rFonts w:ascii="Cambria Math" w:hAnsi="Cambria Math"/>
                                <w:i/>
                                <w:lang w:val="en-GB" w:eastAsia="zh-CN"/>
                              </w:rPr>
                            </m:ctrlPr>
                          </m:fPr>
                          <m:num>
                            <m:r>
                              <w:rPr>
                                <w:rFonts w:ascii="Cambria Math" w:hAnsi="Cambria Math"/>
                                <w:lang w:val="en-GB" w:eastAsia="zh-CN"/>
                              </w:rPr>
                              <m:t>f</m:t>
                            </m:r>
                          </m:num>
                          <m:den>
                            <m:r>
                              <w:rPr>
                                <w:rFonts w:ascii="Cambria Math" w:hAnsi="Cambria Math"/>
                                <w:lang w:val="en-GB" w:eastAsia="zh-CN"/>
                              </w:rPr>
                              <m:t xml:space="preserve">6 </m:t>
                            </m:r>
                            <m:r>
                              <m:rPr>
                                <m:sty m:val="p"/>
                              </m:rPr>
                              <w:rPr>
                                <w:rFonts w:ascii="Cambria Math" w:hAnsi="Cambria Math"/>
                                <w:lang w:val="en-GB" w:eastAsia="zh-CN"/>
                              </w:rPr>
                              <m:t>GHz</m:t>
                            </m:r>
                          </m:den>
                        </m:f>
                      </m:e>
                    </m:d>
                  </m:e>
                  <m:sup>
                    <m:r>
                      <w:rPr>
                        <w:rFonts w:ascii="Cambria Math" w:hAnsi="Cambria Math"/>
                        <w:lang w:val="en-GB" w:eastAsia="zh-CN"/>
                      </w:rPr>
                      <m:t>-0,177</m:t>
                    </m:r>
                  </m:sup>
                </m:sSup>
                <m:r>
                  <w:rPr>
                    <w:rFonts w:ascii="Cambria Math" w:hAnsi="Cambria Math"/>
                    <w:lang w:val="en-GB" w:eastAsia="zh-CN"/>
                  </w:rPr>
                  <m:t xml:space="preserve">∙72 </m:t>
                </m:r>
                <m:r>
                  <m:rPr>
                    <m:sty m:val="p"/>
                  </m:rPr>
                  <w:rPr>
                    <w:rFonts w:ascii="Cambria Math" w:hAnsi="Cambria Math"/>
                    <w:lang w:val="en-GB" w:eastAsia="zh-CN"/>
                  </w:rPr>
                  <m:t>s</m:t>
                </m:r>
              </m:oMath>
            </m:oMathPara>
          </w:p>
        </w:tc>
      </w:tr>
    </w:tbl>
    <w:p w14:paraId="2D7318F5" w14:textId="77777777" w:rsidR="00490FFA" w:rsidRPr="00E13B55" w:rsidRDefault="00490FFA" w:rsidP="00490FFA">
      <w:pPr>
        <w:pStyle w:val="Tablefin"/>
      </w:pPr>
    </w:p>
    <w:p w14:paraId="339130B8" w14:textId="77777777" w:rsidR="00490FFA" w:rsidRPr="00E13B55" w:rsidRDefault="00490FFA" w:rsidP="00490FFA">
      <w:pPr>
        <w:rPr>
          <w:lang w:val="en-GB"/>
        </w:rPr>
      </w:pPr>
      <w:r w:rsidRPr="00E13B55">
        <w:rPr>
          <w:lang w:val="en-GB"/>
        </w:rPr>
        <w:lastRenderedPageBreak/>
        <w:t>Note that above 30 MHz the ratio between the reference levels of the electric and magnetic field is constant and has the same value as the free space field impedance, 377 Ω. Both reference levels also correspond with the reference level of the power density. Below 30 MHz, however, there is no reference level of the power density and the ratio between the reference levels of the electric and magnetic fields is smaller than the free space field impedance.</w:t>
      </w:r>
    </w:p>
    <w:p w14:paraId="6406C1C8" w14:textId="77777777" w:rsidR="00490FFA" w:rsidRPr="00E13B55" w:rsidRDefault="00490FFA" w:rsidP="00490FFA">
      <w:pPr>
        <w:rPr>
          <w:lang w:val="en-GB"/>
        </w:rPr>
      </w:pPr>
      <w:r w:rsidRPr="00E13B55">
        <w:rPr>
          <w:lang w:val="en-GB"/>
        </w:rPr>
        <w:t xml:space="preserve">In IEC 62232, three source regions around a transmitting antenna are defined: I, II and III. Source region I is defined as the reactive near field and the part of the radiative near field where the reactive power components are still not negligible. Source region II is the part of the radiative near field where the reactive power components are already negligible. Source region III is the far field region. For the boundary distance </w:t>
      </w:r>
      <w:proofErr w:type="spellStart"/>
      <w:r w:rsidRPr="00E13B55">
        <w:rPr>
          <w:i/>
          <w:iCs/>
          <w:lang w:val="en-GB"/>
        </w:rPr>
        <w:t>d</w:t>
      </w:r>
      <w:r w:rsidRPr="00E13B55">
        <w:rPr>
          <w:vertAlign w:val="subscript"/>
          <w:lang w:val="en-GB"/>
        </w:rPr>
        <w:t>I</w:t>
      </w:r>
      <w:proofErr w:type="spellEnd"/>
      <w:r w:rsidRPr="00E13B55">
        <w:rPr>
          <w:lang w:val="en-GB"/>
        </w:rPr>
        <w:t xml:space="preserve"> between region I and II the following three conservative limit values are depicted in Table A.2 of IEC 62232: λ, </w:t>
      </w:r>
      <w:r w:rsidRPr="00E13B55">
        <w:rPr>
          <w:i/>
          <w:iCs/>
          <w:lang w:val="en-GB"/>
        </w:rPr>
        <w:t>D</w:t>
      </w:r>
      <w:r w:rsidRPr="00E13B55">
        <w:rPr>
          <w:lang w:val="en-GB"/>
        </w:rPr>
        <w:t xml:space="preserve"> and </w:t>
      </w:r>
      <w:r w:rsidRPr="00E13B55">
        <w:rPr>
          <w:i/>
          <w:iCs/>
          <w:lang w:val="en-GB"/>
        </w:rPr>
        <w:t>D</w:t>
      </w:r>
      <w:r w:rsidRPr="00E13B55">
        <w:rPr>
          <w:lang w:val="en-GB"/>
        </w:rPr>
        <w:t xml:space="preserve">²/4λ (λ and </w:t>
      </w:r>
      <w:r w:rsidRPr="00E13B55">
        <w:rPr>
          <w:i/>
          <w:iCs/>
          <w:lang w:val="en-GB"/>
        </w:rPr>
        <w:t>D</w:t>
      </w:r>
      <w:r w:rsidRPr="00E13B55">
        <w:rPr>
          <w:lang w:val="en-GB"/>
        </w:rPr>
        <w:t xml:space="preserve"> use in the same unit). Therein, λ is the wavelength of the transmitted field and </w:t>
      </w:r>
      <w:r w:rsidRPr="00E13B55">
        <w:rPr>
          <w:i/>
          <w:iCs/>
          <w:lang w:val="en-GB"/>
        </w:rPr>
        <w:t>D</w:t>
      </w:r>
      <w:r w:rsidRPr="00E13B55">
        <w:rPr>
          <w:lang w:val="en-GB"/>
        </w:rPr>
        <w:t xml:space="preserve"> is the largest dimension of the transmitting antenna. The highest of the three values is the relevant value for </w:t>
      </w:r>
      <w:proofErr w:type="spellStart"/>
      <w:r w:rsidRPr="00E13B55">
        <w:rPr>
          <w:i/>
          <w:iCs/>
          <w:lang w:val="en-GB"/>
        </w:rPr>
        <w:t>d</w:t>
      </w:r>
      <w:r w:rsidRPr="00E13B55">
        <w:rPr>
          <w:vertAlign w:val="subscript"/>
          <w:lang w:val="en-GB"/>
        </w:rPr>
        <w:t>I</w:t>
      </w:r>
      <w:proofErr w:type="spellEnd"/>
      <w:r w:rsidRPr="00E13B55">
        <w:rPr>
          <w:lang w:val="en-GB"/>
        </w:rPr>
        <w:t xml:space="preserve">, and it is a conservative estimate for the minimum distance where reactive power components are negligible. In other words, for distances higher than </w:t>
      </w:r>
      <w:proofErr w:type="spellStart"/>
      <w:r w:rsidRPr="00E13B55">
        <w:rPr>
          <w:i/>
          <w:iCs/>
          <w:lang w:val="en-GB"/>
        </w:rPr>
        <w:t>d</w:t>
      </w:r>
      <w:r w:rsidRPr="00E13B55">
        <w:rPr>
          <w:vertAlign w:val="subscript"/>
          <w:lang w:val="en-GB"/>
        </w:rPr>
        <w:t>I</w:t>
      </w:r>
      <w:proofErr w:type="spellEnd"/>
      <w:r w:rsidRPr="00E13B55">
        <w:rPr>
          <w:lang w:val="en-GB"/>
        </w:rPr>
        <w:t xml:space="preserve"> the ratio of the magnitude of electric field strength to the magnitude of the magnetic field strength, measured at the same point in space, can be assumed to be the free space field impedance.</w:t>
      </w:r>
    </w:p>
    <w:p w14:paraId="724505AC" w14:textId="77777777" w:rsidR="00490FFA" w:rsidRPr="00E13B55" w:rsidRDefault="00490FFA" w:rsidP="00490FFA">
      <w:pPr>
        <w:rPr>
          <w:lang w:val="en-GB"/>
        </w:rPr>
      </w:pPr>
      <w:r w:rsidRPr="00E13B55">
        <w:rPr>
          <w:lang w:val="en-GB"/>
        </w:rPr>
        <w:t xml:space="preserve">Note that although ICNIRP 2020 provides detailed information on what assessments need to be carried out in which zone, those used by ICNIRP do not map directly to those in IEC 62232. Therefore, in source region II or III only the electric field component needs to be assessed because the exposure due to the magnetic field component is the same for the frequency range above 30 MHz. Only in the frequency range below 30 MHz the exposure due to the magnetic field is different and namely lower. In source region I however both field components need to be assessed. The higher of both exposure values is the relevant one. Above 1 GHz only the electric field component is assessed in practice because in this frequency range probes or antennas for the magnetic field component are barely available, and they are also not necessary because in the majority of cases source region II or III can be assumed. Further details, including where ICNIRP deems that its reference levels are not appropriate, can be found in the notes to the </w:t>
      </w:r>
      <w:bookmarkStart w:id="62" w:name="_Hlk73193811"/>
      <w:r w:rsidRPr="00E13B55">
        <w:rPr>
          <w:lang w:val="en-GB"/>
        </w:rPr>
        <w:t>Tables 5, 6, 7 and 8</w:t>
      </w:r>
      <w:bookmarkEnd w:id="62"/>
      <w:r w:rsidRPr="00E13B55">
        <w:rPr>
          <w:sz w:val="20"/>
          <w:szCs w:val="16"/>
          <w:lang w:val="en-GB"/>
        </w:rPr>
        <w:t>.</w:t>
      </w:r>
    </w:p>
    <w:p w14:paraId="5CF78687" w14:textId="77777777" w:rsidR="00490FFA" w:rsidRPr="00E13B55" w:rsidRDefault="00490FFA" w:rsidP="00490FFA">
      <w:pPr>
        <w:rPr>
          <w:lang w:val="en-GB"/>
        </w:rPr>
      </w:pPr>
      <w:r w:rsidRPr="00E13B55">
        <w:rPr>
          <w:lang w:val="en-GB"/>
        </w:rPr>
        <w:t xml:space="preserve">The ICNIRP Guidelines assume maximum coupling of the external field to the exposed individual. This implies that an exposure estimate for a specific point in space must be independent of the polarization and propagation direction of the external field. In practice, this is done by measuring the RMS values of three collocated orthogonal sensors or antenna elements and calculating the isotropic RSS </w:t>
      </w:r>
      <w:bookmarkStart w:id="63" w:name="_Hlk516262365"/>
      <w:r w:rsidRPr="00E13B55">
        <w:rPr>
          <w:lang w:val="en-GB"/>
        </w:rPr>
        <w:t>(root of sum of squares)</w:t>
      </w:r>
      <w:bookmarkEnd w:id="63"/>
      <w:r w:rsidRPr="00E13B55">
        <w:rPr>
          <w:lang w:val="en-GB"/>
        </w:rPr>
        <w:t xml:space="preserve"> value from these three RMS values. Isotropic probes are available for frequencies up to 90 GHz. Isotropic antennas are available for frequencies up to 6 GHz.</w:t>
      </w:r>
    </w:p>
    <w:p w14:paraId="1EF0CA61" w14:textId="77777777" w:rsidR="00490FFA" w:rsidRPr="00E13B55" w:rsidRDefault="00490FFA" w:rsidP="00490FFA">
      <w:pPr>
        <w:rPr>
          <w:lang w:val="en-GB"/>
        </w:rPr>
      </w:pPr>
      <w:r w:rsidRPr="00E13B55">
        <w:rPr>
          <w:lang w:val="en-GB"/>
        </w:rPr>
        <w:t>The ICNIRP Guidelines assume that the unperturbed external field strength is averaged over the entire body of the virtually exposed individual, before they are compared with the reference levels for the whole-body exposure. But for the local exposure, no spatial averaging above 4 cm² is allowed. The simplified assessment method described above is conservative, based on the assessment of the local exposure and is implemented in practice as described here:</w:t>
      </w:r>
    </w:p>
    <w:p w14:paraId="16909CD8" w14:textId="77777777" w:rsidR="00490FFA" w:rsidRPr="00E13B55" w:rsidRDefault="00490FFA" w:rsidP="00490FFA">
      <w:pPr>
        <w:rPr>
          <w:color w:val="000000" w:themeColor="text1"/>
          <w:lang w:val="en-GB"/>
        </w:rPr>
      </w:pPr>
      <w:r w:rsidRPr="00E13B55">
        <w:rPr>
          <w:lang w:val="en-GB"/>
        </w:rPr>
        <w:t xml:space="preserve">Measure the local exposure values with the simplified assessment method in the entire area of interest, without humans being present and use no spatial averaging at all. Use the maximum exposure as the relevant exposure for the area of interest. It is good practice to exclude any measurement points with distances closer than 0.5 m to conductive objects. Doing so means that </w:t>
      </w:r>
      <w:r w:rsidRPr="00E13B55">
        <w:rPr>
          <w:color w:val="000000" w:themeColor="text1"/>
          <w:lang w:val="en-GB"/>
        </w:rPr>
        <w:t>overestimation due to coupling effects between the measuring antennas and the objects and due to re-radiation from the objects can be avoided.</w:t>
      </w:r>
    </w:p>
    <w:p w14:paraId="44DDC763" w14:textId="77777777" w:rsidR="00490FFA" w:rsidRPr="00E13B55" w:rsidRDefault="00490FFA" w:rsidP="00490FFA">
      <w:pPr>
        <w:rPr>
          <w:lang w:val="en-GB"/>
        </w:rPr>
      </w:pPr>
      <w:r w:rsidRPr="00E13B55">
        <w:rPr>
          <w:lang w:val="en-GB"/>
        </w:rPr>
        <w:t>As a summary, an ideal assessment method for the exposure due to non-electrostimulation effects of external electromagnetic fields in an area of interest can yet be clearly formulated:</w:t>
      </w:r>
    </w:p>
    <w:p w14:paraId="0B36EE4B" w14:textId="7AD00840" w:rsidR="00490FFA" w:rsidRPr="00E13B55" w:rsidRDefault="005960B8" w:rsidP="00490FFA">
      <w:pPr>
        <w:pStyle w:val="enumlev1"/>
        <w:rPr>
          <w:lang w:val="en-GB"/>
        </w:rPr>
      </w:pPr>
      <w:r w:rsidRPr="00E13B55">
        <w:rPr>
          <w:lang w:val="en-GB"/>
        </w:rPr>
        <w:lastRenderedPageBreak/>
        <w:t>–</w:t>
      </w:r>
      <w:r w:rsidR="00490FFA" w:rsidRPr="00E13B55">
        <w:rPr>
          <w:lang w:val="en-GB"/>
        </w:rPr>
        <w:tab/>
        <w:t xml:space="preserve">Measure the squared, isotopic and weighted RMS value of the electric and/or the magnetic field strength at any position in the area of interest where humans are likely to be exposed; </w:t>
      </w:r>
    </w:p>
    <w:p w14:paraId="5560781B" w14:textId="3D9E5C9A" w:rsidR="00490FFA" w:rsidRPr="00E13B55" w:rsidRDefault="005960B8" w:rsidP="00490FFA">
      <w:pPr>
        <w:pStyle w:val="enumlev1"/>
        <w:rPr>
          <w:lang w:val="en-GB"/>
        </w:rPr>
      </w:pPr>
      <w:r w:rsidRPr="00E13B55">
        <w:rPr>
          <w:lang w:val="en-GB"/>
        </w:rPr>
        <w:t>–</w:t>
      </w:r>
      <w:r w:rsidR="00490FFA" w:rsidRPr="00E13B55">
        <w:rPr>
          <w:lang w:val="en-GB"/>
        </w:rPr>
        <w:tab/>
        <w:t xml:space="preserve">Use no spatial averaging around each position; </w:t>
      </w:r>
    </w:p>
    <w:p w14:paraId="70EC7ADF" w14:textId="31BA806B" w:rsidR="00490FFA" w:rsidRPr="00E13B55" w:rsidRDefault="005960B8" w:rsidP="00490FFA">
      <w:pPr>
        <w:pStyle w:val="enumlev1"/>
        <w:rPr>
          <w:lang w:val="en-GB"/>
        </w:rPr>
      </w:pPr>
      <w:r w:rsidRPr="00E13B55">
        <w:rPr>
          <w:lang w:val="en-GB"/>
        </w:rPr>
        <w:t>–</w:t>
      </w:r>
      <w:r w:rsidR="00490FFA" w:rsidRPr="00E13B55">
        <w:rPr>
          <w:lang w:val="en-GB"/>
        </w:rPr>
        <w:tab/>
        <w:t xml:space="preserve">Make sure that the humans to be exposed are not present during the measurements; </w:t>
      </w:r>
    </w:p>
    <w:p w14:paraId="3B32BFC3" w14:textId="2D952386" w:rsidR="00490FFA" w:rsidRPr="00E13B55" w:rsidRDefault="005960B8" w:rsidP="00490FFA">
      <w:pPr>
        <w:pStyle w:val="enumlev1"/>
        <w:rPr>
          <w:lang w:val="en-GB"/>
        </w:rPr>
      </w:pPr>
      <w:r w:rsidRPr="00E13B55">
        <w:rPr>
          <w:lang w:val="en-GB"/>
        </w:rPr>
        <w:t>–</w:t>
      </w:r>
      <w:r w:rsidR="00490FFA" w:rsidRPr="00E13B55">
        <w:rPr>
          <w:lang w:val="en-GB"/>
        </w:rPr>
        <w:tab/>
        <w:t xml:space="preserve">Exclude any position from the measurements where the distance to conductive objects is less than 0.5 m; </w:t>
      </w:r>
    </w:p>
    <w:p w14:paraId="24F37455" w14:textId="1BBC4EC2" w:rsidR="00490FFA" w:rsidRPr="00E13B55" w:rsidRDefault="005960B8" w:rsidP="00490FFA">
      <w:pPr>
        <w:pStyle w:val="enumlev1"/>
        <w:rPr>
          <w:lang w:val="en-GB"/>
        </w:rPr>
      </w:pPr>
      <w:r w:rsidRPr="00E13B55">
        <w:rPr>
          <w:lang w:val="en-GB"/>
        </w:rPr>
        <w:t>–</w:t>
      </w:r>
      <w:r w:rsidR="00490FFA" w:rsidRPr="00E13B55">
        <w:rPr>
          <w:lang w:val="en-GB"/>
        </w:rPr>
        <w:tab/>
        <w:t xml:space="preserve">Use an RMS integration time, which is not longer than the maximum permissible integration time shown in Table 1; </w:t>
      </w:r>
    </w:p>
    <w:p w14:paraId="2AC2A836" w14:textId="7E47EB66" w:rsidR="00490FFA" w:rsidRPr="00E13B55" w:rsidRDefault="005960B8" w:rsidP="00490FFA">
      <w:pPr>
        <w:pStyle w:val="enumlev1"/>
        <w:rPr>
          <w:lang w:val="en-GB"/>
        </w:rPr>
      </w:pPr>
      <w:r w:rsidRPr="00E13B55">
        <w:rPr>
          <w:lang w:val="en-GB"/>
        </w:rPr>
        <w:t>–</w:t>
      </w:r>
      <w:r w:rsidR="00490FFA" w:rsidRPr="00E13B55">
        <w:rPr>
          <w:lang w:val="en-GB"/>
        </w:rPr>
        <w:tab/>
        <w:t>Measure over a time span, which is long enough to ensure that the maximum exposure over time will occur within this time span;</w:t>
      </w:r>
    </w:p>
    <w:p w14:paraId="08BBF676" w14:textId="1CA6A40E" w:rsidR="00490FFA" w:rsidRPr="00E13B55" w:rsidRDefault="005960B8" w:rsidP="00490FFA">
      <w:pPr>
        <w:pStyle w:val="enumlev1"/>
        <w:rPr>
          <w:lang w:val="en-GB"/>
        </w:rPr>
      </w:pPr>
      <w:r w:rsidRPr="00E13B55">
        <w:rPr>
          <w:lang w:val="en-GB"/>
        </w:rPr>
        <w:t>–</w:t>
      </w:r>
      <w:r w:rsidR="00490FFA" w:rsidRPr="00E13B55">
        <w:rPr>
          <w:lang w:val="en-GB"/>
        </w:rPr>
        <w:tab/>
        <w:t>Use the maximum exposure value of all positions and over the complete observation time as the final exposure result. If this result is less than unity, the exposure in area of interest is permissible.</w:t>
      </w:r>
    </w:p>
    <w:p w14:paraId="2DEAD45A" w14:textId="77777777" w:rsidR="00490FFA" w:rsidRPr="00E13B55" w:rsidRDefault="00490FFA" w:rsidP="00490FFA">
      <w:pPr>
        <w:rPr>
          <w:lang w:val="en-GB"/>
        </w:rPr>
      </w:pPr>
      <w:r w:rsidRPr="00E13B55">
        <w:rPr>
          <w:lang w:val="en-GB"/>
        </w:rPr>
        <w:t>Of course, this ‘ideal’ assessment method cannot be used in practice because too many points in space and time must be assessed, but it clearly shows the objective of real assessment methods.</w:t>
      </w:r>
    </w:p>
    <w:p w14:paraId="24E13F1D" w14:textId="77777777" w:rsidR="00490FFA" w:rsidRPr="00E13B55" w:rsidRDefault="00490FFA" w:rsidP="00490FFA">
      <w:pPr>
        <w:rPr>
          <w:lang w:val="en-GB"/>
        </w:rPr>
      </w:pPr>
      <w:r w:rsidRPr="00E13B55">
        <w:rPr>
          <w:lang w:val="en-GB"/>
        </w:rPr>
        <w:t>The next sections will concentrate on assessment of compliance with non-electrostimulation effects only because assessment of the other ICNIRP limits is very different from the assessment of thermal effects and not relevant for most wireless transmitters. The next sections will instead show how such exposures can confidently, precisely and yet effectively be assessed.</w:t>
      </w:r>
    </w:p>
    <w:p w14:paraId="7054965F" w14:textId="77777777" w:rsidR="0013550A" w:rsidRPr="00E13B55" w:rsidRDefault="0013550A" w:rsidP="0013550A">
      <w:pPr>
        <w:pStyle w:val="Heading2"/>
        <w:rPr>
          <w:lang w:val="en-GB"/>
        </w:rPr>
      </w:pPr>
      <w:bookmarkStart w:id="64" w:name="_Toc112657092"/>
      <w:r w:rsidRPr="00E13B55">
        <w:rPr>
          <w:lang w:val="en-GB"/>
        </w:rPr>
        <w:t>3.2</w:t>
      </w:r>
      <w:r w:rsidRPr="00E13B55">
        <w:rPr>
          <w:lang w:val="en-GB"/>
        </w:rPr>
        <w:tab/>
        <w:t>Measurement instruments with specific features for EMF assessment</w:t>
      </w:r>
      <w:bookmarkEnd w:id="59"/>
      <w:bookmarkEnd w:id="64"/>
    </w:p>
    <w:p w14:paraId="78199DF0" w14:textId="77777777" w:rsidR="0013550A" w:rsidRPr="00E13B55" w:rsidRDefault="0013550A" w:rsidP="0013550A">
      <w:pPr>
        <w:pStyle w:val="Heading3"/>
        <w:rPr>
          <w:lang w:val="en-GB"/>
        </w:rPr>
      </w:pPr>
      <w:bookmarkStart w:id="65" w:name="_Toc514256071"/>
      <w:bookmarkStart w:id="66" w:name="_Toc10138194"/>
      <w:bookmarkEnd w:id="60"/>
      <w:r w:rsidRPr="00E13B55">
        <w:rPr>
          <w:lang w:val="en-GB"/>
        </w:rPr>
        <w:t>3.2.1</w:t>
      </w:r>
      <w:r w:rsidRPr="00E13B55">
        <w:rPr>
          <w:lang w:val="en-GB"/>
        </w:rPr>
        <w:tab/>
        <w:t>Personal monitors</w:t>
      </w:r>
      <w:bookmarkEnd w:id="65"/>
      <w:bookmarkEnd w:id="66"/>
    </w:p>
    <w:p w14:paraId="09CD01E4" w14:textId="70DE03B2" w:rsidR="0013550A" w:rsidRPr="00E13B55" w:rsidRDefault="0013550A" w:rsidP="0013550A">
      <w:pPr>
        <w:rPr>
          <w:lang w:val="en-GB"/>
        </w:rPr>
      </w:pPr>
      <w:r w:rsidRPr="00E13B55">
        <w:rPr>
          <w:lang w:val="en-GB"/>
        </w:rPr>
        <w:t xml:space="preserve">Personal EMF Monitors are designed to be carried on the body of persons who are likely to be exposed to high electromagnetic fields. The monitors invoke an acoustic, optical or vibrational alert once a certain threshold value of the actual exposure is exceeded. During measurements of the EMF exposure, also the personal which executes the measurements is likely to be exposed to high EMF. It is therefore a good idea to carry a personal monitor during the measurements. Figure </w:t>
      </w:r>
      <w:r w:rsidR="00C8191E" w:rsidRPr="00E13B55">
        <w:rPr>
          <w:lang w:val="en-GB"/>
        </w:rPr>
        <w:t>7</w:t>
      </w:r>
      <w:r w:rsidRPr="00E13B55">
        <w:rPr>
          <w:lang w:val="en-GB"/>
        </w:rPr>
        <w:t xml:space="preserve"> depicts a personal monitor equipment for persons working near the antenna.</w:t>
      </w:r>
    </w:p>
    <w:p w14:paraId="18CE4B7E" w14:textId="1D08CD68" w:rsidR="0013550A" w:rsidRPr="00E13B55" w:rsidRDefault="0013550A" w:rsidP="0013550A">
      <w:pPr>
        <w:pStyle w:val="FigureNo"/>
        <w:rPr>
          <w:lang w:val="en-GB"/>
        </w:rPr>
      </w:pPr>
      <w:r w:rsidRPr="00E13B55">
        <w:rPr>
          <w:lang w:val="en-GB"/>
        </w:rPr>
        <w:lastRenderedPageBreak/>
        <w:t xml:space="preserve">FIGURE </w:t>
      </w:r>
      <w:r w:rsidR="00C8191E" w:rsidRPr="00E13B55">
        <w:rPr>
          <w:lang w:val="en-GB"/>
        </w:rPr>
        <w:t>7</w:t>
      </w:r>
    </w:p>
    <w:p w14:paraId="3D32D513" w14:textId="77777777" w:rsidR="0013550A" w:rsidRPr="00E13B55" w:rsidRDefault="0013550A" w:rsidP="0013550A">
      <w:pPr>
        <w:pStyle w:val="Figuretitle"/>
        <w:rPr>
          <w:lang w:val="en-GB"/>
        </w:rPr>
      </w:pPr>
      <w:r w:rsidRPr="00E13B55">
        <w:rPr>
          <w:lang w:val="en-GB"/>
        </w:rPr>
        <w:t>Personal monitor for occupational exposure</w:t>
      </w:r>
    </w:p>
    <w:p w14:paraId="62250B7F" w14:textId="40D86665" w:rsidR="0013550A" w:rsidRPr="00E13B55" w:rsidRDefault="009F34EB" w:rsidP="0013550A">
      <w:pPr>
        <w:pStyle w:val="Figure"/>
        <w:rPr>
          <w:lang w:val="en-GB"/>
        </w:rPr>
      </w:pPr>
      <w:r>
        <w:rPr>
          <w:noProof/>
          <w:lang w:val="en-GB"/>
        </w:rPr>
        <w:drawing>
          <wp:inline distT="0" distB="0" distL="0" distR="0" wp14:anchorId="48DD1997" wp14:editId="180C76EC">
            <wp:extent cx="2215901" cy="3386335"/>
            <wp:effectExtent l="0" t="0" r="0" b="5080"/>
            <wp:docPr id="8" name="Picture 8" descr="A picture containing person, outdoor, blue, lif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outdoor, blue, life jacke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15901" cy="3386335"/>
                    </a:xfrm>
                    <a:prstGeom prst="rect">
                      <a:avLst/>
                    </a:prstGeom>
                  </pic:spPr>
                </pic:pic>
              </a:graphicData>
            </a:graphic>
          </wp:inline>
        </w:drawing>
      </w:r>
    </w:p>
    <w:p w14:paraId="4236FFEC" w14:textId="77777777" w:rsidR="0013550A" w:rsidRPr="00E13B55" w:rsidRDefault="0013550A" w:rsidP="0013550A">
      <w:pPr>
        <w:pStyle w:val="Heading3"/>
        <w:rPr>
          <w:lang w:val="en-GB"/>
        </w:rPr>
      </w:pPr>
      <w:bookmarkStart w:id="67" w:name="_Toc514256072"/>
      <w:bookmarkStart w:id="68" w:name="_Toc10138195"/>
      <w:r w:rsidRPr="00E13B55">
        <w:rPr>
          <w:lang w:val="en-GB"/>
        </w:rPr>
        <w:t>3.2.2</w:t>
      </w:r>
      <w:r w:rsidRPr="00E13B55">
        <w:rPr>
          <w:lang w:val="en-GB"/>
        </w:rPr>
        <w:tab/>
        <w:t>Broadband meters</w:t>
      </w:r>
      <w:bookmarkEnd w:id="67"/>
      <w:bookmarkEnd w:id="68"/>
      <w:r w:rsidRPr="00E13B55">
        <w:rPr>
          <w:lang w:val="en-GB"/>
        </w:rPr>
        <w:t xml:space="preserve"> </w:t>
      </w:r>
    </w:p>
    <w:p w14:paraId="5304D314" w14:textId="19B86221" w:rsidR="0013550A" w:rsidRPr="00E13B55" w:rsidRDefault="0013550A" w:rsidP="0013550A">
      <w:pPr>
        <w:rPr>
          <w:lang w:val="en-GB"/>
        </w:rPr>
      </w:pPr>
      <w:r w:rsidRPr="00E13B55">
        <w:rPr>
          <w:lang w:val="en-GB"/>
        </w:rPr>
        <w:t xml:space="preserve">Broadband meters with </w:t>
      </w:r>
      <w:r w:rsidR="00746057" w:rsidRPr="00E13B55">
        <w:rPr>
          <w:lang w:val="en-GB"/>
        </w:rPr>
        <w:t>‘</w:t>
      </w:r>
      <w:r w:rsidRPr="00E13B55">
        <w:rPr>
          <w:lang w:val="en-GB"/>
        </w:rPr>
        <w:t>shaped probes</w:t>
      </w:r>
      <w:r w:rsidR="00746057" w:rsidRPr="00E13B55">
        <w:rPr>
          <w:lang w:val="en-GB"/>
        </w:rPr>
        <w:t>’</w:t>
      </w:r>
      <w:r w:rsidRPr="00E13B55">
        <w:rPr>
          <w:lang w:val="en-GB"/>
        </w:rPr>
        <w:t xml:space="preserve"> measure the EMF exposure directly because they display the squared, isotropic and weighted RMS value of the electric field strength. The RMS integration time can be set from about 100 </w:t>
      </w:r>
      <w:proofErr w:type="spellStart"/>
      <w:r w:rsidRPr="00E13B55">
        <w:rPr>
          <w:lang w:val="en-GB"/>
        </w:rPr>
        <w:t>ms</w:t>
      </w:r>
      <w:proofErr w:type="spellEnd"/>
      <w:r w:rsidRPr="00E13B55">
        <w:rPr>
          <w:lang w:val="en-GB"/>
        </w:rPr>
        <w:t xml:space="preserve"> up to some 10 minutes. Shaped probes are available for frequencies up to 50 GHz and for several standards including ICNIRP 1998 and IEEE C95.1-20</w:t>
      </w:r>
      <w:r w:rsidR="00A80164" w:rsidRPr="00E13B55">
        <w:rPr>
          <w:lang w:val="en-GB"/>
        </w:rPr>
        <w:t>19</w:t>
      </w:r>
      <w:r w:rsidRPr="00E13B55">
        <w:rPr>
          <w:lang w:val="en-GB"/>
        </w:rPr>
        <w:t>.</w:t>
      </w:r>
    </w:p>
    <w:p w14:paraId="7B229801" w14:textId="1600588D" w:rsidR="0013550A" w:rsidRPr="00E13B55" w:rsidRDefault="0013550A" w:rsidP="0013550A">
      <w:pPr>
        <w:rPr>
          <w:lang w:val="en-GB"/>
        </w:rPr>
      </w:pPr>
      <w:r w:rsidRPr="00E13B55">
        <w:rPr>
          <w:lang w:val="en-GB"/>
        </w:rPr>
        <w:t xml:space="preserve">Broadband meters for EMF measurement </w:t>
      </w:r>
      <w:proofErr w:type="gramStart"/>
      <w:r w:rsidRPr="00E13B55">
        <w:rPr>
          <w:lang w:val="en-GB"/>
        </w:rPr>
        <w:t>are able to</w:t>
      </w:r>
      <w:proofErr w:type="gramEnd"/>
      <w:r w:rsidRPr="00E13B55">
        <w:rPr>
          <w:lang w:val="en-GB"/>
        </w:rPr>
        <w:t xml:space="preserve"> measure exposure values much greater than unity. This implies that their electronic must be immune to such high field strength levels. This also implies that the person executing the measurements must be able to read out the measurement results from a safe distance. Therefore, broadband meters for EMF measurement usually have an optical link and can display their results on a second meter acting as a controller or on a common computer device.</w:t>
      </w:r>
    </w:p>
    <w:p w14:paraId="792E5439" w14:textId="77777777" w:rsidR="0013550A" w:rsidRPr="00E13B55" w:rsidRDefault="0013550A" w:rsidP="0013550A">
      <w:pPr>
        <w:rPr>
          <w:lang w:val="en-GB"/>
        </w:rPr>
      </w:pPr>
      <w:r w:rsidRPr="00E13B55">
        <w:rPr>
          <w:lang w:val="en-GB"/>
        </w:rPr>
        <w:t>Some very helpful features of broadband meters are a graph displaying the exposure values over time, the support of spatial averaging and a maximum hold function.</w:t>
      </w:r>
    </w:p>
    <w:p w14:paraId="01620446" w14:textId="58B7EE16" w:rsidR="0013550A" w:rsidRPr="00E13B55" w:rsidRDefault="0013550A" w:rsidP="0013550A">
      <w:pPr>
        <w:rPr>
          <w:lang w:val="en-GB"/>
        </w:rPr>
      </w:pPr>
      <w:r w:rsidRPr="00E13B55">
        <w:rPr>
          <w:lang w:val="en-GB"/>
        </w:rPr>
        <w:t xml:space="preserve">If the exposure due to all relevant transmitters </w:t>
      </w:r>
      <w:proofErr w:type="gramStart"/>
      <w:r w:rsidRPr="00E13B55">
        <w:rPr>
          <w:lang w:val="en-GB"/>
        </w:rPr>
        <w:t>has to</w:t>
      </w:r>
      <w:proofErr w:type="gramEnd"/>
      <w:r w:rsidRPr="00E13B55">
        <w:rPr>
          <w:lang w:val="en-GB"/>
        </w:rPr>
        <w:t xml:space="preserve"> be assessed</w:t>
      </w:r>
      <w:r w:rsidR="00A80164" w:rsidRPr="00E13B55">
        <w:rPr>
          <w:lang w:val="en-GB"/>
        </w:rPr>
        <w:t>,</w:t>
      </w:r>
      <w:r w:rsidRPr="00E13B55">
        <w:rPr>
          <w:lang w:val="en-GB"/>
        </w:rPr>
        <w:t xml:space="preserve"> a broadband meter with a shaped probe is sufficient to carry out all necessary measurements in most cases. If diodes instead of thermocouples are used as detectors in the probes, it must be noted that signals with high crest factors may lead to significant measurements’ uncertainties, if the measured RMS values are higher than the true RMS range of the probes. Even if the exposure due to several transmitters </w:t>
      </w:r>
      <w:proofErr w:type="gramStart"/>
      <w:r w:rsidRPr="00E13B55">
        <w:rPr>
          <w:lang w:val="en-GB"/>
        </w:rPr>
        <w:t>has to</w:t>
      </w:r>
      <w:proofErr w:type="gramEnd"/>
      <w:r w:rsidRPr="00E13B55">
        <w:rPr>
          <w:lang w:val="en-GB"/>
        </w:rPr>
        <w:t xml:space="preserve"> be assessed separately, broadband meters are extremely useful for a quick overview of the spatial and temporal structure of the total exposure values. After the local hot spots and the temporal structures at the hot spots are known, a selective measurement procedure can be set up much more effectively.</w:t>
      </w:r>
    </w:p>
    <w:p w14:paraId="284AA4C2" w14:textId="77777777" w:rsidR="0013550A" w:rsidRPr="00E13B55" w:rsidRDefault="0013550A" w:rsidP="0013550A">
      <w:pPr>
        <w:rPr>
          <w:lang w:val="en-GB"/>
        </w:rPr>
      </w:pPr>
      <w:r w:rsidRPr="00E13B55">
        <w:rPr>
          <w:lang w:val="en-GB"/>
        </w:rPr>
        <w:t>Also isotropic, broadband probes with flat frequency response are available for broadband meters: magnetic field up to 1 GHz and electric field up to 90 GHz.</w:t>
      </w:r>
    </w:p>
    <w:p w14:paraId="529F6A36" w14:textId="246FC16F" w:rsidR="0013550A" w:rsidRPr="00E13B55" w:rsidRDefault="0013550A" w:rsidP="0013550A">
      <w:pPr>
        <w:pStyle w:val="FigureNo"/>
        <w:rPr>
          <w:lang w:val="en-GB"/>
        </w:rPr>
      </w:pPr>
      <w:bookmarkStart w:id="69" w:name="_Toc485339521"/>
      <w:r w:rsidRPr="00E13B55">
        <w:rPr>
          <w:lang w:val="en-GB"/>
        </w:rPr>
        <w:lastRenderedPageBreak/>
        <w:t xml:space="preserve">FIGURE </w:t>
      </w:r>
      <w:bookmarkEnd w:id="69"/>
      <w:r w:rsidR="00B33ED7" w:rsidRPr="00E13B55">
        <w:rPr>
          <w:lang w:val="en-GB"/>
        </w:rPr>
        <w:t>8</w:t>
      </w:r>
    </w:p>
    <w:p w14:paraId="48BA86C0" w14:textId="77777777" w:rsidR="0013550A" w:rsidRPr="00E13B55" w:rsidRDefault="0013550A" w:rsidP="0013550A">
      <w:pPr>
        <w:pStyle w:val="Figuretitle"/>
        <w:rPr>
          <w:lang w:val="en-GB"/>
        </w:rPr>
      </w:pPr>
      <w:r w:rsidRPr="00E13B55">
        <w:rPr>
          <w:lang w:val="en-GB"/>
        </w:rPr>
        <w:t>Broadband meter with isotropic probe</w:t>
      </w:r>
    </w:p>
    <w:p w14:paraId="36D04FEA" w14:textId="603B4B49" w:rsidR="0013550A" w:rsidRPr="00E13B55" w:rsidRDefault="009F34EB" w:rsidP="0013550A">
      <w:pPr>
        <w:pStyle w:val="Figure"/>
        <w:rPr>
          <w:lang w:val="en-GB"/>
        </w:rPr>
      </w:pPr>
      <w:r>
        <w:rPr>
          <w:noProof/>
          <w:lang w:val="en-GB"/>
        </w:rPr>
        <w:drawing>
          <wp:inline distT="0" distB="0" distL="0" distR="0" wp14:anchorId="5DC425D4" wp14:editId="2DF88494">
            <wp:extent cx="5480315" cy="3794768"/>
            <wp:effectExtent l="0" t="0" r="6350" b="0"/>
            <wp:docPr id="11" name="Picture 11" descr="A picture containing outdoor, sky,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sky, person, pers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0315" cy="3794768"/>
                    </a:xfrm>
                    <a:prstGeom prst="rect">
                      <a:avLst/>
                    </a:prstGeom>
                  </pic:spPr>
                </pic:pic>
              </a:graphicData>
            </a:graphic>
          </wp:inline>
        </w:drawing>
      </w:r>
    </w:p>
    <w:p w14:paraId="70968784" w14:textId="77777777" w:rsidR="0013550A" w:rsidRPr="00E13B55" w:rsidRDefault="0013550A" w:rsidP="0013550A">
      <w:pPr>
        <w:pStyle w:val="Heading3"/>
        <w:rPr>
          <w:lang w:val="en-GB"/>
        </w:rPr>
      </w:pPr>
      <w:bookmarkStart w:id="70" w:name="_Toc514256073"/>
      <w:bookmarkStart w:id="71" w:name="_Toc10138196"/>
      <w:r w:rsidRPr="00E13B55">
        <w:rPr>
          <w:lang w:val="en-GB"/>
        </w:rPr>
        <w:t>3.2.3</w:t>
      </w:r>
      <w:r w:rsidRPr="00E13B55">
        <w:rPr>
          <w:lang w:val="en-GB"/>
        </w:rPr>
        <w:tab/>
        <w:t xml:space="preserve">Frequency selective </w:t>
      </w:r>
      <w:bookmarkEnd w:id="70"/>
      <w:r w:rsidRPr="00E13B55">
        <w:rPr>
          <w:lang w:val="en-GB"/>
        </w:rPr>
        <w:t>meters</w:t>
      </w:r>
      <w:bookmarkEnd w:id="71"/>
    </w:p>
    <w:p w14:paraId="59D9C60B" w14:textId="77777777" w:rsidR="0013550A" w:rsidRPr="00E13B55" w:rsidRDefault="0013550A" w:rsidP="0013550A">
      <w:pPr>
        <w:rPr>
          <w:lang w:val="en-GB"/>
        </w:rPr>
      </w:pPr>
      <w:r w:rsidRPr="00E13B55">
        <w:rPr>
          <w:lang w:val="en-GB"/>
        </w:rPr>
        <w:t xml:space="preserve">Frequency selective measurement is necessary if the exposure due to several transmitters </w:t>
      </w:r>
      <w:proofErr w:type="gramStart"/>
      <w:r w:rsidRPr="00E13B55">
        <w:rPr>
          <w:lang w:val="en-GB"/>
        </w:rPr>
        <w:t>has to</w:t>
      </w:r>
      <w:proofErr w:type="gramEnd"/>
      <w:r w:rsidRPr="00E13B55">
        <w:rPr>
          <w:lang w:val="en-GB"/>
        </w:rPr>
        <w:t xml:space="preserve"> be assessed separately. Selective meters for EMF are either regular spectrum analy</w:t>
      </w:r>
      <w:r w:rsidR="00475483" w:rsidRPr="00E13B55">
        <w:rPr>
          <w:lang w:val="en-GB"/>
        </w:rPr>
        <w:t>s</w:t>
      </w:r>
      <w:r w:rsidRPr="00E13B55">
        <w:rPr>
          <w:lang w:val="en-GB"/>
        </w:rPr>
        <w:t>ers or dedicated selective meters without the additional features of normal spectrum analy</w:t>
      </w:r>
      <w:r w:rsidR="00475483" w:rsidRPr="00E13B55">
        <w:rPr>
          <w:lang w:val="en-GB"/>
        </w:rPr>
        <w:t>s</w:t>
      </w:r>
      <w:r w:rsidRPr="00E13B55">
        <w:rPr>
          <w:lang w:val="en-GB"/>
        </w:rPr>
        <w:t>ers. Useful features for EMF measurements are:</w:t>
      </w:r>
    </w:p>
    <w:p w14:paraId="128F6DD7" w14:textId="77777777" w:rsidR="0013550A" w:rsidRPr="00E13B55" w:rsidRDefault="0013550A" w:rsidP="0013550A">
      <w:pPr>
        <w:pStyle w:val="enumlev1"/>
        <w:rPr>
          <w:lang w:val="en-GB"/>
        </w:rPr>
      </w:pPr>
      <w:r w:rsidRPr="00E13B55">
        <w:rPr>
          <w:lang w:val="en-GB"/>
        </w:rPr>
        <w:t>•</w:t>
      </w:r>
      <w:r w:rsidRPr="00E13B55">
        <w:rPr>
          <w:lang w:val="en-GB"/>
        </w:rPr>
        <w:tab/>
        <w:t>Handheld and battery powered;</w:t>
      </w:r>
    </w:p>
    <w:p w14:paraId="23757C6B" w14:textId="2940F82E" w:rsidR="0013550A" w:rsidRPr="00E13B55" w:rsidRDefault="0013550A" w:rsidP="0013550A">
      <w:pPr>
        <w:pStyle w:val="enumlev1"/>
        <w:rPr>
          <w:lang w:val="en-GB"/>
        </w:rPr>
      </w:pPr>
      <w:r w:rsidRPr="00E13B55">
        <w:rPr>
          <w:lang w:val="en-GB"/>
        </w:rPr>
        <w:t>•</w:t>
      </w:r>
      <w:r w:rsidRPr="00E13B55">
        <w:rPr>
          <w:lang w:val="en-GB"/>
        </w:rPr>
        <w:tab/>
        <w:t>Immun</w:t>
      </w:r>
      <w:r w:rsidR="00B33ED7" w:rsidRPr="00E13B55">
        <w:rPr>
          <w:lang w:val="en-GB"/>
        </w:rPr>
        <w:t>ity</w:t>
      </w:r>
      <w:r w:rsidRPr="00E13B55">
        <w:rPr>
          <w:lang w:val="en-GB"/>
        </w:rPr>
        <w:t xml:space="preserve"> against high field strength levels;</w:t>
      </w:r>
    </w:p>
    <w:p w14:paraId="6D32C7E5" w14:textId="77777777" w:rsidR="0013550A" w:rsidRPr="00E13B55" w:rsidRDefault="0013550A" w:rsidP="0013550A">
      <w:pPr>
        <w:pStyle w:val="enumlev1"/>
        <w:rPr>
          <w:lang w:val="en-GB"/>
        </w:rPr>
      </w:pPr>
      <w:r w:rsidRPr="00E13B55">
        <w:rPr>
          <w:lang w:val="en-GB"/>
        </w:rPr>
        <w:t>•</w:t>
      </w:r>
      <w:r w:rsidRPr="00E13B55">
        <w:rPr>
          <w:lang w:val="en-GB"/>
        </w:rPr>
        <w:tab/>
        <w:t>Remote control (electrical or optical);</w:t>
      </w:r>
    </w:p>
    <w:p w14:paraId="502B90C7" w14:textId="77777777" w:rsidR="0013550A" w:rsidRPr="00E13B55" w:rsidRDefault="0013550A" w:rsidP="0013550A">
      <w:pPr>
        <w:pStyle w:val="enumlev1"/>
        <w:rPr>
          <w:lang w:val="en-GB"/>
        </w:rPr>
      </w:pPr>
      <w:r w:rsidRPr="00E13B55">
        <w:rPr>
          <w:lang w:val="en-GB"/>
        </w:rPr>
        <w:t>•</w:t>
      </w:r>
      <w:r w:rsidRPr="00E13B55">
        <w:rPr>
          <w:lang w:val="en-GB"/>
        </w:rPr>
        <w:tab/>
        <w:t>Direct support of isotropic antennas;</w:t>
      </w:r>
    </w:p>
    <w:p w14:paraId="325E1469" w14:textId="77777777" w:rsidR="0013550A" w:rsidRPr="00E13B55" w:rsidRDefault="0013550A" w:rsidP="0013550A">
      <w:pPr>
        <w:pStyle w:val="enumlev1"/>
        <w:rPr>
          <w:lang w:val="en-GB"/>
        </w:rPr>
      </w:pPr>
      <w:r w:rsidRPr="00E13B55">
        <w:rPr>
          <w:lang w:val="en-GB"/>
        </w:rPr>
        <w:t>•</w:t>
      </w:r>
      <w:r w:rsidRPr="00E13B55">
        <w:rPr>
          <w:lang w:val="en-GB"/>
        </w:rPr>
        <w:tab/>
        <w:t>RMS detector with configurable integration time and Max Hold function in all measurement modes;</w:t>
      </w:r>
    </w:p>
    <w:p w14:paraId="5E41CC1F" w14:textId="77777777" w:rsidR="0013550A" w:rsidRPr="00E13B55" w:rsidRDefault="0013550A" w:rsidP="0013550A">
      <w:pPr>
        <w:pStyle w:val="enumlev1"/>
        <w:rPr>
          <w:lang w:val="en-GB"/>
        </w:rPr>
      </w:pPr>
      <w:r w:rsidRPr="00E13B55">
        <w:rPr>
          <w:lang w:val="en-GB"/>
        </w:rPr>
        <w:t>•</w:t>
      </w:r>
      <w:r w:rsidRPr="00E13B55">
        <w:rPr>
          <w:lang w:val="en-GB"/>
        </w:rPr>
        <w:tab/>
        <w:t>Automatic RSS value calculation;</w:t>
      </w:r>
    </w:p>
    <w:p w14:paraId="1D40A225" w14:textId="77777777" w:rsidR="0013550A" w:rsidRPr="00E13B55" w:rsidRDefault="0013550A" w:rsidP="0013550A">
      <w:pPr>
        <w:pStyle w:val="enumlev1"/>
        <w:rPr>
          <w:lang w:val="en-GB"/>
        </w:rPr>
      </w:pPr>
      <w:r w:rsidRPr="00E13B55">
        <w:rPr>
          <w:lang w:val="en-GB"/>
        </w:rPr>
        <w:t>•</w:t>
      </w:r>
      <w:r w:rsidRPr="00E13B55">
        <w:rPr>
          <w:lang w:val="en-GB"/>
        </w:rPr>
        <w:tab/>
        <w:t>Results in field strength and exposure units;</w:t>
      </w:r>
    </w:p>
    <w:p w14:paraId="539939F6" w14:textId="77777777" w:rsidR="0013550A" w:rsidRPr="00E13B55" w:rsidRDefault="0013550A" w:rsidP="0013550A">
      <w:pPr>
        <w:pStyle w:val="enumlev1"/>
        <w:rPr>
          <w:lang w:val="en-GB"/>
        </w:rPr>
      </w:pPr>
      <w:r w:rsidRPr="00E13B55">
        <w:rPr>
          <w:lang w:val="en-GB"/>
        </w:rPr>
        <w:t>•</w:t>
      </w:r>
      <w:r w:rsidRPr="00E13B55">
        <w:rPr>
          <w:lang w:val="en-GB"/>
        </w:rPr>
        <w:tab/>
        <w:t>Measurement of each service with dedicated settings;</w:t>
      </w:r>
    </w:p>
    <w:p w14:paraId="38516803" w14:textId="49729713" w:rsidR="0013550A" w:rsidRPr="00E13B55" w:rsidRDefault="0013550A" w:rsidP="0013550A">
      <w:pPr>
        <w:pStyle w:val="enumlev1"/>
        <w:rPr>
          <w:lang w:val="en-GB"/>
        </w:rPr>
      </w:pPr>
      <w:r w:rsidRPr="00E13B55">
        <w:rPr>
          <w:lang w:val="en-GB"/>
        </w:rPr>
        <w:t>•</w:t>
      </w:r>
      <w:r w:rsidRPr="00E13B55">
        <w:rPr>
          <w:lang w:val="en-GB"/>
        </w:rPr>
        <w:tab/>
        <w:t xml:space="preserve">Demodulators for </w:t>
      </w:r>
      <w:bookmarkStart w:id="72" w:name="_Hlk516262420"/>
      <w:r w:rsidRPr="00E13B55">
        <w:rPr>
          <w:lang w:val="en-GB"/>
        </w:rPr>
        <w:t>UMTS</w:t>
      </w:r>
      <w:r w:rsidR="00B33ED7" w:rsidRPr="00E13B55">
        <w:rPr>
          <w:lang w:val="en-GB"/>
        </w:rPr>
        <w:t>,</w:t>
      </w:r>
      <w:r w:rsidRPr="00E13B55">
        <w:rPr>
          <w:lang w:val="en-GB"/>
        </w:rPr>
        <w:t xml:space="preserve"> LTE</w:t>
      </w:r>
      <w:bookmarkEnd w:id="72"/>
      <w:r w:rsidR="00B33ED7" w:rsidRPr="00E13B55">
        <w:rPr>
          <w:lang w:val="en-GB"/>
        </w:rPr>
        <w:t xml:space="preserve"> and 5G</w:t>
      </w:r>
      <w:r w:rsidRPr="00E13B55">
        <w:rPr>
          <w:lang w:val="en-GB"/>
        </w:rPr>
        <w:t>;</w:t>
      </w:r>
    </w:p>
    <w:p w14:paraId="2610062B" w14:textId="77777777" w:rsidR="0013550A" w:rsidRPr="00E13B55" w:rsidRDefault="0013550A" w:rsidP="0013550A">
      <w:pPr>
        <w:pStyle w:val="enumlev1"/>
        <w:rPr>
          <w:lang w:val="en-GB"/>
        </w:rPr>
      </w:pPr>
      <w:r w:rsidRPr="00E13B55">
        <w:rPr>
          <w:lang w:val="en-GB"/>
        </w:rPr>
        <w:t>•</w:t>
      </w:r>
      <w:r w:rsidRPr="00E13B55">
        <w:rPr>
          <w:lang w:val="en-GB"/>
        </w:rPr>
        <w:tab/>
        <w:t>Channel power options;</w:t>
      </w:r>
    </w:p>
    <w:p w14:paraId="4FC9799C" w14:textId="77777777" w:rsidR="0013550A" w:rsidRPr="00E13B55" w:rsidRDefault="0013550A" w:rsidP="0013550A">
      <w:pPr>
        <w:pStyle w:val="enumlev1"/>
        <w:rPr>
          <w:lang w:val="en-GB"/>
        </w:rPr>
      </w:pPr>
      <w:r w:rsidRPr="00E13B55">
        <w:rPr>
          <w:lang w:val="en-GB"/>
        </w:rPr>
        <w:t>•</w:t>
      </w:r>
      <w:r w:rsidRPr="00E13B55">
        <w:rPr>
          <w:lang w:val="en-GB"/>
        </w:rPr>
        <w:tab/>
        <w:t>Traceable calibration of the meter and the antennas;</w:t>
      </w:r>
    </w:p>
    <w:p w14:paraId="7F4B3547" w14:textId="77777777" w:rsidR="0013550A" w:rsidRPr="00E13B55" w:rsidRDefault="0013550A" w:rsidP="0013550A">
      <w:pPr>
        <w:pStyle w:val="enumlev1"/>
        <w:rPr>
          <w:lang w:val="en-GB"/>
        </w:rPr>
      </w:pPr>
      <w:r w:rsidRPr="00E13B55">
        <w:rPr>
          <w:lang w:val="en-GB"/>
        </w:rPr>
        <w:t>•</w:t>
      </w:r>
      <w:r w:rsidRPr="00E13B55">
        <w:rPr>
          <w:lang w:val="en-GB"/>
        </w:rPr>
        <w:tab/>
        <w:t>Frequency range at least 9 kHz to 6 GHz, preferably 9 kHz to 18 GHz or 40 GHz, to cover new wireless communication bands. Further extension by external mixers is useful for wireless systems like short range devices 60 to 66 GHz, wireless-gigabit (</w:t>
      </w:r>
      <w:proofErr w:type="spellStart"/>
      <w:r w:rsidRPr="00E13B55">
        <w:rPr>
          <w:lang w:val="en-GB"/>
        </w:rPr>
        <w:t>WiGig</w:t>
      </w:r>
      <w:proofErr w:type="spellEnd"/>
      <w:r w:rsidRPr="00E13B55">
        <w:rPr>
          <w:lang w:val="en-GB"/>
        </w:rPr>
        <w:t>) devices, automotive radars and scanners.</w:t>
      </w:r>
    </w:p>
    <w:p w14:paraId="0347DC4F" w14:textId="4C426BA3" w:rsidR="0013550A" w:rsidRPr="00E13B55" w:rsidRDefault="0013550A" w:rsidP="0013550A">
      <w:pPr>
        <w:pStyle w:val="enumlev1"/>
        <w:rPr>
          <w:lang w:val="en-GB"/>
        </w:rPr>
      </w:pPr>
      <w:r w:rsidRPr="00E13B55">
        <w:rPr>
          <w:lang w:val="en-GB"/>
        </w:rPr>
        <w:t xml:space="preserve">Figure </w:t>
      </w:r>
      <w:r w:rsidR="00BA7123" w:rsidRPr="00E13B55">
        <w:rPr>
          <w:lang w:val="en-GB"/>
        </w:rPr>
        <w:t>9</w:t>
      </w:r>
      <w:r w:rsidRPr="00E13B55">
        <w:rPr>
          <w:lang w:val="en-GB"/>
        </w:rPr>
        <w:t xml:space="preserve"> depicts frequency-selective monitoring meters, using isotropic antennas.</w:t>
      </w:r>
    </w:p>
    <w:p w14:paraId="76DB6B62" w14:textId="57564146" w:rsidR="0013550A" w:rsidRPr="00E13B55" w:rsidRDefault="0013550A" w:rsidP="0013550A">
      <w:pPr>
        <w:pStyle w:val="FigureNo"/>
        <w:rPr>
          <w:lang w:val="en-GB"/>
        </w:rPr>
      </w:pPr>
      <w:r w:rsidRPr="00E13B55">
        <w:rPr>
          <w:lang w:val="en-GB"/>
        </w:rPr>
        <w:lastRenderedPageBreak/>
        <w:t xml:space="preserve">FIGURE </w:t>
      </w:r>
      <w:r w:rsidR="00BA7123" w:rsidRPr="00E13B55">
        <w:rPr>
          <w:lang w:val="en-GB"/>
        </w:rPr>
        <w:t>9</w:t>
      </w:r>
    </w:p>
    <w:p w14:paraId="5AB380A5" w14:textId="77777777" w:rsidR="0013550A" w:rsidRPr="00E13B55" w:rsidRDefault="0013550A" w:rsidP="0013550A">
      <w:pPr>
        <w:pStyle w:val="Figuretitle"/>
        <w:rPr>
          <w:lang w:val="en-GB"/>
        </w:rPr>
      </w:pPr>
      <w:r w:rsidRPr="00E13B55">
        <w:rPr>
          <w:lang w:val="en-GB"/>
        </w:rPr>
        <w:t>Frequency selective meters for EMF</w:t>
      </w:r>
    </w:p>
    <w:p w14:paraId="335B1608" w14:textId="0781943C" w:rsidR="008423FC" w:rsidRPr="00E13B55" w:rsidRDefault="009F34EB" w:rsidP="008423FC">
      <w:pPr>
        <w:pStyle w:val="Figure"/>
        <w:rPr>
          <w:lang w:val="en-GB"/>
        </w:rPr>
      </w:pPr>
      <w:r>
        <w:rPr>
          <w:noProof/>
          <w:lang w:val="en-GB"/>
        </w:rPr>
        <w:drawing>
          <wp:inline distT="0" distB="0" distL="0" distR="0" wp14:anchorId="11206996" wp14:editId="245428D3">
            <wp:extent cx="5477267" cy="3121158"/>
            <wp:effectExtent l="0" t="0" r="9525" b="3175"/>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7267" cy="3121158"/>
                    </a:xfrm>
                    <a:prstGeom prst="rect">
                      <a:avLst/>
                    </a:prstGeom>
                  </pic:spPr>
                </pic:pic>
              </a:graphicData>
            </a:graphic>
          </wp:inline>
        </w:drawing>
      </w:r>
    </w:p>
    <w:p w14:paraId="4868ED73" w14:textId="77777777" w:rsidR="0013550A" w:rsidRPr="00E13B55" w:rsidRDefault="0013550A" w:rsidP="0013550A">
      <w:pPr>
        <w:pStyle w:val="Heading2"/>
        <w:rPr>
          <w:lang w:val="en-GB"/>
        </w:rPr>
      </w:pPr>
      <w:bookmarkStart w:id="73" w:name="_Toc514256074"/>
      <w:bookmarkStart w:id="74" w:name="_Toc10138197"/>
      <w:bookmarkStart w:id="75" w:name="_Toc112657093"/>
      <w:r w:rsidRPr="00E13B55">
        <w:rPr>
          <w:lang w:val="en-GB"/>
        </w:rPr>
        <w:t>3.3</w:t>
      </w:r>
      <w:r w:rsidRPr="00E13B55">
        <w:rPr>
          <w:lang w:val="en-GB"/>
        </w:rPr>
        <w:tab/>
        <w:t>Reducing the number of measurement points in space</w:t>
      </w:r>
      <w:bookmarkEnd w:id="73"/>
      <w:bookmarkEnd w:id="74"/>
      <w:bookmarkEnd w:id="75"/>
    </w:p>
    <w:p w14:paraId="7C6A259F" w14:textId="575A473E" w:rsidR="0013550A" w:rsidRPr="00E13B55" w:rsidRDefault="0013550A" w:rsidP="0013550A">
      <w:pPr>
        <w:rPr>
          <w:lang w:val="en-GB"/>
        </w:rPr>
      </w:pPr>
      <w:r w:rsidRPr="00E13B55">
        <w:rPr>
          <w:lang w:val="en-GB"/>
        </w:rPr>
        <w:t>The exposure of humans due to electromagnetic fields can vary extremely between different points in space. The distance to and the directional pattern of the transmitter antennas have a huge effect on the exposure level even under free space conditions. In real scenarios also obstacles and reflecting objects can have an additional huge effect on the exposure level at a different point in space. It is very helpful to get an overview of all potentially relevant transmitters and the electromagnetic environment before starting a measurement campaign.</w:t>
      </w:r>
    </w:p>
    <w:p w14:paraId="0F324498" w14:textId="0EBE721E" w:rsidR="0013550A" w:rsidRPr="00E13B55" w:rsidRDefault="0013550A" w:rsidP="0013550A">
      <w:pPr>
        <w:rPr>
          <w:lang w:val="en-GB"/>
        </w:rPr>
      </w:pPr>
      <w:r w:rsidRPr="00E13B55">
        <w:rPr>
          <w:lang w:val="en-GB"/>
        </w:rPr>
        <w:t>One way to get the desired overview is an optical inspection of the area of interest. At least all visible transmitter antennas should be discovered</w:t>
      </w:r>
      <w:r w:rsidR="00703C86" w:rsidRPr="00E13B55">
        <w:rPr>
          <w:lang w:val="en-GB"/>
        </w:rPr>
        <w:t>,</w:t>
      </w:r>
      <w:r w:rsidRPr="00E13B55">
        <w:rPr>
          <w:lang w:val="en-GB"/>
        </w:rPr>
        <w:t xml:space="preserve"> and their potential relevance should be assessed by estimating their transmitted power and directional patterns. The most relevant obstacles and reflectors should be identified too. With this information, smaller areas, which are likely to contain the positions of the highest exposure, can be identified. Especially areas with line of sight within the main lobes of the directional patterns of the transmitter antennas are likely candidates for such hot spot areas. For indoor measurements it is important to note that windows can attenuate electromagnetic field significantly. Thus, windows should be kept open during indoor measurements if possible.</w:t>
      </w:r>
    </w:p>
    <w:p w14:paraId="167E2A34" w14:textId="203C5CEC" w:rsidR="0013550A" w:rsidRPr="00E13B55" w:rsidRDefault="0013550A" w:rsidP="0013550A">
      <w:pPr>
        <w:rPr>
          <w:lang w:val="en-GB"/>
        </w:rPr>
      </w:pPr>
      <w:r w:rsidRPr="00E13B55">
        <w:rPr>
          <w:lang w:val="en-GB"/>
        </w:rPr>
        <w:t xml:space="preserve">The second way to get the desired overview is to make quick exposure overview measurements using broadband meters with shaped probes. If flat-frequency probes are used for this purpose, it must be noted that the spatial field strength maxima are indeed strongly correlated with the spatial exposure maxima, but they are not identical. If only the exposure due to a single transmitter </w:t>
      </w:r>
      <w:proofErr w:type="gramStart"/>
      <w:r w:rsidRPr="00E13B55">
        <w:rPr>
          <w:lang w:val="en-GB"/>
        </w:rPr>
        <w:t>has to</w:t>
      </w:r>
      <w:proofErr w:type="gramEnd"/>
      <w:r w:rsidRPr="00E13B55">
        <w:rPr>
          <w:lang w:val="en-GB"/>
        </w:rPr>
        <w:t xml:space="preserve"> be measured, and if this transmitter is not clearly dominating the total exposure, then frequency selective meters are mandatory for the quick overview measurement. </w:t>
      </w:r>
      <w:r w:rsidR="00703C86" w:rsidRPr="00E13B55">
        <w:rPr>
          <w:lang w:val="en-GB"/>
        </w:rPr>
        <w:t>Specifical</w:t>
      </w:r>
      <w:r w:rsidRPr="00E13B55">
        <w:rPr>
          <w:lang w:val="en-GB"/>
        </w:rPr>
        <w:t>ly, areas with high exposure values need to be assessed in more detail in a second step. Moving the probe of a broadband meter with a constant speed on straight lines in a recognized hot spot area and watching the recorded exposure values on graphs over time shows which space resolution is necessary to find the local maxima in this hotspot area in a second step.</w:t>
      </w:r>
    </w:p>
    <w:p w14:paraId="0125BC1A" w14:textId="363C9793" w:rsidR="0013550A" w:rsidRPr="00E13B55" w:rsidRDefault="0013550A" w:rsidP="0013550A">
      <w:pPr>
        <w:rPr>
          <w:lang w:val="en-GB"/>
        </w:rPr>
      </w:pPr>
      <w:r w:rsidRPr="00E13B55">
        <w:rPr>
          <w:lang w:val="en-GB"/>
        </w:rPr>
        <w:t xml:space="preserve">Figure </w:t>
      </w:r>
      <w:r w:rsidR="00703C86" w:rsidRPr="00E13B55">
        <w:rPr>
          <w:lang w:val="en-GB"/>
        </w:rPr>
        <w:t>10</w:t>
      </w:r>
      <w:r w:rsidRPr="00E13B55">
        <w:rPr>
          <w:lang w:val="en-GB"/>
        </w:rPr>
        <w:t xml:space="preserve"> shows an FM signal measured at 101.6 MHz, and GSM down-link at 947.4 MHz.</w:t>
      </w:r>
    </w:p>
    <w:p w14:paraId="1FADCF32" w14:textId="0CDA5231" w:rsidR="0013550A" w:rsidRPr="00E13B55" w:rsidRDefault="0013550A" w:rsidP="0013550A">
      <w:pPr>
        <w:pStyle w:val="FigureNo"/>
        <w:rPr>
          <w:lang w:val="en-GB"/>
        </w:rPr>
      </w:pPr>
      <w:bookmarkStart w:id="76" w:name="_Toc485339522"/>
      <w:r w:rsidRPr="00E13B55">
        <w:rPr>
          <w:lang w:val="en-GB"/>
        </w:rPr>
        <w:lastRenderedPageBreak/>
        <w:t xml:space="preserve">FIGURE </w:t>
      </w:r>
      <w:bookmarkEnd w:id="76"/>
      <w:r w:rsidR="00703C86" w:rsidRPr="00E13B55">
        <w:rPr>
          <w:lang w:val="en-GB"/>
        </w:rPr>
        <w:t>10</w:t>
      </w:r>
    </w:p>
    <w:p w14:paraId="69F268E9" w14:textId="77777777" w:rsidR="0013550A" w:rsidRPr="00E13B55" w:rsidRDefault="0013550A" w:rsidP="0013550A">
      <w:pPr>
        <w:pStyle w:val="Figuretitle"/>
        <w:rPr>
          <w:lang w:val="en-GB"/>
        </w:rPr>
      </w:pPr>
      <w:r w:rsidRPr="00E13B55">
        <w:rPr>
          <w:lang w:val="en-GB"/>
        </w:rPr>
        <w:t>Field-strength distribution in a room</w:t>
      </w:r>
    </w:p>
    <w:p w14:paraId="13AF9D62" w14:textId="7070421A" w:rsidR="0013550A" w:rsidRPr="00E13B55" w:rsidRDefault="009F34EB" w:rsidP="0013550A">
      <w:pPr>
        <w:pStyle w:val="Figure"/>
        <w:rPr>
          <w:lang w:val="en-GB"/>
        </w:rPr>
      </w:pPr>
      <w:r>
        <w:rPr>
          <w:noProof/>
          <w:lang w:val="en-GB"/>
        </w:rPr>
        <w:drawing>
          <wp:inline distT="0" distB="0" distL="0" distR="0" wp14:anchorId="1DA4CF64" wp14:editId="5F8FF17C">
            <wp:extent cx="4855474" cy="2770638"/>
            <wp:effectExtent l="0" t="0" r="254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55474" cy="2770638"/>
                    </a:xfrm>
                    <a:prstGeom prst="rect">
                      <a:avLst/>
                    </a:prstGeom>
                  </pic:spPr>
                </pic:pic>
              </a:graphicData>
            </a:graphic>
          </wp:inline>
        </w:drawing>
      </w:r>
    </w:p>
    <w:p w14:paraId="53357598" w14:textId="560373CB" w:rsidR="0013550A" w:rsidRPr="00E13B55" w:rsidRDefault="0013550A" w:rsidP="005602D4">
      <w:pPr>
        <w:pStyle w:val="Normalaftertitle"/>
        <w:rPr>
          <w:lang w:val="en-GB"/>
        </w:rPr>
      </w:pPr>
      <w:r w:rsidRPr="00E13B55">
        <w:rPr>
          <w:lang w:val="en-GB"/>
        </w:rPr>
        <w:t xml:space="preserve">Once hot spot areas are recognized, the local exposure maxima in these areas </w:t>
      </w:r>
      <w:proofErr w:type="gramStart"/>
      <w:r w:rsidRPr="00E13B55">
        <w:rPr>
          <w:lang w:val="en-GB"/>
        </w:rPr>
        <w:t>have to</w:t>
      </w:r>
      <w:proofErr w:type="gramEnd"/>
      <w:r w:rsidRPr="00E13B55">
        <w:rPr>
          <w:lang w:val="en-GB"/>
        </w:rPr>
        <w:t xml:space="preserve"> be found. Note that spatial averaging over moderate volumes is permissible, referring to ICNIRP. Avoiding spatial averaging at all may lead to a significant overestimation of the actual exposure. Finding a local maximum with isotropic probes or antennas is easy. The fastest method is to scan the hot spot area by a random movement of the probe or antenna in this area and use a maximum hold function during the scan. Moderate spatial averaging can be done in the same procedure just by setting an RMS integration time, which suits the desired integration volume and the actual speed of the movement. The second method is called grid method: a grid of points within the hotspot area is defined with a sufficient spatial resolution and the exposure is measured at each point in the grid. The grid method can be combined with moderate spatial averaging too. For a small grid consisting of 3 or 6 points, this is a useful alternative, avoiding the influence of the person carrying out the measurement. For large grids</w:t>
      </w:r>
      <w:r w:rsidR="00703C86" w:rsidRPr="00E13B55">
        <w:rPr>
          <w:lang w:val="en-GB"/>
        </w:rPr>
        <w:t>,</w:t>
      </w:r>
      <w:r w:rsidRPr="00E13B55">
        <w:rPr>
          <w:lang w:val="en-GB"/>
        </w:rPr>
        <w:t xml:space="preserve"> this method is quite time consuming.</w:t>
      </w:r>
    </w:p>
    <w:p w14:paraId="44ED1C83" w14:textId="71A05DF8" w:rsidR="0013550A" w:rsidRPr="00E13B55" w:rsidRDefault="0013550A" w:rsidP="0013550A">
      <w:pPr>
        <w:rPr>
          <w:lang w:val="en-GB"/>
        </w:rPr>
      </w:pPr>
      <w:r w:rsidRPr="00E13B55">
        <w:rPr>
          <w:lang w:val="en-GB"/>
        </w:rPr>
        <w:t>For frequencies higher than 6 GHz, isotropic antennas are not yet available. Thus</w:t>
      </w:r>
      <w:r w:rsidR="00703C86" w:rsidRPr="00E13B55">
        <w:rPr>
          <w:lang w:val="en-GB"/>
        </w:rPr>
        <w:t>,</w:t>
      </w:r>
      <w:r w:rsidRPr="00E13B55">
        <w:rPr>
          <w:lang w:val="en-GB"/>
        </w:rPr>
        <w:t xml:space="preserve"> broadband meters with isotropic probes or spectrum analy</w:t>
      </w:r>
      <w:r w:rsidR="00475483" w:rsidRPr="00E13B55">
        <w:rPr>
          <w:lang w:val="en-GB"/>
        </w:rPr>
        <w:t>s</w:t>
      </w:r>
      <w:r w:rsidRPr="00E13B55">
        <w:rPr>
          <w:lang w:val="en-GB"/>
        </w:rPr>
        <w:t xml:space="preserve">ers with biconical or directional antennas are used in this frequency range. Finding a local maximum of the exposure with biconical or directional antennas takes more time compared to isotropic probes or antennas. In practice the stirring method is used most often with such antennas: the antenna position, direction and polarization </w:t>
      </w:r>
      <w:r w:rsidR="00703C86" w:rsidRPr="00E13B55">
        <w:rPr>
          <w:lang w:val="en-GB"/>
        </w:rPr>
        <w:t>are</w:t>
      </w:r>
      <w:r w:rsidRPr="00E13B55">
        <w:rPr>
          <w:lang w:val="en-GB"/>
        </w:rPr>
        <w:t xml:space="preserve"> changed randomly within the volume of interest by moving the antenna by hand. The local maximum is detected by using a maximum hold function in the selective meter or spectrum analyser during the stirring process. A grid method with directional antennas would be extremely time consuming because for each point of the grid the polarization and direction of the antenna would need to be changed many times in order to ensure that </w:t>
      </w:r>
      <w:r w:rsidR="00CD0E7B" w:rsidRPr="00E13B55">
        <w:rPr>
          <w:lang w:val="en-GB"/>
        </w:rPr>
        <w:t>an</w:t>
      </w:r>
      <w:r w:rsidRPr="00E13B55">
        <w:rPr>
          <w:lang w:val="en-GB"/>
        </w:rPr>
        <w:t xml:space="preserve"> exposure value with the maximum coupling of the field to the antenna has been captured for each point.</w:t>
      </w:r>
    </w:p>
    <w:p w14:paraId="576BB4B1" w14:textId="77777777" w:rsidR="0013550A" w:rsidRPr="00E13B55" w:rsidRDefault="0013550A" w:rsidP="0013550A">
      <w:pPr>
        <w:pStyle w:val="Heading2"/>
        <w:rPr>
          <w:lang w:val="en-GB"/>
        </w:rPr>
      </w:pPr>
      <w:bookmarkStart w:id="77" w:name="_Toc514256075"/>
      <w:bookmarkStart w:id="78" w:name="_Toc10138198"/>
      <w:bookmarkStart w:id="79" w:name="_Toc112657094"/>
      <w:r w:rsidRPr="00E13B55">
        <w:rPr>
          <w:lang w:val="en-GB"/>
        </w:rPr>
        <w:t>3.4</w:t>
      </w:r>
      <w:r w:rsidRPr="00E13B55">
        <w:rPr>
          <w:lang w:val="en-GB"/>
        </w:rPr>
        <w:tab/>
        <w:t>Reducing the observation time and extrapolation to the maximal exposure</w:t>
      </w:r>
      <w:bookmarkEnd w:id="77"/>
      <w:bookmarkEnd w:id="78"/>
      <w:bookmarkEnd w:id="79"/>
    </w:p>
    <w:p w14:paraId="59FFC1BE" w14:textId="77777777" w:rsidR="0013550A" w:rsidRPr="00E13B55" w:rsidRDefault="0013550A" w:rsidP="0013550A">
      <w:pPr>
        <w:rPr>
          <w:lang w:val="en-GB"/>
        </w:rPr>
      </w:pPr>
      <w:r w:rsidRPr="00E13B55">
        <w:rPr>
          <w:lang w:val="en-GB"/>
        </w:rPr>
        <w:t xml:space="preserve">The radiated power of some transmitters may vary extremely over time. Especially for base stations of cellular mobile services the transmitted power depends highly on the actual traffic load and user behaviour. Even during an observation time of 24 h the maximum power might not be reached because the traffic load may also depend on the day of the week or even the season. It is essential to reduce the observation time to a reasonable value in practical measurements. Therefore, it is common practice to measure the exposure due to some signal components, which are transmitted </w:t>
      </w:r>
      <w:r w:rsidRPr="00E13B55">
        <w:rPr>
          <w:lang w:val="en-GB"/>
        </w:rPr>
        <w:lastRenderedPageBreak/>
        <w:t xml:space="preserve">with a power that does not depend on the traffic load or the user behaviour. In a second step, the exposure is extrapolated to that exposure that would occur when the maximum transmitter power would be used. Extrapolation is however not necessary if the transmitter power is </w:t>
      </w:r>
      <w:proofErr w:type="gramStart"/>
      <w:r w:rsidRPr="00E13B55">
        <w:rPr>
          <w:lang w:val="en-GB"/>
        </w:rPr>
        <w:t>more or less constant</w:t>
      </w:r>
      <w:proofErr w:type="gramEnd"/>
      <w:r w:rsidRPr="00E13B55">
        <w:rPr>
          <w:lang w:val="en-GB"/>
        </w:rPr>
        <w:t xml:space="preserve"> over time. In this case, even short observation times are sufficient to assess the maximum exposure.</w:t>
      </w:r>
    </w:p>
    <w:p w14:paraId="43B86EE3" w14:textId="77777777" w:rsidR="0013550A" w:rsidRPr="00E13B55" w:rsidRDefault="0013550A" w:rsidP="0013550A">
      <w:pPr>
        <w:pStyle w:val="Heading2"/>
        <w:rPr>
          <w:lang w:val="en-GB"/>
        </w:rPr>
      </w:pPr>
      <w:bookmarkStart w:id="80" w:name="_Toc514256076"/>
      <w:bookmarkStart w:id="81" w:name="_Toc10138199"/>
      <w:bookmarkStart w:id="82" w:name="_Toc112657095"/>
      <w:r w:rsidRPr="00E13B55">
        <w:rPr>
          <w:lang w:val="en-GB"/>
        </w:rPr>
        <w:t>3.5</w:t>
      </w:r>
      <w:r w:rsidRPr="00E13B55">
        <w:rPr>
          <w:lang w:val="en-GB"/>
        </w:rPr>
        <w:tab/>
        <w:t>How to assess the exposure due to specific services</w:t>
      </w:r>
      <w:bookmarkEnd w:id="80"/>
      <w:bookmarkEnd w:id="81"/>
      <w:bookmarkEnd w:id="82"/>
    </w:p>
    <w:p w14:paraId="1582E4A4" w14:textId="13A34DC1" w:rsidR="0013550A" w:rsidRPr="00E13B55" w:rsidRDefault="0013550A" w:rsidP="0013550A">
      <w:pPr>
        <w:rPr>
          <w:lang w:val="en-GB"/>
        </w:rPr>
      </w:pPr>
      <w:r w:rsidRPr="00E13B55">
        <w:rPr>
          <w:lang w:val="en-GB"/>
        </w:rPr>
        <w:t xml:space="preserve">With broadband meters and shaped </w:t>
      </w:r>
      <w:r w:rsidR="006D3097" w:rsidRPr="00E13B55">
        <w:rPr>
          <w:lang w:val="en-GB"/>
        </w:rPr>
        <w:t>probes,</w:t>
      </w:r>
      <w:r w:rsidRPr="00E13B55">
        <w:rPr>
          <w:lang w:val="en-GB"/>
        </w:rPr>
        <w:t xml:space="preserve"> the current total exposure can be assessed comfortably. However, if the exposure due to several transmitters needs to be assessed separately, </w:t>
      </w:r>
      <w:r w:rsidR="00703C86" w:rsidRPr="00E13B55">
        <w:rPr>
          <w:lang w:val="en-GB"/>
        </w:rPr>
        <w:t xml:space="preserve">a </w:t>
      </w:r>
      <w:r w:rsidRPr="00E13B55">
        <w:rPr>
          <w:lang w:val="en-GB"/>
        </w:rPr>
        <w:t>selective measurement technique is necessary. The following subsections describe how to assess the exposure due to specific services with selective measurement technique. The extrapolation process is described where adequate.</w:t>
      </w:r>
    </w:p>
    <w:p w14:paraId="598A29D0" w14:textId="77777777" w:rsidR="0013550A" w:rsidRPr="00E13B55" w:rsidRDefault="0013550A" w:rsidP="0013550A">
      <w:pPr>
        <w:pStyle w:val="Heading3"/>
        <w:rPr>
          <w:lang w:val="en-GB"/>
        </w:rPr>
      </w:pPr>
      <w:bookmarkStart w:id="83" w:name="_Toc514256077"/>
      <w:bookmarkStart w:id="84" w:name="_Toc10138200"/>
      <w:r w:rsidRPr="00E13B55">
        <w:rPr>
          <w:lang w:val="en-GB"/>
        </w:rPr>
        <w:t>3.5.1</w:t>
      </w:r>
      <w:r w:rsidRPr="00E13B55">
        <w:rPr>
          <w:lang w:val="en-GB"/>
        </w:rPr>
        <w:tab/>
        <w:t xml:space="preserve">General approach for services where extrapolation is not </w:t>
      </w:r>
      <w:bookmarkEnd w:id="83"/>
      <w:r w:rsidRPr="00E13B55">
        <w:rPr>
          <w:lang w:val="en-GB"/>
        </w:rPr>
        <w:t>of interest</w:t>
      </w:r>
      <w:bookmarkEnd w:id="84"/>
    </w:p>
    <w:p w14:paraId="24730048" w14:textId="77777777" w:rsidR="0013550A" w:rsidRPr="00E13B55" w:rsidRDefault="0013550A" w:rsidP="0013550A">
      <w:pPr>
        <w:rPr>
          <w:lang w:val="en-GB"/>
        </w:rPr>
      </w:pPr>
      <w:r w:rsidRPr="00E13B55">
        <w:rPr>
          <w:lang w:val="en-GB"/>
        </w:rPr>
        <w:t xml:space="preserve">Extrapolation is not necessary for systems, which transmit with </w:t>
      </w:r>
      <w:proofErr w:type="gramStart"/>
      <w:r w:rsidRPr="00E13B55">
        <w:rPr>
          <w:lang w:val="en-GB"/>
        </w:rPr>
        <w:t>more or less constant</w:t>
      </w:r>
      <w:proofErr w:type="gramEnd"/>
      <w:r w:rsidRPr="00E13B55">
        <w:rPr>
          <w:lang w:val="en-GB"/>
        </w:rPr>
        <w:t xml:space="preserve"> power. Examples for such services are FM Radio, digital radio and digital terrestrial television. Such transmitters can be assessed very easily. A frequency selective meter can be used for such assessments. Also, if the transmitted average e.i.r.p. is not constant, the following measurement can be applied, but it will result in the actual exposure only, not in the maximum one.</w:t>
      </w:r>
    </w:p>
    <w:p w14:paraId="6ADE9D53" w14:textId="77777777" w:rsidR="0013550A" w:rsidRPr="00E13B55" w:rsidRDefault="0013550A" w:rsidP="0013550A">
      <w:pPr>
        <w:rPr>
          <w:lang w:val="en-GB"/>
        </w:rPr>
      </w:pPr>
      <w:r w:rsidRPr="00E13B55">
        <w:rPr>
          <w:lang w:val="en-GB"/>
        </w:rPr>
        <w:t xml:space="preserve">The first step is to select an appropriate selection filter in order to capture nearly 100% of the power of the channel of interest and as less power of the adjacent channels as possible. </w:t>
      </w:r>
    </w:p>
    <w:p w14:paraId="79466AD1" w14:textId="77777777" w:rsidR="0013550A" w:rsidRPr="00E13B55" w:rsidRDefault="0013550A" w:rsidP="0013550A">
      <w:pPr>
        <w:rPr>
          <w:lang w:val="en-GB"/>
        </w:rPr>
      </w:pPr>
      <w:r w:rsidRPr="00E13B55">
        <w:rPr>
          <w:lang w:val="en-GB"/>
        </w:rPr>
        <w:t>The usage of the Gaussian selection filters in spectrum modes can lead to significant measurements’ uncertainties if systems with narrow channel spacing are measured. These additional uncertainties can be avoided by using channel power options or receiver modes with appropriate channel filters.</w:t>
      </w:r>
    </w:p>
    <w:p w14:paraId="1D7CC2E6" w14:textId="14B99382" w:rsidR="0013550A" w:rsidRPr="00E13B55" w:rsidRDefault="0013550A" w:rsidP="0013550A">
      <w:pPr>
        <w:rPr>
          <w:lang w:val="en-GB"/>
        </w:rPr>
      </w:pPr>
      <w:r w:rsidRPr="00E13B55">
        <w:rPr>
          <w:lang w:val="en-GB"/>
        </w:rPr>
        <w:t xml:space="preserve">The next step deals with the appropriate integration time of the RMS detector. The integration time </w:t>
      </w:r>
      <w:r w:rsidR="00276036" w:rsidRPr="00E13B55">
        <w:rPr>
          <w:lang w:val="en-GB"/>
        </w:rPr>
        <w:t xml:space="preserve">selected </w:t>
      </w:r>
      <w:r w:rsidRPr="00E13B55">
        <w:rPr>
          <w:lang w:val="en-GB"/>
        </w:rPr>
        <w:t xml:space="preserve">must be </w:t>
      </w:r>
      <w:r w:rsidR="00276036" w:rsidRPr="00E13B55">
        <w:rPr>
          <w:lang w:val="en-GB"/>
        </w:rPr>
        <w:t xml:space="preserve">sufficiently </w:t>
      </w:r>
      <w:r w:rsidRPr="00E13B55">
        <w:rPr>
          <w:lang w:val="en-GB"/>
        </w:rPr>
        <w:t>long to reduce the fluctuations of the detected power to a negligible value but should not be much longer, in order to speed up the measurement process. It must also be shorter than the maximum permissible integration time of the relevant exposure limits. Finally, the integration time must be long enough to contain at least 100 samples.</w:t>
      </w:r>
    </w:p>
    <w:p w14:paraId="564DA57B" w14:textId="77777777" w:rsidR="0013550A" w:rsidRPr="00E13B55" w:rsidRDefault="0013550A" w:rsidP="0013550A">
      <w:pPr>
        <w:pStyle w:val="Heading3"/>
        <w:rPr>
          <w:lang w:val="en-GB"/>
        </w:rPr>
      </w:pPr>
      <w:bookmarkStart w:id="85" w:name="_Toc10060760"/>
      <w:bookmarkStart w:id="86" w:name="_Toc10138201"/>
      <w:r w:rsidRPr="00E13B55">
        <w:rPr>
          <w:lang w:val="en-GB"/>
        </w:rPr>
        <w:t>3.5.2</w:t>
      </w:r>
      <w:r w:rsidRPr="00E13B55">
        <w:rPr>
          <w:lang w:val="en-GB"/>
        </w:rPr>
        <w:tab/>
        <w:t>Approaches for specific services</w:t>
      </w:r>
      <w:bookmarkEnd w:id="85"/>
      <w:bookmarkEnd w:id="86"/>
    </w:p>
    <w:p w14:paraId="7BD234CC" w14:textId="77777777" w:rsidR="0013550A" w:rsidRPr="00E13B55" w:rsidRDefault="0013550A" w:rsidP="0013550A">
      <w:pPr>
        <w:pStyle w:val="Heading4"/>
        <w:rPr>
          <w:lang w:val="en-GB"/>
        </w:rPr>
      </w:pPr>
      <w:bookmarkStart w:id="87" w:name="_Toc514256078"/>
      <w:r w:rsidRPr="00E13B55">
        <w:rPr>
          <w:lang w:val="en-GB"/>
        </w:rPr>
        <w:t>3.5.2.1</w:t>
      </w:r>
      <w:r w:rsidRPr="00E13B55">
        <w:rPr>
          <w:lang w:val="en-GB"/>
        </w:rPr>
        <w:tab/>
        <w:t>GSM base stations</w:t>
      </w:r>
      <w:bookmarkEnd w:id="87"/>
    </w:p>
    <w:p w14:paraId="4A408380" w14:textId="77777777" w:rsidR="0013550A" w:rsidRPr="00E13B55" w:rsidRDefault="0013550A" w:rsidP="0013550A">
      <w:pPr>
        <w:rPr>
          <w:lang w:val="en-GB"/>
        </w:rPr>
      </w:pPr>
      <w:r w:rsidRPr="00E13B55">
        <w:rPr>
          <w:lang w:val="en-GB"/>
        </w:rPr>
        <w:t xml:space="preserve">The GSM cellular network is one of the services where the transmitted power depends highly on the traffic load and user behaviour. As with every service, the actual exposure can be assessed with the general approach described in previous sections. But the maximum possible exposure due to a base station often </w:t>
      </w:r>
      <w:proofErr w:type="gramStart"/>
      <w:r w:rsidRPr="00E13B55">
        <w:rPr>
          <w:lang w:val="en-GB"/>
        </w:rPr>
        <w:t>has to</w:t>
      </w:r>
      <w:proofErr w:type="gramEnd"/>
      <w:r w:rsidRPr="00E13B55">
        <w:rPr>
          <w:lang w:val="en-GB"/>
        </w:rPr>
        <w:t xml:space="preserve"> be judged also by regulators or operators.</w:t>
      </w:r>
    </w:p>
    <w:p w14:paraId="2801960D" w14:textId="77777777" w:rsidR="0013550A" w:rsidRPr="00E13B55" w:rsidRDefault="0013550A" w:rsidP="0013550A">
      <w:pPr>
        <w:rPr>
          <w:lang w:val="en-GB"/>
        </w:rPr>
      </w:pPr>
      <w:r w:rsidRPr="00E13B55">
        <w:rPr>
          <w:lang w:val="en-GB"/>
        </w:rPr>
        <w:t xml:space="preserve">At least one time slot of the eight time slots of a GSM frame is transmitted with the maximum power on the </w:t>
      </w:r>
      <w:bookmarkStart w:id="88" w:name="_Hlk516262896"/>
      <w:r w:rsidRPr="00E13B55">
        <w:rPr>
          <w:lang w:val="en-GB"/>
        </w:rPr>
        <w:t xml:space="preserve">broadcast control channel (BCCH) </w:t>
      </w:r>
      <w:bookmarkEnd w:id="88"/>
      <w:r w:rsidRPr="00E13B55">
        <w:rPr>
          <w:lang w:val="en-GB"/>
        </w:rPr>
        <w:t xml:space="preserve">of a GSM cell. Other time slots can transmit the same or lower power. Some time slots may use Gaussian Minimum Shift Keying (GMSK) modulation and some enhanced data rates for GSM evolution (EDGE) modulation. The power of EDGE time slots fluctuates around the mean power of the timeslot because this modulation type generates noise like signals. The RMS integration time for BCCH measurements must be less than the length of a time slot (577 µs) in order to ensure that the maximum power of a single timeslot can be captured without attenuation. The integration time should not be much shorter because the power fluctuations due to EDGE modulation </w:t>
      </w:r>
      <w:proofErr w:type="gramStart"/>
      <w:r w:rsidRPr="00E13B55">
        <w:rPr>
          <w:lang w:val="en-GB"/>
        </w:rPr>
        <w:t>have to</w:t>
      </w:r>
      <w:proofErr w:type="gramEnd"/>
      <w:r w:rsidRPr="00E13B55">
        <w:rPr>
          <w:lang w:val="en-GB"/>
        </w:rPr>
        <w:t xml:space="preserve"> be reduced to negligible values. The maximum of the RMS values over time then corresponds with the maximum transmitted power of the BCCH. A cell also transmits on traffic channels (TCHs) at different frequencies. The maximum possible exposure due to all channels of a GSM cell can be extrapolated now. It is the maximum possible </w:t>
      </w:r>
      <w:r w:rsidRPr="00E13B55">
        <w:rPr>
          <w:lang w:val="en-GB"/>
        </w:rPr>
        <w:lastRenderedPageBreak/>
        <w:t xml:space="preserve">exposure due to the BCCH multiplied with the total number of frequency channels of the cell which can be operated simultaneously. The exposure due to all </w:t>
      </w:r>
      <w:proofErr w:type="gramStart"/>
      <w:r w:rsidRPr="00E13B55">
        <w:rPr>
          <w:lang w:val="en-GB"/>
        </w:rPr>
        <w:t>cells</w:t>
      </w:r>
      <w:proofErr w:type="gramEnd"/>
      <w:r w:rsidRPr="00E13B55">
        <w:rPr>
          <w:lang w:val="en-GB"/>
        </w:rPr>
        <w:t xml:space="preserve"> receivable at the location of interest is the addition of all cell specific exposure values.</w:t>
      </w:r>
    </w:p>
    <w:p w14:paraId="5FE62E50" w14:textId="77777777" w:rsidR="0013550A" w:rsidRPr="00E13B55" w:rsidRDefault="0013550A" w:rsidP="0013550A">
      <w:pPr>
        <w:pStyle w:val="Heading4"/>
        <w:rPr>
          <w:lang w:val="en-GB"/>
        </w:rPr>
      </w:pPr>
      <w:bookmarkStart w:id="89" w:name="_Toc514256079"/>
      <w:r w:rsidRPr="00E13B55">
        <w:rPr>
          <w:lang w:val="en-GB"/>
        </w:rPr>
        <w:t>3.5.2.2</w:t>
      </w:r>
      <w:r w:rsidRPr="00E13B55">
        <w:rPr>
          <w:lang w:val="en-GB"/>
        </w:rPr>
        <w:tab/>
        <w:t>UMTS base stations</w:t>
      </w:r>
      <w:bookmarkEnd w:id="89"/>
    </w:p>
    <w:p w14:paraId="1C8B98BE" w14:textId="77777777" w:rsidR="0013550A" w:rsidRPr="00E13B55" w:rsidRDefault="0013550A" w:rsidP="0013550A">
      <w:pPr>
        <w:rPr>
          <w:lang w:val="en-GB"/>
        </w:rPr>
      </w:pPr>
      <w:r w:rsidRPr="00E13B55">
        <w:rPr>
          <w:lang w:val="en-GB"/>
        </w:rPr>
        <w:t>The UMTS cellular network is also one of the services where the transmitted power depends highly on the traffic load and user behaviour. The following procedure is state of the art, if extrapolation to the maximum possible exposure is desired:</w:t>
      </w:r>
    </w:p>
    <w:p w14:paraId="326F7728" w14:textId="39457EFD" w:rsidR="0013550A" w:rsidRPr="00E13B55" w:rsidRDefault="0013550A" w:rsidP="0013550A">
      <w:pPr>
        <w:rPr>
          <w:lang w:val="en-GB"/>
        </w:rPr>
      </w:pPr>
      <w:r w:rsidRPr="00E13B55">
        <w:rPr>
          <w:lang w:val="en-GB"/>
        </w:rPr>
        <w:t xml:space="preserve">UMTS is a code division multiple access (CDMA) system. Up to 512 data channels can be transmitted per cell. The different relatively low data rate channels are spread by different channelization codes over the relatively high bandwidth of a UMTS frequency channel. Because different cells use different scrambling codes, signals from different cells using the same frequency channel can also be separated. In each cell there is a </w:t>
      </w:r>
      <w:bookmarkStart w:id="90" w:name="_Hlk516263195"/>
      <w:r w:rsidRPr="00E13B55">
        <w:rPr>
          <w:lang w:val="en-GB"/>
        </w:rPr>
        <w:t>P-CPICH (primary common pilot channel)</w:t>
      </w:r>
      <w:bookmarkEnd w:id="90"/>
      <w:r w:rsidRPr="00E13B55">
        <w:rPr>
          <w:lang w:val="en-GB"/>
        </w:rPr>
        <w:t xml:space="preserve"> which is transmitted with a constant power. The service provider can set the ratio of the maximum cell power to the P-CPICH power. Usually</w:t>
      </w:r>
      <w:r w:rsidR="000D794D" w:rsidRPr="00E13B55">
        <w:rPr>
          <w:lang w:val="en-GB"/>
        </w:rPr>
        <w:t>,</w:t>
      </w:r>
      <w:r w:rsidRPr="00E13B55">
        <w:rPr>
          <w:lang w:val="en-GB"/>
        </w:rPr>
        <w:t xml:space="preserve"> this power ratio lies in range from 8 to 15. </w:t>
      </w:r>
      <w:r w:rsidR="006D3097" w:rsidRPr="00E13B55">
        <w:rPr>
          <w:lang w:val="en-GB"/>
        </w:rPr>
        <w:t>Thus,</w:t>
      </w:r>
      <w:r w:rsidRPr="00E13B55">
        <w:rPr>
          <w:lang w:val="en-GB"/>
        </w:rPr>
        <w:t xml:space="preserve"> measuring the exposure due to the P-CPICH of a specific cell and multiplying it with the power ratio of this cell results in the maximum possible exposure due to this cell. The exposure due to all cells is the sum of all cell specific exposure values.</w:t>
      </w:r>
    </w:p>
    <w:p w14:paraId="793B13F7" w14:textId="77777777" w:rsidR="0013550A" w:rsidRPr="00E13B55" w:rsidRDefault="0013550A" w:rsidP="0013550A">
      <w:pPr>
        <w:pStyle w:val="Heading4"/>
        <w:rPr>
          <w:lang w:val="en-GB"/>
        </w:rPr>
      </w:pPr>
      <w:bookmarkStart w:id="91" w:name="_Toc514256080"/>
      <w:r w:rsidRPr="00E13B55">
        <w:rPr>
          <w:lang w:val="en-GB"/>
        </w:rPr>
        <w:t>3.5.2.3</w:t>
      </w:r>
      <w:r w:rsidRPr="00E13B55">
        <w:rPr>
          <w:lang w:val="en-GB"/>
        </w:rPr>
        <w:tab/>
        <w:t>LTE base stations</w:t>
      </w:r>
      <w:bookmarkEnd w:id="91"/>
    </w:p>
    <w:p w14:paraId="6A79F426" w14:textId="77777777" w:rsidR="0013550A" w:rsidRPr="00E13B55" w:rsidRDefault="0013550A" w:rsidP="0013550A">
      <w:pPr>
        <w:rPr>
          <w:lang w:val="en-GB"/>
        </w:rPr>
      </w:pPr>
      <w:r w:rsidRPr="00E13B55">
        <w:rPr>
          <w:lang w:val="en-GB"/>
        </w:rPr>
        <w:t>The LTE cellular network is also one of the services where the transmitted power depends highly on the traffic load and user behaviour. The following procedure is state of the art, if extrapolation to the maximum possible exposure is desired:</w:t>
      </w:r>
    </w:p>
    <w:p w14:paraId="639834BD" w14:textId="1959B22E" w:rsidR="0013550A" w:rsidRPr="00E13B55" w:rsidRDefault="0013550A" w:rsidP="0013550A">
      <w:pPr>
        <w:rPr>
          <w:lang w:val="en-GB"/>
        </w:rPr>
      </w:pPr>
      <w:r w:rsidRPr="00E13B55">
        <w:rPr>
          <w:lang w:val="en-GB"/>
        </w:rPr>
        <w:t>LTE is a</w:t>
      </w:r>
      <w:r w:rsidR="000D794D" w:rsidRPr="00E13B55">
        <w:rPr>
          <w:lang w:val="en-GB"/>
        </w:rPr>
        <w:t>n</w:t>
      </w:r>
      <w:r w:rsidRPr="00E13B55">
        <w:rPr>
          <w:lang w:val="en-GB"/>
        </w:rPr>
        <w:t xml:space="preserve"> orthogonal frequency division multiplexing (OFDM) system. It can use frequency division duplex (FDD) or </w:t>
      </w:r>
      <w:bookmarkStart w:id="92" w:name="_Hlk516263429"/>
      <w:r w:rsidRPr="00E13B55">
        <w:rPr>
          <w:lang w:val="en-GB"/>
        </w:rPr>
        <w:t xml:space="preserve">time division duplex (TDD) </w:t>
      </w:r>
      <w:bookmarkEnd w:id="92"/>
      <w:r w:rsidRPr="00E13B55">
        <w:rPr>
          <w:lang w:val="en-GB"/>
        </w:rPr>
        <w:t>mode. There are one, two or four cell specific reference signals embedded in the resource grid of a</w:t>
      </w:r>
      <w:r w:rsidR="000D794D" w:rsidRPr="00E13B55">
        <w:rPr>
          <w:lang w:val="en-GB"/>
        </w:rPr>
        <w:t>n</w:t>
      </w:r>
      <w:r w:rsidRPr="00E13B55">
        <w:rPr>
          <w:lang w:val="en-GB"/>
        </w:rPr>
        <w:t xml:space="preserve"> LTE frame. The number of the reference signals is the same as the number of the transmitting antennas. Each reference signal is transmitted over its associated antenna only and with constant power. Note that the transmitted power of traffic dependent symbols is distributed equally over all antennas in use.</w:t>
      </w:r>
    </w:p>
    <w:p w14:paraId="612C15D1" w14:textId="77777777" w:rsidR="0013550A" w:rsidRPr="00E13B55" w:rsidRDefault="0013550A" w:rsidP="0013550A">
      <w:pPr>
        <w:rPr>
          <w:lang w:val="en-GB"/>
        </w:rPr>
      </w:pPr>
      <w:r w:rsidRPr="00E13B55">
        <w:rPr>
          <w:lang w:val="en-GB"/>
        </w:rPr>
        <w:t>The mean value of the exposure due to single resource elements transmitting cell specific reference signals is measured in a first step for each antenna and cell separately. The sum over all antennas used by a specific cell is calculated in a second step. In a third step, this sum is multiplied with an extrapolation factor which results in the maximum possible exposure due to the specific cell. The exposure due to all cells is the addition of all cell specific exposure values.</w:t>
      </w:r>
    </w:p>
    <w:p w14:paraId="734DE6FD" w14:textId="0D7F292F" w:rsidR="0013550A" w:rsidRPr="00E13B55" w:rsidRDefault="0013550A" w:rsidP="0013550A">
      <w:pPr>
        <w:rPr>
          <w:lang w:val="en-GB"/>
        </w:rPr>
      </w:pPr>
      <w:r w:rsidRPr="00E13B55">
        <w:rPr>
          <w:lang w:val="en-GB"/>
        </w:rPr>
        <w:t xml:space="preserve">According to IEC 62232, the extrapolation factor for cells in FDD mode is the number of subcarriers divided by a </w:t>
      </w:r>
      <w:r w:rsidR="00C53E79" w:rsidRPr="00E13B55">
        <w:rPr>
          <w:lang w:val="en-GB"/>
        </w:rPr>
        <w:t>‘</w:t>
      </w:r>
      <w:r w:rsidRPr="00E13B55">
        <w:rPr>
          <w:lang w:val="en-GB"/>
        </w:rPr>
        <w:t>boost factor</w:t>
      </w:r>
      <w:r w:rsidR="00C53E79" w:rsidRPr="00E13B55">
        <w:rPr>
          <w:lang w:val="en-GB"/>
        </w:rPr>
        <w:t>’</w:t>
      </w:r>
      <w:r w:rsidRPr="00E13B55">
        <w:rPr>
          <w:lang w:val="en-GB"/>
        </w:rPr>
        <w:t xml:space="preserve">. The number of the subcarriers depends on the bandwidth of the cell only (72, 180, 300, 600, 900 or 1 200 subcarriers for a bandwidth of 1.4, 3, 5, 10, 15 or 20 MHz). The </w:t>
      </w:r>
      <w:r w:rsidR="00C53E79" w:rsidRPr="00E13B55">
        <w:rPr>
          <w:lang w:val="en-GB"/>
        </w:rPr>
        <w:t>‘</w:t>
      </w:r>
      <w:r w:rsidRPr="00E13B55">
        <w:rPr>
          <w:lang w:val="en-GB"/>
        </w:rPr>
        <w:t>boost factor</w:t>
      </w:r>
      <w:r w:rsidR="00C53E79" w:rsidRPr="00E13B55">
        <w:rPr>
          <w:lang w:val="en-GB"/>
        </w:rPr>
        <w:t>’</w:t>
      </w:r>
      <w:r w:rsidRPr="00E13B55">
        <w:rPr>
          <w:lang w:val="en-GB"/>
        </w:rPr>
        <w:t xml:space="preserve"> may depend on the cell settings and </w:t>
      </w:r>
      <w:proofErr w:type="gramStart"/>
      <w:r w:rsidRPr="00E13B55">
        <w:rPr>
          <w:lang w:val="en-GB"/>
        </w:rPr>
        <w:t>has to</w:t>
      </w:r>
      <w:proofErr w:type="gramEnd"/>
      <w:r w:rsidRPr="00E13B55">
        <w:rPr>
          <w:lang w:val="en-GB"/>
        </w:rPr>
        <w:t xml:space="preserve"> be requested from the service provider if in doubt. The correct “boost factor” in the sense of IEC 62232 is identical to the number of antennas in many cases.</w:t>
      </w:r>
    </w:p>
    <w:p w14:paraId="0EA35F9D" w14:textId="77777777" w:rsidR="0013550A" w:rsidRPr="00E13B55" w:rsidRDefault="0013550A" w:rsidP="0013550A">
      <w:pPr>
        <w:rPr>
          <w:lang w:val="en-GB"/>
        </w:rPr>
      </w:pPr>
      <w:r w:rsidRPr="00E13B55">
        <w:rPr>
          <w:lang w:val="en-GB"/>
        </w:rPr>
        <w:t>For a cell in TDD mode the extrapolation factor is the same as for a cell in FDD mode, but multiplied with a correction factor, defined by the ratio of the time used for downlink within a frame to the frame length. The actual ratio can be measured roughly in “scope” mode of a selective meter or it can be calculated exactly if the uplink-downlink configuration, special-subframe configuration and the cyclic prefix length of the specific cell is known. The possible range of the correction factor is 34/140 up to 106/120. If in doubt or, if the service provider does not guarantee not to change the uplink-downlink configuration, the maximum correction factor should be used.</w:t>
      </w:r>
    </w:p>
    <w:p w14:paraId="2C97CC80" w14:textId="77777777" w:rsidR="0013550A" w:rsidRPr="00E13B55" w:rsidRDefault="0013550A" w:rsidP="0013550A">
      <w:pPr>
        <w:pStyle w:val="Heading4"/>
        <w:rPr>
          <w:lang w:val="en-GB"/>
        </w:rPr>
      </w:pPr>
      <w:r w:rsidRPr="00E13B55">
        <w:rPr>
          <w:lang w:val="en-GB"/>
        </w:rPr>
        <w:lastRenderedPageBreak/>
        <w:t>3.5.2.4</w:t>
      </w:r>
      <w:r w:rsidRPr="00E13B55">
        <w:rPr>
          <w:lang w:val="en-GB"/>
        </w:rPr>
        <w:tab/>
        <w:t>Wi-Fi access points</w:t>
      </w:r>
    </w:p>
    <w:p w14:paraId="568D0265" w14:textId="77777777" w:rsidR="0013550A" w:rsidRPr="00E13B55" w:rsidRDefault="0013550A" w:rsidP="0013550A">
      <w:pPr>
        <w:rPr>
          <w:lang w:val="en-GB"/>
        </w:rPr>
      </w:pPr>
      <w:r w:rsidRPr="00E13B55">
        <w:rPr>
          <w:lang w:val="en-GB"/>
        </w:rPr>
        <w:t xml:space="preserve">Wi-Fi networks are an application where the transmitted power depends highly on the traffic load and user behaviour. The OFDM RF signal is emitted in bursts, so all the carriers of the channel are active at certain times, depending on the traffic. As a consequence, the most difficult scenario for assessing the exposure is the idle mode, in which only 0.5 </w:t>
      </w:r>
      <w:proofErr w:type="spellStart"/>
      <w:r w:rsidRPr="00E13B55">
        <w:rPr>
          <w:lang w:val="en-GB"/>
        </w:rPr>
        <w:t>ms</w:t>
      </w:r>
      <w:proofErr w:type="spellEnd"/>
      <w:r w:rsidRPr="00E13B55">
        <w:rPr>
          <w:lang w:val="en-GB"/>
        </w:rPr>
        <w:t xml:space="preserve"> duration sequence of beacons is transmitted </w:t>
      </w:r>
      <w:proofErr w:type="gramStart"/>
      <w:r w:rsidRPr="00E13B55">
        <w:rPr>
          <w:lang w:val="en-GB"/>
        </w:rPr>
        <w:t>every some</w:t>
      </w:r>
      <w:proofErr w:type="gramEnd"/>
      <w:r w:rsidRPr="00E13B55">
        <w:rPr>
          <w:lang w:val="en-GB"/>
        </w:rPr>
        <w:t xml:space="preserve"> tens of milliseconds. With the following measurement procedure, it is possible to extrapolate the maximum exposure. </w:t>
      </w:r>
    </w:p>
    <w:p w14:paraId="7AA1C9DC" w14:textId="2B33F18A" w:rsidR="0013550A" w:rsidRPr="00E13B55" w:rsidRDefault="0013550A" w:rsidP="0013550A">
      <w:pPr>
        <w:rPr>
          <w:lang w:val="en-GB"/>
        </w:rPr>
      </w:pPr>
      <w:r w:rsidRPr="00E13B55">
        <w:rPr>
          <w:lang w:val="en-GB"/>
        </w:rPr>
        <w:t>The channel power of the Wi-Fi signal is measured continuously with a</w:t>
      </w:r>
      <w:r w:rsidR="0017408A" w:rsidRPr="00E13B55">
        <w:rPr>
          <w:lang w:val="en-GB"/>
        </w:rPr>
        <w:t>n</w:t>
      </w:r>
      <w:r w:rsidRPr="00E13B55">
        <w:rPr>
          <w:lang w:val="en-GB"/>
        </w:rPr>
        <w:t xml:space="preserve"> RMS integration time less than 0.5 </w:t>
      </w:r>
      <w:proofErr w:type="spellStart"/>
      <w:r w:rsidRPr="00E13B55">
        <w:rPr>
          <w:lang w:val="en-GB"/>
        </w:rPr>
        <w:t>ms</w:t>
      </w:r>
      <w:proofErr w:type="spellEnd"/>
      <w:r w:rsidRPr="00E13B55">
        <w:rPr>
          <w:lang w:val="en-GB"/>
        </w:rPr>
        <w:t>. The maximum channel power over time is determined. This maximum channel power should be converted to the corresponding field strength. This field strength can be compared with the exposure limit. If the duty cycle of the Wi-Fi system is limited to values lower than 100%, the maximum exposure must be adjusted, according to the duty cycle.</w:t>
      </w:r>
    </w:p>
    <w:p w14:paraId="47FCADD4" w14:textId="77777777" w:rsidR="001B3C78" w:rsidRPr="00E13B55" w:rsidRDefault="001B3C78" w:rsidP="001B3C78">
      <w:pPr>
        <w:pStyle w:val="Heading4"/>
        <w:rPr>
          <w:lang w:val="en-GB"/>
        </w:rPr>
      </w:pPr>
      <w:bookmarkStart w:id="93" w:name="_Toc10138202"/>
      <w:r w:rsidRPr="00E13B55">
        <w:rPr>
          <w:lang w:val="en-GB"/>
        </w:rPr>
        <w:t>3.5.2.5</w:t>
      </w:r>
      <w:r w:rsidRPr="00E13B55">
        <w:rPr>
          <w:lang w:val="en-GB"/>
        </w:rPr>
        <w:tab/>
        <w:t>5G New Radio base stations</w:t>
      </w:r>
    </w:p>
    <w:p w14:paraId="401EA545" w14:textId="77777777" w:rsidR="001B3C78" w:rsidRPr="00E13B55" w:rsidRDefault="001B3C78" w:rsidP="001B3C78">
      <w:pPr>
        <w:rPr>
          <w:lang w:val="en-GB"/>
        </w:rPr>
      </w:pPr>
      <w:r w:rsidRPr="00E13B55">
        <w:rPr>
          <w:lang w:val="en-GB"/>
        </w:rPr>
        <w:t>The 5G New Radio (NR) cellular network is also one of the applications where the transmitted power depends highly on the traffic load and user behaviour. The following procedure is state of the art, if extrapolation to the maximum possible exposure is desired:</w:t>
      </w:r>
    </w:p>
    <w:p w14:paraId="72B72BB8" w14:textId="4C6C4BFA" w:rsidR="001B3C78" w:rsidRPr="00E13B55" w:rsidRDefault="001B3C78" w:rsidP="001B3C78">
      <w:pPr>
        <w:overflowPunct/>
        <w:rPr>
          <w:lang w:val="en-GB"/>
        </w:rPr>
      </w:pPr>
      <w:r w:rsidRPr="00E13B55">
        <w:rPr>
          <w:lang w:val="en-GB"/>
        </w:rPr>
        <w:t>5G NR is an orthogonal frequency division multiplexing (OFDM) system. It can use frequency division duplex (FDD</w:t>
      </w:r>
      <w:r w:rsidR="006D3097" w:rsidRPr="00E13B55">
        <w:rPr>
          <w:lang w:val="en-GB"/>
        </w:rPr>
        <w:t>) but</w:t>
      </w:r>
      <w:r w:rsidRPr="00E13B55">
        <w:rPr>
          <w:lang w:val="en-GB"/>
        </w:rPr>
        <w:t xml:space="preserve"> uses mainly time division duplex (TDD). The only signal which is always transmitted is the </w:t>
      </w:r>
      <w:r w:rsidRPr="00E13B55">
        <w:rPr>
          <w:szCs w:val="24"/>
          <w:lang w:val="en-GB" w:eastAsia="zh-CN"/>
        </w:rPr>
        <w:t>synchronization signal and physical broadcast channel (SS/PBCH) block</w:t>
      </w:r>
      <w:r w:rsidRPr="00E13B55">
        <w:rPr>
          <w:rFonts w:ascii="AdvTT7c3c51d9" w:hAnsi="AdvTT7c3c51d9" w:cs="AdvTT7c3c51d9"/>
          <w:sz w:val="21"/>
          <w:szCs w:val="21"/>
          <w:lang w:val="en-GB" w:eastAsia="zh-CN"/>
        </w:rPr>
        <w:t xml:space="preserve">. </w:t>
      </w:r>
      <w:r w:rsidRPr="00E13B55">
        <w:rPr>
          <w:lang w:val="en-GB"/>
        </w:rPr>
        <w:t xml:space="preserve">Between one and 64 SS/PBCH blocks are transmitted, on different beams in a sequence within some half frames of 5 </w:t>
      </w:r>
      <w:proofErr w:type="spellStart"/>
      <w:r w:rsidRPr="00E13B55">
        <w:rPr>
          <w:lang w:val="en-GB"/>
        </w:rPr>
        <w:t>ms</w:t>
      </w:r>
      <w:proofErr w:type="spellEnd"/>
      <w:r w:rsidRPr="00E13B55">
        <w:rPr>
          <w:lang w:val="en-GB"/>
        </w:rPr>
        <w:t xml:space="preserve"> length. The sequence is normally repeated every 20 </w:t>
      </w:r>
      <w:proofErr w:type="spellStart"/>
      <w:r w:rsidRPr="00E13B55">
        <w:rPr>
          <w:lang w:val="en-GB"/>
        </w:rPr>
        <w:t>ms</w:t>
      </w:r>
      <w:proofErr w:type="spellEnd"/>
      <w:r w:rsidRPr="00E13B55">
        <w:rPr>
          <w:lang w:val="en-GB"/>
        </w:rPr>
        <w:t xml:space="preserve">. The secondary synchronization signal (SSS) is cell specific and its power density per resource element can be measured for each cell identification (ID) separately. The beam index of each beam in a sequence can be decoded using the demodulation reference signals (DM-RS) of the PBCH. The knowledge of the beam indices is however not necessary for an accurate extrapolation. More details about the signal structure of the SS/PBCH block can be found in </w:t>
      </w:r>
      <w:r w:rsidRPr="00E13B55">
        <w:rPr>
          <w:rStyle w:val="Emphasis"/>
          <w:rFonts w:eastAsiaTheme="majorEastAsia"/>
          <w:lang w:val="en-GB"/>
        </w:rPr>
        <w:t>H. Keller (2019)</w:t>
      </w:r>
      <w:r w:rsidRPr="00E13B55">
        <w:rPr>
          <w:rStyle w:val="FootnoteReference"/>
          <w:lang w:val="en-GB"/>
        </w:rPr>
        <w:footnoteReference w:id="11"/>
      </w:r>
      <w:r w:rsidRPr="00E13B55">
        <w:rPr>
          <w:rStyle w:val="Emphasis"/>
          <w:rFonts w:eastAsiaTheme="majorEastAsia"/>
          <w:lang w:val="en-GB"/>
        </w:rPr>
        <w:t>.</w:t>
      </w:r>
    </w:p>
    <w:p w14:paraId="78152202" w14:textId="77777777" w:rsidR="001B3C78" w:rsidRPr="00E13B55" w:rsidRDefault="001B3C78" w:rsidP="001B3C78">
      <w:pPr>
        <w:rPr>
          <w:lang w:val="en-GB"/>
        </w:rPr>
      </w:pPr>
      <w:r w:rsidRPr="00E13B55">
        <w:rPr>
          <w:lang w:val="en-GB"/>
        </w:rPr>
        <w:t>The mean value of the exposure due to single resource elements transmitting SSS is measured in a first step for each beam and cell separately. The maximum over all beams transmitted by a specific cell is calculated in a second step. In a third step, this value is multiplied by an extrapolation factor which results in the maximum possible exposure due to the specific cell. The exposure due to all cells is the addition of all cell specific exposure values.</w:t>
      </w:r>
    </w:p>
    <w:p w14:paraId="5DC6A3C8" w14:textId="77777777" w:rsidR="001B3C78" w:rsidRPr="00E13B55" w:rsidRDefault="001B3C78" w:rsidP="001B3C78">
      <w:pPr>
        <w:rPr>
          <w:lang w:val="en-GB"/>
        </w:rPr>
      </w:pPr>
      <w:r w:rsidRPr="00E13B55">
        <w:rPr>
          <w:lang w:val="en-GB"/>
        </w:rPr>
        <w:t>The extrapolation factor is the product of four separate extrapolation factors:</w:t>
      </w:r>
    </w:p>
    <w:p w14:paraId="28860FA4" w14:textId="77777777" w:rsidR="001B3C78" w:rsidRPr="00E13B55" w:rsidRDefault="001B3C78" w:rsidP="001B3C78">
      <w:pPr>
        <w:pStyle w:val="Equationlegend"/>
        <w:rPr>
          <w:lang w:val="en-GB"/>
        </w:rPr>
      </w:pPr>
      <w:r w:rsidRPr="00E13B55">
        <w:rPr>
          <w:i/>
          <w:lang w:val="en-GB"/>
        </w:rPr>
        <w:tab/>
      </w:r>
      <w:proofErr w:type="spellStart"/>
      <w:r w:rsidRPr="00E13B55">
        <w:rPr>
          <w:i/>
          <w:lang w:val="en-GB"/>
        </w:rPr>
        <w:t>k</w:t>
      </w:r>
      <w:r w:rsidRPr="00E13B55">
        <w:rPr>
          <w:vertAlign w:val="subscript"/>
          <w:lang w:val="en-GB"/>
        </w:rPr>
        <w:t>BW</w:t>
      </w:r>
      <w:proofErr w:type="spellEnd"/>
      <w:r w:rsidRPr="00E13B55">
        <w:rPr>
          <w:lang w:val="en-GB"/>
        </w:rPr>
        <w:t xml:space="preserve">: </w:t>
      </w:r>
      <w:r w:rsidRPr="00E13B55">
        <w:rPr>
          <w:lang w:val="en-GB"/>
        </w:rPr>
        <w:tab/>
        <w:t>bandwidth of the cell divided by the subcarrier spacing of the SSS</w:t>
      </w:r>
    </w:p>
    <w:p w14:paraId="3A12D434" w14:textId="77777777" w:rsidR="001B3C78" w:rsidRPr="00E13B55" w:rsidRDefault="001B3C78" w:rsidP="001B3C78">
      <w:pPr>
        <w:pStyle w:val="Equationlegend"/>
        <w:rPr>
          <w:lang w:val="en-GB"/>
        </w:rPr>
      </w:pPr>
      <w:r w:rsidRPr="00E13B55">
        <w:rPr>
          <w:i/>
          <w:lang w:val="en-GB"/>
        </w:rPr>
        <w:tab/>
      </w:r>
      <w:proofErr w:type="spellStart"/>
      <w:r w:rsidRPr="00E13B55">
        <w:rPr>
          <w:i/>
          <w:lang w:val="en-GB"/>
        </w:rPr>
        <w:t>k</w:t>
      </w:r>
      <w:r w:rsidRPr="00E13B55">
        <w:rPr>
          <w:vertAlign w:val="subscript"/>
          <w:lang w:val="en-GB"/>
        </w:rPr>
        <w:t>DC</w:t>
      </w:r>
      <w:proofErr w:type="spellEnd"/>
      <w:r w:rsidRPr="00E13B55">
        <w:rPr>
          <w:lang w:val="en-GB"/>
        </w:rPr>
        <w:t>:</w:t>
      </w:r>
      <w:r w:rsidRPr="00E13B55">
        <w:rPr>
          <w:lang w:val="en-GB"/>
        </w:rPr>
        <w:tab/>
        <w:t>duty cycle due to TDD mode</w:t>
      </w:r>
    </w:p>
    <w:p w14:paraId="7F63AF9F" w14:textId="77777777" w:rsidR="001B3C78" w:rsidRPr="00E13B55" w:rsidRDefault="001B3C78" w:rsidP="001B3C78">
      <w:pPr>
        <w:pStyle w:val="Equationlegend"/>
        <w:keepNext/>
        <w:rPr>
          <w:lang w:val="en-GB"/>
        </w:rPr>
      </w:pPr>
      <w:r w:rsidRPr="00E13B55">
        <w:rPr>
          <w:i/>
          <w:lang w:val="en-GB"/>
        </w:rPr>
        <w:tab/>
      </w:r>
      <w:proofErr w:type="spellStart"/>
      <w:r w:rsidRPr="00E13B55">
        <w:rPr>
          <w:i/>
          <w:lang w:val="en-GB"/>
        </w:rPr>
        <w:t>k</w:t>
      </w:r>
      <w:r w:rsidRPr="00E13B55">
        <w:rPr>
          <w:vertAlign w:val="subscript"/>
          <w:lang w:val="en-GB"/>
        </w:rPr>
        <w:t>PR</w:t>
      </w:r>
      <w:proofErr w:type="spellEnd"/>
      <w:r w:rsidRPr="00E13B55">
        <w:rPr>
          <w:lang w:val="en-GB"/>
        </w:rPr>
        <w:t>:</w:t>
      </w:r>
      <w:r w:rsidRPr="00E13B55">
        <w:rPr>
          <w:lang w:val="en-GB"/>
        </w:rPr>
        <w:tab/>
        <w:t>power reduction factor due to traffic power or e.i.r.p. limiters</w:t>
      </w:r>
    </w:p>
    <w:p w14:paraId="2E5553B5" w14:textId="77777777" w:rsidR="001B3C78" w:rsidRPr="00E13B55" w:rsidRDefault="001B3C78" w:rsidP="001B3C78">
      <w:pPr>
        <w:pStyle w:val="Equationlegend"/>
        <w:rPr>
          <w:lang w:val="en-GB"/>
        </w:rPr>
      </w:pPr>
      <w:r w:rsidRPr="00E13B55">
        <w:rPr>
          <w:lang w:val="en-GB"/>
        </w:rPr>
        <w:tab/>
      </w:r>
      <w:proofErr w:type="spellStart"/>
      <w:r w:rsidRPr="00E13B55">
        <w:rPr>
          <w:i/>
          <w:lang w:val="en-GB"/>
        </w:rPr>
        <w:t>k</w:t>
      </w:r>
      <w:r w:rsidRPr="00E13B55">
        <w:rPr>
          <w:vertAlign w:val="subscript"/>
          <w:lang w:val="en-GB"/>
        </w:rPr>
        <w:t>beam</w:t>
      </w:r>
      <w:proofErr w:type="spellEnd"/>
      <w:r w:rsidRPr="00E13B55">
        <w:rPr>
          <w:lang w:val="en-GB"/>
        </w:rPr>
        <w:t xml:space="preserve">: </w:t>
      </w:r>
      <w:r w:rsidRPr="00E13B55">
        <w:rPr>
          <w:lang w:val="en-GB"/>
        </w:rPr>
        <w:tab/>
        <w:t>angle dependent e.i.r.p. envelope ratio of traffic to SSS beams.</w:t>
      </w:r>
    </w:p>
    <w:p w14:paraId="1A7924CB" w14:textId="77777777" w:rsidR="001B3C78" w:rsidRPr="00E13B55" w:rsidRDefault="001B3C78" w:rsidP="001B3C78">
      <w:pPr>
        <w:rPr>
          <w:lang w:val="en-GB"/>
        </w:rPr>
      </w:pPr>
      <w:r w:rsidRPr="00E13B55">
        <w:rPr>
          <w:lang w:val="en-GB"/>
        </w:rPr>
        <w:t xml:space="preserve">The first two extrapolation factors are trivial and need no further explanation. </w:t>
      </w:r>
    </w:p>
    <w:p w14:paraId="348531A6" w14:textId="751244E2" w:rsidR="001B3C78" w:rsidRPr="00E13B55" w:rsidRDefault="001B3C78" w:rsidP="001B3C78">
      <w:pPr>
        <w:rPr>
          <w:lang w:val="en-GB"/>
        </w:rPr>
      </w:pPr>
      <w:bookmarkStart w:id="94" w:name="_Hlk87198446"/>
      <w:r w:rsidRPr="00E13B55">
        <w:rPr>
          <w:lang w:val="en-GB"/>
        </w:rPr>
        <w:t xml:space="preserve">The third extrapolation factor is 1 if there are no </w:t>
      </w:r>
      <w:bookmarkEnd w:id="94"/>
      <w:r w:rsidRPr="00E13B55">
        <w:rPr>
          <w:lang w:val="en-GB"/>
        </w:rPr>
        <w:t>means to limit the average power or e.i.r.p. of the traffic over the maximum permitted averaging time of the applicable safety standard to values which are smaller than the maximal theoretical power or e.i.r.p. Otherwise, it is the ratio of the limited power or e.i.r.p. to the maximum theoretical power or e.i.r.p.</w:t>
      </w:r>
    </w:p>
    <w:p w14:paraId="74CE8618" w14:textId="77777777" w:rsidR="001B3C78" w:rsidRPr="00E13B55" w:rsidRDefault="001B3C78" w:rsidP="001B3C78">
      <w:pPr>
        <w:rPr>
          <w:lang w:val="en-GB"/>
        </w:rPr>
      </w:pPr>
      <w:r w:rsidRPr="00E13B55">
        <w:rPr>
          <w:lang w:val="en-GB"/>
        </w:rPr>
        <w:lastRenderedPageBreak/>
        <w:t xml:space="preserve">The fourth extrapolation factor reflects the different power, beamforming and polarisations that might be used for the SSS beams and the traffic beams. To obtain this extrapolation factor two e.i.r.p. envelopes must be known. Note that the e.i.r.p. is a function of the azimuth and elevation angle. </w:t>
      </w:r>
    </w:p>
    <w:p w14:paraId="31FB29ED" w14:textId="77777777" w:rsidR="001B3C78" w:rsidRPr="00E13B55" w:rsidRDefault="001B3C78" w:rsidP="001B3C78">
      <w:pPr>
        <w:pStyle w:val="enumlev1"/>
        <w:rPr>
          <w:lang w:val="en-GB"/>
        </w:rPr>
      </w:pPr>
      <w:r w:rsidRPr="00E13B55">
        <w:rPr>
          <w:lang w:val="en-GB"/>
        </w:rPr>
        <w:t>–</w:t>
      </w:r>
      <w:r w:rsidRPr="00E13B55">
        <w:rPr>
          <w:lang w:val="en-GB"/>
        </w:rPr>
        <w:tab/>
        <w:t xml:space="preserve">The first e.i.r.p. envelope (SSS e.i.r.p. envelope) is maximum e.i.r.p. of one resource element over all SSS beams multiplied by </w:t>
      </w:r>
      <w:proofErr w:type="spellStart"/>
      <w:r w:rsidRPr="00E13B55">
        <w:rPr>
          <w:i/>
          <w:lang w:val="en-GB"/>
        </w:rPr>
        <w:t>k</w:t>
      </w:r>
      <w:r w:rsidRPr="00E13B55">
        <w:rPr>
          <w:vertAlign w:val="subscript"/>
          <w:lang w:val="en-GB"/>
        </w:rPr>
        <w:t>BW</w:t>
      </w:r>
      <w:proofErr w:type="spellEnd"/>
      <w:r w:rsidRPr="00E13B55">
        <w:rPr>
          <w:lang w:val="en-GB"/>
        </w:rPr>
        <w:t xml:space="preserve">; </w:t>
      </w:r>
    </w:p>
    <w:p w14:paraId="0B842F75" w14:textId="77777777" w:rsidR="001B3C78" w:rsidRPr="00E13B55" w:rsidRDefault="001B3C78" w:rsidP="001B3C78">
      <w:pPr>
        <w:pStyle w:val="enumlev1"/>
        <w:rPr>
          <w:lang w:val="en-GB"/>
        </w:rPr>
      </w:pPr>
      <w:r w:rsidRPr="00E13B55">
        <w:rPr>
          <w:lang w:val="en-GB"/>
        </w:rPr>
        <w:t>–</w:t>
      </w:r>
      <w:r w:rsidRPr="00E13B55">
        <w:rPr>
          <w:lang w:val="en-GB"/>
        </w:rPr>
        <w:tab/>
        <w:t xml:space="preserve">The second e.i.r.p. envelope (traffic e.i.r.p. envelope) is maximum e.i.r.p. over all possible traffic beams. </w:t>
      </w:r>
    </w:p>
    <w:p w14:paraId="691D647B" w14:textId="77777777" w:rsidR="001B3C78" w:rsidRPr="00E13B55" w:rsidRDefault="001B3C78" w:rsidP="001B3C78">
      <w:pPr>
        <w:rPr>
          <w:sz w:val="22"/>
          <w:lang w:val="en-GB"/>
        </w:rPr>
      </w:pPr>
      <w:r w:rsidRPr="00E13B55">
        <w:rPr>
          <w:lang w:val="en-GB"/>
        </w:rPr>
        <w:t xml:space="preserve">The ratio of the traffic e.i.r.p. envelope to the SSS e.i.r.p. envelope at a specific azimuth and elevation angle is the </w:t>
      </w:r>
      <w:proofErr w:type="spellStart"/>
      <w:r w:rsidRPr="00E13B55">
        <w:rPr>
          <w:i/>
          <w:lang w:val="en-GB"/>
        </w:rPr>
        <w:t>k</w:t>
      </w:r>
      <w:r w:rsidRPr="00E13B55">
        <w:rPr>
          <w:vertAlign w:val="subscript"/>
          <w:lang w:val="en-GB"/>
        </w:rPr>
        <w:t>beam</w:t>
      </w:r>
      <w:proofErr w:type="spellEnd"/>
      <w:r w:rsidRPr="00E13B55">
        <w:rPr>
          <w:lang w:val="en-GB"/>
        </w:rPr>
        <w:t xml:space="preserve"> for this azimuth and elevation angle. Note that </w:t>
      </w:r>
      <w:proofErr w:type="spellStart"/>
      <w:r w:rsidRPr="00E13B55">
        <w:rPr>
          <w:i/>
          <w:lang w:val="en-GB"/>
        </w:rPr>
        <w:t>k</w:t>
      </w:r>
      <w:r w:rsidRPr="00E13B55">
        <w:rPr>
          <w:vertAlign w:val="subscript"/>
          <w:lang w:val="en-GB"/>
        </w:rPr>
        <w:t>beam</w:t>
      </w:r>
      <w:proofErr w:type="spellEnd"/>
      <w:r w:rsidRPr="00E13B55">
        <w:rPr>
          <w:lang w:val="en-GB"/>
        </w:rPr>
        <w:t xml:space="preserve"> can only be obtained if there is a deep knowledge about the specific cell. In some cases, this information may be provided by the operator, but in the absence of this information, the following cases can be distinguished:</w:t>
      </w:r>
    </w:p>
    <w:p w14:paraId="27A4BFBE" w14:textId="77777777" w:rsidR="001B3C78" w:rsidRPr="00E13B55" w:rsidRDefault="001B3C78" w:rsidP="001B3C78">
      <w:pPr>
        <w:pStyle w:val="enumlev1"/>
        <w:rPr>
          <w:lang w:val="en-GB"/>
        </w:rPr>
      </w:pPr>
      <w:r w:rsidRPr="00E13B55">
        <w:rPr>
          <w:lang w:val="en-GB"/>
        </w:rPr>
        <w:t>a)</w:t>
      </w:r>
      <w:r w:rsidRPr="00E13B55">
        <w:rPr>
          <w:lang w:val="en-GB"/>
        </w:rPr>
        <w:tab/>
        <w:t xml:space="preserve">The measurement location is within the angle range covered by the SSB beams and they use the same gain and power as the traffic beams. In this case </w:t>
      </w:r>
      <w:proofErr w:type="spellStart"/>
      <w:r w:rsidRPr="00E13B55">
        <w:rPr>
          <w:i/>
          <w:lang w:val="en-GB"/>
        </w:rPr>
        <w:t>k</w:t>
      </w:r>
      <w:r w:rsidRPr="00E13B55">
        <w:rPr>
          <w:vertAlign w:val="subscript"/>
          <w:lang w:val="en-GB"/>
        </w:rPr>
        <w:t>beam</w:t>
      </w:r>
      <w:proofErr w:type="spellEnd"/>
      <w:r w:rsidRPr="00E13B55">
        <w:rPr>
          <w:lang w:val="en-GB"/>
        </w:rPr>
        <w:t xml:space="preserve"> can be set to 1.</w:t>
      </w:r>
    </w:p>
    <w:p w14:paraId="765C9591" w14:textId="77777777" w:rsidR="001B3C78" w:rsidRPr="00E13B55" w:rsidRDefault="001B3C78" w:rsidP="001B3C78">
      <w:pPr>
        <w:pStyle w:val="enumlev1"/>
        <w:rPr>
          <w:lang w:val="en-GB"/>
        </w:rPr>
      </w:pPr>
      <w:r w:rsidRPr="00E13B55">
        <w:rPr>
          <w:lang w:val="en-GB"/>
        </w:rPr>
        <w:t>b)</w:t>
      </w:r>
      <w:r w:rsidRPr="00E13B55">
        <w:rPr>
          <w:lang w:val="en-GB"/>
        </w:rPr>
        <w:tab/>
        <w:t xml:space="preserve">The measurement location is within the angle range covered by the SSB beams and they use different gain or power as the traffic beams. In this case </w:t>
      </w:r>
      <w:proofErr w:type="spellStart"/>
      <w:r w:rsidRPr="00E13B55">
        <w:rPr>
          <w:i/>
          <w:lang w:val="en-GB"/>
        </w:rPr>
        <w:t>k</w:t>
      </w:r>
      <w:r w:rsidRPr="00E13B55">
        <w:rPr>
          <w:vertAlign w:val="subscript"/>
          <w:lang w:val="en-GB"/>
        </w:rPr>
        <w:t>beam</w:t>
      </w:r>
      <w:proofErr w:type="spellEnd"/>
      <w:r w:rsidRPr="00E13B55">
        <w:rPr>
          <w:lang w:val="en-GB"/>
        </w:rPr>
        <w:t xml:space="preserve"> is </w:t>
      </w:r>
      <w:proofErr w:type="gramStart"/>
      <w:r w:rsidRPr="00E13B55">
        <w:rPr>
          <w:lang w:val="en-GB"/>
        </w:rPr>
        <w:t>more or less constant</w:t>
      </w:r>
      <w:proofErr w:type="gramEnd"/>
      <w:r w:rsidRPr="00E13B55">
        <w:rPr>
          <w:lang w:val="en-GB"/>
        </w:rPr>
        <w:t xml:space="preserve"> over azimuth and elevation and might be provided by the operator. If this is still not the </w:t>
      </w:r>
      <w:proofErr w:type="gramStart"/>
      <w:r w:rsidRPr="00E13B55">
        <w:rPr>
          <w:lang w:val="en-GB"/>
        </w:rPr>
        <w:t>case</w:t>
      </w:r>
      <w:proofErr w:type="gramEnd"/>
      <w:r w:rsidRPr="00E13B55">
        <w:rPr>
          <w:lang w:val="en-GB"/>
        </w:rPr>
        <w:t xml:space="preserve"> then case c) is applicable. </w:t>
      </w:r>
    </w:p>
    <w:p w14:paraId="58E2C8B2" w14:textId="77777777" w:rsidR="001B3C78" w:rsidRPr="00E13B55" w:rsidRDefault="001B3C78" w:rsidP="001B3C78">
      <w:pPr>
        <w:pStyle w:val="enumlev1"/>
        <w:rPr>
          <w:lang w:val="en-GB"/>
        </w:rPr>
      </w:pPr>
      <w:r w:rsidRPr="00E13B55">
        <w:rPr>
          <w:lang w:val="en-GB"/>
        </w:rPr>
        <w:t>c)</w:t>
      </w:r>
      <w:r w:rsidRPr="00E13B55">
        <w:rPr>
          <w:lang w:val="en-GB"/>
        </w:rPr>
        <w:tab/>
        <w:t xml:space="preserve">The measurement location is outside the angle range of the SSB beam or gain or power is different for SSB and traffic beams. In this case, the measurement </w:t>
      </w:r>
      <w:proofErr w:type="gramStart"/>
      <w:r w:rsidRPr="00E13B55">
        <w:rPr>
          <w:lang w:val="en-GB"/>
        </w:rPr>
        <w:t>has to</w:t>
      </w:r>
      <w:proofErr w:type="gramEnd"/>
      <w:r w:rsidRPr="00E13B55">
        <w:rPr>
          <w:lang w:val="en-GB"/>
        </w:rPr>
        <w:t xml:space="preserve"> be performed in a traffic beam. This requires either a test signal being transmitted in the direction of the measurement location, or other means to ensure that a traffic beam is directed to the measurement location.</w:t>
      </w:r>
    </w:p>
    <w:p w14:paraId="0F3A3999" w14:textId="77777777" w:rsidR="001B3C78" w:rsidRPr="00E13B55" w:rsidRDefault="001B3C78" w:rsidP="001B3C78">
      <w:pPr>
        <w:keepNext/>
        <w:rPr>
          <w:lang w:val="en-GB"/>
        </w:rPr>
      </w:pPr>
      <w:r w:rsidRPr="00E13B55">
        <w:rPr>
          <w:lang w:val="en-GB"/>
        </w:rPr>
        <w:t xml:space="preserve">The assessment method for case c) is described here: </w:t>
      </w:r>
    </w:p>
    <w:p w14:paraId="47C04965" w14:textId="139AD4AE" w:rsidR="001B3C78" w:rsidRPr="00E13B55" w:rsidRDefault="001B3C78" w:rsidP="001B3C78">
      <w:pPr>
        <w:rPr>
          <w:lang w:val="en-GB"/>
        </w:rPr>
      </w:pPr>
      <w:r w:rsidRPr="00E13B55">
        <w:rPr>
          <w:lang w:val="en-GB"/>
        </w:rPr>
        <w:t xml:space="preserve">A spectrum analyser is used to find the maximum channel power within a channel bandwidth which is much higher than 12 traffic subcarrier spacings and with an RMS integration time of about one traffic symbol length. The maximum power density value obtained over the observation time (long enough to ensure that at least one symbol occupying the complete channel bandwidth of the </w:t>
      </w:r>
      <w:r w:rsidR="006D3097" w:rsidRPr="00E13B55">
        <w:rPr>
          <w:lang w:val="en-GB"/>
        </w:rPr>
        <w:t>analyser</w:t>
      </w:r>
      <w:r w:rsidRPr="00E13B55">
        <w:rPr>
          <w:lang w:val="en-GB"/>
        </w:rPr>
        <w:t xml:space="preserve"> was transmitted with maximum power and gain into the direction of the measurement location is recorded. The maximum power density of a traffic resource element is estimated by multiplying the recorded maximum with the channel bandwidth and dividing it by the traffic subcarrier spacing. The maximum exposure at the measurement point is the exposure due to the maximum power density of a traffic resource element multiplied by the product of </w:t>
      </w:r>
      <w:proofErr w:type="spellStart"/>
      <w:proofErr w:type="gramStart"/>
      <w:r w:rsidRPr="00E13B55">
        <w:rPr>
          <w:i/>
          <w:lang w:val="en-GB"/>
        </w:rPr>
        <w:t>k</w:t>
      </w:r>
      <w:r w:rsidRPr="00E13B55">
        <w:rPr>
          <w:vertAlign w:val="subscript"/>
          <w:lang w:val="en-GB"/>
        </w:rPr>
        <w:t>BW</w:t>
      </w:r>
      <w:proofErr w:type="spellEnd"/>
      <w:r w:rsidRPr="00E13B55">
        <w:rPr>
          <w:lang w:val="en-GB"/>
        </w:rPr>
        <w:t xml:space="preserve"> ,</w:t>
      </w:r>
      <w:proofErr w:type="gramEnd"/>
      <w:r w:rsidRPr="00E13B55">
        <w:rPr>
          <w:lang w:val="en-GB"/>
        </w:rPr>
        <w:t xml:space="preserve"> </w:t>
      </w:r>
      <w:proofErr w:type="spellStart"/>
      <w:r w:rsidRPr="00E13B55">
        <w:rPr>
          <w:i/>
          <w:lang w:val="en-GB"/>
        </w:rPr>
        <w:t>k</w:t>
      </w:r>
      <w:r w:rsidRPr="00E13B55">
        <w:rPr>
          <w:vertAlign w:val="subscript"/>
          <w:lang w:val="en-GB"/>
        </w:rPr>
        <w:t>DC</w:t>
      </w:r>
      <w:proofErr w:type="spellEnd"/>
      <w:r w:rsidRPr="00E13B55">
        <w:rPr>
          <w:vertAlign w:val="subscript"/>
          <w:lang w:val="en-GB"/>
        </w:rPr>
        <w:t xml:space="preserve"> </w:t>
      </w:r>
      <w:r w:rsidRPr="00E13B55">
        <w:rPr>
          <w:lang w:val="en-GB"/>
        </w:rPr>
        <w:t>and</w:t>
      </w:r>
      <w:r w:rsidRPr="00E13B55">
        <w:rPr>
          <w:i/>
          <w:lang w:val="en-GB"/>
        </w:rPr>
        <w:t xml:space="preserve"> </w:t>
      </w:r>
      <w:proofErr w:type="spellStart"/>
      <w:r w:rsidRPr="00E13B55">
        <w:rPr>
          <w:i/>
          <w:lang w:val="en-GB"/>
        </w:rPr>
        <w:t>k</w:t>
      </w:r>
      <w:r w:rsidRPr="00E13B55">
        <w:rPr>
          <w:vertAlign w:val="subscript"/>
          <w:lang w:val="en-GB"/>
        </w:rPr>
        <w:t>PR</w:t>
      </w:r>
      <w:proofErr w:type="spellEnd"/>
      <w:r w:rsidRPr="00E13B55">
        <w:rPr>
          <w:lang w:val="en-GB"/>
        </w:rPr>
        <w:t>.</w:t>
      </w:r>
    </w:p>
    <w:p w14:paraId="36CC84FA" w14:textId="77777777" w:rsidR="001B3C78" w:rsidRPr="00E13B55" w:rsidRDefault="001B3C78" w:rsidP="001B3C78">
      <w:pPr>
        <w:rPr>
          <w:lang w:val="en-GB"/>
        </w:rPr>
      </w:pPr>
      <w:r w:rsidRPr="00E13B55">
        <w:rPr>
          <w:lang w:val="en-GB"/>
        </w:rPr>
        <w:t>Methods to attract a beam with the required properties for case c) are still under development.</w:t>
      </w:r>
    </w:p>
    <w:p w14:paraId="2BC9EFB7" w14:textId="77777777" w:rsidR="0013550A" w:rsidRPr="00E13B55" w:rsidRDefault="0013550A" w:rsidP="0013550A">
      <w:pPr>
        <w:pStyle w:val="Heading1"/>
        <w:rPr>
          <w:lang w:val="en-GB"/>
        </w:rPr>
      </w:pPr>
      <w:bookmarkStart w:id="95" w:name="_Toc112657096"/>
      <w:r w:rsidRPr="00E13B55">
        <w:rPr>
          <w:lang w:val="en-GB"/>
        </w:rPr>
        <w:t>4</w:t>
      </w:r>
      <w:r w:rsidRPr="00E13B55">
        <w:rPr>
          <w:lang w:val="en-GB"/>
        </w:rPr>
        <w:tab/>
        <w:t>References</w:t>
      </w:r>
      <w:bookmarkEnd w:id="93"/>
      <w:bookmarkEnd w:id="95"/>
    </w:p>
    <w:p w14:paraId="7CFDFD71" w14:textId="3AB27AB1" w:rsidR="0013550A" w:rsidRPr="00E13B55" w:rsidRDefault="00D3774C" w:rsidP="0013550A">
      <w:pPr>
        <w:pStyle w:val="Reftext"/>
        <w:rPr>
          <w:sz w:val="24"/>
          <w:szCs w:val="24"/>
          <w:lang w:val="en-GB"/>
        </w:rPr>
      </w:pPr>
      <w:hyperlink r:id="rId41" w:history="1">
        <w:r w:rsidR="0013550A" w:rsidRPr="00E13B55">
          <w:rPr>
            <w:rStyle w:val="Hyperlink"/>
            <w:color w:val="auto"/>
            <w:sz w:val="24"/>
            <w:szCs w:val="24"/>
            <w:u w:val="none"/>
            <w:lang w:val="en-GB"/>
          </w:rPr>
          <w:t>ITU Handbook on Spectrum Monitoring</w:t>
        </w:r>
      </w:hyperlink>
      <w:r w:rsidR="0013550A" w:rsidRPr="00E13B55">
        <w:rPr>
          <w:sz w:val="24"/>
          <w:szCs w:val="24"/>
          <w:lang w:val="en-GB"/>
        </w:rPr>
        <w:t>, Chapter 5.6</w:t>
      </w:r>
    </w:p>
    <w:p w14:paraId="09F125E5" w14:textId="0AE49590" w:rsidR="00C53E79" w:rsidRPr="00E13B55" w:rsidRDefault="00D3774C" w:rsidP="00C53E79">
      <w:pPr>
        <w:pStyle w:val="Reftext"/>
        <w:ind w:left="0" w:firstLine="0"/>
        <w:rPr>
          <w:sz w:val="24"/>
          <w:szCs w:val="24"/>
          <w:lang w:val="en-GB"/>
        </w:rPr>
      </w:pPr>
      <w:hyperlink r:id="rId42" w:history="1">
        <w:r w:rsidR="00D47CDD">
          <w:rPr>
            <w:rStyle w:val="Hyperlink"/>
            <w:color w:val="auto"/>
            <w:sz w:val="24"/>
            <w:szCs w:val="24"/>
            <w:u w:val="none"/>
            <w:lang w:val="en-GB"/>
          </w:rPr>
          <w:t>Output Report on ITU-D Question 7/2</w:t>
        </w:r>
      </w:hyperlink>
      <w:r w:rsidR="00C53E79" w:rsidRPr="00E13B55">
        <w:rPr>
          <w:sz w:val="24"/>
          <w:szCs w:val="24"/>
          <w:lang w:val="en-GB"/>
        </w:rPr>
        <w:t xml:space="preserve"> for the study period 2018-2021 – Policies, guidelines, regulations and assessments of human exposure to radio-frequency electromagnetic fields</w:t>
      </w:r>
    </w:p>
    <w:p w14:paraId="51E41914" w14:textId="77777777" w:rsidR="0013550A" w:rsidRPr="00E13B55" w:rsidRDefault="00827ED2" w:rsidP="005602D4">
      <w:pPr>
        <w:pStyle w:val="Headingb"/>
        <w:rPr>
          <w:lang w:val="en-GB"/>
        </w:rPr>
      </w:pPr>
      <w:r w:rsidRPr="00E13B55">
        <w:rPr>
          <w:lang w:val="en-GB"/>
        </w:rPr>
        <w:t>ITU-T Recommendations</w:t>
      </w:r>
    </w:p>
    <w:p w14:paraId="7C8C8AF8" w14:textId="77777777" w:rsidR="00A776D3" w:rsidRPr="00E13B55" w:rsidRDefault="00A776D3" w:rsidP="00A776D3">
      <w:pPr>
        <w:rPr>
          <w:rFonts w:eastAsia="Batang"/>
          <w:lang w:val="en-GB" w:eastAsia="zh-CN"/>
        </w:rPr>
      </w:pPr>
      <w:bookmarkStart w:id="96" w:name="_Toc10138203"/>
      <w:r w:rsidRPr="00E13B55">
        <w:rPr>
          <w:rFonts w:eastAsia="Batang"/>
          <w:lang w:val="en-GB"/>
        </w:rPr>
        <w:t xml:space="preserve">Enclosed the most relevant EMF </w:t>
      </w:r>
      <w:hyperlink r:id="rId43" w:history="1">
        <w:r w:rsidRPr="00E13B55">
          <w:rPr>
            <w:rStyle w:val="Hyperlink"/>
            <w:rFonts w:eastAsia="Batang"/>
            <w:color w:val="auto"/>
            <w:u w:val="none"/>
            <w:lang w:val="en-GB"/>
          </w:rPr>
          <w:t>ITU-T Recommendations</w:t>
        </w:r>
      </w:hyperlink>
      <w:r w:rsidRPr="00E13B55">
        <w:rPr>
          <w:rFonts w:eastAsia="Batang"/>
          <w:lang w:val="en-GB"/>
        </w:rPr>
        <w:t xml:space="preserve"> (</w:t>
      </w:r>
      <w:r w:rsidRPr="00E13B55">
        <w:rPr>
          <w:rFonts w:eastAsia="Batang"/>
          <w:szCs w:val="24"/>
          <w:lang w:val="en-GB"/>
        </w:rPr>
        <w:t xml:space="preserve">standards), and </w:t>
      </w:r>
      <w:r w:rsidRPr="00E13B55">
        <w:rPr>
          <w:rFonts w:eastAsia="Batang"/>
          <w:lang w:val="en-GB"/>
        </w:rPr>
        <w:t>related supplements</w:t>
      </w:r>
      <w:r w:rsidRPr="00E13B55">
        <w:rPr>
          <w:rFonts w:eastAsia="Batang"/>
          <w:lang w:val="en-GB" w:eastAsia="zh-CN"/>
        </w:rPr>
        <w:t>:</w:t>
      </w:r>
    </w:p>
    <w:p w14:paraId="36BC3D50" w14:textId="77777777" w:rsidR="00A776D3" w:rsidRPr="00E13B55" w:rsidRDefault="00A776D3" w:rsidP="00A776D3">
      <w:pPr>
        <w:pStyle w:val="enumlev1"/>
        <w:rPr>
          <w:rFonts w:eastAsia="Batang"/>
          <w:lang w:val="en-GB" w:eastAsia="zh-CN"/>
        </w:rPr>
      </w:pPr>
      <w:r w:rsidRPr="00E13B55">
        <w:rPr>
          <w:lang w:val="en-GB"/>
        </w:rPr>
        <w:t>–</w:t>
      </w:r>
      <w:r w:rsidRPr="00E13B55">
        <w:rPr>
          <w:lang w:val="en-GB"/>
        </w:rPr>
        <w:tab/>
      </w:r>
      <w:hyperlink r:id="rId44" w:history="1">
        <w:r w:rsidRPr="00E13B55">
          <w:rPr>
            <w:rStyle w:val="Hyperlink"/>
            <w:rFonts w:eastAsia="Batang"/>
            <w:color w:val="auto"/>
            <w:szCs w:val="24"/>
            <w:u w:val="none"/>
            <w:lang w:val="en-GB" w:eastAsia="zh-CN"/>
          </w:rPr>
          <w:t>K.52</w:t>
        </w:r>
      </w:hyperlink>
      <w:r w:rsidRPr="00E13B55">
        <w:rPr>
          <w:rFonts w:eastAsia="Batang"/>
          <w:lang w:val="en-GB" w:eastAsia="zh-CN"/>
        </w:rPr>
        <w:t xml:space="preserve">: </w:t>
      </w:r>
      <w:r w:rsidRPr="00E13B55">
        <w:rPr>
          <w:rFonts w:eastAsia="Batang"/>
          <w:lang w:val="en-GB"/>
        </w:rPr>
        <w:t>Guidance</w:t>
      </w:r>
      <w:r w:rsidRPr="00E13B55">
        <w:rPr>
          <w:rFonts w:eastAsia="Batang"/>
          <w:lang w:val="en-GB" w:eastAsia="zh-CN"/>
        </w:rPr>
        <w:t xml:space="preserve"> on complying with limits for human exposure to electromagnetic fields</w:t>
      </w:r>
    </w:p>
    <w:p w14:paraId="6E88EB38" w14:textId="77777777" w:rsidR="00A776D3" w:rsidRPr="00E13B55" w:rsidRDefault="00A776D3" w:rsidP="00A776D3">
      <w:pPr>
        <w:pStyle w:val="enumlev1"/>
        <w:rPr>
          <w:rFonts w:eastAsia="Batang"/>
          <w:lang w:val="en-GB" w:eastAsia="zh-CN"/>
        </w:rPr>
      </w:pPr>
      <w:r w:rsidRPr="00E13B55">
        <w:rPr>
          <w:lang w:val="en-GB"/>
        </w:rPr>
        <w:lastRenderedPageBreak/>
        <w:t>–</w:t>
      </w:r>
      <w:r w:rsidRPr="00E13B55">
        <w:rPr>
          <w:lang w:val="en-GB"/>
        </w:rPr>
        <w:tab/>
      </w:r>
      <w:hyperlink r:id="rId45" w:history="1">
        <w:r w:rsidRPr="00E13B55">
          <w:rPr>
            <w:rStyle w:val="Hyperlink"/>
            <w:rFonts w:eastAsia="Batang"/>
            <w:color w:val="auto"/>
            <w:szCs w:val="24"/>
            <w:u w:val="none"/>
            <w:lang w:val="en-GB"/>
          </w:rPr>
          <w:t>K.61</w:t>
        </w:r>
      </w:hyperlink>
      <w:r w:rsidRPr="00E13B55">
        <w:rPr>
          <w:rFonts w:eastAsia="Batang"/>
          <w:lang w:val="en-GB"/>
        </w:rPr>
        <w:t xml:space="preserve">: </w:t>
      </w:r>
      <w:r w:rsidRPr="00E13B55">
        <w:rPr>
          <w:rFonts w:eastAsia="Batang"/>
          <w:lang w:val="en-GB" w:eastAsia="zh-CN"/>
        </w:rPr>
        <w:t>Guidance on measurement and numerical prediction of electromagnetic fields for compliance with human exposure limits for telecommunication installations</w:t>
      </w:r>
    </w:p>
    <w:p w14:paraId="15B4B649" w14:textId="77777777" w:rsidR="00A776D3" w:rsidRPr="00E13B55" w:rsidRDefault="00A776D3" w:rsidP="00A776D3">
      <w:pPr>
        <w:pStyle w:val="enumlev1"/>
        <w:rPr>
          <w:rFonts w:eastAsia="Batang"/>
          <w:lang w:val="en-GB" w:eastAsia="zh-CN"/>
        </w:rPr>
      </w:pPr>
      <w:r w:rsidRPr="00E13B55">
        <w:rPr>
          <w:lang w:val="en-GB"/>
        </w:rPr>
        <w:t>–</w:t>
      </w:r>
      <w:r w:rsidRPr="00E13B55">
        <w:rPr>
          <w:lang w:val="en-GB"/>
        </w:rPr>
        <w:tab/>
      </w:r>
      <w:hyperlink r:id="rId46" w:history="1">
        <w:r w:rsidRPr="00E13B55">
          <w:rPr>
            <w:rStyle w:val="Hyperlink"/>
            <w:rFonts w:eastAsia="Batang"/>
            <w:color w:val="auto"/>
            <w:u w:val="none"/>
            <w:lang w:val="en-GB" w:eastAsia="zh-CN"/>
          </w:rPr>
          <w:t>K.70</w:t>
        </w:r>
      </w:hyperlink>
      <w:r w:rsidRPr="00E13B55">
        <w:rPr>
          <w:rFonts w:eastAsia="Batang"/>
          <w:lang w:val="en-GB" w:eastAsia="zh-CN"/>
        </w:rPr>
        <w:t>: Mitigation techniques to limit human exposure to EMFs in the vicinity of radiocommunication stations</w:t>
      </w:r>
    </w:p>
    <w:p w14:paraId="50C1DA92" w14:textId="77777777" w:rsidR="00A776D3" w:rsidRPr="00E13B55" w:rsidRDefault="00A776D3" w:rsidP="00A776D3">
      <w:pPr>
        <w:pStyle w:val="enumlev1"/>
        <w:rPr>
          <w:rFonts w:eastAsia="Batang"/>
          <w:lang w:val="en-GB" w:eastAsia="zh-CN"/>
        </w:rPr>
      </w:pPr>
      <w:r w:rsidRPr="00E13B55">
        <w:rPr>
          <w:lang w:val="en-GB"/>
        </w:rPr>
        <w:t>–</w:t>
      </w:r>
      <w:r w:rsidRPr="00E13B55">
        <w:rPr>
          <w:lang w:val="en-GB"/>
        </w:rPr>
        <w:tab/>
      </w:r>
      <w:hyperlink r:id="rId47" w:history="1">
        <w:r w:rsidRPr="00E13B55">
          <w:rPr>
            <w:rStyle w:val="Hyperlink"/>
            <w:rFonts w:eastAsia="Batang"/>
            <w:color w:val="auto"/>
            <w:u w:val="none"/>
            <w:lang w:val="en-GB" w:eastAsia="zh-CN"/>
          </w:rPr>
          <w:t>K.83</w:t>
        </w:r>
      </w:hyperlink>
      <w:r w:rsidRPr="00E13B55">
        <w:rPr>
          <w:rFonts w:eastAsia="Batang"/>
          <w:lang w:val="en-GB" w:eastAsia="zh-CN"/>
        </w:rPr>
        <w:t>: Monitoring of electromagnetic field levels</w:t>
      </w:r>
    </w:p>
    <w:p w14:paraId="37EAFAE4" w14:textId="77777777" w:rsidR="00A776D3" w:rsidRPr="00E13B55" w:rsidRDefault="00A776D3" w:rsidP="00A776D3">
      <w:pPr>
        <w:pStyle w:val="enumlev1"/>
        <w:rPr>
          <w:rFonts w:eastAsia="Batang"/>
          <w:lang w:val="en-GB" w:eastAsia="zh-CN"/>
        </w:rPr>
      </w:pPr>
      <w:r w:rsidRPr="00E13B55">
        <w:rPr>
          <w:lang w:val="en-GB"/>
        </w:rPr>
        <w:t>–</w:t>
      </w:r>
      <w:r w:rsidRPr="00E13B55">
        <w:rPr>
          <w:lang w:val="en-GB"/>
        </w:rPr>
        <w:tab/>
      </w:r>
      <w:hyperlink r:id="rId48" w:history="1">
        <w:r w:rsidRPr="00E13B55">
          <w:rPr>
            <w:rStyle w:val="Hyperlink"/>
            <w:rFonts w:eastAsia="Batang"/>
            <w:color w:val="auto"/>
            <w:u w:val="none"/>
            <w:lang w:val="en-GB" w:eastAsia="zh-CN"/>
          </w:rPr>
          <w:t>K.90</w:t>
        </w:r>
      </w:hyperlink>
      <w:r w:rsidRPr="00E13B55">
        <w:rPr>
          <w:rFonts w:eastAsia="Batang"/>
          <w:lang w:val="en-GB" w:eastAsia="zh-CN"/>
        </w:rPr>
        <w:t>: Evaluation techniques and working procedures for compliance with exposure limits of network operator personnel to power-frequency electromagnetic fields</w:t>
      </w:r>
    </w:p>
    <w:p w14:paraId="4CA7CD3A" w14:textId="77777777" w:rsidR="00A776D3" w:rsidRPr="00E13B55" w:rsidRDefault="00A776D3" w:rsidP="00A776D3">
      <w:pPr>
        <w:pStyle w:val="enumlev1"/>
        <w:rPr>
          <w:rFonts w:eastAsia="Batang"/>
          <w:lang w:val="en-GB" w:eastAsia="zh-CN"/>
        </w:rPr>
      </w:pPr>
      <w:r w:rsidRPr="00E13B55">
        <w:rPr>
          <w:lang w:val="en-GB"/>
        </w:rPr>
        <w:t>–</w:t>
      </w:r>
      <w:r w:rsidRPr="00E13B55">
        <w:rPr>
          <w:lang w:val="en-GB"/>
        </w:rPr>
        <w:tab/>
      </w:r>
      <w:hyperlink r:id="rId49" w:history="1">
        <w:r w:rsidRPr="00E13B55">
          <w:rPr>
            <w:rStyle w:val="Hyperlink"/>
            <w:rFonts w:eastAsia="Batang"/>
            <w:color w:val="auto"/>
            <w:u w:val="none"/>
            <w:lang w:val="en-GB"/>
          </w:rPr>
          <w:t>K.91</w:t>
        </w:r>
      </w:hyperlink>
      <w:r w:rsidRPr="00E13B55">
        <w:rPr>
          <w:rFonts w:eastAsia="Batang"/>
          <w:lang w:val="en-GB" w:eastAsia="zh-CN"/>
        </w:rPr>
        <w:t>: Guidance for assessment, evaluation and monitoring of human exposure to radio frequency electromagnetic fields</w:t>
      </w:r>
    </w:p>
    <w:p w14:paraId="5C790016" w14:textId="77777777" w:rsidR="00A776D3" w:rsidRPr="00E13B55" w:rsidRDefault="00A776D3" w:rsidP="00A776D3">
      <w:pPr>
        <w:pStyle w:val="enumlev1"/>
        <w:rPr>
          <w:rFonts w:eastAsia="Batang"/>
          <w:lang w:val="en-GB" w:eastAsia="zh-CN"/>
        </w:rPr>
      </w:pPr>
      <w:r w:rsidRPr="00E13B55">
        <w:rPr>
          <w:lang w:val="en-GB"/>
        </w:rPr>
        <w:t>–</w:t>
      </w:r>
      <w:r w:rsidRPr="00E13B55">
        <w:rPr>
          <w:lang w:val="en-GB"/>
        </w:rPr>
        <w:tab/>
      </w:r>
      <w:hyperlink r:id="rId50" w:history="1">
        <w:r w:rsidRPr="00E13B55">
          <w:rPr>
            <w:rStyle w:val="Hyperlink"/>
            <w:rFonts w:eastAsia="Batang"/>
            <w:color w:val="auto"/>
            <w:u w:val="none"/>
            <w:lang w:val="en-GB" w:eastAsia="zh-CN"/>
          </w:rPr>
          <w:t>K.100</w:t>
        </w:r>
      </w:hyperlink>
      <w:r w:rsidRPr="00E13B55">
        <w:rPr>
          <w:rFonts w:eastAsia="Batang"/>
          <w:lang w:val="en-GB" w:eastAsia="zh-CN"/>
        </w:rPr>
        <w:t>: Measurement of radio frequency electromagnetic fields to determine compliance with human exposure limits when a base station</w:t>
      </w:r>
      <w:r w:rsidRPr="00E13B55">
        <w:rPr>
          <w:rFonts w:eastAsia="Batang"/>
          <w:lang w:val="en-GB"/>
        </w:rPr>
        <w:t xml:space="preserve"> </w:t>
      </w:r>
      <w:r w:rsidRPr="00E13B55">
        <w:rPr>
          <w:rFonts w:eastAsia="Batang"/>
          <w:lang w:val="en-GB" w:eastAsia="zh-CN"/>
        </w:rPr>
        <w:t>is put into service</w:t>
      </w:r>
    </w:p>
    <w:p w14:paraId="290539EA" w14:textId="77777777" w:rsidR="00A776D3" w:rsidRPr="00E13B55" w:rsidRDefault="00A776D3" w:rsidP="00A776D3">
      <w:pPr>
        <w:pStyle w:val="enumlev1"/>
        <w:rPr>
          <w:rFonts w:eastAsia="Batang"/>
          <w:lang w:val="en-GB" w:eastAsia="zh-CN"/>
        </w:rPr>
      </w:pPr>
      <w:r w:rsidRPr="00E13B55">
        <w:rPr>
          <w:lang w:val="en-GB"/>
        </w:rPr>
        <w:t>–</w:t>
      </w:r>
      <w:r w:rsidRPr="00E13B55">
        <w:rPr>
          <w:lang w:val="en-GB"/>
        </w:rPr>
        <w:tab/>
      </w:r>
      <w:hyperlink r:id="rId51" w:history="1">
        <w:r w:rsidRPr="00E13B55">
          <w:rPr>
            <w:rStyle w:val="Hyperlink"/>
            <w:rFonts w:eastAsia="Batang"/>
            <w:color w:val="auto"/>
            <w:u w:val="none"/>
            <w:lang w:val="en-GB" w:eastAsia="zh-CN"/>
          </w:rPr>
          <w:t>K.113</w:t>
        </w:r>
      </w:hyperlink>
      <w:r w:rsidRPr="00E13B55">
        <w:rPr>
          <w:rFonts w:eastAsia="Batang"/>
          <w:lang w:val="en-GB" w:eastAsia="zh-CN"/>
        </w:rPr>
        <w:t>: Generation of radiofrequency electromagnetic field level maps</w:t>
      </w:r>
    </w:p>
    <w:p w14:paraId="488B8B64" w14:textId="77777777" w:rsidR="00A776D3" w:rsidRPr="00E13B55" w:rsidRDefault="00A776D3" w:rsidP="00A776D3">
      <w:pPr>
        <w:pStyle w:val="enumlev1"/>
        <w:rPr>
          <w:rFonts w:eastAsia="Batang"/>
          <w:lang w:val="en-GB" w:eastAsia="zh-CN"/>
        </w:rPr>
      </w:pPr>
      <w:r w:rsidRPr="00E13B55">
        <w:rPr>
          <w:lang w:val="en-GB"/>
        </w:rPr>
        <w:t>–</w:t>
      </w:r>
      <w:r w:rsidRPr="00E13B55">
        <w:rPr>
          <w:lang w:val="en-GB"/>
        </w:rPr>
        <w:tab/>
      </w:r>
      <w:hyperlink r:id="rId52" w:history="1">
        <w:r w:rsidRPr="00E13B55">
          <w:rPr>
            <w:rStyle w:val="Hyperlink"/>
            <w:rFonts w:eastAsia="Batang"/>
            <w:color w:val="auto"/>
            <w:u w:val="none"/>
            <w:lang w:val="en-GB" w:eastAsia="zh-CN"/>
          </w:rPr>
          <w:t>K.122</w:t>
        </w:r>
      </w:hyperlink>
      <w:r w:rsidRPr="00E13B55">
        <w:rPr>
          <w:rFonts w:eastAsia="Batang"/>
          <w:lang w:val="en-GB" w:eastAsia="zh-CN"/>
        </w:rPr>
        <w:t xml:space="preserve">: Exposure levels in </w:t>
      </w:r>
      <w:proofErr w:type="gramStart"/>
      <w:r w:rsidRPr="00E13B55">
        <w:rPr>
          <w:rFonts w:eastAsia="Batang"/>
          <w:lang w:val="en-GB" w:eastAsia="zh-CN"/>
        </w:rPr>
        <w:t>close proximity</w:t>
      </w:r>
      <w:proofErr w:type="gramEnd"/>
      <w:r w:rsidRPr="00E13B55">
        <w:rPr>
          <w:rFonts w:eastAsia="Batang"/>
          <w:lang w:val="en-GB" w:eastAsia="zh-CN"/>
        </w:rPr>
        <w:t xml:space="preserve"> of radiocommunication antennas</w:t>
      </w:r>
    </w:p>
    <w:p w14:paraId="2C6F5CD0" w14:textId="77777777" w:rsidR="00A776D3" w:rsidRPr="00E13B55" w:rsidRDefault="00A776D3" w:rsidP="00A776D3">
      <w:pPr>
        <w:pStyle w:val="enumlev1"/>
        <w:rPr>
          <w:rFonts w:eastAsia="Batang"/>
          <w:lang w:val="en-GB" w:eastAsia="zh-CN"/>
        </w:rPr>
      </w:pPr>
      <w:r w:rsidRPr="00E13B55">
        <w:rPr>
          <w:lang w:val="en-GB"/>
        </w:rPr>
        <w:t>–</w:t>
      </w:r>
      <w:r w:rsidRPr="00E13B55">
        <w:rPr>
          <w:lang w:val="en-GB"/>
        </w:rPr>
        <w:tab/>
      </w:r>
      <w:hyperlink r:id="rId53" w:history="1">
        <w:r w:rsidRPr="00E13B55">
          <w:rPr>
            <w:rStyle w:val="Hyperlink"/>
            <w:rFonts w:eastAsia="Batang"/>
            <w:color w:val="auto"/>
            <w:u w:val="none"/>
            <w:lang w:val="en-GB" w:eastAsia="zh-CN"/>
          </w:rPr>
          <w:t>K.145</w:t>
        </w:r>
      </w:hyperlink>
      <w:r w:rsidRPr="00E13B55">
        <w:rPr>
          <w:rFonts w:eastAsia="Batang"/>
          <w:lang w:val="en-GB" w:eastAsia="zh-CN"/>
        </w:rPr>
        <w:t>: Assessment and management of compliance with radio frequency electromagnetic field exposure limits for workers at radiocommunication sites and facilities.</w:t>
      </w:r>
    </w:p>
    <w:p w14:paraId="4748571A" w14:textId="77777777" w:rsidR="00A776D3" w:rsidRPr="00E13B55" w:rsidRDefault="00A776D3" w:rsidP="00A776D3">
      <w:pPr>
        <w:rPr>
          <w:rFonts w:eastAsiaTheme="minorEastAsia"/>
          <w:lang w:val="en-GB"/>
        </w:rPr>
      </w:pPr>
      <w:r w:rsidRPr="00E13B55">
        <w:rPr>
          <w:lang w:val="en-GB"/>
        </w:rPr>
        <w:t xml:space="preserve">This list demonstrates that there is already a comprehensive suite of ITU Recommendations / </w:t>
      </w:r>
      <w:r w:rsidRPr="00E13B55">
        <w:rPr>
          <w:szCs w:val="24"/>
          <w:lang w:val="en-GB"/>
        </w:rPr>
        <w:t>Standards</w:t>
      </w:r>
      <w:r w:rsidRPr="00E13B55">
        <w:rPr>
          <w:lang w:val="en-GB"/>
        </w:rPr>
        <w:t xml:space="preserve"> to address realistic concerns about exposure to RF-EMF from networks and devices.</w:t>
      </w:r>
    </w:p>
    <w:p w14:paraId="3D425B7C" w14:textId="77777777" w:rsidR="00A776D3" w:rsidRPr="00E13B55" w:rsidRDefault="00A776D3" w:rsidP="00A776D3">
      <w:pPr>
        <w:rPr>
          <w:lang w:val="en-GB" w:eastAsia="zh-CN"/>
        </w:rPr>
      </w:pPr>
      <w:r w:rsidRPr="00E13B55">
        <w:rPr>
          <w:lang w:val="en-GB" w:eastAsia="zh-CN"/>
        </w:rPr>
        <w:t>Enclosed some relevant ITU-T K supplements:</w:t>
      </w:r>
    </w:p>
    <w:p w14:paraId="35BC7220" w14:textId="12391449" w:rsidR="00A776D3" w:rsidRPr="00E13B55" w:rsidRDefault="00A776D3" w:rsidP="00A776D3">
      <w:pPr>
        <w:pStyle w:val="enumlev1"/>
        <w:rPr>
          <w:lang w:val="en-GB"/>
        </w:rPr>
      </w:pPr>
      <w:r w:rsidRPr="00E13B55">
        <w:rPr>
          <w:lang w:val="en-GB"/>
        </w:rPr>
        <w:t>–</w:t>
      </w:r>
      <w:r w:rsidRPr="00E13B55">
        <w:rPr>
          <w:lang w:val="en-GB"/>
        </w:rPr>
        <w:tab/>
      </w:r>
      <w:hyperlink r:id="rId54" w:history="1">
        <w:r w:rsidRPr="00E13B55">
          <w:rPr>
            <w:rStyle w:val="Hyperlink"/>
            <w:color w:val="auto"/>
            <w:u w:val="none"/>
            <w:lang w:val="en-GB"/>
          </w:rPr>
          <w:t>K Suppl. 1</w:t>
        </w:r>
      </w:hyperlink>
      <w:r w:rsidRPr="00E13B55">
        <w:rPr>
          <w:lang w:val="en-GB"/>
        </w:rPr>
        <w:t>: ITU-T K.91</w:t>
      </w:r>
      <w:r w:rsidRPr="00E13B55">
        <w:rPr>
          <w:rFonts w:eastAsia="Batang"/>
          <w:lang w:val="en-GB"/>
        </w:rPr>
        <w:t xml:space="preserve"> </w:t>
      </w:r>
      <w:r w:rsidR="005960B8" w:rsidRPr="00E13B55">
        <w:rPr>
          <w:rFonts w:eastAsia="Batang"/>
          <w:lang w:val="en-GB"/>
        </w:rPr>
        <w:t>–</w:t>
      </w:r>
      <w:r w:rsidRPr="00E13B55">
        <w:rPr>
          <w:rFonts w:eastAsia="Batang"/>
          <w:lang w:val="en-GB"/>
        </w:rPr>
        <w:t xml:space="preserve"> </w:t>
      </w:r>
      <w:r w:rsidRPr="00E13B55">
        <w:rPr>
          <w:lang w:val="en-GB"/>
        </w:rPr>
        <w:t>Guide on electromagnetic fields and health</w:t>
      </w:r>
    </w:p>
    <w:p w14:paraId="1972F372" w14:textId="158A41E7" w:rsidR="00A776D3" w:rsidRPr="00E13B55" w:rsidRDefault="00A776D3" w:rsidP="00A776D3">
      <w:pPr>
        <w:pStyle w:val="enumlev1"/>
        <w:rPr>
          <w:rFonts w:eastAsia="Batang"/>
          <w:lang w:val="en-GB"/>
        </w:rPr>
      </w:pPr>
      <w:r w:rsidRPr="00E13B55">
        <w:rPr>
          <w:lang w:val="en-GB"/>
        </w:rPr>
        <w:t>–</w:t>
      </w:r>
      <w:r w:rsidRPr="00E13B55">
        <w:rPr>
          <w:lang w:val="en-GB"/>
        </w:rPr>
        <w:tab/>
      </w:r>
      <w:hyperlink r:id="rId55" w:history="1">
        <w:r w:rsidRPr="00E13B55">
          <w:rPr>
            <w:rStyle w:val="Hyperlink"/>
            <w:rFonts w:eastAsia="Batang"/>
            <w:color w:val="auto"/>
            <w:u w:val="none"/>
            <w:lang w:val="en-GB"/>
          </w:rPr>
          <w:t>K Suppl. 4</w:t>
        </w:r>
      </w:hyperlink>
      <w:r w:rsidRPr="00E13B55">
        <w:rPr>
          <w:rFonts w:eastAsia="Batang"/>
          <w:lang w:val="en-GB"/>
        </w:rPr>
        <w:t xml:space="preserve">: ITU-T K.91 </w:t>
      </w:r>
      <w:r w:rsidR="005960B8" w:rsidRPr="00E13B55">
        <w:rPr>
          <w:rFonts w:eastAsia="Batang"/>
          <w:lang w:val="en-GB"/>
        </w:rPr>
        <w:t>–</w:t>
      </w:r>
      <w:r w:rsidRPr="00E13B55">
        <w:rPr>
          <w:rFonts w:eastAsia="Batang"/>
          <w:lang w:val="en-GB"/>
        </w:rPr>
        <w:t xml:space="preserve"> Electromagnetic field considerations in smart sustainable cities</w:t>
      </w:r>
    </w:p>
    <w:p w14:paraId="69F20A45" w14:textId="77777777" w:rsidR="00A776D3" w:rsidRPr="00E13B55" w:rsidRDefault="00A776D3" w:rsidP="00A776D3">
      <w:pPr>
        <w:pStyle w:val="enumlev1"/>
        <w:rPr>
          <w:rFonts w:eastAsia="Batang"/>
          <w:lang w:val="en-GB"/>
        </w:rPr>
      </w:pPr>
      <w:r w:rsidRPr="00E13B55">
        <w:rPr>
          <w:lang w:val="en-GB"/>
        </w:rPr>
        <w:t>–</w:t>
      </w:r>
      <w:r w:rsidRPr="00E13B55">
        <w:rPr>
          <w:lang w:val="en-GB"/>
        </w:rPr>
        <w:tab/>
      </w:r>
      <w:hyperlink r:id="rId56" w:history="1">
        <w:r w:rsidRPr="00E13B55">
          <w:rPr>
            <w:rStyle w:val="Hyperlink"/>
            <w:rFonts w:eastAsia="Batang"/>
            <w:color w:val="auto"/>
            <w:u w:val="none"/>
            <w:lang w:val="en-GB"/>
          </w:rPr>
          <w:t>K Suppl. 9</w:t>
        </w:r>
      </w:hyperlink>
      <w:r w:rsidRPr="00E13B55">
        <w:rPr>
          <w:rFonts w:eastAsia="Batang"/>
          <w:lang w:val="en-GB"/>
        </w:rPr>
        <w:t>: 5G technology and human exposure to radiofrequency electromagnetic fields</w:t>
      </w:r>
    </w:p>
    <w:p w14:paraId="0580D934" w14:textId="77777777" w:rsidR="00A776D3" w:rsidRPr="00E13B55" w:rsidRDefault="00A776D3" w:rsidP="00A776D3">
      <w:pPr>
        <w:pStyle w:val="enumlev1"/>
        <w:rPr>
          <w:rFonts w:eastAsia="Batang"/>
          <w:lang w:val="en-GB"/>
        </w:rPr>
      </w:pPr>
      <w:r w:rsidRPr="00E13B55">
        <w:rPr>
          <w:lang w:val="en-GB"/>
        </w:rPr>
        <w:t>–</w:t>
      </w:r>
      <w:r w:rsidRPr="00E13B55">
        <w:rPr>
          <w:lang w:val="en-GB"/>
        </w:rPr>
        <w:tab/>
      </w:r>
      <w:hyperlink r:id="rId57" w:history="1">
        <w:r w:rsidRPr="00E13B55">
          <w:rPr>
            <w:rStyle w:val="Hyperlink"/>
            <w:rFonts w:eastAsia="Batang"/>
            <w:color w:val="auto"/>
            <w:u w:val="none"/>
            <w:lang w:val="en-GB"/>
          </w:rPr>
          <w:t>K Suppl. 13</w:t>
        </w:r>
      </w:hyperlink>
      <w:r w:rsidRPr="00E13B55">
        <w:rPr>
          <w:rFonts w:eastAsia="Batang"/>
          <w:lang w:val="en-GB"/>
        </w:rPr>
        <w:t>: Radiofrequency electromagnetic field (RF-EMF) exposure levels from mobile and portable devices during different conditions of use</w:t>
      </w:r>
    </w:p>
    <w:p w14:paraId="3B195517" w14:textId="77777777" w:rsidR="00A776D3" w:rsidRPr="00E13B55" w:rsidRDefault="00A776D3" w:rsidP="00A776D3">
      <w:pPr>
        <w:pStyle w:val="enumlev1"/>
        <w:rPr>
          <w:rFonts w:eastAsia="Batang"/>
          <w:lang w:val="en-GB"/>
        </w:rPr>
      </w:pPr>
      <w:r w:rsidRPr="00E13B55">
        <w:rPr>
          <w:lang w:val="en-GB"/>
        </w:rPr>
        <w:t>–</w:t>
      </w:r>
      <w:r w:rsidRPr="00E13B55">
        <w:rPr>
          <w:lang w:val="en-GB"/>
        </w:rPr>
        <w:tab/>
      </w:r>
      <w:hyperlink r:id="rId58" w:history="1">
        <w:r w:rsidRPr="00E13B55">
          <w:rPr>
            <w:rStyle w:val="Hyperlink"/>
            <w:rFonts w:eastAsia="Batang"/>
            <w:color w:val="auto"/>
            <w:u w:val="none"/>
            <w:lang w:val="en-GB"/>
          </w:rPr>
          <w:t>K Suppl. 14</w:t>
        </w:r>
      </w:hyperlink>
      <w:r w:rsidRPr="00E13B55">
        <w:rPr>
          <w:rFonts w:eastAsia="Batang"/>
          <w:lang w:val="en-GB"/>
        </w:rPr>
        <w:t>: The impact of RF-EMF exposure limits stricter than the ICNIRP or IEEE guidelines on 4G and 5G mobile network deployment</w:t>
      </w:r>
    </w:p>
    <w:p w14:paraId="55E22BD8" w14:textId="77777777" w:rsidR="00A776D3" w:rsidRPr="00E13B55" w:rsidRDefault="00A776D3" w:rsidP="00A776D3">
      <w:pPr>
        <w:pStyle w:val="enumlev1"/>
        <w:rPr>
          <w:lang w:val="en-GB" w:eastAsia="zh-CN"/>
        </w:rPr>
      </w:pPr>
      <w:r w:rsidRPr="00E13B55">
        <w:rPr>
          <w:lang w:val="en-GB"/>
        </w:rPr>
        <w:tab/>
      </w:r>
      <w:hyperlink r:id="rId59" w:history="1">
        <w:r w:rsidRPr="00E13B55">
          <w:rPr>
            <w:rStyle w:val="Hyperlink"/>
            <w:rFonts w:eastAsia="Batang"/>
            <w:color w:val="auto"/>
            <w:u w:val="none"/>
            <w:lang w:val="en-GB"/>
          </w:rPr>
          <w:t>K Suppl. 16</w:t>
        </w:r>
      </w:hyperlink>
      <w:r w:rsidRPr="00E13B55">
        <w:rPr>
          <w:rFonts w:eastAsia="Batang"/>
          <w:lang w:val="en-GB"/>
        </w:rPr>
        <w:t>: Electromagnetic field compliance assessments for 5G wireless networks</w:t>
      </w:r>
    </w:p>
    <w:p w14:paraId="60B8EB29" w14:textId="77777777" w:rsidR="00A776D3" w:rsidRPr="00E13B55" w:rsidRDefault="00A776D3" w:rsidP="00A776D3">
      <w:pPr>
        <w:pStyle w:val="enumlev1"/>
        <w:rPr>
          <w:rFonts w:eastAsia="Batang"/>
          <w:lang w:val="en-GB"/>
        </w:rPr>
      </w:pPr>
      <w:r w:rsidRPr="00E13B55">
        <w:rPr>
          <w:lang w:val="en-GB"/>
        </w:rPr>
        <w:t>–</w:t>
      </w:r>
      <w:r w:rsidRPr="00E13B55">
        <w:rPr>
          <w:lang w:val="en-GB"/>
        </w:rPr>
        <w:tab/>
      </w:r>
      <w:hyperlink r:id="rId60" w:history="1">
        <w:r w:rsidRPr="00E13B55">
          <w:rPr>
            <w:rStyle w:val="Hyperlink"/>
            <w:rFonts w:eastAsia="Batang"/>
            <w:color w:val="auto"/>
            <w:u w:val="none"/>
            <w:lang w:val="en-GB"/>
          </w:rPr>
          <w:t>K Suppl. 19</w:t>
        </w:r>
      </w:hyperlink>
      <w:r w:rsidRPr="00E13B55">
        <w:rPr>
          <w:rFonts w:eastAsia="Batang"/>
          <w:lang w:val="en-GB"/>
        </w:rPr>
        <w:t>: Electromagnetic field (EMF) strength inside underground railway trains</w:t>
      </w:r>
    </w:p>
    <w:p w14:paraId="3122811A" w14:textId="77777777" w:rsidR="00A776D3" w:rsidRPr="00E13B55" w:rsidRDefault="00A776D3" w:rsidP="00A776D3">
      <w:pPr>
        <w:pStyle w:val="enumlev1"/>
        <w:rPr>
          <w:rStyle w:val="Hyperlink"/>
          <w:color w:val="auto"/>
          <w:u w:val="none"/>
          <w:lang w:val="en-GB"/>
        </w:rPr>
      </w:pPr>
      <w:r w:rsidRPr="00E13B55">
        <w:rPr>
          <w:lang w:val="en-GB"/>
        </w:rPr>
        <w:t>–</w:t>
      </w:r>
      <w:r w:rsidRPr="00E13B55">
        <w:rPr>
          <w:lang w:val="en-GB"/>
        </w:rPr>
        <w:tab/>
      </w:r>
      <w:hyperlink r:id="rId61" w:history="1">
        <w:r w:rsidRPr="00E13B55">
          <w:rPr>
            <w:rStyle w:val="Hyperlink"/>
            <w:color w:val="auto"/>
            <w:u w:val="none"/>
            <w:lang w:val="en-GB"/>
          </w:rPr>
          <w:t>K Suppl. 20</w:t>
        </w:r>
      </w:hyperlink>
      <w:r w:rsidRPr="00E13B55">
        <w:rPr>
          <w:lang w:val="en-GB"/>
        </w:rPr>
        <w:t>: ITU-T K.91 radiofrequency exposure evaluation around underground base stations</w:t>
      </w:r>
    </w:p>
    <w:p w14:paraId="13BF89EE" w14:textId="77777777" w:rsidR="00A776D3" w:rsidRPr="00E13B55" w:rsidRDefault="00A776D3" w:rsidP="00A776D3">
      <w:pPr>
        <w:pStyle w:val="Headingb"/>
        <w:rPr>
          <w:bCs/>
          <w:lang w:val="en-GB"/>
        </w:rPr>
      </w:pPr>
      <w:r w:rsidRPr="00E13B55">
        <w:rPr>
          <w:bCs/>
          <w:lang w:val="en-GB"/>
        </w:rPr>
        <w:t>ICNIRP </w:t>
      </w:r>
    </w:p>
    <w:p w14:paraId="361B2DE1" w14:textId="77777777" w:rsidR="00A776D3" w:rsidRPr="00E13B55" w:rsidRDefault="00A776D3" w:rsidP="00A776D3">
      <w:pPr>
        <w:pStyle w:val="enumlev1"/>
        <w:rPr>
          <w:snapToGrid w:val="0"/>
          <w:lang w:val="en-GB"/>
        </w:rPr>
      </w:pPr>
      <w:r w:rsidRPr="00E13B55">
        <w:rPr>
          <w:lang w:val="en-GB"/>
        </w:rPr>
        <w:t>–</w:t>
      </w:r>
      <w:r w:rsidRPr="00E13B55">
        <w:rPr>
          <w:lang w:val="en-GB"/>
        </w:rPr>
        <w:tab/>
      </w:r>
      <w:hyperlink r:id="rId62" w:history="1">
        <w:r w:rsidRPr="00E13B55">
          <w:rPr>
            <w:rStyle w:val="Hyperlink"/>
            <w:color w:val="auto"/>
            <w:u w:val="none"/>
            <w:lang w:val="en-GB"/>
          </w:rPr>
          <w:t>ICNIRP (1998</w:t>
        </w:r>
      </w:hyperlink>
      <w:r w:rsidRPr="00E13B55">
        <w:rPr>
          <w:rStyle w:val="Hyperlink"/>
          <w:color w:val="auto"/>
          <w:u w:val="none"/>
          <w:lang w:val="en-GB"/>
        </w:rPr>
        <w:t>)</w:t>
      </w:r>
      <w:r w:rsidRPr="00E13B55">
        <w:rPr>
          <w:lang w:val="en-GB"/>
        </w:rPr>
        <w:t>: Guidelines for limiting exposure to time‐varying electric, magnetic and electromagnetic fields (up to 300 GHz)</w:t>
      </w:r>
    </w:p>
    <w:p w14:paraId="4BBBCFFA" w14:textId="4F2B2BE0" w:rsidR="00A776D3" w:rsidRPr="00E13B55" w:rsidRDefault="00A776D3" w:rsidP="00A776D3">
      <w:pPr>
        <w:pStyle w:val="enumlev1"/>
        <w:rPr>
          <w:lang w:val="en-GB"/>
        </w:rPr>
      </w:pPr>
      <w:r w:rsidRPr="00E13B55">
        <w:rPr>
          <w:lang w:val="en-GB"/>
        </w:rPr>
        <w:t>–</w:t>
      </w:r>
      <w:r w:rsidRPr="00E13B55">
        <w:rPr>
          <w:lang w:val="en-GB"/>
        </w:rPr>
        <w:tab/>
      </w:r>
      <w:hyperlink r:id="rId63" w:history="1">
        <w:r w:rsidRPr="00E13B55">
          <w:rPr>
            <w:rStyle w:val="Hyperlink"/>
            <w:color w:val="auto"/>
            <w:u w:val="none"/>
            <w:lang w:val="en-GB"/>
          </w:rPr>
          <w:t>ICNIRP (2010</w:t>
        </w:r>
      </w:hyperlink>
      <w:r w:rsidRPr="00E13B55">
        <w:rPr>
          <w:rStyle w:val="Hyperlink"/>
          <w:color w:val="auto"/>
          <w:u w:val="none"/>
          <w:lang w:val="en-GB"/>
        </w:rPr>
        <w:t>)</w:t>
      </w:r>
      <w:r w:rsidRPr="00E13B55">
        <w:rPr>
          <w:lang w:val="en-GB"/>
        </w:rPr>
        <w:t>: Guidelines for limiting exposure to time</w:t>
      </w:r>
      <w:r w:rsidRPr="00E13B55">
        <w:rPr>
          <w:rFonts w:ascii="Cambria Math" w:hAnsi="Cambria Math" w:cs="Cambria Math"/>
          <w:lang w:val="en-GB"/>
        </w:rPr>
        <w:t>‐</w:t>
      </w:r>
      <w:r w:rsidRPr="00E13B55">
        <w:rPr>
          <w:lang w:val="en-GB"/>
        </w:rPr>
        <w:t>varying electric and magnetic fields (1</w:t>
      </w:r>
      <w:r w:rsidR="005960B8" w:rsidRPr="00E13B55">
        <w:rPr>
          <w:lang w:val="en-GB"/>
        </w:rPr>
        <w:t> </w:t>
      </w:r>
      <w:r w:rsidRPr="00E13B55">
        <w:rPr>
          <w:lang w:val="en-GB"/>
        </w:rPr>
        <w:t>Hz – 100 kHz)</w:t>
      </w:r>
    </w:p>
    <w:p w14:paraId="7F268F58" w14:textId="4A373125" w:rsidR="00A776D3" w:rsidRPr="00E13B55" w:rsidRDefault="00A776D3" w:rsidP="00A776D3">
      <w:pPr>
        <w:pStyle w:val="enumlev1"/>
        <w:rPr>
          <w:snapToGrid w:val="0"/>
          <w:lang w:val="en-GB"/>
        </w:rPr>
      </w:pPr>
      <w:r w:rsidRPr="00E13B55">
        <w:rPr>
          <w:lang w:val="en-GB"/>
        </w:rPr>
        <w:t>–</w:t>
      </w:r>
      <w:r w:rsidRPr="00E13B55">
        <w:rPr>
          <w:lang w:val="en-GB"/>
        </w:rPr>
        <w:tab/>
      </w:r>
      <w:hyperlink r:id="rId64" w:history="1">
        <w:r w:rsidRPr="00E13B55">
          <w:rPr>
            <w:rStyle w:val="Hyperlink"/>
            <w:color w:val="auto"/>
            <w:u w:val="none"/>
            <w:lang w:val="en-GB"/>
          </w:rPr>
          <w:t>ICNIRP (2020</w:t>
        </w:r>
      </w:hyperlink>
      <w:r w:rsidRPr="00E13B55">
        <w:rPr>
          <w:rStyle w:val="Hyperlink"/>
          <w:color w:val="auto"/>
          <w:u w:val="none"/>
          <w:lang w:val="en-GB"/>
        </w:rPr>
        <w:t>)</w:t>
      </w:r>
      <w:r w:rsidRPr="00E13B55">
        <w:rPr>
          <w:lang w:val="en-GB"/>
        </w:rPr>
        <w:t>: Guidelines for limiting exposure to electromagnetic fields (100 kHz to 300</w:t>
      </w:r>
      <w:r w:rsidR="005960B8" w:rsidRPr="00E13B55">
        <w:rPr>
          <w:lang w:val="en-GB"/>
        </w:rPr>
        <w:t> </w:t>
      </w:r>
      <w:r w:rsidRPr="00E13B55">
        <w:rPr>
          <w:lang w:val="en-GB"/>
        </w:rPr>
        <w:t>GHz)</w:t>
      </w:r>
    </w:p>
    <w:p w14:paraId="055627E5" w14:textId="77777777" w:rsidR="00A776D3" w:rsidRPr="00E13B55" w:rsidRDefault="00A776D3" w:rsidP="00A776D3">
      <w:pPr>
        <w:pStyle w:val="Headingb"/>
        <w:rPr>
          <w:lang w:val="en-GB"/>
        </w:rPr>
      </w:pPr>
      <w:r w:rsidRPr="00E13B55">
        <w:rPr>
          <w:lang w:val="en-GB"/>
        </w:rPr>
        <w:t>IEEE</w:t>
      </w:r>
    </w:p>
    <w:p w14:paraId="554538A8" w14:textId="77777777" w:rsidR="00A776D3" w:rsidRPr="00E13B55" w:rsidRDefault="00A776D3" w:rsidP="00A776D3">
      <w:pPr>
        <w:pStyle w:val="enumlev1"/>
        <w:rPr>
          <w:rFonts w:eastAsia="Batang"/>
          <w:lang w:val="en-GB"/>
        </w:rPr>
      </w:pPr>
      <w:r w:rsidRPr="00E13B55">
        <w:rPr>
          <w:lang w:val="en-GB"/>
        </w:rPr>
        <w:t>–</w:t>
      </w:r>
      <w:r w:rsidRPr="00E13B55">
        <w:rPr>
          <w:lang w:val="en-GB"/>
        </w:rPr>
        <w:tab/>
      </w:r>
      <w:hyperlink r:id="rId65" w:history="1">
        <w:r w:rsidRPr="00E13B55">
          <w:rPr>
            <w:rStyle w:val="Hyperlink"/>
            <w:rFonts w:eastAsia="Batang"/>
            <w:color w:val="auto"/>
            <w:u w:val="none"/>
            <w:lang w:val="en-GB"/>
          </w:rPr>
          <w:t>IEEE Std C95.1-2005</w:t>
        </w:r>
      </w:hyperlink>
      <w:r w:rsidRPr="00E13B55">
        <w:rPr>
          <w:rFonts w:eastAsia="Batang"/>
          <w:lang w:val="en-GB"/>
        </w:rPr>
        <w:t>: Safety Levels with Respect to Human Exposure to Radio Frequency Electromagnetic Fields, 3 kHz to 300 GHz</w:t>
      </w:r>
    </w:p>
    <w:p w14:paraId="5B9B7546" w14:textId="77777777" w:rsidR="00A776D3" w:rsidRPr="00E13B55" w:rsidRDefault="00A776D3" w:rsidP="00A776D3">
      <w:pPr>
        <w:pStyle w:val="enumlev1"/>
        <w:rPr>
          <w:rFonts w:eastAsia="Batang"/>
          <w:lang w:val="en-GB"/>
        </w:rPr>
      </w:pPr>
      <w:r w:rsidRPr="00E13B55">
        <w:rPr>
          <w:lang w:val="en-GB"/>
        </w:rPr>
        <w:t>–</w:t>
      </w:r>
      <w:r w:rsidRPr="00E13B55">
        <w:rPr>
          <w:lang w:val="en-GB"/>
        </w:rPr>
        <w:tab/>
      </w:r>
      <w:hyperlink r:id="rId66" w:history="1">
        <w:r w:rsidRPr="00E13B55">
          <w:rPr>
            <w:rStyle w:val="Hyperlink"/>
            <w:rFonts w:eastAsiaTheme="majorEastAsia"/>
            <w:color w:val="auto"/>
            <w:u w:val="none"/>
            <w:lang w:val="en-GB"/>
          </w:rPr>
          <w:t>IEEE C95.1-2019</w:t>
        </w:r>
      </w:hyperlink>
      <w:r w:rsidRPr="00E13B55">
        <w:rPr>
          <w:rFonts w:eastAsia="Batang"/>
          <w:lang w:val="en-GB"/>
        </w:rPr>
        <w:t>: IEEE Standard for Safety Levels with Respect to Human Exposure to Electric, Magnetic, and Electromagnetic Fields, 0 Hz to 300 GHz</w:t>
      </w:r>
    </w:p>
    <w:bookmarkStart w:id="97" w:name="_Toc396922931"/>
    <w:bookmarkStart w:id="98" w:name="_Toc396925983"/>
    <w:bookmarkStart w:id="99" w:name="_Toc396926237"/>
    <w:bookmarkStart w:id="100" w:name="_Toc396926494"/>
    <w:bookmarkStart w:id="101" w:name="_Toc396926908"/>
    <w:bookmarkStart w:id="102" w:name="_Toc396928149"/>
    <w:bookmarkStart w:id="103" w:name="_Toc396928976"/>
    <w:bookmarkStart w:id="104" w:name="_Toc396929389"/>
    <w:bookmarkStart w:id="105" w:name="_Toc396929802"/>
    <w:bookmarkStart w:id="106" w:name="_Toc396930217"/>
    <w:bookmarkStart w:id="107" w:name="_Toc396930632"/>
    <w:bookmarkStart w:id="108" w:name="_Toc396931047"/>
    <w:bookmarkStart w:id="109" w:name="_Toc396931462"/>
    <w:bookmarkStart w:id="110" w:name="_Toc396931877"/>
    <w:bookmarkStart w:id="111" w:name="_Toc396932293"/>
    <w:bookmarkStart w:id="112" w:name="_Toc396932708"/>
    <w:bookmarkStart w:id="113" w:name="_Toc396933131"/>
    <w:bookmarkStart w:id="114" w:name="_Toc396933548"/>
    <w:bookmarkStart w:id="115" w:name="_Toc396933964"/>
    <w:bookmarkStart w:id="116" w:name="_Toc396934381"/>
    <w:bookmarkStart w:id="117" w:name="_Toc396934799"/>
    <w:bookmarkStart w:id="118" w:name="_Toc396935217"/>
    <w:bookmarkStart w:id="119" w:name="_Toc396935635"/>
    <w:bookmarkStart w:id="120" w:name="_Toc396936053"/>
    <w:bookmarkStart w:id="121" w:name="_Toc396936471"/>
    <w:bookmarkStart w:id="122" w:name="_Toc396936889"/>
    <w:bookmarkStart w:id="123" w:name="_Toc396937300"/>
    <w:bookmarkStart w:id="124" w:name="_Toc396937718"/>
    <w:bookmarkStart w:id="125" w:name="_Toc396938138"/>
    <w:bookmarkStart w:id="126" w:name="_Toc396938558"/>
    <w:bookmarkStart w:id="127" w:name="_Toc396938979"/>
    <w:bookmarkStart w:id="128" w:name="_Toc396939400"/>
    <w:bookmarkStart w:id="129" w:name="_Toc396939824"/>
    <w:bookmarkStart w:id="130" w:name="_Toc396940250"/>
    <w:bookmarkStart w:id="131" w:name="_Toc396983771"/>
    <w:bookmarkStart w:id="132" w:name="_Hlk72151359"/>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14:paraId="1F1F4DE4" w14:textId="75EEDC03" w:rsidR="0013550A" w:rsidRPr="00E13B55" w:rsidRDefault="00A776D3" w:rsidP="00A776D3">
      <w:pPr>
        <w:pStyle w:val="Heading1"/>
        <w:rPr>
          <w:lang w:val="en-GB"/>
        </w:rPr>
      </w:pPr>
      <w:r w:rsidRPr="00E13B55">
        <w:rPr>
          <w:lang w:val="en-GB"/>
        </w:rPr>
        <w:lastRenderedPageBreak/>
        <w:fldChar w:fldCharType="begin"/>
      </w:r>
      <w:r w:rsidRPr="00E13B55">
        <w:rPr>
          <w:lang w:val="en-GB"/>
        </w:rPr>
        <w:instrText xml:space="preserve"> HYPERLINK "https://webstore.iec.ch/publication/28673" </w:instrText>
      </w:r>
      <w:r w:rsidRPr="00E13B55">
        <w:rPr>
          <w:lang w:val="en-GB"/>
        </w:rPr>
        <w:fldChar w:fldCharType="end"/>
      </w:r>
      <w:bookmarkStart w:id="133" w:name="_Toc112657097"/>
      <w:bookmarkEnd w:id="132"/>
      <w:r w:rsidR="0013550A" w:rsidRPr="00E13B55">
        <w:rPr>
          <w:lang w:val="en-GB"/>
        </w:rPr>
        <w:t>5</w:t>
      </w:r>
      <w:r w:rsidR="0013550A" w:rsidRPr="00E13B55">
        <w:rPr>
          <w:lang w:val="en-GB"/>
        </w:rPr>
        <w:tab/>
        <w:t xml:space="preserve">Glossary and </w:t>
      </w:r>
      <w:r w:rsidR="005602D4" w:rsidRPr="00E13B55">
        <w:rPr>
          <w:lang w:val="en-GB"/>
        </w:rPr>
        <w:t>a</w:t>
      </w:r>
      <w:r w:rsidR="0013550A" w:rsidRPr="00E13B55">
        <w:rPr>
          <w:lang w:val="en-GB"/>
        </w:rPr>
        <w:t>bbreviations</w:t>
      </w:r>
      <w:bookmarkEnd w:id="96"/>
      <w:bookmarkEnd w:id="133"/>
    </w:p>
    <w:p w14:paraId="0B6A0291" w14:textId="77777777" w:rsidR="00014912" w:rsidRPr="00E13B55" w:rsidRDefault="00014912" w:rsidP="005960B8">
      <w:pPr>
        <w:tabs>
          <w:tab w:val="clear" w:pos="794"/>
        </w:tabs>
        <w:rPr>
          <w:lang w:val="en-GB"/>
        </w:rPr>
      </w:pPr>
      <w:r w:rsidRPr="00E13B55">
        <w:rPr>
          <w:lang w:val="en-GB"/>
        </w:rPr>
        <w:t>2D</w:t>
      </w:r>
      <w:r w:rsidRPr="00E13B55">
        <w:rPr>
          <w:lang w:val="en-GB"/>
        </w:rPr>
        <w:tab/>
        <w:t>Two dimensions</w:t>
      </w:r>
    </w:p>
    <w:p w14:paraId="7CF13A5B" w14:textId="77777777" w:rsidR="00014912" w:rsidRPr="00E13B55" w:rsidRDefault="00014912" w:rsidP="005960B8">
      <w:pPr>
        <w:tabs>
          <w:tab w:val="clear" w:pos="794"/>
        </w:tabs>
        <w:rPr>
          <w:lang w:val="en-GB"/>
        </w:rPr>
      </w:pPr>
      <w:r w:rsidRPr="00E13B55">
        <w:rPr>
          <w:lang w:val="en-GB"/>
        </w:rPr>
        <w:t>3D</w:t>
      </w:r>
      <w:r w:rsidRPr="00E13B55">
        <w:rPr>
          <w:lang w:val="en-GB"/>
        </w:rPr>
        <w:tab/>
        <w:t>Three dimensions</w:t>
      </w:r>
    </w:p>
    <w:p w14:paraId="4D58B26A" w14:textId="77777777" w:rsidR="00014912" w:rsidRPr="00E13B55" w:rsidRDefault="00014912" w:rsidP="005960B8">
      <w:pPr>
        <w:tabs>
          <w:tab w:val="clear" w:pos="794"/>
        </w:tabs>
        <w:rPr>
          <w:lang w:val="en-GB"/>
        </w:rPr>
      </w:pPr>
      <w:r w:rsidRPr="00E13B55">
        <w:rPr>
          <w:lang w:val="en-GB"/>
        </w:rPr>
        <w:t>AGL</w:t>
      </w:r>
      <w:r w:rsidRPr="00E13B55">
        <w:rPr>
          <w:lang w:val="en-GB"/>
        </w:rPr>
        <w:tab/>
        <w:t>Above ground level</w:t>
      </w:r>
    </w:p>
    <w:p w14:paraId="5EC16200" w14:textId="77777777" w:rsidR="00014912" w:rsidRPr="00E13B55" w:rsidRDefault="00014912" w:rsidP="005960B8">
      <w:pPr>
        <w:tabs>
          <w:tab w:val="clear" w:pos="794"/>
        </w:tabs>
        <w:rPr>
          <w:lang w:val="en-GB"/>
        </w:rPr>
      </w:pPr>
      <w:r w:rsidRPr="00E13B55">
        <w:rPr>
          <w:lang w:val="en-GB"/>
        </w:rPr>
        <w:t>BCCH</w:t>
      </w:r>
      <w:r w:rsidRPr="00E13B55">
        <w:rPr>
          <w:lang w:val="en-GB"/>
        </w:rPr>
        <w:tab/>
        <w:t>Broadcast control channel</w:t>
      </w:r>
    </w:p>
    <w:p w14:paraId="3BD97D81" w14:textId="77777777" w:rsidR="00014912" w:rsidRPr="00E13B55" w:rsidRDefault="00014912" w:rsidP="005960B8">
      <w:pPr>
        <w:tabs>
          <w:tab w:val="clear" w:pos="794"/>
        </w:tabs>
        <w:rPr>
          <w:lang w:val="en-GB"/>
        </w:rPr>
      </w:pPr>
      <w:r w:rsidRPr="00E13B55">
        <w:rPr>
          <w:lang w:val="en-GB"/>
        </w:rPr>
        <w:t>DTM</w:t>
      </w:r>
      <w:r w:rsidRPr="00E13B55">
        <w:rPr>
          <w:lang w:val="en-GB"/>
        </w:rPr>
        <w:tab/>
        <w:t>Digital terrain mapping</w:t>
      </w:r>
    </w:p>
    <w:p w14:paraId="21B0A019" w14:textId="77777777" w:rsidR="00014912" w:rsidRPr="00E13B55" w:rsidRDefault="00014912" w:rsidP="005960B8">
      <w:pPr>
        <w:tabs>
          <w:tab w:val="clear" w:pos="794"/>
        </w:tabs>
        <w:rPr>
          <w:lang w:val="en-GB"/>
        </w:rPr>
      </w:pPr>
      <w:r w:rsidRPr="00E13B55">
        <w:rPr>
          <w:lang w:val="en-GB"/>
        </w:rPr>
        <w:t xml:space="preserve">DTV </w:t>
      </w:r>
      <w:r w:rsidRPr="00E13B55">
        <w:rPr>
          <w:lang w:val="en-GB"/>
        </w:rPr>
        <w:tab/>
        <w:t xml:space="preserve">Digital TV </w:t>
      </w:r>
    </w:p>
    <w:p w14:paraId="0FFA9795" w14:textId="77777777" w:rsidR="00014912" w:rsidRPr="00E13B55" w:rsidRDefault="00014912" w:rsidP="005960B8">
      <w:pPr>
        <w:tabs>
          <w:tab w:val="clear" w:pos="794"/>
        </w:tabs>
        <w:rPr>
          <w:lang w:val="en-GB"/>
        </w:rPr>
      </w:pPr>
      <w:r w:rsidRPr="00E13B55">
        <w:rPr>
          <w:lang w:val="en-GB"/>
        </w:rPr>
        <w:t>e.i.r.p.</w:t>
      </w:r>
      <w:r w:rsidRPr="00E13B55">
        <w:rPr>
          <w:lang w:val="en-GB"/>
        </w:rPr>
        <w:tab/>
        <w:t>Equivalent isotropically radiated power</w:t>
      </w:r>
    </w:p>
    <w:p w14:paraId="1B95E0F5" w14:textId="77777777" w:rsidR="00014912" w:rsidRPr="00E13B55" w:rsidRDefault="00014912" w:rsidP="005960B8">
      <w:pPr>
        <w:tabs>
          <w:tab w:val="clear" w:pos="794"/>
        </w:tabs>
        <w:rPr>
          <w:lang w:val="en-GB"/>
        </w:rPr>
      </w:pPr>
      <w:r w:rsidRPr="00E13B55">
        <w:rPr>
          <w:lang w:val="en-GB"/>
        </w:rPr>
        <w:t>EMF</w:t>
      </w:r>
      <w:r w:rsidRPr="00E13B55">
        <w:rPr>
          <w:lang w:val="en-GB"/>
        </w:rPr>
        <w:tab/>
        <w:t>Electromagnetic field</w:t>
      </w:r>
    </w:p>
    <w:p w14:paraId="5FE3E8D3" w14:textId="220E710C" w:rsidR="00014912" w:rsidRPr="00E13B55" w:rsidRDefault="00014912" w:rsidP="005960B8">
      <w:pPr>
        <w:tabs>
          <w:tab w:val="clear" w:pos="794"/>
        </w:tabs>
        <w:rPr>
          <w:lang w:val="en-GB"/>
        </w:rPr>
      </w:pPr>
      <w:r w:rsidRPr="00E13B55">
        <w:rPr>
          <w:lang w:val="en-GB"/>
        </w:rPr>
        <w:t>ERL</w:t>
      </w:r>
      <w:r w:rsidRPr="00E13B55">
        <w:rPr>
          <w:lang w:val="en-GB"/>
        </w:rPr>
        <w:tab/>
        <w:t xml:space="preserve">Exposure </w:t>
      </w:r>
      <w:r w:rsidR="005960B8" w:rsidRPr="00E13B55">
        <w:rPr>
          <w:lang w:val="en-GB"/>
        </w:rPr>
        <w:t xml:space="preserve">reference level </w:t>
      </w:r>
    </w:p>
    <w:p w14:paraId="4567CDFA" w14:textId="77777777" w:rsidR="00014912" w:rsidRPr="00E13B55" w:rsidRDefault="00014912" w:rsidP="005960B8">
      <w:pPr>
        <w:tabs>
          <w:tab w:val="clear" w:pos="794"/>
        </w:tabs>
        <w:rPr>
          <w:szCs w:val="24"/>
          <w:lang w:val="en-GB" w:bidi="he-IL"/>
        </w:rPr>
      </w:pPr>
      <w:r w:rsidRPr="00E13B55">
        <w:rPr>
          <w:lang w:val="en-GB"/>
        </w:rPr>
        <w:t>FDD</w:t>
      </w:r>
      <w:r w:rsidRPr="00E13B55">
        <w:rPr>
          <w:lang w:val="en-GB"/>
        </w:rPr>
        <w:tab/>
        <w:t>Frequency division duplex</w:t>
      </w:r>
    </w:p>
    <w:p w14:paraId="3A55DC2B" w14:textId="77777777" w:rsidR="00014912" w:rsidRPr="00E13B55" w:rsidRDefault="00014912" w:rsidP="005960B8">
      <w:pPr>
        <w:tabs>
          <w:tab w:val="clear" w:pos="794"/>
        </w:tabs>
        <w:rPr>
          <w:lang w:val="en-GB"/>
        </w:rPr>
      </w:pPr>
      <w:r w:rsidRPr="00E13B55">
        <w:rPr>
          <w:lang w:val="en-GB"/>
        </w:rPr>
        <w:t>ICNIRP</w:t>
      </w:r>
      <w:r w:rsidRPr="00E13B55">
        <w:rPr>
          <w:lang w:val="en-GB"/>
        </w:rPr>
        <w:tab/>
        <w:t xml:space="preserve">International Commission on Non-Ionizing Radiation Protection </w:t>
      </w:r>
    </w:p>
    <w:p w14:paraId="0AEC2A20" w14:textId="77777777" w:rsidR="00014912" w:rsidRPr="00E13B55" w:rsidRDefault="00014912" w:rsidP="005960B8">
      <w:pPr>
        <w:tabs>
          <w:tab w:val="clear" w:pos="794"/>
        </w:tabs>
        <w:rPr>
          <w:lang w:val="en-GB"/>
        </w:rPr>
      </w:pPr>
      <w:r w:rsidRPr="00E13B55">
        <w:rPr>
          <w:lang w:val="en-GB"/>
        </w:rPr>
        <w:t>IEC</w:t>
      </w:r>
      <w:r w:rsidRPr="00E13B55">
        <w:rPr>
          <w:lang w:val="en-GB"/>
        </w:rPr>
        <w:tab/>
        <w:t>International Electrotechnical Commission</w:t>
      </w:r>
    </w:p>
    <w:p w14:paraId="2118D290" w14:textId="77777777" w:rsidR="00014912" w:rsidRPr="00E13B55" w:rsidRDefault="00014912" w:rsidP="005960B8">
      <w:pPr>
        <w:tabs>
          <w:tab w:val="clear" w:pos="794"/>
        </w:tabs>
        <w:rPr>
          <w:lang w:val="en-GB"/>
        </w:rPr>
      </w:pPr>
      <w:r w:rsidRPr="00E13B55">
        <w:rPr>
          <w:lang w:val="en-GB"/>
        </w:rPr>
        <w:t>IEEE</w:t>
      </w:r>
      <w:r w:rsidRPr="00E13B55">
        <w:rPr>
          <w:lang w:val="en-GB"/>
        </w:rPr>
        <w:tab/>
        <w:t>Institute of Electrical and Electronics Engineers</w:t>
      </w:r>
    </w:p>
    <w:p w14:paraId="0B50BCD1" w14:textId="77777777" w:rsidR="00014912" w:rsidRPr="00E13B55" w:rsidRDefault="00014912" w:rsidP="005960B8">
      <w:pPr>
        <w:tabs>
          <w:tab w:val="clear" w:pos="794"/>
        </w:tabs>
        <w:rPr>
          <w:szCs w:val="24"/>
          <w:lang w:val="en-GB"/>
        </w:rPr>
      </w:pPr>
      <w:r w:rsidRPr="00E13B55">
        <w:rPr>
          <w:szCs w:val="24"/>
          <w:lang w:val="en-GB"/>
        </w:rPr>
        <w:t>LTE</w:t>
      </w:r>
      <w:r w:rsidRPr="00E13B55">
        <w:rPr>
          <w:szCs w:val="24"/>
          <w:lang w:val="en-GB"/>
        </w:rPr>
        <w:tab/>
        <w:t>Long-term evolution</w:t>
      </w:r>
    </w:p>
    <w:p w14:paraId="3368505B" w14:textId="77777777" w:rsidR="00014912" w:rsidRPr="00E13B55" w:rsidRDefault="00014912" w:rsidP="005960B8">
      <w:pPr>
        <w:tabs>
          <w:tab w:val="clear" w:pos="794"/>
        </w:tabs>
        <w:rPr>
          <w:szCs w:val="24"/>
          <w:lang w:val="en-GB"/>
        </w:rPr>
      </w:pPr>
      <w:r w:rsidRPr="00E13B55">
        <w:rPr>
          <w:szCs w:val="24"/>
          <w:lang w:val="en-GB"/>
        </w:rPr>
        <w:t>NR</w:t>
      </w:r>
      <w:r w:rsidRPr="00E13B55">
        <w:rPr>
          <w:szCs w:val="24"/>
          <w:lang w:val="en-GB"/>
        </w:rPr>
        <w:tab/>
        <w:t>New radio</w:t>
      </w:r>
    </w:p>
    <w:p w14:paraId="43DF6FE7" w14:textId="77777777" w:rsidR="00014912" w:rsidRPr="00E13B55" w:rsidRDefault="00014912" w:rsidP="005960B8">
      <w:pPr>
        <w:tabs>
          <w:tab w:val="clear" w:pos="794"/>
        </w:tabs>
        <w:rPr>
          <w:lang w:val="en-GB"/>
        </w:rPr>
      </w:pPr>
      <w:r w:rsidRPr="00E13B55">
        <w:rPr>
          <w:lang w:val="en-GB"/>
        </w:rPr>
        <w:t>OFDM</w:t>
      </w:r>
      <w:r w:rsidRPr="00E13B55">
        <w:rPr>
          <w:lang w:val="en-GB"/>
        </w:rPr>
        <w:tab/>
        <w:t xml:space="preserve">Orthogonal frequency division multiplexing </w:t>
      </w:r>
    </w:p>
    <w:p w14:paraId="6DD4B746" w14:textId="77777777" w:rsidR="00014912" w:rsidRPr="00E13B55" w:rsidRDefault="00014912" w:rsidP="005960B8">
      <w:pPr>
        <w:tabs>
          <w:tab w:val="clear" w:pos="794"/>
        </w:tabs>
        <w:rPr>
          <w:lang w:val="en-GB"/>
        </w:rPr>
      </w:pPr>
      <w:r w:rsidRPr="00E13B55">
        <w:rPr>
          <w:lang w:val="en-GB"/>
        </w:rPr>
        <w:t xml:space="preserve">PBCH </w:t>
      </w:r>
      <w:r w:rsidRPr="00E13B55">
        <w:rPr>
          <w:lang w:val="en-GB"/>
        </w:rPr>
        <w:tab/>
        <w:t>Physical broadcast channel</w:t>
      </w:r>
    </w:p>
    <w:p w14:paraId="1487E7C7" w14:textId="77777777" w:rsidR="00014912" w:rsidRPr="00E13B55" w:rsidRDefault="00014912" w:rsidP="005960B8">
      <w:pPr>
        <w:tabs>
          <w:tab w:val="clear" w:pos="794"/>
        </w:tabs>
        <w:rPr>
          <w:lang w:val="en-GB"/>
        </w:rPr>
      </w:pPr>
      <w:r w:rsidRPr="00E13B55">
        <w:rPr>
          <w:lang w:val="en-GB"/>
        </w:rPr>
        <w:t>P-CPICH</w:t>
      </w:r>
      <w:r w:rsidRPr="00E13B55">
        <w:rPr>
          <w:lang w:val="en-GB"/>
        </w:rPr>
        <w:tab/>
        <w:t>Primary common pilot channel</w:t>
      </w:r>
    </w:p>
    <w:p w14:paraId="3CD36DC6" w14:textId="77777777" w:rsidR="00014912" w:rsidRPr="00E13B55" w:rsidRDefault="00014912" w:rsidP="005960B8">
      <w:pPr>
        <w:tabs>
          <w:tab w:val="clear" w:pos="794"/>
        </w:tabs>
        <w:rPr>
          <w:lang w:val="en-GB"/>
        </w:rPr>
      </w:pPr>
      <w:r w:rsidRPr="00E13B55">
        <w:rPr>
          <w:lang w:val="en-GB"/>
        </w:rPr>
        <w:t>RF</w:t>
      </w:r>
      <w:r w:rsidRPr="00E13B55">
        <w:rPr>
          <w:lang w:val="en-GB"/>
        </w:rPr>
        <w:tab/>
        <w:t>Radio frequency</w:t>
      </w:r>
    </w:p>
    <w:p w14:paraId="16270C6A" w14:textId="77777777" w:rsidR="00014912" w:rsidRPr="00E13B55" w:rsidRDefault="00014912" w:rsidP="005960B8">
      <w:pPr>
        <w:tabs>
          <w:tab w:val="clear" w:pos="794"/>
        </w:tabs>
        <w:rPr>
          <w:lang w:val="en-GB"/>
        </w:rPr>
      </w:pPr>
      <w:r w:rsidRPr="00E13B55">
        <w:rPr>
          <w:lang w:val="en-GB"/>
        </w:rPr>
        <w:t>RMS</w:t>
      </w:r>
      <w:r w:rsidRPr="00E13B55">
        <w:rPr>
          <w:lang w:val="en-GB"/>
        </w:rPr>
        <w:tab/>
      </w:r>
      <w:bookmarkStart w:id="134" w:name="_Hlk516262159"/>
      <w:r w:rsidRPr="00E13B55">
        <w:rPr>
          <w:lang w:val="en-GB"/>
        </w:rPr>
        <w:t>Root mean square</w:t>
      </w:r>
      <w:bookmarkEnd w:id="134"/>
    </w:p>
    <w:p w14:paraId="7313FCEC" w14:textId="77777777" w:rsidR="00014912" w:rsidRPr="00E13B55" w:rsidRDefault="00014912" w:rsidP="005960B8">
      <w:pPr>
        <w:tabs>
          <w:tab w:val="clear" w:pos="794"/>
        </w:tabs>
        <w:rPr>
          <w:lang w:val="en-GB"/>
        </w:rPr>
      </w:pPr>
      <w:r w:rsidRPr="00E13B55">
        <w:rPr>
          <w:lang w:val="en-GB"/>
        </w:rPr>
        <w:t>RSS</w:t>
      </w:r>
      <w:r w:rsidRPr="00E13B55">
        <w:rPr>
          <w:lang w:val="en-GB"/>
        </w:rPr>
        <w:tab/>
        <w:t>Root of sum of squares</w:t>
      </w:r>
    </w:p>
    <w:p w14:paraId="60DACF56" w14:textId="77777777" w:rsidR="00014912" w:rsidRPr="00E13B55" w:rsidRDefault="00014912" w:rsidP="005960B8">
      <w:pPr>
        <w:tabs>
          <w:tab w:val="clear" w:pos="794"/>
        </w:tabs>
        <w:rPr>
          <w:lang w:val="en-GB"/>
        </w:rPr>
      </w:pPr>
      <w:r w:rsidRPr="00E13B55">
        <w:rPr>
          <w:lang w:val="en-GB"/>
        </w:rPr>
        <w:t>SSS</w:t>
      </w:r>
      <w:r w:rsidRPr="00E13B55">
        <w:rPr>
          <w:lang w:val="en-GB"/>
        </w:rPr>
        <w:tab/>
        <w:t>Secondary synchronization signal</w:t>
      </w:r>
    </w:p>
    <w:p w14:paraId="4550FBC5" w14:textId="77777777" w:rsidR="00014912" w:rsidRPr="00E13B55" w:rsidRDefault="00014912" w:rsidP="005960B8">
      <w:pPr>
        <w:tabs>
          <w:tab w:val="clear" w:pos="794"/>
        </w:tabs>
        <w:rPr>
          <w:szCs w:val="24"/>
          <w:lang w:val="en-GB"/>
        </w:rPr>
      </w:pPr>
      <w:r w:rsidRPr="00E13B55">
        <w:rPr>
          <w:lang w:val="en-GB"/>
        </w:rPr>
        <w:t>TDD</w:t>
      </w:r>
      <w:r w:rsidRPr="00E13B55">
        <w:rPr>
          <w:lang w:val="en-GB"/>
        </w:rPr>
        <w:tab/>
        <w:t>Time division duplex</w:t>
      </w:r>
    </w:p>
    <w:p w14:paraId="4ED79320" w14:textId="5A4A045B" w:rsidR="00014912" w:rsidRPr="00E13B55" w:rsidRDefault="00014912" w:rsidP="005960B8">
      <w:pPr>
        <w:tabs>
          <w:tab w:val="clear" w:pos="794"/>
        </w:tabs>
        <w:rPr>
          <w:lang w:val="en-GB"/>
        </w:rPr>
      </w:pPr>
      <w:r w:rsidRPr="00E13B55">
        <w:rPr>
          <w:szCs w:val="24"/>
          <w:lang w:val="en-GB"/>
        </w:rPr>
        <w:t>UMTS</w:t>
      </w:r>
      <w:r w:rsidRPr="00E13B55">
        <w:rPr>
          <w:szCs w:val="24"/>
          <w:lang w:val="en-GB"/>
        </w:rPr>
        <w:tab/>
        <w:t xml:space="preserve">Universal </w:t>
      </w:r>
      <w:r w:rsidR="005960B8" w:rsidRPr="00E13B55">
        <w:rPr>
          <w:szCs w:val="24"/>
          <w:lang w:val="en-GB"/>
        </w:rPr>
        <w:t>mobile telecommunications system</w:t>
      </w:r>
    </w:p>
    <w:p w14:paraId="3F34154E" w14:textId="77777777" w:rsidR="00014912" w:rsidRPr="00E13B55" w:rsidRDefault="00014912" w:rsidP="005960B8">
      <w:pPr>
        <w:tabs>
          <w:tab w:val="clear" w:pos="794"/>
        </w:tabs>
        <w:rPr>
          <w:lang w:val="en-GB"/>
        </w:rPr>
      </w:pPr>
      <w:proofErr w:type="spellStart"/>
      <w:r w:rsidRPr="00E13B55">
        <w:rPr>
          <w:lang w:val="en-GB"/>
        </w:rPr>
        <w:t>WiGig</w:t>
      </w:r>
      <w:proofErr w:type="spellEnd"/>
      <w:r w:rsidRPr="00E13B55">
        <w:rPr>
          <w:lang w:val="en-GB"/>
        </w:rPr>
        <w:tab/>
        <w:t>Wireless gigabit</w:t>
      </w:r>
    </w:p>
    <w:p w14:paraId="4C2233A4" w14:textId="77777777" w:rsidR="00014912" w:rsidRPr="00E13B55" w:rsidRDefault="00014912" w:rsidP="005960B8">
      <w:pPr>
        <w:tabs>
          <w:tab w:val="clear" w:pos="794"/>
        </w:tabs>
        <w:rPr>
          <w:szCs w:val="24"/>
          <w:lang w:val="en-GB"/>
        </w:rPr>
      </w:pPr>
      <w:r w:rsidRPr="00E13B55">
        <w:rPr>
          <w:lang w:val="en-GB"/>
        </w:rPr>
        <w:t>WHO</w:t>
      </w:r>
      <w:r w:rsidRPr="00E13B55">
        <w:rPr>
          <w:lang w:val="en-GB"/>
        </w:rPr>
        <w:tab/>
        <w:t>World Health Organization</w:t>
      </w:r>
    </w:p>
    <w:p w14:paraId="76B42969" w14:textId="1493F6A6" w:rsidR="0013550A" w:rsidRPr="00E13B55" w:rsidRDefault="0013550A" w:rsidP="005602D4">
      <w:pPr>
        <w:tabs>
          <w:tab w:val="clear" w:pos="794"/>
        </w:tabs>
        <w:rPr>
          <w:lang w:val="en-GB"/>
        </w:rPr>
      </w:pPr>
    </w:p>
    <w:p w14:paraId="78A59667" w14:textId="37B48BFC" w:rsidR="0013550A" w:rsidRPr="00E13B55" w:rsidRDefault="0013550A" w:rsidP="0013550A">
      <w:pPr>
        <w:pStyle w:val="Reasons"/>
      </w:pPr>
    </w:p>
    <w:p w14:paraId="01D4E2DB" w14:textId="77777777" w:rsidR="007C6CB3" w:rsidRDefault="007C6CB3">
      <w:pPr>
        <w:tabs>
          <w:tab w:val="clear" w:pos="794"/>
          <w:tab w:val="clear" w:pos="1191"/>
          <w:tab w:val="clear" w:pos="1588"/>
          <w:tab w:val="clear" w:pos="1985"/>
        </w:tabs>
        <w:overflowPunct/>
        <w:autoSpaceDE/>
        <w:autoSpaceDN/>
        <w:adjustRightInd/>
        <w:spacing w:before="0"/>
        <w:jc w:val="left"/>
        <w:textAlignment w:val="auto"/>
        <w:rPr>
          <w:b/>
          <w:sz w:val="28"/>
          <w:lang w:val="en-GB"/>
        </w:rPr>
      </w:pPr>
      <w:bookmarkStart w:id="135" w:name="_Toc112657098"/>
      <w:r>
        <w:rPr>
          <w:lang w:val="en-GB"/>
        </w:rPr>
        <w:br w:type="page"/>
      </w:r>
    </w:p>
    <w:p w14:paraId="246B22D5" w14:textId="07026477" w:rsidR="00E13B55" w:rsidRPr="00E13B55" w:rsidRDefault="00E13B55" w:rsidP="00E13B55">
      <w:pPr>
        <w:pStyle w:val="AnnexNoTitle"/>
        <w:rPr>
          <w:lang w:val="en-GB"/>
        </w:rPr>
      </w:pPr>
      <w:r w:rsidRPr="00E13B55">
        <w:rPr>
          <w:lang w:val="en-GB"/>
        </w:rPr>
        <w:lastRenderedPageBreak/>
        <w:t>Annex</w:t>
      </w:r>
      <w:r w:rsidRPr="00E13B55">
        <w:rPr>
          <w:lang w:val="en-GB"/>
        </w:rPr>
        <w:br/>
      </w:r>
      <w:r w:rsidRPr="00E13B55">
        <w:rPr>
          <w:lang w:val="en-GB"/>
        </w:rPr>
        <w:br/>
        <w:t>Electromagnetic field around an Amateur Radio Station, 14 MHz to 440 MHz</w:t>
      </w:r>
      <w:bookmarkEnd w:id="135"/>
    </w:p>
    <w:p w14:paraId="02F092A2" w14:textId="77777777" w:rsidR="00E13B55" w:rsidRPr="00E13B55" w:rsidRDefault="00E13B55" w:rsidP="007D31A3">
      <w:pPr>
        <w:pStyle w:val="Normalaftertitle"/>
        <w:rPr>
          <w:b/>
          <w:lang w:val="en-GB"/>
        </w:rPr>
      </w:pPr>
      <w:r w:rsidRPr="00E13B55">
        <w:rPr>
          <w:lang w:val="en-GB"/>
        </w:rPr>
        <w:t xml:space="preserve">This Annex is an example of a specific measurement, at a specific site. </w:t>
      </w:r>
    </w:p>
    <w:p w14:paraId="623611E3" w14:textId="60BAB269" w:rsidR="00E13B55" w:rsidRDefault="00E13B55" w:rsidP="00E13B55">
      <w:pPr>
        <w:pStyle w:val="AppendixNoTitle"/>
        <w:rPr>
          <w:lang w:val="en-GB"/>
        </w:rPr>
      </w:pPr>
      <w:bookmarkStart w:id="136" w:name="_Toc107752122"/>
      <w:bookmarkStart w:id="137" w:name="_Toc107837738"/>
      <w:bookmarkStart w:id="138" w:name="_Toc112657099"/>
      <w:bookmarkStart w:id="139" w:name="_Hlk80485612"/>
      <w:bookmarkStart w:id="140" w:name="_Hlk78839633"/>
      <w:r w:rsidRPr="00E13B55">
        <w:rPr>
          <w:lang w:val="en-GB"/>
        </w:rPr>
        <w:t>Attachment 1</w:t>
      </w:r>
      <w:r w:rsidR="00BA1B01">
        <w:rPr>
          <w:lang w:val="en-GB"/>
        </w:rPr>
        <w:br/>
        <w:t>to the Annex</w:t>
      </w:r>
      <w:r w:rsidRPr="00E13B55">
        <w:rPr>
          <w:lang w:val="en-GB"/>
        </w:rPr>
        <w:br/>
      </w:r>
      <w:r w:rsidRPr="00E13B55">
        <w:rPr>
          <w:lang w:val="en-GB"/>
        </w:rPr>
        <w:br/>
        <w:t>Site information, the station, the surrounding area and measurements</w:t>
      </w:r>
      <w:bookmarkEnd w:id="136"/>
      <w:bookmarkEnd w:id="137"/>
      <w:bookmarkEnd w:id="138"/>
    </w:p>
    <w:p w14:paraId="755B5782" w14:textId="77777777" w:rsidR="00C4323B" w:rsidRPr="00C4323B" w:rsidRDefault="00C4323B" w:rsidP="00C4323B">
      <w:pPr>
        <w:rPr>
          <w:lang w:val="en-GB"/>
        </w:rPr>
      </w:pPr>
    </w:p>
    <w:p w14:paraId="4F5924C8" w14:textId="77777777" w:rsidR="00E13B55" w:rsidRPr="00E13B55" w:rsidRDefault="00E13B55" w:rsidP="003060EB">
      <w:pPr>
        <w:pStyle w:val="Headingb"/>
        <w:rPr>
          <w:lang w:val="en-GB"/>
        </w:rPr>
      </w:pPr>
      <w:r w:rsidRPr="00E13B55">
        <w:rPr>
          <w:lang w:val="en-GB"/>
        </w:rPr>
        <w:t>Site information</w:t>
      </w:r>
    </w:p>
    <w:p w14:paraId="6D0D4362" w14:textId="35BB1465" w:rsidR="00C4323B" w:rsidRDefault="00E13B55" w:rsidP="00E13B55">
      <w:pPr>
        <w:rPr>
          <w:szCs w:val="24"/>
          <w:lang w:val="en-GB"/>
        </w:rPr>
      </w:pPr>
      <w:r w:rsidRPr="00C4323B">
        <w:rPr>
          <w:szCs w:val="24"/>
          <w:lang w:val="en-GB"/>
        </w:rPr>
        <w:t xml:space="preserve">Call-sign 4X1YS; </w:t>
      </w:r>
      <w:bookmarkEnd w:id="139"/>
      <w:r w:rsidRPr="00C4323B">
        <w:rPr>
          <w:szCs w:val="24"/>
          <w:lang w:val="en-GB"/>
        </w:rPr>
        <w:t xml:space="preserve">address </w:t>
      </w:r>
      <w:proofErr w:type="spellStart"/>
      <w:r w:rsidRPr="00C4323B">
        <w:rPr>
          <w:szCs w:val="24"/>
          <w:lang w:val="en-GB"/>
        </w:rPr>
        <w:t>Hashikma</w:t>
      </w:r>
      <w:proofErr w:type="spellEnd"/>
      <w:r w:rsidRPr="00C4323B">
        <w:rPr>
          <w:szCs w:val="24"/>
          <w:lang w:val="en-GB"/>
        </w:rPr>
        <w:t xml:space="preserve"> 21, </w:t>
      </w:r>
      <w:proofErr w:type="spellStart"/>
      <w:r w:rsidRPr="00C4323B">
        <w:rPr>
          <w:szCs w:val="24"/>
          <w:lang w:val="en-GB"/>
        </w:rPr>
        <w:t>Lapid</w:t>
      </w:r>
      <w:proofErr w:type="spellEnd"/>
      <w:r w:rsidRPr="00C4323B">
        <w:rPr>
          <w:szCs w:val="24"/>
          <w:lang w:val="en-GB"/>
        </w:rPr>
        <w:t xml:space="preserve"> Israel; Tx Coordinates: Israel Transverse Mercator (ITM). ITM East: 203453, ITM North: </w:t>
      </w:r>
      <w:r w:rsidRPr="00C4323B">
        <w:rPr>
          <w:szCs w:val="24"/>
          <w:rtl/>
          <w:lang w:val="en-GB"/>
        </w:rPr>
        <w:t>646963</w:t>
      </w:r>
      <w:r w:rsidRPr="00C4323B">
        <w:rPr>
          <w:szCs w:val="24"/>
          <w:lang w:val="en-GB"/>
        </w:rPr>
        <w:t>; Latitude</w:t>
      </w:r>
      <w:r w:rsidR="00C4323B">
        <w:rPr>
          <w:szCs w:val="24"/>
          <w:lang w:val="en-GB"/>
        </w:rPr>
        <w:t xml:space="preserve">: 31.915584° North, Longitude </w:t>
      </w:r>
      <w:r w:rsidR="00C4323B" w:rsidRPr="00C4323B">
        <w:rPr>
          <w:szCs w:val="24"/>
          <w:lang w:val="en-GB"/>
        </w:rPr>
        <w:t>35.035307</w:t>
      </w:r>
      <w:r w:rsidR="00C4323B">
        <w:rPr>
          <w:szCs w:val="24"/>
          <w:lang w:val="en-GB"/>
        </w:rPr>
        <w:t>°</w:t>
      </w:r>
      <w:r w:rsidR="00C4323B" w:rsidRPr="00C4323B">
        <w:rPr>
          <w:szCs w:val="24"/>
          <w:lang w:val="en-GB"/>
        </w:rPr>
        <w:t xml:space="preserve"> East; date 20 June 2021. Measurement’s person: Daniel </w:t>
      </w:r>
      <w:proofErr w:type="spellStart"/>
      <w:r w:rsidR="00C4323B" w:rsidRPr="00C4323B">
        <w:rPr>
          <w:szCs w:val="24"/>
          <w:lang w:val="en-GB"/>
        </w:rPr>
        <w:t>Rosenne</w:t>
      </w:r>
      <w:proofErr w:type="spellEnd"/>
      <w:r w:rsidR="00C4323B" w:rsidRPr="00C4323B">
        <w:rPr>
          <w:szCs w:val="24"/>
          <w:lang w:val="en-GB"/>
        </w:rPr>
        <w:t>, Affiliation: QRP Ltd., ‘</w:t>
      </w:r>
      <w:bookmarkStart w:id="141" w:name="_Hlk80524117"/>
      <w:r w:rsidR="00C4323B" w:rsidRPr="00C4323B">
        <w:rPr>
          <w:szCs w:val="24"/>
          <w:lang w:val="en-GB"/>
        </w:rPr>
        <w:fldChar w:fldCharType="begin"/>
      </w:r>
      <w:r w:rsidR="00C4323B" w:rsidRPr="00C4323B">
        <w:rPr>
          <w:szCs w:val="24"/>
          <w:lang w:val="en-GB"/>
        </w:rPr>
        <w:instrText xml:space="preserve"> HYPERLINK "https://www.sii.org.il/en/" </w:instrText>
      </w:r>
      <w:r w:rsidR="00C4323B" w:rsidRPr="00C4323B">
        <w:rPr>
          <w:szCs w:val="24"/>
          <w:lang w:val="en-GB"/>
        </w:rPr>
        <w:fldChar w:fldCharType="separate"/>
      </w:r>
      <w:r w:rsidR="00C4323B" w:rsidRPr="00C4323B">
        <w:rPr>
          <w:rStyle w:val="Hyperlink"/>
          <w:szCs w:val="24"/>
          <w:lang w:val="en-GB"/>
        </w:rPr>
        <w:t>Standards Institution of Israel</w:t>
      </w:r>
      <w:r w:rsidR="00C4323B" w:rsidRPr="00C4323B">
        <w:rPr>
          <w:szCs w:val="24"/>
          <w:lang w:val="en-GB"/>
        </w:rPr>
        <w:fldChar w:fldCharType="end"/>
      </w:r>
      <w:bookmarkEnd w:id="141"/>
      <w:r w:rsidR="00C4323B" w:rsidRPr="00C4323B">
        <w:rPr>
          <w:szCs w:val="24"/>
          <w:lang w:val="en-GB"/>
        </w:rPr>
        <w:t>’ EMC and EMF, call-sign 4X1SK</w:t>
      </w:r>
      <w:r w:rsidR="00C4323B" w:rsidRPr="00C4323B">
        <w:rPr>
          <w:color w:val="006600"/>
          <w:szCs w:val="24"/>
          <w:lang w:val="en-GB"/>
        </w:rPr>
        <w:t>.</w:t>
      </w:r>
    </w:p>
    <w:p w14:paraId="4E401E3D" w14:textId="33F06331" w:rsidR="00E13B55" w:rsidRPr="00E13B55" w:rsidRDefault="00E13B55" w:rsidP="00E13B55">
      <w:pPr>
        <w:rPr>
          <w:lang w:val="en-GB"/>
        </w:rPr>
      </w:pPr>
      <w:r w:rsidRPr="00E13B55">
        <w:rPr>
          <w:lang w:val="en-GB"/>
        </w:rPr>
        <w:t>Measurements were carried out between 08:00 and 11:00 local time (UTC 5:00- 8:00); weather conditions: dry, sunny; suburban/rural area.</w:t>
      </w:r>
    </w:p>
    <w:p w14:paraId="0CD4E580" w14:textId="77777777" w:rsidR="00E13B55" w:rsidRPr="00E13B55" w:rsidRDefault="00E13B55" w:rsidP="003060EB">
      <w:pPr>
        <w:pStyle w:val="Headingb"/>
        <w:rPr>
          <w:lang w:val="en-GB"/>
        </w:rPr>
      </w:pPr>
      <w:r w:rsidRPr="00E13B55">
        <w:rPr>
          <w:lang w:val="en-GB"/>
        </w:rPr>
        <w:t>Description of the station, the surrounding area and measurements</w:t>
      </w:r>
    </w:p>
    <w:p w14:paraId="5E752315" w14:textId="77777777" w:rsidR="00E13B55" w:rsidRPr="00E13B55" w:rsidRDefault="00E13B55" w:rsidP="00E13B55">
      <w:pPr>
        <w:pStyle w:val="enumlev1"/>
        <w:rPr>
          <w:lang w:val="en-GB"/>
        </w:rPr>
      </w:pPr>
      <w:r w:rsidRPr="00E13B55">
        <w:rPr>
          <w:lang w:val="en-GB"/>
        </w:rPr>
        <w:t>1</w:t>
      </w:r>
      <w:r w:rsidRPr="00E13B55">
        <w:rPr>
          <w:lang w:val="en-GB"/>
        </w:rPr>
        <w:tab/>
        <w:t xml:space="preserve">An amateur’s station located in a home adjacent to a two-story single-family residence. On the roof of the building is a 6.5 m mast on which: </w:t>
      </w:r>
    </w:p>
    <w:p w14:paraId="4ECFD6B0" w14:textId="77777777" w:rsidR="00E13B55" w:rsidRPr="00E13B55" w:rsidRDefault="00E13B55" w:rsidP="00E13B55">
      <w:pPr>
        <w:pStyle w:val="enumlev2"/>
        <w:rPr>
          <w:lang w:val="en-GB"/>
        </w:rPr>
      </w:pPr>
      <w:r w:rsidRPr="00E13B55">
        <w:rPr>
          <w:lang w:val="en-GB"/>
        </w:rPr>
        <w:t>a</w:t>
      </w:r>
      <w:r w:rsidRPr="00E13B55">
        <w:rPr>
          <w:lang w:val="en-GB"/>
        </w:rPr>
        <w:tab/>
        <w:t xml:space="preserve">Four-elements HF Yagi antenna is installed; at </w:t>
      </w:r>
      <w:proofErr w:type="gramStart"/>
      <w:r w:rsidRPr="00E13B55">
        <w:rPr>
          <w:lang w:val="en-GB"/>
        </w:rPr>
        <w:t>a distance of 1.5</w:t>
      </w:r>
      <w:proofErr w:type="gramEnd"/>
      <w:r w:rsidRPr="00E13B55">
        <w:rPr>
          <w:lang w:val="en-GB"/>
        </w:rPr>
        <w:t xml:space="preserve"> metres above, three elements Yagi antenna for the low-VHF, with a 360-degree antenna rotator. </w:t>
      </w:r>
    </w:p>
    <w:p w14:paraId="166BF3A9" w14:textId="77777777" w:rsidR="00E13B55" w:rsidRPr="00E13B55" w:rsidRDefault="00E13B55" w:rsidP="00E13B55">
      <w:pPr>
        <w:pStyle w:val="enumlev2"/>
        <w:rPr>
          <w:lang w:val="en-GB"/>
        </w:rPr>
      </w:pPr>
      <w:r w:rsidRPr="00E13B55">
        <w:rPr>
          <w:lang w:val="en-GB"/>
        </w:rPr>
        <w:t>b</w:t>
      </w:r>
      <w:r w:rsidRPr="00E13B55">
        <w:rPr>
          <w:lang w:val="en-GB"/>
        </w:rPr>
        <w:tab/>
        <w:t xml:space="preserve">3-metre mast on which a vertical antenna (a pair of antennas 5/8 wavelength) for VHF/UHF is installed. </w:t>
      </w:r>
    </w:p>
    <w:p w14:paraId="466F4614" w14:textId="7762B928" w:rsidR="00E13B55" w:rsidRPr="00E13B55" w:rsidRDefault="00E13B55" w:rsidP="00E13B55">
      <w:pPr>
        <w:pStyle w:val="enumlev1"/>
        <w:rPr>
          <w:lang w:val="en-GB"/>
        </w:rPr>
      </w:pPr>
      <w:r w:rsidRPr="00E13B55">
        <w:rPr>
          <w:lang w:val="en-GB"/>
        </w:rPr>
        <w:t>2</w:t>
      </w:r>
      <w:r w:rsidRPr="00E13B55">
        <w:rPr>
          <w:lang w:val="en-GB"/>
        </w:rPr>
        <w:tab/>
        <w:t xml:space="preserve">The measurements were carried out at the amateur’s station and its adjacent residential building, on a sidewalk near the amateur’s house and in a residential building across the road (at 22 </w:t>
      </w:r>
      <w:proofErr w:type="spellStart"/>
      <w:r w:rsidRPr="00E13B55">
        <w:rPr>
          <w:lang w:val="en-GB"/>
        </w:rPr>
        <w:t>DeadSea</w:t>
      </w:r>
      <w:proofErr w:type="spellEnd"/>
      <w:r w:rsidRPr="00E13B55">
        <w:rPr>
          <w:lang w:val="en-GB"/>
        </w:rPr>
        <w:t xml:space="preserve"> Street).</w:t>
      </w:r>
    </w:p>
    <w:p w14:paraId="35E04322" w14:textId="17AE3601" w:rsidR="00E13B55" w:rsidRPr="00E13B55" w:rsidRDefault="00E13B55" w:rsidP="00E13B55">
      <w:pPr>
        <w:pStyle w:val="enumlev1"/>
        <w:rPr>
          <w:lang w:val="en-GB"/>
        </w:rPr>
      </w:pPr>
      <w:r w:rsidRPr="00E13B55">
        <w:rPr>
          <w:lang w:val="en-GB"/>
        </w:rPr>
        <w:t>3</w:t>
      </w:r>
      <w:r w:rsidRPr="00E13B55">
        <w:rPr>
          <w:lang w:val="en-GB"/>
        </w:rPr>
        <w:tab/>
        <w:t>Since most of the measurements were monitored at a distance about one wavelength from the antenna, the electric field E and magnetic field H were measured at each point.</w:t>
      </w:r>
      <w:bookmarkStart w:id="142" w:name="_Hlk80459903"/>
      <w:bookmarkStart w:id="143" w:name="_Hlk80460872"/>
      <w:r w:rsidRPr="00E13B55">
        <w:rPr>
          <w:lang w:val="en-GB"/>
        </w:rPr>
        <w:t xml:space="preserve"> E and H field measurements are required by </w:t>
      </w:r>
      <w:hyperlink r:id="rId67" w:history="1">
        <w:r w:rsidRPr="00E13B55">
          <w:rPr>
            <w:rStyle w:val="Hyperlink"/>
            <w:lang w:val="en-GB"/>
          </w:rPr>
          <w:t>EN 50413:2019</w:t>
        </w:r>
      </w:hyperlink>
      <w:r w:rsidRPr="00E13B55">
        <w:rPr>
          <w:rStyle w:val="FootnoteReference"/>
          <w:lang w:val="en-GB"/>
        </w:rPr>
        <w:footnoteReference w:id="12"/>
      </w:r>
      <w:r w:rsidRPr="00E13B55">
        <w:rPr>
          <w:lang w:val="en-GB"/>
        </w:rPr>
        <w:t xml:space="preserve"> only below 10 MHz, and are required in a measurement distance of at least 1 wavelength λ (highest tested λ equals 21.4 m @ 14</w:t>
      </w:r>
      <w:r w:rsidR="007D31A3">
        <w:rPr>
          <w:lang w:val="en-GB"/>
        </w:rPr>
        <w:t> </w:t>
      </w:r>
      <w:r w:rsidRPr="00E13B55">
        <w:rPr>
          <w:lang w:val="en-GB"/>
        </w:rPr>
        <w:t xml:space="preserve">MHz) from the transmitter. Results demonstrate the H measurement was unnecessary. </w:t>
      </w:r>
      <w:r w:rsidRPr="00E13B55">
        <w:rPr>
          <w:lang w:val="en-GB"/>
        </w:rPr>
        <w:br/>
        <w:t>Blanks ‘</w:t>
      </w:r>
      <w:proofErr w:type="gramStart"/>
      <w:r w:rsidRPr="00E13B55">
        <w:rPr>
          <w:lang w:val="en-GB"/>
        </w:rPr>
        <w:t>-‘ in</w:t>
      </w:r>
      <w:proofErr w:type="gramEnd"/>
      <w:r w:rsidRPr="00E13B55">
        <w:rPr>
          <w:lang w:val="en-GB"/>
        </w:rPr>
        <w:t xml:space="preserve"> the two results’ tables indicate that the </w:t>
      </w:r>
      <w:bookmarkStart w:id="144" w:name="_Hlk80527977"/>
      <w:r w:rsidRPr="00E13B55">
        <w:rPr>
          <w:lang w:val="en-GB"/>
        </w:rPr>
        <w:t>measured signal level was below the measured noise level.</w:t>
      </w:r>
    </w:p>
    <w:bookmarkEnd w:id="144"/>
    <w:p w14:paraId="777C4F55" w14:textId="77777777" w:rsidR="00E13B55" w:rsidRPr="00E13B55" w:rsidRDefault="00E13B55" w:rsidP="00E13B55">
      <w:pPr>
        <w:pStyle w:val="enumlev1"/>
        <w:rPr>
          <w:lang w:val="en-GB"/>
        </w:rPr>
      </w:pPr>
      <w:r w:rsidRPr="00E13B55">
        <w:rPr>
          <w:lang w:val="en-GB"/>
        </w:rPr>
        <w:t>4</w:t>
      </w:r>
      <w:r w:rsidRPr="00E13B55">
        <w:rPr>
          <w:lang w:val="en-GB"/>
        </w:rPr>
        <w:tab/>
        <w:t>Ambient Noises (E @ V/m and (H @ A/m) were measured when the amateur transmitters were silent.</w:t>
      </w:r>
      <w:bookmarkStart w:id="145" w:name="_Hlk81349414"/>
      <w:r w:rsidRPr="00E13B55">
        <w:rPr>
          <w:lang w:val="en-GB"/>
        </w:rPr>
        <w:t xml:space="preserve"> The frequency domain measurements are </w:t>
      </w:r>
      <w:proofErr w:type="gramStart"/>
      <w:r w:rsidRPr="00E13B55">
        <w:rPr>
          <w:lang w:val="en-GB"/>
        </w:rPr>
        <w:t>wide-band</w:t>
      </w:r>
      <w:proofErr w:type="gramEnd"/>
      <w:r w:rsidRPr="00E13B55">
        <w:rPr>
          <w:lang w:val="en-GB"/>
        </w:rPr>
        <w:t>; the amateur operated one source on and others off</w:t>
      </w:r>
      <w:bookmarkEnd w:id="145"/>
      <w:r w:rsidRPr="00E13B55">
        <w:rPr>
          <w:lang w:val="en-GB"/>
        </w:rPr>
        <w:t>.</w:t>
      </w:r>
    </w:p>
    <w:bookmarkEnd w:id="142"/>
    <w:bookmarkEnd w:id="143"/>
    <w:p w14:paraId="76FC63DD" w14:textId="77777777" w:rsidR="00E13B55" w:rsidRPr="00E13B55" w:rsidRDefault="00E13B55" w:rsidP="00E13B55">
      <w:pPr>
        <w:pStyle w:val="enumlev1"/>
        <w:rPr>
          <w:lang w:val="en-GB"/>
        </w:rPr>
      </w:pPr>
      <w:r w:rsidRPr="00E13B55">
        <w:rPr>
          <w:lang w:val="en-GB"/>
        </w:rPr>
        <w:t>5</w:t>
      </w:r>
      <w:r w:rsidRPr="00E13B55">
        <w:rPr>
          <w:lang w:val="en-GB"/>
        </w:rPr>
        <w:tab/>
        <w:t>The amateur station does not transmit continuously. Normally, the station operates for a few hours a day (and not every day), and during its operation it transmits only a small part of the time.</w:t>
      </w:r>
    </w:p>
    <w:p w14:paraId="4B901C61" w14:textId="2D46CECC" w:rsidR="00E13B55" w:rsidRPr="00E13B55" w:rsidRDefault="00E13B55" w:rsidP="00E13B55">
      <w:pPr>
        <w:pStyle w:val="enumlev1"/>
        <w:rPr>
          <w:lang w:val="en-GB"/>
        </w:rPr>
      </w:pPr>
      <w:r w:rsidRPr="00E13B55">
        <w:rPr>
          <w:lang w:val="en-GB"/>
        </w:rPr>
        <w:lastRenderedPageBreak/>
        <w:t>6</w:t>
      </w:r>
      <w:r w:rsidRPr="00E13B55">
        <w:rPr>
          <w:lang w:val="en-GB"/>
        </w:rPr>
        <w:tab/>
        <w:t xml:space="preserve">The amateur antenna </w:t>
      </w:r>
      <w:proofErr w:type="gramStart"/>
      <w:r w:rsidRPr="00E13B55">
        <w:rPr>
          <w:lang w:val="en-GB"/>
        </w:rPr>
        <w:t>main-beam</w:t>
      </w:r>
      <w:proofErr w:type="gramEnd"/>
      <w:r w:rsidRPr="00E13B55">
        <w:rPr>
          <w:lang w:val="en-GB"/>
        </w:rPr>
        <w:t xml:space="preserve"> was directed toward the residence at 13</w:t>
      </w:r>
      <w:r w:rsidR="003060EB">
        <w:rPr>
          <w:lang w:val="en-GB"/>
        </w:rPr>
        <w:t>5 degrees</w:t>
      </w:r>
      <w:r w:rsidRPr="00E13B55">
        <w:rPr>
          <w:lang w:val="en-GB"/>
        </w:rPr>
        <w:t>.</w:t>
      </w:r>
    </w:p>
    <w:p w14:paraId="729DA242" w14:textId="5C10227E" w:rsidR="00E13B55" w:rsidRDefault="00E13B55" w:rsidP="00E13B55">
      <w:pPr>
        <w:pStyle w:val="enumlev1"/>
        <w:rPr>
          <w:lang w:val="en-GB"/>
        </w:rPr>
      </w:pPr>
      <w:r w:rsidRPr="00E13B55">
        <w:rPr>
          <w:lang w:val="en-GB"/>
        </w:rPr>
        <w:t>7</w:t>
      </w:r>
      <w:r w:rsidRPr="00E13B55">
        <w:rPr>
          <w:lang w:val="en-GB"/>
        </w:rPr>
        <w:tab/>
        <w:t>Field measurements results are very close (within 3 dB) to calculation results, either by simple manual calculation or by a detailed computation using program, such a</w:t>
      </w:r>
      <w:bookmarkStart w:id="146" w:name="_Hlk80461203"/>
      <w:r w:rsidRPr="00E13B55">
        <w:rPr>
          <w:lang w:val="en-GB"/>
        </w:rPr>
        <w:t xml:space="preserve">s </w:t>
      </w:r>
      <w:hyperlink r:id="rId68" w:history="1">
        <w:r w:rsidRPr="00E13B55">
          <w:rPr>
            <w:rStyle w:val="Hyperlink"/>
            <w:lang w:val="en-GB"/>
          </w:rPr>
          <w:t>UK EMF calculator</w:t>
        </w:r>
      </w:hyperlink>
      <w:bookmarkEnd w:id="146"/>
      <w:r w:rsidRPr="00E13B55">
        <w:rPr>
          <w:lang w:val="en-GB"/>
        </w:rPr>
        <w:t xml:space="preserve">. </w:t>
      </w:r>
    </w:p>
    <w:p w14:paraId="72082C63" w14:textId="4AAC500F" w:rsidR="00D47CDD" w:rsidRDefault="00D47CDD" w:rsidP="00E13B55">
      <w:pPr>
        <w:pStyle w:val="enumlev1"/>
        <w:rPr>
          <w:lang w:val="en-GB"/>
        </w:rPr>
      </w:pPr>
    </w:p>
    <w:p w14:paraId="4F883307" w14:textId="77777777" w:rsidR="00D47CDD" w:rsidRPr="00E13B55" w:rsidRDefault="00D47CDD" w:rsidP="00E13B55">
      <w:pPr>
        <w:pStyle w:val="enumlev1"/>
        <w:rPr>
          <w:lang w:val="en-GB"/>
        </w:rPr>
      </w:pPr>
    </w:p>
    <w:p w14:paraId="2466A2D5" w14:textId="019D3822" w:rsidR="00E13B55" w:rsidRPr="00E13B55" w:rsidRDefault="00E13B55" w:rsidP="00E13B55">
      <w:pPr>
        <w:pStyle w:val="AppendixNoTitle"/>
        <w:spacing w:before="240"/>
        <w:rPr>
          <w:lang w:val="en-GB"/>
        </w:rPr>
      </w:pPr>
      <w:bookmarkStart w:id="147" w:name="_Toc107752123"/>
      <w:bookmarkStart w:id="148" w:name="_Toc107837739"/>
      <w:bookmarkStart w:id="149" w:name="_Toc112657100"/>
      <w:r w:rsidRPr="00E13B55">
        <w:rPr>
          <w:lang w:val="en-GB"/>
        </w:rPr>
        <w:t>Attachment 2</w:t>
      </w:r>
      <w:r w:rsidR="00BA1B01">
        <w:rPr>
          <w:lang w:val="en-GB"/>
        </w:rPr>
        <w:br/>
        <w:t>to the Annex</w:t>
      </w:r>
      <w:r w:rsidRPr="00E13B55">
        <w:rPr>
          <w:lang w:val="en-GB"/>
        </w:rPr>
        <w:br/>
      </w:r>
      <w:r w:rsidRPr="00E13B55">
        <w:rPr>
          <w:lang w:val="en-GB"/>
        </w:rPr>
        <w:br/>
        <w:t xml:space="preserve">Tx </w:t>
      </w:r>
      <w:r w:rsidR="00BA1B01" w:rsidRPr="00E13B55">
        <w:rPr>
          <w:lang w:val="en-GB"/>
        </w:rPr>
        <w:t xml:space="preserve">power </w:t>
      </w:r>
      <w:r w:rsidRPr="00E13B55">
        <w:rPr>
          <w:lang w:val="en-GB"/>
        </w:rPr>
        <w:t xml:space="preserve">and </w:t>
      </w:r>
      <w:r w:rsidR="00BA1B01" w:rsidRPr="00E13B55">
        <w:rPr>
          <w:lang w:val="en-GB"/>
        </w:rPr>
        <w:t>antennas</w:t>
      </w:r>
      <w:bookmarkEnd w:id="147"/>
      <w:bookmarkEnd w:id="148"/>
      <w:bookmarkEnd w:id="149"/>
    </w:p>
    <w:bookmarkEnd w:id="140"/>
    <w:p w14:paraId="10818BBD" w14:textId="77777777" w:rsidR="00E13B55" w:rsidRPr="00E13B55" w:rsidRDefault="00E13B55" w:rsidP="00E13B55">
      <w:pPr>
        <w:pStyle w:val="TableNo"/>
        <w:rPr>
          <w:lang w:val="en-GB"/>
        </w:rPr>
      </w:pPr>
      <w:r w:rsidRPr="00E13B55">
        <w:rPr>
          <w:lang w:val="en-GB"/>
        </w:rPr>
        <w:t>TABLE 3</w:t>
      </w:r>
    </w:p>
    <w:p w14:paraId="54DA9AA4" w14:textId="3A466999" w:rsidR="00E13B55" w:rsidRPr="00E13B55" w:rsidRDefault="00E13B55" w:rsidP="00E13B55">
      <w:pPr>
        <w:pStyle w:val="Tabletitle"/>
        <w:rPr>
          <w:lang w:val="en-GB"/>
        </w:rPr>
      </w:pPr>
      <w:r w:rsidRPr="00E13B55">
        <w:rPr>
          <w:szCs w:val="24"/>
          <w:lang w:val="en-GB" w:eastAsia="en-GB"/>
        </w:rPr>
        <w:t xml:space="preserve">Tx </w:t>
      </w:r>
      <w:r w:rsidR="00BA1B01" w:rsidRPr="00E13B55">
        <w:rPr>
          <w:szCs w:val="24"/>
          <w:lang w:val="en-GB" w:eastAsia="en-GB"/>
        </w:rPr>
        <w:t xml:space="preserve">power </w:t>
      </w:r>
      <w:r w:rsidRPr="00E13B55">
        <w:rPr>
          <w:szCs w:val="24"/>
          <w:lang w:val="en-GB" w:eastAsia="en-GB"/>
        </w:rPr>
        <w:t xml:space="preserve">and </w:t>
      </w:r>
      <w:r w:rsidR="00BA1B01" w:rsidRPr="00E13B55">
        <w:rPr>
          <w:szCs w:val="24"/>
          <w:lang w:val="en-GB" w:eastAsia="en-GB"/>
        </w:rPr>
        <w:t>antennas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1535"/>
        <w:gridCol w:w="3087"/>
        <w:gridCol w:w="2062"/>
        <w:gridCol w:w="1957"/>
      </w:tblGrid>
      <w:tr w:rsidR="00E13B55" w:rsidRPr="00E13B55" w14:paraId="7B0F4EE1" w14:textId="77777777" w:rsidTr="005910EC">
        <w:trPr>
          <w:trHeight w:val="253"/>
          <w:jc w:val="center"/>
        </w:trPr>
        <w:tc>
          <w:tcPr>
            <w:tcW w:w="616" w:type="pct"/>
            <w:tcBorders>
              <w:top w:val="single" w:sz="4" w:space="0" w:color="auto"/>
              <w:left w:val="single" w:sz="4" w:space="0" w:color="auto"/>
              <w:bottom w:val="single" w:sz="4" w:space="0" w:color="auto"/>
              <w:right w:val="single" w:sz="4" w:space="0" w:color="auto"/>
            </w:tcBorders>
          </w:tcPr>
          <w:p w14:paraId="616B5C45" w14:textId="77777777" w:rsidR="00E13B55" w:rsidRPr="00E13B55" w:rsidRDefault="00E13B55" w:rsidP="00CE566B">
            <w:pPr>
              <w:pStyle w:val="Tablehead"/>
              <w:rPr>
                <w:lang w:val="en-GB" w:eastAsia="zh-CN"/>
              </w:rPr>
            </w:pPr>
          </w:p>
        </w:tc>
        <w:tc>
          <w:tcPr>
            <w:tcW w:w="779" w:type="pct"/>
            <w:tcBorders>
              <w:top w:val="single" w:sz="4" w:space="0" w:color="auto"/>
              <w:left w:val="single" w:sz="4" w:space="0" w:color="auto"/>
              <w:bottom w:val="single" w:sz="4" w:space="0" w:color="auto"/>
              <w:right w:val="single" w:sz="4" w:space="0" w:color="auto"/>
            </w:tcBorders>
            <w:hideMark/>
          </w:tcPr>
          <w:p w14:paraId="6EBFA2F9" w14:textId="157467F7" w:rsidR="00E13B55" w:rsidRPr="00E13B55" w:rsidRDefault="00E13B55" w:rsidP="00CE566B">
            <w:pPr>
              <w:pStyle w:val="Tablehead"/>
              <w:rPr>
                <w:lang w:val="en-GB" w:eastAsia="zh-CN"/>
              </w:rPr>
            </w:pPr>
            <w:r w:rsidRPr="00E13B55">
              <w:rPr>
                <w:lang w:val="en-GB" w:eastAsia="zh-CN"/>
              </w:rPr>
              <w:t>Power (W)</w:t>
            </w:r>
            <w:r w:rsidR="005910EC">
              <w:rPr>
                <w:lang w:val="en-GB" w:eastAsia="zh-CN"/>
              </w:rPr>
              <w:t xml:space="preserve"> </w:t>
            </w:r>
            <w:r w:rsidR="003060EB">
              <w:rPr>
                <w:vertAlign w:val="superscript"/>
                <w:lang w:val="en-GB" w:eastAsia="zh-CN"/>
              </w:rPr>
              <w:t>(1)</w:t>
            </w:r>
          </w:p>
        </w:tc>
        <w:tc>
          <w:tcPr>
            <w:tcW w:w="1566" w:type="pct"/>
            <w:tcBorders>
              <w:top w:val="single" w:sz="4" w:space="0" w:color="auto"/>
              <w:left w:val="single" w:sz="4" w:space="0" w:color="auto"/>
              <w:bottom w:val="single" w:sz="4" w:space="0" w:color="auto"/>
              <w:right w:val="single" w:sz="4" w:space="0" w:color="auto"/>
            </w:tcBorders>
            <w:hideMark/>
          </w:tcPr>
          <w:p w14:paraId="48DC177A" w14:textId="77777777" w:rsidR="00E13B55" w:rsidRPr="00E13B55" w:rsidRDefault="00E13B55" w:rsidP="00CE566B">
            <w:pPr>
              <w:pStyle w:val="Tablehead"/>
              <w:rPr>
                <w:lang w:val="en-GB" w:eastAsia="zh-CN"/>
              </w:rPr>
            </w:pPr>
            <w:r w:rsidRPr="00E13B55">
              <w:rPr>
                <w:lang w:val="en-GB" w:eastAsia="zh-CN"/>
              </w:rPr>
              <w:t>Antenna</w:t>
            </w:r>
          </w:p>
        </w:tc>
        <w:tc>
          <w:tcPr>
            <w:tcW w:w="1046" w:type="pct"/>
            <w:tcBorders>
              <w:top w:val="single" w:sz="4" w:space="0" w:color="auto"/>
              <w:left w:val="single" w:sz="4" w:space="0" w:color="auto"/>
              <w:bottom w:val="single" w:sz="4" w:space="0" w:color="auto"/>
              <w:right w:val="single" w:sz="4" w:space="0" w:color="auto"/>
            </w:tcBorders>
            <w:hideMark/>
          </w:tcPr>
          <w:p w14:paraId="3E7D8840" w14:textId="77777777" w:rsidR="00E13B55" w:rsidRPr="00E13B55" w:rsidRDefault="00E13B55" w:rsidP="00CE566B">
            <w:pPr>
              <w:pStyle w:val="Tablehead"/>
              <w:rPr>
                <w:lang w:val="en-GB" w:eastAsia="zh-CN"/>
              </w:rPr>
            </w:pPr>
            <w:r w:rsidRPr="00E13B55">
              <w:rPr>
                <w:lang w:val="en-GB" w:eastAsia="zh-CN"/>
              </w:rPr>
              <w:t xml:space="preserve">Gain </w:t>
            </w:r>
          </w:p>
        </w:tc>
        <w:tc>
          <w:tcPr>
            <w:tcW w:w="992" w:type="pct"/>
            <w:tcBorders>
              <w:top w:val="single" w:sz="4" w:space="0" w:color="auto"/>
              <w:left w:val="single" w:sz="4" w:space="0" w:color="auto"/>
              <w:bottom w:val="single" w:sz="4" w:space="0" w:color="auto"/>
              <w:right w:val="single" w:sz="4" w:space="0" w:color="auto"/>
            </w:tcBorders>
            <w:hideMark/>
          </w:tcPr>
          <w:p w14:paraId="70E0CC6C" w14:textId="77777777" w:rsidR="00E13B55" w:rsidRPr="00E13B55" w:rsidRDefault="00E13B55" w:rsidP="00CE566B">
            <w:pPr>
              <w:pStyle w:val="Tablehead"/>
              <w:rPr>
                <w:lang w:val="en-GB" w:eastAsia="zh-CN"/>
              </w:rPr>
            </w:pPr>
            <w:r w:rsidRPr="00E13B55">
              <w:rPr>
                <w:lang w:val="en-GB" w:eastAsia="zh-CN"/>
              </w:rPr>
              <w:t>Measured signal</w:t>
            </w:r>
          </w:p>
        </w:tc>
      </w:tr>
      <w:tr w:rsidR="00E13B55" w:rsidRPr="00E13B55" w14:paraId="7B8E078F" w14:textId="77777777" w:rsidTr="005910EC">
        <w:trPr>
          <w:trHeight w:val="272"/>
          <w:jc w:val="center"/>
        </w:trPr>
        <w:tc>
          <w:tcPr>
            <w:tcW w:w="616" w:type="pct"/>
            <w:tcBorders>
              <w:top w:val="single" w:sz="4" w:space="0" w:color="auto"/>
              <w:left w:val="single" w:sz="4" w:space="0" w:color="auto"/>
              <w:bottom w:val="single" w:sz="4" w:space="0" w:color="auto"/>
              <w:right w:val="single" w:sz="4" w:space="0" w:color="auto"/>
            </w:tcBorders>
            <w:hideMark/>
          </w:tcPr>
          <w:p w14:paraId="1552137D" w14:textId="0DEA5E11" w:rsidR="00E13B55" w:rsidRPr="00E13B55" w:rsidRDefault="00E13B55" w:rsidP="00CE566B">
            <w:pPr>
              <w:pStyle w:val="Tabletext"/>
              <w:rPr>
                <w:lang w:val="en-GB" w:eastAsia="zh-CN"/>
              </w:rPr>
            </w:pPr>
            <w:r w:rsidRPr="00E13B55">
              <w:rPr>
                <w:lang w:val="en-GB" w:eastAsia="zh-CN"/>
              </w:rPr>
              <w:t>HF</w:t>
            </w:r>
            <w:r w:rsidR="00534131">
              <w:rPr>
                <w:lang w:val="en-GB" w:eastAsia="zh-CN"/>
              </w:rPr>
              <w:t xml:space="preserve"> </w:t>
            </w:r>
            <w:r w:rsidR="00534131">
              <w:rPr>
                <w:vertAlign w:val="superscript"/>
                <w:lang w:val="en-GB" w:eastAsia="zh-CN"/>
              </w:rPr>
              <w:t>(2)</w:t>
            </w:r>
          </w:p>
        </w:tc>
        <w:tc>
          <w:tcPr>
            <w:tcW w:w="779" w:type="pct"/>
            <w:tcBorders>
              <w:top w:val="single" w:sz="4" w:space="0" w:color="auto"/>
              <w:left w:val="single" w:sz="4" w:space="0" w:color="auto"/>
              <w:bottom w:val="single" w:sz="4" w:space="0" w:color="auto"/>
              <w:right w:val="single" w:sz="4" w:space="0" w:color="auto"/>
            </w:tcBorders>
            <w:hideMark/>
          </w:tcPr>
          <w:p w14:paraId="08C25EBB" w14:textId="77777777" w:rsidR="00E13B55" w:rsidRPr="00E13B55" w:rsidRDefault="00E13B55" w:rsidP="00BA1B01">
            <w:pPr>
              <w:pStyle w:val="Tabletext"/>
              <w:jc w:val="center"/>
              <w:rPr>
                <w:lang w:val="en-GB" w:eastAsia="zh-CN"/>
              </w:rPr>
            </w:pPr>
            <w:r w:rsidRPr="00E13B55">
              <w:rPr>
                <w:lang w:val="en-GB" w:eastAsia="zh-CN"/>
              </w:rPr>
              <w:t>150</w:t>
            </w:r>
          </w:p>
        </w:tc>
        <w:tc>
          <w:tcPr>
            <w:tcW w:w="1566" w:type="pct"/>
            <w:tcBorders>
              <w:top w:val="single" w:sz="4" w:space="0" w:color="auto"/>
              <w:left w:val="single" w:sz="4" w:space="0" w:color="auto"/>
              <w:bottom w:val="single" w:sz="4" w:space="0" w:color="auto"/>
              <w:right w:val="single" w:sz="4" w:space="0" w:color="auto"/>
            </w:tcBorders>
            <w:hideMark/>
          </w:tcPr>
          <w:p w14:paraId="23B8E7E1" w14:textId="77777777" w:rsidR="00E13B55" w:rsidRPr="007D31A3" w:rsidRDefault="00E13B55" w:rsidP="00CE566B">
            <w:pPr>
              <w:pStyle w:val="Tabletext"/>
              <w:rPr>
                <w:lang w:val="es-ES_tradnl" w:eastAsia="zh-CN"/>
              </w:rPr>
            </w:pPr>
            <w:r w:rsidRPr="007D31A3">
              <w:rPr>
                <w:lang w:val="es-ES_tradnl" w:eastAsia="zh-CN"/>
              </w:rPr>
              <w:t xml:space="preserve">KLM KT34 HF 4 el </w:t>
            </w:r>
            <w:proofErr w:type="spellStart"/>
            <w:r w:rsidRPr="007D31A3">
              <w:rPr>
                <w:lang w:val="es-ES_tradnl" w:eastAsia="zh-CN"/>
              </w:rPr>
              <w:t>Yagi</w:t>
            </w:r>
            <w:proofErr w:type="spellEnd"/>
            <w:r w:rsidRPr="007D31A3">
              <w:rPr>
                <w:lang w:val="es-ES_tradnl" w:eastAsia="zh-CN"/>
              </w:rPr>
              <w:t xml:space="preserve"> </w:t>
            </w:r>
          </w:p>
        </w:tc>
        <w:tc>
          <w:tcPr>
            <w:tcW w:w="1046" w:type="pct"/>
            <w:tcBorders>
              <w:top w:val="single" w:sz="4" w:space="0" w:color="auto"/>
              <w:left w:val="single" w:sz="4" w:space="0" w:color="auto"/>
              <w:bottom w:val="single" w:sz="4" w:space="0" w:color="auto"/>
              <w:right w:val="single" w:sz="4" w:space="0" w:color="auto"/>
            </w:tcBorders>
            <w:hideMark/>
          </w:tcPr>
          <w:p w14:paraId="07A46235" w14:textId="77777777" w:rsidR="00E13B55" w:rsidRPr="00E13B55" w:rsidRDefault="00E13B55" w:rsidP="00865E14">
            <w:pPr>
              <w:pStyle w:val="Tabletext"/>
              <w:jc w:val="center"/>
              <w:rPr>
                <w:lang w:val="en-GB" w:eastAsia="zh-CN"/>
              </w:rPr>
            </w:pPr>
            <w:r w:rsidRPr="00E13B55">
              <w:rPr>
                <w:lang w:val="en-GB" w:eastAsia="zh-CN"/>
              </w:rPr>
              <w:t xml:space="preserve">7 </w:t>
            </w:r>
            <w:proofErr w:type="spellStart"/>
            <w:r w:rsidRPr="00E13B55">
              <w:rPr>
                <w:lang w:val="en-GB" w:eastAsia="zh-CN"/>
              </w:rPr>
              <w:t>dBd</w:t>
            </w:r>
            <w:proofErr w:type="spellEnd"/>
          </w:p>
        </w:tc>
        <w:tc>
          <w:tcPr>
            <w:tcW w:w="992" w:type="pct"/>
            <w:tcBorders>
              <w:top w:val="single" w:sz="4" w:space="0" w:color="auto"/>
              <w:left w:val="single" w:sz="4" w:space="0" w:color="auto"/>
              <w:bottom w:val="single" w:sz="4" w:space="0" w:color="auto"/>
              <w:right w:val="single" w:sz="4" w:space="0" w:color="auto"/>
            </w:tcBorders>
            <w:hideMark/>
          </w:tcPr>
          <w:p w14:paraId="485838F6" w14:textId="31DF6BCB" w:rsidR="00E13B55" w:rsidRPr="00E13B55" w:rsidRDefault="00E13B55" w:rsidP="00CE566B">
            <w:pPr>
              <w:pStyle w:val="Tabletext"/>
              <w:rPr>
                <w:lang w:val="en-GB" w:eastAsia="zh-CN"/>
              </w:rPr>
            </w:pPr>
            <w:r w:rsidRPr="00E13B55">
              <w:rPr>
                <w:lang w:val="en-GB" w:eastAsia="zh-CN"/>
              </w:rPr>
              <w:t>CW</w:t>
            </w:r>
            <w:r w:rsidR="00534131">
              <w:rPr>
                <w:lang w:val="en-GB" w:eastAsia="zh-CN"/>
              </w:rPr>
              <w:t xml:space="preserve"> </w:t>
            </w:r>
            <w:r w:rsidR="00534131">
              <w:rPr>
                <w:vertAlign w:val="superscript"/>
                <w:lang w:val="en-GB" w:eastAsia="zh-CN"/>
              </w:rPr>
              <w:t>(3)</w:t>
            </w:r>
            <w:r w:rsidRPr="00E13B55">
              <w:rPr>
                <w:lang w:val="en-GB" w:eastAsia="zh-CN"/>
              </w:rPr>
              <w:t xml:space="preserve"> RMS</w:t>
            </w:r>
          </w:p>
        </w:tc>
      </w:tr>
      <w:tr w:rsidR="00E13B55" w:rsidRPr="00E13B55" w14:paraId="4154E49D" w14:textId="77777777" w:rsidTr="005910EC">
        <w:trPr>
          <w:trHeight w:val="278"/>
          <w:jc w:val="center"/>
        </w:trPr>
        <w:tc>
          <w:tcPr>
            <w:tcW w:w="616" w:type="pct"/>
            <w:tcBorders>
              <w:top w:val="single" w:sz="4" w:space="0" w:color="auto"/>
              <w:left w:val="single" w:sz="4" w:space="0" w:color="auto"/>
              <w:bottom w:val="single" w:sz="4" w:space="0" w:color="auto"/>
              <w:right w:val="single" w:sz="4" w:space="0" w:color="auto"/>
            </w:tcBorders>
            <w:hideMark/>
          </w:tcPr>
          <w:p w14:paraId="12C5031F" w14:textId="0E2FB53F" w:rsidR="00E13B55" w:rsidRPr="00E13B55" w:rsidRDefault="00E13B55" w:rsidP="00CE566B">
            <w:pPr>
              <w:pStyle w:val="Tabletext"/>
              <w:rPr>
                <w:lang w:val="en-GB" w:eastAsia="zh-CN"/>
              </w:rPr>
            </w:pPr>
            <w:r w:rsidRPr="00E13B55">
              <w:rPr>
                <w:lang w:val="en-GB" w:eastAsia="zh-CN"/>
              </w:rPr>
              <w:t>VHF</w:t>
            </w:r>
            <w:r w:rsidR="00534131">
              <w:rPr>
                <w:lang w:val="en-GB" w:eastAsia="zh-CN"/>
              </w:rPr>
              <w:t xml:space="preserve"> </w:t>
            </w:r>
            <w:r w:rsidR="00534131">
              <w:rPr>
                <w:vertAlign w:val="superscript"/>
                <w:lang w:val="en-GB" w:eastAsia="zh-CN"/>
              </w:rPr>
              <w:t>(4)</w:t>
            </w:r>
          </w:p>
        </w:tc>
        <w:tc>
          <w:tcPr>
            <w:tcW w:w="779" w:type="pct"/>
            <w:tcBorders>
              <w:top w:val="single" w:sz="4" w:space="0" w:color="auto"/>
              <w:left w:val="single" w:sz="4" w:space="0" w:color="auto"/>
              <w:bottom w:val="single" w:sz="4" w:space="0" w:color="auto"/>
              <w:right w:val="single" w:sz="4" w:space="0" w:color="auto"/>
            </w:tcBorders>
            <w:hideMark/>
          </w:tcPr>
          <w:p w14:paraId="2B156DA4" w14:textId="77777777" w:rsidR="00E13B55" w:rsidRPr="00E13B55" w:rsidRDefault="00E13B55" w:rsidP="00BA1B01">
            <w:pPr>
              <w:pStyle w:val="Tabletext"/>
              <w:jc w:val="center"/>
              <w:rPr>
                <w:lang w:val="en-GB" w:eastAsia="zh-CN"/>
              </w:rPr>
            </w:pPr>
            <w:r w:rsidRPr="00E13B55">
              <w:rPr>
                <w:lang w:val="en-GB" w:eastAsia="zh-CN"/>
              </w:rPr>
              <w:t>25</w:t>
            </w:r>
          </w:p>
        </w:tc>
        <w:tc>
          <w:tcPr>
            <w:tcW w:w="1566" w:type="pct"/>
            <w:tcBorders>
              <w:top w:val="single" w:sz="4" w:space="0" w:color="auto"/>
              <w:left w:val="single" w:sz="4" w:space="0" w:color="auto"/>
              <w:bottom w:val="single" w:sz="4" w:space="0" w:color="auto"/>
              <w:right w:val="single" w:sz="4" w:space="0" w:color="auto"/>
            </w:tcBorders>
            <w:hideMark/>
          </w:tcPr>
          <w:p w14:paraId="701BFAF3" w14:textId="77777777" w:rsidR="00E13B55" w:rsidRPr="00E13B55" w:rsidRDefault="00E13B55" w:rsidP="00CE566B">
            <w:pPr>
              <w:pStyle w:val="Tabletext"/>
              <w:rPr>
                <w:lang w:val="en-GB" w:eastAsia="zh-CN"/>
              </w:rPr>
            </w:pPr>
            <w:proofErr w:type="spellStart"/>
            <w:r w:rsidRPr="00E13B55">
              <w:rPr>
                <w:lang w:val="en-GB" w:eastAsia="zh-CN"/>
              </w:rPr>
              <w:t>Cushcraft</w:t>
            </w:r>
            <w:proofErr w:type="spellEnd"/>
            <w:r w:rsidRPr="00E13B55">
              <w:rPr>
                <w:lang w:val="en-GB" w:eastAsia="zh-CN"/>
              </w:rPr>
              <w:t xml:space="preserve"> A503S 6m Yagi</w:t>
            </w:r>
          </w:p>
        </w:tc>
        <w:tc>
          <w:tcPr>
            <w:tcW w:w="1046" w:type="pct"/>
            <w:tcBorders>
              <w:top w:val="single" w:sz="4" w:space="0" w:color="auto"/>
              <w:left w:val="single" w:sz="4" w:space="0" w:color="auto"/>
              <w:bottom w:val="single" w:sz="4" w:space="0" w:color="auto"/>
              <w:right w:val="single" w:sz="4" w:space="0" w:color="auto"/>
            </w:tcBorders>
            <w:hideMark/>
          </w:tcPr>
          <w:p w14:paraId="7C773C54" w14:textId="77777777" w:rsidR="00E13B55" w:rsidRPr="00E13B55" w:rsidRDefault="00E13B55" w:rsidP="00865E14">
            <w:pPr>
              <w:pStyle w:val="Tabletext"/>
              <w:jc w:val="center"/>
              <w:rPr>
                <w:lang w:val="en-GB" w:eastAsia="zh-CN"/>
              </w:rPr>
            </w:pPr>
            <w:r w:rsidRPr="00E13B55">
              <w:rPr>
                <w:lang w:val="en-GB" w:eastAsia="zh-CN"/>
              </w:rPr>
              <w:t xml:space="preserve">8 </w:t>
            </w:r>
            <w:proofErr w:type="spellStart"/>
            <w:r w:rsidRPr="00E13B55">
              <w:rPr>
                <w:lang w:val="en-GB" w:eastAsia="zh-CN"/>
              </w:rPr>
              <w:t>dBd</w:t>
            </w:r>
            <w:proofErr w:type="spellEnd"/>
          </w:p>
        </w:tc>
        <w:tc>
          <w:tcPr>
            <w:tcW w:w="992" w:type="pct"/>
            <w:tcBorders>
              <w:top w:val="single" w:sz="4" w:space="0" w:color="auto"/>
              <w:left w:val="single" w:sz="4" w:space="0" w:color="auto"/>
              <w:bottom w:val="single" w:sz="4" w:space="0" w:color="auto"/>
              <w:right w:val="single" w:sz="4" w:space="0" w:color="auto"/>
            </w:tcBorders>
            <w:hideMark/>
          </w:tcPr>
          <w:p w14:paraId="05524CB1" w14:textId="3C0DCA02" w:rsidR="00E13B55" w:rsidRPr="00E13B55" w:rsidRDefault="00E13B55" w:rsidP="00CE566B">
            <w:pPr>
              <w:pStyle w:val="Tabletext"/>
              <w:rPr>
                <w:lang w:val="en-GB" w:eastAsia="zh-CN"/>
              </w:rPr>
            </w:pPr>
            <w:r w:rsidRPr="00E13B55">
              <w:rPr>
                <w:lang w:val="en-GB" w:eastAsia="zh-CN"/>
              </w:rPr>
              <w:t>CW</w:t>
            </w:r>
          </w:p>
        </w:tc>
      </w:tr>
      <w:tr w:rsidR="00EE439B" w:rsidRPr="00E13B55" w14:paraId="42D2D14D" w14:textId="77777777" w:rsidTr="00EE439B">
        <w:trPr>
          <w:trHeight w:val="237"/>
          <w:jc w:val="center"/>
        </w:trPr>
        <w:tc>
          <w:tcPr>
            <w:tcW w:w="616" w:type="pct"/>
            <w:tcBorders>
              <w:top w:val="single" w:sz="4" w:space="0" w:color="auto"/>
              <w:left w:val="single" w:sz="4" w:space="0" w:color="auto"/>
              <w:bottom w:val="single" w:sz="4" w:space="0" w:color="auto"/>
              <w:right w:val="single" w:sz="4" w:space="0" w:color="auto"/>
            </w:tcBorders>
            <w:hideMark/>
          </w:tcPr>
          <w:p w14:paraId="70D32B5B" w14:textId="6678B4DE" w:rsidR="00E13B55" w:rsidRPr="00E13B55" w:rsidRDefault="00E13B55" w:rsidP="00CE566B">
            <w:pPr>
              <w:pStyle w:val="Tabletext"/>
              <w:rPr>
                <w:lang w:val="en-GB" w:eastAsia="zh-CN"/>
              </w:rPr>
            </w:pPr>
            <w:r w:rsidRPr="00E13B55">
              <w:rPr>
                <w:lang w:val="en-GB" w:eastAsia="zh-CN"/>
              </w:rPr>
              <w:t>V/UHF</w:t>
            </w:r>
            <w:r w:rsidR="00534131">
              <w:rPr>
                <w:lang w:val="en-GB" w:eastAsia="zh-CN"/>
              </w:rPr>
              <w:t xml:space="preserve"> </w:t>
            </w:r>
            <w:r w:rsidR="00534131">
              <w:rPr>
                <w:vertAlign w:val="superscript"/>
                <w:lang w:val="en-GB" w:eastAsia="zh-CN"/>
              </w:rPr>
              <w:t>(5)</w:t>
            </w:r>
          </w:p>
        </w:tc>
        <w:tc>
          <w:tcPr>
            <w:tcW w:w="779" w:type="pct"/>
            <w:tcBorders>
              <w:top w:val="single" w:sz="4" w:space="0" w:color="auto"/>
              <w:left w:val="single" w:sz="4" w:space="0" w:color="auto"/>
              <w:bottom w:val="single" w:sz="4" w:space="0" w:color="auto"/>
              <w:right w:val="single" w:sz="4" w:space="0" w:color="auto"/>
            </w:tcBorders>
            <w:hideMark/>
          </w:tcPr>
          <w:p w14:paraId="70333778" w14:textId="77777777" w:rsidR="00E13B55" w:rsidRPr="00E13B55" w:rsidRDefault="00E13B55" w:rsidP="00BA1B01">
            <w:pPr>
              <w:pStyle w:val="Tabletext"/>
              <w:jc w:val="center"/>
              <w:rPr>
                <w:lang w:val="en-GB" w:eastAsia="zh-CN"/>
              </w:rPr>
            </w:pPr>
            <w:r w:rsidRPr="00E13B55">
              <w:rPr>
                <w:lang w:val="en-GB" w:eastAsia="zh-CN"/>
              </w:rPr>
              <w:t>30</w:t>
            </w:r>
          </w:p>
        </w:tc>
        <w:tc>
          <w:tcPr>
            <w:tcW w:w="1566" w:type="pct"/>
            <w:tcBorders>
              <w:top w:val="single" w:sz="4" w:space="0" w:color="auto"/>
              <w:left w:val="single" w:sz="4" w:space="0" w:color="auto"/>
              <w:bottom w:val="single" w:sz="4" w:space="0" w:color="auto"/>
              <w:right w:val="single" w:sz="4" w:space="0" w:color="auto"/>
            </w:tcBorders>
            <w:hideMark/>
          </w:tcPr>
          <w:p w14:paraId="77E3E8B5" w14:textId="77777777" w:rsidR="00E13B55" w:rsidRPr="00E13B55" w:rsidRDefault="00E13B55" w:rsidP="00CE566B">
            <w:pPr>
              <w:pStyle w:val="Tabletext"/>
              <w:rPr>
                <w:lang w:val="en-GB" w:eastAsia="zh-CN"/>
              </w:rPr>
            </w:pPr>
            <w:r w:rsidRPr="00E13B55">
              <w:rPr>
                <w:lang w:val="en-GB" w:eastAsia="zh-CN"/>
              </w:rPr>
              <w:t xml:space="preserve">Diamond X300 Vertical </w:t>
            </w:r>
          </w:p>
        </w:tc>
        <w:tc>
          <w:tcPr>
            <w:tcW w:w="1046" w:type="pct"/>
            <w:tcBorders>
              <w:top w:val="single" w:sz="4" w:space="0" w:color="auto"/>
              <w:left w:val="single" w:sz="4" w:space="0" w:color="auto"/>
              <w:bottom w:val="single" w:sz="4" w:space="0" w:color="auto"/>
              <w:right w:val="single" w:sz="4" w:space="0" w:color="auto"/>
            </w:tcBorders>
            <w:hideMark/>
          </w:tcPr>
          <w:p w14:paraId="7D635A2A" w14:textId="77777777" w:rsidR="00E13B55" w:rsidRPr="00E13B55" w:rsidRDefault="00E13B55" w:rsidP="00865E14">
            <w:pPr>
              <w:pStyle w:val="Tabletext"/>
              <w:jc w:val="center"/>
              <w:rPr>
                <w:lang w:val="en-GB" w:eastAsia="zh-CN"/>
              </w:rPr>
            </w:pPr>
            <w:r w:rsidRPr="00E13B55">
              <w:rPr>
                <w:lang w:val="en-GB" w:eastAsia="zh-CN"/>
              </w:rPr>
              <w:t xml:space="preserve">6.5 </w:t>
            </w:r>
            <w:proofErr w:type="spellStart"/>
            <w:r w:rsidRPr="00E13B55">
              <w:rPr>
                <w:lang w:val="en-GB" w:eastAsia="zh-CN"/>
              </w:rPr>
              <w:t>dBi</w:t>
            </w:r>
            <w:proofErr w:type="spellEnd"/>
            <w:r w:rsidRPr="00E13B55">
              <w:rPr>
                <w:lang w:val="en-GB" w:eastAsia="zh-CN"/>
              </w:rPr>
              <w:t xml:space="preserve"> @ 2m, </w:t>
            </w:r>
            <w:r w:rsidRPr="00E13B55">
              <w:rPr>
                <w:lang w:val="en-GB" w:eastAsia="zh-CN"/>
              </w:rPr>
              <w:br/>
              <w:t xml:space="preserve">9.0 </w:t>
            </w:r>
            <w:proofErr w:type="spellStart"/>
            <w:r w:rsidRPr="00E13B55">
              <w:rPr>
                <w:lang w:val="en-GB" w:eastAsia="zh-CN"/>
              </w:rPr>
              <w:t>dBi</w:t>
            </w:r>
            <w:proofErr w:type="spellEnd"/>
            <w:r w:rsidRPr="00E13B55">
              <w:rPr>
                <w:lang w:val="en-GB" w:eastAsia="zh-CN"/>
              </w:rPr>
              <w:t xml:space="preserve"> @ 70 cm</w:t>
            </w:r>
          </w:p>
        </w:tc>
        <w:tc>
          <w:tcPr>
            <w:tcW w:w="992" w:type="pct"/>
            <w:tcBorders>
              <w:top w:val="single" w:sz="4" w:space="0" w:color="auto"/>
              <w:left w:val="single" w:sz="4" w:space="0" w:color="auto"/>
              <w:bottom w:val="single" w:sz="4" w:space="0" w:color="auto"/>
              <w:right w:val="single" w:sz="4" w:space="0" w:color="auto"/>
            </w:tcBorders>
            <w:hideMark/>
          </w:tcPr>
          <w:p w14:paraId="67870B8B" w14:textId="77777777" w:rsidR="00E13B55" w:rsidRPr="00E13B55" w:rsidRDefault="00E13B55" w:rsidP="00CE566B">
            <w:pPr>
              <w:pStyle w:val="Tabletext"/>
              <w:rPr>
                <w:lang w:val="en-GB" w:eastAsia="zh-CN"/>
              </w:rPr>
            </w:pPr>
            <w:r w:rsidRPr="00E13B55">
              <w:rPr>
                <w:lang w:val="en-GB" w:eastAsia="zh-CN"/>
              </w:rPr>
              <w:t>continuous FM</w:t>
            </w:r>
          </w:p>
        </w:tc>
      </w:tr>
      <w:tr w:rsidR="005910EC" w:rsidRPr="007C6CB3" w14:paraId="611446D0" w14:textId="77777777" w:rsidTr="00EE439B">
        <w:trPr>
          <w:trHeight w:val="237"/>
          <w:jc w:val="center"/>
        </w:trPr>
        <w:tc>
          <w:tcPr>
            <w:tcW w:w="5000" w:type="pct"/>
            <w:gridSpan w:val="5"/>
            <w:tcBorders>
              <w:top w:val="single" w:sz="4" w:space="0" w:color="auto"/>
              <w:left w:val="nil"/>
              <w:bottom w:val="nil"/>
              <w:right w:val="nil"/>
            </w:tcBorders>
          </w:tcPr>
          <w:p w14:paraId="752B97F1" w14:textId="77777777" w:rsidR="005910EC" w:rsidRDefault="005910EC" w:rsidP="005910EC">
            <w:pPr>
              <w:pStyle w:val="Tabletext"/>
              <w:ind w:left="284" w:hanging="284"/>
              <w:rPr>
                <w:lang w:val="en-GB"/>
              </w:rPr>
            </w:pPr>
            <w:r>
              <w:rPr>
                <w:vertAlign w:val="superscript"/>
                <w:lang w:val="en-GB" w:eastAsia="zh-CN"/>
              </w:rPr>
              <w:t>(1)</w:t>
            </w:r>
            <w:r w:rsidRPr="005910EC">
              <w:rPr>
                <w:lang w:val="en-GB" w:eastAsia="zh-CN"/>
              </w:rPr>
              <w:tab/>
            </w:r>
            <w:hyperlink r:id="rId69" w:history="1">
              <w:r w:rsidRPr="00E13B55">
                <w:rPr>
                  <w:rStyle w:val="Hyperlink"/>
                  <w:lang w:val="en-GB"/>
                </w:rPr>
                <w:t>ICNIRP 2020</w:t>
              </w:r>
            </w:hyperlink>
            <w:r w:rsidRPr="00E13B55">
              <w:rPr>
                <w:lang w:val="en-GB"/>
              </w:rPr>
              <w:t xml:space="preserve"> Guidelines, Table 4 ‘Basic restrictions… from 100 kHz to </w:t>
            </w:r>
            <w:r w:rsidRPr="00E13B55">
              <w:rPr>
                <w:b/>
                <w:bCs/>
                <w:lang w:val="en-GB"/>
              </w:rPr>
              <w:t>10 MHz</w:t>
            </w:r>
            <w:r w:rsidRPr="00E13B55">
              <w:rPr>
                <w:lang w:val="en-GB"/>
              </w:rPr>
              <w:t xml:space="preserve">, for </w:t>
            </w:r>
            <w:r w:rsidRPr="00E13B55">
              <w:rPr>
                <w:b/>
                <w:bCs/>
                <w:lang w:val="en-GB"/>
              </w:rPr>
              <w:t>peak</w:t>
            </w:r>
            <w:r w:rsidRPr="00E13B55">
              <w:rPr>
                <w:lang w:val="en-GB"/>
              </w:rPr>
              <w:t xml:space="preserve"> spatial values’ was not used, as the tested frequencies are above 10 MHz.</w:t>
            </w:r>
          </w:p>
          <w:p w14:paraId="2567600E" w14:textId="752A82E7" w:rsidR="005910EC" w:rsidRDefault="005910EC" w:rsidP="00CE566B">
            <w:pPr>
              <w:pStyle w:val="Tabletext"/>
              <w:rPr>
                <w:lang w:val="en-GB"/>
              </w:rPr>
            </w:pPr>
            <w:r>
              <w:rPr>
                <w:vertAlign w:val="superscript"/>
                <w:lang w:val="en-GB" w:eastAsia="zh-CN"/>
              </w:rPr>
              <w:t>(2)</w:t>
            </w:r>
            <w:r w:rsidRPr="00E13B55">
              <w:rPr>
                <w:lang w:val="en-GB"/>
              </w:rPr>
              <w:tab/>
              <w:t>Actual RF- 14.250, 21.250 and 28.500 MHz.</w:t>
            </w:r>
          </w:p>
          <w:p w14:paraId="33B57A20" w14:textId="1A32A2DB" w:rsidR="005910EC" w:rsidRDefault="005910EC" w:rsidP="00EE439B">
            <w:pPr>
              <w:pStyle w:val="Tabletext"/>
              <w:ind w:left="284" w:hanging="284"/>
              <w:rPr>
                <w:lang w:val="en-GB"/>
              </w:rPr>
            </w:pPr>
            <w:r>
              <w:rPr>
                <w:vertAlign w:val="superscript"/>
                <w:lang w:val="en-GB" w:eastAsia="zh-CN"/>
              </w:rPr>
              <w:t>(3)</w:t>
            </w:r>
            <w:r w:rsidRPr="00E13B55">
              <w:rPr>
                <w:lang w:val="en-GB"/>
              </w:rPr>
              <w:tab/>
            </w:r>
            <w:bookmarkStart w:id="150" w:name="_Hlk81348263"/>
            <w:r w:rsidRPr="00E13B55">
              <w:rPr>
                <w:lang w:val="en-GB"/>
              </w:rPr>
              <w:t xml:space="preserve">SSB; PEP 1,000 W; multiplied duty factor of 0.4 (converting PEP to RMS), multiplied by 1/3 (converting to 6 minutes average, assuming that in a </w:t>
            </w:r>
            <w:r w:rsidR="00EE439B" w:rsidRPr="00E13B55">
              <w:rPr>
                <w:lang w:val="en-GB"/>
              </w:rPr>
              <w:t>6-minute</w:t>
            </w:r>
            <w:r w:rsidRPr="00E13B55">
              <w:rPr>
                <w:lang w:val="en-GB"/>
              </w:rPr>
              <w:t xml:space="preserve"> period, the amateur station transmits for 2 minutes and listens for 4 minutes).</w:t>
            </w:r>
            <w:bookmarkEnd w:id="150"/>
          </w:p>
          <w:p w14:paraId="3B4332AD" w14:textId="77777777" w:rsidR="005910EC" w:rsidRDefault="005910EC" w:rsidP="00CE566B">
            <w:pPr>
              <w:pStyle w:val="Tabletext"/>
              <w:rPr>
                <w:lang w:val="en-GB"/>
              </w:rPr>
            </w:pPr>
            <w:r>
              <w:rPr>
                <w:vertAlign w:val="superscript"/>
                <w:lang w:val="en-GB" w:eastAsia="zh-CN"/>
              </w:rPr>
              <w:t>(4)</w:t>
            </w:r>
            <w:r w:rsidRPr="00E13B55">
              <w:rPr>
                <w:lang w:val="en-GB"/>
              </w:rPr>
              <w:tab/>
              <w:t>Actual RF- 50.3 MHz.</w:t>
            </w:r>
          </w:p>
          <w:p w14:paraId="7B254D52" w14:textId="57006780" w:rsidR="005910EC" w:rsidRPr="00E13B55" w:rsidRDefault="005910EC" w:rsidP="00CE566B">
            <w:pPr>
              <w:pStyle w:val="Tabletext"/>
              <w:rPr>
                <w:lang w:val="en-GB" w:eastAsia="zh-CN"/>
              </w:rPr>
            </w:pPr>
            <w:r>
              <w:rPr>
                <w:vertAlign w:val="superscript"/>
                <w:lang w:val="en-GB" w:eastAsia="zh-CN"/>
              </w:rPr>
              <w:t>(5)</w:t>
            </w:r>
            <w:r w:rsidRPr="00E13B55">
              <w:rPr>
                <w:lang w:val="en-GB"/>
              </w:rPr>
              <w:tab/>
              <w:t>Actual RF- 145.5 and 433.4 MHz.</w:t>
            </w:r>
          </w:p>
        </w:tc>
      </w:tr>
    </w:tbl>
    <w:p w14:paraId="3BD21FC9" w14:textId="56F4C841" w:rsidR="00E13B55" w:rsidRDefault="00E13B55" w:rsidP="00E13B55">
      <w:pPr>
        <w:rPr>
          <w:lang w:val="en-GB"/>
        </w:rPr>
      </w:pPr>
      <w:bookmarkStart w:id="151" w:name="_Hlk80528881"/>
    </w:p>
    <w:p w14:paraId="07B34C58" w14:textId="77777777" w:rsidR="00EE439B" w:rsidRPr="00E13B55" w:rsidRDefault="00EE439B" w:rsidP="00E13B55">
      <w:pPr>
        <w:rPr>
          <w:lang w:val="en-GB"/>
        </w:rPr>
      </w:pPr>
    </w:p>
    <w:p w14:paraId="11DF3679" w14:textId="356D5148" w:rsidR="00E13B55" w:rsidRPr="00E13B55" w:rsidRDefault="00E13B55" w:rsidP="00E13B55">
      <w:pPr>
        <w:pStyle w:val="AppendixNoTitle"/>
        <w:spacing w:before="240"/>
        <w:rPr>
          <w:lang w:val="en-GB"/>
        </w:rPr>
      </w:pPr>
      <w:bookmarkStart w:id="152" w:name="_Toc112657101"/>
      <w:bookmarkStart w:id="153" w:name="_Toc107752124"/>
      <w:r w:rsidRPr="00E13B55">
        <w:rPr>
          <w:lang w:val="en-GB"/>
        </w:rPr>
        <w:t>Attachment 3</w:t>
      </w:r>
      <w:r w:rsidR="00BA1B01">
        <w:rPr>
          <w:lang w:val="en-GB"/>
        </w:rPr>
        <w:br/>
        <w:t>to the Annex</w:t>
      </w:r>
      <w:r w:rsidRPr="00E13B55">
        <w:rPr>
          <w:lang w:val="en-GB"/>
        </w:rPr>
        <w:br/>
      </w:r>
      <w:r w:rsidRPr="00E13B55">
        <w:rPr>
          <w:lang w:val="en-GB"/>
        </w:rPr>
        <w:br/>
        <w:t xml:space="preserve">Measurement </w:t>
      </w:r>
      <w:r w:rsidR="00BA1B01" w:rsidRPr="00E13B55">
        <w:rPr>
          <w:lang w:val="en-GB"/>
        </w:rPr>
        <w:t>equipment</w:t>
      </w:r>
      <w:bookmarkEnd w:id="152"/>
    </w:p>
    <w:bookmarkEnd w:id="153"/>
    <w:p w14:paraId="3B396BDE" w14:textId="77777777" w:rsidR="00E13B55" w:rsidRPr="00E13B55" w:rsidRDefault="00E13B55" w:rsidP="00E13B55">
      <w:pPr>
        <w:pStyle w:val="Normalaftertitle"/>
        <w:rPr>
          <w:lang w:val="en-GB"/>
        </w:rPr>
      </w:pPr>
      <w:r w:rsidRPr="00E13B55">
        <w:rPr>
          <w:lang w:val="en-GB"/>
        </w:rPr>
        <w:t xml:space="preserve">Electromagnetic Field Meter SMP-2, serial number 18SN0699; placed on a wooden stand, with the following sensors: </w:t>
      </w:r>
    </w:p>
    <w:p w14:paraId="24EBE80F" w14:textId="77777777" w:rsidR="00E13B55" w:rsidRPr="00E13B55" w:rsidRDefault="00E13B55" w:rsidP="00E13B55">
      <w:pPr>
        <w:numPr>
          <w:ilvl w:val="0"/>
          <w:numId w:val="4"/>
        </w:numPr>
        <w:tabs>
          <w:tab w:val="clear" w:pos="794"/>
          <w:tab w:val="clear" w:pos="1191"/>
          <w:tab w:val="clear" w:pos="1588"/>
          <w:tab w:val="clear" w:pos="1985"/>
          <w:tab w:val="left" w:pos="1871"/>
          <w:tab w:val="left" w:pos="2268"/>
        </w:tabs>
        <w:overflowPunct/>
        <w:autoSpaceDE/>
        <w:adjustRightInd/>
        <w:spacing w:before="0"/>
        <w:ind w:left="1134" w:hanging="1134"/>
        <w:textAlignment w:val="auto"/>
        <w:rPr>
          <w:lang w:val="en-GB"/>
        </w:rPr>
      </w:pPr>
      <w:bookmarkStart w:id="154" w:name="_Hlk81348913"/>
      <w:r w:rsidRPr="00E13B55">
        <w:rPr>
          <w:lang w:val="en-GB"/>
        </w:rPr>
        <w:t xml:space="preserve">Isotropic </w:t>
      </w:r>
      <w:r w:rsidRPr="00E13B55">
        <w:rPr>
          <w:b/>
          <w:bCs/>
          <w:lang w:val="en-GB"/>
        </w:rPr>
        <w:t>electric</w:t>
      </w:r>
      <w:r w:rsidRPr="00E13B55">
        <w:rPr>
          <w:lang w:val="en-GB"/>
        </w:rPr>
        <w:t xml:space="preserve"> field-probe model WPF8</w:t>
      </w:r>
      <w:bookmarkEnd w:id="154"/>
      <w:r w:rsidRPr="00E13B55">
        <w:rPr>
          <w:lang w:val="en-GB"/>
        </w:rPr>
        <w:t>, serial number 18WP040777; frequency range: 0.1 to 8,000 MHz; calibrated till 16 January 2022. Probe uncertainty:  ±0.75 dB for E field.</w:t>
      </w:r>
    </w:p>
    <w:p w14:paraId="09325B13" w14:textId="77777777" w:rsidR="00E13B55" w:rsidRPr="00E13B55" w:rsidRDefault="00E13B55" w:rsidP="00E13B55">
      <w:pPr>
        <w:numPr>
          <w:ilvl w:val="0"/>
          <w:numId w:val="4"/>
        </w:numPr>
        <w:tabs>
          <w:tab w:val="clear" w:pos="794"/>
          <w:tab w:val="clear" w:pos="1191"/>
          <w:tab w:val="clear" w:pos="1588"/>
          <w:tab w:val="clear" w:pos="1985"/>
          <w:tab w:val="left" w:pos="1871"/>
          <w:tab w:val="left" w:pos="2268"/>
        </w:tabs>
        <w:overflowPunct/>
        <w:autoSpaceDE/>
        <w:adjustRightInd/>
        <w:spacing w:before="0"/>
        <w:ind w:left="1134" w:hanging="1134"/>
        <w:textAlignment w:val="auto"/>
        <w:rPr>
          <w:lang w:val="en-GB"/>
        </w:rPr>
      </w:pPr>
      <w:r w:rsidRPr="00E13B55">
        <w:rPr>
          <w:lang w:val="en-GB"/>
        </w:rPr>
        <w:t xml:space="preserve">Isotropic </w:t>
      </w:r>
      <w:r w:rsidRPr="00E13B55">
        <w:rPr>
          <w:b/>
          <w:bCs/>
          <w:lang w:val="en-GB"/>
        </w:rPr>
        <w:t>magnetic</w:t>
      </w:r>
      <w:r w:rsidRPr="00E13B55">
        <w:rPr>
          <w:lang w:val="en-GB"/>
        </w:rPr>
        <w:t xml:space="preserve"> field-probe model WPH60, sensitivity 0.018 A/m, serial number 21WP110083; frequency range: 0.3 to 60 MHz; calibrated till 8 Feb. 2023. Probe uncertainty: ±1.33 dB for H field.</w:t>
      </w:r>
    </w:p>
    <w:p w14:paraId="6BDC9049" w14:textId="77777777" w:rsidR="00E13B55" w:rsidRPr="00E13B55" w:rsidRDefault="00E13B55" w:rsidP="00E13B55">
      <w:pPr>
        <w:pStyle w:val="FigureNo"/>
        <w:rPr>
          <w:lang w:val="en-GB"/>
        </w:rPr>
      </w:pPr>
      <w:r w:rsidRPr="00E13B55">
        <w:rPr>
          <w:lang w:val="en-GB"/>
        </w:rPr>
        <w:lastRenderedPageBreak/>
        <w:t>Figure 11</w:t>
      </w:r>
    </w:p>
    <w:p w14:paraId="07983D0E" w14:textId="77777777" w:rsidR="00E13B55" w:rsidRPr="00E13B55" w:rsidRDefault="00E13B55" w:rsidP="00E13B55">
      <w:pPr>
        <w:pStyle w:val="Figuretitle"/>
        <w:rPr>
          <w:lang w:val="en-GB"/>
        </w:rPr>
      </w:pPr>
      <w:r w:rsidRPr="00E13B55">
        <w:rPr>
          <w:lang w:val="en-GB"/>
        </w:rPr>
        <w:t xml:space="preserve">Measurement equipment and amateur antennas </w:t>
      </w:r>
    </w:p>
    <w:p w14:paraId="766AF15D" w14:textId="382261B9" w:rsidR="00E13B55" w:rsidRDefault="00E13B55" w:rsidP="00E13B55">
      <w:pPr>
        <w:jc w:val="center"/>
        <w:rPr>
          <w:lang w:val="en-GB"/>
        </w:rPr>
      </w:pPr>
      <w:r w:rsidRPr="00E13B55">
        <w:rPr>
          <w:noProof/>
          <w:lang w:val="en-GB"/>
        </w:rPr>
        <w:drawing>
          <wp:inline distT="0" distB="0" distL="0" distR="0" wp14:anchorId="09DE9966" wp14:editId="3BAF81CC">
            <wp:extent cx="1943100" cy="2226096"/>
            <wp:effectExtent l="0" t="0" r="0" b="3175"/>
            <wp:docPr id="1" name="Picture 1" descr="A picture containing text,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sky, outdoor, tree&#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t="14281"/>
                    <a:stretch>
                      <a:fillRect/>
                    </a:stretch>
                  </pic:blipFill>
                  <pic:spPr bwMode="auto">
                    <a:xfrm>
                      <a:off x="0" y="0"/>
                      <a:ext cx="1965022" cy="2251211"/>
                    </a:xfrm>
                    <a:prstGeom prst="rect">
                      <a:avLst/>
                    </a:prstGeom>
                    <a:noFill/>
                    <a:ln>
                      <a:noFill/>
                    </a:ln>
                  </pic:spPr>
                </pic:pic>
              </a:graphicData>
            </a:graphic>
          </wp:inline>
        </w:drawing>
      </w:r>
    </w:p>
    <w:p w14:paraId="1A0BDAC3" w14:textId="244BFD56" w:rsidR="00BA1B01" w:rsidRDefault="00BA1B01" w:rsidP="00BA1B01">
      <w:pPr>
        <w:rPr>
          <w:lang w:val="en-GB"/>
        </w:rPr>
      </w:pPr>
    </w:p>
    <w:p w14:paraId="1242802C" w14:textId="77777777" w:rsidR="00BA1B01" w:rsidRPr="00E13B55" w:rsidRDefault="00BA1B01" w:rsidP="00BA1B01">
      <w:pPr>
        <w:rPr>
          <w:lang w:val="en-GB"/>
        </w:rPr>
      </w:pPr>
    </w:p>
    <w:p w14:paraId="7FBA6E39" w14:textId="3D64A8FE" w:rsidR="00E13B55" w:rsidRPr="00E13B55" w:rsidRDefault="00E13B55" w:rsidP="00E13B55">
      <w:pPr>
        <w:pStyle w:val="AppendixNoTitle"/>
        <w:spacing w:before="240"/>
        <w:rPr>
          <w:lang w:val="en-GB"/>
        </w:rPr>
      </w:pPr>
      <w:bookmarkStart w:id="155" w:name="_Toc107752125"/>
      <w:bookmarkStart w:id="156" w:name="_Toc107837740"/>
      <w:bookmarkStart w:id="157" w:name="_Toc112657102"/>
      <w:bookmarkEnd w:id="151"/>
      <w:r w:rsidRPr="00E13B55">
        <w:rPr>
          <w:lang w:val="en-GB"/>
        </w:rPr>
        <w:t>Attachment 4</w:t>
      </w:r>
      <w:r w:rsidR="00BA1B01">
        <w:rPr>
          <w:lang w:val="en-GB"/>
        </w:rPr>
        <w:br/>
        <w:t>to the Annex</w:t>
      </w:r>
      <w:r w:rsidRPr="00E13B55">
        <w:rPr>
          <w:lang w:val="en-GB"/>
        </w:rPr>
        <w:br/>
      </w:r>
      <w:r w:rsidRPr="00E13B55">
        <w:rPr>
          <w:lang w:val="en-GB"/>
        </w:rPr>
        <w:br/>
        <w:t xml:space="preserve">Measurements </w:t>
      </w:r>
      <w:r w:rsidR="00BA1B01" w:rsidRPr="00E13B55">
        <w:rPr>
          <w:lang w:val="en-GB"/>
        </w:rPr>
        <w:t xml:space="preserve">results </w:t>
      </w:r>
      <w:r w:rsidRPr="00E13B55">
        <w:rPr>
          <w:lang w:val="en-GB"/>
        </w:rPr>
        <w:t>14 to 440 MHz, field-strengths</w:t>
      </w:r>
      <w:bookmarkEnd w:id="155"/>
      <w:bookmarkEnd w:id="156"/>
      <w:bookmarkEnd w:id="157"/>
    </w:p>
    <w:p w14:paraId="2E238136" w14:textId="77777777" w:rsidR="00E13B55" w:rsidRPr="00E13B55" w:rsidRDefault="00E13B55" w:rsidP="00E13B55">
      <w:pPr>
        <w:pStyle w:val="Normalaftertitle"/>
        <w:rPr>
          <w:lang w:val="en-GB"/>
        </w:rPr>
      </w:pPr>
      <w:r w:rsidRPr="00E13B55">
        <w:rPr>
          <w:lang w:val="en-GB"/>
        </w:rPr>
        <w:t xml:space="preserve">In the last column of the following two Tables, instead of </w:t>
      </w:r>
      <w:proofErr w:type="gramStart"/>
      <w:r w:rsidRPr="00E13B55">
        <w:rPr>
          <w:lang w:val="en-GB"/>
        </w:rPr>
        <w:t>ambient-noise</w:t>
      </w:r>
      <w:proofErr w:type="gramEnd"/>
      <w:r w:rsidRPr="00E13B55">
        <w:rPr>
          <w:lang w:val="en-GB"/>
        </w:rPr>
        <w:t>, the term displays value with sources off: the amateur transmitters were not transmitting.</w:t>
      </w:r>
    </w:p>
    <w:p w14:paraId="2320BBE0" w14:textId="37B90B7E" w:rsidR="00E13B55" w:rsidRPr="00E13B55" w:rsidRDefault="00EE439B" w:rsidP="00E13B55">
      <w:pPr>
        <w:pStyle w:val="TableNo"/>
        <w:rPr>
          <w:lang w:val="en-GB"/>
        </w:rPr>
      </w:pPr>
      <w:bookmarkStart w:id="158" w:name="_Hlk80466124"/>
      <w:r w:rsidRPr="00E13B55">
        <w:rPr>
          <w:lang w:val="en-GB"/>
        </w:rPr>
        <w:t xml:space="preserve">TABLE </w:t>
      </w:r>
      <w:r w:rsidR="00E13B55" w:rsidRPr="00E13B55">
        <w:rPr>
          <w:lang w:val="en-GB"/>
        </w:rPr>
        <w:t>4</w:t>
      </w:r>
    </w:p>
    <w:p w14:paraId="39D45040" w14:textId="62849FE1" w:rsidR="00E13B55" w:rsidRDefault="00E13B55" w:rsidP="00E13B55">
      <w:pPr>
        <w:pStyle w:val="Tabletitle"/>
        <w:rPr>
          <w:lang w:val="en-GB" w:eastAsia="en-GB"/>
        </w:rPr>
      </w:pPr>
      <w:bookmarkStart w:id="159" w:name="_Hlk78306479"/>
      <w:bookmarkEnd w:id="158"/>
      <w:r w:rsidRPr="00E13B55">
        <w:rPr>
          <w:lang w:val="en-GB" w:eastAsia="en-GB"/>
        </w:rPr>
        <w:t xml:space="preserve">Measurements </w:t>
      </w:r>
      <w:r w:rsidR="00EE439B" w:rsidRPr="00E13B55">
        <w:rPr>
          <w:lang w:val="en-GB" w:eastAsia="en-GB"/>
        </w:rPr>
        <w:t xml:space="preserve">results </w:t>
      </w:r>
      <w:r w:rsidRPr="00E13B55">
        <w:rPr>
          <w:lang w:val="en-GB" w:eastAsia="en-GB"/>
        </w:rPr>
        <w:t xml:space="preserve">14 to 440 MHz </w:t>
      </w:r>
      <w:r w:rsidRPr="00E13B55">
        <w:rPr>
          <w:u w:val="single"/>
          <w:lang w:val="en-GB" w:eastAsia="en-GB"/>
        </w:rPr>
        <w:t>electric</w:t>
      </w:r>
      <w:r w:rsidRPr="00E13B55">
        <w:rPr>
          <w:lang w:val="en-GB" w:eastAsia="en-GB"/>
        </w:rPr>
        <w:t xml:space="preserve"> field-strength</w:t>
      </w:r>
      <w:bookmarkEnd w:id="159"/>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47"/>
        <w:gridCol w:w="986"/>
        <w:gridCol w:w="836"/>
        <w:gridCol w:w="966"/>
        <w:gridCol w:w="966"/>
        <w:gridCol w:w="897"/>
        <w:gridCol w:w="469"/>
        <w:gridCol w:w="556"/>
        <w:gridCol w:w="997"/>
        <w:gridCol w:w="1035"/>
      </w:tblGrid>
      <w:tr w:rsidR="00E13B55" w:rsidRPr="00D3774C" w14:paraId="04751B5F" w14:textId="77777777" w:rsidTr="00D3774C">
        <w:trPr>
          <w:trHeight w:val="217"/>
          <w:tblHeader/>
          <w:jc w:val="center"/>
        </w:trPr>
        <w:tc>
          <w:tcPr>
            <w:tcW w:w="1091" w:type="pct"/>
            <w:vMerge w:val="restart"/>
            <w:tcBorders>
              <w:top w:val="single" w:sz="6" w:space="0" w:color="auto"/>
              <w:left w:val="single" w:sz="6" w:space="0" w:color="auto"/>
              <w:bottom w:val="single" w:sz="6" w:space="0" w:color="auto"/>
              <w:right w:val="single" w:sz="6" w:space="0" w:color="auto"/>
            </w:tcBorders>
            <w:hideMark/>
          </w:tcPr>
          <w:p w14:paraId="211772DB" w14:textId="2BA6EE4C" w:rsidR="00E13B55" w:rsidRPr="00D3774C" w:rsidRDefault="00E13B55" w:rsidP="00CE566B">
            <w:pPr>
              <w:pStyle w:val="Tablehead"/>
              <w:spacing w:before="40" w:after="40"/>
              <w:rPr>
                <w:sz w:val="18"/>
                <w:szCs w:val="18"/>
                <w:rtl/>
                <w:lang w:val="en-GB" w:eastAsia="zh-CN"/>
              </w:rPr>
            </w:pPr>
            <w:r w:rsidRPr="00D3774C">
              <w:rPr>
                <w:sz w:val="18"/>
                <w:szCs w:val="18"/>
                <w:lang w:val="en-GB" w:eastAsia="zh-CN"/>
              </w:rPr>
              <w:t xml:space="preserve">Test </w:t>
            </w:r>
            <w:r w:rsidR="00EE439B" w:rsidRPr="00D3774C">
              <w:rPr>
                <w:sz w:val="18"/>
                <w:szCs w:val="18"/>
                <w:lang w:val="en-GB" w:eastAsia="zh-CN"/>
              </w:rPr>
              <w:t>point</w:t>
            </w:r>
          </w:p>
        </w:tc>
        <w:tc>
          <w:tcPr>
            <w:tcW w:w="916" w:type="pct"/>
            <w:gridSpan w:val="2"/>
            <w:tcBorders>
              <w:top w:val="single" w:sz="6" w:space="0" w:color="auto"/>
              <w:left w:val="single" w:sz="6" w:space="0" w:color="auto"/>
              <w:bottom w:val="single" w:sz="6" w:space="0" w:color="auto"/>
              <w:right w:val="single" w:sz="6" w:space="0" w:color="auto"/>
            </w:tcBorders>
            <w:hideMark/>
          </w:tcPr>
          <w:p w14:paraId="1B9DF99A" w14:textId="5FB5795B" w:rsidR="00E13B55" w:rsidRPr="00D3774C" w:rsidRDefault="00E13B55" w:rsidP="00CE566B">
            <w:pPr>
              <w:pStyle w:val="Tablehead"/>
              <w:spacing w:before="40" w:after="40"/>
              <w:rPr>
                <w:sz w:val="18"/>
                <w:szCs w:val="18"/>
                <w:lang w:val="en-GB" w:eastAsia="zh-CN"/>
              </w:rPr>
            </w:pPr>
            <w:r w:rsidRPr="00D3774C">
              <w:rPr>
                <w:sz w:val="18"/>
                <w:szCs w:val="18"/>
                <w:lang w:val="en-GB" w:eastAsia="zh-CN"/>
              </w:rPr>
              <w:t>Range from Tx (m)</w:t>
            </w:r>
          </w:p>
        </w:tc>
        <w:tc>
          <w:tcPr>
            <w:tcW w:w="2466" w:type="pct"/>
            <w:gridSpan w:val="6"/>
            <w:tcBorders>
              <w:top w:val="single" w:sz="6" w:space="0" w:color="auto"/>
              <w:left w:val="single" w:sz="6" w:space="0" w:color="auto"/>
              <w:bottom w:val="single" w:sz="6" w:space="0" w:color="auto"/>
              <w:right w:val="single" w:sz="6" w:space="0" w:color="auto"/>
            </w:tcBorders>
            <w:hideMark/>
          </w:tcPr>
          <w:p w14:paraId="167D4BB6" w14:textId="77777777" w:rsidR="00E13B55" w:rsidRPr="00D3774C" w:rsidRDefault="00E13B55" w:rsidP="00CE566B">
            <w:pPr>
              <w:pStyle w:val="Tablehead"/>
              <w:spacing w:before="40" w:after="40"/>
              <w:rPr>
                <w:sz w:val="18"/>
                <w:szCs w:val="18"/>
                <w:lang w:val="en-GB" w:eastAsia="zh-CN"/>
              </w:rPr>
            </w:pPr>
            <w:r w:rsidRPr="00D3774C">
              <w:rPr>
                <w:sz w:val="18"/>
                <w:szCs w:val="18"/>
                <w:lang w:val="en-GB" w:eastAsia="zh-CN"/>
              </w:rPr>
              <w:t xml:space="preserve">Results (V/m), RF band (MHz) </w:t>
            </w:r>
          </w:p>
        </w:tc>
        <w:tc>
          <w:tcPr>
            <w:tcW w:w="527" w:type="pct"/>
            <w:vMerge w:val="restart"/>
            <w:tcBorders>
              <w:top w:val="single" w:sz="6" w:space="0" w:color="auto"/>
              <w:left w:val="single" w:sz="6" w:space="0" w:color="auto"/>
              <w:bottom w:val="single" w:sz="6" w:space="0" w:color="auto"/>
              <w:right w:val="single" w:sz="6" w:space="0" w:color="auto"/>
            </w:tcBorders>
            <w:hideMark/>
          </w:tcPr>
          <w:p w14:paraId="5FCE3286" w14:textId="77777777" w:rsidR="00E13B55" w:rsidRPr="00D3774C" w:rsidRDefault="00E13B55" w:rsidP="00CE566B">
            <w:pPr>
              <w:pStyle w:val="Tablehead"/>
              <w:spacing w:before="40" w:after="40"/>
              <w:rPr>
                <w:sz w:val="18"/>
                <w:szCs w:val="18"/>
                <w:lang w:val="en-GB" w:eastAsia="zh-CN"/>
              </w:rPr>
            </w:pPr>
            <w:r w:rsidRPr="00D3774C">
              <w:rPr>
                <w:sz w:val="18"/>
                <w:szCs w:val="18"/>
                <w:lang w:val="en-GB" w:eastAsia="zh-CN"/>
              </w:rPr>
              <w:t>E with sources off (V/m)</w:t>
            </w:r>
          </w:p>
        </w:tc>
      </w:tr>
      <w:tr w:rsidR="00E13B55" w:rsidRPr="00D3774C" w14:paraId="570E7FA1" w14:textId="77777777" w:rsidTr="00D3774C">
        <w:trPr>
          <w:trHeight w:val="217"/>
          <w:tblHeader/>
          <w:jc w:val="center"/>
        </w:trPr>
        <w:tc>
          <w:tcPr>
            <w:tcW w:w="1091" w:type="pct"/>
            <w:vMerge/>
            <w:tcBorders>
              <w:top w:val="single" w:sz="6" w:space="0" w:color="auto"/>
              <w:left w:val="single" w:sz="6" w:space="0" w:color="auto"/>
              <w:bottom w:val="single" w:sz="6" w:space="0" w:color="auto"/>
              <w:right w:val="single" w:sz="6" w:space="0" w:color="auto"/>
            </w:tcBorders>
            <w:vAlign w:val="center"/>
            <w:hideMark/>
          </w:tcPr>
          <w:p w14:paraId="1BA7B314" w14:textId="77777777" w:rsidR="00E13B55" w:rsidRPr="00D3774C" w:rsidRDefault="00E13B55" w:rsidP="00CE566B">
            <w:pPr>
              <w:overflowPunct/>
              <w:autoSpaceDE/>
              <w:autoSpaceDN/>
              <w:adjustRightInd/>
              <w:spacing w:before="40" w:after="40"/>
              <w:rPr>
                <w:rFonts w:ascii="Times New Roman Bold" w:hAnsi="Times New Roman Bold" w:cs="Times New Roman Bold"/>
                <w:b/>
                <w:sz w:val="18"/>
                <w:szCs w:val="18"/>
                <w:lang w:val="en-GB" w:eastAsia="zh-CN"/>
              </w:rPr>
            </w:pPr>
            <w:bookmarkStart w:id="160" w:name="_Hlk80528826" w:colFirst="1" w:colLast="8"/>
          </w:p>
        </w:tc>
        <w:tc>
          <w:tcPr>
            <w:tcW w:w="492" w:type="pct"/>
            <w:tcBorders>
              <w:top w:val="single" w:sz="6" w:space="0" w:color="auto"/>
              <w:left w:val="single" w:sz="6" w:space="0" w:color="auto"/>
              <w:bottom w:val="single" w:sz="6" w:space="0" w:color="auto"/>
              <w:right w:val="single" w:sz="6" w:space="0" w:color="auto"/>
            </w:tcBorders>
            <w:hideMark/>
          </w:tcPr>
          <w:p w14:paraId="0B8DB626" w14:textId="27D89713" w:rsidR="00E13B55" w:rsidRPr="00D3774C" w:rsidRDefault="00E13B55" w:rsidP="00CE566B">
            <w:pPr>
              <w:pStyle w:val="Tablehead"/>
              <w:spacing w:before="40" w:after="40"/>
              <w:rPr>
                <w:rFonts w:ascii="Times New Roman Bold" w:hAnsi="Times New Roman Bold"/>
                <w:spacing w:val="-6"/>
                <w:sz w:val="18"/>
                <w:szCs w:val="18"/>
                <w:lang w:val="en-GB" w:eastAsia="zh-CN"/>
              </w:rPr>
            </w:pPr>
            <w:r w:rsidRPr="00D3774C">
              <w:rPr>
                <w:rFonts w:ascii="Times New Roman Bold" w:hAnsi="Times New Roman Bold"/>
                <w:spacing w:val="-6"/>
                <w:sz w:val="18"/>
                <w:szCs w:val="18"/>
                <w:lang w:val="en-GB" w:eastAsia="zh-CN"/>
              </w:rPr>
              <w:t>Horizontal</w:t>
            </w:r>
          </w:p>
        </w:tc>
        <w:tc>
          <w:tcPr>
            <w:tcW w:w="424" w:type="pct"/>
            <w:tcBorders>
              <w:top w:val="single" w:sz="6" w:space="0" w:color="auto"/>
              <w:left w:val="single" w:sz="6" w:space="0" w:color="auto"/>
              <w:bottom w:val="single" w:sz="6" w:space="0" w:color="auto"/>
              <w:right w:val="single" w:sz="6" w:space="0" w:color="auto"/>
            </w:tcBorders>
            <w:hideMark/>
          </w:tcPr>
          <w:p w14:paraId="569185E7" w14:textId="1E70C5C9" w:rsidR="00E13B55" w:rsidRPr="00D3774C" w:rsidRDefault="00E13B55" w:rsidP="00CE566B">
            <w:pPr>
              <w:pStyle w:val="Tablehead"/>
              <w:spacing w:before="40" w:after="40"/>
              <w:rPr>
                <w:sz w:val="18"/>
                <w:szCs w:val="18"/>
                <w:lang w:val="en-GB" w:eastAsia="zh-CN"/>
              </w:rPr>
            </w:pPr>
            <w:r w:rsidRPr="00D3774C">
              <w:rPr>
                <w:sz w:val="18"/>
                <w:szCs w:val="18"/>
                <w:lang w:val="en-GB" w:eastAsia="zh-CN"/>
              </w:rPr>
              <w:t>Vertical</w:t>
            </w:r>
          </w:p>
        </w:tc>
        <w:tc>
          <w:tcPr>
            <w:tcW w:w="491" w:type="pct"/>
            <w:tcBorders>
              <w:top w:val="single" w:sz="6" w:space="0" w:color="auto"/>
              <w:left w:val="single" w:sz="6" w:space="0" w:color="auto"/>
              <w:bottom w:val="single" w:sz="6" w:space="0" w:color="auto"/>
              <w:right w:val="single" w:sz="6" w:space="0" w:color="auto"/>
            </w:tcBorders>
            <w:hideMark/>
          </w:tcPr>
          <w:p w14:paraId="27CACE4E" w14:textId="77777777" w:rsidR="00E13B55" w:rsidRPr="00D3774C" w:rsidRDefault="00E13B55" w:rsidP="00CE566B">
            <w:pPr>
              <w:pStyle w:val="Tablehead"/>
              <w:spacing w:before="40" w:after="40"/>
              <w:rPr>
                <w:sz w:val="18"/>
                <w:szCs w:val="18"/>
                <w:lang w:val="en-GB" w:eastAsia="zh-CN"/>
              </w:rPr>
            </w:pPr>
            <w:r w:rsidRPr="00D3774C">
              <w:rPr>
                <w:sz w:val="18"/>
                <w:szCs w:val="18"/>
                <w:lang w:val="en-GB" w:eastAsia="zh-CN"/>
              </w:rPr>
              <w:t>14</w:t>
            </w:r>
          </w:p>
        </w:tc>
        <w:tc>
          <w:tcPr>
            <w:tcW w:w="491" w:type="pct"/>
            <w:tcBorders>
              <w:top w:val="single" w:sz="6" w:space="0" w:color="auto"/>
              <w:left w:val="single" w:sz="6" w:space="0" w:color="auto"/>
              <w:bottom w:val="single" w:sz="6" w:space="0" w:color="auto"/>
              <w:right w:val="single" w:sz="6" w:space="0" w:color="auto"/>
            </w:tcBorders>
            <w:hideMark/>
          </w:tcPr>
          <w:p w14:paraId="2A594294" w14:textId="77777777" w:rsidR="00E13B55" w:rsidRPr="00D3774C" w:rsidRDefault="00E13B55" w:rsidP="00CE566B">
            <w:pPr>
              <w:pStyle w:val="Tablehead"/>
              <w:spacing w:before="40" w:after="40"/>
              <w:rPr>
                <w:sz w:val="18"/>
                <w:szCs w:val="18"/>
                <w:lang w:val="en-GB" w:eastAsia="zh-CN"/>
              </w:rPr>
            </w:pPr>
            <w:r w:rsidRPr="00D3774C">
              <w:rPr>
                <w:sz w:val="18"/>
                <w:szCs w:val="18"/>
                <w:lang w:val="en-GB" w:eastAsia="zh-CN"/>
              </w:rPr>
              <w:t>21</w:t>
            </w:r>
          </w:p>
        </w:tc>
        <w:tc>
          <w:tcPr>
            <w:tcW w:w="456" w:type="pct"/>
            <w:tcBorders>
              <w:top w:val="single" w:sz="6" w:space="0" w:color="auto"/>
              <w:left w:val="single" w:sz="6" w:space="0" w:color="auto"/>
              <w:bottom w:val="single" w:sz="6" w:space="0" w:color="auto"/>
              <w:right w:val="single" w:sz="6" w:space="0" w:color="auto"/>
            </w:tcBorders>
            <w:hideMark/>
          </w:tcPr>
          <w:p w14:paraId="3D5C031B" w14:textId="77777777" w:rsidR="00E13B55" w:rsidRPr="00D3774C" w:rsidRDefault="00E13B55" w:rsidP="00CE566B">
            <w:pPr>
              <w:pStyle w:val="Tablehead"/>
              <w:spacing w:before="40" w:after="40"/>
              <w:rPr>
                <w:sz w:val="18"/>
                <w:szCs w:val="18"/>
                <w:lang w:val="en-GB" w:eastAsia="zh-CN"/>
              </w:rPr>
            </w:pPr>
            <w:r w:rsidRPr="00D3774C">
              <w:rPr>
                <w:sz w:val="18"/>
                <w:szCs w:val="18"/>
                <w:lang w:val="en-GB" w:eastAsia="zh-CN"/>
              </w:rPr>
              <w:t>28</w:t>
            </w:r>
          </w:p>
        </w:tc>
        <w:tc>
          <w:tcPr>
            <w:tcW w:w="239" w:type="pct"/>
            <w:tcBorders>
              <w:top w:val="single" w:sz="6" w:space="0" w:color="auto"/>
              <w:left w:val="single" w:sz="6" w:space="0" w:color="auto"/>
              <w:bottom w:val="single" w:sz="6" w:space="0" w:color="auto"/>
              <w:right w:val="single" w:sz="6" w:space="0" w:color="auto"/>
            </w:tcBorders>
            <w:hideMark/>
          </w:tcPr>
          <w:p w14:paraId="0DEFE666" w14:textId="77777777" w:rsidR="00E13B55" w:rsidRPr="00D3774C" w:rsidRDefault="00E13B55" w:rsidP="00CE566B">
            <w:pPr>
              <w:pStyle w:val="Tablehead"/>
              <w:spacing w:before="40" w:after="40"/>
              <w:rPr>
                <w:sz w:val="18"/>
                <w:szCs w:val="18"/>
                <w:lang w:val="en-GB" w:eastAsia="zh-CN"/>
              </w:rPr>
            </w:pPr>
            <w:r w:rsidRPr="00D3774C">
              <w:rPr>
                <w:sz w:val="18"/>
                <w:szCs w:val="18"/>
                <w:lang w:val="en-GB" w:eastAsia="zh-CN"/>
              </w:rPr>
              <w:t>50</w:t>
            </w:r>
          </w:p>
        </w:tc>
        <w:tc>
          <w:tcPr>
            <w:tcW w:w="283" w:type="pct"/>
            <w:tcBorders>
              <w:top w:val="single" w:sz="6" w:space="0" w:color="auto"/>
              <w:left w:val="single" w:sz="6" w:space="0" w:color="auto"/>
              <w:bottom w:val="single" w:sz="6" w:space="0" w:color="auto"/>
              <w:right w:val="single" w:sz="6" w:space="0" w:color="auto"/>
            </w:tcBorders>
            <w:hideMark/>
          </w:tcPr>
          <w:p w14:paraId="47668463" w14:textId="77777777" w:rsidR="00E13B55" w:rsidRPr="00D3774C" w:rsidRDefault="00E13B55" w:rsidP="00CE566B">
            <w:pPr>
              <w:pStyle w:val="Tablehead"/>
              <w:spacing w:before="40" w:after="40"/>
              <w:rPr>
                <w:sz w:val="18"/>
                <w:szCs w:val="18"/>
                <w:lang w:val="en-GB" w:eastAsia="zh-CN"/>
              </w:rPr>
            </w:pPr>
            <w:r w:rsidRPr="00D3774C">
              <w:rPr>
                <w:sz w:val="18"/>
                <w:szCs w:val="18"/>
                <w:lang w:val="en-GB" w:eastAsia="zh-CN"/>
              </w:rPr>
              <w:t>144</w:t>
            </w:r>
          </w:p>
        </w:tc>
        <w:tc>
          <w:tcPr>
            <w:tcW w:w="507" w:type="pct"/>
            <w:tcBorders>
              <w:top w:val="single" w:sz="6" w:space="0" w:color="auto"/>
              <w:left w:val="single" w:sz="6" w:space="0" w:color="auto"/>
              <w:bottom w:val="single" w:sz="6" w:space="0" w:color="auto"/>
              <w:right w:val="single" w:sz="6" w:space="0" w:color="auto"/>
            </w:tcBorders>
            <w:hideMark/>
          </w:tcPr>
          <w:p w14:paraId="42F19FAF" w14:textId="77777777" w:rsidR="00E13B55" w:rsidRPr="00D3774C" w:rsidRDefault="00E13B55" w:rsidP="00CE566B">
            <w:pPr>
              <w:pStyle w:val="Tablehead"/>
              <w:spacing w:before="40" w:after="40"/>
              <w:rPr>
                <w:sz w:val="18"/>
                <w:szCs w:val="18"/>
                <w:lang w:val="en-GB" w:eastAsia="zh-CN"/>
              </w:rPr>
            </w:pPr>
            <w:r w:rsidRPr="00D3774C">
              <w:rPr>
                <w:sz w:val="18"/>
                <w:szCs w:val="18"/>
                <w:lang w:val="en-GB" w:eastAsia="zh-CN"/>
              </w:rPr>
              <w:t>440</w:t>
            </w:r>
          </w:p>
        </w:tc>
        <w:tc>
          <w:tcPr>
            <w:tcW w:w="527" w:type="pct"/>
            <w:vMerge/>
            <w:tcBorders>
              <w:top w:val="single" w:sz="6" w:space="0" w:color="auto"/>
              <w:left w:val="single" w:sz="6" w:space="0" w:color="auto"/>
              <w:bottom w:val="single" w:sz="6" w:space="0" w:color="auto"/>
              <w:right w:val="single" w:sz="6" w:space="0" w:color="auto"/>
            </w:tcBorders>
            <w:vAlign w:val="center"/>
            <w:hideMark/>
          </w:tcPr>
          <w:p w14:paraId="4A87CE9F" w14:textId="77777777" w:rsidR="00E13B55" w:rsidRPr="00D3774C" w:rsidRDefault="00E13B55" w:rsidP="00CE566B">
            <w:pPr>
              <w:overflowPunct/>
              <w:autoSpaceDE/>
              <w:autoSpaceDN/>
              <w:adjustRightInd/>
              <w:spacing w:before="40" w:after="40"/>
              <w:rPr>
                <w:rFonts w:ascii="Times New Roman Bold" w:hAnsi="Times New Roman Bold" w:cs="Times New Roman Bold"/>
                <w:b/>
                <w:sz w:val="18"/>
                <w:szCs w:val="18"/>
                <w:lang w:val="en-GB" w:eastAsia="zh-CN"/>
              </w:rPr>
            </w:pPr>
          </w:p>
        </w:tc>
      </w:tr>
      <w:bookmarkEnd w:id="160"/>
      <w:tr w:rsidR="005823EE" w:rsidRPr="00D3774C" w14:paraId="635390CB" w14:textId="77777777" w:rsidTr="00D3774C">
        <w:trPr>
          <w:trHeight w:val="217"/>
          <w:jc w:val="center"/>
        </w:trPr>
        <w:tc>
          <w:tcPr>
            <w:tcW w:w="1091" w:type="pct"/>
            <w:tcBorders>
              <w:top w:val="single" w:sz="6" w:space="0" w:color="auto"/>
              <w:left w:val="single" w:sz="6" w:space="0" w:color="auto"/>
              <w:bottom w:val="single" w:sz="6" w:space="0" w:color="auto"/>
              <w:right w:val="single" w:sz="6" w:space="0" w:color="auto"/>
            </w:tcBorders>
          </w:tcPr>
          <w:p w14:paraId="62432378" w14:textId="26215849" w:rsidR="005823EE" w:rsidRPr="00D3774C" w:rsidRDefault="005823EE" w:rsidP="005823EE">
            <w:pPr>
              <w:spacing w:before="40" w:after="40"/>
              <w:rPr>
                <w:sz w:val="18"/>
                <w:szCs w:val="18"/>
                <w:lang w:val="en-GB" w:eastAsia="zh-CN"/>
              </w:rPr>
            </w:pPr>
            <w:r w:rsidRPr="00D3774C">
              <w:rPr>
                <w:sz w:val="18"/>
                <w:szCs w:val="18"/>
                <w:lang w:val="en-GB" w:eastAsia="zh-CN"/>
              </w:rPr>
              <w:t>Amateur station</w:t>
            </w:r>
          </w:p>
        </w:tc>
        <w:tc>
          <w:tcPr>
            <w:tcW w:w="492" w:type="pct"/>
            <w:tcBorders>
              <w:top w:val="single" w:sz="6" w:space="0" w:color="auto"/>
              <w:left w:val="single" w:sz="6" w:space="0" w:color="auto"/>
              <w:bottom w:val="single" w:sz="6" w:space="0" w:color="auto"/>
              <w:right w:val="single" w:sz="6" w:space="0" w:color="auto"/>
            </w:tcBorders>
          </w:tcPr>
          <w:p w14:paraId="44B4A695" w14:textId="6844C188" w:rsidR="005823EE" w:rsidRPr="00D3774C" w:rsidRDefault="005823EE" w:rsidP="007D31A3">
            <w:pPr>
              <w:spacing w:before="40" w:after="40"/>
              <w:jc w:val="center"/>
              <w:rPr>
                <w:sz w:val="18"/>
                <w:szCs w:val="18"/>
                <w:lang w:val="en-GB" w:eastAsia="zh-CN"/>
              </w:rPr>
            </w:pPr>
            <w:r w:rsidRPr="00D3774C">
              <w:rPr>
                <w:sz w:val="18"/>
                <w:szCs w:val="18"/>
                <w:lang w:val="en-GB" w:eastAsia="zh-CN"/>
              </w:rPr>
              <w:t>6.5</w:t>
            </w:r>
          </w:p>
        </w:tc>
        <w:tc>
          <w:tcPr>
            <w:tcW w:w="424" w:type="pct"/>
            <w:tcBorders>
              <w:top w:val="single" w:sz="6" w:space="0" w:color="auto"/>
              <w:left w:val="single" w:sz="6" w:space="0" w:color="auto"/>
              <w:bottom w:val="single" w:sz="6" w:space="0" w:color="auto"/>
              <w:right w:val="single" w:sz="6" w:space="0" w:color="auto"/>
            </w:tcBorders>
          </w:tcPr>
          <w:p w14:paraId="616782DC" w14:textId="30C17684" w:rsidR="005823EE" w:rsidRPr="00D3774C" w:rsidRDefault="005823EE" w:rsidP="007D31A3">
            <w:pPr>
              <w:spacing w:before="40" w:after="40"/>
              <w:jc w:val="center"/>
              <w:rPr>
                <w:sz w:val="18"/>
                <w:szCs w:val="18"/>
                <w:lang w:val="en-GB" w:eastAsia="zh-CN"/>
              </w:rPr>
            </w:pPr>
            <w:r w:rsidRPr="00D3774C">
              <w:rPr>
                <w:sz w:val="18"/>
                <w:szCs w:val="18"/>
                <w:lang w:val="en-GB" w:eastAsia="zh-CN"/>
              </w:rPr>
              <w:t>1.5</w:t>
            </w:r>
          </w:p>
        </w:tc>
        <w:tc>
          <w:tcPr>
            <w:tcW w:w="491" w:type="pct"/>
            <w:tcBorders>
              <w:top w:val="single" w:sz="6" w:space="0" w:color="auto"/>
              <w:left w:val="single" w:sz="6" w:space="0" w:color="auto"/>
              <w:bottom w:val="single" w:sz="6" w:space="0" w:color="auto"/>
              <w:right w:val="single" w:sz="6" w:space="0" w:color="auto"/>
            </w:tcBorders>
          </w:tcPr>
          <w:p w14:paraId="5B141EDE" w14:textId="08EC8651" w:rsidR="005823EE" w:rsidRPr="00D3774C" w:rsidRDefault="005823EE" w:rsidP="007D31A3">
            <w:pPr>
              <w:spacing w:before="40" w:after="40"/>
              <w:jc w:val="center"/>
              <w:rPr>
                <w:sz w:val="18"/>
                <w:szCs w:val="18"/>
                <w:lang w:val="en-GB" w:eastAsia="zh-CN"/>
              </w:rPr>
            </w:pPr>
            <w:r w:rsidRPr="00D3774C">
              <w:rPr>
                <w:sz w:val="18"/>
                <w:szCs w:val="18"/>
                <w:lang w:val="en-GB" w:eastAsia="zh-CN"/>
              </w:rPr>
              <w:t>1.2</w:t>
            </w:r>
          </w:p>
        </w:tc>
        <w:tc>
          <w:tcPr>
            <w:tcW w:w="491" w:type="pct"/>
            <w:tcBorders>
              <w:top w:val="single" w:sz="6" w:space="0" w:color="auto"/>
              <w:left w:val="single" w:sz="6" w:space="0" w:color="auto"/>
              <w:bottom w:val="single" w:sz="6" w:space="0" w:color="auto"/>
              <w:right w:val="single" w:sz="6" w:space="0" w:color="auto"/>
            </w:tcBorders>
          </w:tcPr>
          <w:p w14:paraId="2DF10889" w14:textId="74E9752A" w:rsidR="005823EE" w:rsidRPr="00D3774C" w:rsidRDefault="005823EE" w:rsidP="007D31A3">
            <w:pPr>
              <w:spacing w:before="40" w:after="40"/>
              <w:jc w:val="center"/>
              <w:rPr>
                <w:sz w:val="18"/>
                <w:szCs w:val="18"/>
                <w:lang w:val="en-GB" w:eastAsia="zh-CN"/>
              </w:rPr>
            </w:pPr>
            <w:r w:rsidRPr="00D3774C">
              <w:rPr>
                <w:sz w:val="18"/>
                <w:szCs w:val="18"/>
                <w:lang w:val="en-GB" w:eastAsia="zh-CN"/>
              </w:rPr>
              <w:t>0.6</w:t>
            </w:r>
          </w:p>
        </w:tc>
        <w:tc>
          <w:tcPr>
            <w:tcW w:w="456" w:type="pct"/>
            <w:tcBorders>
              <w:top w:val="single" w:sz="6" w:space="0" w:color="auto"/>
              <w:left w:val="single" w:sz="6" w:space="0" w:color="auto"/>
              <w:bottom w:val="single" w:sz="6" w:space="0" w:color="auto"/>
              <w:right w:val="single" w:sz="6" w:space="0" w:color="auto"/>
            </w:tcBorders>
          </w:tcPr>
          <w:p w14:paraId="12E13A1A" w14:textId="3B40BEC0" w:rsidR="005823EE" w:rsidRPr="00D3774C" w:rsidRDefault="005823EE" w:rsidP="007D31A3">
            <w:pPr>
              <w:spacing w:before="40" w:after="40"/>
              <w:jc w:val="center"/>
              <w:rPr>
                <w:sz w:val="18"/>
                <w:szCs w:val="18"/>
                <w:lang w:val="en-GB" w:eastAsia="zh-CN"/>
              </w:rPr>
            </w:pPr>
            <w:r w:rsidRPr="00D3774C">
              <w:rPr>
                <w:sz w:val="18"/>
                <w:szCs w:val="18"/>
                <w:lang w:val="en-GB" w:eastAsia="zh-CN"/>
              </w:rPr>
              <w:t>0.96</w:t>
            </w:r>
          </w:p>
        </w:tc>
        <w:tc>
          <w:tcPr>
            <w:tcW w:w="239" w:type="pct"/>
            <w:tcBorders>
              <w:top w:val="single" w:sz="6" w:space="0" w:color="auto"/>
              <w:left w:val="single" w:sz="6" w:space="0" w:color="auto"/>
              <w:bottom w:val="single" w:sz="6" w:space="0" w:color="auto"/>
              <w:right w:val="single" w:sz="6" w:space="0" w:color="auto"/>
            </w:tcBorders>
          </w:tcPr>
          <w:p w14:paraId="657EB21D" w14:textId="3DE29435" w:rsidR="005823EE" w:rsidRPr="00D3774C" w:rsidRDefault="005823EE" w:rsidP="007D31A3">
            <w:pPr>
              <w:spacing w:before="40" w:after="40"/>
              <w:jc w:val="center"/>
              <w:rPr>
                <w:sz w:val="18"/>
                <w:szCs w:val="18"/>
                <w:lang w:val="en-GB" w:eastAsia="zh-CN"/>
              </w:rPr>
            </w:pPr>
            <w:r w:rsidRPr="00D3774C">
              <w:rPr>
                <w:sz w:val="18"/>
                <w:szCs w:val="18"/>
                <w:lang w:val="en-GB" w:eastAsia="zh-CN"/>
              </w:rPr>
              <w:t>0.6</w:t>
            </w:r>
          </w:p>
        </w:tc>
        <w:tc>
          <w:tcPr>
            <w:tcW w:w="283" w:type="pct"/>
            <w:tcBorders>
              <w:top w:val="single" w:sz="6" w:space="0" w:color="auto"/>
              <w:left w:val="single" w:sz="6" w:space="0" w:color="auto"/>
              <w:bottom w:val="single" w:sz="6" w:space="0" w:color="auto"/>
              <w:right w:val="single" w:sz="6" w:space="0" w:color="auto"/>
            </w:tcBorders>
          </w:tcPr>
          <w:p w14:paraId="4883E4FE" w14:textId="385C8188" w:rsidR="005823EE" w:rsidRPr="00D3774C" w:rsidRDefault="005823EE" w:rsidP="007D31A3">
            <w:pPr>
              <w:spacing w:before="40" w:after="40"/>
              <w:jc w:val="center"/>
              <w:rPr>
                <w:sz w:val="18"/>
                <w:szCs w:val="18"/>
                <w:lang w:val="en-GB" w:eastAsia="zh-CN"/>
              </w:rPr>
            </w:pPr>
            <w:r w:rsidRPr="00D3774C">
              <w:rPr>
                <w:sz w:val="18"/>
                <w:szCs w:val="18"/>
                <w:lang w:val="en-GB" w:eastAsia="zh-CN"/>
              </w:rPr>
              <w:t>0.6</w:t>
            </w:r>
          </w:p>
        </w:tc>
        <w:tc>
          <w:tcPr>
            <w:tcW w:w="507" w:type="pct"/>
            <w:tcBorders>
              <w:top w:val="single" w:sz="6" w:space="0" w:color="auto"/>
              <w:left w:val="single" w:sz="6" w:space="0" w:color="auto"/>
              <w:bottom w:val="single" w:sz="6" w:space="0" w:color="auto"/>
              <w:right w:val="single" w:sz="6" w:space="0" w:color="auto"/>
            </w:tcBorders>
          </w:tcPr>
          <w:p w14:paraId="06F4B1AE" w14:textId="4FE214CC" w:rsidR="005823EE" w:rsidRPr="00D3774C" w:rsidRDefault="005823EE" w:rsidP="007D31A3">
            <w:pPr>
              <w:spacing w:before="40" w:after="40"/>
              <w:jc w:val="center"/>
              <w:rPr>
                <w:sz w:val="18"/>
                <w:szCs w:val="18"/>
                <w:lang w:val="en-GB" w:eastAsia="zh-CN"/>
              </w:rPr>
            </w:pPr>
            <w:r w:rsidRPr="00D3774C">
              <w:rPr>
                <w:sz w:val="18"/>
                <w:szCs w:val="18"/>
                <w:lang w:val="en-GB" w:eastAsia="zh-CN"/>
              </w:rPr>
              <w:t>0.4</w:t>
            </w:r>
          </w:p>
        </w:tc>
        <w:tc>
          <w:tcPr>
            <w:tcW w:w="527" w:type="pct"/>
            <w:tcBorders>
              <w:top w:val="single" w:sz="6" w:space="0" w:color="auto"/>
              <w:left w:val="single" w:sz="6" w:space="0" w:color="auto"/>
              <w:bottom w:val="single" w:sz="6" w:space="0" w:color="auto"/>
              <w:right w:val="single" w:sz="6" w:space="0" w:color="auto"/>
            </w:tcBorders>
          </w:tcPr>
          <w:p w14:paraId="745105AC" w14:textId="2F44C082" w:rsidR="005823EE" w:rsidRPr="00D3774C" w:rsidRDefault="005823EE" w:rsidP="007D31A3">
            <w:pPr>
              <w:spacing w:before="40" w:after="40"/>
              <w:jc w:val="center"/>
              <w:rPr>
                <w:sz w:val="18"/>
                <w:szCs w:val="18"/>
                <w:lang w:val="en-GB" w:eastAsia="zh-CN"/>
              </w:rPr>
            </w:pPr>
            <w:r w:rsidRPr="00D3774C">
              <w:rPr>
                <w:sz w:val="18"/>
                <w:szCs w:val="18"/>
                <w:lang w:val="en-GB" w:eastAsia="zh-CN"/>
              </w:rPr>
              <w:t>0.2</w:t>
            </w:r>
          </w:p>
        </w:tc>
      </w:tr>
      <w:tr w:rsidR="005823EE" w:rsidRPr="00D3774C" w14:paraId="2DE5DEB5" w14:textId="77777777" w:rsidTr="00D3774C">
        <w:trPr>
          <w:trHeight w:val="217"/>
          <w:jc w:val="center"/>
        </w:trPr>
        <w:tc>
          <w:tcPr>
            <w:tcW w:w="1091" w:type="pct"/>
            <w:tcBorders>
              <w:top w:val="single" w:sz="6" w:space="0" w:color="auto"/>
              <w:left w:val="single" w:sz="6" w:space="0" w:color="auto"/>
              <w:bottom w:val="single" w:sz="6" w:space="0" w:color="auto"/>
              <w:right w:val="single" w:sz="6" w:space="0" w:color="auto"/>
            </w:tcBorders>
          </w:tcPr>
          <w:p w14:paraId="17E69896" w14:textId="7AF09E7F" w:rsidR="005823EE" w:rsidRPr="00D3774C" w:rsidRDefault="005823EE" w:rsidP="005823EE">
            <w:pPr>
              <w:spacing w:before="40" w:after="40"/>
              <w:rPr>
                <w:sz w:val="18"/>
                <w:szCs w:val="18"/>
                <w:lang w:val="en-GB" w:eastAsia="zh-CN"/>
              </w:rPr>
            </w:pPr>
            <w:r w:rsidRPr="00D3774C">
              <w:rPr>
                <w:sz w:val="18"/>
                <w:szCs w:val="18"/>
                <w:lang w:val="en-GB" w:eastAsia="zh-CN"/>
              </w:rPr>
              <w:t>2</w:t>
            </w:r>
            <w:r w:rsidR="00D3774C" w:rsidRPr="00D3774C">
              <w:rPr>
                <w:sz w:val="18"/>
                <w:szCs w:val="18"/>
                <w:vertAlign w:val="superscript"/>
                <w:lang w:val="en-GB" w:eastAsia="zh-CN"/>
              </w:rPr>
              <w:t>nd</w:t>
            </w:r>
            <w:r w:rsidRPr="00D3774C">
              <w:rPr>
                <w:sz w:val="18"/>
                <w:szCs w:val="18"/>
                <w:lang w:val="en-GB" w:eastAsia="zh-CN"/>
              </w:rPr>
              <w:t xml:space="preserve"> floor, </w:t>
            </w:r>
            <w:proofErr w:type="spellStart"/>
            <w:r w:rsidRPr="00D3774C">
              <w:rPr>
                <w:sz w:val="18"/>
                <w:szCs w:val="18"/>
                <w:lang w:val="en-GB" w:eastAsia="zh-CN"/>
              </w:rPr>
              <w:t>Hashikma</w:t>
            </w:r>
            <w:proofErr w:type="spellEnd"/>
            <w:r w:rsidRPr="00D3774C">
              <w:rPr>
                <w:sz w:val="18"/>
                <w:szCs w:val="18"/>
                <w:lang w:val="en-GB" w:eastAsia="zh-CN"/>
              </w:rPr>
              <w:t xml:space="preserve"> 21</w:t>
            </w:r>
          </w:p>
        </w:tc>
        <w:tc>
          <w:tcPr>
            <w:tcW w:w="492" w:type="pct"/>
            <w:tcBorders>
              <w:top w:val="single" w:sz="6" w:space="0" w:color="auto"/>
              <w:left w:val="single" w:sz="6" w:space="0" w:color="auto"/>
              <w:bottom w:val="single" w:sz="6" w:space="0" w:color="auto"/>
              <w:right w:val="single" w:sz="6" w:space="0" w:color="auto"/>
            </w:tcBorders>
          </w:tcPr>
          <w:p w14:paraId="047867FF" w14:textId="60BF8380" w:rsidR="005823EE" w:rsidRPr="00D3774C" w:rsidRDefault="005823EE" w:rsidP="007D31A3">
            <w:pPr>
              <w:spacing w:before="40" w:after="40"/>
              <w:jc w:val="center"/>
              <w:rPr>
                <w:sz w:val="18"/>
                <w:szCs w:val="18"/>
                <w:lang w:val="en-GB" w:eastAsia="zh-CN"/>
              </w:rPr>
            </w:pPr>
            <w:r w:rsidRPr="00D3774C">
              <w:rPr>
                <w:sz w:val="18"/>
                <w:szCs w:val="18"/>
                <w:lang w:val="en-GB" w:eastAsia="zh-CN"/>
              </w:rPr>
              <w:t>1.5</w:t>
            </w:r>
          </w:p>
        </w:tc>
        <w:tc>
          <w:tcPr>
            <w:tcW w:w="424" w:type="pct"/>
            <w:tcBorders>
              <w:top w:val="single" w:sz="6" w:space="0" w:color="auto"/>
              <w:left w:val="single" w:sz="6" w:space="0" w:color="auto"/>
              <w:bottom w:val="single" w:sz="6" w:space="0" w:color="auto"/>
              <w:right w:val="single" w:sz="6" w:space="0" w:color="auto"/>
            </w:tcBorders>
          </w:tcPr>
          <w:p w14:paraId="1A3A4947" w14:textId="2E24C04F" w:rsidR="005823EE" w:rsidRPr="00D3774C" w:rsidRDefault="005823EE" w:rsidP="007D31A3">
            <w:pPr>
              <w:spacing w:before="40" w:after="40"/>
              <w:jc w:val="center"/>
              <w:rPr>
                <w:sz w:val="18"/>
                <w:szCs w:val="18"/>
                <w:lang w:val="en-GB" w:eastAsia="zh-CN"/>
              </w:rPr>
            </w:pPr>
            <w:r w:rsidRPr="00D3774C">
              <w:rPr>
                <w:sz w:val="18"/>
                <w:szCs w:val="18"/>
                <w:lang w:val="en-GB" w:eastAsia="zh-CN"/>
              </w:rPr>
              <w:t>8.5</w:t>
            </w:r>
          </w:p>
        </w:tc>
        <w:tc>
          <w:tcPr>
            <w:tcW w:w="491" w:type="pct"/>
            <w:tcBorders>
              <w:top w:val="single" w:sz="6" w:space="0" w:color="auto"/>
              <w:left w:val="single" w:sz="6" w:space="0" w:color="auto"/>
              <w:bottom w:val="single" w:sz="6" w:space="0" w:color="auto"/>
              <w:right w:val="single" w:sz="6" w:space="0" w:color="auto"/>
            </w:tcBorders>
          </w:tcPr>
          <w:p w14:paraId="4919DFA4" w14:textId="52F26560" w:rsidR="005823EE" w:rsidRPr="00D3774C" w:rsidRDefault="005823EE" w:rsidP="007D31A3">
            <w:pPr>
              <w:spacing w:before="40" w:after="40"/>
              <w:jc w:val="center"/>
              <w:rPr>
                <w:sz w:val="18"/>
                <w:szCs w:val="18"/>
                <w:lang w:val="en-GB" w:eastAsia="zh-CN"/>
              </w:rPr>
            </w:pPr>
            <w:r w:rsidRPr="00D3774C">
              <w:rPr>
                <w:sz w:val="18"/>
                <w:szCs w:val="18"/>
                <w:lang w:val="en-GB" w:eastAsia="zh-CN"/>
              </w:rPr>
              <w:t>0.05</w:t>
            </w:r>
          </w:p>
        </w:tc>
        <w:tc>
          <w:tcPr>
            <w:tcW w:w="491" w:type="pct"/>
            <w:tcBorders>
              <w:top w:val="single" w:sz="6" w:space="0" w:color="auto"/>
              <w:left w:val="single" w:sz="6" w:space="0" w:color="auto"/>
              <w:bottom w:val="single" w:sz="6" w:space="0" w:color="auto"/>
              <w:right w:val="single" w:sz="6" w:space="0" w:color="auto"/>
            </w:tcBorders>
          </w:tcPr>
          <w:p w14:paraId="00A56EEC" w14:textId="3827E313" w:rsidR="005823EE" w:rsidRPr="00D3774C" w:rsidRDefault="005823EE" w:rsidP="007D31A3">
            <w:pPr>
              <w:spacing w:before="40" w:after="40"/>
              <w:jc w:val="center"/>
              <w:rPr>
                <w:sz w:val="18"/>
                <w:szCs w:val="18"/>
                <w:lang w:val="en-GB" w:eastAsia="zh-CN"/>
              </w:rPr>
            </w:pPr>
            <w:r w:rsidRPr="00D3774C">
              <w:rPr>
                <w:sz w:val="18"/>
                <w:szCs w:val="18"/>
                <w:lang w:val="en-GB" w:eastAsia="zh-CN"/>
              </w:rPr>
              <w:t>0.05</w:t>
            </w:r>
          </w:p>
        </w:tc>
        <w:tc>
          <w:tcPr>
            <w:tcW w:w="456" w:type="pct"/>
            <w:tcBorders>
              <w:top w:val="single" w:sz="6" w:space="0" w:color="auto"/>
              <w:left w:val="single" w:sz="6" w:space="0" w:color="auto"/>
              <w:bottom w:val="single" w:sz="6" w:space="0" w:color="auto"/>
              <w:right w:val="single" w:sz="6" w:space="0" w:color="auto"/>
            </w:tcBorders>
          </w:tcPr>
          <w:p w14:paraId="659D0D21" w14:textId="6D3F2984" w:rsidR="005823EE" w:rsidRPr="00D3774C" w:rsidRDefault="005823EE" w:rsidP="007D31A3">
            <w:pPr>
              <w:spacing w:before="40" w:after="40"/>
              <w:jc w:val="center"/>
              <w:rPr>
                <w:sz w:val="18"/>
                <w:szCs w:val="18"/>
                <w:lang w:val="en-GB" w:eastAsia="zh-CN"/>
              </w:rPr>
            </w:pPr>
            <w:r w:rsidRPr="00D3774C">
              <w:rPr>
                <w:sz w:val="18"/>
                <w:szCs w:val="18"/>
                <w:lang w:val="en-GB" w:eastAsia="zh-CN"/>
              </w:rPr>
              <w:t>0.05</w:t>
            </w:r>
          </w:p>
        </w:tc>
        <w:tc>
          <w:tcPr>
            <w:tcW w:w="239" w:type="pct"/>
            <w:tcBorders>
              <w:top w:val="single" w:sz="6" w:space="0" w:color="auto"/>
              <w:left w:val="single" w:sz="6" w:space="0" w:color="auto"/>
              <w:bottom w:val="single" w:sz="6" w:space="0" w:color="auto"/>
              <w:right w:val="single" w:sz="6" w:space="0" w:color="auto"/>
            </w:tcBorders>
          </w:tcPr>
          <w:p w14:paraId="550D8A13" w14:textId="2B289016" w:rsidR="005823EE" w:rsidRPr="00D3774C" w:rsidRDefault="005823EE" w:rsidP="007D31A3">
            <w:pPr>
              <w:spacing w:before="40" w:after="40"/>
              <w:jc w:val="center"/>
              <w:rPr>
                <w:sz w:val="18"/>
                <w:szCs w:val="18"/>
                <w:lang w:val="en-GB" w:eastAsia="zh-CN"/>
              </w:rPr>
            </w:pPr>
            <w:r w:rsidRPr="00D3774C">
              <w:rPr>
                <w:sz w:val="18"/>
                <w:szCs w:val="18"/>
                <w:lang w:val="en-GB" w:eastAsia="zh-CN"/>
              </w:rPr>
              <w:t>0.2</w:t>
            </w:r>
          </w:p>
        </w:tc>
        <w:tc>
          <w:tcPr>
            <w:tcW w:w="283" w:type="pct"/>
            <w:tcBorders>
              <w:top w:val="single" w:sz="6" w:space="0" w:color="auto"/>
              <w:left w:val="single" w:sz="6" w:space="0" w:color="auto"/>
              <w:bottom w:val="single" w:sz="6" w:space="0" w:color="auto"/>
              <w:right w:val="single" w:sz="6" w:space="0" w:color="auto"/>
            </w:tcBorders>
          </w:tcPr>
          <w:p w14:paraId="0376CD1A" w14:textId="4E2C5B75" w:rsidR="005823EE" w:rsidRPr="00D3774C" w:rsidRDefault="005823EE" w:rsidP="007D31A3">
            <w:pPr>
              <w:spacing w:before="40" w:after="40"/>
              <w:jc w:val="center"/>
              <w:rPr>
                <w:sz w:val="18"/>
                <w:szCs w:val="18"/>
                <w:lang w:val="en-GB" w:eastAsia="zh-CN"/>
              </w:rPr>
            </w:pPr>
            <w:r w:rsidRPr="00D3774C">
              <w:rPr>
                <w:sz w:val="18"/>
                <w:szCs w:val="18"/>
                <w:lang w:val="en-GB" w:eastAsia="zh-CN"/>
              </w:rPr>
              <w:t>0.3</w:t>
            </w:r>
          </w:p>
        </w:tc>
        <w:tc>
          <w:tcPr>
            <w:tcW w:w="507" w:type="pct"/>
            <w:tcBorders>
              <w:top w:val="single" w:sz="6" w:space="0" w:color="auto"/>
              <w:left w:val="single" w:sz="6" w:space="0" w:color="auto"/>
              <w:bottom w:val="single" w:sz="6" w:space="0" w:color="auto"/>
              <w:right w:val="single" w:sz="6" w:space="0" w:color="auto"/>
            </w:tcBorders>
          </w:tcPr>
          <w:p w14:paraId="7FA71BE2" w14:textId="16BD6B94" w:rsidR="005823EE" w:rsidRPr="00D3774C" w:rsidRDefault="005823EE" w:rsidP="007D31A3">
            <w:pPr>
              <w:spacing w:before="40" w:after="40"/>
              <w:jc w:val="center"/>
              <w:rPr>
                <w:sz w:val="18"/>
                <w:szCs w:val="18"/>
                <w:lang w:val="en-GB" w:eastAsia="zh-CN"/>
              </w:rPr>
            </w:pPr>
            <w:r w:rsidRPr="00D3774C">
              <w:rPr>
                <w:sz w:val="18"/>
                <w:szCs w:val="18"/>
                <w:lang w:val="en-GB" w:eastAsia="zh-CN"/>
              </w:rPr>
              <w:t>0.4</w:t>
            </w:r>
          </w:p>
        </w:tc>
        <w:tc>
          <w:tcPr>
            <w:tcW w:w="527" w:type="pct"/>
            <w:tcBorders>
              <w:top w:val="single" w:sz="6" w:space="0" w:color="auto"/>
              <w:left w:val="single" w:sz="6" w:space="0" w:color="auto"/>
              <w:bottom w:val="single" w:sz="6" w:space="0" w:color="auto"/>
              <w:right w:val="single" w:sz="6" w:space="0" w:color="auto"/>
            </w:tcBorders>
          </w:tcPr>
          <w:p w14:paraId="48E5AB35" w14:textId="7BD4B898" w:rsidR="005823EE" w:rsidRPr="00D3774C" w:rsidRDefault="005823EE" w:rsidP="007D31A3">
            <w:pPr>
              <w:spacing w:before="40" w:after="40"/>
              <w:jc w:val="center"/>
              <w:rPr>
                <w:sz w:val="18"/>
                <w:szCs w:val="18"/>
                <w:lang w:val="en-GB" w:eastAsia="zh-CN"/>
              </w:rPr>
            </w:pPr>
            <w:r w:rsidRPr="00D3774C">
              <w:rPr>
                <w:sz w:val="18"/>
                <w:szCs w:val="18"/>
                <w:lang w:val="en-GB" w:eastAsia="zh-CN"/>
              </w:rPr>
              <w:t>0.01</w:t>
            </w:r>
          </w:p>
        </w:tc>
      </w:tr>
      <w:tr w:rsidR="005823EE" w:rsidRPr="00D3774C" w14:paraId="7FAA68BF" w14:textId="77777777" w:rsidTr="00D3774C">
        <w:trPr>
          <w:trHeight w:val="217"/>
          <w:jc w:val="center"/>
        </w:trPr>
        <w:tc>
          <w:tcPr>
            <w:tcW w:w="1091" w:type="pct"/>
            <w:tcBorders>
              <w:top w:val="single" w:sz="6" w:space="0" w:color="auto"/>
              <w:left w:val="single" w:sz="6" w:space="0" w:color="auto"/>
              <w:bottom w:val="single" w:sz="6" w:space="0" w:color="auto"/>
              <w:right w:val="single" w:sz="6" w:space="0" w:color="auto"/>
            </w:tcBorders>
            <w:hideMark/>
          </w:tcPr>
          <w:p w14:paraId="669D800C" w14:textId="77777777" w:rsidR="005823EE" w:rsidRPr="00D3774C" w:rsidRDefault="005823EE" w:rsidP="005823EE">
            <w:pPr>
              <w:spacing w:before="40" w:after="40"/>
              <w:rPr>
                <w:sz w:val="18"/>
                <w:szCs w:val="18"/>
                <w:lang w:val="en-GB" w:eastAsia="zh-CN"/>
              </w:rPr>
            </w:pPr>
            <w:r w:rsidRPr="00D3774C">
              <w:rPr>
                <w:sz w:val="18"/>
                <w:szCs w:val="18"/>
                <w:lang w:val="en-GB" w:eastAsia="zh-CN"/>
              </w:rPr>
              <w:t xml:space="preserve">Floor 1, </w:t>
            </w:r>
            <w:proofErr w:type="spellStart"/>
            <w:r w:rsidRPr="00D3774C">
              <w:rPr>
                <w:sz w:val="18"/>
                <w:szCs w:val="18"/>
                <w:lang w:val="en-GB" w:eastAsia="zh-CN"/>
              </w:rPr>
              <w:t>Hashikma</w:t>
            </w:r>
            <w:proofErr w:type="spellEnd"/>
            <w:r w:rsidRPr="00D3774C">
              <w:rPr>
                <w:sz w:val="18"/>
                <w:szCs w:val="18"/>
                <w:lang w:val="en-GB" w:eastAsia="zh-CN"/>
              </w:rPr>
              <w:t xml:space="preserve"> 21</w:t>
            </w:r>
          </w:p>
        </w:tc>
        <w:tc>
          <w:tcPr>
            <w:tcW w:w="492" w:type="pct"/>
            <w:tcBorders>
              <w:top w:val="single" w:sz="6" w:space="0" w:color="auto"/>
              <w:left w:val="single" w:sz="6" w:space="0" w:color="auto"/>
              <w:bottom w:val="single" w:sz="6" w:space="0" w:color="auto"/>
              <w:right w:val="single" w:sz="6" w:space="0" w:color="auto"/>
            </w:tcBorders>
            <w:hideMark/>
          </w:tcPr>
          <w:p w14:paraId="43463256"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1.5</w:t>
            </w:r>
          </w:p>
        </w:tc>
        <w:tc>
          <w:tcPr>
            <w:tcW w:w="424" w:type="pct"/>
            <w:tcBorders>
              <w:top w:val="single" w:sz="6" w:space="0" w:color="auto"/>
              <w:left w:val="single" w:sz="6" w:space="0" w:color="auto"/>
              <w:bottom w:val="single" w:sz="6" w:space="0" w:color="auto"/>
              <w:right w:val="single" w:sz="6" w:space="0" w:color="auto"/>
            </w:tcBorders>
            <w:hideMark/>
          </w:tcPr>
          <w:p w14:paraId="7705EF3F"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11.5</w:t>
            </w:r>
          </w:p>
        </w:tc>
        <w:tc>
          <w:tcPr>
            <w:tcW w:w="491" w:type="pct"/>
            <w:tcBorders>
              <w:top w:val="single" w:sz="6" w:space="0" w:color="auto"/>
              <w:left w:val="single" w:sz="6" w:space="0" w:color="auto"/>
              <w:bottom w:val="single" w:sz="6" w:space="0" w:color="auto"/>
              <w:right w:val="single" w:sz="6" w:space="0" w:color="auto"/>
            </w:tcBorders>
            <w:hideMark/>
          </w:tcPr>
          <w:p w14:paraId="39B83434"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0.05</w:t>
            </w:r>
          </w:p>
        </w:tc>
        <w:tc>
          <w:tcPr>
            <w:tcW w:w="491" w:type="pct"/>
            <w:tcBorders>
              <w:top w:val="single" w:sz="6" w:space="0" w:color="auto"/>
              <w:left w:val="single" w:sz="6" w:space="0" w:color="auto"/>
              <w:bottom w:val="single" w:sz="6" w:space="0" w:color="auto"/>
              <w:right w:val="single" w:sz="6" w:space="0" w:color="auto"/>
            </w:tcBorders>
            <w:hideMark/>
          </w:tcPr>
          <w:p w14:paraId="6AB79384"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w:t>
            </w:r>
          </w:p>
        </w:tc>
        <w:tc>
          <w:tcPr>
            <w:tcW w:w="456" w:type="pct"/>
            <w:tcBorders>
              <w:top w:val="single" w:sz="6" w:space="0" w:color="auto"/>
              <w:left w:val="single" w:sz="6" w:space="0" w:color="auto"/>
              <w:bottom w:val="single" w:sz="6" w:space="0" w:color="auto"/>
              <w:right w:val="single" w:sz="6" w:space="0" w:color="auto"/>
            </w:tcBorders>
            <w:hideMark/>
          </w:tcPr>
          <w:p w14:paraId="1FA32CFC"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w:t>
            </w:r>
          </w:p>
        </w:tc>
        <w:tc>
          <w:tcPr>
            <w:tcW w:w="239" w:type="pct"/>
            <w:tcBorders>
              <w:top w:val="single" w:sz="6" w:space="0" w:color="auto"/>
              <w:left w:val="single" w:sz="6" w:space="0" w:color="auto"/>
              <w:bottom w:val="single" w:sz="6" w:space="0" w:color="auto"/>
              <w:right w:val="single" w:sz="6" w:space="0" w:color="auto"/>
            </w:tcBorders>
            <w:hideMark/>
          </w:tcPr>
          <w:p w14:paraId="520186F4"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w:t>
            </w:r>
          </w:p>
        </w:tc>
        <w:tc>
          <w:tcPr>
            <w:tcW w:w="283" w:type="pct"/>
            <w:tcBorders>
              <w:top w:val="single" w:sz="6" w:space="0" w:color="auto"/>
              <w:left w:val="single" w:sz="6" w:space="0" w:color="auto"/>
              <w:bottom w:val="single" w:sz="6" w:space="0" w:color="auto"/>
              <w:right w:val="single" w:sz="6" w:space="0" w:color="auto"/>
            </w:tcBorders>
            <w:hideMark/>
          </w:tcPr>
          <w:p w14:paraId="1FA31C74"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0.25</w:t>
            </w:r>
          </w:p>
        </w:tc>
        <w:tc>
          <w:tcPr>
            <w:tcW w:w="507" w:type="pct"/>
            <w:tcBorders>
              <w:top w:val="single" w:sz="6" w:space="0" w:color="auto"/>
              <w:left w:val="single" w:sz="6" w:space="0" w:color="auto"/>
              <w:bottom w:val="single" w:sz="6" w:space="0" w:color="auto"/>
              <w:right w:val="single" w:sz="6" w:space="0" w:color="auto"/>
            </w:tcBorders>
            <w:hideMark/>
          </w:tcPr>
          <w:p w14:paraId="4F875180"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0.15</w:t>
            </w:r>
          </w:p>
        </w:tc>
        <w:tc>
          <w:tcPr>
            <w:tcW w:w="527" w:type="pct"/>
            <w:tcBorders>
              <w:top w:val="single" w:sz="6" w:space="0" w:color="auto"/>
              <w:left w:val="single" w:sz="6" w:space="0" w:color="auto"/>
              <w:bottom w:val="single" w:sz="6" w:space="0" w:color="auto"/>
              <w:right w:val="single" w:sz="6" w:space="0" w:color="auto"/>
            </w:tcBorders>
            <w:hideMark/>
          </w:tcPr>
          <w:p w14:paraId="154E80A8"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0.02</w:t>
            </w:r>
          </w:p>
        </w:tc>
      </w:tr>
      <w:tr w:rsidR="005823EE" w:rsidRPr="00D3774C" w14:paraId="3AE97D32" w14:textId="77777777" w:rsidTr="00D3774C">
        <w:trPr>
          <w:trHeight w:val="259"/>
          <w:jc w:val="center"/>
        </w:trPr>
        <w:tc>
          <w:tcPr>
            <w:tcW w:w="1091" w:type="pct"/>
            <w:tcBorders>
              <w:top w:val="single" w:sz="6" w:space="0" w:color="auto"/>
              <w:left w:val="single" w:sz="6" w:space="0" w:color="auto"/>
              <w:bottom w:val="single" w:sz="6" w:space="0" w:color="auto"/>
              <w:right w:val="single" w:sz="6" w:space="0" w:color="auto"/>
            </w:tcBorders>
            <w:hideMark/>
          </w:tcPr>
          <w:p w14:paraId="47815EAC" w14:textId="77777777" w:rsidR="005823EE" w:rsidRPr="00D3774C" w:rsidRDefault="005823EE" w:rsidP="005823EE">
            <w:pPr>
              <w:spacing w:before="40" w:after="40"/>
              <w:rPr>
                <w:sz w:val="18"/>
                <w:szCs w:val="18"/>
                <w:lang w:val="en-GB" w:eastAsia="zh-CN"/>
              </w:rPr>
            </w:pPr>
            <w:r w:rsidRPr="00D3774C">
              <w:rPr>
                <w:sz w:val="18"/>
                <w:szCs w:val="18"/>
                <w:lang w:val="en-GB" w:eastAsia="zh-CN"/>
              </w:rPr>
              <w:t xml:space="preserve">Sidewalk in </w:t>
            </w:r>
            <w:proofErr w:type="spellStart"/>
            <w:r w:rsidRPr="00D3774C">
              <w:rPr>
                <w:sz w:val="18"/>
                <w:szCs w:val="18"/>
                <w:lang w:val="en-GB" w:eastAsia="zh-CN"/>
              </w:rPr>
              <w:t>DeadSea</w:t>
            </w:r>
            <w:proofErr w:type="spellEnd"/>
            <w:r w:rsidRPr="00D3774C">
              <w:rPr>
                <w:sz w:val="18"/>
                <w:szCs w:val="18"/>
                <w:lang w:val="en-GB" w:eastAsia="zh-CN"/>
              </w:rPr>
              <w:t xml:space="preserve"> </w:t>
            </w:r>
            <w:proofErr w:type="spellStart"/>
            <w:r w:rsidRPr="00D3774C">
              <w:rPr>
                <w:sz w:val="18"/>
                <w:szCs w:val="18"/>
                <w:lang w:val="en-GB" w:eastAsia="zh-CN"/>
              </w:rPr>
              <w:t>st</w:t>
            </w:r>
            <w:proofErr w:type="spellEnd"/>
            <w:r w:rsidRPr="00D3774C">
              <w:rPr>
                <w:sz w:val="18"/>
                <w:szCs w:val="18"/>
                <w:lang w:val="en-GB" w:eastAsia="zh-CN"/>
              </w:rPr>
              <w:t>’</w:t>
            </w:r>
          </w:p>
        </w:tc>
        <w:tc>
          <w:tcPr>
            <w:tcW w:w="492" w:type="pct"/>
            <w:tcBorders>
              <w:top w:val="single" w:sz="6" w:space="0" w:color="auto"/>
              <w:left w:val="single" w:sz="6" w:space="0" w:color="auto"/>
              <w:bottom w:val="single" w:sz="6" w:space="0" w:color="auto"/>
              <w:right w:val="single" w:sz="6" w:space="0" w:color="auto"/>
            </w:tcBorders>
            <w:hideMark/>
          </w:tcPr>
          <w:p w14:paraId="4919CCEB"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9</w:t>
            </w:r>
          </w:p>
        </w:tc>
        <w:tc>
          <w:tcPr>
            <w:tcW w:w="424" w:type="pct"/>
            <w:tcBorders>
              <w:top w:val="single" w:sz="6" w:space="0" w:color="auto"/>
              <w:left w:val="single" w:sz="6" w:space="0" w:color="auto"/>
              <w:bottom w:val="single" w:sz="6" w:space="0" w:color="auto"/>
              <w:right w:val="single" w:sz="6" w:space="0" w:color="auto"/>
            </w:tcBorders>
            <w:hideMark/>
          </w:tcPr>
          <w:p w14:paraId="7DD72471"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12</w:t>
            </w:r>
          </w:p>
        </w:tc>
        <w:tc>
          <w:tcPr>
            <w:tcW w:w="491" w:type="pct"/>
            <w:tcBorders>
              <w:top w:val="single" w:sz="6" w:space="0" w:color="auto"/>
              <w:left w:val="single" w:sz="6" w:space="0" w:color="auto"/>
              <w:bottom w:val="single" w:sz="6" w:space="0" w:color="auto"/>
              <w:right w:val="single" w:sz="6" w:space="0" w:color="auto"/>
            </w:tcBorders>
            <w:hideMark/>
          </w:tcPr>
          <w:p w14:paraId="419DF16C"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0.9</w:t>
            </w:r>
          </w:p>
        </w:tc>
        <w:tc>
          <w:tcPr>
            <w:tcW w:w="491" w:type="pct"/>
            <w:tcBorders>
              <w:top w:val="single" w:sz="6" w:space="0" w:color="auto"/>
              <w:left w:val="single" w:sz="6" w:space="0" w:color="auto"/>
              <w:bottom w:val="single" w:sz="6" w:space="0" w:color="auto"/>
              <w:right w:val="single" w:sz="6" w:space="0" w:color="auto"/>
            </w:tcBorders>
            <w:hideMark/>
          </w:tcPr>
          <w:p w14:paraId="63438523"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0.8</w:t>
            </w:r>
          </w:p>
        </w:tc>
        <w:tc>
          <w:tcPr>
            <w:tcW w:w="456" w:type="pct"/>
            <w:tcBorders>
              <w:top w:val="single" w:sz="6" w:space="0" w:color="auto"/>
              <w:left w:val="single" w:sz="6" w:space="0" w:color="auto"/>
              <w:bottom w:val="single" w:sz="6" w:space="0" w:color="auto"/>
              <w:right w:val="single" w:sz="6" w:space="0" w:color="auto"/>
            </w:tcBorders>
            <w:hideMark/>
          </w:tcPr>
          <w:p w14:paraId="305785CE"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1.3</w:t>
            </w:r>
          </w:p>
        </w:tc>
        <w:tc>
          <w:tcPr>
            <w:tcW w:w="239" w:type="pct"/>
            <w:tcBorders>
              <w:top w:val="single" w:sz="6" w:space="0" w:color="auto"/>
              <w:left w:val="single" w:sz="6" w:space="0" w:color="auto"/>
              <w:bottom w:val="single" w:sz="6" w:space="0" w:color="auto"/>
              <w:right w:val="single" w:sz="6" w:space="0" w:color="auto"/>
            </w:tcBorders>
            <w:hideMark/>
          </w:tcPr>
          <w:p w14:paraId="28B4ED81"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1.2</w:t>
            </w:r>
          </w:p>
        </w:tc>
        <w:tc>
          <w:tcPr>
            <w:tcW w:w="283" w:type="pct"/>
            <w:tcBorders>
              <w:top w:val="single" w:sz="6" w:space="0" w:color="auto"/>
              <w:left w:val="single" w:sz="6" w:space="0" w:color="auto"/>
              <w:bottom w:val="single" w:sz="6" w:space="0" w:color="auto"/>
              <w:right w:val="single" w:sz="6" w:space="0" w:color="auto"/>
            </w:tcBorders>
            <w:hideMark/>
          </w:tcPr>
          <w:p w14:paraId="40083425"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0.4</w:t>
            </w:r>
          </w:p>
        </w:tc>
        <w:tc>
          <w:tcPr>
            <w:tcW w:w="507" w:type="pct"/>
            <w:tcBorders>
              <w:top w:val="single" w:sz="6" w:space="0" w:color="auto"/>
              <w:left w:val="single" w:sz="6" w:space="0" w:color="auto"/>
              <w:bottom w:val="single" w:sz="6" w:space="0" w:color="auto"/>
              <w:right w:val="single" w:sz="6" w:space="0" w:color="auto"/>
            </w:tcBorders>
            <w:hideMark/>
          </w:tcPr>
          <w:p w14:paraId="15C557D2"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0.25</w:t>
            </w:r>
          </w:p>
        </w:tc>
        <w:tc>
          <w:tcPr>
            <w:tcW w:w="527" w:type="pct"/>
            <w:tcBorders>
              <w:top w:val="single" w:sz="6" w:space="0" w:color="auto"/>
              <w:left w:val="single" w:sz="6" w:space="0" w:color="auto"/>
              <w:bottom w:val="single" w:sz="6" w:space="0" w:color="auto"/>
              <w:right w:val="single" w:sz="6" w:space="0" w:color="auto"/>
            </w:tcBorders>
            <w:hideMark/>
          </w:tcPr>
          <w:p w14:paraId="4EC6C7BD"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0.06</w:t>
            </w:r>
          </w:p>
        </w:tc>
      </w:tr>
      <w:tr w:rsidR="005823EE" w:rsidRPr="00D3774C" w14:paraId="6866BD09" w14:textId="77777777" w:rsidTr="00D3774C">
        <w:trPr>
          <w:trHeight w:val="107"/>
          <w:jc w:val="center"/>
        </w:trPr>
        <w:tc>
          <w:tcPr>
            <w:tcW w:w="1091" w:type="pct"/>
            <w:tcBorders>
              <w:top w:val="single" w:sz="6" w:space="0" w:color="auto"/>
              <w:left w:val="single" w:sz="6" w:space="0" w:color="auto"/>
              <w:bottom w:val="single" w:sz="6" w:space="0" w:color="auto"/>
              <w:right w:val="single" w:sz="6" w:space="0" w:color="auto"/>
            </w:tcBorders>
            <w:hideMark/>
          </w:tcPr>
          <w:p w14:paraId="2A74B158" w14:textId="5D94A815" w:rsidR="005823EE" w:rsidRPr="00D3774C" w:rsidRDefault="005823EE" w:rsidP="005823EE">
            <w:pPr>
              <w:spacing w:before="40" w:after="40"/>
              <w:rPr>
                <w:sz w:val="18"/>
                <w:szCs w:val="18"/>
                <w:lang w:val="en-GB" w:eastAsia="zh-CN"/>
              </w:rPr>
            </w:pPr>
            <w:r w:rsidRPr="00D3774C">
              <w:rPr>
                <w:sz w:val="18"/>
                <w:szCs w:val="18"/>
                <w:lang w:val="en-GB" w:eastAsia="zh-CN"/>
              </w:rPr>
              <w:t xml:space="preserve">Floor 2 terrace </w:t>
            </w:r>
            <w:proofErr w:type="spellStart"/>
            <w:r w:rsidRPr="00D3774C">
              <w:rPr>
                <w:sz w:val="18"/>
                <w:szCs w:val="18"/>
                <w:lang w:val="en-GB" w:eastAsia="zh-CN"/>
              </w:rPr>
              <w:t>DeadSea</w:t>
            </w:r>
            <w:proofErr w:type="spellEnd"/>
            <w:r w:rsidRPr="00D3774C">
              <w:rPr>
                <w:sz w:val="18"/>
                <w:szCs w:val="18"/>
                <w:lang w:val="en-GB" w:eastAsia="zh-CN"/>
              </w:rPr>
              <w:t xml:space="preserve"> 22</w:t>
            </w:r>
          </w:p>
        </w:tc>
        <w:tc>
          <w:tcPr>
            <w:tcW w:w="492" w:type="pct"/>
            <w:tcBorders>
              <w:top w:val="single" w:sz="6" w:space="0" w:color="auto"/>
              <w:left w:val="single" w:sz="6" w:space="0" w:color="auto"/>
              <w:bottom w:val="single" w:sz="6" w:space="0" w:color="auto"/>
              <w:right w:val="single" w:sz="6" w:space="0" w:color="auto"/>
            </w:tcBorders>
            <w:hideMark/>
          </w:tcPr>
          <w:p w14:paraId="59C45010"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40</w:t>
            </w:r>
          </w:p>
        </w:tc>
        <w:tc>
          <w:tcPr>
            <w:tcW w:w="424" w:type="pct"/>
            <w:tcBorders>
              <w:top w:val="single" w:sz="6" w:space="0" w:color="auto"/>
              <w:left w:val="single" w:sz="6" w:space="0" w:color="auto"/>
              <w:bottom w:val="single" w:sz="6" w:space="0" w:color="auto"/>
              <w:right w:val="single" w:sz="6" w:space="0" w:color="auto"/>
            </w:tcBorders>
            <w:hideMark/>
          </w:tcPr>
          <w:p w14:paraId="5B406082"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2</w:t>
            </w:r>
          </w:p>
        </w:tc>
        <w:tc>
          <w:tcPr>
            <w:tcW w:w="491" w:type="pct"/>
            <w:tcBorders>
              <w:top w:val="single" w:sz="6" w:space="0" w:color="auto"/>
              <w:left w:val="single" w:sz="6" w:space="0" w:color="auto"/>
              <w:bottom w:val="single" w:sz="6" w:space="0" w:color="auto"/>
              <w:right w:val="single" w:sz="6" w:space="0" w:color="auto"/>
            </w:tcBorders>
            <w:hideMark/>
          </w:tcPr>
          <w:p w14:paraId="4FC34E3E"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1.2</w:t>
            </w:r>
          </w:p>
        </w:tc>
        <w:tc>
          <w:tcPr>
            <w:tcW w:w="491" w:type="pct"/>
            <w:tcBorders>
              <w:top w:val="single" w:sz="6" w:space="0" w:color="auto"/>
              <w:left w:val="single" w:sz="6" w:space="0" w:color="auto"/>
              <w:bottom w:val="single" w:sz="6" w:space="0" w:color="auto"/>
              <w:right w:val="single" w:sz="6" w:space="0" w:color="auto"/>
            </w:tcBorders>
            <w:hideMark/>
          </w:tcPr>
          <w:p w14:paraId="129D7366"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1.2</w:t>
            </w:r>
          </w:p>
        </w:tc>
        <w:tc>
          <w:tcPr>
            <w:tcW w:w="456" w:type="pct"/>
            <w:tcBorders>
              <w:top w:val="single" w:sz="6" w:space="0" w:color="auto"/>
              <w:left w:val="single" w:sz="6" w:space="0" w:color="auto"/>
              <w:bottom w:val="single" w:sz="6" w:space="0" w:color="auto"/>
              <w:right w:val="single" w:sz="6" w:space="0" w:color="auto"/>
            </w:tcBorders>
            <w:hideMark/>
          </w:tcPr>
          <w:p w14:paraId="3D60BF7C"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1.4</w:t>
            </w:r>
          </w:p>
        </w:tc>
        <w:tc>
          <w:tcPr>
            <w:tcW w:w="239" w:type="pct"/>
            <w:tcBorders>
              <w:top w:val="single" w:sz="6" w:space="0" w:color="auto"/>
              <w:left w:val="single" w:sz="6" w:space="0" w:color="auto"/>
              <w:bottom w:val="single" w:sz="6" w:space="0" w:color="auto"/>
              <w:right w:val="single" w:sz="6" w:space="0" w:color="auto"/>
            </w:tcBorders>
            <w:hideMark/>
          </w:tcPr>
          <w:p w14:paraId="439ED110"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0.8</w:t>
            </w:r>
          </w:p>
        </w:tc>
        <w:tc>
          <w:tcPr>
            <w:tcW w:w="283" w:type="pct"/>
            <w:tcBorders>
              <w:top w:val="single" w:sz="6" w:space="0" w:color="auto"/>
              <w:left w:val="single" w:sz="6" w:space="0" w:color="auto"/>
              <w:bottom w:val="single" w:sz="6" w:space="0" w:color="auto"/>
              <w:right w:val="single" w:sz="6" w:space="0" w:color="auto"/>
            </w:tcBorders>
            <w:hideMark/>
          </w:tcPr>
          <w:p w14:paraId="3EC7248F"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1.8</w:t>
            </w:r>
          </w:p>
        </w:tc>
        <w:tc>
          <w:tcPr>
            <w:tcW w:w="507" w:type="pct"/>
            <w:tcBorders>
              <w:top w:val="single" w:sz="6" w:space="0" w:color="auto"/>
              <w:left w:val="single" w:sz="6" w:space="0" w:color="auto"/>
              <w:bottom w:val="single" w:sz="6" w:space="0" w:color="auto"/>
              <w:right w:val="single" w:sz="6" w:space="0" w:color="auto"/>
            </w:tcBorders>
            <w:hideMark/>
          </w:tcPr>
          <w:p w14:paraId="78D2624E"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0.4</w:t>
            </w:r>
          </w:p>
        </w:tc>
        <w:tc>
          <w:tcPr>
            <w:tcW w:w="527" w:type="pct"/>
            <w:tcBorders>
              <w:top w:val="single" w:sz="6" w:space="0" w:color="auto"/>
              <w:left w:val="single" w:sz="6" w:space="0" w:color="auto"/>
              <w:bottom w:val="single" w:sz="6" w:space="0" w:color="auto"/>
              <w:right w:val="single" w:sz="6" w:space="0" w:color="auto"/>
            </w:tcBorders>
            <w:hideMark/>
          </w:tcPr>
          <w:p w14:paraId="3A123ACE"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0.05</w:t>
            </w:r>
          </w:p>
        </w:tc>
      </w:tr>
      <w:tr w:rsidR="005823EE" w:rsidRPr="00D3774C" w14:paraId="1A9275B7" w14:textId="77777777" w:rsidTr="00D3774C">
        <w:trPr>
          <w:trHeight w:val="181"/>
          <w:jc w:val="center"/>
        </w:trPr>
        <w:tc>
          <w:tcPr>
            <w:tcW w:w="1091" w:type="pct"/>
            <w:tcBorders>
              <w:top w:val="single" w:sz="6" w:space="0" w:color="auto"/>
              <w:left w:val="single" w:sz="6" w:space="0" w:color="auto"/>
              <w:bottom w:val="single" w:sz="6" w:space="0" w:color="auto"/>
              <w:right w:val="single" w:sz="6" w:space="0" w:color="auto"/>
            </w:tcBorders>
            <w:hideMark/>
          </w:tcPr>
          <w:p w14:paraId="486EF80E" w14:textId="77777777" w:rsidR="005823EE" w:rsidRPr="00D3774C" w:rsidRDefault="005823EE" w:rsidP="007D31A3">
            <w:pPr>
              <w:spacing w:before="40" w:after="40"/>
              <w:jc w:val="left"/>
              <w:rPr>
                <w:sz w:val="18"/>
                <w:szCs w:val="18"/>
                <w:lang w:val="en-GB" w:eastAsia="zh-CN"/>
              </w:rPr>
            </w:pPr>
            <w:r w:rsidRPr="00D3774C">
              <w:rPr>
                <w:sz w:val="18"/>
                <w:szCs w:val="18"/>
                <w:lang w:val="en-GB" w:eastAsia="zh-CN"/>
              </w:rPr>
              <w:t xml:space="preserve">Floor 2 </w:t>
            </w:r>
            <w:proofErr w:type="spellStart"/>
            <w:r w:rsidRPr="00D3774C">
              <w:rPr>
                <w:sz w:val="18"/>
                <w:szCs w:val="18"/>
                <w:lang w:val="en-GB" w:eastAsia="zh-CN"/>
              </w:rPr>
              <w:t>childroom</w:t>
            </w:r>
            <w:proofErr w:type="spellEnd"/>
            <w:r w:rsidRPr="00D3774C">
              <w:rPr>
                <w:sz w:val="18"/>
                <w:szCs w:val="18"/>
                <w:lang w:val="en-GB" w:eastAsia="zh-CN"/>
              </w:rPr>
              <w:t xml:space="preserve"> DeadSea22</w:t>
            </w:r>
          </w:p>
        </w:tc>
        <w:tc>
          <w:tcPr>
            <w:tcW w:w="492" w:type="pct"/>
            <w:tcBorders>
              <w:top w:val="single" w:sz="6" w:space="0" w:color="auto"/>
              <w:left w:val="single" w:sz="6" w:space="0" w:color="auto"/>
              <w:bottom w:val="single" w:sz="6" w:space="0" w:color="auto"/>
              <w:right w:val="single" w:sz="6" w:space="0" w:color="auto"/>
            </w:tcBorders>
            <w:hideMark/>
          </w:tcPr>
          <w:p w14:paraId="642F1F9A"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42</w:t>
            </w:r>
          </w:p>
        </w:tc>
        <w:tc>
          <w:tcPr>
            <w:tcW w:w="424" w:type="pct"/>
            <w:tcBorders>
              <w:top w:val="single" w:sz="6" w:space="0" w:color="auto"/>
              <w:left w:val="single" w:sz="6" w:space="0" w:color="auto"/>
              <w:bottom w:val="single" w:sz="6" w:space="0" w:color="auto"/>
              <w:right w:val="single" w:sz="6" w:space="0" w:color="auto"/>
            </w:tcBorders>
            <w:hideMark/>
          </w:tcPr>
          <w:p w14:paraId="7EDC5412"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2</w:t>
            </w:r>
          </w:p>
        </w:tc>
        <w:tc>
          <w:tcPr>
            <w:tcW w:w="491" w:type="pct"/>
            <w:tcBorders>
              <w:top w:val="single" w:sz="6" w:space="0" w:color="auto"/>
              <w:left w:val="single" w:sz="6" w:space="0" w:color="auto"/>
              <w:bottom w:val="single" w:sz="6" w:space="0" w:color="auto"/>
              <w:right w:val="single" w:sz="6" w:space="0" w:color="auto"/>
            </w:tcBorders>
            <w:hideMark/>
          </w:tcPr>
          <w:p w14:paraId="659243C7"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0.2</w:t>
            </w:r>
          </w:p>
        </w:tc>
        <w:tc>
          <w:tcPr>
            <w:tcW w:w="491" w:type="pct"/>
            <w:tcBorders>
              <w:top w:val="single" w:sz="6" w:space="0" w:color="auto"/>
              <w:left w:val="single" w:sz="6" w:space="0" w:color="auto"/>
              <w:bottom w:val="single" w:sz="6" w:space="0" w:color="auto"/>
              <w:right w:val="single" w:sz="6" w:space="0" w:color="auto"/>
            </w:tcBorders>
            <w:hideMark/>
          </w:tcPr>
          <w:p w14:paraId="373F1245"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0.2</w:t>
            </w:r>
          </w:p>
        </w:tc>
        <w:tc>
          <w:tcPr>
            <w:tcW w:w="456" w:type="pct"/>
            <w:tcBorders>
              <w:top w:val="single" w:sz="6" w:space="0" w:color="auto"/>
              <w:left w:val="single" w:sz="6" w:space="0" w:color="auto"/>
              <w:bottom w:val="single" w:sz="6" w:space="0" w:color="auto"/>
              <w:right w:val="single" w:sz="6" w:space="0" w:color="auto"/>
            </w:tcBorders>
            <w:hideMark/>
          </w:tcPr>
          <w:p w14:paraId="09ACA6E7"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0.3</w:t>
            </w:r>
          </w:p>
        </w:tc>
        <w:tc>
          <w:tcPr>
            <w:tcW w:w="239" w:type="pct"/>
            <w:tcBorders>
              <w:top w:val="single" w:sz="6" w:space="0" w:color="auto"/>
              <w:left w:val="single" w:sz="6" w:space="0" w:color="auto"/>
              <w:bottom w:val="single" w:sz="6" w:space="0" w:color="auto"/>
              <w:right w:val="single" w:sz="6" w:space="0" w:color="auto"/>
            </w:tcBorders>
            <w:hideMark/>
          </w:tcPr>
          <w:p w14:paraId="3F8BAA7C"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0.4</w:t>
            </w:r>
          </w:p>
        </w:tc>
        <w:tc>
          <w:tcPr>
            <w:tcW w:w="283" w:type="pct"/>
            <w:tcBorders>
              <w:top w:val="single" w:sz="6" w:space="0" w:color="auto"/>
              <w:left w:val="single" w:sz="6" w:space="0" w:color="auto"/>
              <w:bottom w:val="single" w:sz="6" w:space="0" w:color="auto"/>
              <w:right w:val="single" w:sz="6" w:space="0" w:color="auto"/>
            </w:tcBorders>
            <w:hideMark/>
          </w:tcPr>
          <w:p w14:paraId="6C182438"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0.4</w:t>
            </w:r>
          </w:p>
        </w:tc>
        <w:tc>
          <w:tcPr>
            <w:tcW w:w="507" w:type="pct"/>
            <w:tcBorders>
              <w:top w:val="single" w:sz="6" w:space="0" w:color="auto"/>
              <w:left w:val="single" w:sz="6" w:space="0" w:color="auto"/>
              <w:bottom w:val="single" w:sz="6" w:space="0" w:color="auto"/>
              <w:right w:val="single" w:sz="6" w:space="0" w:color="auto"/>
            </w:tcBorders>
            <w:hideMark/>
          </w:tcPr>
          <w:p w14:paraId="75327BFD"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0.3</w:t>
            </w:r>
          </w:p>
        </w:tc>
        <w:tc>
          <w:tcPr>
            <w:tcW w:w="527" w:type="pct"/>
            <w:tcBorders>
              <w:top w:val="single" w:sz="6" w:space="0" w:color="auto"/>
              <w:left w:val="single" w:sz="6" w:space="0" w:color="auto"/>
              <w:bottom w:val="single" w:sz="6" w:space="0" w:color="auto"/>
              <w:right w:val="single" w:sz="6" w:space="0" w:color="auto"/>
            </w:tcBorders>
            <w:hideMark/>
          </w:tcPr>
          <w:p w14:paraId="2CCB9EA9"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0.05</w:t>
            </w:r>
          </w:p>
        </w:tc>
      </w:tr>
      <w:tr w:rsidR="005823EE" w:rsidRPr="00D3774C" w14:paraId="04E23CDE" w14:textId="77777777" w:rsidTr="00D3774C">
        <w:trPr>
          <w:trHeight w:val="217"/>
          <w:jc w:val="center"/>
        </w:trPr>
        <w:tc>
          <w:tcPr>
            <w:tcW w:w="1091" w:type="pct"/>
            <w:tcBorders>
              <w:top w:val="single" w:sz="6" w:space="0" w:color="auto"/>
              <w:left w:val="single" w:sz="6" w:space="0" w:color="auto"/>
              <w:bottom w:val="single" w:sz="6" w:space="0" w:color="auto"/>
              <w:right w:val="single" w:sz="6" w:space="0" w:color="auto"/>
            </w:tcBorders>
            <w:hideMark/>
          </w:tcPr>
          <w:p w14:paraId="7FBAA96B" w14:textId="77777777" w:rsidR="005823EE" w:rsidRPr="00D3774C" w:rsidRDefault="005823EE" w:rsidP="005823EE">
            <w:pPr>
              <w:spacing w:before="40" w:after="40"/>
              <w:rPr>
                <w:sz w:val="18"/>
                <w:szCs w:val="18"/>
                <w:lang w:val="en-GB" w:eastAsia="zh-CN"/>
              </w:rPr>
            </w:pPr>
            <w:r w:rsidRPr="00D3774C">
              <w:rPr>
                <w:sz w:val="18"/>
                <w:szCs w:val="18"/>
                <w:lang w:val="en-GB" w:eastAsia="zh-CN"/>
              </w:rPr>
              <w:t xml:space="preserve">Garden, </w:t>
            </w:r>
            <w:proofErr w:type="spellStart"/>
            <w:r w:rsidRPr="00D3774C">
              <w:rPr>
                <w:sz w:val="18"/>
                <w:szCs w:val="18"/>
                <w:lang w:val="en-GB" w:eastAsia="zh-CN"/>
              </w:rPr>
              <w:t>DeadSea</w:t>
            </w:r>
            <w:proofErr w:type="spellEnd"/>
            <w:r w:rsidRPr="00D3774C">
              <w:rPr>
                <w:sz w:val="18"/>
                <w:szCs w:val="18"/>
                <w:lang w:val="en-GB" w:eastAsia="zh-CN"/>
              </w:rPr>
              <w:t xml:space="preserve"> 22</w:t>
            </w:r>
          </w:p>
        </w:tc>
        <w:tc>
          <w:tcPr>
            <w:tcW w:w="492" w:type="pct"/>
            <w:tcBorders>
              <w:top w:val="single" w:sz="6" w:space="0" w:color="auto"/>
              <w:left w:val="single" w:sz="6" w:space="0" w:color="auto"/>
              <w:bottom w:val="single" w:sz="6" w:space="0" w:color="auto"/>
              <w:right w:val="single" w:sz="6" w:space="0" w:color="auto"/>
            </w:tcBorders>
            <w:hideMark/>
          </w:tcPr>
          <w:p w14:paraId="37027A10"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40</w:t>
            </w:r>
          </w:p>
        </w:tc>
        <w:tc>
          <w:tcPr>
            <w:tcW w:w="424" w:type="pct"/>
            <w:tcBorders>
              <w:top w:val="single" w:sz="6" w:space="0" w:color="auto"/>
              <w:left w:val="single" w:sz="6" w:space="0" w:color="auto"/>
              <w:bottom w:val="single" w:sz="6" w:space="0" w:color="auto"/>
              <w:right w:val="single" w:sz="6" w:space="0" w:color="auto"/>
            </w:tcBorders>
            <w:hideMark/>
          </w:tcPr>
          <w:p w14:paraId="75118BF4"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6</w:t>
            </w:r>
          </w:p>
        </w:tc>
        <w:tc>
          <w:tcPr>
            <w:tcW w:w="491" w:type="pct"/>
            <w:tcBorders>
              <w:top w:val="single" w:sz="6" w:space="0" w:color="auto"/>
              <w:left w:val="single" w:sz="6" w:space="0" w:color="auto"/>
              <w:bottom w:val="single" w:sz="6" w:space="0" w:color="auto"/>
              <w:right w:val="single" w:sz="6" w:space="0" w:color="auto"/>
            </w:tcBorders>
            <w:hideMark/>
          </w:tcPr>
          <w:p w14:paraId="3D330F2B"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0.9</w:t>
            </w:r>
          </w:p>
        </w:tc>
        <w:tc>
          <w:tcPr>
            <w:tcW w:w="491" w:type="pct"/>
            <w:tcBorders>
              <w:top w:val="single" w:sz="6" w:space="0" w:color="auto"/>
              <w:left w:val="single" w:sz="6" w:space="0" w:color="auto"/>
              <w:bottom w:val="single" w:sz="6" w:space="0" w:color="auto"/>
              <w:right w:val="single" w:sz="6" w:space="0" w:color="auto"/>
            </w:tcBorders>
            <w:hideMark/>
          </w:tcPr>
          <w:p w14:paraId="6AD9C474"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0.7</w:t>
            </w:r>
          </w:p>
        </w:tc>
        <w:tc>
          <w:tcPr>
            <w:tcW w:w="456" w:type="pct"/>
            <w:tcBorders>
              <w:top w:val="single" w:sz="6" w:space="0" w:color="auto"/>
              <w:left w:val="single" w:sz="6" w:space="0" w:color="auto"/>
              <w:bottom w:val="single" w:sz="6" w:space="0" w:color="auto"/>
              <w:right w:val="single" w:sz="6" w:space="0" w:color="auto"/>
            </w:tcBorders>
            <w:hideMark/>
          </w:tcPr>
          <w:p w14:paraId="3F527C31"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1.4</w:t>
            </w:r>
          </w:p>
        </w:tc>
        <w:tc>
          <w:tcPr>
            <w:tcW w:w="239" w:type="pct"/>
            <w:tcBorders>
              <w:top w:val="single" w:sz="6" w:space="0" w:color="auto"/>
              <w:left w:val="single" w:sz="6" w:space="0" w:color="auto"/>
              <w:bottom w:val="single" w:sz="6" w:space="0" w:color="auto"/>
              <w:right w:val="single" w:sz="6" w:space="0" w:color="auto"/>
            </w:tcBorders>
            <w:hideMark/>
          </w:tcPr>
          <w:p w14:paraId="5A734CED"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1.6</w:t>
            </w:r>
          </w:p>
        </w:tc>
        <w:tc>
          <w:tcPr>
            <w:tcW w:w="283" w:type="pct"/>
            <w:tcBorders>
              <w:top w:val="single" w:sz="6" w:space="0" w:color="auto"/>
              <w:left w:val="single" w:sz="6" w:space="0" w:color="auto"/>
              <w:bottom w:val="single" w:sz="6" w:space="0" w:color="auto"/>
              <w:right w:val="single" w:sz="6" w:space="0" w:color="auto"/>
            </w:tcBorders>
            <w:hideMark/>
          </w:tcPr>
          <w:p w14:paraId="145AF3DF"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1.1</w:t>
            </w:r>
          </w:p>
        </w:tc>
        <w:tc>
          <w:tcPr>
            <w:tcW w:w="507" w:type="pct"/>
            <w:tcBorders>
              <w:top w:val="single" w:sz="6" w:space="0" w:color="auto"/>
              <w:left w:val="single" w:sz="6" w:space="0" w:color="auto"/>
              <w:bottom w:val="single" w:sz="6" w:space="0" w:color="auto"/>
              <w:right w:val="single" w:sz="6" w:space="0" w:color="auto"/>
            </w:tcBorders>
            <w:hideMark/>
          </w:tcPr>
          <w:p w14:paraId="004A6857"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0.2</w:t>
            </w:r>
          </w:p>
        </w:tc>
        <w:tc>
          <w:tcPr>
            <w:tcW w:w="527" w:type="pct"/>
            <w:tcBorders>
              <w:top w:val="single" w:sz="6" w:space="0" w:color="auto"/>
              <w:left w:val="single" w:sz="6" w:space="0" w:color="auto"/>
              <w:bottom w:val="single" w:sz="6" w:space="0" w:color="auto"/>
              <w:right w:val="single" w:sz="6" w:space="0" w:color="auto"/>
            </w:tcBorders>
            <w:hideMark/>
          </w:tcPr>
          <w:p w14:paraId="4191792B"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0.14</w:t>
            </w:r>
          </w:p>
        </w:tc>
      </w:tr>
      <w:tr w:rsidR="005823EE" w:rsidRPr="00D3774C" w14:paraId="0C745B3C" w14:textId="77777777" w:rsidTr="00D3774C">
        <w:trPr>
          <w:trHeight w:hRule="exact" w:val="56"/>
          <w:jc w:val="center"/>
        </w:trPr>
        <w:tc>
          <w:tcPr>
            <w:tcW w:w="1091" w:type="pct"/>
            <w:tcBorders>
              <w:top w:val="single" w:sz="6" w:space="0" w:color="auto"/>
              <w:left w:val="single" w:sz="6" w:space="0" w:color="auto"/>
              <w:bottom w:val="single" w:sz="6" w:space="0" w:color="auto"/>
              <w:right w:val="single" w:sz="6" w:space="0" w:color="auto"/>
            </w:tcBorders>
          </w:tcPr>
          <w:p w14:paraId="7645D521" w14:textId="77777777" w:rsidR="005823EE" w:rsidRPr="00D3774C" w:rsidRDefault="005823EE" w:rsidP="005823EE">
            <w:pPr>
              <w:spacing w:before="40" w:after="40"/>
              <w:rPr>
                <w:sz w:val="18"/>
                <w:szCs w:val="18"/>
                <w:lang w:val="en-GB" w:eastAsia="zh-CN"/>
              </w:rPr>
            </w:pPr>
          </w:p>
        </w:tc>
        <w:tc>
          <w:tcPr>
            <w:tcW w:w="492" w:type="pct"/>
            <w:tcBorders>
              <w:top w:val="single" w:sz="6" w:space="0" w:color="auto"/>
              <w:left w:val="single" w:sz="6" w:space="0" w:color="auto"/>
              <w:bottom w:val="single" w:sz="6" w:space="0" w:color="auto"/>
              <w:right w:val="single" w:sz="6" w:space="0" w:color="auto"/>
            </w:tcBorders>
          </w:tcPr>
          <w:p w14:paraId="700E53F0" w14:textId="77777777" w:rsidR="005823EE" w:rsidRPr="00D3774C" w:rsidRDefault="005823EE" w:rsidP="007D31A3">
            <w:pPr>
              <w:spacing w:before="40" w:after="40"/>
              <w:jc w:val="center"/>
              <w:rPr>
                <w:sz w:val="18"/>
                <w:szCs w:val="18"/>
                <w:lang w:val="en-GB" w:eastAsia="zh-CN"/>
              </w:rPr>
            </w:pPr>
          </w:p>
        </w:tc>
        <w:tc>
          <w:tcPr>
            <w:tcW w:w="424" w:type="pct"/>
            <w:tcBorders>
              <w:top w:val="single" w:sz="6" w:space="0" w:color="auto"/>
              <w:left w:val="single" w:sz="6" w:space="0" w:color="auto"/>
              <w:bottom w:val="single" w:sz="6" w:space="0" w:color="auto"/>
              <w:right w:val="single" w:sz="6" w:space="0" w:color="auto"/>
            </w:tcBorders>
          </w:tcPr>
          <w:p w14:paraId="70B70F40" w14:textId="77777777" w:rsidR="005823EE" w:rsidRPr="00D3774C" w:rsidRDefault="005823EE" w:rsidP="007D31A3">
            <w:pPr>
              <w:spacing w:before="40" w:after="40"/>
              <w:jc w:val="center"/>
              <w:rPr>
                <w:sz w:val="18"/>
                <w:szCs w:val="18"/>
                <w:lang w:val="en-GB" w:eastAsia="zh-CN"/>
              </w:rPr>
            </w:pPr>
          </w:p>
        </w:tc>
        <w:tc>
          <w:tcPr>
            <w:tcW w:w="491" w:type="pct"/>
            <w:tcBorders>
              <w:top w:val="single" w:sz="6" w:space="0" w:color="auto"/>
              <w:left w:val="single" w:sz="6" w:space="0" w:color="auto"/>
              <w:bottom w:val="single" w:sz="6" w:space="0" w:color="auto"/>
              <w:right w:val="single" w:sz="6" w:space="0" w:color="auto"/>
            </w:tcBorders>
          </w:tcPr>
          <w:p w14:paraId="39D10E33" w14:textId="77777777" w:rsidR="005823EE" w:rsidRPr="00D3774C" w:rsidRDefault="005823EE" w:rsidP="007D31A3">
            <w:pPr>
              <w:spacing w:before="40" w:after="40"/>
              <w:jc w:val="center"/>
              <w:rPr>
                <w:sz w:val="18"/>
                <w:szCs w:val="18"/>
                <w:lang w:val="en-GB" w:eastAsia="zh-CN"/>
              </w:rPr>
            </w:pPr>
          </w:p>
        </w:tc>
        <w:tc>
          <w:tcPr>
            <w:tcW w:w="491" w:type="pct"/>
            <w:tcBorders>
              <w:top w:val="single" w:sz="6" w:space="0" w:color="auto"/>
              <w:left w:val="single" w:sz="6" w:space="0" w:color="auto"/>
              <w:bottom w:val="single" w:sz="6" w:space="0" w:color="auto"/>
              <w:right w:val="single" w:sz="6" w:space="0" w:color="auto"/>
            </w:tcBorders>
          </w:tcPr>
          <w:p w14:paraId="241A8F6C" w14:textId="77777777" w:rsidR="005823EE" w:rsidRPr="00D3774C" w:rsidRDefault="005823EE" w:rsidP="007D31A3">
            <w:pPr>
              <w:spacing w:before="40" w:after="40"/>
              <w:jc w:val="center"/>
              <w:rPr>
                <w:sz w:val="18"/>
                <w:szCs w:val="18"/>
                <w:lang w:val="en-GB" w:eastAsia="zh-CN"/>
              </w:rPr>
            </w:pPr>
          </w:p>
        </w:tc>
        <w:tc>
          <w:tcPr>
            <w:tcW w:w="456" w:type="pct"/>
            <w:tcBorders>
              <w:top w:val="single" w:sz="6" w:space="0" w:color="auto"/>
              <w:left w:val="single" w:sz="6" w:space="0" w:color="auto"/>
              <w:bottom w:val="single" w:sz="6" w:space="0" w:color="auto"/>
              <w:right w:val="single" w:sz="6" w:space="0" w:color="auto"/>
            </w:tcBorders>
          </w:tcPr>
          <w:p w14:paraId="29FCF45C" w14:textId="77777777" w:rsidR="005823EE" w:rsidRPr="00D3774C" w:rsidRDefault="005823EE" w:rsidP="007D31A3">
            <w:pPr>
              <w:spacing w:before="40" w:after="40"/>
              <w:jc w:val="center"/>
              <w:rPr>
                <w:sz w:val="18"/>
                <w:szCs w:val="18"/>
                <w:lang w:val="en-GB" w:eastAsia="zh-CN"/>
              </w:rPr>
            </w:pPr>
          </w:p>
        </w:tc>
        <w:tc>
          <w:tcPr>
            <w:tcW w:w="239" w:type="pct"/>
            <w:tcBorders>
              <w:top w:val="single" w:sz="6" w:space="0" w:color="auto"/>
              <w:left w:val="single" w:sz="6" w:space="0" w:color="auto"/>
              <w:bottom w:val="single" w:sz="6" w:space="0" w:color="auto"/>
              <w:right w:val="single" w:sz="6" w:space="0" w:color="auto"/>
            </w:tcBorders>
          </w:tcPr>
          <w:p w14:paraId="683723E5" w14:textId="77777777" w:rsidR="005823EE" w:rsidRPr="00D3774C" w:rsidRDefault="005823EE" w:rsidP="007D31A3">
            <w:pPr>
              <w:spacing w:before="40" w:after="40"/>
              <w:jc w:val="center"/>
              <w:rPr>
                <w:sz w:val="18"/>
                <w:szCs w:val="18"/>
                <w:lang w:val="en-GB" w:eastAsia="zh-CN"/>
              </w:rPr>
            </w:pPr>
          </w:p>
        </w:tc>
        <w:tc>
          <w:tcPr>
            <w:tcW w:w="283" w:type="pct"/>
            <w:tcBorders>
              <w:top w:val="single" w:sz="6" w:space="0" w:color="auto"/>
              <w:left w:val="single" w:sz="6" w:space="0" w:color="auto"/>
              <w:bottom w:val="single" w:sz="6" w:space="0" w:color="auto"/>
              <w:right w:val="single" w:sz="6" w:space="0" w:color="auto"/>
            </w:tcBorders>
          </w:tcPr>
          <w:p w14:paraId="2668E40E" w14:textId="77777777" w:rsidR="005823EE" w:rsidRPr="00D3774C" w:rsidRDefault="005823EE" w:rsidP="007D31A3">
            <w:pPr>
              <w:spacing w:before="40" w:after="40"/>
              <w:jc w:val="center"/>
              <w:rPr>
                <w:sz w:val="18"/>
                <w:szCs w:val="18"/>
                <w:lang w:val="en-GB" w:eastAsia="zh-CN"/>
              </w:rPr>
            </w:pPr>
          </w:p>
        </w:tc>
        <w:tc>
          <w:tcPr>
            <w:tcW w:w="507" w:type="pct"/>
            <w:tcBorders>
              <w:top w:val="single" w:sz="6" w:space="0" w:color="auto"/>
              <w:left w:val="single" w:sz="6" w:space="0" w:color="auto"/>
              <w:bottom w:val="single" w:sz="6" w:space="0" w:color="auto"/>
              <w:right w:val="single" w:sz="6" w:space="0" w:color="auto"/>
            </w:tcBorders>
          </w:tcPr>
          <w:p w14:paraId="2101BB17" w14:textId="77777777" w:rsidR="005823EE" w:rsidRPr="00D3774C" w:rsidRDefault="005823EE" w:rsidP="007D31A3">
            <w:pPr>
              <w:spacing w:before="40" w:after="40"/>
              <w:jc w:val="center"/>
              <w:rPr>
                <w:sz w:val="18"/>
                <w:szCs w:val="18"/>
                <w:lang w:val="en-GB" w:eastAsia="zh-CN"/>
              </w:rPr>
            </w:pPr>
          </w:p>
        </w:tc>
        <w:tc>
          <w:tcPr>
            <w:tcW w:w="527" w:type="pct"/>
            <w:tcBorders>
              <w:top w:val="single" w:sz="6" w:space="0" w:color="auto"/>
              <w:left w:val="single" w:sz="6" w:space="0" w:color="auto"/>
              <w:bottom w:val="single" w:sz="6" w:space="0" w:color="auto"/>
              <w:right w:val="single" w:sz="6" w:space="0" w:color="auto"/>
            </w:tcBorders>
          </w:tcPr>
          <w:p w14:paraId="5A731834" w14:textId="77777777" w:rsidR="005823EE" w:rsidRPr="00D3774C" w:rsidRDefault="005823EE" w:rsidP="007D31A3">
            <w:pPr>
              <w:spacing w:before="40" w:after="40"/>
              <w:jc w:val="center"/>
              <w:rPr>
                <w:sz w:val="18"/>
                <w:szCs w:val="18"/>
                <w:lang w:val="en-GB" w:eastAsia="zh-CN"/>
              </w:rPr>
            </w:pPr>
          </w:p>
        </w:tc>
      </w:tr>
      <w:bookmarkStart w:id="161" w:name="_Hlk78309510"/>
      <w:tr w:rsidR="005823EE" w:rsidRPr="00D3774C" w14:paraId="612FDABF" w14:textId="77777777" w:rsidTr="00D3774C">
        <w:trPr>
          <w:trHeight w:val="217"/>
          <w:jc w:val="center"/>
        </w:trPr>
        <w:tc>
          <w:tcPr>
            <w:tcW w:w="1091" w:type="pct"/>
            <w:vMerge w:val="restart"/>
            <w:tcBorders>
              <w:top w:val="single" w:sz="6" w:space="0" w:color="auto"/>
              <w:left w:val="single" w:sz="6" w:space="0" w:color="auto"/>
              <w:bottom w:val="single" w:sz="6" w:space="0" w:color="auto"/>
              <w:right w:val="single" w:sz="6" w:space="0" w:color="auto"/>
            </w:tcBorders>
            <w:vAlign w:val="center"/>
            <w:hideMark/>
          </w:tcPr>
          <w:p w14:paraId="66DCC631" w14:textId="77777777" w:rsidR="005823EE" w:rsidRPr="00D3774C" w:rsidRDefault="005823EE" w:rsidP="00D3774C">
            <w:pPr>
              <w:spacing w:before="40" w:after="40"/>
              <w:jc w:val="left"/>
              <w:rPr>
                <w:sz w:val="18"/>
                <w:szCs w:val="18"/>
                <w:lang w:val="en-GB" w:eastAsia="zh-CN"/>
              </w:rPr>
            </w:pPr>
            <w:r w:rsidRPr="00D3774C">
              <w:rPr>
                <w:sz w:val="18"/>
                <w:szCs w:val="18"/>
                <w:lang w:val="en-GB" w:eastAsia="zh-CN"/>
              </w:rPr>
              <w:fldChar w:fldCharType="begin"/>
            </w:r>
            <w:r w:rsidRPr="00D3774C">
              <w:rPr>
                <w:sz w:val="18"/>
                <w:szCs w:val="18"/>
                <w:lang w:val="en-GB" w:eastAsia="zh-CN"/>
              </w:rPr>
              <w:instrText xml:space="preserve"> HYPERLINK "https://www.icnirp.org/cms/upload/publications/ICNIRPrfgdl2020.pdf" </w:instrText>
            </w:r>
            <w:r w:rsidRPr="00D3774C">
              <w:rPr>
                <w:sz w:val="18"/>
                <w:szCs w:val="18"/>
                <w:lang w:val="en-GB" w:eastAsia="zh-CN"/>
              </w:rPr>
              <w:fldChar w:fldCharType="separate"/>
            </w:r>
            <w:r w:rsidRPr="00D3774C">
              <w:rPr>
                <w:rStyle w:val="Hyperlink"/>
                <w:sz w:val="18"/>
                <w:szCs w:val="18"/>
                <w:lang w:val="en-GB" w:eastAsia="zh-CN"/>
              </w:rPr>
              <w:t>ICNIRP 2020</w:t>
            </w:r>
            <w:r w:rsidRPr="00D3774C">
              <w:rPr>
                <w:sz w:val="18"/>
                <w:szCs w:val="18"/>
                <w:lang w:val="en-GB" w:eastAsia="zh-CN"/>
              </w:rPr>
              <w:fldChar w:fldCharType="end"/>
            </w:r>
            <w:r w:rsidRPr="00D3774C">
              <w:rPr>
                <w:sz w:val="18"/>
                <w:szCs w:val="18"/>
                <w:lang w:val="en-GB" w:eastAsia="zh-CN"/>
              </w:rPr>
              <w:t xml:space="preserve"> Guidelines, Table 5</w:t>
            </w:r>
          </w:p>
        </w:tc>
        <w:tc>
          <w:tcPr>
            <w:tcW w:w="916" w:type="pct"/>
            <w:gridSpan w:val="2"/>
            <w:tcBorders>
              <w:top w:val="single" w:sz="6" w:space="0" w:color="auto"/>
              <w:left w:val="single" w:sz="6" w:space="0" w:color="auto"/>
              <w:bottom w:val="single" w:sz="6" w:space="0" w:color="auto"/>
              <w:right w:val="single" w:sz="6" w:space="0" w:color="auto"/>
            </w:tcBorders>
            <w:vAlign w:val="center"/>
            <w:hideMark/>
          </w:tcPr>
          <w:p w14:paraId="3EAC24E3" w14:textId="77777777" w:rsidR="005823EE" w:rsidRPr="00D3774C" w:rsidRDefault="005823EE" w:rsidP="007D31A3">
            <w:pPr>
              <w:spacing w:before="40" w:after="40"/>
              <w:jc w:val="center"/>
              <w:rPr>
                <w:sz w:val="18"/>
                <w:szCs w:val="18"/>
                <w:lang w:val="en-GB" w:eastAsia="zh-CN"/>
              </w:rPr>
            </w:pPr>
            <w:r w:rsidRPr="00D3774C">
              <w:rPr>
                <w:sz w:val="18"/>
                <w:szCs w:val="18"/>
                <w:u w:val="single"/>
                <w:lang w:val="en-GB" w:eastAsia="zh-CN"/>
              </w:rPr>
              <w:t>Occupational</w:t>
            </w:r>
            <w:r w:rsidRPr="00D3774C">
              <w:rPr>
                <w:sz w:val="18"/>
                <w:szCs w:val="18"/>
                <w:lang w:val="en-GB" w:eastAsia="zh-CN"/>
              </w:rPr>
              <w:t xml:space="preserve"> </w:t>
            </w:r>
            <w:r w:rsidRPr="00D3774C">
              <w:rPr>
                <w:sz w:val="18"/>
                <w:szCs w:val="18"/>
                <w:lang w:val="en-GB" w:eastAsia="zh-CN"/>
              </w:rPr>
              <w:br/>
              <w:t>RF in MHz</w:t>
            </w:r>
          </w:p>
        </w:tc>
        <w:tc>
          <w:tcPr>
            <w:tcW w:w="491" w:type="pct"/>
            <w:tcBorders>
              <w:top w:val="single" w:sz="6" w:space="0" w:color="auto"/>
              <w:left w:val="single" w:sz="6" w:space="0" w:color="auto"/>
              <w:bottom w:val="single" w:sz="6" w:space="0" w:color="auto"/>
              <w:right w:val="single" w:sz="6" w:space="0" w:color="auto"/>
            </w:tcBorders>
            <w:hideMark/>
          </w:tcPr>
          <w:p w14:paraId="6D0FDF32" w14:textId="77777777" w:rsidR="005823EE" w:rsidRPr="00D3774C" w:rsidRDefault="005823EE" w:rsidP="007D31A3">
            <w:pPr>
              <w:spacing w:before="40" w:after="40"/>
              <w:jc w:val="center"/>
              <w:rPr>
                <w:sz w:val="18"/>
                <w:szCs w:val="18"/>
                <w:vertAlign w:val="superscript"/>
                <w:lang w:val="en-GB" w:eastAsia="zh-CN"/>
              </w:rPr>
            </w:pPr>
            <w:r w:rsidRPr="00D3774C">
              <w:rPr>
                <w:sz w:val="18"/>
                <w:szCs w:val="18"/>
                <w:lang w:val="en-GB" w:eastAsia="zh-CN"/>
              </w:rPr>
              <w:t>660/</w:t>
            </w:r>
            <w:r w:rsidRPr="00D3774C">
              <w:rPr>
                <w:i/>
                <w:sz w:val="18"/>
                <w:szCs w:val="18"/>
                <w:lang w:val="en-GB" w:eastAsia="zh-CN"/>
              </w:rPr>
              <w:t>f</w:t>
            </w:r>
            <w:r w:rsidRPr="00D3774C">
              <w:rPr>
                <w:sz w:val="18"/>
                <w:szCs w:val="18"/>
                <w:vertAlign w:val="subscript"/>
                <w:lang w:val="en-GB" w:eastAsia="zh-CN"/>
              </w:rPr>
              <w:t>M</w:t>
            </w:r>
            <w:r w:rsidRPr="00D3774C">
              <w:rPr>
                <w:sz w:val="18"/>
                <w:szCs w:val="18"/>
                <w:vertAlign w:val="superscript"/>
                <w:lang w:val="en-GB" w:eastAsia="zh-CN"/>
              </w:rPr>
              <w:t>0.7</w:t>
            </w:r>
          </w:p>
          <w:p w14:paraId="14F26CFD"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=104</w:t>
            </w:r>
          </w:p>
        </w:tc>
        <w:tc>
          <w:tcPr>
            <w:tcW w:w="491" w:type="pct"/>
            <w:tcBorders>
              <w:top w:val="single" w:sz="6" w:space="0" w:color="auto"/>
              <w:left w:val="single" w:sz="6" w:space="0" w:color="auto"/>
              <w:bottom w:val="single" w:sz="6" w:space="0" w:color="auto"/>
              <w:right w:val="single" w:sz="6" w:space="0" w:color="auto"/>
            </w:tcBorders>
            <w:hideMark/>
          </w:tcPr>
          <w:p w14:paraId="334BE813" w14:textId="77777777" w:rsidR="005823EE" w:rsidRPr="00D3774C" w:rsidRDefault="005823EE" w:rsidP="007D31A3">
            <w:pPr>
              <w:spacing w:before="40" w:after="40"/>
              <w:jc w:val="center"/>
              <w:rPr>
                <w:sz w:val="18"/>
                <w:szCs w:val="18"/>
                <w:vertAlign w:val="superscript"/>
                <w:lang w:val="en-GB" w:eastAsia="zh-CN"/>
              </w:rPr>
            </w:pPr>
            <w:r w:rsidRPr="00D3774C">
              <w:rPr>
                <w:sz w:val="18"/>
                <w:szCs w:val="18"/>
                <w:lang w:val="en-GB" w:eastAsia="zh-CN"/>
              </w:rPr>
              <w:t>660/</w:t>
            </w:r>
            <w:r w:rsidRPr="00D3774C">
              <w:rPr>
                <w:i/>
                <w:sz w:val="18"/>
                <w:szCs w:val="18"/>
                <w:lang w:val="en-GB" w:eastAsia="zh-CN"/>
              </w:rPr>
              <w:t>f</w:t>
            </w:r>
            <w:r w:rsidRPr="00D3774C">
              <w:rPr>
                <w:sz w:val="18"/>
                <w:szCs w:val="18"/>
                <w:vertAlign w:val="subscript"/>
                <w:lang w:val="en-GB" w:eastAsia="zh-CN"/>
              </w:rPr>
              <w:t>M</w:t>
            </w:r>
            <w:r w:rsidRPr="00D3774C">
              <w:rPr>
                <w:sz w:val="18"/>
                <w:szCs w:val="18"/>
                <w:vertAlign w:val="superscript"/>
                <w:lang w:val="en-GB" w:eastAsia="zh-CN"/>
              </w:rPr>
              <w:t>0.7</w:t>
            </w:r>
          </w:p>
          <w:p w14:paraId="0212E34B"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=78</w:t>
            </w:r>
          </w:p>
        </w:tc>
        <w:tc>
          <w:tcPr>
            <w:tcW w:w="456" w:type="pct"/>
            <w:tcBorders>
              <w:top w:val="single" w:sz="6" w:space="0" w:color="auto"/>
              <w:left w:val="single" w:sz="6" w:space="0" w:color="auto"/>
              <w:bottom w:val="single" w:sz="6" w:space="0" w:color="auto"/>
              <w:right w:val="single" w:sz="6" w:space="0" w:color="auto"/>
            </w:tcBorders>
            <w:hideMark/>
          </w:tcPr>
          <w:p w14:paraId="29A6652D" w14:textId="77777777" w:rsidR="005823EE" w:rsidRPr="00D3774C" w:rsidRDefault="005823EE" w:rsidP="007D31A3">
            <w:pPr>
              <w:spacing w:before="40" w:after="40"/>
              <w:jc w:val="center"/>
              <w:rPr>
                <w:sz w:val="18"/>
                <w:szCs w:val="18"/>
                <w:vertAlign w:val="superscript"/>
                <w:lang w:val="en-GB" w:eastAsia="zh-CN"/>
              </w:rPr>
            </w:pPr>
            <w:r w:rsidRPr="00D3774C">
              <w:rPr>
                <w:sz w:val="18"/>
                <w:szCs w:val="18"/>
                <w:lang w:val="en-GB" w:eastAsia="zh-CN"/>
              </w:rPr>
              <w:t>660/</w:t>
            </w:r>
            <w:r w:rsidRPr="00D3774C">
              <w:rPr>
                <w:i/>
                <w:sz w:val="18"/>
                <w:szCs w:val="18"/>
                <w:lang w:val="en-GB" w:eastAsia="zh-CN"/>
              </w:rPr>
              <w:t>f</w:t>
            </w:r>
            <w:r w:rsidRPr="00D3774C">
              <w:rPr>
                <w:sz w:val="18"/>
                <w:szCs w:val="18"/>
                <w:vertAlign w:val="subscript"/>
                <w:lang w:val="en-GB" w:eastAsia="zh-CN"/>
              </w:rPr>
              <w:t>M</w:t>
            </w:r>
            <w:r w:rsidRPr="00D3774C">
              <w:rPr>
                <w:sz w:val="18"/>
                <w:szCs w:val="18"/>
                <w:vertAlign w:val="superscript"/>
                <w:lang w:val="en-GB" w:eastAsia="zh-CN"/>
              </w:rPr>
              <w:t>0.7</w:t>
            </w:r>
          </w:p>
          <w:p w14:paraId="6F843A47"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=64</w:t>
            </w:r>
          </w:p>
        </w:tc>
        <w:tc>
          <w:tcPr>
            <w:tcW w:w="521" w:type="pct"/>
            <w:gridSpan w:val="2"/>
            <w:tcBorders>
              <w:top w:val="single" w:sz="6" w:space="0" w:color="auto"/>
              <w:left w:val="single" w:sz="6" w:space="0" w:color="auto"/>
              <w:bottom w:val="single" w:sz="6" w:space="0" w:color="auto"/>
              <w:right w:val="single" w:sz="6" w:space="0" w:color="auto"/>
            </w:tcBorders>
            <w:hideMark/>
          </w:tcPr>
          <w:p w14:paraId="3EBC98D9"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61</w:t>
            </w:r>
          </w:p>
        </w:tc>
        <w:tc>
          <w:tcPr>
            <w:tcW w:w="507" w:type="pct"/>
            <w:tcBorders>
              <w:top w:val="single" w:sz="6" w:space="0" w:color="auto"/>
              <w:left w:val="single" w:sz="6" w:space="0" w:color="auto"/>
              <w:bottom w:val="single" w:sz="6" w:space="0" w:color="auto"/>
              <w:right w:val="single" w:sz="6" w:space="0" w:color="auto"/>
            </w:tcBorders>
            <w:hideMark/>
          </w:tcPr>
          <w:p w14:paraId="64409BC4" w14:textId="77777777" w:rsidR="005823EE" w:rsidRPr="00D3774C" w:rsidRDefault="005823EE" w:rsidP="007D31A3">
            <w:pPr>
              <w:spacing w:before="40" w:after="40"/>
              <w:jc w:val="center"/>
              <w:rPr>
                <w:sz w:val="18"/>
                <w:szCs w:val="18"/>
                <w:vertAlign w:val="superscript"/>
                <w:lang w:val="en-GB" w:eastAsia="zh-CN"/>
              </w:rPr>
            </w:pPr>
            <w:r w:rsidRPr="00D3774C">
              <w:rPr>
                <w:sz w:val="18"/>
                <w:szCs w:val="18"/>
                <w:lang w:val="en-GB" w:eastAsia="zh-CN"/>
              </w:rPr>
              <w:t>3</w:t>
            </w:r>
            <w:r w:rsidRPr="00D3774C">
              <w:rPr>
                <w:i/>
                <w:sz w:val="18"/>
                <w:szCs w:val="18"/>
                <w:lang w:val="en-GB" w:eastAsia="zh-CN"/>
              </w:rPr>
              <w:t>f</w:t>
            </w:r>
            <w:r w:rsidRPr="00D3774C">
              <w:rPr>
                <w:sz w:val="18"/>
                <w:szCs w:val="18"/>
                <w:vertAlign w:val="subscript"/>
                <w:lang w:val="en-GB" w:eastAsia="zh-CN"/>
              </w:rPr>
              <w:t>M</w:t>
            </w:r>
            <w:r w:rsidRPr="00D3774C">
              <w:rPr>
                <w:sz w:val="18"/>
                <w:szCs w:val="18"/>
                <w:vertAlign w:val="superscript"/>
                <w:lang w:val="en-GB" w:eastAsia="zh-CN"/>
              </w:rPr>
              <w:t>0.5</w:t>
            </w:r>
          </w:p>
          <w:p w14:paraId="1DA48D5D"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=63</w:t>
            </w:r>
          </w:p>
        </w:tc>
        <w:tc>
          <w:tcPr>
            <w:tcW w:w="527" w:type="pct"/>
            <w:tcBorders>
              <w:top w:val="single" w:sz="6" w:space="0" w:color="auto"/>
              <w:left w:val="single" w:sz="6" w:space="0" w:color="auto"/>
              <w:bottom w:val="single" w:sz="6" w:space="0" w:color="auto"/>
              <w:right w:val="single" w:sz="6" w:space="0" w:color="auto"/>
            </w:tcBorders>
          </w:tcPr>
          <w:p w14:paraId="4CCFF67C" w14:textId="77777777" w:rsidR="005823EE" w:rsidRPr="00D3774C" w:rsidRDefault="005823EE" w:rsidP="007D31A3">
            <w:pPr>
              <w:spacing w:before="40" w:after="40"/>
              <w:jc w:val="center"/>
              <w:rPr>
                <w:sz w:val="18"/>
                <w:szCs w:val="18"/>
                <w:lang w:val="en-GB" w:eastAsia="zh-CN"/>
              </w:rPr>
            </w:pPr>
          </w:p>
        </w:tc>
      </w:tr>
      <w:tr w:rsidR="005823EE" w:rsidRPr="00D3774C" w14:paraId="5DF66240" w14:textId="77777777" w:rsidTr="00D3774C">
        <w:trPr>
          <w:trHeight w:val="217"/>
          <w:jc w:val="center"/>
        </w:trPr>
        <w:tc>
          <w:tcPr>
            <w:tcW w:w="1091" w:type="pct"/>
            <w:vMerge/>
            <w:tcBorders>
              <w:top w:val="single" w:sz="6" w:space="0" w:color="auto"/>
              <w:left w:val="single" w:sz="6" w:space="0" w:color="auto"/>
              <w:bottom w:val="single" w:sz="6" w:space="0" w:color="auto"/>
              <w:right w:val="single" w:sz="6" w:space="0" w:color="auto"/>
            </w:tcBorders>
            <w:vAlign w:val="center"/>
            <w:hideMark/>
          </w:tcPr>
          <w:p w14:paraId="03E7BA37" w14:textId="77777777" w:rsidR="005823EE" w:rsidRPr="00D3774C" w:rsidRDefault="005823EE" w:rsidP="005823EE">
            <w:pPr>
              <w:overflowPunct/>
              <w:autoSpaceDE/>
              <w:autoSpaceDN/>
              <w:adjustRightInd/>
              <w:spacing w:before="40" w:after="40"/>
              <w:rPr>
                <w:sz w:val="18"/>
                <w:szCs w:val="18"/>
                <w:lang w:val="en-GB" w:eastAsia="zh-CN"/>
              </w:rPr>
            </w:pPr>
          </w:p>
        </w:tc>
        <w:tc>
          <w:tcPr>
            <w:tcW w:w="916" w:type="pct"/>
            <w:gridSpan w:val="2"/>
            <w:tcBorders>
              <w:top w:val="single" w:sz="6" w:space="0" w:color="auto"/>
              <w:left w:val="single" w:sz="6" w:space="0" w:color="auto"/>
              <w:bottom w:val="single" w:sz="6" w:space="0" w:color="auto"/>
              <w:right w:val="single" w:sz="6" w:space="0" w:color="auto"/>
            </w:tcBorders>
            <w:vAlign w:val="center"/>
            <w:hideMark/>
          </w:tcPr>
          <w:p w14:paraId="6BDF87E0" w14:textId="77777777" w:rsidR="005823EE" w:rsidRPr="00D3774C" w:rsidRDefault="005823EE" w:rsidP="007D31A3">
            <w:pPr>
              <w:spacing w:before="40" w:after="40"/>
              <w:jc w:val="center"/>
              <w:rPr>
                <w:sz w:val="18"/>
                <w:szCs w:val="18"/>
                <w:lang w:val="en-GB" w:eastAsia="zh-CN"/>
              </w:rPr>
            </w:pPr>
            <w:r w:rsidRPr="00D3774C">
              <w:rPr>
                <w:sz w:val="18"/>
                <w:szCs w:val="18"/>
                <w:u w:val="single"/>
                <w:lang w:val="en-GB" w:eastAsia="zh-CN"/>
              </w:rPr>
              <w:t>General Public</w:t>
            </w:r>
            <w:r w:rsidRPr="00D3774C">
              <w:rPr>
                <w:sz w:val="18"/>
                <w:szCs w:val="18"/>
                <w:lang w:val="en-GB" w:eastAsia="zh-CN"/>
              </w:rPr>
              <w:t xml:space="preserve"> </w:t>
            </w:r>
            <w:r w:rsidRPr="00D3774C">
              <w:rPr>
                <w:sz w:val="18"/>
                <w:szCs w:val="18"/>
                <w:lang w:val="en-GB" w:eastAsia="zh-CN"/>
              </w:rPr>
              <w:br/>
              <w:t>RF in MHz</w:t>
            </w:r>
          </w:p>
        </w:tc>
        <w:tc>
          <w:tcPr>
            <w:tcW w:w="491" w:type="pct"/>
            <w:tcBorders>
              <w:top w:val="single" w:sz="6" w:space="0" w:color="auto"/>
              <w:left w:val="single" w:sz="6" w:space="0" w:color="auto"/>
              <w:bottom w:val="single" w:sz="6" w:space="0" w:color="auto"/>
              <w:right w:val="single" w:sz="6" w:space="0" w:color="auto"/>
            </w:tcBorders>
            <w:hideMark/>
          </w:tcPr>
          <w:p w14:paraId="796C898B" w14:textId="77777777" w:rsidR="005823EE" w:rsidRPr="00D3774C" w:rsidRDefault="005823EE" w:rsidP="007D31A3">
            <w:pPr>
              <w:spacing w:before="40" w:after="40"/>
              <w:jc w:val="center"/>
              <w:rPr>
                <w:sz w:val="18"/>
                <w:szCs w:val="18"/>
                <w:vertAlign w:val="superscript"/>
                <w:lang w:val="en-GB" w:eastAsia="zh-CN"/>
              </w:rPr>
            </w:pPr>
            <w:r w:rsidRPr="00D3774C">
              <w:rPr>
                <w:sz w:val="18"/>
                <w:szCs w:val="18"/>
                <w:lang w:val="en-GB" w:eastAsia="zh-CN"/>
              </w:rPr>
              <w:t>300/</w:t>
            </w:r>
            <w:r w:rsidRPr="00D3774C">
              <w:rPr>
                <w:i/>
                <w:sz w:val="18"/>
                <w:szCs w:val="18"/>
                <w:lang w:val="en-GB" w:eastAsia="zh-CN"/>
              </w:rPr>
              <w:t>f</w:t>
            </w:r>
            <w:r w:rsidRPr="00D3774C">
              <w:rPr>
                <w:sz w:val="18"/>
                <w:szCs w:val="18"/>
                <w:vertAlign w:val="subscript"/>
                <w:lang w:val="en-GB" w:eastAsia="zh-CN"/>
              </w:rPr>
              <w:t>M</w:t>
            </w:r>
            <w:r w:rsidRPr="00D3774C">
              <w:rPr>
                <w:sz w:val="18"/>
                <w:szCs w:val="18"/>
                <w:vertAlign w:val="superscript"/>
                <w:lang w:val="en-GB" w:eastAsia="zh-CN"/>
              </w:rPr>
              <w:t>0.7</w:t>
            </w:r>
          </w:p>
          <w:p w14:paraId="53E58C5C"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=47</w:t>
            </w:r>
          </w:p>
        </w:tc>
        <w:tc>
          <w:tcPr>
            <w:tcW w:w="491" w:type="pct"/>
            <w:tcBorders>
              <w:top w:val="single" w:sz="6" w:space="0" w:color="auto"/>
              <w:left w:val="single" w:sz="6" w:space="0" w:color="auto"/>
              <w:bottom w:val="single" w:sz="6" w:space="0" w:color="auto"/>
              <w:right w:val="single" w:sz="6" w:space="0" w:color="auto"/>
            </w:tcBorders>
            <w:hideMark/>
          </w:tcPr>
          <w:p w14:paraId="284690CC" w14:textId="77777777" w:rsidR="005823EE" w:rsidRPr="00D3774C" w:rsidRDefault="005823EE" w:rsidP="007D31A3">
            <w:pPr>
              <w:spacing w:before="40" w:after="40"/>
              <w:jc w:val="center"/>
              <w:rPr>
                <w:sz w:val="18"/>
                <w:szCs w:val="18"/>
                <w:vertAlign w:val="superscript"/>
                <w:lang w:val="en-GB" w:eastAsia="zh-CN"/>
              </w:rPr>
            </w:pPr>
            <w:r w:rsidRPr="00D3774C">
              <w:rPr>
                <w:sz w:val="18"/>
                <w:szCs w:val="18"/>
                <w:lang w:val="en-GB" w:eastAsia="zh-CN"/>
              </w:rPr>
              <w:t>300/</w:t>
            </w:r>
            <w:r w:rsidRPr="00D3774C">
              <w:rPr>
                <w:i/>
                <w:sz w:val="18"/>
                <w:szCs w:val="18"/>
                <w:lang w:val="en-GB" w:eastAsia="zh-CN"/>
              </w:rPr>
              <w:t>f</w:t>
            </w:r>
            <w:r w:rsidRPr="00D3774C">
              <w:rPr>
                <w:sz w:val="18"/>
                <w:szCs w:val="18"/>
                <w:vertAlign w:val="subscript"/>
                <w:lang w:val="en-GB" w:eastAsia="zh-CN"/>
              </w:rPr>
              <w:t>M</w:t>
            </w:r>
            <w:r w:rsidRPr="00D3774C">
              <w:rPr>
                <w:sz w:val="18"/>
                <w:szCs w:val="18"/>
                <w:vertAlign w:val="superscript"/>
                <w:lang w:val="en-GB" w:eastAsia="zh-CN"/>
              </w:rPr>
              <w:t>0.7</w:t>
            </w:r>
          </w:p>
          <w:p w14:paraId="362DA0C0"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=36</w:t>
            </w:r>
          </w:p>
        </w:tc>
        <w:tc>
          <w:tcPr>
            <w:tcW w:w="456" w:type="pct"/>
            <w:tcBorders>
              <w:top w:val="single" w:sz="6" w:space="0" w:color="auto"/>
              <w:left w:val="single" w:sz="6" w:space="0" w:color="auto"/>
              <w:bottom w:val="single" w:sz="6" w:space="0" w:color="auto"/>
              <w:right w:val="single" w:sz="6" w:space="0" w:color="auto"/>
            </w:tcBorders>
            <w:hideMark/>
          </w:tcPr>
          <w:p w14:paraId="0F7CB9E6" w14:textId="77777777" w:rsidR="005823EE" w:rsidRPr="00D3774C" w:rsidRDefault="005823EE" w:rsidP="007D31A3">
            <w:pPr>
              <w:spacing w:before="40" w:after="40"/>
              <w:jc w:val="center"/>
              <w:rPr>
                <w:sz w:val="18"/>
                <w:szCs w:val="18"/>
                <w:vertAlign w:val="superscript"/>
                <w:lang w:val="en-GB" w:eastAsia="zh-CN"/>
              </w:rPr>
            </w:pPr>
            <w:r w:rsidRPr="00D3774C">
              <w:rPr>
                <w:sz w:val="18"/>
                <w:szCs w:val="18"/>
                <w:lang w:val="en-GB" w:eastAsia="zh-CN"/>
              </w:rPr>
              <w:t>300/</w:t>
            </w:r>
            <w:r w:rsidRPr="00D3774C">
              <w:rPr>
                <w:i/>
                <w:sz w:val="18"/>
                <w:szCs w:val="18"/>
                <w:lang w:val="en-GB" w:eastAsia="zh-CN"/>
              </w:rPr>
              <w:t>f</w:t>
            </w:r>
            <w:r w:rsidRPr="00D3774C">
              <w:rPr>
                <w:sz w:val="18"/>
                <w:szCs w:val="18"/>
                <w:vertAlign w:val="subscript"/>
                <w:lang w:val="en-GB" w:eastAsia="zh-CN"/>
              </w:rPr>
              <w:t>M</w:t>
            </w:r>
            <w:r w:rsidRPr="00D3774C">
              <w:rPr>
                <w:sz w:val="18"/>
                <w:szCs w:val="18"/>
                <w:vertAlign w:val="superscript"/>
                <w:lang w:val="en-GB" w:eastAsia="zh-CN"/>
              </w:rPr>
              <w:t>0.7</w:t>
            </w:r>
          </w:p>
          <w:p w14:paraId="3EF45F5B"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=29</w:t>
            </w:r>
          </w:p>
        </w:tc>
        <w:tc>
          <w:tcPr>
            <w:tcW w:w="521" w:type="pct"/>
            <w:gridSpan w:val="2"/>
            <w:tcBorders>
              <w:top w:val="single" w:sz="6" w:space="0" w:color="auto"/>
              <w:left w:val="single" w:sz="6" w:space="0" w:color="auto"/>
              <w:bottom w:val="single" w:sz="6" w:space="0" w:color="auto"/>
              <w:right w:val="single" w:sz="6" w:space="0" w:color="auto"/>
            </w:tcBorders>
            <w:hideMark/>
          </w:tcPr>
          <w:p w14:paraId="3FFB05BE"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27.7</w:t>
            </w:r>
          </w:p>
        </w:tc>
        <w:tc>
          <w:tcPr>
            <w:tcW w:w="507" w:type="pct"/>
            <w:tcBorders>
              <w:top w:val="single" w:sz="6" w:space="0" w:color="auto"/>
              <w:left w:val="single" w:sz="6" w:space="0" w:color="auto"/>
              <w:bottom w:val="single" w:sz="6" w:space="0" w:color="auto"/>
              <w:right w:val="single" w:sz="6" w:space="0" w:color="auto"/>
            </w:tcBorders>
            <w:hideMark/>
          </w:tcPr>
          <w:p w14:paraId="1C182224" w14:textId="77777777" w:rsidR="005823EE" w:rsidRPr="00D3774C" w:rsidRDefault="005823EE" w:rsidP="007D31A3">
            <w:pPr>
              <w:spacing w:before="40" w:after="40"/>
              <w:jc w:val="center"/>
              <w:rPr>
                <w:sz w:val="18"/>
                <w:szCs w:val="18"/>
                <w:vertAlign w:val="superscript"/>
                <w:lang w:val="en-GB" w:eastAsia="zh-CN"/>
              </w:rPr>
            </w:pPr>
            <w:r w:rsidRPr="00D3774C">
              <w:rPr>
                <w:sz w:val="18"/>
                <w:szCs w:val="18"/>
                <w:lang w:val="en-GB" w:eastAsia="zh-CN"/>
              </w:rPr>
              <w:t>1.375</w:t>
            </w:r>
            <w:r w:rsidRPr="00D3774C">
              <w:rPr>
                <w:i/>
                <w:sz w:val="18"/>
                <w:szCs w:val="18"/>
                <w:lang w:val="en-GB" w:eastAsia="zh-CN"/>
              </w:rPr>
              <w:t>f</w:t>
            </w:r>
            <w:r w:rsidRPr="00D3774C">
              <w:rPr>
                <w:sz w:val="18"/>
                <w:szCs w:val="18"/>
                <w:vertAlign w:val="subscript"/>
                <w:lang w:val="en-GB" w:eastAsia="zh-CN"/>
              </w:rPr>
              <w:t>M</w:t>
            </w:r>
            <w:r w:rsidRPr="00D3774C">
              <w:rPr>
                <w:sz w:val="18"/>
                <w:szCs w:val="18"/>
                <w:vertAlign w:val="superscript"/>
                <w:lang w:val="en-GB" w:eastAsia="zh-CN"/>
              </w:rPr>
              <w:t>0.5</w:t>
            </w:r>
          </w:p>
          <w:p w14:paraId="64E289EE" w14:textId="77777777" w:rsidR="005823EE" w:rsidRPr="00D3774C" w:rsidRDefault="005823EE" w:rsidP="007D31A3">
            <w:pPr>
              <w:spacing w:before="40" w:after="40"/>
              <w:jc w:val="center"/>
              <w:rPr>
                <w:sz w:val="18"/>
                <w:szCs w:val="18"/>
                <w:lang w:val="en-GB" w:eastAsia="zh-CN"/>
              </w:rPr>
            </w:pPr>
            <w:r w:rsidRPr="00D3774C">
              <w:rPr>
                <w:sz w:val="18"/>
                <w:szCs w:val="18"/>
                <w:lang w:val="en-GB" w:eastAsia="zh-CN"/>
              </w:rPr>
              <w:t>=29</w:t>
            </w:r>
          </w:p>
        </w:tc>
        <w:tc>
          <w:tcPr>
            <w:tcW w:w="527" w:type="pct"/>
            <w:tcBorders>
              <w:top w:val="single" w:sz="6" w:space="0" w:color="auto"/>
              <w:left w:val="single" w:sz="6" w:space="0" w:color="auto"/>
              <w:bottom w:val="single" w:sz="6" w:space="0" w:color="auto"/>
              <w:right w:val="single" w:sz="6" w:space="0" w:color="auto"/>
            </w:tcBorders>
          </w:tcPr>
          <w:p w14:paraId="61D25AE8" w14:textId="77777777" w:rsidR="005823EE" w:rsidRPr="00D3774C" w:rsidRDefault="005823EE" w:rsidP="007D31A3">
            <w:pPr>
              <w:spacing w:before="40" w:after="40"/>
              <w:jc w:val="center"/>
              <w:rPr>
                <w:sz w:val="18"/>
                <w:szCs w:val="18"/>
                <w:lang w:val="en-GB" w:eastAsia="zh-CN"/>
              </w:rPr>
            </w:pPr>
          </w:p>
        </w:tc>
      </w:tr>
      <w:bookmarkEnd w:id="161"/>
    </w:tbl>
    <w:p w14:paraId="26FDF0E5" w14:textId="77777777" w:rsidR="005823EE" w:rsidRDefault="005823EE" w:rsidP="005823EE">
      <w:pPr>
        <w:rPr>
          <w:lang w:val="en-GB"/>
        </w:rPr>
      </w:pPr>
    </w:p>
    <w:p w14:paraId="502427A3" w14:textId="631490A5" w:rsidR="00E13B55" w:rsidRPr="00E13B55" w:rsidRDefault="00BA1B01" w:rsidP="00E13B55">
      <w:pPr>
        <w:pStyle w:val="TableNo"/>
        <w:rPr>
          <w:b/>
          <w:bCs/>
          <w:lang w:val="en-GB"/>
        </w:rPr>
      </w:pPr>
      <w:r w:rsidRPr="00E13B55">
        <w:rPr>
          <w:lang w:val="en-GB"/>
        </w:rPr>
        <w:lastRenderedPageBreak/>
        <w:t xml:space="preserve">TABLE </w:t>
      </w:r>
      <w:r w:rsidR="00E13B55" w:rsidRPr="00E13B55">
        <w:rPr>
          <w:lang w:val="en-GB"/>
        </w:rPr>
        <w:t>5</w:t>
      </w:r>
    </w:p>
    <w:p w14:paraId="161171C2" w14:textId="385F80B5" w:rsidR="00E13B55" w:rsidRPr="00E13B55" w:rsidRDefault="00E13B55" w:rsidP="00E13B55">
      <w:pPr>
        <w:pStyle w:val="Tabletitle"/>
        <w:rPr>
          <w:b w:val="0"/>
          <w:bCs/>
          <w:u w:val="single"/>
          <w:lang w:val="en-GB"/>
        </w:rPr>
      </w:pPr>
      <w:bookmarkStart w:id="162" w:name="_Hlk81349154"/>
      <w:r w:rsidRPr="00E13B55">
        <w:rPr>
          <w:lang w:val="en-GB" w:eastAsia="en-GB"/>
        </w:rPr>
        <w:t xml:space="preserve">Measurements </w:t>
      </w:r>
      <w:r w:rsidR="00EE439B" w:rsidRPr="00E13B55">
        <w:rPr>
          <w:lang w:val="en-GB" w:eastAsia="en-GB"/>
        </w:rPr>
        <w:t xml:space="preserve">results </w:t>
      </w:r>
      <w:r w:rsidRPr="00E13B55">
        <w:rPr>
          <w:lang w:val="en-GB" w:eastAsia="en-GB"/>
        </w:rPr>
        <w:t xml:space="preserve">14 to 440 MHz </w:t>
      </w:r>
      <w:r w:rsidRPr="00E13B55">
        <w:rPr>
          <w:u w:val="single"/>
          <w:lang w:val="en-GB" w:eastAsia="en-GB"/>
        </w:rPr>
        <w:t>magnetic</w:t>
      </w:r>
      <w:r w:rsidRPr="00E13B55">
        <w:rPr>
          <w:lang w:val="en-GB" w:eastAsia="en-GB"/>
        </w:rPr>
        <w:t xml:space="preserve"> field-strength</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6"/>
        <w:gridCol w:w="1069"/>
        <w:gridCol w:w="1243"/>
        <w:gridCol w:w="680"/>
        <w:gridCol w:w="680"/>
        <w:gridCol w:w="680"/>
        <w:gridCol w:w="653"/>
        <w:gridCol w:w="653"/>
        <w:gridCol w:w="977"/>
        <w:gridCol w:w="828"/>
      </w:tblGrid>
      <w:tr w:rsidR="00E13B55" w:rsidRPr="007C6CB3" w14:paraId="0D2FC858" w14:textId="77777777" w:rsidTr="007D31A3">
        <w:trPr>
          <w:trHeight w:val="192"/>
          <w:jc w:val="center"/>
        </w:trPr>
        <w:tc>
          <w:tcPr>
            <w:tcW w:w="2235" w:type="dxa"/>
            <w:vMerge w:val="restart"/>
            <w:tcBorders>
              <w:top w:val="single" w:sz="6" w:space="0" w:color="auto"/>
              <w:left w:val="single" w:sz="6" w:space="0" w:color="auto"/>
              <w:bottom w:val="single" w:sz="6" w:space="0" w:color="auto"/>
              <w:right w:val="single" w:sz="6" w:space="0" w:color="auto"/>
            </w:tcBorders>
            <w:hideMark/>
          </w:tcPr>
          <w:p w14:paraId="3645D547" w14:textId="42F48A0E" w:rsidR="00E13B55" w:rsidRPr="003205E0" w:rsidRDefault="00E13B55" w:rsidP="00CE566B">
            <w:pPr>
              <w:pStyle w:val="Tablehead"/>
              <w:spacing w:before="40" w:after="40"/>
              <w:rPr>
                <w:sz w:val="18"/>
                <w:szCs w:val="18"/>
                <w:rtl/>
                <w:lang w:val="en-GB" w:eastAsia="zh-CN"/>
              </w:rPr>
            </w:pPr>
            <w:bookmarkStart w:id="163" w:name="_Hlk81349033"/>
            <w:bookmarkEnd w:id="162"/>
            <w:r w:rsidRPr="003205E0">
              <w:rPr>
                <w:sz w:val="18"/>
                <w:szCs w:val="18"/>
                <w:lang w:val="en-GB" w:eastAsia="zh-CN"/>
              </w:rPr>
              <w:t xml:space="preserve">Test </w:t>
            </w:r>
            <w:r w:rsidR="003205E0" w:rsidRPr="003205E0">
              <w:rPr>
                <w:sz w:val="18"/>
                <w:szCs w:val="18"/>
                <w:lang w:val="en-GB" w:eastAsia="zh-CN"/>
              </w:rPr>
              <w:t>point</w:t>
            </w:r>
          </w:p>
        </w:tc>
        <w:tc>
          <w:tcPr>
            <w:tcW w:w="2368" w:type="dxa"/>
            <w:gridSpan w:val="2"/>
            <w:tcBorders>
              <w:top w:val="single" w:sz="6" w:space="0" w:color="auto"/>
              <w:left w:val="single" w:sz="6" w:space="0" w:color="auto"/>
              <w:bottom w:val="single" w:sz="6" w:space="0" w:color="auto"/>
              <w:right w:val="single" w:sz="6" w:space="0" w:color="auto"/>
            </w:tcBorders>
            <w:hideMark/>
          </w:tcPr>
          <w:p w14:paraId="3013C84E" w14:textId="05465B34" w:rsidR="00E13B55" w:rsidRPr="003205E0" w:rsidRDefault="00E13B55" w:rsidP="00CE566B">
            <w:pPr>
              <w:pStyle w:val="Tablehead"/>
              <w:spacing w:before="40" w:after="40"/>
              <w:rPr>
                <w:sz w:val="18"/>
                <w:szCs w:val="18"/>
                <w:lang w:val="en-GB" w:eastAsia="zh-CN"/>
              </w:rPr>
            </w:pPr>
            <w:r w:rsidRPr="003205E0">
              <w:rPr>
                <w:sz w:val="18"/>
                <w:szCs w:val="18"/>
                <w:lang w:val="en-GB" w:eastAsia="zh-CN"/>
              </w:rPr>
              <w:t>Range from Tx (m)</w:t>
            </w:r>
          </w:p>
        </w:tc>
        <w:tc>
          <w:tcPr>
            <w:tcW w:w="4411" w:type="dxa"/>
            <w:gridSpan w:val="6"/>
            <w:tcBorders>
              <w:top w:val="single" w:sz="6" w:space="0" w:color="auto"/>
              <w:left w:val="single" w:sz="6" w:space="0" w:color="auto"/>
              <w:bottom w:val="single" w:sz="6" w:space="0" w:color="auto"/>
              <w:right w:val="single" w:sz="6" w:space="0" w:color="auto"/>
            </w:tcBorders>
            <w:hideMark/>
          </w:tcPr>
          <w:p w14:paraId="01F82511" w14:textId="77777777" w:rsidR="00E13B55" w:rsidRPr="003205E0" w:rsidRDefault="00E13B55" w:rsidP="00CE566B">
            <w:pPr>
              <w:pStyle w:val="Tablehead"/>
              <w:spacing w:before="40" w:after="40"/>
              <w:rPr>
                <w:sz w:val="18"/>
                <w:szCs w:val="18"/>
                <w:lang w:val="en-GB" w:eastAsia="zh-CN"/>
              </w:rPr>
            </w:pPr>
            <w:r w:rsidRPr="003205E0">
              <w:rPr>
                <w:sz w:val="18"/>
                <w:szCs w:val="18"/>
                <w:lang w:val="en-GB" w:eastAsia="zh-CN"/>
              </w:rPr>
              <w:t>Results (A/m)</w:t>
            </w:r>
          </w:p>
        </w:tc>
        <w:tc>
          <w:tcPr>
            <w:tcW w:w="846" w:type="dxa"/>
            <w:vMerge w:val="restart"/>
            <w:tcBorders>
              <w:top w:val="single" w:sz="6" w:space="0" w:color="auto"/>
              <w:left w:val="single" w:sz="6" w:space="0" w:color="auto"/>
              <w:bottom w:val="single" w:sz="6" w:space="0" w:color="auto"/>
              <w:right w:val="single" w:sz="6" w:space="0" w:color="auto"/>
            </w:tcBorders>
            <w:hideMark/>
          </w:tcPr>
          <w:p w14:paraId="27B2B0A7" w14:textId="77777777" w:rsidR="00E13B55" w:rsidRPr="003205E0" w:rsidRDefault="00E13B55" w:rsidP="00CE566B">
            <w:pPr>
              <w:pStyle w:val="Tablehead"/>
              <w:spacing w:before="40" w:after="40"/>
              <w:rPr>
                <w:sz w:val="18"/>
                <w:szCs w:val="18"/>
                <w:lang w:val="en-GB" w:eastAsia="zh-CN"/>
              </w:rPr>
            </w:pPr>
            <w:r w:rsidRPr="003205E0">
              <w:rPr>
                <w:sz w:val="18"/>
                <w:szCs w:val="18"/>
                <w:lang w:val="en-GB" w:eastAsia="zh-CN"/>
              </w:rPr>
              <w:t>H with sources off (A/m)</w:t>
            </w:r>
          </w:p>
        </w:tc>
      </w:tr>
      <w:tr w:rsidR="00E13B55" w:rsidRPr="003205E0" w14:paraId="2A601306" w14:textId="77777777" w:rsidTr="007D31A3">
        <w:trPr>
          <w:trHeight w:val="390"/>
          <w:jc w:val="center"/>
        </w:trPr>
        <w:tc>
          <w:tcPr>
            <w:tcW w:w="2235" w:type="dxa"/>
            <w:vMerge/>
            <w:tcBorders>
              <w:top w:val="single" w:sz="6" w:space="0" w:color="auto"/>
              <w:left w:val="single" w:sz="6" w:space="0" w:color="auto"/>
              <w:bottom w:val="single" w:sz="6" w:space="0" w:color="auto"/>
              <w:right w:val="single" w:sz="6" w:space="0" w:color="auto"/>
            </w:tcBorders>
            <w:vAlign w:val="center"/>
            <w:hideMark/>
          </w:tcPr>
          <w:p w14:paraId="7D25A1FF" w14:textId="77777777" w:rsidR="00E13B55" w:rsidRPr="003205E0" w:rsidRDefault="00E13B55" w:rsidP="00CE566B">
            <w:pPr>
              <w:overflowPunct/>
              <w:autoSpaceDE/>
              <w:autoSpaceDN/>
              <w:adjustRightInd/>
              <w:spacing w:before="40" w:after="40"/>
              <w:rPr>
                <w:rFonts w:ascii="Times New Roman Bold" w:hAnsi="Times New Roman Bold" w:cs="Times New Roman Bold"/>
                <w:b/>
                <w:sz w:val="18"/>
                <w:szCs w:val="18"/>
                <w:lang w:val="en-GB" w:eastAsia="zh-CN"/>
              </w:rPr>
            </w:pPr>
          </w:p>
        </w:tc>
        <w:tc>
          <w:tcPr>
            <w:tcW w:w="1094" w:type="dxa"/>
            <w:tcBorders>
              <w:top w:val="single" w:sz="6" w:space="0" w:color="auto"/>
              <w:left w:val="single" w:sz="6" w:space="0" w:color="auto"/>
              <w:bottom w:val="single" w:sz="6" w:space="0" w:color="auto"/>
              <w:right w:val="single" w:sz="6" w:space="0" w:color="auto"/>
            </w:tcBorders>
            <w:hideMark/>
          </w:tcPr>
          <w:p w14:paraId="27C49F29" w14:textId="77777777" w:rsidR="00E13B55" w:rsidRPr="003205E0" w:rsidRDefault="00E13B55" w:rsidP="00CE566B">
            <w:pPr>
              <w:pStyle w:val="Tablehead"/>
              <w:spacing w:before="40" w:after="40"/>
              <w:rPr>
                <w:sz w:val="18"/>
                <w:szCs w:val="18"/>
                <w:lang w:val="en-GB" w:eastAsia="zh-CN"/>
              </w:rPr>
            </w:pPr>
            <w:r w:rsidRPr="003205E0">
              <w:rPr>
                <w:sz w:val="18"/>
                <w:szCs w:val="18"/>
                <w:lang w:val="en-GB" w:eastAsia="zh-CN"/>
              </w:rPr>
              <w:t>Horizontal</w:t>
            </w:r>
          </w:p>
        </w:tc>
        <w:tc>
          <w:tcPr>
            <w:tcW w:w="1274" w:type="dxa"/>
            <w:tcBorders>
              <w:top w:val="single" w:sz="6" w:space="0" w:color="auto"/>
              <w:left w:val="single" w:sz="6" w:space="0" w:color="auto"/>
              <w:bottom w:val="single" w:sz="6" w:space="0" w:color="auto"/>
              <w:right w:val="single" w:sz="6" w:space="0" w:color="auto"/>
            </w:tcBorders>
            <w:hideMark/>
          </w:tcPr>
          <w:p w14:paraId="3D1AB48C" w14:textId="77777777" w:rsidR="00E13B55" w:rsidRPr="003205E0" w:rsidRDefault="00E13B55" w:rsidP="00CE566B">
            <w:pPr>
              <w:pStyle w:val="Tablehead"/>
              <w:spacing w:before="40" w:after="40"/>
              <w:rPr>
                <w:sz w:val="18"/>
                <w:szCs w:val="18"/>
                <w:lang w:val="en-GB" w:eastAsia="zh-CN"/>
              </w:rPr>
            </w:pPr>
            <w:r w:rsidRPr="003205E0">
              <w:rPr>
                <w:sz w:val="18"/>
                <w:szCs w:val="18"/>
                <w:lang w:val="en-GB" w:eastAsia="zh-CN"/>
              </w:rPr>
              <w:t>Vertical</w:t>
            </w:r>
          </w:p>
        </w:tc>
        <w:tc>
          <w:tcPr>
            <w:tcW w:w="693" w:type="dxa"/>
            <w:tcBorders>
              <w:top w:val="single" w:sz="6" w:space="0" w:color="auto"/>
              <w:left w:val="single" w:sz="6" w:space="0" w:color="auto"/>
              <w:bottom w:val="single" w:sz="6" w:space="0" w:color="auto"/>
              <w:right w:val="single" w:sz="6" w:space="0" w:color="auto"/>
            </w:tcBorders>
            <w:hideMark/>
          </w:tcPr>
          <w:p w14:paraId="448D31BB" w14:textId="77777777" w:rsidR="00E13B55" w:rsidRPr="003205E0" w:rsidRDefault="00E13B55" w:rsidP="00CE566B">
            <w:pPr>
              <w:pStyle w:val="Tablehead"/>
              <w:spacing w:before="40" w:after="40"/>
              <w:rPr>
                <w:sz w:val="18"/>
                <w:szCs w:val="18"/>
                <w:lang w:val="en-GB" w:eastAsia="zh-CN"/>
              </w:rPr>
            </w:pPr>
            <w:r w:rsidRPr="003205E0">
              <w:rPr>
                <w:sz w:val="18"/>
                <w:szCs w:val="18"/>
                <w:lang w:val="en-GB" w:eastAsia="zh-CN"/>
              </w:rPr>
              <w:t>14</w:t>
            </w:r>
          </w:p>
        </w:tc>
        <w:tc>
          <w:tcPr>
            <w:tcW w:w="693" w:type="dxa"/>
            <w:tcBorders>
              <w:top w:val="single" w:sz="6" w:space="0" w:color="auto"/>
              <w:left w:val="single" w:sz="6" w:space="0" w:color="auto"/>
              <w:bottom w:val="single" w:sz="6" w:space="0" w:color="auto"/>
              <w:right w:val="single" w:sz="6" w:space="0" w:color="auto"/>
            </w:tcBorders>
            <w:hideMark/>
          </w:tcPr>
          <w:p w14:paraId="77B9A8B9" w14:textId="77777777" w:rsidR="00E13B55" w:rsidRPr="003205E0" w:rsidRDefault="00E13B55" w:rsidP="00CE566B">
            <w:pPr>
              <w:pStyle w:val="Tablehead"/>
              <w:spacing w:before="40" w:after="40"/>
              <w:rPr>
                <w:sz w:val="18"/>
                <w:szCs w:val="18"/>
                <w:lang w:val="en-GB" w:eastAsia="zh-CN"/>
              </w:rPr>
            </w:pPr>
            <w:r w:rsidRPr="003205E0">
              <w:rPr>
                <w:sz w:val="18"/>
                <w:szCs w:val="18"/>
                <w:lang w:val="en-GB" w:eastAsia="zh-CN"/>
              </w:rPr>
              <w:t>21</w:t>
            </w:r>
          </w:p>
        </w:tc>
        <w:tc>
          <w:tcPr>
            <w:tcW w:w="693" w:type="dxa"/>
            <w:tcBorders>
              <w:top w:val="single" w:sz="6" w:space="0" w:color="auto"/>
              <w:left w:val="single" w:sz="6" w:space="0" w:color="auto"/>
              <w:bottom w:val="single" w:sz="6" w:space="0" w:color="auto"/>
              <w:right w:val="single" w:sz="6" w:space="0" w:color="auto"/>
            </w:tcBorders>
            <w:hideMark/>
          </w:tcPr>
          <w:p w14:paraId="288AC096" w14:textId="77777777" w:rsidR="00E13B55" w:rsidRPr="003205E0" w:rsidRDefault="00E13B55" w:rsidP="00CE566B">
            <w:pPr>
              <w:pStyle w:val="Tablehead"/>
              <w:spacing w:before="40" w:after="40"/>
              <w:rPr>
                <w:sz w:val="18"/>
                <w:szCs w:val="18"/>
                <w:lang w:val="en-GB" w:eastAsia="zh-CN"/>
              </w:rPr>
            </w:pPr>
            <w:r w:rsidRPr="003205E0">
              <w:rPr>
                <w:sz w:val="18"/>
                <w:szCs w:val="18"/>
                <w:lang w:val="en-GB" w:eastAsia="zh-CN"/>
              </w:rPr>
              <w:t>28</w:t>
            </w:r>
          </w:p>
        </w:tc>
        <w:tc>
          <w:tcPr>
            <w:tcW w:w="666" w:type="dxa"/>
            <w:tcBorders>
              <w:top w:val="single" w:sz="6" w:space="0" w:color="auto"/>
              <w:left w:val="single" w:sz="6" w:space="0" w:color="auto"/>
              <w:bottom w:val="single" w:sz="6" w:space="0" w:color="auto"/>
              <w:right w:val="single" w:sz="6" w:space="0" w:color="auto"/>
            </w:tcBorders>
            <w:hideMark/>
          </w:tcPr>
          <w:p w14:paraId="6E0B0C3D" w14:textId="77777777" w:rsidR="00E13B55" w:rsidRPr="003205E0" w:rsidRDefault="00E13B55" w:rsidP="00CE566B">
            <w:pPr>
              <w:pStyle w:val="Tablehead"/>
              <w:spacing w:before="40" w:after="40"/>
              <w:rPr>
                <w:sz w:val="18"/>
                <w:szCs w:val="18"/>
                <w:lang w:val="en-GB" w:eastAsia="zh-CN"/>
              </w:rPr>
            </w:pPr>
            <w:r w:rsidRPr="003205E0">
              <w:rPr>
                <w:sz w:val="18"/>
                <w:szCs w:val="18"/>
                <w:lang w:val="en-GB" w:eastAsia="zh-CN"/>
              </w:rPr>
              <w:t>50</w:t>
            </w:r>
          </w:p>
        </w:tc>
        <w:tc>
          <w:tcPr>
            <w:tcW w:w="666" w:type="dxa"/>
            <w:tcBorders>
              <w:top w:val="single" w:sz="6" w:space="0" w:color="auto"/>
              <w:left w:val="single" w:sz="6" w:space="0" w:color="auto"/>
              <w:bottom w:val="single" w:sz="6" w:space="0" w:color="auto"/>
              <w:right w:val="single" w:sz="6" w:space="0" w:color="auto"/>
            </w:tcBorders>
            <w:hideMark/>
          </w:tcPr>
          <w:p w14:paraId="38E16085" w14:textId="77777777" w:rsidR="00E13B55" w:rsidRPr="003205E0" w:rsidRDefault="00E13B55" w:rsidP="00CE566B">
            <w:pPr>
              <w:pStyle w:val="Tablehead"/>
              <w:spacing w:before="40" w:after="40"/>
              <w:rPr>
                <w:sz w:val="18"/>
                <w:szCs w:val="18"/>
                <w:lang w:val="en-GB" w:eastAsia="zh-CN"/>
              </w:rPr>
            </w:pPr>
            <w:r w:rsidRPr="003205E0">
              <w:rPr>
                <w:sz w:val="18"/>
                <w:szCs w:val="18"/>
                <w:lang w:val="en-GB" w:eastAsia="zh-CN"/>
              </w:rPr>
              <w:t>144</w:t>
            </w:r>
          </w:p>
        </w:tc>
        <w:tc>
          <w:tcPr>
            <w:tcW w:w="1000" w:type="dxa"/>
            <w:tcBorders>
              <w:top w:val="single" w:sz="6" w:space="0" w:color="auto"/>
              <w:left w:val="single" w:sz="6" w:space="0" w:color="auto"/>
              <w:bottom w:val="single" w:sz="6" w:space="0" w:color="auto"/>
              <w:right w:val="single" w:sz="6" w:space="0" w:color="auto"/>
            </w:tcBorders>
            <w:hideMark/>
          </w:tcPr>
          <w:p w14:paraId="39409892" w14:textId="77777777" w:rsidR="00E13B55" w:rsidRPr="003205E0" w:rsidRDefault="00E13B55" w:rsidP="00CE566B">
            <w:pPr>
              <w:pStyle w:val="Tablehead"/>
              <w:spacing w:before="40" w:after="40"/>
              <w:rPr>
                <w:sz w:val="18"/>
                <w:szCs w:val="18"/>
                <w:rtl/>
                <w:lang w:val="en-GB" w:eastAsia="zh-CN"/>
              </w:rPr>
            </w:pPr>
            <w:r w:rsidRPr="003205E0">
              <w:rPr>
                <w:sz w:val="18"/>
                <w:szCs w:val="18"/>
                <w:lang w:val="en-GB" w:eastAsia="zh-CN"/>
              </w:rPr>
              <w:t>440</w:t>
            </w:r>
          </w:p>
        </w:tc>
        <w:tc>
          <w:tcPr>
            <w:tcW w:w="846" w:type="dxa"/>
            <w:vMerge/>
            <w:tcBorders>
              <w:top w:val="single" w:sz="6" w:space="0" w:color="auto"/>
              <w:left w:val="single" w:sz="6" w:space="0" w:color="auto"/>
              <w:bottom w:val="single" w:sz="6" w:space="0" w:color="auto"/>
              <w:right w:val="single" w:sz="6" w:space="0" w:color="auto"/>
            </w:tcBorders>
            <w:vAlign w:val="center"/>
            <w:hideMark/>
          </w:tcPr>
          <w:p w14:paraId="7E29F319" w14:textId="77777777" w:rsidR="00E13B55" w:rsidRPr="003205E0" w:rsidRDefault="00E13B55" w:rsidP="00CE566B">
            <w:pPr>
              <w:overflowPunct/>
              <w:autoSpaceDE/>
              <w:autoSpaceDN/>
              <w:adjustRightInd/>
              <w:spacing w:before="40" w:after="40"/>
              <w:rPr>
                <w:rFonts w:ascii="Times New Roman Bold" w:hAnsi="Times New Roman Bold" w:cs="Times New Roman Bold"/>
                <w:b/>
                <w:sz w:val="18"/>
                <w:szCs w:val="18"/>
                <w:lang w:val="en-GB" w:eastAsia="zh-CN"/>
              </w:rPr>
            </w:pPr>
          </w:p>
        </w:tc>
      </w:tr>
      <w:tr w:rsidR="00E13B55" w:rsidRPr="003205E0" w14:paraId="06866FD9" w14:textId="77777777" w:rsidTr="007D31A3">
        <w:trPr>
          <w:trHeight w:val="216"/>
          <w:jc w:val="center"/>
        </w:trPr>
        <w:tc>
          <w:tcPr>
            <w:tcW w:w="2235" w:type="dxa"/>
            <w:tcBorders>
              <w:top w:val="single" w:sz="6" w:space="0" w:color="auto"/>
              <w:left w:val="single" w:sz="6" w:space="0" w:color="auto"/>
              <w:bottom w:val="single" w:sz="6" w:space="0" w:color="auto"/>
              <w:right w:val="single" w:sz="6" w:space="0" w:color="auto"/>
            </w:tcBorders>
            <w:hideMark/>
          </w:tcPr>
          <w:p w14:paraId="42C69A48" w14:textId="77777777" w:rsidR="00E13B55" w:rsidRPr="003205E0" w:rsidRDefault="00E13B55" w:rsidP="00CE566B">
            <w:pPr>
              <w:spacing w:before="40" w:after="40"/>
              <w:rPr>
                <w:sz w:val="18"/>
                <w:szCs w:val="18"/>
                <w:lang w:val="en-GB" w:eastAsia="zh-CN"/>
              </w:rPr>
            </w:pPr>
            <w:r w:rsidRPr="003205E0">
              <w:rPr>
                <w:sz w:val="18"/>
                <w:szCs w:val="18"/>
                <w:lang w:val="en-GB" w:eastAsia="zh-CN"/>
              </w:rPr>
              <w:t>Amateur station</w:t>
            </w:r>
          </w:p>
        </w:tc>
        <w:tc>
          <w:tcPr>
            <w:tcW w:w="1094" w:type="dxa"/>
            <w:tcBorders>
              <w:top w:val="single" w:sz="6" w:space="0" w:color="auto"/>
              <w:left w:val="single" w:sz="6" w:space="0" w:color="auto"/>
              <w:bottom w:val="single" w:sz="6" w:space="0" w:color="auto"/>
              <w:right w:val="single" w:sz="6" w:space="0" w:color="auto"/>
            </w:tcBorders>
            <w:hideMark/>
          </w:tcPr>
          <w:p w14:paraId="58199279"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6.5</w:t>
            </w:r>
          </w:p>
        </w:tc>
        <w:tc>
          <w:tcPr>
            <w:tcW w:w="1274" w:type="dxa"/>
            <w:tcBorders>
              <w:top w:val="single" w:sz="6" w:space="0" w:color="auto"/>
              <w:left w:val="single" w:sz="6" w:space="0" w:color="auto"/>
              <w:bottom w:val="single" w:sz="6" w:space="0" w:color="auto"/>
              <w:right w:val="single" w:sz="6" w:space="0" w:color="auto"/>
            </w:tcBorders>
            <w:hideMark/>
          </w:tcPr>
          <w:p w14:paraId="68150F62"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1.5</w:t>
            </w:r>
          </w:p>
        </w:tc>
        <w:tc>
          <w:tcPr>
            <w:tcW w:w="693" w:type="dxa"/>
            <w:tcBorders>
              <w:top w:val="single" w:sz="6" w:space="0" w:color="auto"/>
              <w:left w:val="single" w:sz="6" w:space="0" w:color="auto"/>
              <w:bottom w:val="single" w:sz="6" w:space="0" w:color="auto"/>
              <w:right w:val="single" w:sz="6" w:space="0" w:color="auto"/>
            </w:tcBorders>
            <w:hideMark/>
          </w:tcPr>
          <w:p w14:paraId="0AFC243B"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93" w:type="dxa"/>
            <w:tcBorders>
              <w:top w:val="single" w:sz="6" w:space="0" w:color="auto"/>
              <w:left w:val="single" w:sz="6" w:space="0" w:color="auto"/>
              <w:bottom w:val="single" w:sz="6" w:space="0" w:color="auto"/>
              <w:right w:val="single" w:sz="6" w:space="0" w:color="auto"/>
            </w:tcBorders>
            <w:hideMark/>
          </w:tcPr>
          <w:p w14:paraId="0606A80E"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93" w:type="dxa"/>
            <w:tcBorders>
              <w:top w:val="single" w:sz="6" w:space="0" w:color="auto"/>
              <w:left w:val="single" w:sz="6" w:space="0" w:color="auto"/>
              <w:bottom w:val="single" w:sz="6" w:space="0" w:color="auto"/>
              <w:right w:val="single" w:sz="6" w:space="0" w:color="auto"/>
            </w:tcBorders>
            <w:hideMark/>
          </w:tcPr>
          <w:p w14:paraId="4869D28A"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66" w:type="dxa"/>
            <w:tcBorders>
              <w:top w:val="single" w:sz="6" w:space="0" w:color="auto"/>
              <w:left w:val="single" w:sz="6" w:space="0" w:color="auto"/>
              <w:bottom w:val="single" w:sz="6" w:space="0" w:color="auto"/>
              <w:right w:val="single" w:sz="6" w:space="0" w:color="auto"/>
            </w:tcBorders>
            <w:hideMark/>
          </w:tcPr>
          <w:p w14:paraId="1EBECD7A"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66" w:type="dxa"/>
            <w:tcBorders>
              <w:top w:val="single" w:sz="6" w:space="0" w:color="auto"/>
              <w:left w:val="single" w:sz="6" w:space="0" w:color="auto"/>
              <w:bottom w:val="single" w:sz="6" w:space="0" w:color="auto"/>
              <w:right w:val="single" w:sz="6" w:space="0" w:color="auto"/>
            </w:tcBorders>
            <w:hideMark/>
          </w:tcPr>
          <w:p w14:paraId="18DD96E4"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1000" w:type="dxa"/>
            <w:tcBorders>
              <w:top w:val="single" w:sz="6" w:space="0" w:color="auto"/>
              <w:left w:val="single" w:sz="6" w:space="0" w:color="auto"/>
              <w:bottom w:val="single" w:sz="6" w:space="0" w:color="auto"/>
              <w:right w:val="single" w:sz="6" w:space="0" w:color="auto"/>
            </w:tcBorders>
            <w:hideMark/>
          </w:tcPr>
          <w:p w14:paraId="07F26CF1"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846" w:type="dxa"/>
            <w:tcBorders>
              <w:top w:val="single" w:sz="6" w:space="0" w:color="auto"/>
              <w:left w:val="single" w:sz="6" w:space="0" w:color="auto"/>
              <w:bottom w:val="single" w:sz="6" w:space="0" w:color="auto"/>
              <w:right w:val="single" w:sz="6" w:space="0" w:color="auto"/>
            </w:tcBorders>
            <w:hideMark/>
          </w:tcPr>
          <w:p w14:paraId="7A4A114B"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0.01</w:t>
            </w:r>
          </w:p>
        </w:tc>
      </w:tr>
      <w:tr w:rsidR="00E13B55" w:rsidRPr="003205E0" w14:paraId="53C6C177" w14:textId="77777777" w:rsidTr="007D31A3">
        <w:trPr>
          <w:trHeight w:val="216"/>
          <w:jc w:val="center"/>
        </w:trPr>
        <w:tc>
          <w:tcPr>
            <w:tcW w:w="2235" w:type="dxa"/>
            <w:tcBorders>
              <w:top w:val="single" w:sz="6" w:space="0" w:color="auto"/>
              <w:left w:val="single" w:sz="6" w:space="0" w:color="auto"/>
              <w:bottom w:val="single" w:sz="6" w:space="0" w:color="auto"/>
              <w:right w:val="single" w:sz="6" w:space="0" w:color="auto"/>
            </w:tcBorders>
            <w:hideMark/>
          </w:tcPr>
          <w:p w14:paraId="6E7D8636" w14:textId="77777777" w:rsidR="00E13B55" w:rsidRPr="003205E0" w:rsidRDefault="00E13B55" w:rsidP="00CE566B">
            <w:pPr>
              <w:spacing w:before="40" w:after="40"/>
              <w:rPr>
                <w:sz w:val="18"/>
                <w:szCs w:val="18"/>
                <w:lang w:val="en-GB" w:eastAsia="zh-CN"/>
              </w:rPr>
            </w:pPr>
            <w:r w:rsidRPr="003205E0">
              <w:rPr>
                <w:sz w:val="18"/>
                <w:szCs w:val="18"/>
                <w:lang w:val="en-GB" w:eastAsia="zh-CN"/>
              </w:rPr>
              <w:t>2</w:t>
            </w:r>
            <w:r w:rsidRPr="003205E0">
              <w:rPr>
                <w:sz w:val="18"/>
                <w:szCs w:val="18"/>
                <w:vertAlign w:val="superscript"/>
                <w:lang w:val="en-GB" w:eastAsia="zh-CN"/>
              </w:rPr>
              <w:t>d</w:t>
            </w:r>
            <w:r w:rsidRPr="003205E0">
              <w:rPr>
                <w:sz w:val="18"/>
                <w:szCs w:val="18"/>
                <w:lang w:val="en-GB" w:eastAsia="zh-CN"/>
              </w:rPr>
              <w:t xml:space="preserve"> floor, </w:t>
            </w:r>
            <w:proofErr w:type="spellStart"/>
            <w:r w:rsidRPr="003205E0">
              <w:rPr>
                <w:sz w:val="18"/>
                <w:szCs w:val="18"/>
                <w:lang w:val="en-GB" w:eastAsia="zh-CN"/>
              </w:rPr>
              <w:t>Hashikma</w:t>
            </w:r>
            <w:proofErr w:type="spellEnd"/>
            <w:r w:rsidRPr="003205E0">
              <w:rPr>
                <w:sz w:val="18"/>
                <w:szCs w:val="18"/>
                <w:lang w:val="en-GB" w:eastAsia="zh-CN"/>
              </w:rPr>
              <w:t xml:space="preserve"> 21</w:t>
            </w:r>
          </w:p>
        </w:tc>
        <w:tc>
          <w:tcPr>
            <w:tcW w:w="1094" w:type="dxa"/>
            <w:tcBorders>
              <w:top w:val="single" w:sz="6" w:space="0" w:color="auto"/>
              <w:left w:val="single" w:sz="6" w:space="0" w:color="auto"/>
              <w:bottom w:val="single" w:sz="6" w:space="0" w:color="auto"/>
              <w:right w:val="single" w:sz="6" w:space="0" w:color="auto"/>
            </w:tcBorders>
            <w:hideMark/>
          </w:tcPr>
          <w:p w14:paraId="6092B02A"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1.5</w:t>
            </w:r>
          </w:p>
        </w:tc>
        <w:tc>
          <w:tcPr>
            <w:tcW w:w="1274" w:type="dxa"/>
            <w:tcBorders>
              <w:top w:val="single" w:sz="6" w:space="0" w:color="auto"/>
              <w:left w:val="single" w:sz="6" w:space="0" w:color="auto"/>
              <w:bottom w:val="single" w:sz="6" w:space="0" w:color="auto"/>
              <w:right w:val="single" w:sz="6" w:space="0" w:color="auto"/>
            </w:tcBorders>
            <w:hideMark/>
          </w:tcPr>
          <w:p w14:paraId="767D207C"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8.5</w:t>
            </w:r>
          </w:p>
        </w:tc>
        <w:tc>
          <w:tcPr>
            <w:tcW w:w="693" w:type="dxa"/>
            <w:tcBorders>
              <w:top w:val="single" w:sz="6" w:space="0" w:color="auto"/>
              <w:left w:val="single" w:sz="6" w:space="0" w:color="auto"/>
              <w:bottom w:val="single" w:sz="6" w:space="0" w:color="auto"/>
              <w:right w:val="single" w:sz="6" w:space="0" w:color="auto"/>
            </w:tcBorders>
            <w:hideMark/>
          </w:tcPr>
          <w:p w14:paraId="39541E19"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93" w:type="dxa"/>
            <w:tcBorders>
              <w:top w:val="single" w:sz="6" w:space="0" w:color="auto"/>
              <w:left w:val="single" w:sz="6" w:space="0" w:color="auto"/>
              <w:bottom w:val="single" w:sz="6" w:space="0" w:color="auto"/>
              <w:right w:val="single" w:sz="6" w:space="0" w:color="auto"/>
            </w:tcBorders>
            <w:hideMark/>
          </w:tcPr>
          <w:p w14:paraId="6B137208"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93" w:type="dxa"/>
            <w:tcBorders>
              <w:top w:val="single" w:sz="6" w:space="0" w:color="auto"/>
              <w:left w:val="single" w:sz="6" w:space="0" w:color="auto"/>
              <w:bottom w:val="single" w:sz="6" w:space="0" w:color="auto"/>
              <w:right w:val="single" w:sz="6" w:space="0" w:color="auto"/>
            </w:tcBorders>
            <w:hideMark/>
          </w:tcPr>
          <w:p w14:paraId="640A8BA6"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66" w:type="dxa"/>
            <w:tcBorders>
              <w:top w:val="single" w:sz="6" w:space="0" w:color="auto"/>
              <w:left w:val="single" w:sz="6" w:space="0" w:color="auto"/>
              <w:bottom w:val="single" w:sz="6" w:space="0" w:color="auto"/>
              <w:right w:val="single" w:sz="6" w:space="0" w:color="auto"/>
            </w:tcBorders>
            <w:hideMark/>
          </w:tcPr>
          <w:p w14:paraId="039C4B21"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66" w:type="dxa"/>
            <w:tcBorders>
              <w:top w:val="single" w:sz="6" w:space="0" w:color="auto"/>
              <w:left w:val="single" w:sz="6" w:space="0" w:color="auto"/>
              <w:bottom w:val="single" w:sz="6" w:space="0" w:color="auto"/>
              <w:right w:val="single" w:sz="6" w:space="0" w:color="auto"/>
            </w:tcBorders>
            <w:hideMark/>
          </w:tcPr>
          <w:p w14:paraId="1DFAF314"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1000" w:type="dxa"/>
            <w:tcBorders>
              <w:top w:val="single" w:sz="6" w:space="0" w:color="auto"/>
              <w:left w:val="single" w:sz="6" w:space="0" w:color="auto"/>
              <w:bottom w:val="single" w:sz="6" w:space="0" w:color="auto"/>
              <w:right w:val="single" w:sz="6" w:space="0" w:color="auto"/>
            </w:tcBorders>
            <w:hideMark/>
          </w:tcPr>
          <w:p w14:paraId="3F4C01AF"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846" w:type="dxa"/>
            <w:tcBorders>
              <w:top w:val="single" w:sz="6" w:space="0" w:color="auto"/>
              <w:left w:val="single" w:sz="6" w:space="0" w:color="auto"/>
              <w:bottom w:val="single" w:sz="6" w:space="0" w:color="auto"/>
              <w:right w:val="single" w:sz="6" w:space="0" w:color="auto"/>
            </w:tcBorders>
            <w:hideMark/>
          </w:tcPr>
          <w:p w14:paraId="61E971FC"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0.025</w:t>
            </w:r>
          </w:p>
        </w:tc>
      </w:tr>
      <w:tr w:rsidR="00E13B55" w:rsidRPr="003205E0" w14:paraId="14997262" w14:textId="77777777" w:rsidTr="007D31A3">
        <w:trPr>
          <w:trHeight w:val="216"/>
          <w:jc w:val="center"/>
        </w:trPr>
        <w:tc>
          <w:tcPr>
            <w:tcW w:w="2235" w:type="dxa"/>
            <w:tcBorders>
              <w:top w:val="single" w:sz="6" w:space="0" w:color="auto"/>
              <w:left w:val="single" w:sz="6" w:space="0" w:color="auto"/>
              <w:bottom w:val="single" w:sz="6" w:space="0" w:color="auto"/>
              <w:right w:val="single" w:sz="6" w:space="0" w:color="auto"/>
            </w:tcBorders>
            <w:hideMark/>
          </w:tcPr>
          <w:p w14:paraId="0AF8C1CF" w14:textId="77777777" w:rsidR="00E13B55" w:rsidRPr="003205E0" w:rsidRDefault="00E13B55" w:rsidP="00CE566B">
            <w:pPr>
              <w:spacing w:before="40" w:after="40"/>
              <w:rPr>
                <w:sz w:val="18"/>
                <w:szCs w:val="18"/>
                <w:lang w:val="en-GB" w:eastAsia="zh-CN"/>
              </w:rPr>
            </w:pPr>
            <w:r w:rsidRPr="003205E0">
              <w:rPr>
                <w:sz w:val="18"/>
                <w:szCs w:val="18"/>
                <w:lang w:val="en-GB" w:eastAsia="zh-CN"/>
              </w:rPr>
              <w:t xml:space="preserve">Floor 1, </w:t>
            </w:r>
            <w:proofErr w:type="spellStart"/>
            <w:r w:rsidRPr="003205E0">
              <w:rPr>
                <w:sz w:val="18"/>
                <w:szCs w:val="18"/>
                <w:lang w:val="en-GB" w:eastAsia="zh-CN"/>
              </w:rPr>
              <w:t>Hashikma</w:t>
            </w:r>
            <w:proofErr w:type="spellEnd"/>
            <w:r w:rsidRPr="003205E0">
              <w:rPr>
                <w:sz w:val="18"/>
                <w:szCs w:val="18"/>
                <w:lang w:val="en-GB" w:eastAsia="zh-CN"/>
              </w:rPr>
              <w:t xml:space="preserve"> 21</w:t>
            </w:r>
          </w:p>
        </w:tc>
        <w:tc>
          <w:tcPr>
            <w:tcW w:w="1094" w:type="dxa"/>
            <w:tcBorders>
              <w:top w:val="single" w:sz="6" w:space="0" w:color="auto"/>
              <w:left w:val="single" w:sz="6" w:space="0" w:color="auto"/>
              <w:bottom w:val="single" w:sz="6" w:space="0" w:color="auto"/>
              <w:right w:val="single" w:sz="6" w:space="0" w:color="auto"/>
            </w:tcBorders>
            <w:hideMark/>
          </w:tcPr>
          <w:p w14:paraId="042FD1EF"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1.5</w:t>
            </w:r>
          </w:p>
        </w:tc>
        <w:tc>
          <w:tcPr>
            <w:tcW w:w="1274" w:type="dxa"/>
            <w:tcBorders>
              <w:top w:val="single" w:sz="6" w:space="0" w:color="auto"/>
              <w:left w:val="single" w:sz="6" w:space="0" w:color="auto"/>
              <w:bottom w:val="single" w:sz="6" w:space="0" w:color="auto"/>
              <w:right w:val="single" w:sz="6" w:space="0" w:color="auto"/>
            </w:tcBorders>
            <w:hideMark/>
          </w:tcPr>
          <w:p w14:paraId="399565FD"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11.5</w:t>
            </w:r>
          </w:p>
        </w:tc>
        <w:tc>
          <w:tcPr>
            <w:tcW w:w="693" w:type="dxa"/>
            <w:tcBorders>
              <w:top w:val="single" w:sz="6" w:space="0" w:color="auto"/>
              <w:left w:val="single" w:sz="6" w:space="0" w:color="auto"/>
              <w:bottom w:val="single" w:sz="6" w:space="0" w:color="auto"/>
              <w:right w:val="single" w:sz="6" w:space="0" w:color="auto"/>
            </w:tcBorders>
            <w:hideMark/>
          </w:tcPr>
          <w:p w14:paraId="33765C2C"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93" w:type="dxa"/>
            <w:tcBorders>
              <w:top w:val="single" w:sz="6" w:space="0" w:color="auto"/>
              <w:left w:val="single" w:sz="6" w:space="0" w:color="auto"/>
              <w:bottom w:val="single" w:sz="6" w:space="0" w:color="auto"/>
              <w:right w:val="single" w:sz="6" w:space="0" w:color="auto"/>
            </w:tcBorders>
            <w:hideMark/>
          </w:tcPr>
          <w:p w14:paraId="5EBAE5D7"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93" w:type="dxa"/>
            <w:tcBorders>
              <w:top w:val="single" w:sz="6" w:space="0" w:color="auto"/>
              <w:left w:val="single" w:sz="6" w:space="0" w:color="auto"/>
              <w:bottom w:val="single" w:sz="6" w:space="0" w:color="auto"/>
              <w:right w:val="single" w:sz="6" w:space="0" w:color="auto"/>
            </w:tcBorders>
            <w:hideMark/>
          </w:tcPr>
          <w:p w14:paraId="43104B7D"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66" w:type="dxa"/>
            <w:tcBorders>
              <w:top w:val="single" w:sz="6" w:space="0" w:color="auto"/>
              <w:left w:val="single" w:sz="6" w:space="0" w:color="auto"/>
              <w:bottom w:val="single" w:sz="6" w:space="0" w:color="auto"/>
              <w:right w:val="single" w:sz="6" w:space="0" w:color="auto"/>
            </w:tcBorders>
            <w:hideMark/>
          </w:tcPr>
          <w:p w14:paraId="632CC0D7"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66" w:type="dxa"/>
            <w:tcBorders>
              <w:top w:val="single" w:sz="6" w:space="0" w:color="auto"/>
              <w:left w:val="single" w:sz="6" w:space="0" w:color="auto"/>
              <w:bottom w:val="single" w:sz="6" w:space="0" w:color="auto"/>
              <w:right w:val="single" w:sz="6" w:space="0" w:color="auto"/>
            </w:tcBorders>
            <w:hideMark/>
          </w:tcPr>
          <w:p w14:paraId="46EEEE6B"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1000" w:type="dxa"/>
            <w:tcBorders>
              <w:top w:val="single" w:sz="6" w:space="0" w:color="auto"/>
              <w:left w:val="single" w:sz="6" w:space="0" w:color="auto"/>
              <w:bottom w:val="single" w:sz="6" w:space="0" w:color="auto"/>
              <w:right w:val="single" w:sz="6" w:space="0" w:color="auto"/>
            </w:tcBorders>
            <w:hideMark/>
          </w:tcPr>
          <w:p w14:paraId="573D5171"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846" w:type="dxa"/>
            <w:tcBorders>
              <w:top w:val="single" w:sz="6" w:space="0" w:color="auto"/>
              <w:left w:val="single" w:sz="6" w:space="0" w:color="auto"/>
              <w:bottom w:val="single" w:sz="6" w:space="0" w:color="auto"/>
              <w:right w:val="single" w:sz="6" w:space="0" w:color="auto"/>
            </w:tcBorders>
            <w:hideMark/>
          </w:tcPr>
          <w:p w14:paraId="666A3C55"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0.05</w:t>
            </w:r>
          </w:p>
        </w:tc>
      </w:tr>
      <w:tr w:rsidR="00E13B55" w:rsidRPr="003205E0" w14:paraId="03DE0A30" w14:textId="77777777" w:rsidTr="007D31A3">
        <w:trPr>
          <w:trHeight w:val="207"/>
          <w:jc w:val="center"/>
        </w:trPr>
        <w:tc>
          <w:tcPr>
            <w:tcW w:w="2235" w:type="dxa"/>
            <w:tcBorders>
              <w:top w:val="single" w:sz="6" w:space="0" w:color="auto"/>
              <w:left w:val="single" w:sz="6" w:space="0" w:color="auto"/>
              <w:bottom w:val="single" w:sz="6" w:space="0" w:color="auto"/>
              <w:right w:val="single" w:sz="6" w:space="0" w:color="auto"/>
            </w:tcBorders>
            <w:hideMark/>
          </w:tcPr>
          <w:p w14:paraId="5DC5C37C" w14:textId="77777777" w:rsidR="00E13B55" w:rsidRPr="003205E0" w:rsidRDefault="00E13B55" w:rsidP="00CE566B">
            <w:pPr>
              <w:spacing w:before="40" w:after="40"/>
              <w:rPr>
                <w:sz w:val="18"/>
                <w:szCs w:val="18"/>
                <w:lang w:val="en-GB" w:eastAsia="zh-CN"/>
              </w:rPr>
            </w:pPr>
            <w:r w:rsidRPr="003205E0">
              <w:rPr>
                <w:sz w:val="18"/>
                <w:szCs w:val="18"/>
                <w:lang w:val="en-GB" w:eastAsia="zh-CN"/>
              </w:rPr>
              <w:t xml:space="preserve">Sidewalk in </w:t>
            </w:r>
            <w:proofErr w:type="spellStart"/>
            <w:r w:rsidRPr="003205E0">
              <w:rPr>
                <w:sz w:val="18"/>
                <w:szCs w:val="18"/>
                <w:lang w:val="en-GB" w:eastAsia="zh-CN"/>
              </w:rPr>
              <w:t>DeadSea</w:t>
            </w:r>
            <w:proofErr w:type="spellEnd"/>
            <w:r w:rsidRPr="003205E0">
              <w:rPr>
                <w:sz w:val="18"/>
                <w:szCs w:val="18"/>
                <w:lang w:val="en-GB" w:eastAsia="zh-CN"/>
              </w:rPr>
              <w:t xml:space="preserve"> </w:t>
            </w:r>
            <w:proofErr w:type="spellStart"/>
            <w:r w:rsidRPr="003205E0">
              <w:rPr>
                <w:sz w:val="18"/>
                <w:szCs w:val="18"/>
                <w:lang w:val="en-GB" w:eastAsia="zh-CN"/>
              </w:rPr>
              <w:t>st</w:t>
            </w:r>
            <w:proofErr w:type="spellEnd"/>
            <w:r w:rsidRPr="003205E0">
              <w:rPr>
                <w:sz w:val="18"/>
                <w:szCs w:val="18"/>
                <w:lang w:val="en-GB" w:eastAsia="zh-CN"/>
              </w:rPr>
              <w:t>’</w:t>
            </w:r>
          </w:p>
        </w:tc>
        <w:tc>
          <w:tcPr>
            <w:tcW w:w="1094" w:type="dxa"/>
            <w:tcBorders>
              <w:top w:val="single" w:sz="6" w:space="0" w:color="auto"/>
              <w:left w:val="single" w:sz="6" w:space="0" w:color="auto"/>
              <w:bottom w:val="single" w:sz="6" w:space="0" w:color="auto"/>
              <w:right w:val="single" w:sz="6" w:space="0" w:color="auto"/>
            </w:tcBorders>
            <w:hideMark/>
          </w:tcPr>
          <w:p w14:paraId="06E95A7F"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9</w:t>
            </w:r>
          </w:p>
        </w:tc>
        <w:tc>
          <w:tcPr>
            <w:tcW w:w="1274" w:type="dxa"/>
            <w:tcBorders>
              <w:top w:val="single" w:sz="6" w:space="0" w:color="auto"/>
              <w:left w:val="single" w:sz="6" w:space="0" w:color="auto"/>
              <w:bottom w:val="single" w:sz="6" w:space="0" w:color="auto"/>
              <w:right w:val="single" w:sz="6" w:space="0" w:color="auto"/>
            </w:tcBorders>
            <w:hideMark/>
          </w:tcPr>
          <w:p w14:paraId="41416393"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12</w:t>
            </w:r>
          </w:p>
        </w:tc>
        <w:tc>
          <w:tcPr>
            <w:tcW w:w="693" w:type="dxa"/>
            <w:tcBorders>
              <w:top w:val="single" w:sz="6" w:space="0" w:color="auto"/>
              <w:left w:val="single" w:sz="6" w:space="0" w:color="auto"/>
              <w:bottom w:val="single" w:sz="6" w:space="0" w:color="auto"/>
              <w:right w:val="single" w:sz="6" w:space="0" w:color="auto"/>
            </w:tcBorders>
            <w:hideMark/>
          </w:tcPr>
          <w:p w14:paraId="0495C30A"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0.011</w:t>
            </w:r>
          </w:p>
        </w:tc>
        <w:tc>
          <w:tcPr>
            <w:tcW w:w="693" w:type="dxa"/>
            <w:tcBorders>
              <w:top w:val="single" w:sz="6" w:space="0" w:color="auto"/>
              <w:left w:val="single" w:sz="6" w:space="0" w:color="auto"/>
              <w:bottom w:val="single" w:sz="6" w:space="0" w:color="auto"/>
              <w:right w:val="single" w:sz="6" w:space="0" w:color="auto"/>
            </w:tcBorders>
            <w:hideMark/>
          </w:tcPr>
          <w:p w14:paraId="006818CC"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0.011</w:t>
            </w:r>
          </w:p>
        </w:tc>
        <w:tc>
          <w:tcPr>
            <w:tcW w:w="693" w:type="dxa"/>
            <w:tcBorders>
              <w:top w:val="single" w:sz="6" w:space="0" w:color="auto"/>
              <w:left w:val="single" w:sz="6" w:space="0" w:color="auto"/>
              <w:bottom w:val="single" w:sz="6" w:space="0" w:color="auto"/>
              <w:right w:val="single" w:sz="6" w:space="0" w:color="auto"/>
            </w:tcBorders>
            <w:hideMark/>
          </w:tcPr>
          <w:p w14:paraId="348C0C7F"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66" w:type="dxa"/>
            <w:tcBorders>
              <w:top w:val="single" w:sz="6" w:space="0" w:color="auto"/>
              <w:left w:val="single" w:sz="6" w:space="0" w:color="auto"/>
              <w:bottom w:val="single" w:sz="6" w:space="0" w:color="auto"/>
              <w:right w:val="single" w:sz="6" w:space="0" w:color="auto"/>
            </w:tcBorders>
            <w:hideMark/>
          </w:tcPr>
          <w:p w14:paraId="7BC83B6D"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66" w:type="dxa"/>
            <w:tcBorders>
              <w:top w:val="single" w:sz="6" w:space="0" w:color="auto"/>
              <w:left w:val="single" w:sz="6" w:space="0" w:color="auto"/>
              <w:bottom w:val="single" w:sz="6" w:space="0" w:color="auto"/>
              <w:right w:val="single" w:sz="6" w:space="0" w:color="auto"/>
            </w:tcBorders>
            <w:hideMark/>
          </w:tcPr>
          <w:p w14:paraId="4B9CC446"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1000" w:type="dxa"/>
            <w:tcBorders>
              <w:top w:val="single" w:sz="6" w:space="0" w:color="auto"/>
              <w:left w:val="single" w:sz="6" w:space="0" w:color="auto"/>
              <w:bottom w:val="single" w:sz="6" w:space="0" w:color="auto"/>
              <w:right w:val="single" w:sz="6" w:space="0" w:color="auto"/>
            </w:tcBorders>
            <w:hideMark/>
          </w:tcPr>
          <w:p w14:paraId="58229F0C"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846" w:type="dxa"/>
            <w:tcBorders>
              <w:top w:val="single" w:sz="6" w:space="0" w:color="auto"/>
              <w:left w:val="single" w:sz="6" w:space="0" w:color="auto"/>
              <w:bottom w:val="single" w:sz="6" w:space="0" w:color="auto"/>
              <w:right w:val="single" w:sz="6" w:space="0" w:color="auto"/>
            </w:tcBorders>
            <w:hideMark/>
          </w:tcPr>
          <w:p w14:paraId="433C8599"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0.01</w:t>
            </w:r>
          </w:p>
        </w:tc>
        <w:bookmarkEnd w:id="163"/>
      </w:tr>
      <w:tr w:rsidR="00E13B55" w:rsidRPr="003205E0" w14:paraId="57E0AA7A" w14:textId="77777777" w:rsidTr="007D31A3">
        <w:trPr>
          <w:trHeight w:val="253"/>
          <w:jc w:val="center"/>
        </w:trPr>
        <w:tc>
          <w:tcPr>
            <w:tcW w:w="2235" w:type="dxa"/>
            <w:tcBorders>
              <w:top w:val="single" w:sz="6" w:space="0" w:color="auto"/>
              <w:left w:val="single" w:sz="6" w:space="0" w:color="auto"/>
              <w:bottom w:val="single" w:sz="6" w:space="0" w:color="auto"/>
              <w:right w:val="single" w:sz="6" w:space="0" w:color="auto"/>
            </w:tcBorders>
            <w:hideMark/>
          </w:tcPr>
          <w:p w14:paraId="7839917A" w14:textId="6CAB5BC6" w:rsidR="00E13B55" w:rsidRPr="003205E0" w:rsidRDefault="00E13B55" w:rsidP="007D31A3">
            <w:pPr>
              <w:spacing w:before="40" w:after="40"/>
              <w:jc w:val="left"/>
              <w:rPr>
                <w:sz w:val="18"/>
                <w:szCs w:val="18"/>
                <w:lang w:val="en-GB" w:eastAsia="zh-CN"/>
              </w:rPr>
            </w:pPr>
            <w:r w:rsidRPr="003205E0">
              <w:rPr>
                <w:sz w:val="18"/>
                <w:szCs w:val="18"/>
                <w:lang w:val="en-GB" w:eastAsia="zh-CN"/>
              </w:rPr>
              <w:t xml:space="preserve">Floor 2 terrace </w:t>
            </w:r>
            <w:proofErr w:type="spellStart"/>
            <w:r w:rsidRPr="003205E0">
              <w:rPr>
                <w:sz w:val="18"/>
                <w:szCs w:val="18"/>
                <w:lang w:val="en-GB" w:eastAsia="zh-CN"/>
              </w:rPr>
              <w:t>DeadSea</w:t>
            </w:r>
            <w:proofErr w:type="spellEnd"/>
            <w:r w:rsidRPr="003205E0">
              <w:rPr>
                <w:sz w:val="18"/>
                <w:szCs w:val="18"/>
                <w:lang w:val="en-GB" w:eastAsia="zh-CN"/>
              </w:rPr>
              <w:t xml:space="preserve"> 22</w:t>
            </w:r>
          </w:p>
        </w:tc>
        <w:tc>
          <w:tcPr>
            <w:tcW w:w="1094" w:type="dxa"/>
            <w:tcBorders>
              <w:top w:val="single" w:sz="6" w:space="0" w:color="auto"/>
              <w:left w:val="single" w:sz="6" w:space="0" w:color="auto"/>
              <w:bottom w:val="single" w:sz="6" w:space="0" w:color="auto"/>
              <w:right w:val="single" w:sz="6" w:space="0" w:color="auto"/>
            </w:tcBorders>
            <w:hideMark/>
          </w:tcPr>
          <w:p w14:paraId="538EDE72"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40</w:t>
            </w:r>
          </w:p>
        </w:tc>
        <w:tc>
          <w:tcPr>
            <w:tcW w:w="1274" w:type="dxa"/>
            <w:tcBorders>
              <w:top w:val="single" w:sz="6" w:space="0" w:color="auto"/>
              <w:left w:val="single" w:sz="6" w:space="0" w:color="auto"/>
              <w:bottom w:val="single" w:sz="6" w:space="0" w:color="auto"/>
              <w:right w:val="single" w:sz="6" w:space="0" w:color="auto"/>
            </w:tcBorders>
            <w:hideMark/>
          </w:tcPr>
          <w:p w14:paraId="2AF88F43"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2</w:t>
            </w:r>
          </w:p>
        </w:tc>
        <w:tc>
          <w:tcPr>
            <w:tcW w:w="693" w:type="dxa"/>
            <w:tcBorders>
              <w:top w:val="single" w:sz="6" w:space="0" w:color="auto"/>
              <w:left w:val="single" w:sz="6" w:space="0" w:color="auto"/>
              <w:bottom w:val="single" w:sz="6" w:space="0" w:color="auto"/>
              <w:right w:val="single" w:sz="6" w:space="0" w:color="auto"/>
            </w:tcBorders>
            <w:hideMark/>
          </w:tcPr>
          <w:p w14:paraId="1C9CBAA2"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0.011</w:t>
            </w:r>
          </w:p>
        </w:tc>
        <w:tc>
          <w:tcPr>
            <w:tcW w:w="693" w:type="dxa"/>
            <w:tcBorders>
              <w:top w:val="single" w:sz="6" w:space="0" w:color="auto"/>
              <w:left w:val="single" w:sz="6" w:space="0" w:color="auto"/>
              <w:bottom w:val="single" w:sz="6" w:space="0" w:color="auto"/>
              <w:right w:val="single" w:sz="6" w:space="0" w:color="auto"/>
            </w:tcBorders>
            <w:hideMark/>
          </w:tcPr>
          <w:p w14:paraId="43B0A2A8"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0.011</w:t>
            </w:r>
          </w:p>
        </w:tc>
        <w:tc>
          <w:tcPr>
            <w:tcW w:w="693" w:type="dxa"/>
            <w:tcBorders>
              <w:top w:val="single" w:sz="6" w:space="0" w:color="auto"/>
              <w:left w:val="single" w:sz="6" w:space="0" w:color="auto"/>
              <w:bottom w:val="single" w:sz="6" w:space="0" w:color="auto"/>
              <w:right w:val="single" w:sz="6" w:space="0" w:color="auto"/>
            </w:tcBorders>
            <w:hideMark/>
          </w:tcPr>
          <w:p w14:paraId="6A5CDDA5"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0.013</w:t>
            </w:r>
          </w:p>
        </w:tc>
        <w:tc>
          <w:tcPr>
            <w:tcW w:w="666" w:type="dxa"/>
            <w:tcBorders>
              <w:top w:val="single" w:sz="6" w:space="0" w:color="auto"/>
              <w:left w:val="single" w:sz="6" w:space="0" w:color="auto"/>
              <w:bottom w:val="single" w:sz="6" w:space="0" w:color="auto"/>
              <w:right w:val="single" w:sz="6" w:space="0" w:color="auto"/>
            </w:tcBorders>
            <w:hideMark/>
          </w:tcPr>
          <w:p w14:paraId="07B00240"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0.012</w:t>
            </w:r>
          </w:p>
        </w:tc>
        <w:tc>
          <w:tcPr>
            <w:tcW w:w="666" w:type="dxa"/>
            <w:tcBorders>
              <w:top w:val="single" w:sz="6" w:space="0" w:color="auto"/>
              <w:left w:val="single" w:sz="6" w:space="0" w:color="auto"/>
              <w:bottom w:val="single" w:sz="6" w:space="0" w:color="auto"/>
              <w:right w:val="single" w:sz="6" w:space="0" w:color="auto"/>
            </w:tcBorders>
            <w:hideMark/>
          </w:tcPr>
          <w:p w14:paraId="0652F5AB"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1000" w:type="dxa"/>
            <w:tcBorders>
              <w:top w:val="single" w:sz="6" w:space="0" w:color="auto"/>
              <w:left w:val="single" w:sz="6" w:space="0" w:color="auto"/>
              <w:bottom w:val="single" w:sz="6" w:space="0" w:color="auto"/>
              <w:right w:val="single" w:sz="6" w:space="0" w:color="auto"/>
            </w:tcBorders>
            <w:hideMark/>
          </w:tcPr>
          <w:p w14:paraId="37A75F3D"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846" w:type="dxa"/>
            <w:tcBorders>
              <w:top w:val="single" w:sz="6" w:space="0" w:color="auto"/>
              <w:left w:val="single" w:sz="6" w:space="0" w:color="auto"/>
              <w:bottom w:val="single" w:sz="6" w:space="0" w:color="auto"/>
              <w:right w:val="single" w:sz="6" w:space="0" w:color="auto"/>
            </w:tcBorders>
            <w:hideMark/>
          </w:tcPr>
          <w:p w14:paraId="2AFD70E4"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0.01</w:t>
            </w:r>
          </w:p>
        </w:tc>
      </w:tr>
      <w:tr w:rsidR="00E13B55" w:rsidRPr="003205E0" w14:paraId="46E49549" w14:textId="77777777" w:rsidTr="007D31A3">
        <w:trPr>
          <w:trHeight w:val="271"/>
          <w:jc w:val="center"/>
        </w:trPr>
        <w:tc>
          <w:tcPr>
            <w:tcW w:w="2235" w:type="dxa"/>
            <w:tcBorders>
              <w:top w:val="single" w:sz="6" w:space="0" w:color="auto"/>
              <w:left w:val="single" w:sz="6" w:space="0" w:color="auto"/>
              <w:bottom w:val="single" w:sz="6" w:space="0" w:color="auto"/>
              <w:right w:val="single" w:sz="6" w:space="0" w:color="auto"/>
            </w:tcBorders>
            <w:hideMark/>
          </w:tcPr>
          <w:p w14:paraId="60F8E761" w14:textId="28FA0D82" w:rsidR="00E13B55" w:rsidRPr="003205E0" w:rsidRDefault="00E13B55" w:rsidP="007D31A3">
            <w:pPr>
              <w:spacing w:before="40" w:after="40"/>
              <w:jc w:val="left"/>
              <w:rPr>
                <w:sz w:val="18"/>
                <w:szCs w:val="18"/>
                <w:lang w:val="en-GB" w:eastAsia="zh-CN"/>
              </w:rPr>
            </w:pPr>
            <w:r w:rsidRPr="003205E0">
              <w:rPr>
                <w:sz w:val="18"/>
                <w:szCs w:val="18"/>
                <w:lang w:val="en-GB" w:eastAsia="zh-CN"/>
              </w:rPr>
              <w:t xml:space="preserve">Floor 2 </w:t>
            </w:r>
            <w:proofErr w:type="spellStart"/>
            <w:r w:rsidRPr="003205E0">
              <w:rPr>
                <w:sz w:val="18"/>
                <w:szCs w:val="18"/>
                <w:lang w:val="en-GB" w:eastAsia="zh-CN"/>
              </w:rPr>
              <w:t>childroom</w:t>
            </w:r>
            <w:proofErr w:type="spellEnd"/>
            <w:r w:rsidRPr="003205E0">
              <w:rPr>
                <w:sz w:val="18"/>
                <w:szCs w:val="18"/>
                <w:lang w:val="en-GB" w:eastAsia="zh-CN"/>
              </w:rPr>
              <w:t xml:space="preserve"> </w:t>
            </w:r>
            <w:proofErr w:type="spellStart"/>
            <w:r w:rsidRPr="003205E0">
              <w:rPr>
                <w:sz w:val="18"/>
                <w:szCs w:val="18"/>
                <w:lang w:val="en-GB" w:eastAsia="zh-CN"/>
              </w:rPr>
              <w:t>DeadSea</w:t>
            </w:r>
            <w:proofErr w:type="spellEnd"/>
            <w:r w:rsidR="003205E0">
              <w:rPr>
                <w:sz w:val="18"/>
                <w:szCs w:val="18"/>
                <w:lang w:val="en-GB" w:eastAsia="zh-CN"/>
              </w:rPr>
              <w:t xml:space="preserve"> </w:t>
            </w:r>
            <w:r w:rsidRPr="003205E0">
              <w:rPr>
                <w:sz w:val="18"/>
                <w:szCs w:val="18"/>
                <w:lang w:val="en-GB" w:eastAsia="zh-CN"/>
              </w:rPr>
              <w:t>22</w:t>
            </w:r>
          </w:p>
        </w:tc>
        <w:tc>
          <w:tcPr>
            <w:tcW w:w="1094" w:type="dxa"/>
            <w:tcBorders>
              <w:top w:val="single" w:sz="6" w:space="0" w:color="auto"/>
              <w:left w:val="single" w:sz="6" w:space="0" w:color="auto"/>
              <w:bottom w:val="single" w:sz="6" w:space="0" w:color="auto"/>
              <w:right w:val="single" w:sz="6" w:space="0" w:color="auto"/>
            </w:tcBorders>
            <w:hideMark/>
          </w:tcPr>
          <w:p w14:paraId="47D16501"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42</w:t>
            </w:r>
          </w:p>
        </w:tc>
        <w:tc>
          <w:tcPr>
            <w:tcW w:w="1274" w:type="dxa"/>
            <w:tcBorders>
              <w:top w:val="single" w:sz="6" w:space="0" w:color="auto"/>
              <w:left w:val="single" w:sz="6" w:space="0" w:color="auto"/>
              <w:bottom w:val="single" w:sz="6" w:space="0" w:color="auto"/>
              <w:right w:val="single" w:sz="6" w:space="0" w:color="auto"/>
            </w:tcBorders>
            <w:hideMark/>
          </w:tcPr>
          <w:p w14:paraId="471CBF5D"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2</w:t>
            </w:r>
          </w:p>
        </w:tc>
        <w:tc>
          <w:tcPr>
            <w:tcW w:w="693" w:type="dxa"/>
            <w:tcBorders>
              <w:top w:val="single" w:sz="6" w:space="0" w:color="auto"/>
              <w:left w:val="single" w:sz="6" w:space="0" w:color="auto"/>
              <w:bottom w:val="single" w:sz="6" w:space="0" w:color="auto"/>
              <w:right w:val="single" w:sz="6" w:space="0" w:color="auto"/>
            </w:tcBorders>
            <w:hideMark/>
          </w:tcPr>
          <w:p w14:paraId="34E6311F"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93" w:type="dxa"/>
            <w:tcBorders>
              <w:top w:val="single" w:sz="6" w:space="0" w:color="auto"/>
              <w:left w:val="single" w:sz="6" w:space="0" w:color="auto"/>
              <w:bottom w:val="single" w:sz="6" w:space="0" w:color="auto"/>
              <w:right w:val="single" w:sz="6" w:space="0" w:color="auto"/>
            </w:tcBorders>
            <w:hideMark/>
          </w:tcPr>
          <w:p w14:paraId="7DF74009"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93" w:type="dxa"/>
            <w:tcBorders>
              <w:top w:val="single" w:sz="6" w:space="0" w:color="auto"/>
              <w:left w:val="single" w:sz="6" w:space="0" w:color="auto"/>
              <w:bottom w:val="single" w:sz="6" w:space="0" w:color="auto"/>
              <w:right w:val="single" w:sz="6" w:space="0" w:color="auto"/>
            </w:tcBorders>
            <w:hideMark/>
          </w:tcPr>
          <w:p w14:paraId="116087F1"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66" w:type="dxa"/>
            <w:tcBorders>
              <w:top w:val="single" w:sz="6" w:space="0" w:color="auto"/>
              <w:left w:val="single" w:sz="6" w:space="0" w:color="auto"/>
              <w:bottom w:val="single" w:sz="6" w:space="0" w:color="auto"/>
              <w:right w:val="single" w:sz="6" w:space="0" w:color="auto"/>
            </w:tcBorders>
            <w:hideMark/>
          </w:tcPr>
          <w:p w14:paraId="3F4BE6F7"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66" w:type="dxa"/>
            <w:tcBorders>
              <w:top w:val="single" w:sz="6" w:space="0" w:color="auto"/>
              <w:left w:val="single" w:sz="6" w:space="0" w:color="auto"/>
              <w:bottom w:val="single" w:sz="6" w:space="0" w:color="auto"/>
              <w:right w:val="single" w:sz="6" w:space="0" w:color="auto"/>
            </w:tcBorders>
            <w:hideMark/>
          </w:tcPr>
          <w:p w14:paraId="5DE87755"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1000" w:type="dxa"/>
            <w:tcBorders>
              <w:top w:val="single" w:sz="6" w:space="0" w:color="auto"/>
              <w:left w:val="single" w:sz="6" w:space="0" w:color="auto"/>
              <w:bottom w:val="single" w:sz="6" w:space="0" w:color="auto"/>
              <w:right w:val="single" w:sz="6" w:space="0" w:color="auto"/>
            </w:tcBorders>
            <w:hideMark/>
          </w:tcPr>
          <w:p w14:paraId="3A36DD68"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846" w:type="dxa"/>
            <w:tcBorders>
              <w:top w:val="single" w:sz="6" w:space="0" w:color="auto"/>
              <w:left w:val="single" w:sz="6" w:space="0" w:color="auto"/>
              <w:bottom w:val="single" w:sz="6" w:space="0" w:color="auto"/>
              <w:right w:val="single" w:sz="6" w:space="0" w:color="auto"/>
            </w:tcBorders>
            <w:hideMark/>
          </w:tcPr>
          <w:p w14:paraId="65D8BD57"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0.01</w:t>
            </w:r>
          </w:p>
        </w:tc>
      </w:tr>
      <w:tr w:rsidR="00E13B55" w:rsidRPr="003205E0" w14:paraId="4D8D7144" w14:textId="77777777" w:rsidTr="007D31A3">
        <w:trPr>
          <w:trHeight w:val="216"/>
          <w:jc w:val="center"/>
        </w:trPr>
        <w:tc>
          <w:tcPr>
            <w:tcW w:w="2235" w:type="dxa"/>
            <w:tcBorders>
              <w:top w:val="single" w:sz="6" w:space="0" w:color="auto"/>
              <w:left w:val="single" w:sz="6" w:space="0" w:color="auto"/>
              <w:bottom w:val="single" w:sz="6" w:space="0" w:color="auto"/>
              <w:right w:val="single" w:sz="6" w:space="0" w:color="auto"/>
            </w:tcBorders>
            <w:hideMark/>
          </w:tcPr>
          <w:p w14:paraId="4A3FF3D3" w14:textId="77777777" w:rsidR="00E13B55" w:rsidRPr="003205E0" w:rsidRDefault="00E13B55" w:rsidP="00CE566B">
            <w:pPr>
              <w:spacing w:before="40" w:after="40"/>
              <w:rPr>
                <w:sz w:val="18"/>
                <w:szCs w:val="18"/>
                <w:lang w:val="en-GB" w:eastAsia="zh-CN"/>
              </w:rPr>
            </w:pPr>
            <w:r w:rsidRPr="003205E0">
              <w:rPr>
                <w:sz w:val="18"/>
                <w:szCs w:val="18"/>
                <w:lang w:val="en-GB" w:eastAsia="zh-CN"/>
              </w:rPr>
              <w:t xml:space="preserve">Garden, </w:t>
            </w:r>
            <w:proofErr w:type="spellStart"/>
            <w:r w:rsidRPr="003205E0">
              <w:rPr>
                <w:sz w:val="18"/>
                <w:szCs w:val="18"/>
                <w:lang w:val="en-GB" w:eastAsia="zh-CN"/>
              </w:rPr>
              <w:t>DeadSea</w:t>
            </w:r>
            <w:proofErr w:type="spellEnd"/>
            <w:r w:rsidRPr="003205E0">
              <w:rPr>
                <w:sz w:val="18"/>
                <w:szCs w:val="18"/>
                <w:lang w:val="en-GB" w:eastAsia="zh-CN"/>
              </w:rPr>
              <w:t xml:space="preserve"> 22</w:t>
            </w:r>
          </w:p>
        </w:tc>
        <w:tc>
          <w:tcPr>
            <w:tcW w:w="1094" w:type="dxa"/>
            <w:tcBorders>
              <w:top w:val="single" w:sz="6" w:space="0" w:color="auto"/>
              <w:left w:val="single" w:sz="6" w:space="0" w:color="auto"/>
              <w:bottom w:val="single" w:sz="6" w:space="0" w:color="auto"/>
              <w:right w:val="single" w:sz="6" w:space="0" w:color="auto"/>
            </w:tcBorders>
            <w:hideMark/>
          </w:tcPr>
          <w:p w14:paraId="1279CB7C"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40</w:t>
            </w:r>
          </w:p>
        </w:tc>
        <w:tc>
          <w:tcPr>
            <w:tcW w:w="1274" w:type="dxa"/>
            <w:tcBorders>
              <w:top w:val="single" w:sz="6" w:space="0" w:color="auto"/>
              <w:left w:val="single" w:sz="6" w:space="0" w:color="auto"/>
              <w:bottom w:val="single" w:sz="6" w:space="0" w:color="auto"/>
              <w:right w:val="single" w:sz="6" w:space="0" w:color="auto"/>
            </w:tcBorders>
            <w:hideMark/>
          </w:tcPr>
          <w:p w14:paraId="658001C0"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6</w:t>
            </w:r>
          </w:p>
        </w:tc>
        <w:tc>
          <w:tcPr>
            <w:tcW w:w="693" w:type="dxa"/>
            <w:tcBorders>
              <w:top w:val="single" w:sz="6" w:space="0" w:color="auto"/>
              <w:left w:val="single" w:sz="6" w:space="0" w:color="auto"/>
              <w:bottom w:val="single" w:sz="6" w:space="0" w:color="auto"/>
              <w:right w:val="single" w:sz="6" w:space="0" w:color="auto"/>
            </w:tcBorders>
            <w:hideMark/>
          </w:tcPr>
          <w:p w14:paraId="7AD01B4E"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0.011</w:t>
            </w:r>
          </w:p>
        </w:tc>
        <w:tc>
          <w:tcPr>
            <w:tcW w:w="693" w:type="dxa"/>
            <w:tcBorders>
              <w:top w:val="single" w:sz="6" w:space="0" w:color="auto"/>
              <w:left w:val="single" w:sz="6" w:space="0" w:color="auto"/>
              <w:bottom w:val="single" w:sz="6" w:space="0" w:color="auto"/>
              <w:right w:val="single" w:sz="6" w:space="0" w:color="auto"/>
            </w:tcBorders>
            <w:hideMark/>
          </w:tcPr>
          <w:p w14:paraId="1CB48982"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93" w:type="dxa"/>
            <w:tcBorders>
              <w:top w:val="single" w:sz="6" w:space="0" w:color="auto"/>
              <w:left w:val="single" w:sz="6" w:space="0" w:color="auto"/>
              <w:bottom w:val="single" w:sz="6" w:space="0" w:color="auto"/>
              <w:right w:val="single" w:sz="6" w:space="0" w:color="auto"/>
            </w:tcBorders>
            <w:hideMark/>
          </w:tcPr>
          <w:p w14:paraId="550BF19A"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0.011</w:t>
            </w:r>
          </w:p>
        </w:tc>
        <w:tc>
          <w:tcPr>
            <w:tcW w:w="666" w:type="dxa"/>
            <w:tcBorders>
              <w:top w:val="single" w:sz="6" w:space="0" w:color="auto"/>
              <w:left w:val="single" w:sz="6" w:space="0" w:color="auto"/>
              <w:bottom w:val="single" w:sz="6" w:space="0" w:color="auto"/>
              <w:right w:val="single" w:sz="6" w:space="0" w:color="auto"/>
            </w:tcBorders>
            <w:hideMark/>
          </w:tcPr>
          <w:p w14:paraId="464095AF"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666" w:type="dxa"/>
            <w:tcBorders>
              <w:top w:val="single" w:sz="6" w:space="0" w:color="auto"/>
              <w:left w:val="single" w:sz="6" w:space="0" w:color="auto"/>
              <w:bottom w:val="single" w:sz="6" w:space="0" w:color="auto"/>
              <w:right w:val="single" w:sz="6" w:space="0" w:color="auto"/>
            </w:tcBorders>
            <w:hideMark/>
          </w:tcPr>
          <w:p w14:paraId="36BB3444"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1000" w:type="dxa"/>
            <w:tcBorders>
              <w:top w:val="single" w:sz="6" w:space="0" w:color="auto"/>
              <w:left w:val="single" w:sz="6" w:space="0" w:color="auto"/>
              <w:bottom w:val="single" w:sz="6" w:space="0" w:color="auto"/>
              <w:right w:val="single" w:sz="6" w:space="0" w:color="auto"/>
            </w:tcBorders>
            <w:hideMark/>
          </w:tcPr>
          <w:p w14:paraId="46D0D870"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w:t>
            </w:r>
          </w:p>
        </w:tc>
        <w:tc>
          <w:tcPr>
            <w:tcW w:w="846" w:type="dxa"/>
            <w:tcBorders>
              <w:top w:val="single" w:sz="6" w:space="0" w:color="auto"/>
              <w:left w:val="single" w:sz="6" w:space="0" w:color="auto"/>
              <w:bottom w:val="single" w:sz="6" w:space="0" w:color="auto"/>
              <w:right w:val="single" w:sz="6" w:space="0" w:color="auto"/>
            </w:tcBorders>
            <w:hideMark/>
          </w:tcPr>
          <w:p w14:paraId="550C2251"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0.01</w:t>
            </w:r>
          </w:p>
        </w:tc>
      </w:tr>
      <w:tr w:rsidR="00E13B55" w:rsidRPr="003205E0" w14:paraId="4D99E232" w14:textId="77777777" w:rsidTr="007D31A3">
        <w:trPr>
          <w:trHeight w:hRule="exact" w:val="57"/>
          <w:jc w:val="center"/>
        </w:trPr>
        <w:tc>
          <w:tcPr>
            <w:tcW w:w="2235" w:type="dxa"/>
            <w:tcBorders>
              <w:top w:val="single" w:sz="6" w:space="0" w:color="auto"/>
              <w:left w:val="single" w:sz="6" w:space="0" w:color="auto"/>
              <w:bottom w:val="single" w:sz="6" w:space="0" w:color="auto"/>
              <w:right w:val="single" w:sz="6" w:space="0" w:color="auto"/>
            </w:tcBorders>
          </w:tcPr>
          <w:p w14:paraId="463F1080" w14:textId="77777777" w:rsidR="00E13B55" w:rsidRPr="003205E0" w:rsidRDefault="00E13B55" w:rsidP="00CE566B">
            <w:pPr>
              <w:spacing w:before="40" w:after="40"/>
              <w:rPr>
                <w:sz w:val="18"/>
                <w:szCs w:val="18"/>
                <w:lang w:val="en-GB" w:eastAsia="zh-CN"/>
              </w:rPr>
            </w:pPr>
          </w:p>
        </w:tc>
        <w:tc>
          <w:tcPr>
            <w:tcW w:w="1094" w:type="dxa"/>
            <w:tcBorders>
              <w:top w:val="single" w:sz="6" w:space="0" w:color="auto"/>
              <w:left w:val="single" w:sz="6" w:space="0" w:color="auto"/>
              <w:bottom w:val="single" w:sz="6" w:space="0" w:color="auto"/>
              <w:right w:val="single" w:sz="6" w:space="0" w:color="auto"/>
            </w:tcBorders>
          </w:tcPr>
          <w:p w14:paraId="7C68CD52" w14:textId="77777777" w:rsidR="00E13B55" w:rsidRPr="003205E0" w:rsidRDefault="00E13B55" w:rsidP="007D31A3">
            <w:pPr>
              <w:spacing w:before="40" w:after="40"/>
              <w:jc w:val="center"/>
              <w:rPr>
                <w:sz w:val="18"/>
                <w:szCs w:val="18"/>
                <w:lang w:val="en-GB" w:eastAsia="zh-CN"/>
              </w:rPr>
            </w:pPr>
          </w:p>
        </w:tc>
        <w:tc>
          <w:tcPr>
            <w:tcW w:w="1274" w:type="dxa"/>
            <w:tcBorders>
              <w:top w:val="single" w:sz="6" w:space="0" w:color="auto"/>
              <w:left w:val="single" w:sz="6" w:space="0" w:color="auto"/>
              <w:bottom w:val="single" w:sz="6" w:space="0" w:color="auto"/>
              <w:right w:val="single" w:sz="6" w:space="0" w:color="auto"/>
            </w:tcBorders>
          </w:tcPr>
          <w:p w14:paraId="5B99C649" w14:textId="77777777" w:rsidR="00E13B55" w:rsidRPr="003205E0" w:rsidRDefault="00E13B55" w:rsidP="007D31A3">
            <w:pPr>
              <w:spacing w:before="40" w:after="40"/>
              <w:jc w:val="center"/>
              <w:rPr>
                <w:sz w:val="18"/>
                <w:szCs w:val="18"/>
                <w:lang w:val="en-GB" w:eastAsia="zh-CN"/>
              </w:rPr>
            </w:pPr>
          </w:p>
        </w:tc>
        <w:tc>
          <w:tcPr>
            <w:tcW w:w="693" w:type="dxa"/>
            <w:tcBorders>
              <w:top w:val="single" w:sz="6" w:space="0" w:color="auto"/>
              <w:left w:val="single" w:sz="6" w:space="0" w:color="auto"/>
              <w:bottom w:val="single" w:sz="6" w:space="0" w:color="auto"/>
              <w:right w:val="single" w:sz="6" w:space="0" w:color="auto"/>
            </w:tcBorders>
          </w:tcPr>
          <w:p w14:paraId="3558D655" w14:textId="77777777" w:rsidR="00E13B55" w:rsidRPr="003205E0" w:rsidRDefault="00E13B55" w:rsidP="007D31A3">
            <w:pPr>
              <w:spacing w:before="40" w:after="40"/>
              <w:jc w:val="center"/>
              <w:rPr>
                <w:sz w:val="18"/>
                <w:szCs w:val="18"/>
                <w:lang w:val="en-GB" w:eastAsia="zh-CN"/>
              </w:rPr>
            </w:pPr>
          </w:p>
        </w:tc>
        <w:tc>
          <w:tcPr>
            <w:tcW w:w="693" w:type="dxa"/>
            <w:tcBorders>
              <w:top w:val="single" w:sz="6" w:space="0" w:color="auto"/>
              <w:left w:val="single" w:sz="6" w:space="0" w:color="auto"/>
              <w:bottom w:val="single" w:sz="6" w:space="0" w:color="auto"/>
              <w:right w:val="single" w:sz="6" w:space="0" w:color="auto"/>
            </w:tcBorders>
          </w:tcPr>
          <w:p w14:paraId="2C233F5D" w14:textId="77777777" w:rsidR="00E13B55" w:rsidRPr="003205E0" w:rsidRDefault="00E13B55" w:rsidP="007D31A3">
            <w:pPr>
              <w:spacing w:before="40" w:after="40"/>
              <w:jc w:val="center"/>
              <w:rPr>
                <w:sz w:val="18"/>
                <w:szCs w:val="18"/>
                <w:lang w:val="en-GB" w:eastAsia="zh-CN"/>
              </w:rPr>
            </w:pPr>
          </w:p>
        </w:tc>
        <w:tc>
          <w:tcPr>
            <w:tcW w:w="693" w:type="dxa"/>
            <w:tcBorders>
              <w:top w:val="single" w:sz="6" w:space="0" w:color="auto"/>
              <w:left w:val="single" w:sz="6" w:space="0" w:color="auto"/>
              <w:bottom w:val="single" w:sz="6" w:space="0" w:color="auto"/>
              <w:right w:val="single" w:sz="6" w:space="0" w:color="auto"/>
            </w:tcBorders>
          </w:tcPr>
          <w:p w14:paraId="5F42AD5F" w14:textId="77777777" w:rsidR="00E13B55" w:rsidRPr="003205E0" w:rsidRDefault="00E13B55" w:rsidP="007D31A3">
            <w:pPr>
              <w:spacing w:before="40" w:after="40"/>
              <w:jc w:val="center"/>
              <w:rPr>
                <w:sz w:val="18"/>
                <w:szCs w:val="18"/>
                <w:lang w:val="en-GB" w:eastAsia="zh-CN"/>
              </w:rPr>
            </w:pPr>
          </w:p>
        </w:tc>
        <w:tc>
          <w:tcPr>
            <w:tcW w:w="666" w:type="dxa"/>
            <w:tcBorders>
              <w:top w:val="single" w:sz="6" w:space="0" w:color="auto"/>
              <w:left w:val="single" w:sz="6" w:space="0" w:color="auto"/>
              <w:bottom w:val="single" w:sz="6" w:space="0" w:color="auto"/>
              <w:right w:val="single" w:sz="6" w:space="0" w:color="auto"/>
            </w:tcBorders>
          </w:tcPr>
          <w:p w14:paraId="1C020682" w14:textId="77777777" w:rsidR="00E13B55" w:rsidRPr="003205E0" w:rsidRDefault="00E13B55" w:rsidP="007D31A3">
            <w:pPr>
              <w:spacing w:before="40" w:after="40"/>
              <w:jc w:val="center"/>
              <w:rPr>
                <w:sz w:val="18"/>
                <w:szCs w:val="18"/>
                <w:lang w:val="en-GB" w:eastAsia="zh-CN"/>
              </w:rPr>
            </w:pPr>
          </w:p>
        </w:tc>
        <w:tc>
          <w:tcPr>
            <w:tcW w:w="666" w:type="dxa"/>
            <w:tcBorders>
              <w:top w:val="single" w:sz="6" w:space="0" w:color="auto"/>
              <w:left w:val="single" w:sz="6" w:space="0" w:color="auto"/>
              <w:bottom w:val="single" w:sz="6" w:space="0" w:color="auto"/>
              <w:right w:val="single" w:sz="6" w:space="0" w:color="auto"/>
            </w:tcBorders>
          </w:tcPr>
          <w:p w14:paraId="14C05969" w14:textId="77777777" w:rsidR="00E13B55" w:rsidRPr="003205E0" w:rsidRDefault="00E13B55" w:rsidP="007D31A3">
            <w:pPr>
              <w:spacing w:before="40" w:after="40"/>
              <w:jc w:val="center"/>
              <w:rPr>
                <w:sz w:val="18"/>
                <w:szCs w:val="18"/>
                <w:lang w:val="en-GB" w:eastAsia="zh-CN"/>
              </w:rPr>
            </w:pPr>
          </w:p>
        </w:tc>
        <w:tc>
          <w:tcPr>
            <w:tcW w:w="1000" w:type="dxa"/>
            <w:tcBorders>
              <w:top w:val="single" w:sz="6" w:space="0" w:color="auto"/>
              <w:left w:val="single" w:sz="6" w:space="0" w:color="auto"/>
              <w:bottom w:val="single" w:sz="6" w:space="0" w:color="auto"/>
              <w:right w:val="single" w:sz="6" w:space="0" w:color="auto"/>
            </w:tcBorders>
          </w:tcPr>
          <w:p w14:paraId="3232BCC1" w14:textId="77777777" w:rsidR="00E13B55" w:rsidRPr="003205E0" w:rsidRDefault="00E13B55" w:rsidP="007D31A3">
            <w:pPr>
              <w:spacing w:before="40" w:after="40"/>
              <w:jc w:val="center"/>
              <w:rPr>
                <w:sz w:val="18"/>
                <w:szCs w:val="18"/>
                <w:lang w:val="en-GB" w:eastAsia="zh-CN"/>
              </w:rPr>
            </w:pPr>
          </w:p>
        </w:tc>
        <w:tc>
          <w:tcPr>
            <w:tcW w:w="846" w:type="dxa"/>
            <w:tcBorders>
              <w:top w:val="single" w:sz="6" w:space="0" w:color="auto"/>
              <w:left w:val="single" w:sz="6" w:space="0" w:color="auto"/>
              <w:bottom w:val="single" w:sz="6" w:space="0" w:color="auto"/>
              <w:right w:val="single" w:sz="6" w:space="0" w:color="auto"/>
            </w:tcBorders>
          </w:tcPr>
          <w:p w14:paraId="5F800703" w14:textId="77777777" w:rsidR="00E13B55" w:rsidRPr="003205E0" w:rsidRDefault="00E13B55" w:rsidP="007D31A3">
            <w:pPr>
              <w:spacing w:before="40" w:after="40"/>
              <w:jc w:val="center"/>
              <w:rPr>
                <w:sz w:val="18"/>
                <w:szCs w:val="18"/>
                <w:lang w:val="en-GB" w:eastAsia="zh-CN"/>
              </w:rPr>
            </w:pPr>
          </w:p>
        </w:tc>
      </w:tr>
      <w:bookmarkStart w:id="164" w:name="_Hlk78845774"/>
      <w:tr w:rsidR="00E13B55" w:rsidRPr="003205E0" w14:paraId="3207FDCB" w14:textId="77777777" w:rsidTr="007D31A3">
        <w:trPr>
          <w:trHeight w:val="216"/>
          <w:jc w:val="center"/>
        </w:trPr>
        <w:tc>
          <w:tcPr>
            <w:tcW w:w="2235" w:type="dxa"/>
            <w:vMerge w:val="restart"/>
            <w:tcBorders>
              <w:top w:val="single" w:sz="6" w:space="0" w:color="auto"/>
              <w:left w:val="single" w:sz="6" w:space="0" w:color="auto"/>
              <w:bottom w:val="single" w:sz="6" w:space="0" w:color="auto"/>
              <w:right w:val="single" w:sz="6" w:space="0" w:color="auto"/>
            </w:tcBorders>
            <w:vAlign w:val="center"/>
            <w:hideMark/>
          </w:tcPr>
          <w:p w14:paraId="2387656B" w14:textId="77777777" w:rsidR="00E13B55" w:rsidRPr="003205E0" w:rsidRDefault="00E13B55" w:rsidP="00E13B55">
            <w:pPr>
              <w:spacing w:before="40" w:after="40"/>
              <w:jc w:val="left"/>
              <w:rPr>
                <w:sz w:val="18"/>
                <w:szCs w:val="18"/>
                <w:lang w:val="en-GB" w:eastAsia="zh-CN"/>
              </w:rPr>
            </w:pPr>
            <w:r w:rsidRPr="003205E0">
              <w:rPr>
                <w:sz w:val="18"/>
                <w:szCs w:val="18"/>
                <w:lang w:val="en-GB" w:eastAsia="zh-CN"/>
              </w:rPr>
              <w:fldChar w:fldCharType="begin"/>
            </w:r>
            <w:r w:rsidRPr="003205E0">
              <w:rPr>
                <w:sz w:val="18"/>
                <w:szCs w:val="18"/>
                <w:lang w:val="en-GB" w:eastAsia="zh-CN"/>
              </w:rPr>
              <w:instrText xml:space="preserve"> HYPERLINK "https://www.icnirp.org/cms/upload/publications/ICNIRPrfgdl2020.pdf" </w:instrText>
            </w:r>
            <w:r w:rsidRPr="003205E0">
              <w:rPr>
                <w:sz w:val="18"/>
                <w:szCs w:val="18"/>
                <w:lang w:val="en-GB" w:eastAsia="zh-CN"/>
              </w:rPr>
              <w:fldChar w:fldCharType="separate"/>
            </w:r>
            <w:r w:rsidRPr="003205E0">
              <w:rPr>
                <w:rStyle w:val="Hyperlink"/>
                <w:sz w:val="18"/>
                <w:szCs w:val="18"/>
                <w:lang w:val="en-GB" w:eastAsia="zh-CN"/>
              </w:rPr>
              <w:t>ICNIRP 2020</w:t>
            </w:r>
            <w:r w:rsidRPr="003205E0">
              <w:rPr>
                <w:sz w:val="18"/>
                <w:szCs w:val="18"/>
                <w:lang w:val="en-GB" w:eastAsia="zh-CN"/>
              </w:rPr>
              <w:fldChar w:fldCharType="end"/>
            </w:r>
            <w:r w:rsidRPr="003205E0">
              <w:rPr>
                <w:sz w:val="18"/>
                <w:szCs w:val="18"/>
                <w:lang w:val="en-GB" w:eastAsia="zh-CN"/>
              </w:rPr>
              <w:t xml:space="preserve"> Guidelines, Table 5</w:t>
            </w:r>
          </w:p>
        </w:tc>
        <w:tc>
          <w:tcPr>
            <w:tcW w:w="2368" w:type="dxa"/>
            <w:gridSpan w:val="2"/>
            <w:tcBorders>
              <w:top w:val="single" w:sz="6" w:space="0" w:color="auto"/>
              <w:left w:val="single" w:sz="6" w:space="0" w:color="auto"/>
              <w:bottom w:val="single" w:sz="6" w:space="0" w:color="auto"/>
              <w:right w:val="single" w:sz="6" w:space="0" w:color="auto"/>
            </w:tcBorders>
            <w:vAlign w:val="center"/>
            <w:hideMark/>
          </w:tcPr>
          <w:p w14:paraId="1C4A77C4" w14:textId="77777777" w:rsidR="00E13B55" w:rsidRPr="003205E0" w:rsidRDefault="00E13B55" w:rsidP="007D31A3">
            <w:pPr>
              <w:spacing w:before="40" w:after="40"/>
              <w:jc w:val="center"/>
              <w:rPr>
                <w:sz w:val="18"/>
                <w:szCs w:val="18"/>
                <w:lang w:val="en-GB" w:eastAsia="zh-CN"/>
              </w:rPr>
            </w:pPr>
            <w:r w:rsidRPr="003205E0">
              <w:rPr>
                <w:sz w:val="18"/>
                <w:szCs w:val="18"/>
                <w:u w:val="single"/>
                <w:lang w:val="en-GB" w:eastAsia="zh-CN"/>
              </w:rPr>
              <w:t>Occupational</w:t>
            </w:r>
            <w:r w:rsidRPr="003205E0">
              <w:rPr>
                <w:sz w:val="18"/>
                <w:szCs w:val="18"/>
                <w:lang w:val="en-GB" w:eastAsia="zh-CN"/>
              </w:rPr>
              <w:t xml:space="preserve"> </w:t>
            </w:r>
            <w:r w:rsidRPr="003205E0">
              <w:rPr>
                <w:sz w:val="18"/>
                <w:szCs w:val="18"/>
                <w:lang w:val="en-GB" w:eastAsia="zh-CN"/>
              </w:rPr>
              <w:br/>
              <w:t>RF in MHz</w:t>
            </w:r>
          </w:p>
        </w:tc>
        <w:tc>
          <w:tcPr>
            <w:tcW w:w="693" w:type="dxa"/>
            <w:tcBorders>
              <w:top w:val="single" w:sz="6" w:space="0" w:color="auto"/>
              <w:left w:val="single" w:sz="6" w:space="0" w:color="auto"/>
              <w:bottom w:val="single" w:sz="6" w:space="0" w:color="auto"/>
              <w:right w:val="single" w:sz="6" w:space="0" w:color="auto"/>
            </w:tcBorders>
            <w:hideMark/>
          </w:tcPr>
          <w:p w14:paraId="6FE14F06" w14:textId="77777777" w:rsidR="00E13B55" w:rsidRPr="003205E0" w:rsidRDefault="00E13B55" w:rsidP="007D31A3">
            <w:pPr>
              <w:spacing w:before="40" w:after="40"/>
              <w:jc w:val="center"/>
              <w:rPr>
                <w:sz w:val="18"/>
                <w:szCs w:val="18"/>
                <w:vertAlign w:val="subscript"/>
                <w:lang w:val="en-GB" w:eastAsia="zh-CN"/>
              </w:rPr>
            </w:pPr>
            <w:r w:rsidRPr="003205E0">
              <w:rPr>
                <w:sz w:val="18"/>
                <w:szCs w:val="18"/>
                <w:lang w:val="en-GB" w:eastAsia="zh-CN"/>
              </w:rPr>
              <w:t>4.9/</w:t>
            </w:r>
            <w:proofErr w:type="spellStart"/>
            <w:r w:rsidRPr="003205E0">
              <w:rPr>
                <w:i/>
                <w:sz w:val="18"/>
                <w:szCs w:val="18"/>
                <w:lang w:val="en-GB" w:eastAsia="zh-CN"/>
              </w:rPr>
              <w:t>f</w:t>
            </w:r>
            <w:r w:rsidRPr="003205E0">
              <w:rPr>
                <w:sz w:val="18"/>
                <w:szCs w:val="18"/>
                <w:vertAlign w:val="subscript"/>
                <w:lang w:val="en-GB" w:eastAsia="zh-CN"/>
              </w:rPr>
              <w:t>M</w:t>
            </w:r>
            <w:proofErr w:type="spellEnd"/>
          </w:p>
          <w:p w14:paraId="31A19B8E"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=0.35</w:t>
            </w:r>
          </w:p>
        </w:tc>
        <w:tc>
          <w:tcPr>
            <w:tcW w:w="693" w:type="dxa"/>
            <w:tcBorders>
              <w:top w:val="single" w:sz="6" w:space="0" w:color="auto"/>
              <w:left w:val="single" w:sz="6" w:space="0" w:color="auto"/>
              <w:bottom w:val="single" w:sz="6" w:space="0" w:color="auto"/>
              <w:right w:val="single" w:sz="6" w:space="0" w:color="auto"/>
            </w:tcBorders>
            <w:hideMark/>
          </w:tcPr>
          <w:p w14:paraId="1FD97286" w14:textId="77777777" w:rsidR="00E13B55" w:rsidRPr="003205E0" w:rsidRDefault="00E13B55" w:rsidP="007D31A3">
            <w:pPr>
              <w:spacing w:before="40" w:after="40"/>
              <w:jc w:val="center"/>
              <w:rPr>
                <w:sz w:val="18"/>
                <w:szCs w:val="18"/>
                <w:vertAlign w:val="subscript"/>
                <w:lang w:val="en-GB" w:eastAsia="zh-CN"/>
              </w:rPr>
            </w:pPr>
            <w:r w:rsidRPr="003205E0">
              <w:rPr>
                <w:sz w:val="18"/>
                <w:szCs w:val="18"/>
                <w:lang w:val="en-GB" w:eastAsia="zh-CN"/>
              </w:rPr>
              <w:t>4.9/</w:t>
            </w:r>
            <w:proofErr w:type="spellStart"/>
            <w:r w:rsidRPr="003205E0">
              <w:rPr>
                <w:i/>
                <w:sz w:val="18"/>
                <w:szCs w:val="18"/>
                <w:lang w:val="en-GB" w:eastAsia="zh-CN"/>
              </w:rPr>
              <w:t>f</w:t>
            </w:r>
            <w:r w:rsidRPr="003205E0">
              <w:rPr>
                <w:sz w:val="18"/>
                <w:szCs w:val="18"/>
                <w:vertAlign w:val="subscript"/>
                <w:lang w:val="en-GB" w:eastAsia="zh-CN"/>
              </w:rPr>
              <w:t>M</w:t>
            </w:r>
            <w:proofErr w:type="spellEnd"/>
          </w:p>
          <w:p w14:paraId="740B53A5"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=0.2</w:t>
            </w:r>
          </w:p>
        </w:tc>
        <w:tc>
          <w:tcPr>
            <w:tcW w:w="693" w:type="dxa"/>
            <w:tcBorders>
              <w:top w:val="single" w:sz="6" w:space="0" w:color="auto"/>
              <w:left w:val="single" w:sz="6" w:space="0" w:color="auto"/>
              <w:bottom w:val="single" w:sz="6" w:space="0" w:color="auto"/>
              <w:right w:val="single" w:sz="6" w:space="0" w:color="auto"/>
            </w:tcBorders>
            <w:hideMark/>
          </w:tcPr>
          <w:p w14:paraId="7194E064" w14:textId="77777777" w:rsidR="00E13B55" w:rsidRPr="003205E0" w:rsidRDefault="00E13B55" w:rsidP="007D31A3">
            <w:pPr>
              <w:spacing w:before="40" w:after="40"/>
              <w:jc w:val="center"/>
              <w:rPr>
                <w:sz w:val="18"/>
                <w:szCs w:val="18"/>
                <w:vertAlign w:val="subscript"/>
                <w:lang w:val="en-GB" w:eastAsia="zh-CN"/>
              </w:rPr>
            </w:pPr>
            <w:r w:rsidRPr="003205E0">
              <w:rPr>
                <w:sz w:val="18"/>
                <w:szCs w:val="18"/>
                <w:lang w:val="en-GB" w:eastAsia="zh-CN"/>
              </w:rPr>
              <w:t>4.9/</w:t>
            </w:r>
            <w:proofErr w:type="spellStart"/>
            <w:r w:rsidRPr="003205E0">
              <w:rPr>
                <w:i/>
                <w:sz w:val="18"/>
                <w:szCs w:val="18"/>
                <w:lang w:val="en-GB" w:eastAsia="zh-CN"/>
              </w:rPr>
              <w:t>f</w:t>
            </w:r>
            <w:r w:rsidRPr="003205E0">
              <w:rPr>
                <w:sz w:val="18"/>
                <w:szCs w:val="18"/>
                <w:vertAlign w:val="subscript"/>
                <w:lang w:val="en-GB" w:eastAsia="zh-CN"/>
              </w:rPr>
              <w:t>M</w:t>
            </w:r>
            <w:proofErr w:type="spellEnd"/>
          </w:p>
          <w:p w14:paraId="77715B7A"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=0.2</w:t>
            </w:r>
          </w:p>
        </w:tc>
        <w:tc>
          <w:tcPr>
            <w:tcW w:w="1332" w:type="dxa"/>
            <w:gridSpan w:val="2"/>
            <w:tcBorders>
              <w:top w:val="single" w:sz="6" w:space="0" w:color="auto"/>
              <w:left w:val="single" w:sz="6" w:space="0" w:color="auto"/>
              <w:bottom w:val="single" w:sz="6" w:space="0" w:color="auto"/>
              <w:right w:val="single" w:sz="6" w:space="0" w:color="auto"/>
            </w:tcBorders>
            <w:hideMark/>
          </w:tcPr>
          <w:p w14:paraId="52CF60F6"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0.16</w:t>
            </w:r>
          </w:p>
        </w:tc>
        <w:tc>
          <w:tcPr>
            <w:tcW w:w="1000" w:type="dxa"/>
            <w:tcBorders>
              <w:top w:val="single" w:sz="6" w:space="0" w:color="auto"/>
              <w:left w:val="single" w:sz="6" w:space="0" w:color="auto"/>
              <w:bottom w:val="single" w:sz="6" w:space="0" w:color="auto"/>
              <w:right w:val="single" w:sz="6" w:space="0" w:color="auto"/>
            </w:tcBorders>
            <w:hideMark/>
          </w:tcPr>
          <w:p w14:paraId="78C7B121" w14:textId="77777777" w:rsidR="00E13B55" w:rsidRPr="003205E0" w:rsidRDefault="00E13B55" w:rsidP="007D31A3">
            <w:pPr>
              <w:spacing w:before="40" w:after="40"/>
              <w:jc w:val="center"/>
              <w:rPr>
                <w:sz w:val="18"/>
                <w:szCs w:val="18"/>
                <w:vertAlign w:val="superscript"/>
                <w:lang w:val="en-GB" w:eastAsia="zh-CN"/>
              </w:rPr>
            </w:pPr>
            <w:r w:rsidRPr="003205E0">
              <w:rPr>
                <w:sz w:val="18"/>
                <w:szCs w:val="18"/>
                <w:lang w:val="en-GB" w:eastAsia="zh-CN"/>
              </w:rPr>
              <w:t>0.008</w:t>
            </w:r>
            <w:r w:rsidRPr="003205E0">
              <w:rPr>
                <w:i/>
                <w:sz w:val="18"/>
                <w:szCs w:val="18"/>
                <w:lang w:val="en-GB" w:eastAsia="zh-CN"/>
              </w:rPr>
              <w:t>f</w:t>
            </w:r>
            <w:r w:rsidRPr="003205E0">
              <w:rPr>
                <w:sz w:val="18"/>
                <w:szCs w:val="18"/>
                <w:vertAlign w:val="subscript"/>
                <w:lang w:val="en-GB" w:eastAsia="zh-CN"/>
              </w:rPr>
              <w:t>M</w:t>
            </w:r>
            <w:r w:rsidRPr="003205E0">
              <w:rPr>
                <w:sz w:val="18"/>
                <w:szCs w:val="18"/>
                <w:vertAlign w:val="superscript"/>
                <w:lang w:val="en-GB" w:eastAsia="zh-CN"/>
              </w:rPr>
              <w:t>0.5</w:t>
            </w:r>
          </w:p>
          <w:p w14:paraId="1FE3312E"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=0.2</w:t>
            </w:r>
          </w:p>
        </w:tc>
        <w:tc>
          <w:tcPr>
            <w:tcW w:w="846" w:type="dxa"/>
            <w:tcBorders>
              <w:top w:val="single" w:sz="6" w:space="0" w:color="auto"/>
              <w:left w:val="single" w:sz="6" w:space="0" w:color="auto"/>
              <w:bottom w:val="single" w:sz="6" w:space="0" w:color="auto"/>
              <w:right w:val="single" w:sz="6" w:space="0" w:color="auto"/>
            </w:tcBorders>
          </w:tcPr>
          <w:p w14:paraId="69E284A8" w14:textId="77777777" w:rsidR="00E13B55" w:rsidRPr="003205E0" w:rsidRDefault="00E13B55" w:rsidP="007D31A3">
            <w:pPr>
              <w:spacing w:before="40" w:after="40"/>
              <w:jc w:val="center"/>
              <w:rPr>
                <w:sz w:val="18"/>
                <w:szCs w:val="18"/>
                <w:lang w:val="en-GB" w:eastAsia="zh-CN"/>
              </w:rPr>
            </w:pPr>
          </w:p>
        </w:tc>
      </w:tr>
      <w:tr w:rsidR="00E13B55" w:rsidRPr="003205E0" w14:paraId="522F6851" w14:textId="77777777" w:rsidTr="007D31A3">
        <w:trPr>
          <w:trHeight w:val="216"/>
          <w:jc w:val="center"/>
        </w:trPr>
        <w:tc>
          <w:tcPr>
            <w:tcW w:w="2235" w:type="dxa"/>
            <w:vMerge/>
            <w:tcBorders>
              <w:top w:val="single" w:sz="6" w:space="0" w:color="auto"/>
              <w:left w:val="single" w:sz="6" w:space="0" w:color="auto"/>
              <w:bottom w:val="single" w:sz="6" w:space="0" w:color="auto"/>
              <w:right w:val="single" w:sz="6" w:space="0" w:color="auto"/>
            </w:tcBorders>
            <w:vAlign w:val="center"/>
            <w:hideMark/>
          </w:tcPr>
          <w:p w14:paraId="77A029A3" w14:textId="77777777" w:rsidR="00E13B55" w:rsidRPr="003205E0" w:rsidRDefault="00E13B55" w:rsidP="00CE566B">
            <w:pPr>
              <w:overflowPunct/>
              <w:autoSpaceDE/>
              <w:autoSpaceDN/>
              <w:adjustRightInd/>
              <w:spacing w:before="40" w:after="40"/>
              <w:rPr>
                <w:sz w:val="18"/>
                <w:szCs w:val="18"/>
                <w:lang w:val="en-GB" w:eastAsia="zh-CN"/>
              </w:rPr>
            </w:pPr>
          </w:p>
        </w:tc>
        <w:tc>
          <w:tcPr>
            <w:tcW w:w="2368" w:type="dxa"/>
            <w:gridSpan w:val="2"/>
            <w:tcBorders>
              <w:top w:val="single" w:sz="6" w:space="0" w:color="auto"/>
              <w:left w:val="single" w:sz="6" w:space="0" w:color="auto"/>
              <w:bottom w:val="single" w:sz="6" w:space="0" w:color="auto"/>
              <w:right w:val="single" w:sz="6" w:space="0" w:color="auto"/>
            </w:tcBorders>
            <w:vAlign w:val="center"/>
            <w:hideMark/>
          </w:tcPr>
          <w:p w14:paraId="566A4AB3" w14:textId="77777777" w:rsidR="00E13B55" w:rsidRPr="003205E0" w:rsidRDefault="00E13B55" w:rsidP="007D31A3">
            <w:pPr>
              <w:spacing w:before="40" w:after="40"/>
              <w:jc w:val="center"/>
              <w:rPr>
                <w:sz w:val="18"/>
                <w:szCs w:val="18"/>
                <w:lang w:val="en-GB" w:eastAsia="zh-CN"/>
              </w:rPr>
            </w:pPr>
            <w:r w:rsidRPr="003205E0">
              <w:rPr>
                <w:sz w:val="18"/>
                <w:szCs w:val="18"/>
                <w:u w:val="single"/>
                <w:lang w:val="en-GB" w:eastAsia="zh-CN"/>
              </w:rPr>
              <w:t>General Public</w:t>
            </w:r>
            <w:r w:rsidRPr="003205E0">
              <w:rPr>
                <w:sz w:val="18"/>
                <w:szCs w:val="18"/>
                <w:lang w:val="en-GB" w:eastAsia="zh-CN"/>
              </w:rPr>
              <w:t xml:space="preserve"> </w:t>
            </w:r>
            <w:r w:rsidRPr="003205E0">
              <w:rPr>
                <w:sz w:val="18"/>
                <w:szCs w:val="18"/>
                <w:lang w:val="en-GB" w:eastAsia="zh-CN"/>
              </w:rPr>
              <w:br/>
              <w:t>RF in MHz</w:t>
            </w:r>
          </w:p>
        </w:tc>
        <w:tc>
          <w:tcPr>
            <w:tcW w:w="693" w:type="dxa"/>
            <w:tcBorders>
              <w:top w:val="single" w:sz="6" w:space="0" w:color="auto"/>
              <w:left w:val="single" w:sz="6" w:space="0" w:color="auto"/>
              <w:bottom w:val="single" w:sz="6" w:space="0" w:color="auto"/>
              <w:right w:val="single" w:sz="6" w:space="0" w:color="auto"/>
            </w:tcBorders>
            <w:hideMark/>
          </w:tcPr>
          <w:p w14:paraId="46C091DD" w14:textId="77777777" w:rsidR="00E13B55" w:rsidRPr="003205E0" w:rsidRDefault="00E13B55" w:rsidP="007D31A3">
            <w:pPr>
              <w:spacing w:before="40" w:after="40"/>
              <w:jc w:val="center"/>
              <w:rPr>
                <w:sz w:val="18"/>
                <w:szCs w:val="18"/>
                <w:vertAlign w:val="subscript"/>
                <w:lang w:val="en-GB" w:eastAsia="zh-CN"/>
              </w:rPr>
            </w:pPr>
            <w:r w:rsidRPr="003205E0">
              <w:rPr>
                <w:sz w:val="18"/>
                <w:szCs w:val="18"/>
                <w:lang w:val="en-GB" w:eastAsia="zh-CN"/>
              </w:rPr>
              <w:t>2.2/</w:t>
            </w:r>
            <w:proofErr w:type="spellStart"/>
            <w:r w:rsidRPr="003205E0">
              <w:rPr>
                <w:i/>
                <w:sz w:val="18"/>
                <w:szCs w:val="18"/>
                <w:lang w:val="en-GB" w:eastAsia="zh-CN"/>
              </w:rPr>
              <w:t>f</w:t>
            </w:r>
            <w:r w:rsidRPr="003205E0">
              <w:rPr>
                <w:sz w:val="18"/>
                <w:szCs w:val="18"/>
                <w:vertAlign w:val="subscript"/>
                <w:lang w:val="en-GB" w:eastAsia="zh-CN"/>
              </w:rPr>
              <w:t>M</w:t>
            </w:r>
            <w:proofErr w:type="spellEnd"/>
          </w:p>
          <w:p w14:paraId="64A8A725"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=0.16</w:t>
            </w:r>
          </w:p>
        </w:tc>
        <w:tc>
          <w:tcPr>
            <w:tcW w:w="693" w:type="dxa"/>
            <w:tcBorders>
              <w:top w:val="single" w:sz="6" w:space="0" w:color="auto"/>
              <w:left w:val="single" w:sz="6" w:space="0" w:color="auto"/>
              <w:bottom w:val="single" w:sz="6" w:space="0" w:color="auto"/>
              <w:right w:val="single" w:sz="6" w:space="0" w:color="auto"/>
            </w:tcBorders>
            <w:hideMark/>
          </w:tcPr>
          <w:p w14:paraId="35212ACE" w14:textId="77777777" w:rsidR="00E13B55" w:rsidRPr="003205E0" w:rsidRDefault="00E13B55" w:rsidP="007D31A3">
            <w:pPr>
              <w:spacing w:before="40" w:after="40"/>
              <w:jc w:val="center"/>
              <w:rPr>
                <w:sz w:val="18"/>
                <w:szCs w:val="18"/>
                <w:vertAlign w:val="subscript"/>
                <w:lang w:val="en-GB" w:eastAsia="zh-CN"/>
              </w:rPr>
            </w:pPr>
            <w:r w:rsidRPr="003205E0">
              <w:rPr>
                <w:sz w:val="18"/>
                <w:szCs w:val="18"/>
                <w:lang w:val="en-GB" w:eastAsia="zh-CN"/>
              </w:rPr>
              <w:t>2.2/</w:t>
            </w:r>
            <w:proofErr w:type="spellStart"/>
            <w:r w:rsidRPr="003205E0">
              <w:rPr>
                <w:i/>
                <w:sz w:val="18"/>
                <w:szCs w:val="18"/>
                <w:lang w:val="en-GB" w:eastAsia="zh-CN"/>
              </w:rPr>
              <w:t>f</w:t>
            </w:r>
            <w:r w:rsidRPr="003205E0">
              <w:rPr>
                <w:sz w:val="18"/>
                <w:szCs w:val="18"/>
                <w:vertAlign w:val="subscript"/>
                <w:lang w:val="en-GB" w:eastAsia="zh-CN"/>
              </w:rPr>
              <w:t>M</w:t>
            </w:r>
            <w:proofErr w:type="spellEnd"/>
          </w:p>
          <w:p w14:paraId="5473FE0C"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=0.1</w:t>
            </w:r>
          </w:p>
        </w:tc>
        <w:tc>
          <w:tcPr>
            <w:tcW w:w="693" w:type="dxa"/>
            <w:tcBorders>
              <w:top w:val="single" w:sz="6" w:space="0" w:color="auto"/>
              <w:left w:val="single" w:sz="6" w:space="0" w:color="auto"/>
              <w:bottom w:val="single" w:sz="6" w:space="0" w:color="auto"/>
              <w:right w:val="single" w:sz="6" w:space="0" w:color="auto"/>
            </w:tcBorders>
            <w:hideMark/>
          </w:tcPr>
          <w:p w14:paraId="00E5EAB4" w14:textId="77777777" w:rsidR="00E13B55" w:rsidRPr="003205E0" w:rsidRDefault="00E13B55" w:rsidP="007D31A3">
            <w:pPr>
              <w:spacing w:before="40" w:after="40"/>
              <w:jc w:val="center"/>
              <w:rPr>
                <w:sz w:val="18"/>
                <w:szCs w:val="18"/>
                <w:vertAlign w:val="subscript"/>
                <w:lang w:val="en-GB" w:eastAsia="zh-CN"/>
              </w:rPr>
            </w:pPr>
            <w:r w:rsidRPr="003205E0">
              <w:rPr>
                <w:sz w:val="18"/>
                <w:szCs w:val="18"/>
                <w:lang w:val="en-GB" w:eastAsia="zh-CN"/>
              </w:rPr>
              <w:t>2.2/</w:t>
            </w:r>
            <w:proofErr w:type="spellStart"/>
            <w:r w:rsidRPr="003205E0">
              <w:rPr>
                <w:i/>
                <w:sz w:val="18"/>
                <w:szCs w:val="18"/>
                <w:lang w:val="en-GB" w:eastAsia="zh-CN"/>
              </w:rPr>
              <w:t>f</w:t>
            </w:r>
            <w:r w:rsidRPr="003205E0">
              <w:rPr>
                <w:sz w:val="18"/>
                <w:szCs w:val="18"/>
                <w:vertAlign w:val="subscript"/>
                <w:lang w:val="en-GB" w:eastAsia="zh-CN"/>
              </w:rPr>
              <w:t>M</w:t>
            </w:r>
            <w:proofErr w:type="spellEnd"/>
          </w:p>
          <w:p w14:paraId="0F69B4CA"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=0.08</w:t>
            </w:r>
          </w:p>
        </w:tc>
        <w:tc>
          <w:tcPr>
            <w:tcW w:w="1332" w:type="dxa"/>
            <w:gridSpan w:val="2"/>
            <w:tcBorders>
              <w:top w:val="single" w:sz="6" w:space="0" w:color="auto"/>
              <w:left w:val="single" w:sz="6" w:space="0" w:color="auto"/>
              <w:bottom w:val="single" w:sz="6" w:space="0" w:color="auto"/>
              <w:right w:val="single" w:sz="6" w:space="0" w:color="auto"/>
            </w:tcBorders>
            <w:hideMark/>
          </w:tcPr>
          <w:p w14:paraId="6549621A"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0.073</w:t>
            </w:r>
          </w:p>
        </w:tc>
        <w:tc>
          <w:tcPr>
            <w:tcW w:w="1000" w:type="dxa"/>
            <w:tcBorders>
              <w:top w:val="single" w:sz="6" w:space="0" w:color="auto"/>
              <w:left w:val="single" w:sz="6" w:space="0" w:color="auto"/>
              <w:bottom w:val="single" w:sz="6" w:space="0" w:color="auto"/>
              <w:right w:val="single" w:sz="6" w:space="0" w:color="auto"/>
            </w:tcBorders>
            <w:hideMark/>
          </w:tcPr>
          <w:p w14:paraId="4B45780B" w14:textId="77777777" w:rsidR="00E13B55" w:rsidRPr="003205E0" w:rsidRDefault="00E13B55" w:rsidP="007D31A3">
            <w:pPr>
              <w:spacing w:before="40" w:after="40"/>
              <w:jc w:val="center"/>
              <w:rPr>
                <w:sz w:val="18"/>
                <w:szCs w:val="18"/>
                <w:vertAlign w:val="superscript"/>
                <w:lang w:val="en-GB" w:eastAsia="zh-CN"/>
              </w:rPr>
            </w:pPr>
            <w:r w:rsidRPr="003205E0">
              <w:rPr>
                <w:sz w:val="18"/>
                <w:szCs w:val="18"/>
                <w:lang w:val="en-GB" w:eastAsia="zh-CN"/>
              </w:rPr>
              <w:t>0.037</w:t>
            </w:r>
            <w:r w:rsidRPr="003205E0">
              <w:rPr>
                <w:i/>
                <w:sz w:val="18"/>
                <w:szCs w:val="18"/>
                <w:lang w:val="en-GB" w:eastAsia="zh-CN"/>
              </w:rPr>
              <w:t>f</w:t>
            </w:r>
            <w:r w:rsidRPr="003205E0">
              <w:rPr>
                <w:sz w:val="18"/>
                <w:szCs w:val="18"/>
                <w:vertAlign w:val="subscript"/>
                <w:lang w:val="en-GB" w:eastAsia="zh-CN"/>
              </w:rPr>
              <w:t>M</w:t>
            </w:r>
            <w:r w:rsidRPr="003205E0">
              <w:rPr>
                <w:sz w:val="18"/>
                <w:szCs w:val="18"/>
                <w:vertAlign w:val="superscript"/>
                <w:lang w:val="en-GB" w:eastAsia="zh-CN"/>
              </w:rPr>
              <w:t>0.5</w:t>
            </w:r>
          </w:p>
          <w:p w14:paraId="431B1211" w14:textId="77777777" w:rsidR="00E13B55" w:rsidRPr="003205E0" w:rsidRDefault="00E13B55" w:rsidP="007D31A3">
            <w:pPr>
              <w:spacing w:before="40" w:after="40"/>
              <w:jc w:val="center"/>
              <w:rPr>
                <w:sz w:val="18"/>
                <w:szCs w:val="18"/>
                <w:lang w:val="en-GB" w:eastAsia="zh-CN"/>
              </w:rPr>
            </w:pPr>
            <w:r w:rsidRPr="003205E0">
              <w:rPr>
                <w:sz w:val="18"/>
                <w:szCs w:val="18"/>
                <w:lang w:val="en-GB" w:eastAsia="zh-CN"/>
              </w:rPr>
              <w:t>=0.08</w:t>
            </w:r>
          </w:p>
        </w:tc>
        <w:tc>
          <w:tcPr>
            <w:tcW w:w="846" w:type="dxa"/>
            <w:tcBorders>
              <w:top w:val="single" w:sz="6" w:space="0" w:color="auto"/>
              <w:left w:val="single" w:sz="6" w:space="0" w:color="auto"/>
              <w:bottom w:val="single" w:sz="6" w:space="0" w:color="auto"/>
              <w:right w:val="single" w:sz="6" w:space="0" w:color="auto"/>
            </w:tcBorders>
          </w:tcPr>
          <w:p w14:paraId="0090E860" w14:textId="77777777" w:rsidR="00E13B55" w:rsidRPr="003205E0" w:rsidRDefault="00E13B55" w:rsidP="007D31A3">
            <w:pPr>
              <w:spacing w:before="40" w:after="40"/>
              <w:jc w:val="center"/>
              <w:rPr>
                <w:sz w:val="18"/>
                <w:szCs w:val="18"/>
                <w:lang w:val="en-GB" w:eastAsia="zh-CN"/>
              </w:rPr>
            </w:pPr>
          </w:p>
        </w:tc>
      </w:tr>
      <w:bookmarkEnd w:id="164"/>
    </w:tbl>
    <w:p w14:paraId="7FC1C32A" w14:textId="77777777" w:rsidR="00E13B55" w:rsidRPr="00E13B55" w:rsidRDefault="00E13B55" w:rsidP="00E13B55">
      <w:pPr>
        <w:pStyle w:val="Tablefin"/>
      </w:pPr>
    </w:p>
    <w:p w14:paraId="5D0888C4" w14:textId="1649101F" w:rsidR="003205E0" w:rsidRDefault="003205E0" w:rsidP="003205E0">
      <w:pPr>
        <w:rPr>
          <w:lang w:val="en-GB"/>
        </w:rPr>
      </w:pPr>
      <w:bookmarkStart w:id="165" w:name="_Toc107752126"/>
      <w:bookmarkStart w:id="166" w:name="_Toc107837741"/>
    </w:p>
    <w:p w14:paraId="0BFC4331" w14:textId="77777777" w:rsidR="003205E0" w:rsidRDefault="003205E0" w:rsidP="003205E0">
      <w:pPr>
        <w:rPr>
          <w:lang w:val="en-GB"/>
        </w:rPr>
      </w:pPr>
    </w:p>
    <w:p w14:paraId="47692276" w14:textId="30FFB67C" w:rsidR="00E13B55" w:rsidRPr="00E13B55" w:rsidRDefault="00E13B55" w:rsidP="00E13B55">
      <w:pPr>
        <w:pStyle w:val="AppendixNoTitle"/>
        <w:rPr>
          <w:lang w:val="en-GB"/>
        </w:rPr>
      </w:pPr>
      <w:bookmarkStart w:id="167" w:name="_Toc112657103"/>
      <w:r w:rsidRPr="00E13B55">
        <w:rPr>
          <w:lang w:val="en-GB"/>
        </w:rPr>
        <w:t>Attachment 5</w:t>
      </w:r>
      <w:r w:rsidRPr="00E13B55">
        <w:rPr>
          <w:lang w:val="en-GB"/>
        </w:rPr>
        <w:br/>
        <w:t>to the Annex</w:t>
      </w:r>
      <w:r w:rsidRPr="00E13B55">
        <w:rPr>
          <w:lang w:val="en-GB"/>
        </w:rPr>
        <w:br/>
      </w:r>
      <w:r w:rsidRPr="00E13B55">
        <w:rPr>
          <w:lang w:val="en-GB"/>
        </w:rPr>
        <w:br/>
        <w:t>Summary and conclusions of the Annex</w:t>
      </w:r>
      <w:bookmarkEnd w:id="165"/>
      <w:bookmarkEnd w:id="166"/>
      <w:bookmarkEnd w:id="167"/>
    </w:p>
    <w:p w14:paraId="275BDA9E" w14:textId="2BE14BF0" w:rsidR="00E13B55" w:rsidRDefault="00E13B55" w:rsidP="00E13B55">
      <w:pPr>
        <w:pStyle w:val="Normalaftertitle"/>
        <w:rPr>
          <w:lang w:val="en-GB"/>
        </w:rPr>
      </w:pPr>
      <w:r w:rsidRPr="00E13B55">
        <w:rPr>
          <w:lang w:val="en-GB"/>
        </w:rPr>
        <w:t>The measured electromagnetic field strengths from the amateur radio station, under the measuring conditions, at all the measurement points and frequencies tested, meet the occupational and general</w:t>
      </w:r>
      <w:r w:rsidRPr="00E13B55">
        <w:rPr>
          <w:lang w:val="en-GB"/>
        </w:rPr>
        <w:noBreakHyphen/>
        <w:t>public</w:t>
      </w:r>
      <w:r w:rsidRPr="00E13B55">
        <w:rPr>
          <w:rtl/>
          <w:lang w:val="en-GB"/>
        </w:rPr>
        <w:t xml:space="preserve"> </w:t>
      </w:r>
      <w:r w:rsidRPr="00E13B55">
        <w:rPr>
          <w:lang w:val="en-GB"/>
        </w:rPr>
        <w:t>ICNIRP 2020 exposure levels. The EMF tests indicate that inside the building, even on the top floor, in the vicinity of the building and in adjacent buildings, in front the antenna main</w:t>
      </w:r>
      <w:r w:rsidRPr="00E13B55">
        <w:rPr>
          <w:lang w:val="en-GB"/>
        </w:rPr>
        <w:noBreakHyphen/>
        <w:t>beam, the measured signals are negligible.</w:t>
      </w:r>
    </w:p>
    <w:p w14:paraId="7D2B12DF" w14:textId="77777777" w:rsidR="00865E14" w:rsidRPr="00865E14" w:rsidRDefault="00865E14" w:rsidP="00865E14">
      <w:pPr>
        <w:rPr>
          <w:lang w:val="en-GB"/>
        </w:rPr>
      </w:pPr>
    </w:p>
    <w:p w14:paraId="0387F7F7" w14:textId="77777777" w:rsidR="00A6617B" w:rsidRPr="00E13B55" w:rsidRDefault="00A6617B" w:rsidP="005602D4">
      <w:pPr>
        <w:pStyle w:val="Line"/>
      </w:pPr>
    </w:p>
    <w:sectPr w:rsidR="00A6617B" w:rsidRPr="00E13B55" w:rsidSect="00CE1AE5">
      <w:headerReference w:type="even" r:id="rId71"/>
      <w:headerReference w:type="default" r:id="rId7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71E59" w14:textId="77777777" w:rsidR="00E43A58" w:rsidRDefault="00E43A58">
      <w:r>
        <w:separator/>
      </w:r>
    </w:p>
  </w:endnote>
  <w:endnote w:type="continuationSeparator" w:id="0">
    <w:p w14:paraId="79691297" w14:textId="77777777" w:rsidR="00E43A58" w:rsidRDefault="00E43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dvTT7c3c51d9">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4D0F7" w14:textId="77777777" w:rsidR="00E43A58" w:rsidRDefault="00E43A58">
      <w:r>
        <w:separator/>
      </w:r>
    </w:p>
  </w:footnote>
  <w:footnote w:type="continuationSeparator" w:id="0">
    <w:p w14:paraId="47277F71" w14:textId="77777777" w:rsidR="00E43A58" w:rsidRDefault="00E43A58">
      <w:r>
        <w:continuationSeparator/>
      </w:r>
    </w:p>
  </w:footnote>
  <w:footnote w:id="1">
    <w:p w14:paraId="48100021" w14:textId="4C3D022C" w:rsidR="006F0B6B" w:rsidRPr="006F0B6B" w:rsidRDefault="006F0B6B" w:rsidP="006F0B6B">
      <w:pPr>
        <w:pStyle w:val="FootnoteText"/>
        <w:spacing w:before="0"/>
        <w:rPr>
          <w:lang w:val="en-GB"/>
        </w:rPr>
      </w:pPr>
      <w:r>
        <w:rPr>
          <w:rStyle w:val="FootnoteReference"/>
        </w:rPr>
        <w:footnoteRef/>
      </w:r>
      <w:r w:rsidRPr="006F0B6B">
        <w:rPr>
          <w:lang w:val="en-GB"/>
        </w:rPr>
        <w:tab/>
        <w:t>The units of the two y-axes (i.e. electric field and power density) are independent of each other.</w:t>
      </w:r>
    </w:p>
  </w:footnote>
  <w:footnote w:id="2">
    <w:p w14:paraId="28E1C9E2" w14:textId="6BCA942E" w:rsidR="006F0B6B" w:rsidRPr="006F0B6B" w:rsidRDefault="006F0B6B" w:rsidP="006F0B6B">
      <w:pPr>
        <w:pStyle w:val="FootnoteText"/>
        <w:spacing w:before="0"/>
        <w:rPr>
          <w:lang w:val="en-GB"/>
        </w:rPr>
      </w:pPr>
      <w:r>
        <w:rPr>
          <w:rStyle w:val="FootnoteReference"/>
          <w:rFonts w:eastAsiaTheme="minorHAnsi"/>
          <w:sz w:val="20"/>
        </w:rPr>
        <w:footnoteRef/>
      </w:r>
      <w:r w:rsidRPr="006F0B6B">
        <w:rPr>
          <w:lang w:val="en-GB"/>
        </w:rPr>
        <w:tab/>
        <w:t xml:space="preserve">Retrieved on 28 June 2022 from </w:t>
      </w:r>
      <w:hyperlink r:id="rId1" w:history="1">
        <w:r w:rsidRPr="006F0B6B">
          <w:rPr>
            <w:rStyle w:val="Hyperlink"/>
            <w:szCs w:val="24"/>
            <w:lang w:val="en-GB"/>
          </w:rPr>
          <w:t>https://www.icnirp.org/en/differences.html</w:t>
        </w:r>
      </w:hyperlink>
    </w:p>
  </w:footnote>
  <w:footnote w:id="3">
    <w:p w14:paraId="790A990C" w14:textId="77777777" w:rsidR="006F0B6B" w:rsidRPr="00EC0613" w:rsidRDefault="006F0B6B" w:rsidP="006F0B6B">
      <w:pPr>
        <w:pStyle w:val="FootnoteText"/>
        <w:rPr>
          <w:lang w:val="en-US"/>
        </w:rPr>
      </w:pPr>
      <w:r>
        <w:rPr>
          <w:rStyle w:val="FootnoteReference"/>
        </w:rPr>
        <w:footnoteRef/>
      </w:r>
      <w:bookmarkStart w:id="32" w:name="_Hlk84685734"/>
      <w:r w:rsidRPr="006F0B6B">
        <w:rPr>
          <w:lang w:val="en-GB"/>
        </w:rPr>
        <w:tab/>
        <w:t>Mazar 2016, Wiley ‘</w:t>
      </w:r>
      <w:hyperlink r:id="rId2" w:history="1">
        <w:r w:rsidRPr="006F0B6B">
          <w:rPr>
            <w:rStyle w:val="Hyperlink"/>
            <w:lang w:val="en-GB"/>
          </w:rPr>
          <w:t>Radio Spectrum Management: Policies, Regulations and Techniques</w:t>
        </w:r>
      </w:hyperlink>
      <w:r w:rsidRPr="006F0B6B">
        <w:rPr>
          <w:lang w:val="en-GB"/>
        </w:rPr>
        <w:t xml:space="preserve">’ revised 2021 </w:t>
      </w:r>
      <w:hyperlink r:id="rId3" w:history="1">
        <w:r w:rsidRPr="006F0B6B">
          <w:rPr>
            <w:rStyle w:val="Hyperlink"/>
            <w:lang w:val="en-GB"/>
          </w:rPr>
          <w:t>Chapter 9</w:t>
        </w:r>
        <w:bookmarkEnd w:id="32"/>
      </w:hyperlink>
      <w:r>
        <w:rPr>
          <w:szCs w:val="24"/>
          <w:lang w:val="en-US" w:bidi="he-IL"/>
        </w:rPr>
        <w:t xml:space="preserve"> Figure 9.6.</w:t>
      </w:r>
    </w:p>
  </w:footnote>
  <w:footnote w:id="4">
    <w:p w14:paraId="269E592C" w14:textId="77777777" w:rsidR="006F0B6B" w:rsidRPr="006F0B6B" w:rsidRDefault="006F0B6B" w:rsidP="006F0B6B">
      <w:pPr>
        <w:pStyle w:val="FootnoteText"/>
        <w:spacing w:before="0"/>
        <w:rPr>
          <w:lang w:val="en-GB"/>
        </w:rPr>
      </w:pPr>
      <w:r>
        <w:rPr>
          <w:rStyle w:val="FootnoteReference"/>
        </w:rPr>
        <w:footnoteRef/>
      </w:r>
      <w:r w:rsidRPr="006F0B6B">
        <w:rPr>
          <w:lang w:val="en-GB"/>
        </w:rPr>
        <w:tab/>
        <w:t xml:space="preserve">Reference levels for </w:t>
      </w:r>
      <w:r w:rsidRPr="006F0B6B">
        <w:rPr>
          <w:u w:val="single"/>
          <w:lang w:val="en-GB"/>
        </w:rPr>
        <w:t>occupational</w:t>
      </w:r>
      <w:r w:rsidRPr="006F0B6B">
        <w:rPr>
          <w:lang w:val="en-GB"/>
        </w:rPr>
        <w:t xml:space="preserve"> exposure to time-varying electric and magnetic fields.</w:t>
      </w:r>
    </w:p>
  </w:footnote>
  <w:footnote w:id="5">
    <w:p w14:paraId="23CFB18C" w14:textId="77777777" w:rsidR="006F0B6B" w:rsidRPr="006F0B6B" w:rsidRDefault="006F0B6B" w:rsidP="006F0B6B">
      <w:pPr>
        <w:pStyle w:val="FootnoteText"/>
        <w:spacing w:before="0"/>
        <w:rPr>
          <w:lang w:val="en-GB"/>
        </w:rPr>
      </w:pPr>
      <w:r>
        <w:rPr>
          <w:rStyle w:val="FootnoteReference"/>
        </w:rPr>
        <w:footnoteRef/>
      </w:r>
      <w:r w:rsidRPr="006F0B6B">
        <w:rPr>
          <w:lang w:val="en-GB"/>
        </w:rPr>
        <w:tab/>
        <w:t xml:space="preserve">Reference levels for </w:t>
      </w:r>
      <w:r w:rsidRPr="006F0B6B">
        <w:rPr>
          <w:u w:val="single"/>
          <w:lang w:val="en-GB"/>
        </w:rPr>
        <w:t>general public</w:t>
      </w:r>
      <w:r w:rsidRPr="006F0B6B">
        <w:rPr>
          <w:lang w:val="en-GB"/>
        </w:rPr>
        <w:t xml:space="preserve"> exposure to time-varying electric and magnetic fields.</w:t>
      </w:r>
    </w:p>
  </w:footnote>
  <w:footnote w:id="6">
    <w:p w14:paraId="71DB030D" w14:textId="611B3962" w:rsidR="006F0B6B" w:rsidRPr="006F0B6B" w:rsidRDefault="006F0B6B" w:rsidP="006F0B6B">
      <w:pPr>
        <w:pStyle w:val="FootnoteText"/>
        <w:spacing w:before="0"/>
        <w:rPr>
          <w:lang w:val="en-GB"/>
        </w:rPr>
      </w:pPr>
      <w:r>
        <w:rPr>
          <w:rStyle w:val="FootnoteReference"/>
        </w:rPr>
        <w:footnoteRef/>
      </w:r>
      <w:r w:rsidRPr="006F0B6B">
        <w:rPr>
          <w:lang w:val="en-GB"/>
        </w:rPr>
        <w:tab/>
        <w:t>Exposure Reference Levels (ERLs) for whole-body exposure of persons in unrestricted environments (100</w:t>
      </w:r>
      <w:r w:rsidR="002753A9">
        <w:rPr>
          <w:lang w:val="en-GB"/>
        </w:rPr>
        <w:t> </w:t>
      </w:r>
      <w:r w:rsidRPr="006F0B6B">
        <w:rPr>
          <w:lang w:val="en-GB"/>
        </w:rPr>
        <w:t>kHz to 300 GHz).</w:t>
      </w:r>
    </w:p>
  </w:footnote>
  <w:footnote w:id="7">
    <w:p w14:paraId="7A10F697" w14:textId="77777777" w:rsidR="006F0B6B" w:rsidRPr="006F0B6B" w:rsidRDefault="006F0B6B" w:rsidP="006F0B6B">
      <w:pPr>
        <w:pStyle w:val="FootnoteText"/>
        <w:spacing w:before="0"/>
        <w:rPr>
          <w:lang w:val="en-GB"/>
        </w:rPr>
      </w:pPr>
      <w:r>
        <w:rPr>
          <w:rStyle w:val="FootnoteReference"/>
        </w:rPr>
        <w:footnoteRef/>
      </w:r>
      <w:r w:rsidRPr="006F0B6B">
        <w:rPr>
          <w:lang w:val="en-GB"/>
        </w:rPr>
        <w:tab/>
        <w:t>ERLs for whole-body exposure of persons permitted in restricted environments (100 kHz to 300 GHz).</w:t>
      </w:r>
    </w:p>
  </w:footnote>
  <w:footnote w:id="8">
    <w:p w14:paraId="77D0FC35" w14:textId="77777777" w:rsidR="006F0B6B" w:rsidRPr="006F0B6B" w:rsidRDefault="006F0B6B" w:rsidP="006F0B6B">
      <w:pPr>
        <w:pStyle w:val="FootnoteText"/>
        <w:spacing w:before="0"/>
        <w:rPr>
          <w:lang w:val="en-GB"/>
        </w:rPr>
      </w:pPr>
      <w:r>
        <w:rPr>
          <w:rStyle w:val="FootnoteReference"/>
        </w:rPr>
        <w:footnoteRef/>
      </w:r>
      <w:r w:rsidRPr="006F0B6B">
        <w:rPr>
          <w:lang w:val="en-GB"/>
        </w:rPr>
        <w:tab/>
        <w:t>Reference levels for exposure, averaged over 30 min and the whole body, to electromagnetic fields from 100 kHz to 300 GHz.</w:t>
      </w:r>
    </w:p>
  </w:footnote>
  <w:footnote w:id="9">
    <w:p w14:paraId="2768791D" w14:textId="77777777" w:rsidR="006F0B6B" w:rsidRPr="006F0B6B" w:rsidRDefault="006F0B6B" w:rsidP="006F0B6B">
      <w:pPr>
        <w:pStyle w:val="FootnoteText"/>
        <w:spacing w:before="0"/>
        <w:rPr>
          <w:szCs w:val="24"/>
          <w:lang w:val="en-GB"/>
        </w:rPr>
      </w:pPr>
      <w:r>
        <w:rPr>
          <w:rStyle w:val="FootnoteReference"/>
          <w:sz w:val="20"/>
        </w:rPr>
        <w:footnoteRef/>
      </w:r>
      <w:r w:rsidRPr="006F0B6B">
        <w:rPr>
          <w:sz w:val="20"/>
          <w:lang w:val="en-GB"/>
        </w:rPr>
        <w:tab/>
      </w:r>
      <w:r w:rsidRPr="002F177A">
        <w:rPr>
          <w:szCs w:val="24"/>
          <w:lang w:val="en-GB"/>
        </w:rPr>
        <w:t xml:space="preserve">Presentation at the ITU Regional Symposium for Europe and CIS on </w:t>
      </w:r>
      <w:hyperlink r:id="rId4" w:history="1">
        <w:r w:rsidRPr="002F177A">
          <w:rPr>
            <w:rStyle w:val="Hyperlink"/>
            <w:color w:val="auto"/>
            <w:szCs w:val="24"/>
            <w:lang w:val="en-GB"/>
          </w:rPr>
          <w:t>Spectrum Management and Broadcasting</w:t>
        </w:r>
      </w:hyperlink>
      <w:r w:rsidRPr="002F177A">
        <w:rPr>
          <w:szCs w:val="24"/>
          <w:lang w:val="en-GB"/>
        </w:rPr>
        <w:t xml:space="preserve"> 02 July 2020, </w:t>
      </w:r>
      <w:hyperlink r:id="rId5" w:history="1">
        <w:r w:rsidRPr="002F177A">
          <w:rPr>
            <w:rStyle w:val="Hyperlink"/>
            <w:color w:val="auto"/>
            <w:szCs w:val="24"/>
            <w:lang w:val="en-GB"/>
          </w:rPr>
          <w:t>Electromagnetic Fields and 5G Implementation</w:t>
        </w:r>
      </w:hyperlink>
      <w:r w:rsidRPr="006F0B6B">
        <w:rPr>
          <w:szCs w:val="24"/>
          <w:lang w:val="en-GB"/>
        </w:rPr>
        <w:t>.</w:t>
      </w:r>
    </w:p>
  </w:footnote>
  <w:footnote w:id="10">
    <w:p w14:paraId="04C6D871" w14:textId="77777777" w:rsidR="0013550A" w:rsidRPr="00766217" w:rsidRDefault="0013550A" w:rsidP="0013550A">
      <w:pPr>
        <w:pStyle w:val="FootnoteText"/>
        <w:rPr>
          <w:sz w:val="20"/>
          <w:lang w:val="en-US"/>
        </w:rPr>
      </w:pPr>
      <w:r>
        <w:rPr>
          <w:rStyle w:val="FootnoteReference"/>
        </w:rPr>
        <w:footnoteRef/>
      </w:r>
      <w:r w:rsidRPr="00E7772D">
        <w:rPr>
          <w:lang w:val="en-US"/>
        </w:rPr>
        <w:t xml:space="preserve"> </w:t>
      </w:r>
      <w:r>
        <w:rPr>
          <w:lang w:val="en-US"/>
        </w:rPr>
        <w:tab/>
      </w:r>
      <w:r>
        <w:rPr>
          <w:szCs w:val="24"/>
          <w:lang w:val="en-US"/>
        </w:rPr>
        <w:t>“The p</w:t>
      </w:r>
      <w:r w:rsidRPr="00CC519A">
        <w:rPr>
          <w:szCs w:val="24"/>
          <w:lang w:val="en-US"/>
        </w:rPr>
        <w:t>roduct of the power supplied to the antenna and the antenna gain in a given direction relative to an isotropic antenna</w:t>
      </w:r>
      <w:r>
        <w:rPr>
          <w:szCs w:val="24"/>
          <w:lang w:val="en-US"/>
        </w:rPr>
        <w:t>”,</w:t>
      </w:r>
      <w:r w:rsidRPr="00CC519A">
        <w:rPr>
          <w:szCs w:val="24"/>
          <w:lang w:val="en-US"/>
        </w:rPr>
        <w:t xml:space="preserve"> ITU </w:t>
      </w:r>
      <w:r w:rsidRPr="005104D9">
        <w:rPr>
          <w:rStyle w:val="Hyperlink"/>
          <w:color w:val="auto"/>
          <w:szCs w:val="24"/>
          <w:u w:val="none"/>
          <w:lang w:val="en-US"/>
        </w:rPr>
        <w:t>Radio Regulations</w:t>
      </w:r>
      <w:r w:rsidRPr="00CC519A">
        <w:rPr>
          <w:szCs w:val="24"/>
          <w:lang w:val="en-US"/>
        </w:rPr>
        <w:t xml:space="preserve">, volume 1 provision </w:t>
      </w:r>
      <w:r>
        <w:rPr>
          <w:szCs w:val="24"/>
          <w:lang w:val="en-US"/>
        </w:rPr>
        <w:t xml:space="preserve">No. </w:t>
      </w:r>
      <w:r w:rsidRPr="005B1EF3">
        <w:rPr>
          <w:rStyle w:val="Artref"/>
          <w:b/>
          <w:bCs/>
          <w:lang w:val="en-GB"/>
        </w:rPr>
        <w:t>1.161</w:t>
      </w:r>
      <w:r w:rsidRPr="00CC519A">
        <w:rPr>
          <w:szCs w:val="24"/>
          <w:lang w:val="en-US"/>
        </w:rPr>
        <w:t xml:space="preserve">. </w:t>
      </w:r>
      <w:r w:rsidRPr="004001CC">
        <w:rPr>
          <w:szCs w:val="24"/>
          <w:lang w:val="en-US"/>
        </w:rPr>
        <w:t>e.i.r.p.</w:t>
      </w:r>
      <w:r w:rsidRPr="00CC519A">
        <w:rPr>
          <w:szCs w:val="24"/>
          <w:lang w:val="en-US"/>
        </w:rPr>
        <w:t xml:space="preserve"> is not necessarily the product of maximum power and maximum gain; it is the power radiated toward the point of investigation. The cellular transmitters are power </w:t>
      </w:r>
      <w:proofErr w:type="gramStart"/>
      <w:r w:rsidRPr="00CC519A">
        <w:rPr>
          <w:szCs w:val="24"/>
          <w:lang w:val="en-US"/>
        </w:rPr>
        <w:t>controlled</w:t>
      </w:r>
      <w:proofErr w:type="gramEnd"/>
      <w:r w:rsidRPr="00CC519A">
        <w:rPr>
          <w:szCs w:val="24"/>
          <w:lang w:val="en-US"/>
        </w:rPr>
        <w:t xml:space="preserve"> and they do not transmit all time at maximal level. Near a cellular antenna, below it, the </w:t>
      </w:r>
      <w:r w:rsidRPr="004001CC">
        <w:rPr>
          <w:szCs w:val="24"/>
          <w:lang w:val="en-US"/>
        </w:rPr>
        <w:t>e.i.r.p.</w:t>
      </w:r>
      <w:r w:rsidRPr="00CC519A">
        <w:rPr>
          <w:szCs w:val="24"/>
          <w:lang w:val="en-US"/>
        </w:rPr>
        <w:t xml:space="preserve"> is low, as a side</w:t>
      </w:r>
      <w:r>
        <w:rPr>
          <w:szCs w:val="24"/>
          <w:lang w:val="en-US"/>
        </w:rPr>
        <w:t xml:space="preserve"> </w:t>
      </w:r>
      <w:r w:rsidRPr="00CC519A">
        <w:rPr>
          <w:szCs w:val="24"/>
          <w:lang w:val="en-US"/>
        </w:rPr>
        <w:t xml:space="preserve">lobe in elevation is much attenuated relatively to the antenna </w:t>
      </w:r>
      <w:proofErr w:type="gramStart"/>
      <w:r w:rsidRPr="00CC519A">
        <w:rPr>
          <w:szCs w:val="24"/>
          <w:lang w:val="en-US"/>
        </w:rPr>
        <w:t>main-beam</w:t>
      </w:r>
      <w:proofErr w:type="gramEnd"/>
      <w:r w:rsidRPr="00CC519A">
        <w:rPr>
          <w:szCs w:val="24"/>
          <w:lang w:val="en-US"/>
        </w:rPr>
        <w:t>.</w:t>
      </w:r>
    </w:p>
  </w:footnote>
  <w:footnote w:id="11">
    <w:p w14:paraId="5F164A21" w14:textId="77777777" w:rsidR="001B3C78" w:rsidRPr="001B3C78" w:rsidRDefault="001B3C78" w:rsidP="001B3C78">
      <w:pPr>
        <w:pStyle w:val="FootnoteText"/>
        <w:rPr>
          <w:lang w:val="en-GB"/>
        </w:rPr>
      </w:pPr>
      <w:r>
        <w:rPr>
          <w:rStyle w:val="FootnoteReference"/>
        </w:rPr>
        <w:footnoteRef/>
      </w:r>
      <w:r w:rsidRPr="001B3C78">
        <w:rPr>
          <w:lang w:val="en-GB"/>
        </w:rPr>
        <w:t xml:space="preserve"> “On the assessment of human exposure to electromagnetic fields transmitted by 5G NR base stations”, Health Physics, </w:t>
      </w:r>
      <w:hyperlink r:id="rId6" w:history="1">
        <w:r w:rsidRPr="001B3C78">
          <w:rPr>
            <w:rStyle w:val="Hyperlink"/>
            <w:lang w:val="en-GB"/>
          </w:rPr>
          <w:t>117(5):541–545</w:t>
        </w:r>
      </w:hyperlink>
    </w:p>
  </w:footnote>
  <w:footnote w:id="12">
    <w:p w14:paraId="57133B3C" w14:textId="4A086DDC" w:rsidR="00E13B55" w:rsidRPr="00E13B55" w:rsidRDefault="00E13B55" w:rsidP="00E13B55">
      <w:pPr>
        <w:pStyle w:val="FootnoteText"/>
        <w:rPr>
          <w:lang w:val="en-GB"/>
        </w:rPr>
      </w:pPr>
      <w:r>
        <w:rPr>
          <w:rStyle w:val="FootnoteReference"/>
        </w:rPr>
        <w:footnoteRef/>
      </w:r>
      <w:r>
        <w:rPr>
          <w:rtl/>
        </w:rPr>
        <w:t xml:space="preserve"> </w:t>
      </w:r>
      <w:r w:rsidR="007D31A3">
        <w:rPr>
          <w:lang w:val="en-GB"/>
        </w:rPr>
        <w:tab/>
      </w:r>
      <w:r w:rsidRPr="00E13B55">
        <w:rPr>
          <w:lang w:val="en-GB"/>
        </w:rPr>
        <w:t>Basic standard on measurement and calculation procedures for human exposure to electric, magnetic and electromagnetic fields (0 Hz - 300 GHz).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47659" w14:textId="6F4493A3" w:rsidR="0013550A" w:rsidRPr="00E96173" w:rsidRDefault="0013550A"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6805CF">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606976" w:rsidRPr="00606976">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D47CDD">
      <w:rPr>
        <w:b/>
        <w:bCs/>
        <w:noProof/>
        <w:lang w:val="en-US"/>
      </w:rPr>
      <w:t>ITU-R  SM.2452-1</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6B8BA" w14:textId="77777777" w:rsidR="0013550A" w:rsidRDefault="0013550A" w:rsidP="00B033C8">
    <w:pPr>
      <w:pStyle w:val="Header"/>
      <w:ind w:right="360" w:firstLine="360"/>
    </w:pPr>
    <w:r>
      <w:rPr>
        <w:noProof/>
        <w:lang w:val="en-GB" w:eastAsia="en-GB"/>
      </w:rPr>
      <w:drawing>
        <wp:anchor distT="0" distB="0" distL="114300" distR="114300" simplePos="0" relativeHeight="251659776" behindDoc="1" locked="0" layoutInCell="1" allowOverlap="1" wp14:anchorId="43826949" wp14:editId="7D0DDB33">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F2F7E" w14:textId="133F32BD"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805CF">
      <w:rPr>
        <w:rStyle w:val="PageNumber"/>
        <w:b/>
        <w:bCs/>
        <w:noProof/>
        <w:lang w:val="en-US"/>
      </w:rPr>
      <w:t>2</w:t>
    </w:r>
    <w:r>
      <w:rPr>
        <w:rStyle w:val="PageNumber"/>
        <w:b/>
        <w:bCs/>
      </w:rPr>
      <w:fldChar w:fldCharType="end"/>
    </w:r>
    <w:r>
      <w:rPr>
        <w:lang w:val="en-US"/>
      </w:rPr>
      <w:tab/>
    </w:r>
    <w:r w:rsidR="00CE1AE5">
      <w:fldChar w:fldCharType="begin"/>
    </w:r>
    <w:r w:rsidR="00CE1AE5" w:rsidRPr="00E96173">
      <w:rPr>
        <w:lang w:val="en-US"/>
      </w:rPr>
      <w:instrText xml:space="preserve"> DOCPROPERTY "Header 2" \* MERGEFORMAT </w:instrText>
    </w:r>
    <w:r w:rsidR="00CE1AE5">
      <w:fldChar w:fldCharType="separate"/>
    </w:r>
    <w:r w:rsidR="00606976" w:rsidRPr="00606976">
      <w:rPr>
        <w:b/>
        <w:bCs/>
        <w:lang w:val="en-US"/>
      </w:rPr>
      <w:t xml:space="preserve">Rep. </w:t>
    </w:r>
    <w:r w:rsidR="00CE1AE5">
      <w:rPr>
        <w:b/>
        <w:bCs/>
        <w:lang w:val="en-US"/>
      </w:rPr>
      <w:fldChar w:fldCharType="end"/>
    </w:r>
    <w:r w:rsidR="00CE1AE5" w:rsidRPr="00E96173">
      <w:rPr>
        <w:b/>
        <w:bCs/>
        <w:lang w:val="en-US"/>
      </w:rPr>
      <w:t xml:space="preserve"> </w:t>
    </w:r>
    <w:r w:rsidR="00CE1AE5" w:rsidRPr="00B21000">
      <w:rPr>
        <w:b/>
        <w:bCs/>
      </w:rPr>
      <w:fldChar w:fldCharType="begin"/>
    </w:r>
    <w:r w:rsidR="00CE1AE5" w:rsidRPr="00B21000">
      <w:rPr>
        <w:b/>
        <w:bCs/>
        <w:lang w:val="en-US"/>
      </w:rPr>
      <w:instrText>styleref href</w:instrText>
    </w:r>
    <w:r w:rsidR="00CE1AE5" w:rsidRPr="00B21000">
      <w:rPr>
        <w:b/>
        <w:bCs/>
      </w:rPr>
      <w:fldChar w:fldCharType="separate"/>
    </w:r>
    <w:r w:rsidR="00D3774C">
      <w:rPr>
        <w:b/>
        <w:bCs/>
        <w:noProof/>
        <w:lang w:val="en-US"/>
      </w:rPr>
      <w:t>ITU-R  SM.2452-1</w:t>
    </w:r>
    <w:r w:rsidR="00CE1AE5"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F0E94" w14:textId="534399D6" w:rsidR="00607D68" w:rsidRDefault="00607D68">
    <w:pPr>
      <w:pStyle w:val="Header"/>
    </w:pPr>
    <w:r>
      <w:tab/>
    </w:r>
    <w:r w:rsidR="00CE1AE5">
      <w:fldChar w:fldCharType="begin"/>
    </w:r>
    <w:r w:rsidR="00CE1AE5" w:rsidRPr="00E96173">
      <w:rPr>
        <w:lang w:val="en-US"/>
      </w:rPr>
      <w:instrText xml:space="preserve"> DOCPROPERTY "Header 2" \* MERGEFORMAT </w:instrText>
    </w:r>
    <w:r w:rsidR="00CE1AE5">
      <w:fldChar w:fldCharType="separate"/>
    </w:r>
    <w:r w:rsidR="00606976" w:rsidRPr="00606976">
      <w:rPr>
        <w:b/>
        <w:bCs/>
        <w:lang w:val="en-US"/>
      </w:rPr>
      <w:t xml:space="preserve">Rep. </w:t>
    </w:r>
    <w:r w:rsidR="00CE1AE5">
      <w:rPr>
        <w:b/>
        <w:bCs/>
        <w:lang w:val="en-US"/>
      </w:rPr>
      <w:fldChar w:fldCharType="end"/>
    </w:r>
    <w:r w:rsidR="00CE1AE5" w:rsidRPr="00E96173">
      <w:rPr>
        <w:b/>
        <w:bCs/>
        <w:lang w:val="en-US"/>
      </w:rPr>
      <w:t xml:space="preserve"> </w:t>
    </w:r>
    <w:r w:rsidR="00CE1AE5" w:rsidRPr="00B21000">
      <w:rPr>
        <w:b/>
        <w:bCs/>
      </w:rPr>
      <w:fldChar w:fldCharType="begin"/>
    </w:r>
    <w:r w:rsidR="00CE1AE5" w:rsidRPr="00B21000">
      <w:rPr>
        <w:b/>
        <w:bCs/>
        <w:lang w:val="en-US"/>
      </w:rPr>
      <w:instrText>styleref href</w:instrText>
    </w:r>
    <w:r w:rsidR="00CE1AE5" w:rsidRPr="00B21000">
      <w:rPr>
        <w:b/>
        <w:bCs/>
      </w:rPr>
      <w:fldChar w:fldCharType="separate"/>
    </w:r>
    <w:r w:rsidR="00D3774C">
      <w:rPr>
        <w:b/>
        <w:bCs/>
        <w:noProof/>
        <w:lang w:val="en-US"/>
      </w:rPr>
      <w:t>ITU-R  SM.2452-1</w:t>
    </w:r>
    <w:r w:rsidR="00CE1AE5"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805CF">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D066C"/>
    <w:multiLevelType w:val="hybridMultilevel"/>
    <w:tmpl w:val="25F80A54"/>
    <w:lvl w:ilvl="0" w:tplc="9EEE8B72">
      <w:start w:val="1"/>
      <w:numFmt w:val="bullet"/>
      <w:lvlText w:val=""/>
      <w:lvlJc w:val="left"/>
      <w:pPr>
        <w:ind w:left="360" w:hanging="360"/>
      </w:pPr>
      <w:rPr>
        <w:rFonts w:ascii="Symbol" w:hAnsi="Symbol" w:hint="default"/>
      </w:rPr>
    </w:lvl>
    <w:lvl w:ilvl="1" w:tplc="9EEE8B72">
      <w:start w:val="1"/>
      <w:numFmt w:val="bullet"/>
      <w:lvlText w:val=""/>
      <w:lvlJc w:val="left"/>
      <w:pPr>
        <w:ind w:left="1080" w:hanging="360"/>
      </w:pPr>
      <w:rPr>
        <w:rFonts w:ascii="Symbol" w:hAnsi="Symbol"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2E150DDA"/>
    <w:multiLevelType w:val="hybridMultilevel"/>
    <w:tmpl w:val="4EFEBC54"/>
    <w:lvl w:ilvl="0" w:tplc="FAF66A1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6D45FC"/>
    <w:multiLevelType w:val="hybridMultilevel"/>
    <w:tmpl w:val="155CBCBA"/>
    <w:lvl w:ilvl="0" w:tplc="9EEE8B7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BC051AA"/>
    <w:multiLevelType w:val="hybridMultilevel"/>
    <w:tmpl w:val="5A305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6061281">
    <w:abstractNumId w:val="1"/>
  </w:num>
  <w:num w:numId="2" w16cid:durableId="610817250">
    <w:abstractNumId w:val="3"/>
  </w:num>
  <w:num w:numId="3" w16cid:durableId="296879758">
    <w:abstractNumId w:val="2"/>
  </w:num>
  <w:num w:numId="4" w16cid:durableId="1084644820">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208D"/>
    <w:rsid w:val="00014912"/>
    <w:rsid w:val="000219E1"/>
    <w:rsid w:val="00034A9A"/>
    <w:rsid w:val="000D794D"/>
    <w:rsid w:val="000E7152"/>
    <w:rsid w:val="0013550A"/>
    <w:rsid w:val="0017408A"/>
    <w:rsid w:val="001A1B30"/>
    <w:rsid w:val="001B3C78"/>
    <w:rsid w:val="001D4C62"/>
    <w:rsid w:val="001E79C4"/>
    <w:rsid w:val="00217EBF"/>
    <w:rsid w:val="00225CA4"/>
    <w:rsid w:val="00231BE7"/>
    <w:rsid w:val="00233533"/>
    <w:rsid w:val="00242AEE"/>
    <w:rsid w:val="00250FEF"/>
    <w:rsid w:val="0025725E"/>
    <w:rsid w:val="002634AE"/>
    <w:rsid w:val="002753A9"/>
    <w:rsid w:val="00276036"/>
    <w:rsid w:val="002A521A"/>
    <w:rsid w:val="002D76C4"/>
    <w:rsid w:val="002E787E"/>
    <w:rsid w:val="002F177A"/>
    <w:rsid w:val="003060EB"/>
    <w:rsid w:val="00306438"/>
    <w:rsid w:val="003205E0"/>
    <w:rsid w:val="003B208D"/>
    <w:rsid w:val="003C1C00"/>
    <w:rsid w:val="003E1BF4"/>
    <w:rsid w:val="00416FA1"/>
    <w:rsid w:val="00454913"/>
    <w:rsid w:val="00475483"/>
    <w:rsid w:val="00490FFA"/>
    <w:rsid w:val="005104D9"/>
    <w:rsid w:val="0052529D"/>
    <w:rsid w:val="00534131"/>
    <w:rsid w:val="00543782"/>
    <w:rsid w:val="005602D4"/>
    <w:rsid w:val="005660E5"/>
    <w:rsid w:val="00582311"/>
    <w:rsid w:val="005823EE"/>
    <w:rsid w:val="005910EC"/>
    <w:rsid w:val="005960B8"/>
    <w:rsid w:val="005A47C7"/>
    <w:rsid w:val="005B1EF3"/>
    <w:rsid w:val="00606976"/>
    <w:rsid w:val="00607D68"/>
    <w:rsid w:val="006233A1"/>
    <w:rsid w:val="006805CF"/>
    <w:rsid w:val="006D16F5"/>
    <w:rsid w:val="006D3097"/>
    <w:rsid w:val="006F0B6B"/>
    <w:rsid w:val="00703C86"/>
    <w:rsid w:val="00746057"/>
    <w:rsid w:val="007468DA"/>
    <w:rsid w:val="00756466"/>
    <w:rsid w:val="00784E01"/>
    <w:rsid w:val="007C1512"/>
    <w:rsid w:val="007C6CB3"/>
    <w:rsid w:val="007D31A3"/>
    <w:rsid w:val="00824F1F"/>
    <w:rsid w:val="00827ED2"/>
    <w:rsid w:val="008423FC"/>
    <w:rsid w:val="00865E14"/>
    <w:rsid w:val="008775BE"/>
    <w:rsid w:val="00910348"/>
    <w:rsid w:val="0094260F"/>
    <w:rsid w:val="0096299A"/>
    <w:rsid w:val="009E00A8"/>
    <w:rsid w:val="009E0C73"/>
    <w:rsid w:val="009F34EB"/>
    <w:rsid w:val="00A2114F"/>
    <w:rsid w:val="00A37DC4"/>
    <w:rsid w:val="00A427B0"/>
    <w:rsid w:val="00A6617B"/>
    <w:rsid w:val="00A776D3"/>
    <w:rsid w:val="00A80164"/>
    <w:rsid w:val="00A8569E"/>
    <w:rsid w:val="00A9478D"/>
    <w:rsid w:val="00AB0DC8"/>
    <w:rsid w:val="00AB6C4C"/>
    <w:rsid w:val="00AD50A5"/>
    <w:rsid w:val="00AE4325"/>
    <w:rsid w:val="00B030F6"/>
    <w:rsid w:val="00B33ED7"/>
    <w:rsid w:val="00B44E24"/>
    <w:rsid w:val="00B53337"/>
    <w:rsid w:val="00BA1B01"/>
    <w:rsid w:val="00BA7123"/>
    <w:rsid w:val="00BB3770"/>
    <w:rsid w:val="00BD6E1E"/>
    <w:rsid w:val="00C4323B"/>
    <w:rsid w:val="00C451B7"/>
    <w:rsid w:val="00C53D25"/>
    <w:rsid w:val="00C53E79"/>
    <w:rsid w:val="00C8191E"/>
    <w:rsid w:val="00CD0E7B"/>
    <w:rsid w:val="00CE1AE5"/>
    <w:rsid w:val="00D00A06"/>
    <w:rsid w:val="00D21FAA"/>
    <w:rsid w:val="00D3774C"/>
    <w:rsid w:val="00D47CDD"/>
    <w:rsid w:val="00D9762A"/>
    <w:rsid w:val="00DF4176"/>
    <w:rsid w:val="00DF42EF"/>
    <w:rsid w:val="00E13B55"/>
    <w:rsid w:val="00E25A4E"/>
    <w:rsid w:val="00E336F9"/>
    <w:rsid w:val="00E36034"/>
    <w:rsid w:val="00E43A58"/>
    <w:rsid w:val="00E554DA"/>
    <w:rsid w:val="00EA2C90"/>
    <w:rsid w:val="00EE439B"/>
    <w:rsid w:val="00F92854"/>
    <w:rsid w:val="00F95D6F"/>
    <w:rsid w:val="00FA6865"/>
    <w:rsid w:val="00FC178D"/>
    <w:rsid w:val="00FD1627"/>
    <w:rsid w:val="00FD4BC6"/>
    <w:rsid w:val="00FE7F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3BDFC28C"/>
  <w15:docId w15:val="{763159EA-AA4A-4545-8610-1283B7B64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550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7D31A3"/>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uiPriority w:val="99"/>
    <w:qForma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DNV-FT"/>
    <w:basedOn w:val="Normal"/>
    <w:link w:val="FootnoteTextChar"/>
    <w:qFormat/>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qFormat/>
    <w:rsid w:val="00A6617B"/>
    <w:pPr>
      <w:keepNext w:val="0"/>
      <w:spacing w:before="0" w:after="240"/>
    </w:pPr>
  </w:style>
  <w:style w:type="character" w:styleId="Hyperlink">
    <w:name w:val="Hyperlink"/>
    <w:aliases w:val="CEO_Hyperlink,超级链接"/>
    <w:basedOn w:val="DefaultParagraphFont"/>
    <w:uiPriority w:val="99"/>
    <w:qFormat/>
    <w:rsid w:val="003B208D"/>
    <w:rPr>
      <w:color w:val="0000FF"/>
      <w:u w:val="single"/>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13550A"/>
    <w:rPr>
      <w:sz w:val="24"/>
      <w:lang w:val="fr-FR" w:eastAsia="en-US"/>
    </w:rPr>
  </w:style>
  <w:style w:type="character" w:customStyle="1" w:styleId="Heading1Char">
    <w:name w:val="Heading 1 Char"/>
    <w:basedOn w:val="DefaultParagraphFont"/>
    <w:link w:val="Heading1"/>
    <w:rsid w:val="0013550A"/>
    <w:rPr>
      <w:b/>
      <w:sz w:val="24"/>
      <w:lang w:val="fr-FR" w:eastAsia="en-US"/>
    </w:rPr>
  </w:style>
  <w:style w:type="character" w:customStyle="1" w:styleId="TabletextChar">
    <w:name w:val="Table_text Char"/>
    <w:basedOn w:val="DefaultParagraphFont"/>
    <w:link w:val="Tabletext"/>
    <w:locked/>
    <w:rsid w:val="0013550A"/>
    <w:rPr>
      <w:sz w:val="22"/>
      <w:lang w:val="fr-FR" w:eastAsia="en-US"/>
    </w:rPr>
  </w:style>
  <w:style w:type="character" w:customStyle="1" w:styleId="TableheadChar">
    <w:name w:val="Table_head Char"/>
    <w:basedOn w:val="DefaultParagraphFont"/>
    <w:link w:val="Tablehead"/>
    <w:rsid w:val="0013550A"/>
    <w:rPr>
      <w:b/>
      <w:sz w:val="22"/>
      <w:lang w:val="fr-FR" w:eastAsia="en-US"/>
    </w:rPr>
  </w:style>
  <w:style w:type="character" w:customStyle="1" w:styleId="Artref">
    <w:name w:val="Art_ref"/>
    <w:basedOn w:val="DefaultParagraphFont"/>
    <w:rsid w:val="0013550A"/>
  </w:style>
  <w:style w:type="paragraph" w:customStyle="1" w:styleId="Reasons">
    <w:name w:val="Reasons"/>
    <w:basedOn w:val="Normal"/>
    <w:rsid w:val="0013550A"/>
    <w:pPr>
      <w:tabs>
        <w:tab w:val="clear" w:pos="794"/>
        <w:tab w:val="clear" w:pos="1191"/>
        <w:tab w:val="left" w:pos="1134"/>
      </w:tabs>
      <w:jc w:val="left"/>
    </w:pPr>
    <w:rPr>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
    <w:basedOn w:val="DefaultParagraphFont"/>
    <w:link w:val="FootnoteText"/>
    <w:rsid w:val="0013550A"/>
    <w:rPr>
      <w:sz w:val="22"/>
      <w:lang w:val="fr-FR" w:eastAsia="en-US"/>
    </w:rPr>
  </w:style>
  <w:style w:type="character" w:customStyle="1" w:styleId="HeadingbChar">
    <w:name w:val="Heading_b Char"/>
    <w:basedOn w:val="DefaultParagraphFont"/>
    <w:link w:val="Headingb"/>
    <w:locked/>
    <w:rsid w:val="0013550A"/>
    <w:rPr>
      <w:b/>
      <w:sz w:val="24"/>
      <w:lang w:val="fr-FR" w:eastAsia="en-US"/>
    </w:rPr>
  </w:style>
  <w:style w:type="character" w:customStyle="1" w:styleId="FigureChar">
    <w:name w:val="Figure Char"/>
    <w:basedOn w:val="DefaultParagraphFont"/>
    <w:link w:val="Figure"/>
    <w:rsid w:val="0013550A"/>
    <w:rPr>
      <w:caps/>
      <w:sz w:val="18"/>
      <w:lang w:val="fr-FR" w:eastAsia="en-US"/>
    </w:rPr>
  </w:style>
  <w:style w:type="table" w:styleId="TableGrid">
    <w:name w:val="Table Grid"/>
    <w:basedOn w:val="TableNormal"/>
    <w:rsid w:val="0013550A"/>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3550A"/>
    <w:pPr>
      <w:tabs>
        <w:tab w:val="clear" w:pos="794"/>
        <w:tab w:val="clear" w:pos="1191"/>
        <w:tab w:val="clear" w:pos="1588"/>
        <w:tab w:val="clear" w:pos="1985"/>
        <w:tab w:val="left" w:pos="1134"/>
        <w:tab w:val="left" w:pos="1871"/>
        <w:tab w:val="left" w:pos="2268"/>
      </w:tabs>
      <w:ind w:left="720"/>
      <w:contextualSpacing/>
      <w:jc w:val="left"/>
    </w:pPr>
    <w:rPr>
      <w:rFonts w:eastAsia="SimSun"/>
      <w:lang w:val="en-GB"/>
    </w:rPr>
  </w:style>
  <w:style w:type="character" w:customStyle="1" w:styleId="ListParagraphChar">
    <w:name w:val="List Paragraph Char"/>
    <w:link w:val="ListParagraph"/>
    <w:uiPriority w:val="34"/>
    <w:rsid w:val="0013550A"/>
    <w:rPr>
      <w:rFonts w:eastAsia="SimSun"/>
      <w:sz w:val="24"/>
      <w:lang w:val="en-GB" w:eastAsia="en-US"/>
    </w:rPr>
  </w:style>
  <w:style w:type="character" w:customStyle="1" w:styleId="FiguretitleChar">
    <w:name w:val="Figure_title Char"/>
    <w:basedOn w:val="DefaultParagraphFont"/>
    <w:link w:val="Figuretitle"/>
    <w:rsid w:val="006F0B6B"/>
    <w:rPr>
      <w:rFonts w:ascii="Times New Roman Bold" w:hAnsi="Times New Roman Bold"/>
      <w:b/>
      <w:sz w:val="18"/>
      <w:lang w:val="fr-FR" w:eastAsia="en-US"/>
    </w:rPr>
  </w:style>
  <w:style w:type="paragraph" w:customStyle="1" w:styleId="EditorsNote">
    <w:name w:val="EditorsNote"/>
    <w:basedOn w:val="Normal"/>
    <w:rsid w:val="001B3C78"/>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styleId="Emphasis">
    <w:name w:val="Emphasis"/>
    <w:basedOn w:val="DefaultParagraphFont"/>
    <w:uiPriority w:val="20"/>
    <w:qFormat/>
    <w:rsid w:val="001B3C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cnirp.org/cms/upload/publications/ICNIRPrfgdl2020.pdf" TargetMode="External"/><Relationship Id="rId21" Type="http://schemas.openxmlformats.org/officeDocument/2006/relationships/hyperlink" Target="https://www.icnirp.org/en/differences.html" TargetMode="External"/><Relationship Id="rId42" Type="http://schemas.openxmlformats.org/officeDocument/2006/relationships/hyperlink" Target="https://www.itu.int/dms_pub/itu-d/opb/stg/d-stg-sg02.07.2-2021-pdf-e.pdf" TargetMode="External"/><Relationship Id="rId47" Type="http://schemas.openxmlformats.org/officeDocument/2006/relationships/hyperlink" Target="https://www.itu.int/itu-t/recommendations/rec.aspx?rec=11037" TargetMode="External"/><Relationship Id="rId63" Type="http://schemas.openxmlformats.org/officeDocument/2006/relationships/hyperlink" Target="https://www.icnirp.org/cms/upload/publications/ICNIRPLFgdl.pdf" TargetMode="External"/><Relationship Id="rId68" Type="http://schemas.openxmlformats.org/officeDocument/2006/relationships/hyperlink" Target="https://www.ofcom.org.uk/manage-your-licence/emf/calculator" TargetMode="External"/><Relationship Id="rId2" Type="http://schemas.openxmlformats.org/officeDocument/2006/relationships/numbering" Target="numbering.xml"/><Relationship Id="rId16" Type="http://schemas.openxmlformats.org/officeDocument/2006/relationships/hyperlink" Target="http://www.itu.int/pub/R-HDB-23-2011" TargetMode="External"/><Relationship Id="rId29" Type="http://schemas.openxmlformats.org/officeDocument/2006/relationships/hyperlink" Target="https://www.itu.int/en/ITU-D/Regional-Presence/Europe/Documents/Events/2020/Spectrum_EUR_CIS/lewicki.pdf" TargetMode="Externa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oleObject" Target="embeddings/oleObject2.bin"/><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www.itu.int/rec/T-REC-K.61-201801-I" TargetMode="External"/><Relationship Id="rId53" Type="http://schemas.openxmlformats.org/officeDocument/2006/relationships/hyperlink" Target="https://www.itu.int/itu-t/recommendations/rec.aspx?rec=14076" TargetMode="External"/><Relationship Id="rId58" Type="http://schemas.openxmlformats.org/officeDocument/2006/relationships/hyperlink" Target="https://www.itu.int/itu-t/recommendations/rec.aspx?rec=14077" TargetMode="External"/><Relationship Id="rId66" Type="http://schemas.openxmlformats.org/officeDocument/2006/relationships/hyperlink" Target="https://ieeexplore.ieee.org/document/8859679"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itu.int/ITU-T/recommendations/rec.aspx?rec=14882" TargetMode="External"/><Relationship Id="rId19" Type="http://schemas.openxmlformats.org/officeDocument/2006/relationships/hyperlink" Target="https://www.icnirp.org/cms/upload/publications/ICNIRPLFgdl.pdf" TargetMode="External"/><Relationship Id="rId14" Type="http://schemas.openxmlformats.org/officeDocument/2006/relationships/hyperlink" Target="http://www.itu.int/pub/R-QUE-SG01.239" TargetMode="External"/><Relationship Id="rId22" Type="http://schemas.openxmlformats.org/officeDocument/2006/relationships/image" Target="media/image3.jpeg"/><Relationship Id="rId27" Type="http://schemas.openxmlformats.org/officeDocument/2006/relationships/hyperlink" Target="https://ieeexplore.ieee.org/document/8859679" TargetMode="External"/><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hyperlink" Target="https://www.itu.int/itu-t/recommendations/index.aspx?ser=K" TargetMode="External"/><Relationship Id="rId48" Type="http://schemas.openxmlformats.org/officeDocument/2006/relationships/hyperlink" Target="https://www.itu.int/itu-t/recommendations/rec.aspx?rec=13633" TargetMode="External"/><Relationship Id="rId56" Type="http://schemas.openxmlformats.org/officeDocument/2006/relationships/hyperlink" Target="https://www.itu.int/itu-t/recommendations/rec.aspx?rec=13939" TargetMode="External"/><Relationship Id="rId64" Type="http://schemas.openxmlformats.org/officeDocument/2006/relationships/hyperlink" Target="https://www.icnirp.org/cms/upload/publications/ICNIRPrfgdl2020.pdf" TargetMode="External"/><Relationship Id="rId69" Type="http://schemas.openxmlformats.org/officeDocument/2006/relationships/hyperlink" Target="https://www.icnirp.org/cms/upload/publications/ICNIRPrfgdl2020.pdf" TargetMode="External"/><Relationship Id="rId8" Type="http://schemas.openxmlformats.org/officeDocument/2006/relationships/image" Target="media/image1.wmf"/><Relationship Id="rId51" Type="http://schemas.openxmlformats.org/officeDocument/2006/relationships/hyperlink" Target="https://www.itu.int/itu-t/recommendations/rec.aspx?rec=12666" TargetMode="External"/><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https://www.icnirp.org/" TargetMode="External"/><Relationship Id="rId25" Type="http://schemas.openxmlformats.org/officeDocument/2006/relationships/hyperlink" Target="http://www.icnirp.org/cms/upload/publications/ICNIRPemfgdl.pdf" TargetMode="External"/><Relationship Id="rId33" Type="http://schemas.openxmlformats.org/officeDocument/2006/relationships/image" Target="media/image8.wmf"/><Relationship Id="rId38" Type="http://schemas.openxmlformats.org/officeDocument/2006/relationships/image" Target="media/image12.png"/><Relationship Id="rId46" Type="http://schemas.openxmlformats.org/officeDocument/2006/relationships/hyperlink" Target="https://www.itu.int/itu-t/recommendations/rec.aspx?rec=13448" TargetMode="External"/><Relationship Id="rId59" Type="http://schemas.openxmlformats.org/officeDocument/2006/relationships/hyperlink" Target="https://www.itu.int/itu-t/recommendations/rec.aspx?rec=13938" TargetMode="External"/><Relationship Id="rId67" Type="http://schemas.openxmlformats.org/officeDocument/2006/relationships/hyperlink" Target="https://www.en-standard.eu/bs-en-50413-2019-basic-standard-on-measurement-and-calculation-procedures-for-human-exposure-to-electric-magnetic-and-electromagnetic-fields-0-hz-300-ghz/" TargetMode="External"/><Relationship Id="rId20" Type="http://schemas.openxmlformats.org/officeDocument/2006/relationships/hyperlink" Target="https://www.icnirp.org/cms/upload/publications/ICNIRPrfgdl2020.pdf" TargetMode="External"/><Relationship Id="rId41" Type="http://schemas.openxmlformats.org/officeDocument/2006/relationships/hyperlink" Target="https://www.itu.int/pub/R-HDB-23" TargetMode="External"/><Relationship Id="rId54" Type="http://schemas.openxmlformats.org/officeDocument/2006/relationships/hyperlink" Target="https://www.itu.int/itu-t/recommendations/rec.aspx?rec=14316" TargetMode="External"/><Relationship Id="rId62" Type="http://schemas.openxmlformats.org/officeDocument/2006/relationships/hyperlink" Target="http://www.icnirp.org/cms/upload/publications/ICNIRPemfgdl.pdf" TargetMode="External"/><Relationship Id="rId7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S-CONF-ACTF-2018" TargetMode="External"/><Relationship Id="rId23" Type="http://schemas.openxmlformats.org/officeDocument/2006/relationships/image" Target="media/image4.png"/><Relationship Id="rId28" Type="http://schemas.openxmlformats.org/officeDocument/2006/relationships/hyperlink" Target="https://www.icnirp.org/cms/upload/publications/ICNIRPrfgdl2020.pdf" TargetMode="External"/><Relationship Id="rId36" Type="http://schemas.openxmlformats.org/officeDocument/2006/relationships/image" Target="media/image10.jpeg"/><Relationship Id="rId49" Type="http://schemas.openxmlformats.org/officeDocument/2006/relationships/hyperlink" Target="https://www.itu.int/rec/T-REC-K.91-202201-P/en" TargetMode="External"/><Relationship Id="rId57" Type="http://schemas.openxmlformats.org/officeDocument/2006/relationships/hyperlink" Target="https://www.itu.int/itu-t/recommendations/rec.aspx?rec=13645" TargetMode="External"/><Relationship Id="rId10" Type="http://schemas.openxmlformats.org/officeDocument/2006/relationships/header" Target="header1.xml"/><Relationship Id="rId31" Type="http://schemas.openxmlformats.org/officeDocument/2006/relationships/image" Target="media/image7.wmf"/><Relationship Id="rId44" Type="http://schemas.openxmlformats.org/officeDocument/2006/relationships/hyperlink" Target="https://www.itu.int/rec/T-REC-K.52-201801-I/en" TargetMode="External"/><Relationship Id="rId52" Type="http://schemas.openxmlformats.org/officeDocument/2006/relationships/hyperlink" Target="https://www.itu.int/itu-t/recommendations/rec.aspx?rec=13138" TargetMode="External"/><Relationship Id="rId60" Type="http://schemas.openxmlformats.org/officeDocument/2006/relationships/hyperlink" Target="https://www.itu.int/itu-t/recommendations/rec.aspx?rec=14078" TargetMode="External"/><Relationship Id="rId65" Type="http://schemas.openxmlformats.org/officeDocument/2006/relationships/hyperlink" Target="http://emfguide.itu.int/pdfs/c95.1-2005.pd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hyperlink" Target="http://www.icnirp.org/cms/upload/publications/ICNIRPemfgdl.pdf" TargetMode="External"/><Relationship Id="rId39" Type="http://schemas.openxmlformats.org/officeDocument/2006/relationships/image" Target="media/image13.png"/><Relationship Id="rId34" Type="http://schemas.openxmlformats.org/officeDocument/2006/relationships/oleObject" Target="embeddings/oleObject3.bin"/><Relationship Id="rId50" Type="http://schemas.openxmlformats.org/officeDocument/2006/relationships/hyperlink" Target="https://www.itu.int/itu-t/recommendations/rec.aspx?rec=13955" TargetMode="External"/><Relationship Id="rId55" Type="http://schemas.openxmlformats.org/officeDocument/2006/relationships/hyperlink" Target="https://www.itu.int/itu-t/recommendations/rec.aspx?rec=13792" TargetMode="External"/><Relationship Id="rId7" Type="http://schemas.openxmlformats.org/officeDocument/2006/relationships/endnotes" Target="endnotes.xml"/><Relationship Id="rId71"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mazar.atwebpages.com/Downloads/WileyChapter9RF-EMF_HumanHazards_MazarJanuary2021.pdf" TargetMode="External"/><Relationship Id="rId2" Type="http://schemas.openxmlformats.org/officeDocument/2006/relationships/hyperlink" Target="https://www.amazon.com/Radio-Spectrum-Management-Regulations-Techniques/dp/1118511794" TargetMode="External"/><Relationship Id="rId1" Type="http://schemas.openxmlformats.org/officeDocument/2006/relationships/hyperlink" Target="https://www.icnirp.org/en/differences.html" TargetMode="External"/><Relationship Id="rId6" Type="http://schemas.openxmlformats.org/officeDocument/2006/relationships/hyperlink" Target="https://journals.lww.com/health-physics/fulltext/2019/11000/on_the_assessment_of_human_exposure_to.7.aspx" TargetMode="External"/><Relationship Id="rId5" Type="http://schemas.openxmlformats.org/officeDocument/2006/relationships/hyperlink" Target="file:///C:\Users\TOSHIBA\Documents\EMF\Report4WTDC\Spectrum%20Management%20and%20Broadcasting" TargetMode="External"/><Relationship Id="rId4" Type="http://schemas.openxmlformats.org/officeDocument/2006/relationships/hyperlink" Target="https://www.itu.int/en/ITU-D/Regional-Presence/Europe/Pages/Events/2020/Spectrum_EUR_CIS/Remote.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59082-5643-45F5-BE7A-6F06B947F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1101</TotalTime>
  <Pages>28</Pages>
  <Words>9753</Words>
  <Characters>55598</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REPORT  ITU-R  SM.2452-1 - Electromagnetic field measurements to assess human exposure</vt:lpstr>
    </vt:vector>
  </TitlesOfParts>
  <Manager/>
  <Company>ITU</Company>
  <LinksUpToDate>false</LinksUpToDate>
  <CharactersWithSpaces>65221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SM.2452-1 - Electromagnetic field measurements to assess human exposure</dc:title>
  <dc:subject>SM Series = Spectrum management</dc:subject>
  <dc:creator>ITU Radiocommunication Bureau (BR)</dc:creator>
  <cp:keywords>SM,2452-1</cp:keywords>
  <dc:description>Gachetc, 11/08/2022, ITU51013811</dc:description>
  <cp:lastModifiedBy>Gomez, Yoanni</cp:lastModifiedBy>
  <cp:revision>72</cp:revision>
  <cp:lastPrinted>2022-08-29T07:18:00Z</cp:lastPrinted>
  <dcterms:created xsi:type="dcterms:W3CDTF">2022-08-10T10:15:00Z</dcterms:created>
  <dcterms:modified xsi:type="dcterms:W3CDTF">2022-08-29T07:51:00Z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11 August 2022</vt:lpwstr>
  </property>
</Properties>
</file>