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header6.xml" ContentType="application/vnd.openxmlformats-officedocument.wordprocessingml.header+xml"/>
  <Override PartName="/word/footer2.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3.xml" ContentType="application/vnd.openxmlformats-officedocument.wordprocessingml.footer+xml"/>
  <Override PartName="/word/header9.xml" ContentType="application/vnd.openxmlformats-officedocument.wordprocessingml.header+xml"/>
  <Override PartName="/word/footer4.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5.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6.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632C0" w:rsidRDefault="005632C0" w:rsidP="005632C0">
      <w:bookmarkStart w:id="0" w:name="irecnoe"/>
      <w:bookmarkEnd w:id="0"/>
    </w:p>
    <w:p w:rsidR="005632C0" w:rsidRDefault="005632C0" w:rsidP="005632C0"/>
    <w:p w:rsidR="005632C0" w:rsidRDefault="005632C0" w:rsidP="005632C0"/>
    <w:p w:rsidR="005632C0" w:rsidRDefault="005632C0" w:rsidP="005632C0"/>
    <w:p w:rsidR="005632C0" w:rsidRDefault="005632C0" w:rsidP="005632C0"/>
    <w:p w:rsidR="005632C0" w:rsidRDefault="005632C0" w:rsidP="005632C0"/>
    <w:p w:rsidR="005632C0" w:rsidRDefault="005632C0" w:rsidP="005632C0"/>
    <w:p w:rsidR="005632C0" w:rsidRDefault="005632C0" w:rsidP="005632C0"/>
    <w:p w:rsidR="00F261A0" w:rsidRDefault="00F261A0" w:rsidP="005632C0"/>
    <w:p w:rsidR="00F261A0" w:rsidRDefault="00F261A0" w:rsidP="005632C0"/>
    <w:p w:rsidR="00F261A0" w:rsidRDefault="00F261A0" w:rsidP="005632C0"/>
    <w:p w:rsidR="005632C0" w:rsidRDefault="005632C0" w:rsidP="005632C0"/>
    <w:p w:rsidR="005632C0" w:rsidRDefault="005632C0" w:rsidP="005632C0"/>
    <w:p w:rsidR="005632C0" w:rsidRDefault="005632C0" w:rsidP="005632C0"/>
    <w:p w:rsidR="005632C0" w:rsidRDefault="005632C0" w:rsidP="005632C0"/>
    <w:tbl>
      <w:tblPr>
        <w:tblW w:w="10089" w:type="dxa"/>
        <w:tblLook w:val="01E0" w:firstRow="1" w:lastRow="1" w:firstColumn="1" w:lastColumn="1" w:noHBand="0" w:noVBand="0"/>
      </w:tblPr>
      <w:tblGrid>
        <w:gridCol w:w="10089"/>
      </w:tblGrid>
      <w:tr w:rsidR="005632C0" w:rsidRPr="00CA109F" w:rsidTr="00CA109F">
        <w:tc>
          <w:tcPr>
            <w:tcW w:w="10089" w:type="dxa"/>
          </w:tcPr>
          <w:p w:rsidR="005632C0" w:rsidRPr="00CA109F" w:rsidRDefault="005632C0" w:rsidP="00CA109F">
            <w:pPr>
              <w:spacing w:before="380" w:line="280" w:lineRule="exact"/>
              <w:jc w:val="right"/>
              <w:rPr>
                <w:rFonts w:ascii="Tahoma" w:hAnsi="Tahoma" w:cs="Tahoma"/>
                <w:b/>
                <w:bCs/>
                <w:iCs/>
                <w:color w:val="509141"/>
                <w:sz w:val="32"/>
                <w:szCs w:val="32"/>
                <w:lang w:val="en-US"/>
              </w:rPr>
            </w:pPr>
          </w:p>
          <w:p w:rsidR="005632C0" w:rsidRPr="005D41C4" w:rsidRDefault="005632C0" w:rsidP="002A523D">
            <w:pPr>
              <w:spacing w:before="380" w:line="280" w:lineRule="exact"/>
              <w:jc w:val="right"/>
              <w:rPr>
                <w:rFonts w:ascii="Tahoma" w:hAnsi="Tahoma" w:cs="Tahoma"/>
                <w:b/>
                <w:bCs/>
                <w:iCs/>
                <w:color w:val="509141"/>
                <w:sz w:val="36"/>
                <w:szCs w:val="36"/>
                <w:lang w:val="fr-CH"/>
              </w:rPr>
            </w:pPr>
            <w:r w:rsidRPr="005D41C4">
              <w:rPr>
                <w:rFonts w:ascii="Tahoma" w:hAnsi="Tahoma" w:cs="Tahoma"/>
                <w:b/>
                <w:bCs/>
                <w:iCs/>
                <w:color w:val="509141"/>
                <w:sz w:val="36"/>
                <w:szCs w:val="36"/>
                <w:lang w:val="fr-CH"/>
              </w:rPr>
              <w:t xml:space="preserve">Informe  UIT-R  </w:t>
            </w:r>
            <w:r w:rsidR="00A10F3A" w:rsidRPr="005D41C4">
              <w:rPr>
                <w:rFonts w:ascii="Tahoma" w:hAnsi="Tahoma" w:cs="Tahoma"/>
                <w:b/>
                <w:bCs/>
                <w:iCs/>
                <w:color w:val="509141"/>
                <w:sz w:val="36"/>
                <w:szCs w:val="36"/>
                <w:lang w:val="fr-CH"/>
              </w:rPr>
              <w:t>S</w:t>
            </w:r>
            <w:r w:rsidR="003A6B2B" w:rsidRPr="005D41C4">
              <w:rPr>
                <w:rFonts w:ascii="Tahoma" w:hAnsi="Tahoma" w:cs="Tahoma"/>
                <w:b/>
                <w:bCs/>
                <w:iCs/>
                <w:color w:val="509141"/>
                <w:sz w:val="36"/>
                <w:szCs w:val="36"/>
                <w:lang w:val="fr-CH"/>
              </w:rPr>
              <w:t>M</w:t>
            </w:r>
            <w:r w:rsidRPr="005D41C4">
              <w:rPr>
                <w:rFonts w:ascii="Tahoma" w:hAnsi="Tahoma" w:cs="Tahoma"/>
                <w:b/>
                <w:bCs/>
                <w:iCs/>
                <w:color w:val="509141"/>
                <w:sz w:val="36"/>
                <w:szCs w:val="36"/>
                <w:lang w:val="fr-CH"/>
              </w:rPr>
              <w:t>.</w:t>
            </w:r>
            <w:r w:rsidR="002A523D">
              <w:rPr>
                <w:rFonts w:ascii="Tahoma" w:hAnsi="Tahoma" w:cs="Tahoma"/>
                <w:b/>
                <w:bCs/>
                <w:iCs/>
                <w:color w:val="509141"/>
                <w:sz w:val="36"/>
                <w:szCs w:val="36"/>
                <w:lang w:val="fr-CH"/>
              </w:rPr>
              <w:t>2421-0</w:t>
            </w:r>
            <w:r w:rsidRPr="005D41C4">
              <w:rPr>
                <w:rFonts w:ascii="Tahoma" w:hAnsi="Tahoma" w:cs="Tahoma"/>
                <w:b/>
                <w:bCs/>
                <w:iCs/>
                <w:color w:val="509141"/>
                <w:sz w:val="36"/>
                <w:szCs w:val="36"/>
                <w:lang w:val="fr-CH"/>
              </w:rPr>
              <w:t xml:space="preserve">  </w:t>
            </w:r>
          </w:p>
          <w:p w:rsidR="005632C0" w:rsidRPr="005D41C4" w:rsidRDefault="005632C0" w:rsidP="002A523D">
            <w:pPr>
              <w:spacing w:before="80" w:line="280" w:lineRule="exact"/>
              <w:jc w:val="right"/>
              <w:rPr>
                <w:rFonts w:ascii="Tahoma" w:hAnsi="Tahoma" w:cs="Tahoma"/>
                <w:b/>
                <w:bCs/>
                <w:iCs/>
                <w:color w:val="509141"/>
                <w:szCs w:val="24"/>
                <w:lang w:val="fr-CH"/>
              </w:rPr>
            </w:pPr>
            <w:r w:rsidRPr="005D41C4">
              <w:rPr>
                <w:rFonts w:ascii="Tahoma" w:hAnsi="Tahoma" w:cs="Tahoma"/>
                <w:b/>
                <w:bCs/>
                <w:iCs/>
                <w:color w:val="509141"/>
                <w:szCs w:val="24"/>
                <w:lang w:val="fr-CH"/>
              </w:rPr>
              <w:t>(</w:t>
            </w:r>
            <w:r w:rsidR="002A523D">
              <w:rPr>
                <w:rFonts w:ascii="Tahoma" w:hAnsi="Tahoma" w:cs="Tahoma"/>
                <w:b/>
                <w:bCs/>
                <w:iCs/>
                <w:color w:val="509141"/>
                <w:szCs w:val="24"/>
                <w:lang w:val="fr-CH"/>
              </w:rPr>
              <w:t>06</w:t>
            </w:r>
            <w:r w:rsidRPr="005D41C4">
              <w:rPr>
                <w:rFonts w:ascii="Tahoma" w:hAnsi="Tahoma" w:cs="Tahoma"/>
                <w:b/>
                <w:bCs/>
                <w:iCs/>
                <w:color w:val="509141"/>
                <w:szCs w:val="24"/>
                <w:lang w:val="fr-CH"/>
              </w:rPr>
              <w:t>/</w:t>
            </w:r>
            <w:r w:rsidR="002A523D">
              <w:rPr>
                <w:rFonts w:ascii="Tahoma" w:hAnsi="Tahoma" w:cs="Tahoma"/>
                <w:b/>
                <w:bCs/>
                <w:iCs/>
                <w:color w:val="509141"/>
                <w:szCs w:val="24"/>
                <w:lang w:val="fr-CH"/>
              </w:rPr>
              <w:t>2018</w:t>
            </w:r>
            <w:r w:rsidRPr="005D41C4">
              <w:rPr>
                <w:rFonts w:ascii="Tahoma" w:hAnsi="Tahoma" w:cs="Tahoma"/>
                <w:b/>
                <w:bCs/>
                <w:iCs/>
                <w:color w:val="509141"/>
                <w:szCs w:val="24"/>
                <w:lang w:val="fr-CH"/>
              </w:rPr>
              <w:t>)</w:t>
            </w:r>
          </w:p>
        </w:tc>
      </w:tr>
      <w:tr w:rsidR="005632C0" w:rsidRPr="00EF7B19" w:rsidTr="00CA109F">
        <w:tc>
          <w:tcPr>
            <w:tcW w:w="10089" w:type="dxa"/>
          </w:tcPr>
          <w:p w:rsidR="005632C0" w:rsidRPr="002A523D" w:rsidRDefault="005632C0" w:rsidP="00CA109F">
            <w:pPr>
              <w:spacing w:before="80" w:line="500" w:lineRule="exact"/>
              <w:jc w:val="right"/>
              <w:rPr>
                <w:rFonts w:ascii="Tahoma" w:hAnsi="Tahoma" w:cs="Tahoma"/>
                <w:b/>
                <w:bCs/>
                <w:iCs/>
                <w:color w:val="509141"/>
                <w:sz w:val="44"/>
                <w:szCs w:val="44"/>
                <w:lang w:val="es-ES_tradnl"/>
              </w:rPr>
            </w:pPr>
          </w:p>
          <w:p w:rsidR="00F261A0" w:rsidRPr="002A523D" w:rsidRDefault="00F261A0" w:rsidP="00CA109F">
            <w:pPr>
              <w:spacing w:before="80" w:line="500" w:lineRule="exact"/>
              <w:jc w:val="right"/>
              <w:rPr>
                <w:rFonts w:ascii="Tahoma" w:hAnsi="Tahoma" w:cs="Tahoma"/>
                <w:b/>
                <w:bCs/>
                <w:iCs/>
                <w:color w:val="509141"/>
                <w:sz w:val="44"/>
                <w:szCs w:val="44"/>
                <w:lang w:val="es-ES_tradnl"/>
              </w:rPr>
            </w:pPr>
          </w:p>
          <w:p w:rsidR="00F261A0" w:rsidRPr="002A523D" w:rsidRDefault="00F261A0" w:rsidP="00CA109F">
            <w:pPr>
              <w:spacing w:before="80" w:line="500" w:lineRule="exact"/>
              <w:jc w:val="right"/>
              <w:rPr>
                <w:rFonts w:ascii="Tahoma" w:hAnsi="Tahoma" w:cs="Tahoma"/>
                <w:b/>
                <w:bCs/>
                <w:iCs/>
                <w:color w:val="509141"/>
                <w:sz w:val="44"/>
                <w:szCs w:val="44"/>
                <w:lang w:val="es-ES_tradnl"/>
              </w:rPr>
            </w:pPr>
          </w:p>
          <w:p w:rsidR="005632C0" w:rsidRPr="00CA109F" w:rsidRDefault="002A523D" w:rsidP="002A523D">
            <w:pPr>
              <w:spacing w:before="80" w:line="500" w:lineRule="exact"/>
              <w:jc w:val="right"/>
              <w:rPr>
                <w:rFonts w:ascii="Tahoma" w:hAnsi="Tahoma" w:cs="Tahoma"/>
                <w:b/>
                <w:bCs/>
                <w:iCs/>
                <w:color w:val="509141"/>
                <w:sz w:val="44"/>
                <w:szCs w:val="44"/>
                <w:lang w:val="es-ES_tradnl"/>
              </w:rPr>
            </w:pPr>
            <w:r w:rsidRPr="002A523D">
              <w:rPr>
                <w:rFonts w:ascii="Tahoma" w:hAnsi="Tahoma" w:cs="Tahoma"/>
                <w:b/>
                <w:bCs/>
                <w:iCs/>
                <w:color w:val="509141"/>
                <w:sz w:val="44"/>
                <w:szCs w:val="44"/>
                <w:lang w:val="es-ES_tradnl"/>
              </w:rPr>
              <w:t xml:space="preserve">Emisiones no deseadas de los </w:t>
            </w:r>
            <w:r>
              <w:rPr>
                <w:rFonts w:ascii="Tahoma" w:hAnsi="Tahoma" w:cs="Tahoma"/>
                <w:b/>
                <w:bCs/>
                <w:iCs/>
                <w:color w:val="509141"/>
                <w:sz w:val="44"/>
                <w:szCs w:val="44"/>
                <w:lang w:val="es-ES_tradnl"/>
              </w:rPr>
              <w:br/>
            </w:r>
            <w:r w:rsidRPr="002A523D">
              <w:rPr>
                <w:rFonts w:ascii="Tahoma" w:hAnsi="Tahoma" w:cs="Tahoma"/>
                <w:b/>
                <w:bCs/>
                <w:iCs/>
                <w:color w:val="509141"/>
                <w:sz w:val="44"/>
                <w:szCs w:val="44"/>
                <w:lang w:val="es-ES_tradnl"/>
              </w:rPr>
              <w:t>sistemas radiodigitales</w:t>
            </w:r>
            <w:r>
              <w:rPr>
                <w:rFonts w:ascii="Tahoma" w:hAnsi="Tahoma" w:cs="Tahoma"/>
                <w:b/>
                <w:bCs/>
                <w:iCs/>
                <w:color w:val="509141"/>
                <w:sz w:val="44"/>
                <w:szCs w:val="44"/>
                <w:lang w:val="es-ES_tradnl"/>
              </w:rPr>
              <w:t xml:space="preserve"> </w:t>
            </w:r>
            <w:r w:rsidR="00BE46FB" w:rsidRPr="00CA109F">
              <w:rPr>
                <w:rFonts w:ascii="Tahoma" w:hAnsi="Tahoma" w:cs="Tahoma"/>
                <w:b/>
                <w:bCs/>
                <w:iCs/>
                <w:color w:val="509141"/>
                <w:sz w:val="44"/>
                <w:szCs w:val="44"/>
                <w:lang w:val="es-ES_tradnl"/>
              </w:rPr>
              <w:t xml:space="preserve"> </w:t>
            </w:r>
          </w:p>
        </w:tc>
      </w:tr>
      <w:tr w:rsidR="005632C0" w:rsidRPr="00EF7B19" w:rsidTr="00CA109F">
        <w:tc>
          <w:tcPr>
            <w:tcW w:w="10089" w:type="dxa"/>
          </w:tcPr>
          <w:p w:rsidR="00F261A0" w:rsidRPr="003353FE" w:rsidRDefault="00F261A0" w:rsidP="00F261A0">
            <w:pPr>
              <w:spacing w:before="80" w:line="280" w:lineRule="exact"/>
              <w:ind w:right="640"/>
              <w:rPr>
                <w:rFonts w:ascii="Tahoma" w:hAnsi="Tahoma" w:cs="Tahoma"/>
                <w:b/>
                <w:bCs/>
                <w:iCs/>
                <w:color w:val="509141"/>
                <w:sz w:val="32"/>
                <w:szCs w:val="32"/>
                <w:lang w:val="es-ES_tradnl"/>
              </w:rPr>
            </w:pPr>
          </w:p>
          <w:p w:rsidR="00F261A0" w:rsidRPr="003353FE" w:rsidRDefault="00F261A0" w:rsidP="00F261A0">
            <w:pPr>
              <w:spacing w:before="80" w:line="280" w:lineRule="exact"/>
              <w:ind w:right="640"/>
              <w:rPr>
                <w:rFonts w:ascii="Tahoma" w:hAnsi="Tahoma" w:cs="Tahoma"/>
                <w:b/>
                <w:bCs/>
                <w:iCs/>
                <w:color w:val="509141"/>
                <w:sz w:val="32"/>
                <w:szCs w:val="32"/>
                <w:lang w:val="es-ES_tradnl"/>
              </w:rPr>
            </w:pPr>
          </w:p>
          <w:p w:rsidR="00F261A0" w:rsidRPr="003353FE" w:rsidRDefault="00F261A0" w:rsidP="00F261A0">
            <w:pPr>
              <w:spacing w:before="80" w:line="280" w:lineRule="exact"/>
              <w:ind w:right="640"/>
              <w:rPr>
                <w:rFonts w:ascii="Tahoma" w:hAnsi="Tahoma" w:cs="Tahoma"/>
                <w:b/>
                <w:bCs/>
                <w:iCs/>
                <w:color w:val="509141"/>
                <w:sz w:val="32"/>
                <w:szCs w:val="32"/>
                <w:lang w:val="es-ES_tradnl"/>
              </w:rPr>
            </w:pPr>
          </w:p>
          <w:p w:rsidR="00F261A0" w:rsidRPr="003353FE" w:rsidRDefault="00F261A0" w:rsidP="00F261A0">
            <w:pPr>
              <w:spacing w:before="80" w:after="180" w:line="360" w:lineRule="exact"/>
              <w:jc w:val="right"/>
              <w:rPr>
                <w:rFonts w:ascii="Tahoma" w:hAnsi="Tahoma" w:cs="Tahoma"/>
                <w:b/>
                <w:bCs/>
                <w:iCs/>
                <w:color w:val="509141"/>
                <w:sz w:val="36"/>
                <w:szCs w:val="36"/>
                <w:lang w:val="es-ES_tradnl"/>
              </w:rPr>
            </w:pPr>
          </w:p>
          <w:p w:rsidR="005632C0" w:rsidRPr="00CA109F" w:rsidRDefault="005632C0" w:rsidP="00CA109F">
            <w:pPr>
              <w:spacing w:before="80" w:after="180" w:line="360" w:lineRule="exact"/>
              <w:jc w:val="right"/>
              <w:rPr>
                <w:rFonts w:ascii="Tahoma" w:hAnsi="Tahoma" w:cs="Tahoma"/>
                <w:b/>
                <w:bCs/>
                <w:iCs/>
                <w:color w:val="509141"/>
                <w:sz w:val="36"/>
                <w:szCs w:val="36"/>
                <w:lang w:val="es-ES_tradnl"/>
              </w:rPr>
            </w:pPr>
            <w:r w:rsidRPr="00CA109F">
              <w:rPr>
                <w:rFonts w:ascii="Tahoma" w:hAnsi="Tahoma" w:cs="Tahoma"/>
                <w:b/>
                <w:bCs/>
                <w:iCs/>
                <w:color w:val="509141"/>
                <w:sz w:val="36"/>
                <w:szCs w:val="36"/>
                <w:lang w:val="es-ES_tradnl"/>
              </w:rPr>
              <w:t xml:space="preserve">Serie </w:t>
            </w:r>
            <w:r w:rsidR="00A10F3A" w:rsidRPr="00CA109F">
              <w:rPr>
                <w:rFonts w:ascii="Tahoma" w:hAnsi="Tahoma" w:cs="Tahoma"/>
                <w:b/>
                <w:bCs/>
                <w:iCs/>
                <w:color w:val="509141"/>
                <w:sz w:val="36"/>
                <w:szCs w:val="36"/>
                <w:lang w:val="es-ES_tradnl"/>
              </w:rPr>
              <w:t>S</w:t>
            </w:r>
            <w:r w:rsidR="003A6B2B" w:rsidRPr="00CA109F">
              <w:rPr>
                <w:rFonts w:ascii="Tahoma" w:hAnsi="Tahoma" w:cs="Tahoma"/>
                <w:b/>
                <w:bCs/>
                <w:iCs/>
                <w:color w:val="509141"/>
                <w:sz w:val="36"/>
                <w:szCs w:val="36"/>
                <w:lang w:val="es-ES_tradnl"/>
              </w:rPr>
              <w:t>M</w:t>
            </w:r>
          </w:p>
          <w:p w:rsidR="005632C0" w:rsidRPr="00CA109F" w:rsidRDefault="003A6B2B" w:rsidP="00CA109F">
            <w:pPr>
              <w:spacing w:before="80" w:line="420" w:lineRule="exact"/>
              <w:jc w:val="right"/>
              <w:rPr>
                <w:rFonts w:ascii="Tahoma" w:hAnsi="Tahoma" w:cs="Tahoma"/>
                <w:b/>
                <w:bCs/>
                <w:iCs/>
                <w:color w:val="509141"/>
                <w:sz w:val="36"/>
                <w:szCs w:val="36"/>
                <w:lang w:val="es-ES_tradnl"/>
              </w:rPr>
            </w:pPr>
            <w:r w:rsidRPr="00CA109F">
              <w:rPr>
                <w:rFonts w:ascii="Tahoma" w:hAnsi="Tahoma" w:cs="Tahoma"/>
                <w:b/>
                <w:bCs/>
                <w:iCs/>
                <w:color w:val="509141"/>
                <w:sz w:val="36"/>
                <w:szCs w:val="36"/>
                <w:lang w:val="es-ES_tradnl"/>
              </w:rPr>
              <w:t>Gestión del espectro</w:t>
            </w:r>
          </w:p>
        </w:tc>
      </w:tr>
    </w:tbl>
    <w:p w:rsidR="005632C0" w:rsidRPr="00AF1597" w:rsidRDefault="005632C0" w:rsidP="005632C0">
      <w:pPr>
        <w:spacing w:before="80"/>
        <w:rPr>
          <w:i/>
          <w:sz w:val="22"/>
          <w:lang w:val="es-ES_tradnl"/>
        </w:rPr>
      </w:pPr>
    </w:p>
    <w:p w:rsidR="005632C0" w:rsidRPr="00AF1597" w:rsidRDefault="005632C0" w:rsidP="005632C0">
      <w:pPr>
        <w:spacing w:before="80"/>
        <w:rPr>
          <w:i/>
          <w:sz w:val="22"/>
          <w:lang w:val="es-ES_tradnl"/>
        </w:rPr>
      </w:pPr>
    </w:p>
    <w:p w:rsidR="005632C0" w:rsidRPr="00AF1597" w:rsidRDefault="005632C0" w:rsidP="005632C0">
      <w:pPr>
        <w:spacing w:before="80"/>
        <w:rPr>
          <w:i/>
          <w:sz w:val="22"/>
          <w:lang w:val="es-ES_tradnl"/>
        </w:rPr>
      </w:pPr>
    </w:p>
    <w:p w:rsidR="005632C0" w:rsidRPr="00AF1597" w:rsidRDefault="005632C0" w:rsidP="005632C0">
      <w:pPr>
        <w:spacing w:before="80"/>
        <w:rPr>
          <w:i/>
          <w:sz w:val="22"/>
          <w:lang w:val="es-ES_tradnl"/>
        </w:rPr>
      </w:pPr>
    </w:p>
    <w:p w:rsidR="005632C0" w:rsidRPr="00AF1597" w:rsidRDefault="005632C0" w:rsidP="005632C0">
      <w:pPr>
        <w:spacing w:before="80"/>
        <w:rPr>
          <w:i/>
          <w:sz w:val="22"/>
          <w:lang w:val="es-ES_tradnl"/>
        </w:rPr>
      </w:pPr>
    </w:p>
    <w:p w:rsidR="005632C0" w:rsidRPr="00AF1597" w:rsidRDefault="005632C0" w:rsidP="005632C0">
      <w:pPr>
        <w:spacing w:before="80"/>
        <w:rPr>
          <w:i/>
          <w:sz w:val="22"/>
          <w:lang w:val="es-ES_tradnl"/>
        </w:rPr>
      </w:pPr>
    </w:p>
    <w:p w:rsidR="005632C0" w:rsidRPr="00AF1597" w:rsidRDefault="005632C0" w:rsidP="005632C0">
      <w:pPr>
        <w:pStyle w:val="Equation"/>
        <w:tabs>
          <w:tab w:val="clear" w:pos="4820"/>
          <w:tab w:val="clear" w:pos="9639"/>
          <w:tab w:val="left" w:pos="1191"/>
          <w:tab w:val="left" w:pos="1588"/>
          <w:tab w:val="left" w:pos="1985"/>
        </w:tabs>
        <w:rPr>
          <w:rFonts w:ascii="Palatino Linotype" w:hAnsi="Palatino Linotype"/>
          <w:lang w:val="es-ES_tradnl"/>
        </w:rPr>
        <w:sectPr w:rsidR="005632C0" w:rsidRPr="00AF1597">
          <w:headerReference w:type="even" r:id="rId8"/>
          <w:headerReference w:type="default" r:id="rId9"/>
          <w:pgSz w:w="11907" w:h="16840" w:code="9"/>
          <w:pgMar w:top="1089" w:right="1089" w:bottom="284" w:left="1089" w:header="567" w:footer="284" w:gutter="0"/>
          <w:pgNumType w:start="1"/>
          <w:cols w:space="720"/>
        </w:sectPr>
      </w:pPr>
    </w:p>
    <w:p w:rsidR="005632C0" w:rsidRPr="006C718C" w:rsidRDefault="005632C0" w:rsidP="00B2659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0" w:after="0"/>
        <w:rPr>
          <w:bCs/>
          <w:sz w:val="24"/>
          <w:szCs w:val="24"/>
          <w:lang w:val="es-ES_tradnl"/>
        </w:rPr>
      </w:pPr>
      <w:bookmarkStart w:id="1" w:name="c2tope"/>
      <w:bookmarkEnd w:id="1"/>
      <w:r w:rsidRPr="006C718C">
        <w:rPr>
          <w:bCs/>
          <w:sz w:val="24"/>
          <w:szCs w:val="24"/>
          <w:lang w:val="es-ES_tradnl"/>
        </w:rPr>
        <w:lastRenderedPageBreak/>
        <w:t>Prólogo</w:t>
      </w:r>
    </w:p>
    <w:p w:rsidR="005632C0" w:rsidRPr="006C718C" w:rsidRDefault="005632C0" w:rsidP="005632C0">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5632C0" w:rsidRDefault="005632C0" w:rsidP="005632C0">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rsidR="005632C0" w:rsidRDefault="005632C0" w:rsidP="005632C0">
      <w:pPr>
        <w:spacing w:before="0"/>
        <w:rPr>
          <w:sz w:val="20"/>
          <w:lang w:val="es-ES_tradnl"/>
        </w:rPr>
      </w:pPr>
    </w:p>
    <w:p w:rsidR="005632C0" w:rsidRPr="006C718C" w:rsidRDefault="005632C0" w:rsidP="005632C0">
      <w:pPr>
        <w:spacing w:before="0"/>
        <w:rPr>
          <w:sz w:val="20"/>
          <w:lang w:val="es-ES_tradnl"/>
        </w:rPr>
      </w:pPr>
    </w:p>
    <w:p w:rsidR="005632C0" w:rsidRPr="00021E8A" w:rsidRDefault="005632C0" w:rsidP="005632C0">
      <w:pPr>
        <w:pStyle w:val="Heading1"/>
        <w:spacing w:before="340"/>
        <w:jc w:val="center"/>
        <w:rPr>
          <w:szCs w:val="24"/>
          <w:lang w:val="es-ES_tradnl"/>
        </w:rPr>
      </w:pPr>
      <w:r w:rsidRPr="007C36CA">
        <w:rPr>
          <w:lang w:val="es-ES_tradnl"/>
        </w:rPr>
        <w:t>Política sobre Derechos de Propiedad Intelectual</w:t>
      </w:r>
      <w:r w:rsidRPr="00021E8A">
        <w:rPr>
          <w:szCs w:val="24"/>
          <w:lang w:val="es-ES_tradnl"/>
        </w:rPr>
        <w:t xml:space="preserve"> (IPR)</w:t>
      </w:r>
    </w:p>
    <w:p w:rsidR="005632C0" w:rsidRPr="00021E8A" w:rsidRDefault="005632C0" w:rsidP="005632C0">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el Anexo 1 a la Resolución UIT</w:t>
      </w:r>
      <w:r w:rsidRPr="00021E8A">
        <w:rPr>
          <w:sz w:val="20"/>
          <w:lang w:val="es-ES_tradnl"/>
        </w:rPr>
        <w:noBreakHyphen/>
        <w:t xml:space="preserve">R 1. Los formularios que deben utilizarse en la declaración sobre patentes y utilización de patentes por los titulares de las mismas figuran en la dirección web </w:t>
      </w:r>
      <w:hyperlink r:id="rId10" w:history="1">
        <w:r w:rsidRPr="00021E8A">
          <w:rPr>
            <w:rStyle w:val="Hyperlink"/>
            <w:sz w:val="20"/>
            <w:lang w:val="es-ES_tradnl"/>
          </w:rPr>
          <w:t>http://www.itu.int/ITU-R/go/patents/es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rsidR="005632C0" w:rsidRDefault="005632C0" w:rsidP="005632C0">
      <w:pPr>
        <w:spacing w:before="0"/>
        <w:jc w:val="center"/>
        <w:rPr>
          <w:sz w:val="22"/>
          <w:lang w:val="es-ES_tradnl"/>
        </w:rPr>
      </w:pPr>
    </w:p>
    <w:p w:rsidR="005632C0" w:rsidRPr="007C36CA" w:rsidRDefault="005632C0" w:rsidP="005632C0">
      <w:pPr>
        <w:spacing w:before="0"/>
        <w:jc w:val="center"/>
        <w:rPr>
          <w:sz w:val="22"/>
          <w:lang w:val="es-ES_tradnl"/>
        </w:rPr>
      </w:pPr>
    </w:p>
    <w:p w:rsidR="005632C0" w:rsidRPr="007C36CA" w:rsidRDefault="005632C0" w:rsidP="005632C0">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5632C0" w:rsidRPr="00EF7B19" w:rsidTr="00474D58">
        <w:tc>
          <w:tcPr>
            <w:tcW w:w="9360" w:type="dxa"/>
            <w:gridSpan w:val="2"/>
          </w:tcPr>
          <w:p w:rsidR="005632C0" w:rsidRPr="00021E8A" w:rsidRDefault="005632C0" w:rsidP="00474D58">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Series de</w:t>
            </w:r>
            <w:r>
              <w:rPr>
                <w:sz w:val="22"/>
                <w:szCs w:val="22"/>
                <w:lang w:val="es-ES_tradnl"/>
              </w:rPr>
              <w:t xml:space="preserve"> lo</w:t>
            </w:r>
            <w:r w:rsidRPr="00021E8A">
              <w:rPr>
                <w:sz w:val="22"/>
                <w:szCs w:val="22"/>
                <w:lang w:val="es-ES_tradnl"/>
              </w:rPr>
              <w:t xml:space="preserve">s </w:t>
            </w:r>
            <w:r>
              <w:rPr>
                <w:sz w:val="22"/>
                <w:szCs w:val="22"/>
                <w:lang w:val="es-ES_tradnl"/>
              </w:rPr>
              <w:t>Informes</w:t>
            </w:r>
            <w:r w:rsidRPr="00021E8A">
              <w:rPr>
                <w:sz w:val="22"/>
                <w:szCs w:val="22"/>
                <w:lang w:val="es-ES_tradnl"/>
              </w:rPr>
              <w:t xml:space="preserve"> UIT-R </w:t>
            </w:r>
          </w:p>
          <w:p w:rsidR="005632C0" w:rsidRPr="00763D08" w:rsidRDefault="005632C0" w:rsidP="00474D5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hyperlink r:id="rId11" w:history="1">
              <w:r w:rsidRPr="0064346B">
                <w:rPr>
                  <w:rStyle w:val="Hyperlink"/>
                  <w:b w:val="0"/>
                  <w:sz w:val="18"/>
                  <w:szCs w:val="18"/>
                  <w:lang w:val="es-ES_tradnl"/>
                </w:rPr>
                <w:t>http://www.itu.int/publ/R-REP/es</w:t>
              </w:r>
            </w:hyperlink>
            <w:r w:rsidRPr="00763D08">
              <w:rPr>
                <w:b w:val="0"/>
                <w:bCs/>
                <w:sz w:val="18"/>
                <w:szCs w:val="18"/>
                <w:lang w:val="es-ES_tradnl"/>
              </w:rPr>
              <w:t>)</w:t>
            </w:r>
          </w:p>
        </w:tc>
      </w:tr>
      <w:tr w:rsidR="005632C0" w:rsidRPr="00036EE3" w:rsidTr="00EC62B0">
        <w:tc>
          <w:tcPr>
            <w:tcW w:w="1140" w:type="dxa"/>
            <w:tcBorders>
              <w:bottom w:val="nil"/>
            </w:tcBorders>
          </w:tcPr>
          <w:p w:rsidR="005632C0" w:rsidRPr="00036EE3" w:rsidRDefault="005632C0" w:rsidP="00474D58">
            <w:pPr>
              <w:spacing w:before="180" w:after="100"/>
              <w:ind w:left="57"/>
              <w:rPr>
                <w:b/>
                <w:bCs/>
                <w:sz w:val="20"/>
                <w:lang w:val="en-US"/>
              </w:rPr>
            </w:pPr>
            <w:r w:rsidRPr="00036EE3">
              <w:rPr>
                <w:b/>
                <w:bCs/>
                <w:sz w:val="20"/>
                <w:lang w:val="en-US"/>
              </w:rPr>
              <w:t>Series</w:t>
            </w:r>
          </w:p>
        </w:tc>
        <w:tc>
          <w:tcPr>
            <w:tcW w:w="8220" w:type="dxa"/>
            <w:tcBorders>
              <w:bottom w:val="nil"/>
            </w:tcBorders>
          </w:tcPr>
          <w:p w:rsidR="005632C0" w:rsidRPr="00036EE3" w:rsidRDefault="005632C0" w:rsidP="00474D5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r>
              <w:rPr>
                <w:bCs/>
                <w:sz w:val="20"/>
                <w:lang w:val="en-US"/>
              </w:rPr>
              <w:t>Título</w:t>
            </w:r>
          </w:p>
        </w:tc>
      </w:tr>
      <w:tr w:rsidR="005632C0" w:rsidRPr="00EC62B0" w:rsidTr="00F12544">
        <w:tc>
          <w:tcPr>
            <w:tcW w:w="1140" w:type="dxa"/>
            <w:tcBorders>
              <w:top w:val="nil"/>
              <w:bottom w:val="nil"/>
            </w:tcBorders>
            <w:shd w:val="clear" w:color="auto" w:fill="auto"/>
          </w:tcPr>
          <w:p w:rsidR="005632C0" w:rsidRPr="00EC62B0" w:rsidRDefault="005632C0" w:rsidP="00474D58">
            <w:pPr>
              <w:spacing w:before="30" w:after="30"/>
              <w:ind w:left="57"/>
              <w:jc w:val="left"/>
              <w:rPr>
                <w:b/>
                <w:bCs/>
                <w:sz w:val="20"/>
                <w:lang w:val="en-US"/>
              </w:rPr>
            </w:pPr>
            <w:r w:rsidRPr="00EC62B0">
              <w:rPr>
                <w:b/>
                <w:bCs/>
                <w:sz w:val="20"/>
                <w:lang w:val="en-US"/>
              </w:rPr>
              <w:t>BO</w:t>
            </w:r>
          </w:p>
        </w:tc>
        <w:tc>
          <w:tcPr>
            <w:tcW w:w="8220" w:type="dxa"/>
            <w:tcBorders>
              <w:top w:val="nil"/>
              <w:bottom w:val="nil"/>
            </w:tcBorders>
            <w:shd w:val="clear" w:color="auto" w:fill="auto"/>
          </w:tcPr>
          <w:p w:rsidR="005632C0" w:rsidRPr="00EC62B0" w:rsidRDefault="005632C0" w:rsidP="00474D5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C62B0">
              <w:rPr>
                <w:b w:val="0"/>
                <w:sz w:val="20"/>
              </w:rPr>
              <w:t>Distribución por satélite</w:t>
            </w:r>
          </w:p>
        </w:tc>
      </w:tr>
      <w:tr w:rsidR="005632C0" w:rsidRPr="00EF7B19" w:rsidTr="00B11D5D">
        <w:tc>
          <w:tcPr>
            <w:tcW w:w="1140" w:type="dxa"/>
            <w:tcBorders>
              <w:top w:val="nil"/>
              <w:bottom w:val="nil"/>
            </w:tcBorders>
            <w:shd w:val="clear" w:color="auto" w:fill="auto"/>
          </w:tcPr>
          <w:p w:rsidR="005632C0" w:rsidRPr="00F12544" w:rsidRDefault="005632C0" w:rsidP="00474D58">
            <w:pPr>
              <w:spacing w:before="30" w:after="30"/>
              <w:ind w:left="57"/>
              <w:jc w:val="left"/>
              <w:rPr>
                <w:b/>
                <w:bCs/>
                <w:sz w:val="20"/>
                <w:lang w:val="en-US"/>
              </w:rPr>
            </w:pPr>
            <w:r w:rsidRPr="00F12544">
              <w:rPr>
                <w:b/>
                <w:bCs/>
                <w:sz w:val="20"/>
                <w:lang w:val="en-US"/>
              </w:rPr>
              <w:t>BR</w:t>
            </w:r>
          </w:p>
        </w:tc>
        <w:tc>
          <w:tcPr>
            <w:tcW w:w="8220" w:type="dxa"/>
            <w:tcBorders>
              <w:top w:val="nil"/>
              <w:bottom w:val="nil"/>
            </w:tcBorders>
            <w:shd w:val="clear" w:color="auto" w:fill="auto"/>
          </w:tcPr>
          <w:p w:rsidR="005632C0" w:rsidRPr="00F12544" w:rsidRDefault="005632C0" w:rsidP="00474D5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s-ES_tradnl"/>
              </w:rPr>
            </w:pPr>
            <w:r w:rsidRPr="00F12544">
              <w:rPr>
                <w:b w:val="0"/>
                <w:bCs/>
                <w:sz w:val="20"/>
                <w:lang w:val="es-ES_tradnl"/>
              </w:rPr>
              <w:t>Registro para producción, archivo y reproducción; películas en televisión</w:t>
            </w:r>
          </w:p>
        </w:tc>
      </w:tr>
      <w:tr w:rsidR="005632C0" w:rsidRPr="00B11D5D" w:rsidTr="00D73486">
        <w:tc>
          <w:tcPr>
            <w:tcW w:w="1140" w:type="dxa"/>
            <w:tcBorders>
              <w:top w:val="nil"/>
              <w:bottom w:val="nil"/>
            </w:tcBorders>
            <w:shd w:val="clear" w:color="auto" w:fill="auto"/>
          </w:tcPr>
          <w:p w:rsidR="005632C0" w:rsidRPr="00B11D5D" w:rsidRDefault="005632C0" w:rsidP="00474D58">
            <w:pPr>
              <w:spacing w:before="30" w:after="30"/>
              <w:ind w:left="57"/>
              <w:jc w:val="left"/>
              <w:rPr>
                <w:b/>
                <w:bCs/>
                <w:sz w:val="20"/>
                <w:lang w:val="en-US"/>
              </w:rPr>
            </w:pPr>
            <w:r w:rsidRPr="00B11D5D">
              <w:rPr>
                <w:b/>
                <w:bCs/>
                <w:sz w:val="20"/>
                <w:lang w:val="en-US"/>
              </w:rPr>
              <w:t>BS</w:t>
            </w:r>
          </w:p>
        </w:tc>
        <w:tc>
          <w:tcPr>
            <w:tcW w:w="8220" w:type="dxa"/>
            <w:tcBorders>
              <w:top w:val="nil"/>
              <w:bottom w:val="nil"/>
            </w:tcBorders>
            <w:shd w:val="clear" w:color="auto" w:fill="auto"/>
          </w:tcPr>
          <w:p w:rsidR="005632C0" w:rsidRPr="00B11D5D" w:rsidRDefault="005632C0" w:rsidP="00474D5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B11D5D">
              <w:rPr>
                <w:b w:val="0"/>
                <w:sz w:val="20"/>
              </w:rPr>
              <w:t>Servicio de radiodifusión sonora</w:t>
            </w:r>
          </w:p>
        </w:tc>
      </w:tr>
      <w:tr w:rsidR="005632C0" w:rsidRPr="00D73486" w:rsidTr="0064346B">
        <w:tc>
          <w:tcPr>
            <w:tcW w:w="1140" w:type="dxa"/>
            <w:tcBorders>
              <w:top w:val="nil"/>
              <w:bottom w:val="nil"/>
            </w:tcBorders>
            <w:shd w:val="clear" w:color="auto" w:fill="auto"/>
          </w:tcPr>
          <w:p w:rsidR="005632C0" w:rsidRPr="00D73486" w:rsidRDefault="005632C0" w:rsidP="00474D58">
            <w:pPr>
              <w:spacing w:before="30" w:after="30"/>
              <w:ind w:left="57"/>
              <w:jc w:val="left"/>
              <w:rPr>
                <w:b/>
                <w:bCs/>
                <w:sz w:val="20"/>
                <w:lang w:val="en-US"/>
              </w:rPr>
            </w:pPr>
            <w:r w:rsidRPr="00D73486">
              <w:rPr>
                <w:b/>
                <w:bCs/>
                <w:sz w:val="20"/>
                <w:lang w:val="en-US"/>
              </w:rPr>
              <w:t>BT</w:t>
            </w:r>
          </w:p>
        </w:tc>
        <w:tc>
          <w:tcPr>
            <w:tcW w:w="8220" w:type="dxa"/>
            <w:tcBorders>
              <w:top w:val="nil"/>
              <w:bottom w:val="nil"/>
            </w:tcBorders>
            <w:shd w:val="clear" w:color="auto" w:fill="auto"/>
          </w:tcPr>
          <w:p w:rsidR="005632C0" w:rsidRPr="00D73486" w:rsidRDefault="005632C0" w:rsidP="00474D5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D73486">
              <w:rPr>
                <w:b w:val="0"/>
                <w:sz w:val="20"/>
              </w:rPr>
              <w:t>Servicio de radiodifusión (televisión)</w:t>
            </w:r>
          </w:p>
        </w:tc>
      </w:tr>
      <w:tr w:rsidR="005632C0" w:rsidRPr="0064346B" w:rsidTr="00297C87">
        <w:tc>
          <w:tcPr>
            <w:tcW w:w="1140" w:type="dxa"/>
            <w:tcBorders>
              <w:top w:val="nil"/>
              <w:bottom w:val="nil"/>
            </w:tcBorders>
            <w:shd w:val="clear" w:color="auto" w:fill="auto"/>
          </w:tcPr>
          <w:p w:rsidR="005632C0" w:rsidRPr="0064346B" w:rsidRDefault="005632C0" w:rsidP="00474D58">
            <w:pPr>
              <w:spacing w:before="30" w:after="30"/>
              <w:ind w:left="57"/>
              <w:jc w:val="left"/>
              <w:rPr>
                <w:b/>
                <w:bCs/>
                <w:sz w:val="20"/>
                <w:lang w:val="fr-CH"/>
              </w:rPr>
            </w:pPr>
            <w:r w:rsidRPr="0064346B">
              <w:rPr>
                <w:b/>
                <w:bCs/>
                <w:sz w:val="20"/>
                <w:lang w:val="fr-CH"/>
              </w:rPr>
              <w:t>F</w:t>
            </w:r>
          </w:p>
        </w:tc>
        <w:tc>
          <w:tcPr>
            <w:tcW w:w="8220" w:type="dxa"/>
            <w:tcBorders>
              <w:top w:val="nil"/>
              <w:bottom w:val="nil"/>
            </w:tcBorders>
            <w:shd w:val="clear" w:color="auto" w:fill="auto"/>
          </w:tcPr>
          <w:p w:rsidR="005632C0" w:rsidRPr="0064346B" w:rsidRDefault="005632C0" w:rsidP="00474D58">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64346B">
              <w:rPr>
                <w:sz w:val="20"/>
              </w:rPr>
              <w:t>Servicio fijo</w:t>
            </w:r>
          </w:p>
        </w:tc>
      </w:tr>
      <w:tr w:rsidR="005632C0" w:rsidRPr="00EF7B19" w:rsidTr="00F84F54">
        <w:tc>
          <w:tcPr>
            <w:tcW w:w="1140" w:type="dxa"/>
            <w:tcBorders>
              <w:top w:val="nil"/>
              <w:bottom w:val="nil"/>
            </w:tcBorders>
            <w:shd w:val="clear" w:color="auto" w:fill="auto"/>
          </w:tcPr>
          <w:p w:rsidR="005632C0" w:rsidRPr="00297C87" w:rsidRDefault="005632C0" w:rsidP="00474D58">
            <w:pPr>
              <w:spacing w:before="30" w:after="30"/>
              <w:ind w:left="57"/>
              <w:jc w:val="left"/>
              <w:rPr>
                <w:b/>
                <w:bCs/>
                <w:sz w:val="20"/>
                <w:lang w:val="en-US"/>
              </w:rPr>
            </w:pPr>
            <w:r w:rsidRPr="00297C87">
              <w:rPr>
                <w:b/>
                <w:bCs/>
                <w:sz w:val="20"/>
                <w:lang w:val="en-US"/>
              </w:rPr>
              <w:t>M</w:t>
            </w:r>
          </w:p>
        </w:tc>
        <w:tc>
          <w:tcPr>
            <w:tcW w:w="8220" w:type="dxa"/>
            <w:tcBorders>
              <w:top w:val="nil"/>
              <w:bottom w:val="nil"/>
            </w:tcBorders>
            <w:shd w:val="clear" w:color="auto" w:fill="auto"/>
          </w:tcPr>
          <w:p w:rsidR="005632C0" w:rsidRPr="00297C87" w:rsidRDefault="005632C0" w:rsidP="00474D5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297C87">
              <w:rPr>
                <w:b w:val="0"/>
                <w:sz w:val="20"/>
                <w:lang w:val="es-ES_tradnl"/>
              </w:rPr>
              <w:t>Servicios móviles, de radiodeterminación, de aficionados y otros servicios por satélite conexos</w:t>
            </w:r>
          </w:p>
        </w:tc>
      </w:tr>
      <w:tr w:rsidR="005632C0" w:rsidRPr="00EF7B19" w:rsidTr="00A10F3A">
        <w:tc>
          <w:tcPr>
            <w:tcW w:w="1140" w:type="dxa"/>
            <w:tcBorders>
              <w:top w:val="nil"/>
              <w:bottom w:val="nil"/>
            </w:tcBorders>
            <w:shd w:val="clear" w:color="auto" w:fill="auto"/>
          </w:tcPr>
          <w:p w:rsidR="005632C0" w:rsidRPr="00F84F54" w:rsidRDefault="005632C0" w:rsidP="00474D58">
            <w:pPr>
              <w:spacing w:before="30" w:after="30"/>
              <w:ind w:left="57"/>
              <w:jc w:val="left"/>
              <w:rPr>
                <w:b/>
                <w:bCs/>
                <w:sz w:val="20"/>
                <w:lang w:val="fr-CH"/>
              </w:rPr>
            </w:pPr>
            <w:r w:rsidRPr="00F84F54">
              <w:rPr>
                <w:b/>
                <w:bCs/>
                <w:sz w:val="20"/>
                <w:lang w:val="fr-CH"/>
              </w:rPr>
              <w:t>P</w:t>
            </w:r>
          </w:p>
        </w:tc>
        <w:tc>
          <w:tcPr>
            <w:tcW w:w="8220" w:type="dxa"/>
            <w:tcBorders>
              <w:top w:val="nil"/>
              <w:bottom w:val="nil"/>
            </w:tcBorders>
            <w:shd w:val="clear" w:color="auto" w:fill="auto"/>
          </w:tcPr>
          <w:p w:rsidR="005632C0" w:rsidRPr="00F84F54" w:rsidRDefault="005632C0" w:rsidP="00474D58">
            <w:pPr>
              <w:spacing w:before="30" w:after="30"/>
              <w:jc w:val="left"/>
              <w:rPr>
                <w:sz w:val="20"/>
                <w:lang w:val="es-ES_tradnl"/>
              </w:rPr>
            </w:pPr>
            <w:r w:rsidRPr="00F84F54">
              <w:rPr>
                <w:sz w:val="20"/>
                <w:lang w:val="es-ES_tradnl"/>
              </w:rPr>
              <w:t>Propagación de las ondas radioeléctricas</w:t>
            </w:r>
          </w:p>
        </w:tc>
      </w:tr>
      <w:tr w:rsidR="005632C0" w:rsidRPr="00A10F3A" w:rsidTr="007C5CE9">
        <w:tc>
          <w:tcPr>
            <w:tcW w:w="1140" w:type="dxa"/>
            <w:tcBorders>
              <w:top w:val="nil"/>
              <w:bottom w:val="nil"/>
            </w:tcBorders>
            <w:shd w:val="clear" w:color="auto" w:fill="auto"/>
          </w:tcPr>
          <w:p w:rsidR="005632C0" w:rsidRPr="00A10F3A" w:rsidRDefault="005632C0" w:rsidP="00474D58">
            <w:pPr>
              <w:spacing w:before="30" w:after="30"/>
              <w:ind w:left="57"/>
              <w:jc w:val="left"/>
              <w:rPr>
                <w:b/>
                <w:bCs/>
                <w:sz w:val="20"/>
                <w:lang w:val="en-US"/>
              </w:rPr>
            </w:pPr>
            <w:r w:rsidRPr="00A10F3A">
              <w:rPr>
                <w:b/>
                <w:bCs/>
                <w:sz w:val="20"/>
                <w:lang w:val="en-US"/>
              </w:rPr>
              <w:t>RA</w:t>
            </w:r>
          </w:p>
        </w:tc>
        <w:tc>
          <w:tcPr>
            <w:tcW w:w="8220" w:type="dxa"/>
            <w:tcBorders>
              <w:top w:val="nil"/>
              <w:bottom w:val="nil"/>
            </w:tcBorders>
            <w:shd w:val="clear" w:color="auto" w:fill="auto"/>
          </w:tcPr>
          <w:p w:rsidR="005632C0" w:rsidRPr="00A10F3A" w:rsidRDefault="005632C0" w:rsidP="00474D58">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A10F3A">
              <w:rPr>
                <w:sz w:val="20"/>
              </w:rPr>
              <w:t>Radio astronomía</w:t>
            </w:r>
          </w:p>
        </w:tc>
      </w:tr>
      <w:tr w:rsidR="005632C0" w:rsidRPr="00EF7B19" w:rsidTr="00AC1323">
        <w:tc>
          <w:tcPr>
            <w:tcW w:w="1140" w:type="dxa"/>
            <w:tcBorders>
              <w:top w:val="nil"/>
              <w:bottom w:val="nil"/>
            </w:tcBorders>
            <w:shd w:val="clear" w:color="auto" w:fill="auto"/>
          </w:tcPr>
          <w:p w:rsidR="005632C0" w:rsidRPr="007C5CE9" w:rsidRDefault="005632C0" w:rsidP="00474D58">
            <w:pPr>
              <w:spacing w:before="30" w:after="30"/>
              <w:ind w:left="57"/>
              <w:jc w:val="left"/>
              <w:rPr>
                <w:b/>
                <w:bCs/>
                <w:sz w:val="20"/>
                <w:lang w:val="en-US"/>
              </w:rPr>
            </w:pPr>
            <w:r w:rsidRPr="007C5CE9">
              <w:rPr>
                <w:b/>
                <w:bCs/>
                <w:sz w:val="20"/>
                <w:lang w:val="en-US"/>
              </w:rPr>
              <w:t>RS</w:t>
            </w:r>
          </w:p>
        </w:tc>
        <w:tc>
          <w:tcPr>
            <w:tcW w:w="8220" w:type="dxa"/>
            <w:tcBorders>
              <w:top w:val="nil"/>
              <w:bottom w:val="nil"/>
            </w:tcBorders>
            <w:shd w:val="clear" w:color="auto" w:fill="auto"/>
          </w:tcPr>
          <w:p w:rsidR="005632C0" w:rsidRPr="007C5CE9" w:rsidRDefault="005632C0" w:rsidP="00474D58">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s-ES_tradnl"/>
              </w:rPr>
            </w:pPr>
            <w:r w:rsidRPr="007C5CE9">
              <w:rPr>
                <w:sz w:val="20"/>
                <w:lang w:val="es-ES_tradnl"/>
              </w:rPr>
              <w:t>Sistemas de detección a distancia</w:t>
            </w:r>
          </w:p>
        </w:tc>
      </w:tr>
      <w:tr w:rsidR="005632C0" w:rsidRPr="00AC1323" w:rsidTr="00BA28E1">
        <w:tc>
          <w:tcPr>
            <w:tcW w:w="1140" w:type="dxa"/>
            <w:tcBorders>
              <w:top w:val="nil"/>
              <w:bottom w:val="nil"/>
            </w:tcBorders>
            <w:shd w:val="clear" w:color="auto" w:fill="auto"/>
          </w:tcPr>
          <w:p w:rsidR="005632C0" w:rsidRPr="00AC1323" w:rsidRDefault="005632C0" w:rsidP="00474D58">
            <w:pPr>
              <w:spacing w:before="30" w:after="30"/>
              <w:ind w:left="57"/>
              <w:jc w:val="left"/>
              <w:rPr>
                <w:b/>
                <w:bCs/>
                <w:sz w:val="20"/>
                <w:lang w:val="en-US"/>
              </w:rPr>
            </w:pPr>
            <w:r w:rsidRPr="00AC1323">
              <w:rPr>
                <w:b/>
                <w:bCs/>
                <w:sz w:val="20"/>
                <w:lang w:val="en-US"/>
              </w:rPr>
              <w:t>S</w:t>
            </w:r>
          </w:p>
        </w:tc>
        <w:tc>
          <w:tcPr>
            <w:tcW w:w="8220" w:type="dxa"/>
            <w:tcBorders>
              <w:top w:val="nil"/>
              <w:bottom w:val="nil"/>
            </w:tcBorders>
            <w:shd w:val="clear" w:color="auto" w:fill="auto"/>
          </w:tcPr>
          <w:p w:rsidR="005632C0" w:rsidRPr="00AC1323" w:rsidRDefault="005632C0" w:rsidP="00474D58">
            <w:pPr>
              <w:spacing w:before="30" w:after="30"/>
              <w:jc w:val="left"/>
              <w:rPr>
                <w:sz w:val="20"/>
              </w:rPr>
            </w:pPr>
            <w:r w:rsidRPr="00AC1323">
              <w:rPr>
                <w:sz w:val="20"/>
              </w:rPr>
              <w:t>Servicio</w:t>
            </w:r>
            <w:r w:rsidR="00936035">
              <w:rPr>
                <w:sz w:val="20"/>
              </w:rPr>
              <w:t xml:space="preserve"> fijo</w:t>
            </w:r>
            <w:r w:rsidRPr="00AC1323">
              <w:rPr>
                <w:sz w:val="20"/>
              </w:rPr>
              <w:t xml:space="preserve"> por satélite</w:t>
            </w:r>
          </w:p>
        </w:tc>
      </w:tr>
      <w:tr w:rsidR="005632C0" w:rsidRPr="00BA28E1" w:rsidTr="003A6B2B">
        <w:tc>
          <w:tcPr>
            <w:tcW w:w="1140" w:type="dxa"/>
            <w:tcBorders>
              <w:top w:val="nil"/>
              <w:bottom w:val="nil"/>
            </w:tcBorders>
            <w:shd w:val="clear" w:color="auto" w:fill="auto"/>
          </w:tcPr>
          <w:p w:rsidR="005632C0" w:rsidRPr="00BA28E1" w:rsidRDefault="005632C0" w:rsidP="00474D58">
            <w:pPr>
              <w:spacing w:before="30" w:after="30"/>
              <w:ind w:left="57"/>
              <w:jc w:val="left"/>
              <w:rPr>
                <w:b/>
                <w:bCs/>
                <w:sz w:val="20"/>
                <w:lang w:val="en-US"/>
              </w:rPr>
            </w:pPr>
            <w:r w:rsidRPr="00BA28E1">
              <w:rPr>
                <w:b/>
                <w:bCs/>
                <w:sz w:val="20"/>
                <w:lang w:val="en-US"/>
              </w:rPr>
              <w:t>SA</w:t>
            </w:r>
          </w:p>
        </w:tc>
        <w:tc>
          <w:tcPr>
            <w:tcW w:w="8220" w:type="dxa"/>
            <w:tcBorders>
              <w:top w:val="nil"/>
              <w:bottom w:val="nil"/>
            </w:tcBorders>
            <w:shd w:val="clear" w:color="auto" w:fill="auto"/>
          </w:tcPr>
          <w:p w:rsidR="005632C0" w:rsidRPr="00BA28E1" w:rsidRDefault="005632C0" w:rsidP="00474D58">
            <w:pPr>
              <w:spacing w:before="30" w:after="30"/>
              <w:jc w:val="left"/>
              <w:rPr>
                <w:sz w:val="20"/>
                <w:lang w:val="en-US"/>
              </w:rPr>
            </w:pPr>
            <w:r w:rsidRPr="00BA28E1">
              <w:rPr>
                <w:sz w:val="20"/>
              </w:rPr>
              <w:t>Aplicaciones espaciales y meteorología</w:t>
            </w:r>
          </w:p>
        </w:tc>
      </w:tr>
      <w:tr w:rsidR="005632C0" w:rsidRPr="00EF7B19" w:rsidTr="003A6B2B">
        <w:tc>
          <w:tcPr>
            <w:tcW w:w="1140" w:type="dxa"/>
            <w:tcBorders>
              <w:top w:val="nil"/>
              <w:bottom w:val="nil"/>
            </w:tcBorders>
            <w:shd w:val="clear" w:color="auto" w:fill="auto"/>
          </w:tcPr>
          <w:p w:rsidR="005632C0" w:rsidRPr="003A6B2B" w:rsidRDefault="005632C0" w:rsidP="00474D58">
            <w:pPr>
              <w:spacing w:before="30" w:after="30"/>
              <w:ind w:left="57"/>
              <w:jc w:val="left"/>
              <w:rPr>
                <w:b/>
                <w:bCs/>
                <w:sz w:val="20"/>
                <w:lang w:val="en-US"/>
              </w:rPr>
            </w:pPr>
            <w:r w:rsidRPr="003A6B2B">
              <w:rPr>
                <w:b/>
                <w:bCs/>
                <w:sz w:val="20"/>
                <w:lang w:val="en-US"/>
              </w:rPr>
              <w:t>SF</w:t>
            </w:r>
          </w:p>
        </w:tc>
        <w:tc>
          <w:tcPr>
            <w:tcW w:w="8220" w:type="dxa"/>
            <w:tcBorders>
              <w:top w:val="nil"/>
              <w:bottom w:val="nil"/>
            </w:tcBorders>
            <w:shd w:val="clear" w:color="auto" w:fill="auto"/>
          </w:tcPr>
          <w:p w:rsidR="005632C0" w:rsidRPr="003A6B2B" w:rsidRDefault="005632C0" w:rsidP="00474D58">
            <w:pPr>
              <w:spacing w:before="30" w:after="30"/>
              <w:jc w:val="left"/>
              <w:rPr>
                <w:sz w:val="20"/>
                <w:lang w:val="es-ES_tradnl"/>
              </w:rPr>
            </w:pPr>
            <w:r w:rsidRPr="003A6B2B">
              <w:rPr>
                <w:sz w:val="20"/>
                <w:lang w:val="es-ES_tradnl"/>
              </w:rPr>
              <w:t>Compartición de frecuencias y coordinación entre los sistemas del servicio fijo por satélite</w:t>
            </w:r>
            <w:r w:rsidR="00BA28E1" w:rsidRPr="003A6B2B">
              <w:rPr>
                <w:sz w:val="20"/>
                <w:lang w:val="es-ES_tradnl"/>
              </w:rPr>
              <w:br/>
            </w:r>
            <w:r w:rsidRPr="003A6B2B">
              <w:rPr>
                <w:sz w:val="20"/>
                <w:lang w:val="es-ES_tradnl"/>
              </w:rPr>
              <w:t>y del servicio fijo</w:t>
            </w:r>
          </w:p>
        </w:tc>
      </w:tr>
      <w:tr w:rsidR="005632C0" w:rsidRPr="003A6B2B" w:rsidTr="003A6B2B">
        <w:tc>
          <w:tcPr>
            <w:tcW w:w="1140" w:type="dxa"/>
            <w:tcBorders>
              <w:top w:val="nil"/>
              <w:bottom w:val="nil"/>
            </w:tcBorders>
            <w:shd w:val="clear" w:color="auto" w:fill="F3F3F3"/>
          </w:tcPr>
          <w:p w:rsidR="005632C0" w:rsidRPr="003A6B2B" w:rsidRDefault="005632C0" w:rsidP="00474D58">
            <w:pPr>
              <w:spacing w:before="30" w:after="30"/>
              <w:ind w:left="57"/>
              <w:jc w:val="left"/>
              <w:rPr>
                <w:b/>
                <w:bCs/>
                <w:color w:val="000080"/>
                <w:sz w:val="20"/>
                <w:lang w:val="en-US"/>
              </w:rPr>
            </w:pPr>
            <w:r w:rsidRPr="003A6B2B">
              <w:rPr>
                <w:b/>
                <w:bCs/>
                <w:color w:val="000080"/>
                <w:sz w:val="20"/>
                <w:lang w:val="en-US"/>
              </w:rPr>
              <w:t>SM</w:t>
            </w:r>
          </w:p>
        </w:tc>
        <w:tc>
          <w:tcPr>
            <w:tcW w:w="8220" w:type="dxa"/>
            <w:tcBorders>
              <w:top w:val="nil"/>
              <w:bottom w:val="nil"/>
            </w:tcBorders>
            <w:shd w:val="clear" w:color="auto" w:fill="F3F3F3"/>
          </w:tcPr>
          <w:p w:rsidR="005632C0" w:rsidRPr="003A6B2B" w:rsidRDefault="005632C0" w:rsidP="00474D58">
            <w:pPr>
              <w:spacing w:before="30"/>
              <w:jc w:val="left"/>
              <w:rPr>
                <w:b/>
                <w:bCs/>
                <w:color w:val="000080"/>
                <w:sz w:val="20"/>
                <w:lang w:val="en-US"/>
              </w:rPr>
            </w:pPr>
            <w:r w:rsidRPr="003A6B2B">
              <w:rPr>
                <w:b/>
                <w:bCs/>
                <w:color w:val="000080"/>
                <w:sz w:val="20"/>
              </w:rPr>
              <w:t>Gestión del espectro</w:t>
            </w:r>
          </w:p>
        </w:tc>
      </w:tr>
      <w:tr w:rsidR="005632C0" w:rsidRPr="00036EE3" w:rsidTr="003A6B2B">
        <w:tc>
          <w:tcPr>
            <w:tcW w:w="1140" w:type="dxa"/>
            <w:tcBorders>
              <w:top w:val="nil"/>
            </w:tcBorders>
            <w:shd w:val="clear" w:color="auto" w:fill="auto"/>
          </w:tcPr>
          <w:p w:rsidR="005632C0" w:rsidRPr="0041026E" w:rsidRDefault="005632C0" w:rsidP="00474D58">
            <w:pPr>
              <w:spacing w:before="0" w:after="30"/>
              <w:ind w:left="57"/>
              <w:jc w:val="left"/>
              <w:rPr>
                <w:b/>
                <w:bCs/>
                <w:color w:val="000080"/>
                <w:sz w:val="20"/>
                <w:lang w:val="en-US"/>
              </w:rPr>
            </w:pPr>
          </w:p>
        </w:tc>
        <w:tc>
          <w:tcPr>
            <w:tcW w:w="8220" w:type="dxa"/>
            <w:tcBorders>
              <w:top w:val="nil"/>
            </w:tcBorders>
            <w:shd w:val="clear" w:color="auto" w:fill="auto"/>
          </w:tcPr>
          <w:p w:rsidR="005632C0" w:rsidRPr="0041026E" w:rsidRDefault="005632C0" w:rsidP="00474D58">
            <w:pPr>
              <w:spacing w:before="0"/>
              <w:jc w:val="left"/>
              <w:rPr>
                <w:b/>
                <w:bCs/>
                <w:color w:val="000080"/>
                <w:sz w:val="20"/>
              </w:rPr>
            </w:pPr>
          </w:p>
        </w:tc>
      </w:tr>
    </w:tbl>
    <w:p w:rsidR="005632C0" w:rsidRPr="00036EE3" w:rsidRDefault="005632C0" w:rsidP="005632C0">
      <w:pPr>
        <w:spacing w:before="0" w:after="14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5632C0" w:rsidTr="00474D58">
        <w:tc>
          <w:tcPr>
            <w:tcW w:w="720" w:type="dxa"/>
          </w:tcPr>
          <w:p w:rsidR="005632C0" w:rsidRDefault="005632C0" w:rsidP="00474D58">
            <w:pPr>
              <w:spacing w:before="0"/>
              <w:jc w:val="center"/>
              <w:rPr>
                <w:sz w:val="22"/>
                <w:lang w:val="en-US"/>
              </w:rPr>
            </w:pPr>
          </w:p>
        </w:tc>
      </w:tr>
    </w:tbl>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5632C0" w:rsidRPr="00EF7B19" w:rsidTr="00CA109F">
        <w:tc>
          <w:tcPr>
            <w:tcW w:w="9360" w:type="dxa"/>
          </w:tcPr>
          <w:p w:rsidR="005632C0" w:rsidRPr="00CA109F" w:rsidRDefault="005632C0" w:rsidP="003A4A65">
            <w:pPr>
              <w:spacing w:before="92" w:after="92"/>
              <w:jc w:val="left"/>
              <w:rPr>
                <w:i/>
                <w:iCs/>
                <w:sz w:val="20"/>
                <w:lang w:val="es-ES_tradnl"/>
              </w:rPr>
            </w:pPr>
            <w:r w:rsidRPr="00CA109F">
              <w:rPr>
                <w:b/>
                <w:bCs/>
                <w:i/>
                <w:iCs/>
                <w:sz w:val="20"/>
                <w:lang w:val="es-ES_tradnl"/>
              </w:rPr>
              <w:t>Nota</w:t>
            </w:r>
            <w:r w:rsidRPr="00CA109F">
              <w:rPr>
                <w:i/>
                <w:iCs/>
                <w:sz w:val="20"/>
                <w:lang w:val="es-ES_tradnl"/>
              </w:rPr>
              <w:t>: Este Informe UIT-R fue aprobado en inglés por la Comisión de Estudio conforme al</w:t>
            </w:r>
            <w:r w:rsidR="003A4A65">
              <w:rPr>
                <w:i/>
                <w:iCs/>
                <w:sz w:val="20"/>
                <w:lang w:val="es-ES_tradnl"/>
              </w:rPr>
              <w:t xml:space="preserve"> procedimiento detallado en la </w:t>
            </w:r>
            <w:r w:rsidRPr="00CA109F">
              <w:rPr>
                <w:i/>
                <w:iCs/>
                <w:sz w:val="20"/>
                <w:lang w:val="es-ES_tradnl"/>
              </w:rPr>
              <w:t>Resolución UIT-R 1.</w:t>
            </w:r>
          </w:p>
        </w:tc>
      </w:tr>
    </w:tbl>
    <w:p w:rsidR="005632C0" w:rsidRPr="00763D08" w:rsidRDefault="005632C0" w:rsidP="005632C0">
      <w:pPr>
        <w:spacing w:before="0"/>
        <w:jc w:val="center"/>
        <w:rPr>
          <w:sz w:val="22"/>
          <w:lang w:val="es-ES_tradnl"/>
        </w:rPr>
      </w:pPr>
    </w:p>
    <w:p w:rsidR="005632C0" w:rsidRPr="00763D08" w:rsidRDefault="005632C0" w:rsidP="005632C0">
      <w:pPr>
        <w:spacing w:before="60"/>
        <w:jc w:val="right"/>
        <w:rPr>
          <w:i/>
          <w:iCs/>
          <w:sz w:val="20"/>
          <w:lang w:val="es-ES_tradnl"/>
        </w:rPr>
      </w:pPr>
      <w:r w:rsidRPr="00763D08">
        <w:rPr>
          <w:i/>
          <w:iCs/>
          <w:sz w:val="20"/>
          <w:lang w:val="es-ES_tradnl"/>
        </w:rPr>
        <w:t>Publicación electrónica</w:t>
      </w:r>
    </w:p>
    <w:p w:rsidR="005632C0" w:rsidRPr="00763D08" w:rsidRDefault="005632C0" w:rsidP="00B26591">
      <w:pPr>
        <w:spacing w:before="0" w:after="40"/>
        <w:jc w:val="right"/>
        <w:rPr>
          <w:sz w:val="20"/>
          <w:lang w:val="es-ES_tradnl"/>
        </w:rPr>
      </w:pPr>
      <w:r w:rsidRPr="00763D08">
        <w:rPr>
          <w:sz w:val="20"/>
          <w:lang w:val="es-ES_tradnl"/>
        </w:rPr>
        <w:t>Ginebra, 20</w:t>
      </w:r>
      <w:r w:rsidR="00CD33AF">
        <w:rPr>
          <w:sz w:val="20"/>
          <w:lang w:val="es-ES_tradnl"/>
        </w:rPr>
        <w:t>1</w:t>
      </w:r>
      <w:r w:rsidR="00B26591">
        <w:rPr>
          <w:sz w:val="20"/>
          <w:lang w:val="es-ES_tradnl"/>
        </w:rPr>
        <w:t>8</w:t>
      </w:r>
    </w:p>
    <w:p w:rsidR="005632C0" w:rsidRPr="00763D08" w:rsidRDefault="005632C0" w:rsidP="00B26591">
      <w:pPr>
        <w:spacing w:after="120"/>
        <w:jc w:val="center"/>
        <w:rPr>
          <w:sz w:val="22"/>
          <w:lang w:val="es-ES_tradnl"/>
        </w:rPr>
      </w:pPr>
    </w:p>
    <w:p w:rsidR="005632C0" w:rsidRPr="00763D08" w:rsidRDefault="005632C0" w:rsidP="001F136C">
      <w:pPr>
        <w:spacing w:before="0"/>
        <w:jc w:val="center"/>
        <w:rPr>
          <w:sz w:val="20"/>
          <w:lang w:val="es-ES_tradnl"/>
        </w:rPr>
      </w:pPr>
      <w:r w:rsidRPr="00470E28">
        <w:rPr>
          <w:sz w:val="20"/>
          <w:lang w:val="en-US"/>
        </w:rPr>
        <w:sym w:font="Symbol" w:char="F0E3"/>
      </w:r>
      <w:r w:rsidRPr="00763D08">
        <w:rPr>
          <w:sz w:val="20"/>
          <w:lang w:val="es-ES_tradnl"/>
        </w:rPr>
        <w:t xml:space="preserve"> UIT 20</w:t>
      </w:r>
      <w:r w:rsidR="00CD33AF">
        <w:rPr>
          <w:sz w:val="20"/>
          <w:lang w:val="es-ES_tradnl"/>
        </w:rPr>
        <w:t>1</w:t>
      </w:r>
      <w:r w:rsidR="00B26591">
        <w:rPr>
          <w:sz w:val="20"/>
          <w:lang w:val="es-ES_tradnl"/>
        </w:rPr>
        <w:t>8</w:t>
      </w:r>
    </w:p>
    <w:p w:rsidR="005632C0" w:rsidRPr="006C718C" w:rsidRDefault="005632C0" w:rsidP="005632C0">
      <w:pPr>
        <w:spacing w:before="80"/>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rsidR="005632C0" w:rsidRPr="006C718C" w:rsidRDefault="005632C0" w:rsidP="005632C0">
      <w:pPr>
        <w:spacing w:before="160"/>
        <w:rPr>
          <w:i/>
          <w:sz w:val="20"/>
          <w:highlight w:val="yellow"/>
          <w:lang w:val="es-ES_tradnl"/>
        </w:rPr>
        <w:sectPr w:rsidR="005632C0" w:rsidRPr="006C718C" w:rsidSect="007565CC">
          <w:headerReference w:type="even" r:id="rId12"/>
          <w:headerReference w:type="default" r:id="rId13"/>
          <w:pgSz w:w="11907" w:h="16834" w:code="9"/>
          <w:pgMar w:top="1418" w:right="1134" w:bottom="1134" w:left="1134" w:header="720" w:footer="482" w:gutter="0"/>
          <w:pgNumType w:fmt="lowerRoman" w:start="2"/>
          <w:cols w:space="720"/>
        </w:sectPr>
      </w:pPr>
    </w:p>
    <w:p w:rsidR="002A523D" w:rsidRDefault="002A523D" w:rsidP="002A523D">
      <w:pPr>
        <w:pStyle w:val="RepNo"/>
        <w:spacing w:before="0"/>
        <w:rPr>
          <w:lang w:val="es-ES_tradnl"/>
        </w:rPr>
      </w:pPr>
      <w:r w:rsidRPr="00BE46FB">
        <w:rPr>
          <w:lang w:val="es-ES_tradnl"/>
        </w:rPr>
        <w:lastRenderedPageBreak/>
        <w:t xml:space="preserve">INFORME  </w:t>
      </w:r>
      <w:r w:rsidRPr="00BE46FB">
        <w:rPr>
          <w:rStyle w:val="href"/>
          <w:lang w:val="es-ES_tradnl"/>
        </w:rPr>
        <w:t>UIT-R  SM.</w:t>
      </w:r>
      <w:r>
        <w:rPr>
          <w:rStyle w:val="href"/>
          <w:lang w:val="es-ES_tradnl"/>
        </w:rPr>
        <w:t>2421-0</w:t>
      </w:r>
    </w:p>
    <w:p w:rsidR="002A523D" w:rsidRPr="0072410C" w:rsidRDefault="002A523D" w:rsidP="002A523D">
      <w:pPr>
        <w:pStyle w:val="Reptitle"/>
        <w:rPr>
          <w:lang w:val="es-ES_tradnl"/>
        </w:rPr>
      </w:pPr>
      <w:r w:rsidRPr="0072410C">
        <w:rPr>
          <w:lang w:val="es-ES_tradnl" w:eastAsia="zh-CN"/>
        </w:rPr>
        <w:t>Emisiones no deseadas de los sistemas radiodigitales</w:t>
      </w:r>
    </w:p>
    <w:p w:rsidR="002A523D" w:rsidRPr="0072410C" w:rsidRDefault="002A523D" w:rsidP="002A523D">
      <w:pPr>
        <w:pStyle w:val="Repdate"/>
        <w:rPr>
          <w:lang w:val="es-ES_tradnl"/>
        </w:rPr>
      </w:pPr>
      <w:r w:rsidRPr="0072410C">
        <w:rPr>
          <w:lang w:val="es-ES_tradnl"/>
        </w:rPr>
        <w:t>(2018)</w:t>
      </w:r>
    </w:p>
    <w:p w:rsidR="002A523D" w:rsidRPr="0072410C" w:rsidRDefault="002A523D" w:rsidP="002A523D">
      <w:pPr>
        <w:pStyle w:val="HeadingSum"/>
      </w:pPr>
      <w:r w:rsidRPr="0072410C">
        <w:t>Cometido</w:t>
      </w:r>
    </w:p>
    <w:p w:rsidR="002A523D" w:rsidRPr="0072410C" w:rsidRDefault="002A523D" w:rsidP="002A523D">
      <w:pPr>
        <w:pStyle w:val="Summary"/>
        <w:spacing w:after="0"/>
      </w:pPr>
      <w:r w:rsidRPr="0072410C">
        <w:t>En este informe se presentan las mediciones de las emisiones no deseadas correspondientes a diversas muestras de equipos de sistemas radiodigitales, las cuales se comparan con:</w:t>
      </w:r>
    </w:p>
    <w:p w:rsidR="002A523D" w:rsidRPr="0072410C" w:rsidRDefault="002A523D" w:rsidP="002A523D">
      <w:pPr>
        <w:pStyle w:val="Summary"/>
        <w:spacing w:after="0"/>
        <w:ind w:left="794" w:hanging="794"/>
      </w:pPr>
      <w:r w:rsidRPr="0072410C">
        <w:t>–</w:t>
      </w:r>
      <w:r w:rsidRPr="0072410C">
        <w:tab/>
        <w:t>los límites de las emisiones fuera de banda de la Recomendación UIT-R SM.1541, de los acuerdos regionales y de las publicaciones de las organizaciones de normalización (SDO);</w:t>
      </w:r>
    </w:p>
    <w:p w:rsidR="002A523D" w:rsidRPr="0072410C" w:rsidRDefault="002A523D" w:rsidP="002A523D">
      <w:pPr>
        <w:pStyle w:val="Summary"/>
        <w:spacing w:after="0"/>
        <w:ind w:left="794" w:hanging="794"/>
      </w:pPr>
      <w:r w:rsidRPr="0072410C">
        <w:t>–</w:t>
      </w:r>
      <w:r w:rsidRPr="0072410C">
        <w:tab/>
        <w:t>los límites de las emisiones no esenciales que figuran en la Recomendación UIT-R SM.329, la norma ERC/REC 74-01 y las publicaciones de las organizaciones de normalización (SDO).</w:t>
      </w:r>
    </w:p>
    <w:p w:rsidR="002A523D" w:rsidRPr="0072410C" w:rsidRDefault="002A523D" w:rsidP="002A523D">
      <w:pPr>
        <w:rPr>
          <w:sz w:val="22"/>
          <w:szCs w:val="22"/>
          <w:lang w:val="es-ES_tradnl"/>
        </w:rPr>
      </w:pPr>
      <w:r w:rsidRPr="0072410C">
        <w:rPr>
          <w:sz w:val="22"/>
          <w:szCs w:val="22"/>
          <w:lang w:val="es-ES_tradnl"/>
        </w:rPr>
        <w:t>Los límites de las emisiones no deseadas basadas en la modulación correspondientes a estas mediciones se comparan con los límites entre el dominio fuera de banda y el dominio no esencial que figuran en las publicaciones del UIT-R.</w:t>
      </w:r>
    </w:p>
    <w:p w:rsidR="002A523D" w:rsidRPr="0072410C" w:rsidRDefault="002A523D" w:rsidP="002A523D">
      <w:pPr>
        <w:pStyle w:val="Headingb"/>
        <w:rPr>
          <w:lang w:val="es-ES_tradnl"/>
        </w:rPr>
      </w:pPr>
      <w:r w:rsidRPr="0072410C">
        <w:rPr>
          <w:lang w:val="es-ES_tradnl"/>
        </w:rPr>
        <w:t>Abreviaturas y acrónimos</w:t>
      </w:r>
    </w:p>
    <w:p w:rsidR="005439C7" w:rsidRPr="005439C7" w:rsidRDefault="005439C7" w:rsidP="005439C7">
      <w:pPr>
        <w:tabs>
          <w:tab w:val="clear" w:pos="794"/>
          <w:tab w:val="clear" w:pos="1191"/>
        </w:tabs>
        <w:rPr>
          <w:lang w:val="es-ES_tradnl"/>
        </w:rPr>
      </w:pPr>
      <w:r w:rsidRPr="005439C7">
        <w:rPr>
          <w:rFonts w:asciiTheme="majorBidi" w:hAnsiTheme="majorBidi" w:cstheme="majorBidi"/>
          <w:szCs w:val="24"/>
          <w:lang w:val="es-ES_tradnl"/>
        </w:rPr>
        <w:t>3GPP</w:t>
      </w:r>
      <w:r w:rsidRPr="005439C7">
        <w:rPr>
          <w:rFonts w:asciiTheme="majorBidi" w:hAnsiTheme="majorBidi" w:cstheme="majorBidi"/>
          <w:szCs w:val="24"/>
          <w:lang w:val="es-ES_tradnl"/>
        </w:rPr>
        <w:tab/>
      </w:r>
      <w:r w:rsidRPr="0072410C">
        <w:rPr>
          <w:lang w:val="es-ES_tradnl"/>
        </w:rPr>
        <w:t>Proyecto de asociación de tercera generación</w:t>
      </w:r>
      <w:r w:rsidRPr="005439C7">
        <w:rPr>
          <w:lang w:val="es-ES_tradnl"/>
        </w:rPr>
        <w:t xml:space="preserve"> (3</w:t>
      </w:r>
      <w:r w:rsidRPr="005439C7">
        <w:rPr>
          <w:vertAlign w:val="superscript"/>
          <w:lang w:val="es-ES_tradnl"/>
        </w:rPr>
        <w:t>rd</w:t>
      </w:r>
      <w:r w:rsidRPr="005439C7">
        <w:rPr>
          <w:lang w:val="es-ES_tradnl"/>
        </w:rPr>
        <w:t xml:space="preserve"> </w:t>
      </w:r>
      <w:r w:rsidRPr="005439C7">
        <w:rPr>
          <w:i/>
          <w:iCs/>
          <w:lang w:val="es-ES_tradnl"/>
        </w:rPr>
        <w:t>generation partnership project</w:t>
      </w:r>
      <w:r w:rsidRPr="001C2B41">
        <w:rPr>
          <w:lang w:val="es-ES_tradnl"/>
        </w:rPr>
        <w:t>)</w:t>
      </w:r>
    </w:p>
    <w:p w:rsidR="005439C7" w:rsidRPr="005439C7" w:rsidRDefault="005439C7" w:rsidP="005439C7">
      <w:pPr>
        <w:tabs>
          <w:tab w:val="clear" w:pos="794"/>
          <w:tab w:val="clear" w:pos="1191"/>
        </w:tabs>
        <w:rPr>
          <w:lang w:val="es-ES_tradnl"/>
        </w:rPr>
      </w:pPr>
      <w:r w:rsidRPr="005439C7">
        <w:rPr>
          <w:rFonts w:asciiTheme="majorBidi" w:hAnsiTheme="majorBidi" w:cstheme="majorBidi"/>
          <w:szCs w:val="24"/>
          <w:lang w:val="es-ES_tradnl"/>
        </w:rPr>
        <w:t>BCCH</w:t>
      </w:r>
      <w:r w:rsidRPr="005439C7">
        <w:rPr>
          <w:rFonts w:asciiTheme="majorBidi" w:hAnsiTheme="majorBidi" w:cstheme="majorBidi"/>
          <w:szCs w:val="24"/>
          <w:lang w:val="es-ES_tradnl"/>
        </w:rPr>
        <w:tab/>
      </w:r>
      <w:r>
        <w:rPr>
          <w:rFonts w:asciiTheme="majorBidi" w:hAnsiTheme="majorBidi" w:cstheme="majorBidi"/>
          <w:szCs w:val="24"/>
          <w:lang w:val="es-ES_tradnl"/>
        </w:rPr>
        <w:t>C</w:t>
      </w:r>
      <w:r w:rsidRPr="0072410C">
        <w:rPr>
          <w:lang w:val="es-ES_tradnl"/>
        </w:rPr>
        <w:t>anal de control común de difusión</w:t>
      </w:r>
      <w:r w:rsidRPr="005439C7">
        <w:rPr>
          <w:lang w:val="es-ES_tradnl"/>
        </w:rPr>
        <w:t xml:space="preserve"> (</w:t>
      </w:r>
      <w:r w:rsidRPr="005439C7">
        <w:rPr>
          <w:i/>
          <w:iCs/>
          <w:lang w:val="es-ES_tradnl"/>
        </w:rPr>
        <w:t>broadcast control channel</w:t>
      </w:r>
      <w:r>
        <w:rPr>
          <w:lang w:val="es-ES_tradnl"/>
        </w:rPr>
        <w:t>)</w:t>
      </w:r>
    </w:p>
    <w:p w:rsidR="005439C7" w:rsidRPr="002A5406" w:rsidRDefault="005439C7" w:rsidP="005439C7">
      <w:pPr>
        <w:tabs>
          <w:tab w:val="clear" w:pos="794"/>
          <w:tab w:val="clear" w:pos="1191"/>
        </w:tabs>
        <w:rPr>
          <w:lang w:val="es-ES_tradnl"/>
        </w:rPr>
      </w:pPr>
      <w:r w:rsidRPr="002A5406">
        <w:rPr>
          <w:rFonts w:asciiTheme="majorBidi" w:hAnsiTheme="majorBidi" w:cstheme="majorBidi"/>
          <w:szCs w:val="24"/>
          <w:lang w:val="es-ES_tradnl"/>
        </w:rPr>
        <w:t>BS</w:t>
      </w:r>
      <w:r w:rsidRPr="002A5406">
        <w:rPr>
          <w:rFonts w:asciiTheme="majorBidi" w:hAnsiTheme="majorBidi" w:cstheme="majorBidi"/>
          <w:szCs w:val="24"/>
          <w:lang w:val="es-ES_tradnl"/>
        </w:rPr>
        <w:tab/>
        <w:t>Estación de base (</w:t>
      </w:r>
      <w:r w:rsidRPr="002A5406">
        <w:rPr>
          <w:i/>
          <w:iCs/>
          <w:lang w:val="es-ES_tradnl"/>
        </w:rPr>
        <w:t>base station</w:t>
      </w:r>
      <w:r w:rsidRPr="002A5406">
        <w:rPr>
          <w:lang w:val="es-ES_tradnl"/>
        </w:rPr>
        <w:t>)</w:t>
      </w:r>
    </w:p>
    <w:p w:rsidR="005439C7" w:rsidRPr="002A5406" w:rsidRDefault="005439C7" w:rsidP="005439C7">
      <w:pPr>
        <w:tabs>
          <w:tab w:val="clear" w:pos="794"/>
          <w:tab w:val="clear" w:pos="1191"/>
        </w:tabs>
        <w:rPr>
          <w:lang w:val="es-ES_tradnl"/>
        </w:rPr>
      </w:pPr>
      <w:r w:rsidRPr="002A5406">
        <w:rPr>
          <w:rFonts w:asciiTheme="majorBidi" w:hAnsiTheme="majorBidi" w:cstheme="majorBidi"/>
          <w:szCs w:val="24"/>
          <w:lang w:val="es-ES_tradnl"/>
        </w:rPr>
        <w:t>BW</w:t>
      </w:r>
      <w:r w:rsidRPr="002A5406">
        <w:rPr>
          <w:rFonts w:asciiTheme="majorBidi" w:hAnsiTheme="majorBidi" w:cstheme="majorBidi"/>
          <w:szCs w:val="24"/>
          <w:lang w:val="es-ES_tradnl"/>
        </w:rPr>
        <w:tab/>
        <w:t>A</w:t>
      </w:r>
      <w:r w:rsidRPr="0072410C">
        <w:rPr>
          <w:rFonts w:asciiTheme="majorBidi" w:hAnsiTheme="majorBidi" w:cstheme="majorBidi"/>
          <w:szCs w:val="24"/>
          <w:lang w:val="es-ES_tradnl"/>
        </w:rPr>
        <w:t>nchura de banda</w:t>
      </w:r>
      <w:r w:rsidRPr="002A5406">
        <w:rPr>
          <w:lang w:val="es-ES_tradnl"/>
        </w:rPr>
        <w:t xml:space="preserve"> (</w:t>
      </w:r>
      <w:r w:rsidRPr="002A5406">
        <w:rPr>
          <w:i/>
          <w:iCs/>
          <w:lang w:val="es-ES_tradnl"/>
        </w:rPr>
        <w:t>bandwidth</w:t>
      </w:r>
      <w:r w:rsidRPr="002A5406">
        <w:rPr>
          <w:lang w:val="es-ES_tradnl"/>
        </w:rPr>
        <w:t>)</w:t>
      </w:r>
    </w:p>
    <w:p w:rsidR="005439C7" w:rsidRPr="002A5406" w:rsidRDefault="005439C7" w:rsidP="002A5406">
      <w:pPr>
        <w:tabs>
          <w:tab w:val="clear" w:pos="794"/>
          <w:tab w:val="clear" w:pos="1191"/>
        </w:tabs>
        <w:ind w:left="1588" w:hanging="1588"/>
        <w:rPr>
          <w:lang w:val="es-ES_tradnl"/>
        </w:rPr>
      </w:pPr>
      <w:r w:rsidRPr="002A5406">
        <w:rPr>
          <w:rFonts w:asciiTheme="majorBidi" w:hAnsiTheme="majorBidi" w:cstheme="majorBidi"/>
          <w:szCs w:val="24"/>
          <w:lang w:val="es-ES_tradnl"/>
        </w:rPr>
        <w:t>CEPT</w:t>
      </w:r>
      <w:r w:rsidRPr="002A5406">
        <w:rPr>
          <w:rFonts w:asciiTheme="majorBidi" w:hAnsiTheme="majorBidi" w:cstheme="majorBidi"/>
          <w:szCs w:val="24"/>
          <w:lang w:val="es-ES_tradnl"/>
        </w:rPr>
        <w:tab/>
      </w:r>
      <w:r w:rsidR="002A5406" w:rsidRPr="0072410C">
        <w:rPr>
          <w:lang w:val="es-ES_tradnl"/>
        </w:rPr>
        <w:t>Conferencia Europea de Administraciones de Correos y Telecomunicaciones</w:t>
      </w:r>
      <w:r w:rsidR="002A5406">
        <w:rPr>
          <w:lang w:val="es-ES_tradnl"/>
        </w:rPr>
        <w:t xml:space="preserve"> (</w:t>
      </w:r>
      <w:r w:rsidRPr="002A5406">
        <w:rPr>
          <w:i/>
          <w:iCs/>
          <w:lang w:val="es-ES_tradnl"/>
        </w:rPr>
        <w:t>European Conference of Postal and Telecommunications Administrations</w:t>
      </w:r>
      <w:r w:rsidR="002A5406">
        <w:rPr>
          <w:lang w:val="es-ES_tradnl"/>
        </w:rPr>
        <w:t>)</w:t>
      </w:r>
    </w:p>
    <w:p w:rsidR="005439C7" w:rsidRPr="002A5406" w:rsidRDefault="005439C7" w:rsidP="002A5406">
      <w:pPr>
        <w:tabs>
          <w:tab w:val="clear" w:pos="794"/>
          <w:tab w:val="clear" w:pos="1191"/>
        </w:tabs>
        <w:rPr>
          <w:rFonts w:asciiTheme="majorBidi" w:hAnsiTheme="majorBidi" w:cstheme="majorBidi"/>
          <w:szCs w:val="24"/>
          <w:lang w:val="es-ES_tradnl"/>
        </w:rPr>
      </w:pPr>
      <w:r w:rsidRPr="002A5406">
        <w:rPr>
          <w:rFonts w:asciiTheme="majorBidi" w:hAnsiTheme="majorBidi" w:cstheme="majorBidi"/>
          <w:szCs w:val="24"/>
          <w:lang w:val="es-ES_tradnl"/>
        </w:rPr>
        <w:t>D/A</w:t>
      </w:r>
      <w:r w:rsidRPr="002A5406">
        <w:rPr>
          <w:rFonts w:asciiTheme="majorBidi" w:hAnsiTheme="majorBidi" w:cstheme="majorBidi"/>
          <w:szCs w:val="24"/>
          <w:lang w:val="es-ES_tradnl"/>
        </w:rPr>
        <w:tab/>
      </w:r>
      <w:r w:rsidR="002A5406">
        <w:rPr>
          <w:rFonts w:asciiTheme="majorBidi" w:hAnsiTheme="majorBidi" w:cstheme="majorBidi"/>
          <w:szCs w:val="24"/>
          <w:lang w:val="es-ES_tradnl"/>
        </w:rPr>
        <w:t>D</w:t>
      </w:r>
      <w:r w:rsidR="002A5406" w:rsidRPr="0072410C">
        <w:rPr>
          <w:rFonts w:asciiTheme="majorBidi" w:hAnsiTheme="majorBidi" w:cstheme="majorBidi"/>
          <w:szCs w:val="24"/>
          <w:lang w:val="es-ES_tradnl"/>
        </w:rPr>
        <w:t>igital a analógico</w:t>
      </w:r>
      <w:r w:rsidR="002A5406" w:rsidRPr="002A5406">
        <w:rPr>
          <w:rFonts w:asciiTheme="majorBidi" w:hAnsiTheme="majorBidi" w:cstheme="majorBidi"/>
          <w:szCs w:val="24"/>
          <w:lang w:val="es-ES_tradnl"/>
        </w:rPr>
        <w:t xml:space="preserve"> (</w:t>
      </w:r>
      <w:r w:rsidR="002A5406" w:rsidRPr="002A5406">
        <w:rPr>
          <w:rFonts w:asciiTheme="majorBidi" w:hAnsiTheme="majorBidi" w:cstheme="majorBidi"/>
          <w:i/>
          <w:iCs/>
          <w:szCs w:val="24"/>
          <w:lang w:val="es-ES_tradnl"/>
        </w:rPr>
        <w:t>d</w:t>
      </w:r>
      <w:r w:rsidRPr="002A5406">
        <w:rPr>
          <w:rFonts w:asciiTheme="majorBidi" w:hAnsiTheme="majorBidi" w:cstheme="majorBidi"/>
          <w:i/>
          <w:iCs/>
          <w:szCs w:val="24"/>
          <w:lang w:val="es-ES_tradnl"/>
        </w:rPr>
        <w:t>igital to analogue</w:t>
      </w:r>
      <w:r w:rsidR="002A5406">
        <w:rPr>
          <w:rFonts w:asciiTheme="majorBidi" w:hAnsiTheme="majorBidi" w:cstheme="majorBidi"/>
          <w:szCs w:val="24"/>
          <w:lang w:val="es-ES_tradnl"/>
        </w:rPr>
        <w:t>)</w:t>
      </w:r>
    </w:p>
    <w:p w:rsidR="005439C7" w:rsidRPr="00C012A6" w:rsidRDefault="005439C7" w:rsidP="00C012A6">
      <w:pPr>
        <w:tabs>
          <w:tab w:val="clear" w:pos="794"/>
          <w:tab w:val="clear" w:pos="1191"/>
        </w:tabs>
        <w:rPr>
          <w:rFonts w:asciiTheme="majorBidi" w:hAnsiTheme="majorBidi" w:cstheme="majorBidi"/>
          <w:szCs w:val="24"/>
          <w:lang w:val="es-ES_tradnl"/>
        </w:rPr>
      </w:pPr>
      <w:r w:rsidRPr="00C012A6">
        <w:rPr>
          <w:rFonts w:asciiTheme="majorBidi" w:hAnsiTheme="majorBidi" w:cstheme="majorBidi"/>
          <w:szCs w:val="24"/>
          <w:lang w:val="es-ES_tradnl"/>
        </w:rPr>
        <w:t>DAB</w:t>
      </w:r>
      <w:r w:rsidRPr="00C012A6">
        <w:rPr>
          <w:rFonts w:asciiTheme="majorBidi" w:hAnsiTheme="majorBidi" w:cstheme="majorBidi"/>
          <w:szCs w:val="24"/>
          <w:lang w:val="es-ES_tradnl"/>
        </w:rPr>
        <w:tab/>
      </w:r>
      <w:r w:rsidR="00C012A6" w:rsidRPr="00C012A6">
        <w:rPr>
          <w:rFonts w:asciiTheme="majorBidi" w:hAnsiTheme="majorBidi" w:cstheme="majorBidi"/>
          <w:szCs w:val="24"/>
          <w:lang w:val="es-ES_tradnl"/>
        </w:rPr>
        <w:t>R</w:t>
      </w:r>
      <w:r w:rsidR="00C012A6" w:rsidRPr="0072410C">
        <w:rPr>
          <w:rFonts w:asciiTheme="majorBidi" w:hAnsiTheme="majorBidi" w:cstheme="majorBidi"/>
          <w:szCs w:val="24"/>
          <w:lang w:val="es-ES_tradnl"/>
        </w:rPr>
        <w:t>adiodifusión de audio digital</w:t>
      </w:r>
      <w:r w:rsidR="00C012A6" w:rsidRPr="00C012A6">
        <w:rPr>
          <w:rFonts w:asciiTheme="majorBidi" w:hAnsiTheme="majorBidi" w:cstheme="majorBidi"/>
          <w:szCs w:val="24"/>
          <w:lang w:val="es-ES_tradnl"/>
        </w:rPr>
        <w:t xml:space="preserve"> (</w:t>
      </w:r>
      <w:r w:rsidR="00C012A6">
        <w:rPr>
          <w:rFonts w:asciiTheme="majorBidi" w:hAnsiTheme="majorBidi" w:cstheme="majorBidi"/>
          <w:i/>
          <w:iCs/>
          <w:szCs w:val="24"/>
          <w:lang w:val="es-ES_tradnl"/>
        </w:rPr>
        <w:t>d</w:t>
      </w:r>
      <w:r w:rsidRPr="00C012A6">
        <w:rPr>
          <w:rFonts w:asciiTheme="majorBidi" w:hAnsiTheme="majorBidi" w:cstheme="majorBidi"/>
          <w:i/>
          <w:iCs/>
          <w:szCs w:val="24"/>
          <w:lang w:val="es-ES_tradnl"/>
        </w:rPr>
        <w:t>igital audio broadcasting</w:t>
      </w:r>
      <w:r w:rsidR="00C012A6">
        <w:rPr>
          <w:rFonts w:asciiTheme="majorBidi" w:hAnsiTheme="majorBidi" w:cstheme="majorBidi"/>
          <w:szCs w:val="24"/>
          <w:lang w:val="es-ES_tradnl"/>
        </w:rPr>
        <w:t>)</w:t>
      </w:r>
    </w:p>
    <w:p w:rsidR="005439C7" w:rsidRPr="00C012A6" w:rsidRDefault="005439C7" w:rsidP="00622E84">
      <w:pPr>
        <w:tabs>
          <w:tab w:val="clear" w:pos="794"/>
          <w:tab w:val="clear" w:pos="1191"/>
        </w:tabs>
        <w:ind w:left="1588" w:hanging="1588"/>
        <w:rPr>
          <w:rFonts w:asciiTheme="majorBidi" w:hAnsiTheme="majorBidi" w:cstheme="majorBidi"/>
          <w:szCs w:val="24"/>
          <w:lang w:val="es-ES_tradnl"/>
        </w:rPr>
      </w:pPr>
      <w:r w:rsidRPr="00C012A6">
        <w:rPr>
          <w:rFonts w:asciiTheme="majorBidi" w:hAnsiTheme="majorBidi" w:cstheme="majorBidi"/>
          <w:szCs w:val="24"/>
          <w:lang w:val="es-ES_tradnl"/>
        </w:rPr>
        <w:t>DECT</w:t>
      </w:r>
      <w:r w:rsidRPr="00C012A6">
        <w:rPr>
          <w:rFonts w:asciiTheme="majorBidi" w:hAnsiTheme="majorBidi" w:cstheme="majorBidi"/>
          <w:szCs w:val="24"/>
          <w:lang w:val="es-ES_tradnl"/>
        </w:rPr>
        <w:tab/>
      </w:r>
      <w:r w:rsidR="00C012A6">
        <w:rPr>
          <w:rFonts w:asciiTheme="majorBidi" w:hAnsiTheme="majorBidi" w:cstheme="majorBidi"/>
          <w:szCs w:val="24"/>
          <w:lang w:val="es-ES_tradnl"/>
        </w:rPr>
        <w:t>T</w:t>
      </w:r>
      <w:r w:rsidR="00C012A6" w:rsidRPr="0072410C">
        <w:rPr>
          <w:rFonts w:asciiTheme="majorBidi" w:hAnsiTheme="majorBidi" w:cstheme="majorBidi"/>
          <w:szCs w:val="24"/>
          <w:lang w:val="es-ES_tradnl"/>
        </w:rPr>
        <w:t>elecomunicaciones digitales mejoradas sin cordón</w:t>
      </w:r>
      <w:r w:rsidR="00C012A6" w:rsidRPr="00C012A6">
        <w:rPr>
          <w:rFonts w:asciiTheme="majorBidi" w:hAnsiTheme="majorBidi" w:cstheme="majorBidi"/>
          <w:szCs w:val="24"/>
          <w:lang w:val="es-ES_tradnl"/>
        </w:rPr>
        <w:t xml:space="preserve"> </w:t>
      </w:r>
      <w:r w:rsidR="00C012A6">
        <w:rPr>
          <w:rFonts w:asciiTheme="majorBidi" w:hAnsiTheme="majorBidi" w:cstheme="majorBidi"/>
          <w:szCs w:val="24"/>
          <w:lang w:val="es-ES_tradnl"/>
        </w:rPr>
        <w:t>(</w:t>
      </w:r>
      <w:r w:rsidR="00C012A6" w:rsidRPr="00C012A6">
        <w:rPr>
          <w:rFonts w:asciiTheme="majorBidi" w:hAnsiTheme="majorBidi" w:cstheme="majorBidi"/>
          <w:i/>
          <w:iCs/>
          <w:szCs w:val="24"/>
          <w:lang w:val="es-ES_tradnl"/>
        </w:rPr>
        <w:t>d</w:t>
      </w:r>
      <w:r w:rsidRPr="00C012A6">
        <w:rPr>
          <w:rFonts w:asciiTheme="majorBidi" w:hAnsiTheme="majorBidi" w:cstheme="majorBidi"/>
          <w:i/>
          <w:iCs/>
          <w:szCs w:val="24"/>
          <w:lang w:val="es-ES_tradnl"/>
        </w:rPr>
        <w:t>igital enhanced cordless telecommunications</w:t>
      </w:r>
      <w:r w:rsidR="00C012A6">
        <w:rPr>
          <w:rFonts w:asciiTheme="majorBidi" w:hAnsiTheme="majorBidi" w:cstheme="majorBidi"/>
          <w:szCs w:val="24"/>
          <w:lang w:val="es-ES_tradnl"/>
        </w:rPr>
        <w:t>)</w:t>
      </w:r>
    </w:p>
    <w:p w:rsidR="005439C7" w:rsidRPr="00622E84" w:rsidRDefault="005439C7" w:rsidP="00622E84">
      <w:pPr>
        <w:tabs>
          <w:tab w:val="clear" w:pos="794"/>
          <w:tab w:val="clear" w:pos="1191"/>
        </w:tabs>
        <w:rPr>
          <w:rFonts w:asciiTheme="majorBidi" w:hAnsiTheme="majorBidi" w:cstheme="majorBidi"/>
          <w:szCs w:val="24"/>
          <w:lang w:val="es-ES_tradnl"/>
        </w:rPr>
      </w:pPr>
      <w:r w:rsidRPr="00622E84">
        <w:rPr>
          <w:rFonts w:asciiTheme="majorBidi" w:hAnsiTheme="majorBidi" w:cstheme="majorBidi"/>
          <w:szCs w:val="24"/>
          <w:lang w:val="es-ES_tradnl"/>
        </w:rPr>
        <w:t>DSP</w:t>
      </w:r>
      <w:r w:rsidRPr="00622E84">
        <w:rPr>
          <w:rFonts w:asciiTheme="majorBidi" w:hAnsiTheme="majorBidi" w:cstheme="majorBidi"/>
          <w:szCs w:val="24"/>
          <w:lang w:val="es-ES_tradnl"/>
        </w:rPr>
        <w:tab/>
      </w:r>
      <w:r w:rsidR="00622E84" w:rsidRPr="00622E84">
        <w:rPr>
          <w:rFonts w:asciiTheme="majorBidi" w:hAnsiTheme="majorBidi" w:cstheme="majorBidi"/>
          <w:szCs w:val="24"/>
          <w:lang w:val="es-ES_tradnl"/>
        </w:rPr>
        <w:t>P</w:t>
      </w:r>
      <w:r w:rsidR="00622E84" w:rsidRPr="0072410C">
        <w:rPr>
          <w:rFonts w:asciiTheme="majorBidi" w:hAnsiTheme="majorBidi" w:cstheme="majorBidi"/>
          <w:szCs w:val="24"/>
          <w:lang w:val="es-ES_tradnl"/>
        </w:rPr>
        <w:t>rocesador de la señal digital</w:t>
      </w:r>
      <w:r w:rsidR="00622E84" w:rsidRPr="00622E84">
        <w:rPr>
          <w:rFonts w:asciiTheme="majorBidi" w:hAnsiTheme="majorBidi" w:cstheme="majorBidi"/>
          <w:szCs w:val="24"/>
          <w:lang w:val="es-ES_tradnl"/>
        </w:rPr>
        <w:t xml:space="preserve"> (</w:t>
      </w:r>
      <w:r w:rsidR="00622E84" w:rsidRPr="00622E84">
        <w:rPr>
          <w:rFonts w:asciiTheme="majorBidi" w:hAnsiTheme="majorBidi" w:cstheme="majorBidi"/>
          <w:i/>
          <w:iCs/>
          <w:szCs w:val="24"/>
          <w:lang w:val="es-ES_tradnl"/>
        </w:rPr>
        <w:t>d</w:t>
      </w:r>
      <w:r w:rsidRPr="00622E84">
        <w:rPr>
          <w:rFonts w:asciiTheme="majorBidi" w:hAnsiTheme="majorBidi" w:cstheme="majorBidi"/>
          <w:i/>
          <w:iCs/>
          <w:szCs w:val="24"/>
          <w:lang w:val="es-ES_tradnl"/>
        </w:rPr>
        <w:t>igital signal processor</w:t>
      </w:r>
      <w:r w:rsidR="00622E84" w:rsidRPr="00622E84">
        <w:rPr>
          <w:rFonts w:asciiTheme="majorBidi" w:hAnsiTheme="majorBidi" w:cstheme="majorBidi"/>
          <w:szCs w:val="24"/>
          <w:lang w:val="es-ES_tradnl"/>
        </w:rPr>
        <w:t>)</w:t>
      </w:r>
    </w:p>
    <w:p w:rsidR="005439C7" w:rsidRPr="00622E84" w:rsidRDefault="005439C7" w:rsidP="00DC6F5D">
      <w:pPr>
        <w:tabs>
          <w:tab w:val="clear" w:pos="794"/>
          <w:tab w:val="clear" w:pos="1191"/>
        </w:tabs>
        <w:ind w:left="1588" w:hanging="1588"/>
        <w:rPr>
          <w:rFonts w:asciiTheme="majorBidi" w:hAnsiTheme="majorBidi" w:cstheme="majorBidi"/>
          <w:szCs w:val="24"/>
          <w:lang w:val="es-ES_tradnl"/>
        </w:rPr>
      </w:pPr>
      <w:r w:rsidRPr="00622E84">
        <w:rPr>
          <w:rFonts w:asciiTheme="majorBidi" w:hAnsiTheme="majorBidi" w:cstheme="majorBidi"/>
          <w:szCs w:val="24"/>
          <w:lang w:val="es-ES_tradnl"/>
        </w:rPr>
        <w:t>DSSS</w:t>
      </w:r>
      <w:r w:rsidRPr="00622E84">
        <w:rPr>
          <w:rFonts w:asciiTheme="majorBidi" w:hAnsiTheme="majorBidi" w:cstheme="majorBidi"/>
          <w:szCs w:val="24"/>
          <w:lang w:val="es-ES_tradnl"/>
        </w:rPr>
        <w:tab/>
      </w:r>
      <w:r w:rsidR="00DC6F5D">
        <w:rPr>
          <w:rFonts w:asciiTheme="majorBidi" w:hAnsiTheme="majorBidi" w:cstheme="majorBidi"/>
          <w:szCs w:val="24"/>
          <w:lang w:val="es-ES_tradnl"/>
        </w:rPr>
        <w:t>E</w:t>
      </w:r>
      <w:r w:rsidR="00DC6F5D" w:rsidRPr="0072410C">
        <w:rPr>
          <w:rFonts w:asciiTheme="majorBidi" w:hAnsiTheme="majorBidi" w:cstheme="majorBidi"/>
          <w:szCs w:val="24"/>
          <w:lang w:val="es-ES_tradnl"/>
        </w:rPr>
        <w:t>spectro ensanchado por secuencia directa</w:t>
      </w:r>
      <w:r w:rsidR="00DC6F5D">
        <w:rPr>
          <w:rFonts w:asciiTheme="majorBidi" w:hAnsiTheme="majorBidi" w:cstheme="majorBidi"/>
          <w:szCs w:val="24"/>
          <w:lang w:val="es-ES_tradnl"/>
        </w:rPr>
        <w:t xml:space="preserve"> </w:t>
      </w:r>
      <w:r w:rsidR="00622E84" w:rsidRPr="00622E84">
        <w:rPr>
          <w:rFonts w:asciiTheme="majorBidi" w:hAnsiTheme="majorBidi" w:cstheme="majorBidi"/>
          <w:szCs w:val="24"/>
          <w:lang w:val="es-ES_tradnl"/>
        </w:rPr>
        <w:t>(</w:t>
      </w:r>
      <w:r w:rsidR="00622E84" w:rsidRPr="00DC6F5D">
        <w:rPr>
          <w:rFonts w:asciiTheme="majorBidi" w:hAnsiTheme="majorBidi" w:cstheme="majorBidi"/>
          <w:i/>
          <w:iCs/>
          <w:szCs w:val="24"/>
          <w:lang w:val="es-ES_tradnl"/>
        </w:rPr>
        <w:t>d</w:t>
      </w:r>
      <w:r w:rsidRPr="00DC6F5D">
        <w:rPr>
          <w:rFonts w:asciiTheme="majorBidi" w:hAnsiTheme="majorBidi" w:cstheme="majorBidi"/>
          <w:i/>
          <w:iCs/>
          <w:szCs w:val="24"/>
          <w:lang w:val="es-ES_tradnl"/>
        </w:rPr>
        <w:t>irect-sequence spread spectrum</w:t>
      </w:r>
      <w:r w:rsidR="00622E84">
        <w:rPr>
          <w:rFonts w:asciiTheme="majorBidi" w:hAnsiTheme="majorBidi" w:cstheme="majorBidi"/>
          <w:szCs w:val="24"/>
          <w:lang w:val="es-ES_tradnl"/>
        </w:rPr>
        <w:t>)</w:t>
      </w:r>
    </w:p>
    <w:p w:rsidR="005439C7" w:rsidRPr="00DC6F5D" w:rsidRDefault="005439C7" w:rsidP="00DC6F5D">
      <w:pPr>
        <w:tabs>
          <w:tab w:val="clear" w:pos="794"/>
          <w:tab w:val="clear" w:pos="1191"/>
        </w:tabs>
        <w:rPr>
          <w:rFonts w:asciiTheme="majorBidi" w:hAnsiTheme="majorBidi" w:cstheme="majorBidi"/>
          <w:szCs w:val="24"/>
          <w:lang w:val="es-ES_tradnl"/>
        </w:rPr>
      </w:pPr>
      <w:r w:rsidRPr="00DC6F5D">
        <w:rPr>
          <w:rFonts w:asciiTheme="majorBidi" w:hAnsiTheme="majorBidi" w:cstheme="majorBidi"/>
          <w:szCs w:val="24"/>
          <w:lang w:val="es-ES_tradnl"/>
        </w:rPr>
        <w:t>DVB-T</w:t>
      </w:r>
      <w:r w:rsidRPr="00DC6F5D">
        <w:rPr>
          <w:rFonts w:asciiTheme="majorBidi" w:hAnsiTheme="majorBidi" w:cstheme="majorBidi"/>
          <w:szCs w:val="24"/>
          <w:lang w:val="es-ES_tradnl"/>
        </w:rPr>
        <w:tab/>
      </w:r>
      <w:r w:rsidR="00DC6F5D">
        <w:rPr>
          <w:rFonts w:asciiTheme="majorBidi" w:hAnsiTheme="majorBidi" w:cstheme="majorBidi"/>
          <w:szCs w:val="24"/>
          <w:lang w:val="es-ES_tradnl"/>
        </w:rPr>
        <w:t>R</w:t>
      </w:r>
      <w:r w:rsidR="00DC6F5D" w:rsidRPr="0072410C">
        <w:rPr>
          <w:rFonts w:asciiTheme="majorBidi" w:hAnsiTheme="majorBidi" w:cstheme="majorBidi"/>
          <w:szCs w:val="24"/>
          <w:lang w:val="es-ES_tradnl"/>
        </w:rPr>
        <w:t>adiodifusión de vídeo digital – terrenal</w:t>
      </w:r>
      <w:r w:rsidR="00DC6F5D" w:rsidRPr="00DC6F5D">
        <w:rPr>
          <w:rFonts w:asciiTheme="majorBidi" w:hAnsiTheme="majorBidi" w:cstheme="majorBidi"/>
          <w:szCs w:val="24"/>
          <w:lang w:val="es-ES_tradnl"/>
        </w:rPr>
        <w:t xml:space="preserve"> </w:t>
      </w:r>
      <w:r w:rsidR="00DC6F5D">
        <w:rPr>
          <w:rFonts w:asciiTheme="majorBidi" w:hAnsiTheme="majorBidi" w:cstheme="majorBidi"/>
          <w:szCs w:val="24"/>
          <w:lang w:val="es-ES_tradnl"/>
        </w:rPr>
        <w:t>(</w:t>
      </w:r>
      <w:r w:rsidR="00DC6F5D" w:rsidRPr="00DC6F5D">
        <w:rPr>
          <w:rFonts w:asciiTheme="majorBidi" w:hAnsiTheme="majorBidi" w:cstheme="majorBidi"/>
          <w:i/>
          <w:iCs/>
          <w:szCs w:val="24"/>
          <w:lang w:val="es-ES_tradnl"/>
        </w:rPr>
        <w:t>d</w:t>
      </w:r>
      <w:r w:rsidRPr="00DC6F5D">
        <w:rPr>
          <w:rFonts w:asciiTheme="majorBidi" w:hAnsiTheme="majorBidi" w:cstheme="majorBidi"/>
          <w:i/>
          <w:iCs/>
          <w:szCs w:val="24"/>
          <w:lang w:val="es-ES_tradnl"/>
        </w:rPr>
        <w:t>igital video broadcasting – Terrestrial</w:t>
      </w:r>
      <w:r w:rsidR="00DC6F5D">
        <w:rPr>
          <w:rFonts w:asciiTheme="majorBidi" w:hAnsiTheme="majorBidi" w:cstheme="majorBidi"/>
          <w:szCs w:val="24"/>
          <w:lang w:val="es-ES_tradnl"/>
        </w:rPr>
        <w:t>)</w:t>
      </w:r>
    </w:p>
    <w:p w:rsidR="005439C7" w:rsidRPr="00F84821" w:rsidRDefault="005439C7" w:rsidP="00C80338">
      <w:pPr>
        <w:tabs>
          <w:tab w:val="clear" w:pos="794"/>
          <w:tab w:val="clear" w:pos="1191"/>
        </w:tabs>
        <w:rPr>
          <w:rFonts w:asciiTheme="majorBidi" w:hAnsiTheme="majorBidi" w:cstheme="majorBidi"/>
          <w:szCs w:val="24"/>
          <w:lang w:val="es-ES_tradnl"/>
        </w:rPr>
      </w:pPr>
      <w:r w:rsidRPr="00F84821">
        <w:rPr>
          <w:rFonts w:asciiTheme="majorBidi" w:hAnsiTheme="majorBidi" w:cstheme="majorBidi"/>
          <w:szCs w:val="24"/>
          <w:lang w:val="es-ES_tradnl"/>
        </w:rPr>
        <w:t>ECC</w:t>
      </w:r>
      <w:r w:rsidRPr="00F84821">
        <w:rPr>
          <w:rFonts w:asciiTheme="majorBidi" w:hAnsiTheme="majorBidi" w:cstheme="majorBidi"/>
          <w:szCs w:val="24"/>
          <w:lang w:val="es-ES_tradnl"/>
        </w:rPr>
        <w:tab/>
      </w:r>
      <w:r w:rsidR="00C80338" w:rsidRPr="0072410C">
        <w:rPr>
          <w:rFonts w:asciiTheme="majorBidi" w:hAnsiTheme="majorBidi" w:cstheme="majorBidi"/>
          <w:szCs w:val="24"/>
          <w:lang w:val="es-ES_tradnl"/>
        </w:rPr>
        <w:t>Comité de Comunicaciones Electrónicas</w:t>
      </w:r>
      <w:r w:rsidR="00C80338" w:rsidRPr="00F84821">
        <w:rPr>
          <w:rFonts w:asciiTheme="majorBidi" w:hAnsiTheme="majorBidi" w:cstheme="majorBidi"/>
          <w:szCs w:val="24"/>
          <w:lang w:val="es-ES_tradnl"/>
        </w:rPr>
        <w:t xml:space="preserve"> (</w:t>
      </w:r>
      <w:r w:rsidR="00C80338" w:rsidRPr="00F84821">
        <w:rPr>
          <w:rFonts w:asciiTheme="majorBidi" w:hAnsiTheme="majorBidi" w:cstheme="majorBidi"/>
          <w:i/>
          <w:iCs/>
          <w:szCs w:val="24"/>
          <w:lang w:val="es-ES_tradnl"/>
        </w:rPr>
        <w:t>electronic communications committee</w:t>
      </w:r>
      <w:r w:rsidR="00C80338">
        <w:rPr>
          <w:rFonts w:asciiTheme="majorBidi" w:hAnsiTheme="majorBidi" w:cstheme="majorBidi"/>
          <w:szCs w:val="24"/>
          <w:lang w:val="es-ES_tradnl"/>
        </w:rPr>
        <w:t>)</w:t>
      </w:r>
    </w:p>
    <w:p w:rsidR="001C2B41" w:rsidRPr="00F84821" w:rsidRDefault="001C2B41" w:rsidP="001C2B41">
      <w:pPr>
        <w:tabs>
          <w:tab w:val="clear" w:pos="794"/>
          <w:tab w:val="clear" w:pos="1191"/>
        </w:tabs>
        <w:rPr>
          <w:rFonts w:asciiTheme="majorBidi" w:hAnsiTheme="majorBidi" w:cstheme="majorBidi"/>
          <w:szCs w:val="24"/>
          <w:lang w:val="es-ES_tradnl"/>
        </w:rPr>
      </w:pPr>
      <w:r w:rsidRPr="00F84821">
        <w:rPr>
          <w:rFonts w:asciiTheme="majorBidi" w:hAnsiTheme="majorBidi" w:cstheme="majorBidi"/>
          <w:szCs w:val="24"/>
          <w:lang w:val="es-ES_tradnl"/>
        </w:rPr>
        <w:t>e.i.r.p.</w:t>
      </w:r>
      <w:r w:rsidRPr="00F84821">
        <w:rPr>
          <w:rFonts w:asciiTheme="majorBidi" w:hAnsiTheme="majorBidi" w:cstheme="majorBidi"/>
          <w:szCs w:val="24"/>
          <w:lang w:val="es-ES_tradnl"/>
        </w:rPr>
        <w:tab/>
      </w:r>
      <w:r>
        <w:rPr>
          <w:rFonts w:asciiTheme="majorBidi" w:hAnsiTheme="majorBidi" w:cstheme="majorBidi"/>
          <w:szCs w:val="24"/>
          <w:lang w:val="es-ES_tradnl"/>
        </w:rPr>
        <w:t>P</w:t>
      </w:r>
      <w:r w:rsidRPr="0072410C">
        <w:rPr>
          <w:rFonts w:asciiTheme="majorBidi" w:hAnsiTheme="majorBidi" w:cstheme="majorBidi"/>
          <w:szCs w:val="24"/>
          <w:lang w:val="es-ES_tradnl"/>
        </w:rPr>
        <w:t>otencia isótropa radiada equivalente</w:t>
      </w:r>
      <w:r w:rsidRPr="00F84821">
        <w:rPr>
          <w:rFonts w:asciiTheme="majorBidi" w:hAnsiTheme="majorBidi" w:cstheme="majorBidi"/>
          <w:szCs w:val="24"/>
          <w:lang w:val="es-ES_tradnl"/>
        </w:rPr>
        <w:t xml:space="preserve"> (</w:t>
      </w:r>
      <w:r w:rsidRPr="00F84821">
        <w:rPr>
          <w:rFonts w:asciiTheme="majorBidi" w:hAnsiTheme="majorBidi" w:cstheme="majorBidi"/>
          <w:i/>
          <w:iCs/>
          <w:szCs w:val="24"/>
          <w:lang w:val="es-ES_tradnl"/>
        </w:rPr>
        <w:t>equivalent isotropically radiated power</w:t>
      </w:r>
      <w:r>
        <w:rPr>
          <w:rFonts w:asciiTheme="majorBidi" w:hAnsiTheme="majorBidi" w:cstheme="majorBidi"/>
          <w:szCs w:val="24"/>
          <w:lang w:val="es-ES_tradnl"/>
        </w:rPr>
        <w:t>)</w:t>
      </w:r>
    </w:p>
    <w:p w:rsidR="005439C7" w:rsidRPr="00F84821" w:rsidRDefault="005439C7" w:rsidP="00F84821">
      <w:pPr>
        <w:tabs>
          <w:tab w:val="clear" w:pos="794"/>
          <w:tab w:val="clear" w:pos="1191"/>
        </w:tabs>
        <w:ind w:left="1588" w:hanging="1588"/>
        <w:rPr>
          <w:rFonts w:asciiTheme="majorBidi" w:hAnsiTheme="majorBidi" w:cstheme="majorBidi"/>
          <w:szCs w:val="24"/>
          <w:lang w:val="es-ES_tradnl"/>
        </w:rPr>
      </w:pPr>
      <w:r w:rsidRPr="00F84821">
        <w:rPr>
          <w:rFonts w:asciiTheme="majorBidi" w:hAnsiTheme="majorBidi" w:cstheme="majorBidi"/>
          <w:szCs w:val="24"/>
          <w:lang w:val="es-ES_tradnl"/>
        </w:rPr>
        <w:t>ERC</w:t>
      </w:r>
      <w:r w:rsidRPr="00F84821">
        <w:rPr>
          <w:rFonts w:asciiTheme="majorBidi" w:hAnsiTheme="majorBidi" w:cstheme="majorBidi"/>
          <w:szCs w:val="24"/>
          <w:lang w:val="es-ES_tradnl"/>
        </w:rPr>
        <w:tab/>
      </w:r>
      <w:r w:rsidR="00F84821" w:rsidRPr="0072410C">
        <w:rPr>
          <w:rFonts w:asciiTheme="majorBidi" w:hAnsiTheme="majorBidi" w:cstheme="majorBidi"/>
          <w:szCs w:val="24"/>
          <w:lang w:val="es-ES_tradnl"/>
        </w:rPr>
        <w:t>Comité Europeo de Radiocomunicaciones</w:t>
      </w:r>
      <w:r w:rsidR="00F84821" w:rsidRPr="00F84821">
        <w:rPr>
          <w:rFonts w:asciiTheme="majorBidi" w:hAnsiTheme="majorBidi" w:cstheme="majorBidi"/>
          <w:szCs w:val="24"/>
          <w:lang w:val="es-ES_tradnl"/>
        </w:rPr>
        <w:t xml:space="preserve"> (</w:t>
      </w:r>
      <w:r w:rsidR="00F84821" w:rsidRPr="00F84821">
        <w:rPr>
          <w:rFonts w:asciiTheme="majorBidi" w:hAnsiTheme="majorBidi" w:cstheme="majorBidi"/>
          <w:i/>
          <w:iCs/>
          <w:szCs w:val="24"/>
          <w:lang w:val="es-ES_tradnl"/>
        </w:rPr>
        <w:t>european radiocommunications committee</w:t>
      </w:r>
      <w:r w:rsidR="00F84821" w:rsidRPr="00F84821">
        <w:rPr>
          <w:rFonts w:asciiTheme="majorBidi" w:hAnsiTheme="majorBidi" w:cstheme="majorBidi"/>
          <w:szCs w:val="24"/>
          <w:lang w:val="es-ES_tradnl"/>
        </w:rPr>
        <w:t>)</w:t>
      </w:r>
    </w:p>
    <w:p w:rsidR="005439C7" w:rsidRPr="00F84821" w:rsidRDefault="005439C7" w:rsidP="005439C7">
      <w:pPr>
        <w:tabs>
          <w:tab w:val="clear" w:pos="794"/>
          <w:tab w:val="clear" w:pos="1191"/>
        </w:tabs>
        <w:rPr>
          <w:rFonts w:asciiTheme="majorBidi" w:hAnsiTheme="majorBidi" w:cstheme="majorBidi"/>
          <w:szCs w:val="24"/>
          <w:lang w:val="es-ES_tradnl"/>
        </w:rPr>
      </w:pPr>
      <w:r w:rsidRPr="00F84821">
        <w:rPr>
          <w:rFonts w:asciiTheme="majorBidi" w:hAnsiTheme="majorBidi" w:cstheme="majorBidi"/>
          <w:szCs w:val="24"/>
          <w:lang w:val="es-ES_tradnl"/>
        </w:rPr>
        <w:t>e.r.p.</w:t>
      </w:r>
      <w:r w:rsidRPr="00F84821">
        <w:rPr>
          <w:rFonts w:asciiTheme="majorBidi" w:hAnsiTheme="majorBidi" w:cstheme="majorBidi"/>
          <w:szCs w:val="24"/>
          <w:lang w:val="es-ES_tradnl"/>
        </w:rPr>
        <w:tab/>
      </w:r>
      <w:r w:rsidR="00F84821">
        <w:rPr>
          <w:rFonts w:asciiTheme="majorBidi" w:hAnsiTheme="majorBidi" w:cstheme="majorBidi"/>
          <w:szCs w:val="24"/>
          <w:lang w:val="es-ES_tradnl"/>
        </w:rPr>
        <w:t>P</w:t>
      </w:r>
      <w:r w:rsidR="00F84821" w:rsidRPr="0072410C">
        <w:rPr>
          <w:rFonts w:asciiTheme="majorBidi" w:hAnsiTheme="majorBidi" w:cstheme="majorBidi"/>
          <w:szCs w:val="24"/>
          <w:lang w:val="es-ES_tradnl"/>
        </w:rPr>
        <w:t>otencia radiada aparente</w:t>
      </w:r>
      <w:r w:rsidR="00F84821" w:rsidRPr="00F84821">
        <w:rPr>
          <w:rFonts w:asciiTheme="majorBidi" w:hAnsiTheme="majorBidi" w:cstheme="majorBidi"/>
          <w:szCs w:val="24"/>
          <w:lang w:val="es-ES_tradnl"/>
        </w:rPr>
        <w:t xml:space="preserve"> (</w:t>
      </w:r>
      <w:r w:rsidR="00F84821" w:rsidRPr="00F84821">
        <w:rPr>
          <w:rFonts w:asciiTheme="majorBidi" w:hAnsiTheme="majorBidi" w:cstheme="majorBidi"/>
          <w:i/>
          <w:iCs/>
          <w:szCs w:val="24"/>
          <w:lang w:val="es-ES_tradnl"/>
        </w:rPr>
        <w:t>effective radiated power</w:t>
      </w:r>
      <w:r w:rsidR="00F84821">
        <w:rPr>
          <w:rFonts w:asciiTheme="majorBidi" w:hAnsiTheme="majorBidi" w:cstheme="majorBidi"/>
          <w:szCs w:val="24"/>
          <w:lang w:val="es-ES_tradnl"/>
        </w:rPr>
        <w:t>)</w:t>
      </w:r>
    </w:p>
    <w:p w:rsidR="005439C7" w:rsidRPr="00F84821" w:rsidRDefault="005439C7" w:rsidP="00F84821">
      <w:pPr>
        <w:tabs>
          <w:tab w:val="clear" w:pos="794"/>
          <w:tab w:val="clear" w:pos="1191"/>
        </w:tabs>
        <w:ind w:left="1588" w:hanging="1588"/>
        <w:rPr>
          <w:rFonts w:asciiTheme="majorBidi" w:hAnsiTheme="majorBidi" w:cstheme="majorBidi"/>
          <w:szCs w:val="24"/>
          <w:lang w:val="es-ES_tradnl"/>
        </w:rPr>
      </w:pPr>
      <w:r w:rsidRPr="00F84821">
        <w:rPr>
          <w:rFonts w:asciiTheme="majorBidi" w:hAnsiTheme="majorBidi" w:cstheme="majorBidi"/>
          <w:szCs w:val="24"/>
          <w:lang w:val="es-ES_tradnl"/>
        </w:rPr>
        <w:t>ETSI</w:t>
      </w:r>
      <w:r w:rsidRPr="00F84821">
        <w:rPr>
          <w:rFonts w:asciiTheme="majorBidi" w:hAnsiTheme="majorBidi" w:cstheme="majorBidi"/>
          <w:szCs w:val="24"/>
          <w:lang w:val="es-ES_tradnl"/>
        </w:rPr>
        <w:tab/>
      </w:r>
      <w:r w:rsidR="00F84821" w:rsidRPr="0072410C">
        <w:rPr>
          <w:rFonts w:asciiTheme="majorBidi" w:hAnsiTheme="majorBidi" w:cstheme="majorBidi"/>
          <w:szCs w:val="24"/>
          <w:lang w:val="es-ES_tradnl"/>
        </w:rPr>
        <w:t>Instituto Europeo de Normas de Telecomunicación</w:t>
      </w:r>
      <w:r w:rsidR="00F84821" w:rsidRPr="00F84821">
        <w:rPr>
          <w:rFonts w:asciiTheme="majorBidi" w:hAnsiTheme="majorBidi" w:cstheme="majorBidi"/>
          <w:szCs w:val="24"/>
          <w:lang w:val="es-ES_tradnl"/>
        </w:rPr>
        <w:t xml:space="preserve"> (</w:t>
      </w:r>
      <w:r w:rsidR="00F84821" w:rsidRPr="00F84821">
        <w:rPr>
          <w:rFonts w:asciiTheme="majorBidi" w:hAnsiTheme="majorBidi" w:cstheme="majorBidi"/>
          <w:i/>
          <w:iCs/>
          <w:szCs w:val="24"/>
          <w:lang w:val="es-ES_tradnl"/>
        </w:rPr>
        <w:t>european telecommunications standards institute</w:t>
      </w:r>
      <w:r w:rsidR="00F84821">
        <w:rPr>
          <w:rFonts w:asciiTheme="majorBidi" w:hAnsiTheme="majorBidi" w:cstheme="majorBidi"/>
          <w:szCs w:val="24"/>
          <w:lang w:val="es-ES_tradnl"/>
        </w:rPr>
        <w:t>)</w:t>
      </w:r>
    </w:p>
    <w:p w:rsidR="005439C7" w:rsidRPr="00D24BC5" w:rsidRDefault="005439C7" w:rsidP="005439C7">
      <w:pPr>
        <w:tabs>
          <w:tab w:val="clear" w:pos="794"/>
          <w:tab w:val="clear" w:pos="1191"/>
        </w:tabs>
        <w:rPr>
          <w:rFonts w:asciiTheme="majorBidi" w:hAnsiTheme="majorBidi" w:cstheme="majorBidi"/>
          <w:szCs w:val="24"/>
          <w:lang w:val="en-GB"/>
        </w:rPr>
      </w:pPr>
      <w:r w:rsidRPr="00D24BC5">
        <w:rPr>
          <w:rFonts w:asciiTheme="majorBidi" w:hAnsiTheme="majorBidi" w:cstheme="majorBidi"/>
          <w:szCs w:val="24"/>
          <w:lang w:val="en-GB"/>
        </w:rPr>
        <w:t>FDD</w:t>
      </w:r>
      <w:r w:rsidRPr="00D24BC5">
        <w:rPr>
          <w:rFonts w:asciiTheme="majorBidi" w:hAnsiTheme="majorBidi" w:cstheme="majorBidi"/>
          <w:szCs w:val="24"/>
          <w:lang w:val="en-GB"/>
        </w:rPr>
        <w:tab/>
        <w:t>Frequency division duplex</w:t>
      </w:r>
    </w:p>
    <w:p w:rsidR="005439C7" w:rsidRPr="004B1C7F" w:rsidRDefault="005439C7" w:rsidP="005439C7">
      <w:pPr>
        <w:tabs>
          <w:tab w:val="clear" w:pos="794"/>
          <w:tab w:val="clear" w:pos="1191"/>
        </w:tabs>
        <w:rPr>
          <w:rFonts w:asciiTheme="majorBidi" w:hAnsiTheme="majorBidi" w:cstheme="majorBidi"/>
          <w:szCs w:val="24"/>
          <w:lang w:val="en-GB"/>
        </w:rPr>
      </w:pPr>
      <w:r w:rsidRPr="004B1C7F">
        <w:rPr>
          <w:rFonts w:asciiTheme="majorBidi" w:hAnsiTheme="majorBidi" w:cstheme="majorBidi"/>
          <w:szCs w:val="24"/>
          <w:lang w:val="en-GB"/>
        </w:rPr>
        <w:t>FS</w:t>
      </w:r>
      <w:r w:rsidRPr="004B1C7F">
        <w:rPr>
          <w:rFonts w:asciiTheme="majorBidi" w:hAnsiTheme="majorBidi" w:cstheme="majorBidi"/>
          <w:szCs w:val="24"/>
          <w:lang w:val="en-GB"/>
        </w:rPr>
        <w:tab/>
      </w:r>
      <w:r w:rsidR="00F84821" w:rsidRPr="004B1C7F">
        <w:rPr>
          <w:rFonts w:asciiTheme="majorBidi" w:hAnsiTheme="majorBidi" w:cstheme="majorBidi"/>
          <w:szCs w:val="24"/>
          <w:lang w:val="en-GB"/>
        </w:rPr>
        <w:t>Servicio fijo (</w:t>
      </w:r>
      <w:r w:rsidR="00F84821" w:rsidRPr="004B1C7F">
        <w:rPr>
          <w:rFonts w:asciiTheme="majorBidi" w:hAnsiTheme="majorBidi" w:cstheme="majorBidi"/>
          <w:i/>
          <w:iCs/>
          <w:szCs w:val="24"/>
          <w:lang w:val="en-GB"/>
        </w:rPr>
        <w:t>fixed service</w:t>
      </w:r>
      <w:r w:rsidR="00F84821" w:rsidRPr="004B1C7F">
        <w:rPr>
          <w:rFonts w:asciiTheme="majorBidi" w:hAnsiTheme="majorBidi" w:cstheme="majorBidi"/>
          <w:szCs w:val="24"/>
          <w:lang w:val="en-GB"/>
        </w:rPr>
        <w:t>)</w:t>
      </w:r>
    </w:p>
    <w:p w:rsidR="005439C7" w:rsidRPr="00F84821" w:rsidRDefault="005439C7" w:rsidP="005439C7">
      <w:pPr>
        <w:tabs>
          <w:tab w:val="clear" w:pos="794"/>
          <w:tab w:val="clear" w:pos="1191"/>
        </w:tabs>
        <w:rPr>
          <w:rFonts w:asciiTheme="majorBidi" w:hAnsiTheme="majorBidi" w:cstheme="majorBidi"/>
          <w:szCs w:val="24"/>
          <w:lang w:val="es-ES_tradnl"/>
        </w:rPr>
      </w:pPr>
      <w:r w:rsidRPr="00F84821">
        <w:rPr>
          <w:rFonts w:asciiTheme="majorBidi" w:hAnsiTheme="majorBidi" w:cstheme="majorBidi"/>
          <w:szCs w:val="24"/>
          <w:lang w:val="es-ES_tradnl"/>
        </w:rPr>
        <w:t>FSK</w:t>
      </w:r>
      <w:r w:rsidRPr="00F84821">
        <w:rPr>
          <w:rFonts w:asciiTheme="majorBidi" w:hAnsiTheme="majorBidi" w:cstheme="majorBidi"/>
          <w:szCs w:val="24"/>
          <w:lang w:val="es-ES_tradnl"/>
        </w:rPr>
        <w:tab/>
      </w:r>
      <w:r w:rsidR="00F84821">
        <w:rPr>
          <w:rFonts w:asciiTheme="majorBidi" w:hAnsiTheme="majorBidi" w:cstheme="majorBidi"/>
          <w:szCs w:val="24"/>
          <w:lang w:val="es-ES_tradnl"/>
        </w:rPr>
        <w:t>M</w:t>
      </w:r>
      <w:r w:rsidR="00F84821" w:rsidRPr="0072410C">
        <w:rPr>
          <w:rFonts w:asciiTheme="majorBidi" w:hAnsiTheme="majorBidi" w:cstheme="majorBidi"/>
          <w:szCs w:val="24"/>
          <w:lang w:val="es-ES_tradnl"/>
        </w:rPr>
        <w:t>odulación por desplazamiento de frecuencia</w:t>
      </w:r>
      <w:r w:rsidR="00F84821" w:rsidRPr="00F84821">
        <w:rPr>
          <w:rFonts w:asciiTheme="majorBidi" w:hAnsiTheme="majorBidi" w:cstheme="majorBidi"/>
          <w:szCs w:val="24"/>
          <w:lang w:val="es-ES_tradnl"/>
        </w:rPr>
        <w:t xml:space="preserve"> (</w:t>
      </w:r>
      <w:r w:rsidR="00F84821" w:rsidRPr="00F84821">
        <w:rPr>
          <w:rFonts w:asciiTheme="majorBidi" w:hAnsiTheme="majorBidi" w:cstheme="majorBidi"/>
          <w:i/>
          <w:iCs/>
          <w:szCs w:val="24"/>
          <w:lang w:val="es-ES_tradnl"/>
        </w:rPr>
        <w:t>frequency shift keying</w:t>
      </w:r>
      <w:r w:rsidR="00F84821">
        <w:rPr>
          <w:rFonts w:asciiTheme="majorBidi" w:hAnsiTheme="majorBidi" w:cstheme="majorBidi"/>
          <w:szCs w:val="24"/>
          <w:lang w:val="es-ES_tradnl"/>
        </w:rPr>
        <w:t>)</w:t>
      </w:r>
    </w:p>
    <w:p w:rsidR="005439C7" w:rsidRPr="00F84821" w:rsidRDefault="005439C7" w:rsidP="005439C7">
      <w:pPr>
        <w:tabs>
          <w:tab w:val="clear" w:pos="794"/>
          <w:tab w:val="clear" w:pos="1191"/>
        </w:tabs>
        <w:rPr>
          <w:rFonts w:asciiTheme="majorBidi" w:hAnsiTheme="majorBidi" w:cstheme="majorBidi"/>
          <w:szCs w:val="24"/>
          <w:lang w:val="es-ES_tradnl"/>
        </w:rPr>
      </w:pPr>
      <w:r w:rsidRPr="00F84821">
        <w:rPr>
          <w:rFonts w:asciiTheme="majorBidi" w:hAnsiTheme="majorBidi" w:cstheme="majorBidi"/>
          <w:szCs w:val="24"/>
          <w:lang w:val="es-ES_tradnl"/>
        </w:rPr>
        <w:t>GMSK</w:t>
      </w:r>
      <w:r w:rsidRPr="00F84821">
        <w:rPr>
          <w:rFonts w:asciiTheme="majorBidi" w:hAnsiTheme="majorBidi" w:cstheme="majorBidi"/>
          <w:szCs w:val="24"/>
          <w:lang w:val="es-ES_tradnl"/>
        </w:rPr>
        <w:tab/>
      </w:r>
      <w:r w:rsidR="00F84821">
        <w:rPr>
          <w:rFonts w:asciiTheme="majorBidi" w:hAnsiTheme="majorBidi" w:cstheme="majorBidi"/>
          <w:szCs w:val="24"/>
          <w:lang w:val="es-ES_tradnl"/>
        </w:rPr>
        <w:t>D</w:t>
      </w:r>
      <w:r w:rsidR="00F84821" w:rsidRPr="0072410C">
        <w:rPr>
          <w:rFonts w:asciiTheme="majorBidi" w:hAnsiTheme="majorBidi" w:cstheme="majorBidi"/>
          <w:szCs w:val="24"/>
          <w:lang w:val="es-ES_tradnl"/>
        </w:rPr>
        <w:t>esplazamiento mínimo gaussiano</w:t>
      </w:r>
      <w:r w:rsidR="00F84821" w:rsidRPr="00F84821">
        <w:rPr>
          <w:rFonts w:asciiTheme="majorBidi" w:hAnsiTheme="majorBidi" w:cstheme="majorBidi"/>
          <w:szCs w:val="24"/>
          <w:lang w:val="es-ES_tradnl"/>
        </w:rPr>
        <w:t xml:space="preserve"> (</w:t>
      </w:r>
      <w:r w:rsidR="00F84821" w:rsidRPr="00F84821">
        <w:rPr>
          <w:rFonts w:asciiTheme="majorBidi" w:hAnsiTheme="majorBidi" w:cstheme="majorBidi"/>
          <w:i/>
          <w:iCs/>
          <w:szCs w:val="24"/>
          <w:lang w:val="es-ES_tradnl"/>
        </w:rPr>
        <w:t>gaussian minimum shift keying</w:t>
      </w:r>
      <w:r w:rsidR="00F84821" w:rsidRPr="00F84821">
        <w:rPr>
          <w:rFonts w:asciiTheme="majorBidi" w:hAnsiTheme="majorBidi" w:cstheme="majorBidi"/>
          <w:szCs w:val="24"/>
          <w:lang w:val="es-ES_tradnl"/>
        </w:rPr>
        <w:t>)</w:t>
      </w:r>
    </w:p>
    <w:p w:rsidR="005439C7" w:rsidRPr="00F84821" w:rsidRDefault="005439C7" w:rsidP="00F84821">
      <w:pPr>
        <w:tabs>
          <w:tab w:val="clear" w:pos="794"/>
          <w:tab w:val="clear" w:pos="1191"/>
        </w:tabs>
        <w:ind w:left="1588" w:hanging="1588"/>
        <w:rPr>
          <w:rFonts w:asciiTheme="majorBidi" w:hAnsiTheme="majorBidi" w:cstheme="majorBidi"/>
          <w:szCs w:val="24"/>
          <w:lang w:val="es-ES_tradnl"/>
        </w:rPr>
      </w:pPr>
      <w:r w:rsidRPr="00F84821">
        <w:rPr>
          <w:rFonts w:asciiTheme="majorBidi" w:hAnsiTheme="majorBidi" w:cstheme="majorBidi"/>
          <w:szCs w:val="24"/>
          <w:lang w:val="es-ES_tradnl"/>
        </w:rPr>
        <w:lastRenderedPageBreak/>
        <w:t>GSM</w:t>
      </w:r>
      <w:r w:rsidRPr="00F84821">
        <w:rPr>
          <w:rFonts w:asciiTheme="majorBidi" w:hAnsiTheme="majorBidi" w:cstheme="majorBidi"/>
          <w:szCs w:val="24"/>
          <w:lang w:val="es-ES_tradnl"/>
        </w:rPr>
        <w:tab/>
      </w:r>
      <w:r w:rsidR="00F84821" w:rsidRPr="0072410C">
        <w:rPr>
          <w:rFonts w:asciiTheme="majorBidi" w:hAnsiTheme="majorBidi" w:cstheme="majorBidi"/>
          <w:szCs w:val="24"/>
          <w:lang w:val="es-ES_tradnl"/>
        </w:rPr>
        <w:t>Sistema mundial para comunicaciones móviles</w:t>
      </w:r>
      <w:r w:rsidR="00F84821" w:rsidRPr="00F84821">
        <w:rPr>
          <w:rFonts w:asciiTheme="majorBidi" w:hAnsiTheme="majorBidi" w:cstheme="majorBidi"/>
          <w:szCs w:val="24"/>
          <w:lang w:val="es-ES_tradnl"/>
        </w:rPr>
        <w:t xml:space="preserve"> (</w:t>
      </w:r>
      <w:r w:rsidR="00F84821" w:rsidRPr="00F84821">
        <w:rPr>
          <w:rFonts w:asciiTheme="majorBidi" w:hAnsiTheme="majorBidi" w:cstheme="majorBidi"/>
          <w:i/>
          <w:iCs/>
          <w:szCs w:val="24"/>
          <w:lang w:val="es-ES_tradnl"/>
        </w:rPr>
        <w:t>global system for mobile communications</w:t>
      </w:r>
      <w:r w:rsidR="00F84821" w:rsidRPr="00F84821">
        <w:rPr>
          <w:rFonts w:asciiTheme="majorBidi" w:hAnsiTheme="majorBidi" w:cstheme="majorBidi"/>
          <w:szCs w:val="24"/>
          <w:lang w:val="es-ES_tradnl"/>
        </w:rPr>
        <w:t>)</w:t>
      </w:r>
    </w:p>
    <w:p w:rsidR="005439C7" w:rsidRPr="00F84821" w:rsidRDefault="005439C7" w:rsidP="00F84821">
      <w:pPr>
        <w:tabs>
          <w:tab w:val="clear" w:pos="794"/>
          <w:tab w:val="clear" w:pos="1191"/>
        </w:tabs>
        <w:ind w:left="1588" w:hanging="1588"/>
        <w:rPr>
          <w:rFonts w:asciiTheme="majorBidi" w:hAnsiTheme="majorBidi" w:cstheme="majorBidi"/>
          <w:szCs w:val="24"/>
          <w:lang w:val="es-ES_tradnl"/>
        </w:rPr>
      </w:pPr>
      <w:r w:rsidRPr="00F84821">
        <w:rPr>
          <w:rFonts w:asciiTheme="majorBidi" w:hAnsiTheme="majorBidi" w:cstheme="majorBidi"/>
          <w:szCs w:val="24"/>
          <w:lang w:val="es-ES_tradnl"/>
        </w:rPr>
        <w:t>G-TEM</w:t>
      </w:r>
      <w:r w:rsidRPr="00F84821">
        <w:rPr>
          <w:rFonts w:asciiTheme="majorBidi" w:hAnsiTheme="majorBidi" w:cstheme="majorBidi"/>
          <w:szCs w:val="24"/>
          <w:lang w:val="es-ES_tradnl"/>
        </w:rPr>
        <w:tab/>
      </w:r>
      <w:r w:rsidR="00F84821">
        <w:rPr>
          <w:rFonts w:asciiTheme="majorBidi" w:hAnsiTheme="majorBidi" w:cstheme="majorBidi"/>
          <w:szCs w:val="24"/>
          <w:lang w:val="es-ES_tradnl"/>
        </w:rPr>
        <w:t>O</w:t>
      </w:r>
      <w:r w:rsidR="00F84821" w:rsidRPr="0072410C">
        <w:rPr>
          <w:rFonts w:asciiTheme="majorBidi" w:hAnsiTheme="majorBidi" w:cstheme="majorBidi"/>
          <w:szCs w:val="24"/>
          <w:lang w:val="es-ES_tradnl"/>
        </w:rPr>
        <w:t>ndas electromagnéticas transversales</w:t>
      </w:r>
      <w:r w:rsidR="00F84821" w:rsidRPr="0072410C">
        <w:rPr>
          <w:lang w:val="es-ES_tradnl"/>
        </w:rPr>
        <w:t xml:space="preserve"> </w:t>
      </w:r>
      <w:r w:rsidR="00F84821" w:rsidRPr="0072410C">
        <w:rPr>
          <w:rFonts w:asciiTheme="majorBidi" w:hAnsiTheme="majorBidi" w:cstheme="majorBidi"/>
          <w:szCs w:val="24"/>
          <w:lang w:val="es-ES_tradnl"/>
        </w:rPr>
        <w:t>en gigahertzios</w:t>
      </w:r>
      <w:r w:rsidR="00F84821" w:rsidRPr="00F84821">
        <w:rPr>
          <w:rFonts w:asciiTheme="majorBidi" w:hAnsiTheme="majorBidi" w:cstheme="majorBidi"/>
          <w:szCs w:val="24"/>
          <w:lang w:val="es-ES_tradnl"/>
        </w:rPr>
        <w:t xml:space="preserve"> (</w:t>
      </w:r>
      <w:r w:rsidR="00F84821" w:rsidRPr="00F84821">
        <w:rPr>
          <w:rFonts w:asciiTheme="majorBidi" w:hAnsiTheme="majorBidi" w:cstheme="majorBidi"/>
          <w:i/>
          <w:iCs/>
          <w:szCs w:val="24"/>
          <w:lang w:val="es-ES_tradnl"/>
        </w:rPr>
        <w:t>gigahertz transverse electromagnetic</w:t>
      </w:r>
      <w:r w:rsidR="00F84821">
        <w:rPr>
          <w:rFonts w:asciiTheme="majorBidi" w:hAnsiTheme="majorBidi" w:cstheme="majorBidi"/>
          <w:szCs w:val="24"/>
          <w:lang w:val="es-ES_tradnl"/>
        </w:rPr>
        <w:t>)</w:t>
      </w:r>
    </w:p>
    <w:p w:rsidR="005439C7" w:rsidRPr="00F84821" w:rsidRDefault="005439C7" w:rsidP="00F84821">
      <w:pPr>
        <w:tabs>
          <w:tab w:val="clear" w:pos="794"/>
          <w:tab w:val="clear" w:pos="1191"/>
        </w:tabs>
        <w:ind w:left="1588" w:hanging="1588"/>
        <w:rPr>
          <w:rFonts w:asciiTheme="majorBidi" w:hAnsiTheme="majorBidi" w:cstheme="majorBidi"/>
          <w:szCs w:val="24"/>
          <w:lang w:val="es-ES_tradnl"/>
        </w:rPr>
      </w:pPr>
      <w:r w:rsidRPr="00F84821">
        <w:rPr>
          <w:rFonts w:asciiTheme="majorBidi" w:hAnsiTheme="majorBidi" w:cstheme="majorBidi"/>
          <w:szCs w:val="24"/>
          <w:lang w:val="es-ES_tradnl"/>
        </w:rPr>
        <w:t>IEEE</w:t>
      </w:r>
      <w:r w:rsidRPr="00F84821">
        <w:rPr>
          <w:rFonts w:asciiTheme="majorBidi" w:hAnsiTheme="majorBidi" w:cstheme="majorBidi"/>
          <w:szCs w:val="24"/>
          <w:lang w:val="es-ES_tradnl"/>
        </w:rPr>
        <w:tab/>
      </w:r>
      <w:r w:rsidR="00F84821" w:rsidRPr="0072410C">
        <w:rPr>
          <w:rFonts w:asciiTheme="majorBidi" w:hAnsiTheme="majorBidi" w:cstheme="majorBidi"/>
          <w:szCs w:val="24"/>
          <w:lang w:val="es-ES_tradnl"/>
        </w:rPr>
        <w:t>Instituto de Ingenieros Eléctricos y Electrónicos</w:t>
      </w:r>
      <w:r w:rsidR="00F84821" w:rsidRPr="00F84821">
        <w:rPr>
          <w:rFonts w:asciiTheme="majorBidi" w:hAnsiTheme="majorBidi" w:cstheme="majorBidi"/>
          <w:szCs w:val="24"/>
          <w:lang w:val="es-ES_tradnl"/>
        </w:rPr>
        <w:t xml:space="preserve"> </w:t>
      </w:r>
      <w:r w:rsidR="00F84821" w:rsidRPr="00F84821">
        <w:rPr>
          <w:rFonts w:asciiTheme="majorBidi" w:hAnsiTheme="majorBidi" w:cstheme="majorBidi"/>
          <w:i/>
          <w:iCs/>
          <w:szCs w:val="24"/>
          <w:lang w:val="es-ES_tradnl"/>
        </w:rPr>
        <w:t>(</w:t>
      </w:r>
      <w:r w:rsidRPr="00F84821">
        <w:rPr>
          <w:rFonts w:asciiTheme="majorBidi" w:hAnsiTheme="majorBidi" w:cstheme="majorBidi"/>
          <w:i/>
          <w:iCs/>
          <w:szCs w:val="24"/>
          <w:lang w:val="es-ES_tradnl"/>
        </w:rPr>
        <w:t>Institute of Electrical and Electronics Engineers</w:t>
      </w:r>
      <w:r w:rsidR="00F84821">
        <w:rPr>
          <w:rFonts w:asciiTheme="majorBidi" w:hAnsiTheme="majorBidi" w:cstheme="majorBidi"/>
          <w:szCs w:val="24"/>
          <w:lang w:val="es-ES_tradnl"/>
        </w:rPr>
        <w:t>)</w:t>
      </w:r>
    </w:p>
    <w:p w:rsidR="005439C7" w:rsidRDefault="005439C7" w:rsidP="00F84821">
      <w:pPr>
        <w:tabs>
          <w:tab w:val="clear" w:pos="794"/>
          <w:tab w:val="clear" w:pos="1191"/>
        </w:tabs>
        <w:ind w:left="1588" w:hanging="1588"/>
        <w:rPr>
          <w:rFonts w:asciiTheme="majorBidi" w:hAnsiTheme="majorBidi" w:cstheme="majorBidi"/>
          <w:szCs w:val="24"/>
          <w:lang w:val="es-ES_tradnl"/>
        </w:rPr>
      </w:pPr>
      <w:r w:rsidRPr="00F84821">
        <w:rPr>
          <w:rFonts w:asciiTheme="majorBidi" w:hAnsiTheme="majorBidi" w:cstheme="majorBidi"/>
          <w:szCs w:val="24"/>
          <w:lang w:val="es-ES_tradnl"/>
        </w:rPr>
        <w:t>IMT</w:t>
      </w:r>
      <w:r w:rsidRPr="00F84821">
        <w:rPr>
          <w:rFonts w:asciiTheme="majorBidi" w:hAnsiTheme="majorBidi" w:cstheme="majorBidi"/>
          <w:szCs w:val="24"/>
          <w:lang w:val="es-ES_tradnl"/>
        </w:rPr>
        <w:tab/>
      </w:r>
      <w:r w:rsidR="00F84821">
        <w:rPr>
          <w:rFonts w:asciiTheme="majorBidi" w:hAnsiTheme="majorBidi" w:cstheme="majorBidi"/>
          <w:szCs w:val="24"/>
          <w:lang w:val="es-ES_tradnl"/>
        </w:rPr>
        <w:t>T</w:t>
      </w:r>
      <w:r w:rsidR="00F84821" w:rsidRPr="0072410C">
        <w:rPr>
          <w:rFonts w:asciiTheme="majorBidi" w:hAnsiTheme="majorBidi" w:cstheme="majorBidi"/>
          <w:szCs w:val="24"/>
          <w:lang w:val="es-ES_tradnl"/>
        </w:rPr>
        <w:t>elecomunicaciones móviles internacionales</w:t>
      </w:r>
      <w:r w:rsidR="00F84821" w:rsidRPr="00F84821">
        <w:rPr>
          <w:rFonts w:asciiTheme="majorBidi" w:hAnsiTheme="majorBidi" w:cstheme="majorBidi"/>
          <w:szCs w:val="24"/>
          <w:lang w:val="es-ES_tradnl"/>
        </w:rPr>
        <w:t xml:space="preserve"> (</w:t>
      </w:r>
      <w:r w:rsidR="00F84821" w:rsidRPr="00F84821">
        <w:rPr>
          <w:rFonts w:asciiTheme="majorBidi" w:hAnsiTheme="majorBidi" w:cstheme="majorBidi"/>
          <w:i/>
          <w:iCs/>
          <w:szCs w:val="24"/>
          <w:lang w:val="es-ES_tradnl"/>
        </w:rPr>
        <w:t>international mobile telecommunications</w:t>
      </w:r>
      <w:r w:rsidR="00F84821" w:rsidRPr="00F84821">
        <w:rPr>
          <w:rFonts w:asciiTheme="majorBidi" w:hAnsiTheme="majorBidi" w:cstheme="majorBidi"/>
          <w:szCs w:val="24"/>
          <w:lang w:val="es-ES_tradnl"/>
        </w:rPr>
        <w:t>)</w:t>
      </w:r>
    </w:p>
    <w:p w:rsidR="001C2B41" w:rsidRPr="00E47446" w:rsidRDefault="001C2B41" w:rsidP="001C2B41">
      <w:pPr>
        <w:tabs>
          <w:tab w:val="clear" w:pos="794"/>
          <w:tab w:val="clear" w:pos="1191"/>
        </w:tabs>
        <w:rPr>
          <w:rFonts w:asciiTheme="majorBidi" w:hAnsiTheme="majorBidi" w:cstheme="majorBidi"/>
          <w:szCs w:val="24"/>
          <w:lang w:val="es-ES_tradnl"/>
        </w:rPr>
      </w:pPr>
      <w:r w:rsidRPr="00E47446">
        <w:rPr>
          <w:rFonts w:asciiTheme="majorBidi" w:hAnsiTheme="majorBidi" w:cstheme="majorBidi"/>
          <w:szCs w:val="24"/>
          <w:lang w:val="es-ES_tradnl"/>
        </w:rPr>
        <w:t>I/Q</w:t>
      </w:r>
      <w:r w:rsidRPr="00E47446">
        <w:rPr>
          <w:rFonts w:asciiTheme="majorBidi" w:hAnsiTheme="majorBidi" w:cstheme="majorBidi"/>
          <w:szCs w:val="24"/>
          <w:lang w:val="es-ES_tradnl"/>
        </w:rPr>
        <w:tab/>
      </w:r>
      <w:r>
        <w:rPr>
          <w:lang w:val="es-ES_tradnl"/>
        </w:rPr>
        <w:t>E</w:t>
      </w:r>
      <w:r w:rsidRPr="0072410C">
        <w:rPr>
          <w:lang w:val="es-ES_tradnl"/>
        </w:rPr>
        <w:t>n fase/cuadratura</w:t>
      </w:r>
      <w:r w:rsidRPr="00E47446">
        <w:rPr>
          <w:rFonts w:asciiTheme="majorBidi" w:hAnsiTheme="majorBidi" w:cstheme="majorBidi"/>
          <w:szCs w:val="24"/>
          <w:lang w:val="es-ES_tradnl"/>
        </w:rPr>
        <w:t xml:space="preserve"> (</w:t>
      </w:r>
      <w:r w:rsidRPr="00E47446">
        <w:rPr>
          <w:rFonts w:asciiTheme="majorBidi" w:hAnsiTheme="majorBidi" w:cstheme="majorBidi"/>
          <w:i/>
          <w:iCs/>
          <w:szCs w:val="24"/>
          <w:lang w:val="es-ES_tradnl"/>
        </w:rPr>
        <w:t>in-phase/quadrature</w:t>
      </w:r>
      <w:r>
        <w:rPr>
          <w:rFonts w:asciiTheme="majorBidi" w:hAnsiTheme="majorBidi" w:cstheme="majorBidi"/>
          <w:szCs w:val="24"/>
          <w:lang w:val="es-ES_tradnl"/>
        </w:rPr>
        <w:t>)</w:t>
      </w:r>
    </w:p>
    <w:p w:rsidR="005439C7" w:rsidRPr="00F84821" w:rsidRDefault="005439C7" w:rsidP="00F84821">
      <w:pPr>
        <w:tabs>
          <w:tab w:val="clear" w:pos="794"/>
          <w:tab w:val="clear" w:pos="1191"/>
        </w:tabs>
        <w:ind w:left="1588" w:hanging="1588"/>
        <w:rPr>
          <w:rFonts w:asciiTheme="majorBidi" w:hAnsiTheme="majorBidi" w:cstheme="majorBidi"/>
          <w:szCs w:val="24"/>
          <w:lang w:val="es-ES_tradnl"/>
        </w:rPr>
      </w:pPr>
      <w:r w:rsidRPr="00F84821">
        <w:rPr>
          <w:rFonts w:asciiTheme="majorBidi" w:hAnsiTheme="majorBidi" w:cstheme="majorBidi"/>
          <w:szCs w:val="24"/>
          <w:lang w:val="es-ES_tradnl"/>
        </w:rPr>
        <w:t>ITU</w:t>
      </w:r>
      <w:r w:rsidRPr="00F84821">
        <w:rPr>
          <w:rFonts w:asciiTheme="majorBidi" w:hAnsiTheme="majorBidi" w:cstheme="majorBidi"/>
          <w:szCs w:val="24"/>
          <w:lang w:val="es-ES_tradnl"/>
        </w:rPr>
        <w:tab/>
      </w:r>
      <w:r w:rsidR="00F84821" w:rsidRPr="0072410C">
        <w:rPr>
          <w:rFonts w:asciiTheme="majorBidi" w:hAnsiTheme="majorBidi" w:cstheme="majorBidi"/>
          <w:szCs w:val="24"/>
          <w:lang w:val="es-ES_tradnl"/>
        </w:rPr>
        <w:t>Unión Internacional de Telecomunicaciones</w:t>
      </w:r>
      <w:r w:rsidR="00F84821" w:rsidRPr="00F84821">
        <w:rPr>
          <w:rFonts w:asciiTheme="majorBidi" w:hAnsiTheme="majorBidi" w:cstheme="majorBidi"/>
          <w:szCs w:val="24"/>
          <w:lang w:val="es-ES_tradnl"/>
        </w:rPr>
        <w:t xml:space="preserve"> (</w:t>
      </w:r>
      <w:r w:rsidRPr="00F84821">
        <w:rPr>
          <w:rFonts w:asciiTheme="majorBidi" w:hAnsiTheme="majorBidi" w:cstheme="majorBidi"/>
          <w:i/>
          <w:iCs/>
          <w:szCs w:val="24"/>
          <w:lang w:val="es-ES_tradnl"/>
        </w:rPr>
        <w:t>International Telecommunication Union</w:t>
      </w:r>
      <w:r w:rsidR="00F84821">
        <w:rPr>
          <w:rFonts w:asciiTheme="majorBidi" w:hAnsiTheme="majorBidi" w:cstheme="majorBidi"/>
          <w:szCs w:val="24"/>
          <w:lang w:val="es-ES_tradnl"/>
        </w:rPr>
        <w:t>)</w:t>
      </w:r>
    </w:p>
    <w:p w:rsidR="005439C7" w:rsidRPr="00E47446" w:rsidRDefault="005439C7" w:rsidP="00E47446">
      <w:pPr>
        <w:tabs>
          <w:tab w:val="clear" w:pos="794"/>
          <w:tab w:val="clear" w:pos="1191"/>
        </w:tabs>
        <w:ind w:left="1588" w:hanging="1588"/>
        <w:rPr>
          <w:rFonts w:asciiTheme="majorBidi" w:hAnsiTheme="majorBidi" w:cstheme="majorBidi"/>
          <w:szCs w:val="24"/>
          <w:lang w:val="es-ES_tradnl"/>
        </w:rPr>
      </w:pPr>
      <w:r w:rsidRPr="00E47446">
        <w:rPr>
          <w:rFonts w:asciiTheme="majorBidi" w:hAnsiTheme="majorBidi" w:cstheme="majorBidi"/>
          <w:szCs w:val="24"/>
          <w:lang w:val="es-ES_tradnl"/>
        </w:rPr>
        <w:t>ITU-R</w:t>
      </w:r>
      <w:r w:rsidRPr="00E47446">
        <w:rPr>
          <w:rFonts w:asciiTheme="majorBidi" w:hAnsiTheme="majorBidi" w:cstheme="majorBidi"/>
          <w:szCs w:val="24"/>
          <w:lang w:val="es-ES_tradnl"/>
        </w:rPr>
        <w:tab/>
      </w:r>
      <w:r w:rsidR="00E47446" w:rsidRPr="0072410C">
        <w:rPr>
          <w:rFonts w:asciiTheme="majorBidi" w:hAnsiTheme="majorBidi" w:cstheme="majorBidi"/>
          <w:szCs w:val="24"/>
          <w:lang w:val="es-ES_tradnl"/>
        </w:rPr>
        <w:t>Unión Internacional de Telecomunicaciones – Sector de Radiocomunicaciones</w:t>
      </w:r>
      <w:r w:rsidR="00E47446" w:rsidRPr="00E47446">
        <w:rPr>
          <w:rFonts w:asciiTheme="majorBidi" w:hAnsiTheme="majorBidi" w:cstheme="majorBidi"/>
          <w:szCs w:val="24"/>
          <w:lang w:val="es-ES_tradnl"/>
        </w:rPr>
        <w:t xml:space="preserve"> </w:t>
      </w:r>
      <w:r w:rsidR="00E47446">
        <w:rPr>
          <w:rFonts w:asciiTheme="majorBidi" w:hAnsiTheme="majorBidi" w:cstheme="majorBidi"/>
          <w:szCs w:val="24"/>
          <w:lang w:val="es-ES_tradnl"/>
        </w:rPr>
        <w:t>(</w:t>
      </w:r>
      <w:r w:rsidRPr="00E47446">
        <w:rPr>
          <w:rFonts w:asciiTheme="majorBidi" w:hAnsiTheme="majorBidi" w:cstheme="majorBidi"/>
          <w:i/>
          <w:iCs/>
          <w:szCs w:val="24"/>
          <w:lang w:val="es-ES_tradnl"/>
        </w:rPr>
        <w:t>Interna</w:t>
      </w:r>
      <w:r w:rsidR="00E47446" w:rsidRPr="00E47446">
        <w:rPr>
          <w:rFonts w:asciiTheme="majorBidi" w:hAnsiTheme="majorBidi" w:cstheme="majorBidi"/>
          <w:i/>
          <w:iCs/>
          <w:szCs w:val="24"/>
          <w:lang w:val="es-ES_tradnl"/>
        </w:rPr>
        <w:t>tional Telecommunication Union –</w:t>
      </w:r>
      <w:r w:rsidRPr="00E47446">
        <w:rPr>
          <w:rFonts w:asciiTheme="majorBidi" w:hAnsiTheme="majorBidi" w:cstheme="majorBidi"/>
          <w:i/>
          <w:iCs/>
          <w:szCs w:val="24"/>
          <w:lang w:val="es-ES_tradnl"/>
        </w:rPr>
        <w:t xml:space="preserve"> Radiocommunication Sector</w:t>
      </w:r>
      <w:r w:rsidR="00E47446">
        <w:rPr>
          <w:rFonts w:asciiTheme="majorBidi" w:hAnsiTheme="majorBidi" w:cstheme="majorBidi"/>
          <w:szCs w:val="24"/>
          <w:lang w:val="es-ES_tradnl"/>
        </w:rPr>
        <w:t>)</w:t>
      </w:r>
    </w:p>
    <w:p w:rsidR="005439C7" w:rsidRPr="00E47446" w:rsidRDefault="005439C7" w:rsidP="005439C7">
      <w:pPr>
        <w:tabs>
          <w:tab w:val="clear" w:pos="794"/>
          <w:tab w:val="clear" w:pos="1191"/>
        </w:tabs>
        <w:rPr>
          <w:rFonts w:asciiTheme="majorBidi" w:hAnsiTheme="majorBidi" w:cstheme="majorBidi"/>
          <w:szCs w:val="24"/>
          <w:lang w:val="es-ES_tradnl"/>
        </w:rPr>
      </w:pPr>
      <w:r w:rsidRPr="00E47446">
        <w:rPr>
          <w:rFonts w:asciiTheme="majorBidi" w:hAnsiTheme="majorBidi" w:cstheme="majorBidi"/>
          <w:szCs w:val="24"/>
          <w:lang w:val="es-ES_tradnl"/>
        </w:rPr>
        <w:t>LTE</w:t>
      </w:r>
      <w:r w:rsidRPr="00E47446">
        <w:rPr>
          <w:rFonts w:asciiTheme="majorBidi" w:hAnsiTheme="majorBidi" w:cstheme="majorBidi"/>
          <w:szCs w:val="24"/>
          <w:lang w:val="es-ES_tradnl"/>
        </w:rPr>
        <w:tab/>
      </w:r>
      <w:r w:rsidR="00E47446">
        <w:rPr>
          <w:rFonts w:asciiTheme="majorBidi" w:hAnsiTheme="majorBidi" w:cstheme="majorBidi"/>
          <w:szCs w:val="24"/>
          <w:lang w:val="es-ES_tradnl"/>
        </w:rPr>
        <w:t>E</w:t>
      </w:r>
      <w:r w:rsidR="00E47446" w:rsidRPr="0072410C">
        <w:rPr>
          <w:rFonts w:asciiTheme="majorBidi" w:hAnsiTheme="majorBidi" w:cstheme="majorBidi"/>
          <w:szCs w:val="24"/>
          <w:lang w:val="es-ES_tradnl"/>
        </w:rPr>
        <w:t>volución a largo plazo</w:t>
      </w:r>
      <w:r w:rsidR="00E47446" w:rsidRPr="00E47446">
        <w:rPr>
          <w:rFonts w:asciiTheme="majorBidi" w:hAnsiTheme="majorBidi" w:cstheme="majorBidi"/>
          <w:szCs w:val="24"/>
          <w:lang w:val="es-ES_tradnl"/>
        </w:rPr>
        <w:t xml:space="preserve"> (</w:t>
      </w:r>
      <w:r w:rsidR="00E47446" w:rsidRPr="00E47446">
        <w:rPr>
          <w:rFonts w:asciiTheme="majorBidi" w:hAnsiTheme="majorBidi" w:cstheme="majorBidi"/>
          <w:i/>
          <w:iCs/>
          <w:szCs w:val="24"/>
          <w:lang w:val="es-ES_tradnl"/>
        </w:rPr>
        <w:t>long term evolution</w:t>
      </w:r>
      <w:r w:rsidR="00E47446" w:rsidRPr="00E47446">
        <w:rPr>
          <w:rFonts w:asciiTheme="majorBidi" w:hAnsiTheme="majorBidi" w:cstheme="majorBidi"/>
          <w:szCs w:val="24"/>
          <w:lang w:val="es-ES_tradnl"/>
        </w:rPr>
        <w:t>)</w:t>
      </w:r>
    </w:p>
    <w:p w:rsidR="005439C7" w:rsidRPr="00E47446" w:rsidRDefault="005439C7" w:rsidP="00E47446">
      <w:pPr>
        <w:tabs>
          <w:tab w:val="clear" w:pos="794"/>
          <w:tab w:val="clear" w:pos="1191"/>
        </w:tabs>
        <w:ind w:left="1588" w:hanging="1588"/>
        <w:rPr>
          <w:rFonts w:asciiTheme="majorBidi" w:hAnsiTheme="majorBidi" w:cstheme="majorBidi"/>
          <w:szCs w:val="24"/>
          <w:lang w:val="es-ES_tradnl"/>
        </w:rPr>
      </w:pPr>
      <w:r w:rsidRPr="00E47446">
        <w:rPr>
          <w:rFonts w:asciiTheme="majorBidi" w:hAnsiTheme="majorBidi" w:cstheme="majorBidi"/>
          <w:szCs w:val="24"/>
          <w:lang w:val="es-ES_tradnl"/>
        </w:rPr>
        <w:t>OFDM</w:t>
      </w:r>
      <w:r w:rsidRPr="00E47446">
        <w:rPr>
          <w:rFonts w:asciiTheme="majorBidi" w:hAnsiTheme="majorBidi" w:cstheme="majorBidi"/>
          <w:szCs w:val="24"/>
          <w:lang w:val="es-ES_tradnl"/>
        </w:rPr>
        <w:tab/>
      </w:r>
      <w:r w:rsidR="00E47446">
        <w:rPr>
          <w:rFonts w:asciiTheme="majorBidi" w:hAnsiTheme="majorBidi" w:cstheme="majorBidi"/>
          <w:szCs w:val="24"/>
          <w:lang w:val="es-ES_tradnl"/>
        </w:rPr>
        <w:t>M</w:t>
      </w:r>
      <w:r w:rsidR="00E47446" w:rsidRPr="0072410C">
        <w:rPr>
          <w:rFonts w:asciiTheme="majorBidi" w:hAnsiTheme="majorBidi" w:cstheme="majorBidi"/>
          <w:szCs w:val="24"/>
          <w:lang w:val="es-ES_tradnl"/>
        </w:rPr>
        <w:t>ultiplexación por división ortogonal de frecuencia</w:t>
      </w:r>
      <w:r w:rsidR="00E47446" w:rsidRPr="00E47446">
        <w:rPr>
          <w:rFonts w:asciiTheme="majorBidi" w:hAnsiTheme="majorBidi" w:cstheme="majorBidi"/>
          <w:szCs w:val="24"/>
          <w:lang w:val="es-ES_tradnl"/>
        </w:rPr>
        <w:t xml:space="preserve"> (</w:t>
      </w:r>
      <w:r w:rsidR="00E47446" w:rsidRPr="00E47446">
        <w:rPr>
          <w:rFonts w:asciiTheme="majorBidi" w:hAnsiTheme="majorBidi" w:cstheme="majorBidi"/>
          <w:i/>
          <w:iCs/>
          <w:szCs w:val="24"/>
          <w:lang w:val="es-ES_tradnl"/>
        </w:rPr>
        <w:t>orthogonal frequency-division multiplexing</w:t>
      </w:r>
      <w:r w:rsidR="00E47446">
        <w:rPr>
          <w:rFonts w:asciiTheme="majorBidi" w:hAnsiTheme="majorBidi" w:cstheme="majorBidi"/>
          <w:szCs w:val="24"/>
          <w:lang w:val="es-ES_tradnl"/>
        </w:rPr>
        <w:t>)</w:t>
      </w:r>
    </w:p>
    <w:p w:rsidR="005439C7" w:rsidRPr="00E47446" w:rsidRDefault="005439C7" w:rsidP="005439C7">
      <w:pPr>
        <w:tabs>
          <w:tab w:val="clear" w:pos="794"/>
          <w:tab w:val="clear" w:pos="1191"/>
        </w:tabs>
        <w:rPr>
          <w:rFonts w:asciiTheme="majorBidi" w:hAnsiTheme="majorBidi" w:cstheme="majorBidi"/>
          <w:szCs w:val="24"/>
          <w:lang w:val="en-GB"/>
        </w:rPr>
      </w:pPr>
      <w:r w:rsidRPr="00D24BC5">
        <w:rPr>
          <w:rFonts w:asciiTheme="majorBidi" w:hAnsiTheme="majorBidi" w:cstheme="majorBidi"/>
          <w:szCs w:val="24"/>
          <w:lang w:val="en-GB"/>
        </w:rPr>
        <w:t>OoB</w:t>
      </w:r>
      <w:r w:rsidRPr="00D24BC5">
        <w:rPr>
          <w:rFonts w:asciiTheme="majorBidi" w:hAnsiTheme="majorBidi" w:cstheme="majorBidi"/>
          <w:szCs w:val="24"/>
          <w:lang w:val="en-GB"/>
        </w:rPr>
        <w:tab/>
      </w:r>
      <w:r w:rsidR="00E47446">
        <w:rPr>
          <w:rFonts w:asciiTheme="majorBidi" w:hAnsiTheme="majorBidi" w:cstheme="majorBidi"/>
          <w:szCs w:val="24"/>
          <w:lang w:val="en-GB"/>
        </w:rPr>
        <w:t>F</w:t>
      </w:r>
      <w:r w:rsidR="00E47446" w:rsidRPr="00E47446">
        <w:rPr>
          <w:rFonts w:asciiTheme="majorBidi" w:hAnsiTheme="majorBidi" w:cstheme="majorBidi"/>
          <w:szCs w:val="24"/>
          <w:lang w:val="en-GB"/>
        </w:rPr>
        <w:t>uera de banda</w:t>
      </w:r>
      <w:r w:rsidR="00E47446" w:rsidRPr="00D24BC5">
        <w:rPr>
          <w:rFonts w:asciiTheme="majorBidi" w:hAnsiTheme="majorBidi" w:cstheme="majorBidi"/>
          <w:szCs w:val="24"/>
          <w:lang w:val="en-GB"/>
        </w:rPr>
        <w:t xml:space="preserve"> </w:t>
      </w:r>
      <w:r w:rsidR="00E47446">
        <w:rPr>
          <w:rFonts w:asciiTheme="majorBidi" w:hAnsiTheme="majorBidi" w:cstheme="majorBidi"/>
          <w:szCs w:val="24"/>
          <w:lang w:val="en-GB"/>
        </w:rPr>
        <w:t>(</w:t>
      </w:r>
      <w:r w:rsidR="00E47446" w:rsidRPr="00E47446">
        <w:rPr>
          <w:rFonts w:asciiTheme="majorBidi" w:hAnsiTheme="majorBidi" w:cstheme="majorBidi"/>
          <w:i/>
          <w:iCs/>
          <w:szCs w:val="24"/>
          <w:lang w:val="en-GB"/>
        </w:rPr>
        <w:t>out-of-band</w:t>
      </w:r>
      <w:r w:rsidR="00E47446">
        <w:rPr>
          <w:rFonts w:asciiTheme="majorBidi" w:hAnsiTheme="majorBidi" w:cstheme="majorBidi"/>
          <w:szCs w:val="24"/>
          <w:lang w:val="en-GB"/>
        </w:rPr>
        <w:t>)</w:t>
      </w:r>
    </w:p>
    <w:p w:rsidR="005439C7" w:rsidRPr="00720F7B" w:rsidRDefault="005439C7" w:rsidP="001C2B41">
      <w:pPr>
        <w:tabs>
          <w:tab w:val="clear" w:pos="794"/>
          <w:tab w:val="clear" w:pos="1191"/>
        </w:tabs>
        <w:rPr>
          <w:rFonts w:asciiTheme="majorBidi" w:hAnsiTheme="majorBidi" w:cstheme="majorBidi"/>
          <w:szCs w:val="24"/>
          <w:lang w:val="es-ES_tradnl"/>
        </w:rPr>
      </w:pPr>
      <w:r w:rsidRPr="00720F7B">
        <w:rPr>
          <w:rFonts w:asciiTheme="majorBidi" w:hAnsiTheme="majorBidi" w:cstheme="majorBidi"/>
          <w:szCs w:val="24"/>
          <w:lang w:val="es-ES_tradnl"/>
        </w:rPr>
        <w:t>PMR</w:t>
      </w:r>
      <w:r w:rsidRPr="00720F7B">
        <w:rPr>
          <w:rFonts w:asciiTheme="majorBidi" w:hAnsiTheme="majorBidi" w:cstheme="majorBidi"/>
          <w:szCs w:val="24"/>
          <w:lang w:val="es-ES_tradnl"/>
        </w:rPr>
        <w:tab/>
      </w:r>
      <w:r w:rsidR="00720F7B">
        <w:rPr>
          <w:lang w:val="es-ES_tradnl"/>
        </w:rPr>
        <w:t>R</w:t>
      </w:r>
      <w:r w:rsidR="00720F7B" w:rsidRPr="0072410C">
        <w:rPr>
          <w:lang w:val="es-ES_tradnl"/>
        </w:rPr>
        <w:t>adiocomunicación móvil privada</w:t>
      </w:r>
      <w:r w:rsidR="00720F7B" w:rsidRPr="00720F7B">
        <w:rPr>
          <w:lang w:val="es-ES_tradnl"/>
        </w:rPr>
        <w:t xml:space="preserve"> (</w:t>
      </w:r>
      <w:r w:rsidR="00720F7B" w:rsidRPr="00720F7B">
        <w:rPr>
          <w:i/>
          <w:iCs/>
          <w:lang w:val="es-ES_tradnl"/>
        </w:rPr>
        <w:t>private mobile radio</w:t>
      </w:r>
      <w:r w:rsidR="00720F7B" w:rsidRPr="00720F7B">
        <w:rPr>
          <w:lang w:val="es-ES_tradnl"/>
        </w:rPr>
        <w:t>)</w:t>
      </w:r>
    </w:p>
    <w:p w:rsidR="005439C7" w:rsidRPr="00720F7B" w:rsidRDefault="005439C7" w:rsidP="005439C7">
      <w:pPr>
        <w:tabs>
          <w:tab w:val="clear" w:pos="794"/>
          <w:tab w:val="clear" w:pos="1191"/>
        </w:tabs>
        <w:rPr>
          <w:lang w:val="es-ES_tradnl"/>
        </w:rPr>
      </w:pPr>
      <w:r w:rsidRPr="00720F7B">
        <w:rPr>
          <w:rFonts w:asciiTheme="majorBidi" w:hAnsiTheme="majorBidi" w:cstheme="majorBidi"/>
          <w:szCs w:val="24"/>
          <w:lang w:val="es-ES_tradnl"/>
        </w:rPr>
        <w:t>QAM</w:t>
      </w:r>
      <w:r w:rsidRPr="00720F7B">
        <w:rPr>
          <w:rFonts w:asciiTheme="majorBidi" w:hAnsiTheme="majorBidi" w:cstheme="majorBidi"/>
          <w:szCs w:val="24"/>
          <w:lang w:val="es-ES_tradnl"/>
        </w:rPr>
        <w:tab/>
      </w:r>
      <w:r w:rsidR="00720F7B">
        <w:rPr>
          <w:lang w:val="es-ES_tradnl"/>
        </w:rPr>
        <w:t>M</w:t>
      </w:r>
      <w:r w:rsidR="00720F7B" w:rsidRPr="0072410C">
        <w:rPr>
          <w:lang w:val="es-ES_tradnl"/>
        </w:rPr>
        <w:t>odulación por amplitud en cuadratura</w:t>
      </w:r>
      <w:r w:rsidR="00720F7B" w:rsidRPr="00720F7B">
        <w:rPr>
          <w:lang w:val="es-ES_tradnl"/>
        </w:rPr>
        <w:t xml:space="preserve"> (</w:t>
      </w:r>
      <w:r w:rsidR="00720F7B" w:rsidRPr="00720F7B">
        <w:rPr>
          <w:i/>
          <w:iCs/>
          <w:lang w:val="es-ES_tradnl"/>
        </w:rPr>
        <w:t>quadrature amplitude modulation</w:t>
      </w:r>
      <w:r w:rsidR="00720F7B">
        <w:rPr>
          <w:lang w:val="es-ES_tradnl"/>
        </w:rPr>
        <w:t>)</w:t>
      </w:r>
    </w:p>
    <w:p w:rsidR="005439C7" w:rsidRPr="00720F7B" w:rsidRDefault="005439C7" w:rsidP="00720F7B">
      <w:pPr>
        <w:tabs>
          <w:tab w:val="clear" w:pos="794"/>
          <w:tab w:val="clear" w:pos="1191"/>
        </w:tabs>
        <w:ind w:left="1588" w:hanging="1588"/>
        <w:rPr>
          <w:lang w:val="es-ES_tradnl"/>
        </w:rPr>
      </w:pPr>
      <w:r w:rsidRPr="00720F7B">
        <w:rPr>
          <w:rFonts w:asciiTheme="majorBidi" w:hAnsiTheme="majorBidi" w:cstheme="majorBidi"/>
          <w:szCs w:val="24"/>
          <w:lang w:val="es-ES_tradnl"/>
        </w:rPr>
        <w:t>QPSK</w:t>
      </w:r>
      <w:r w:rsidRPr="00720F7B">
        <w:rPr>
          <w:rFonts w:asciiTheme="majorBidi" w:hAnsiTheme="majorBidi" w:cstheme="majorBidi"/>
          <w:szCs w:val="24"/>
          <w:lang w:val="es-ES_tradnl"/>
        </w:rPr>
        <w:tab/>
      </w:r>
      <w:r w:rsidR="00720F7B">
        <w:rPr>
          <w:lang w:val="es-ES_tradnl"/>
        </w:rPr>
        <w:t>M</w:t>
      </w:r>
      <w:r w:rsidR="00720F7B" w:rsidRPr="0072410C">
        <w:rPr>
          <w:lang w:val="es-ES_tradnl"/>
        </w:rPr>
        <w:t>odulación por desplazamiento de fase en cuadratura</w:t>
      </w:r>
      <w:r w:rsidR="00720F7B" w:rsidRPr="00720F7B">
        <w:rPr>
          <w:lang w:val="es-ES_tradnl"/>
        </w:rPr>
        <w:t xml:space="preserve"> (</w:t>
      </w:r>
      <w:r w:rsidR="00720F7B" w:rsidRPr="00720F7B">
        <w:rPr>
          <w:i/>
          <w:iCs/>
          <w:lang w:val="es-ES_tradnl"/>
        </w:rPr>
        <w:t>quadrature phase shift keying</w:t>
      </w:r>
      <w:r w:rsidR="00720F7B">
        <w:rPr>
          <w:lang w:val="es-ES_tradnl"/>
        </w:rPr>
        <w:t>)</w:t>
      </w:r>
    </w:p>
    <w:p w:rsidR="005439C7" w:rsidRPr="00B515F8" w:rsidRDefault="005439C7" w:rsidP="005439C7">
      <w:pPr>
        <w:tabs>
          <w:tab w:val="clear" w:pos="794"/>
          <w:tab w:val="clear" w:pos="1191"/>
        </w:tabs>
        <w:rPr>
          <w:lang w:val="es-ES_tradnl"/>
        </w:rPr>
      </w:pPr>
      <w:r w:rsidRPr="00B515F8">
        <w:rPr>
          <w:rFonts w:asciiTheme="majorBidi" w:hAnsiTheme="majorBidi" w:cstheme="majorBidi"/>
          <w:szCs w:val="24"/>
          <w:lang w:val="es-ES_tradnl"/>
        </w:rPr>
        <w:t>RB</w:t>
      </w:r>
      <w:r w:rsidRPr="00B515F8">
        <w:rPr>
          <w:rFonts w:asciiTheme="majorBidi" w:hAnsiTheme="majorBidi" w:cstheme="majorBidi"/>
          <w:szCs w:val="24"/>
          <w:lang w:val="es-ES_tradnl"/>
        </w:rPr>
        <w:tab/>
      </w:r>
      <w:r w:rsidR="00B515F8">
        <w:rPr>
          <w:lang w:val="es-ES_tradnl"/>
        </w:rPr>
        <w:t>B</w:t>
      </w:r>
      <w:r w:rsidR="00B515F8" w:rsidRPr="0072410C">
        <w:rPr>
          <w:lang w:val="es-ES_tradnl"/>
        </w:rPr>
        <w:t>loque de recursos</w:t>
      </w:r>
      <w:r w:rsidR="00B515F8" w:rsidRPr="00B515F8">
        <w:rPr>
          <w:lang w:val="es-ES_tradnl"/>
        </w:rPr>
        <w:t xml:space="preserve"> (</w:t>
      </w:r>
      <w:r w:rsidR="00B515F8" w:rsidRPr="00B515F8">
        <w:rPr>
          <w:i/>
          <w:iCs/>
          <w:lang w:val="es-ES_tradnl"/>
        </w:rPr>
        <w:t>resource block</w:t>
      </w:r>
      <w:r w:rsidR="00B515F8" w:rsidRPr="00B515F8">
        <w:rPr>
          <w:lang w:val="es-ES_tradnl"/>
        </w:rPr>
        <w:t>)</w:t>
      </w:r>
    </w:p>
    <w:p w:rsidR="005439C7" w:rsidRPr="00B515F8" w:rsidRDefault="005439C7" w:rsidP="005439C7">
      <w:pPr>
        <w:tabs>
          <w:tab w:val="clear" w:pos="794"/>
          <w:tab w:val="clear" w:pos="1191"/>
        </w:tabs>
        <w:rPr>
          <w:rFonts w:asciiTheme="majorBidi" w:hAnsiTheme="majorBidi" w:cstheme="majorBidi"/>
          <w:szCs w:val="24"/>
          <w:lang w:val="es-ES_tradnl"/>
        </w:rPr>
      </w:pPr>
      <w:r w:rsidRPr="00B515F8">
        <w:rPr>
          <w:rFonts w:asciiTheme="majorBidi" w:hAnsiTheme="majorBidi" w:cstheme="majorBidi"/>
          <w:szCs w:val="24"/>
          <w:lang w:val="es-ES_tradnl"/>
        </w:rPr>
        <w:t>RF</w:t>
      </w:r>
      <w:r w:rsidRPr="00B515F8">
        <w:rPr>
          <w:rFonts w:asciiTheme="majorBidi" w:hAnsiTheme="majorBidi" w:cstheme="majorBidi"/>
          <w:szCs w:val="24"/>
          <w:lang w:val="es-ES_tradnl"/>
        </w:rPr>
        <w:tab/>
      </w:r>
      <w:r w:rsidR="00B515F8">
        <w:rPr>
          <w:rFonts w:asciiTheme="majorBidi" w:hAnsiTheme="majorBidi" w:cstheme="majorBidi"/>
          <w:szCs w:val="24"/>
          <w:lang w:val="es-ES_tradnl"/>
        </w:rPr>
        <w:t>F</w:t>
      </w:r>
      <w:r w:rsidR="00B515F8" w:rsidRPr="0072410C">
        <w:rPr>
          <w:rFonts w:asciiTheme="majorBidi" w:hAnsiTheme="majorBidi" w:cstheme="majorBidi"/>
          <w:szCs w:val="24"/>
          <w:lang w:val="es-ES_tradnl"/>
        </w:rPr>
        <w:t>recuencia radioeléctrica</w:t>
      </w:r>
      <w:r w:rsidR="00B515F8" w:rsidRPr="00B515F8">
        <w:rPr>
          <w:lang w:val="es-ES_tradnl"/>
        </w:rPr>
        <w:t xml:space="preserve"> (</w:t>
      </w:r>
      <w:r w:rsidR="00B515F8" w:rsidRPr="00B515F8">
        <w:rPr>
          <w:i/>
          <w:iCs/>
          <w:lang w:val="es-ES_tradnl"/>
        </w:rPr>
        <w:t>radio frequency</w:t>
      </w:r>
      <w:r w:rsidR="00B515F8">
        <w:rPr>
          <w:lang w:val="es-ES_tradnl"/>
        </w:rPr>
        <w:t>)</w:t>
      </w:r>
    </w:p>
    <w:p w:rsidR="005439C7" w:rsidRPr="00654722" w:rsidRDefault="005439C7" w:rsidP="00654722">
      <w:pPr>
        <w:tabs>
          <w:tab w:val="clear" w:pos="794"/>
          <w:tab w:val="clear" w:pos="1191"/>
        </w:tabs>
        <w:rPr>
          <w:rFonts w:asciiTheme="majorBidi" w:hAnsiTheme="majorBidi" w:cstheme="majorBidi"/>
          <w:szCs w:val="24"/>
          <w:lang w:val="es-ES_tradnl"/>
        </w:rPr>
      </w:pPr>
      <w:r w:rsidRPr="00654722">
        <w:rPr>
          <w:rFonts w:asciiTheme="majorBidi" w:hAnsiTheme="majorBidi" w:cstheme="majorBidi"/>
          <w:szCs w:val="24"/>
          <w:lang w:val="es-ES_tradnl"/>
        </w:rPr>
        <w:t>RLAN</w:t>
      </w:r>
      <w:r w:rsidRPr="00654722">
        <w:rPr>
          <w:rFonts w:asciiTheme="majorBidi" w:hAnsiTheme="majorBidi" w:cstheme="majorBidi"/>
          <w:szCs w:val="24"/>
          <w:lang w:val="es-ES_tradnl"/>
        </w:rPr>
        <w:tab/>
      </w:r>
      <w:r w:rsidR="00654722">
        <w:rPr>
          <w:rFonts w:asciiTheme="majorBidi" w:hAnsiTheme="majorBidi" w:cstheme="majorBidi"/>
          <w:szCs w:val="24"/>
          <w:lang w:val="es-ES_tradnl"/>
        </w:rPr>
        <w:t>R</w:t>
      </w:r>
      <w:r w:rsidR="00654722" w:rsidRPr="0072410C">
        <w:rPr>
          <w:lang w:val="es-ES_tradnl"/>
        </w:rPr>
        <w:t>ed radioeléctrica de área local</w:t>
      </w:r>
      <w:r w:rsidR="00654722" w:rsidRPr="00654722">
        <w:rPr>
          <w:lang w:val="es-ES_tradnl"/>
        </w:rPr>
        <w:t xml:space="preserve"> (</w:t>
      </w:r>
      <w:r w:rsidR="00654722" w:rsidRPr="00654722">
        <w:rPr>
          <w:i/>
          <w:iCs/>
          <w:lang w:val="es-ES_tradnl"/>
        </w:rPr>
        <w:t>radio local area network</w:t>
      </w:r>
      <w:r w:rsidR="00654722">
        <w:rPr>
          <w:lang w:val="es-ES_tradnl"/>
        </w:rPr>
        <w:t>)</w:t>
      </w:r>
    </w:p>
    <w:p w:rsidR="005439C7" w:rsidRPr="00654722" w:rsidRDefault="005439C7" w:rsidP="00654722">
      <w:pPr>
        <w:tabs>
          <w:tab w:val="clear" w:pos="794"/>
          <w:tab w:val="clear" w:pos="1191"/>
        </w:tabs>
        <w:rPr>
          <w:rFonts w:asciiTheme="majorBidi" w:hAnsiTheme="majorBidi" w:cstheme="majorBidi"/>
          <w:szCs w:val="24"/>
          <w:lang w:val="es-ES_tradnl"/>
        </w:rPr>
      </w:pPr>
      <w:r w:rsidRPr="00654722">
        <w:rPr>
          <w:rFonts w:asciiTheme="majorBidi" w:hAnsiTheme="majorBidi" w:cstheme="majorBidi"/>
          <w:szCs w:val="24"/>
          <w:lang w:val="es-ES_tradnl"/>
        </w:rPr>
        <w:t>RMS</w:t>
      </w:r>
      <w:r w:rsidRPr="00654722">
        <w:rPr>
          <w:rFonts w:asciiTheme="majorBidi" w:hAnsiTheme="majorBidi" w:cstheme="majorBidi"/>
          <w:szCs w:val="24"/>
          <w:lang w:val="es-ES_tradnl"/>
        </w:rPr>
        <w:tab/>
      </w:r>
      <w:r w:rsidR="00654722">
        <w:rPr>
          <w:rFonts w:asciiTheme="majorBidi" w:hAnsiTheme="majorBidi" w:cstheme="majorBidi"/>
          <w:szCs w:val="24"/>
          <w:lang w:val="es-ES_tradnl"/>
        </w:rPr>
        <w:t>V</w:t>
      </w:r>
      <w:r w:rsidR="00654722" w:rsidRPr="0072410C">
        <w:rPr>
          <w:lang w:val="es-ES_tradnl"/>
        </w:rPr>
        <w:t>alor cuadrático medio</w:t>
      </w:r>
      <w:r w:rsidR="00654722" w:rsidRPr="00654722">
        <w:rPr>
          <w:lang w:val="es-ES_tradnl"/>
        </w:rPr>
        <w:t xml:space="preserve"> (</w:t>
      </w:r>
      <w:r w:rsidR="00654722" w:rsidRPr="00654722">
        <w:rPr>
          <w:i/>
          <w:iCs/>
          <w:lang w:val="es-ES_tradnl"/>
        </w:rPr>
        <w:t>r</w:t>
      </w:r>
      <w:r w:rsidRPr="00654722">
        <w:rPr>
          <w:i/>
          <w:iCs/>
          <w:lang w:val="es-ES_tradnl"/>
        </w:rPr>
        <w:t>oot mean square</w:t>
      </w:r>
      <w:r w:rsidR="00654722">
        <w:rPr>
          <w:lang w:val="es-ES_tradnl"/>
        </w:rPr>
        <w:t>)</w:t>
      </w:r>
    </w:p>
    <w:p w:rsidR="005439C7" w:rsidRPr="00654722" w:rsidRDefault="005439C7" w:rsidP="005439C7">
      <w:pPr>
        <w:tabs>
          <w:tab w:val="clear" w:pos="794"/>
          <w:tab w:val="clear" w:pos="1191"/>
        </w:tabs>
        <w:rPr>
          <w:lang w:val="es-ES_tradnl"/>
        </w:rPr>
      </w:pPr>
      <w:r w:rsidRPr="00654722">
        <w:rPr>
          <w:rFonts w:asciiTheme="majorBidi" w:hAnsiTheme="majorBidi" w:cstheme="majorBidi"/>
          <w:szCs w:val="24"/>
          <w:lang w:val="es-ES_tradnl"/>
        </w:rPr>
        <w:t>Rx</w:t>
      </w:r>
      <w:r w:rsidRPr="00654722">
        <w:rPr>
          <w:rFonts w:asciiTheme="majorBidi" w:hAnsiTheme="majorBidi" w:cstheme="majorBidi"/>
          <w:szCs w:val="24"/>
          <w:lang w:val="es-ES_tradnl"/>
        </w:rPr>
        <w:tab/>
      </w:r>
      <w:r w:rsidR="00654722" w:rsidRPr="00654722">
        <w:rPr>
          <w:rFonts w:asciiTheme="majorBidi" w:hAnsiTheme="majorBidi" w:cstheme="majorBidi"/>
          <w:szCs w:val="24"/>
          <w:lang w:val="es-ES_tradnl"/>
        </w:rPr>
        <w:t>Receptor (</w:t>
      </w:r>
      <w:r w:rsidR="00654722" w:rsidRPr="00654722">
        <w:rPr>
          <w:i/>
          <w:iCs/>
          <w:lang w:val="es-ES_tradnl"/>
        </w:rPr>
        <w:t>receiver</w:t>
      </w:r>
      <w:r w:rsidR="00654722" w:rsidRPr="00654722">
        <w:rPr>
          <w:lang w:val="es-ES_tradnl"/>
        </w:rPr>
        <w:t>)</w:t>
      </w:r>
    </w:p>
    <w:p w:rsidR="005439C7" w:rsidRPr="00654722" w:rsidRDefault="005439C7" w:rsidP="00654722">
      <w:pPr>
        <w:tabs>
          <w:tab w:val="clear" w:pos="794"/>
          <w:tab w:val="clear" w:pos="1191"/>
        </w:tabs>
        <w:ind w:left="1588" w:hanging="1588"/>
        <w:rPr>
          <w:lang w:val="es-ES_tradnl"/>
        </w:rPr>
      </w:pPr>
      <w:r w:rsidRPr="00654722">
        <w:rPr>
          <w:rFonts w:asciiTheme="majorBidi" w:hAnsiTheme="majorBidi" w:cstheme="majorBidi"/>
          <w:szCs w:val="24"/>
          <w:lang w:val="es-ES_tradnl"/>
        </w:rPr>
        <w:t>SC-FDMA</w:t>
      </w:r>
      <w:r w:rsidRPr="00654722">
        <w:rPr>
          <w:rFonts w:asciiTheme="majorBidi" w:hAnsiTheme="majorBidi" w:cstheme="majorBidi"/>
          <w:szCs w:val="24"/>
          <w:lang w:val="es-ES_tradnl"/>
        </w:rPr>
        <w:tab/>
      </w:r>
      <w:r w:rsidR="00654722">
        <w:rPr>
          <w:rFonts w:asciiTheme="majorBidi" w:hAnsiTheme="majorBidi" w:cstheme="majorBidi"/>
          <w:szCs w:val="24"/>
          <w:lang w:val="es-ES_tradnl"/>
        </w:rPr>
        <w:t>A</w:t>
      </w:r>
      <w:r w:rsidR="00654722" w:rsidRPr="0072410C">
        <w:rPr>
          <w:rFonts w:asciiTheme="majorBidi" w:hAnsiTheme="majorBidi" w:cstheme="majorBidi"/>
          <w:szCs w:val="24"/>
          <w:lang w:val="es-ES_tradnl"/>
        </w:rPr>
        <w:t>cceso múltiple por división de frecuencia con una sola portadora</w:t>
      </w:r>
      <w:r w:rsidR="00654722" w:rsidRPr="00654722">
        <w:rPr>
          <w:lang w:val="es-ES_tradnl"/>
        </w:rPr>
        <w:t xml:space="preserve"> </w:t>
      </w:r>
      <w:r w:rsidR="00654722">
        <w:rPr>
          <w:lang w:val="es-ES_tradnl"/>
        </w:rPr>
        <w:t>(</w:t>
      </w:r>
      <w:r w:rsidR="00654722" w:rsidRPr="00654722">
        <w:rPr>
          <w:i/>
          <w:iCs/>
          <w:lang w:val="es-ES_tradnl"/>
        </w:rPr>
        <w:t>s</w:t>
      </w:r>
      <w:r w:rsidRPr="00654722">
        <w:rPr>
          <w:i/>
          <w:iCs/>
          <w:lang w:val="es-ES_tradnl"/>
        </w:rPr>
        <w:t>ingle carrier frequency division multiple access</w:t>
      </w:r>
      <w:r w:rsidR="00654722">
        <w:rPr>
          <w:lang w:val="es-ES_tradnl"/>
        </w:rPr>
        <w:t>)</w:t>
      </w:r>
    </w:p>
    <w:p w:rsidR="005439C7" w:rsidRPr="001C2B41" w:rsidRDefault="005439C7" w:rsidP="005439C7">
      <w:pPr>
        <w:tabs>
          <w:tab w:val="clear" w:pos="794"/>
          <w:tab w:val="clear" w:pos="1191"/>
        </w:tabs>
        <w:rPr>
          <w:rFonts w:asciiTheme="majorBidi" w:hAnsiTheme="majorBidi" w:cstheme="majorBidi"/>
          <w:szCs w:val="24"/>
          <w:lang w:val="es-ES_tradnl"/>
        </w:rPr>
      </w:pPr>
      <w:r w:rsidRPr="001C2B41">
        <w:rPr>
          <w:rFonts w:asciiTheme="majorBidi" w:hAnsiTheme="majorBidi" w:cstheme="majorBidi"/>
          <w:szCs w:val="24"/>
          <w:lang w:val="es-ES_tradnl"/>
        </w:rPr>
        <w:t>SRD</w:t>
      </w:r>
      <w:r w:rsidRPr="001C2B41">
        <w:rPr>
          <w:rFonts w:asciiTheme="majorBidi" w:hAnsiTheme="majorBidi" w:cstheme="majorBidi"/>
          <w:szCs w:val="24"/>
          <w:lang w:val="es-ES_tradnl"/>
        </w:rPr>
        <w:tab/>
      </w:r>
      <w:r w:rsidR="00B515F8">
        <w:rPr>
          <w:lang w:val="es-ES_tradnl"/>
        </w:rPr>
        <w:t>D</w:t>
      </w:r>
      <w:r w:rsidR="00B515F8" w:rsidRPr="0072410C">
        <w:rPr>
          <w:lang w:val="es-ES_tradnl"/>
        </w:rPr>
        <w:t>ispositivo de corto alcance</w:t>
      </w:r>
      <w:r w:rsidR="00B515F8" w:rsidRPr="001C2B41">
        <w:rPr>
          <w:lang w:val="es-ES_tradnl"/>
        </w:rPr>
        <w:t xml:space="preserve"> (</w:t>
      </w:r>
      <w:r w:rsidR="00B515F8" w:rsidRPr="001C2B41">
        <w:rPr>
          <w:i/>
          <w:iCs/>
          <w:lang w:val="es-ES_tradnl"/>
        </w:rPr>
        <w:t>short range devices</w:t>
      </w:r>
      <w:r w:rsidR="00B515F8" w:rsidRPr="001C2B41">
        <w:rPr>
          <w:lang w:val="es-ES_tradnl"/>
        </w:rPr>
        <w:t>)</w:t>
      </w:r>
    </w:p>
    <w:p w:rsidR="005439C7" w:rsidRPr="001C2B41" w:rsidRDefault="005439C7" w:rsidP="005439C7">
      <w:pPr>
        <w:tabs>
          <w:tab w:val="clear" w:pos="794"/>
          <w:tab w:val="clear" w:pos="1191"/>
        </w:tabs>
        <w:rPr>
          <w:rFonts w:asciiTheme="majorBidi" w:hAnsiTheme="majorBidi" w:cstheme="majorBidi"/>
          <w:szCs w:val="24"/>
          <w:lang w:val="es-ES_tradnl"/>
        </w:rPr>
      </w:pPr>
      <w:r w:rsidRPr="001C2B41">
        <w:rPr>
          <w:rFonts w:asciiTheme="majorBidi" w:hAnsiTheme="majorBidi" w:cstheme="majorBidi"/>
          <w:szCs w:val="24"/>
          <w:lang w:val="es-ES_tradnl"/>
        </w:rPr>
        <w:t>TDD</w:t>
      </w:r>
      <w:r w:rsidRPr="001C2B41">
        <w:rPr>
          <w:rFonts w:asciiTheme="majorBidi" w:hAnsiTheme="majorBidi" w:cstheme="majorBidi"/>
          <w:szCs w:val="24"/>
          <w:lang w:val="es-ES_tradnl"/>
        </w:rPr>
        <w:tab/>
      </w:r>
      <w:r w:rsidR="001C2B41">
        <w:rPr>
          <w:rFonts w:asciiTheme="majorBidi" w:hAnsiTheme="majorBidi" w:cstheme="majorBidi"/>
          <w:szCs w:val="24"/>
          <w:lang w:val="es-ES_tradnl"/>
        </w:rPr>
        <w:t>D</w:t>
      </w:r>
      <w:r w:rsidR="001C2B41" w:rsidRPr="0072410C">
        <w:rPr>
          <w:rFonts w:asciiTheme="majorBidi" w:hAnsiTheme="majorBidi" w:cstheme="majorBidi"/>
          <w:szCs w:val="24"/>
          <w:lang w:val="es-ES_tradnl"/>
        </w:rPr>
        <w:t>úplex por división de tiempo</w:t>
      </w:r>
      <w:r w:rsidR="001C2B41" w:rsidRPr="001C2B41">
        <w:rPr>
          <w:lang w:val="es-ES_tradnl"/>
        </w:rPr>
        <w:t xml:space="preserve"> (</w:t>
      </w:r>
      <w:r w:rsidR="001C2B41" w:rsidRPr="001C2B41">
        <w:rPr>
          <w:i/>
          <w:iCs/>
          <w:lang w:val="es-ES_tradnl"/>
        </w:rPr>
        <w:t>time division duplex</w:t>
      </w:r>
      <w:r w:rsidR="001C2B41">
        <w:rPr>
          <w:lang w:val="es-ES_tradnl"/>
        </w:rPr>
        <w:t>)</w:t>
      </w:r>
    </w:p>
    <w:p w:rsidR="005439C7" w:rsidRPr="005439C7" w:rsidRDefault="005439C7" w:rsidP="005439C7">
      <w:pPr>
        <w:tabs>
          <w:tab w:val="clear" w:pos="794"/>
          <w:tab w:val="clear" w:pos="1191"/>
        </w:tabs>
        <w:rPr>
          <w:rFonts w:asciiTheme="majorBidi" w:hAnsiTheme="majorBidi" w:cstheme="majorBidi"/>
          <w:szCs w:val="24"/>
          <w:lang w:val="es-ES_tradnl"/>
        </w:rPr>
      </w:pPr>
      <w:r w:rsidRPr="005439C7">
        <w:rPr>
          <w:rFonts w:asciiTheme="majorBidi" w:hAnsiTheme="majorBidi" w:cstheme="majorBidi"/>
          <w:szCs w:val="24"/>
          <w:lang w:val="es-ES_tradnl"/>
        </w:rPr>
        <w:t>TDMA</w:t>
      </w:r>
      <w:r w:rsidRPr="005439C7">
        <w:rPr>
          <w:rFonts w:asciiTheme="majorBidi" w:hAnsiTheme="majorBidi" w:cstheme="majorBidi"/>
          <w:szCs w:val="24"/>
          <w:lang w:val="es-ES_tradnl"/>
        </w:rPr>
        <w:tab/>
      </w:r>
      <w:r>
        <w:rPr>
          <w:rFonts w:asciiTheme="majorBidi" w:hAnsiTheme="majorBidi" w:cstheme="majorBidi"/>
          <w:szCs w:val="24"/>
          <w:lang w:val="es-ES_tradnl"/>
        </w:rPr>
        <w:t>A</w:t>
      </w:r>
      <w:r w:rsidRPr="0072410C">
        <w:rPr>
          <w:lang w:val="es-ES_tradnl"/>
        </w:rPr>
        <w:t>cceso</w:t>
      </w:r>
      <w:r w:rsidRPr="0072410C">
        <w:rPr>
          <w:rFonts w:asciiTheme="majorBidi" w:hAnsiTheme="majorBidi" w:cstheme="majorBidi"/>
          <w:szCs w:val="24"/>
          <w:lang w:val="es-ES_tradnl"/>
        </w:rPr>
        <w:t xml:space="preserve"> múltiple por división de tiempo</w:t>
      </w:r>
      <w:r w:rsidRPr="005439C7">
        <w:rPr>
          <w:rFonts w:asciiTheme="majorBidi" w:hAnsiTheme="majorBidi" w:cstheme="majorBidi"/>
          <w:szCs w:val="24"/>
          <w:lang w:val="es-ES_tradnl"/>
        </w:rPr>
        <w:t xml:space="preserve"> </w:t>
      </w:r>
      <w:r>
        <w:rPr>
          <w:rFonts w:asciiTheme="majorBidi" w:hAnsiTheme="majorBidi" w:cstheme="majorBidi"/>
          <w:szCs w:val="24"/>
          <w:lang w:val="es-ES_tradnl"/>
        </w:rPr>
        <w:t>(</w:t>
      </w:r>
      <w:r>
        <w:rPr>
          <w:i/>
          <w:iCs/>
          <w:lang w:val="es-ES_tradnl"/>
        </w:rPr>
        <w:t>t</w:t>
      </w:r>
      <w:r w:rsidRPr="005439C7">
        <w:rPr>
          <w:i/>
          <w:iCs/>
          <w:lang w:val="es-ES_tradnl"/>
        </w:rPr>
        <w:t>ime division multiple access</w:t>
      </w:r>
      <w:r>
        <w:rPr>
          <w:lang w:val="es-ES_tradnl"/>
        </w:rPr>
        <w:t>)</w:t>
      </w:r>
    </w:p>
    <w:p w:rsidR="005439C7" w:rsidRPr="00654722" w:rsidRDefault="005439C7" w:rsidP="00654722">
      <w:pPr>
        <w:tabs>
          <w:tab w:val="clear" w:pos="794"/>
          <w:tab w:val="clear" w:pos="1191"/>
        </w:tabs>
        <w:ind w:left="1588" w:hanging="1588"/>
        <w:rPr>
          <w:rFonts w:asciiTheme="majorBidi" w:hAnsiTheme="majorBidi" w:cstheme="majorBidi"/>
          <w:szCs w:val="24"/>
          <w:lang w:val="es-ES_tradnl"/>
        </w:rPr>
      </w:pPr>
      <w:r w:rsidRPr="00654722">
        <w:rPr>
          <w:rFonts w:asciiTheme="majorBidi" w:hAnsiTheme="majorBidi" w:cstheme="majorBidi"/>
          <w:szCs w:val="24"/>
          <w:lang w:val="es-ES_tradnl"/>
        </w:rPr>
        <w:t>TETRA</w:t>
      </w:r>
      <w:r w:rsidRPr="00654722">
        <w:rPr>
          <w:rFonts w:asciiTheme="majorBidi" w:hAnsiTheme="majorBidi" w:cstheme="majorBidi"/>
          <w:szCs w:val="24"/>
          <w:lang w:val="es-ES_tradnl"/>
        </w:rPr>
        <w:tab/>
      </w:r>
      <w:r w:rsidR="00654722">
        <w:rPr>
          <w:rFonts w:asciiTheme="majorBidi" w:hAnsiTheme="majorBidi" w:cstheme="majorBidi"/>
          <w:szCs w:val="24"/>
          <w:lang w:val="es-ES_tradnl"/>
        </w:rPr>
        <w:t>S</w:t>
      </w:r>
      <w:r w:rsidR="00654722" w:rsidRPr="0072410C">
        <w:rPr>
          <w:lang w:val="es-ES_tradnl"/>
        </w:rPr>
        <w:t>istema de radiocomunicaciones terrenales con concentración de enlaces</w:t>
      </w:r>
      <w:r w:rsidR="00654722" w:rsidRPr="00654722">
        <w:rPr>
          <w:lang w:val="es-ES_tradnl"/>
        </w:rPr>
        <w:t xml:space="preserve"> </w:t>
      </w:r>
      <w:r w:rsidR="00654722">
        <w:rPr>
          <w:lang w:val="es-ES_tradnl"/>
        </w:rPr>
        <w:t>(</w:t>
      </w:r>
      <w:r w:rsidR="00654722" w:rsidRPr="00654722">
        <w:rPr>
          <w:i/>
          <w:iCs/>
          <w:lang w:val="es-ES_tradnl"/>
        </w:rPr>
        <w:t>t</w:t>
      </w:r>
      <w:r w:rsidRPr="00654722">
        <w:rPr>
          <w:i/>
          <w:iCs/>
          <w:lang w:val="es-ES_tradnl"/>
        </w:rPr>
        <w:t>errestrial trunked radio</w:t>
      </w:r>
      <w:r w:rsidR="00654722">
        <w:rPr>
          <w:lang w:val="es-ES_tradnl"/>
        </w:rPr>
        <w:t>)</w:t>
      </w:r>
    </w:p>
    <w:p w:rsidR="005439C7" w:rsidRPr="001E2A43" w:rsidRDefault="005439C7" w:rsidP="005439C7">
      <w:pPr>
        <w:tabs>
          <w:tab w:val="clear" w:pos="794"/>
          <w:tab w:val="clear" w:pos="1191"/>
        </w:tabs>
        <w:ind w:left="1588" w:hanging="1588"/>
        <w:rPr>
          <w:rFonts w:asciiTheme="majorBidi" w:hAnsiTheme="majorBidi" w:cstheme="majorBidi"/>
          <w:szCs w:val="24"/>
          <w:lang w:val="es-ES_tradnl"/>
        </w:rPr>
      </w:pPr>
      <w:r w:rsidRPr="001E2A43">
        <w:rPr>
          <w:rFonts w:asciiTheme="majorBidi" w:hAnsiTheme="majorBidi" w:cstheme="majorBidi"/>
          <w:szCs w:val="24"/>
          <w:lang w:val="es-ES_tradnl"/>
        </w:rPr>
        <w:t>TFES</w:t>
      </w:r>
      <w:r w:rsidRPr="001E2A43">
        <w:rPr>
          <w:rFonts w:asciiTheme="majorBidi" w:hAnsiTheme="majorBidi" w:cstheme="majorBidi"/>
          <w:szCs w:val="24"/>
          <w:lang w:val="es-ES_tradnl"/>
        </w:rPr>
        <w:tab/>
      </w:r>
      <w:r w:rsidR="001E2A43" w:rsidRPr="0072410C">
        <w:rPr>
          <w:rFonts w:asciiTheme="majorBidi" w:hAnsiTheme="majorBidi" w:cstheme="majorBidi"/>
          <w:szCs w:val="24"/>
          <w:lang w:val="es-ES_tradnl"/>
        </w:rPr>
        <w:t>Grupo de Trabajo del TC MSG / TC ERM para la producción de normas armonizadas según la Directiva R&amp;TTE para la familia de las IMT</w:t>
      </w:r>
      <w:r w:rsidR="001E2A43" w:rsidRPr="001E2A43">
        <w:rPr>
          <w:lang w:val="es-ES_tradnl"/>
        </w:rPr>
        <w:t xml:space="preserve"> </w:t>
      </w:r>
      <w:r w:rsidR="001E2A43">
        <w:rPr>
          <w:lang w:val="es-ES_tradnl"/>
        </w:rPr>
        <w:t>(</w:t>
      </w:r>
      <w:r w:rsidRPr="001E2A43">
        <w:rPr>
          <w:i/>
          <w:iCs/>
          <w:lang w:val="es-ES_tradnl"/>
        </w:rPr>
        <w:t xml:space="preserve">TC MSG / TC ERM </w:t>
      </w:r>
      <w:r w:rsidR="001E2A43" w:rsidRPr="001E2A43">
        <w:rPr>
          <w:i/>
          <w:iCs/>
          <w:lang w:val="es-ES_tradnl"/>
        </w:rPr>
        <w:t xml:space="preserve">task force for the production of harmonised standards under the </w:t>
      </w:r>
      <w:r w:rsidRPr="001E2A43">
        <w:rPr>
          <w:i/>
          <w:iCs/>
          <w:lang w:val="es-ES_tradnl"/>
        </w:rPr>
        <w:t xml:space="preserve">R&amp;TTE </w:t>
      </w:r>
      <w:r w:rsidR="001E2A43" w:rsidRPr="001E2A43">
        <w:rPr>
          <w:i/>
          <w:iCs/>
          <w:lang w:val="es-ES_tradnl"/>
        </w:rPr>
        <w:t xml:space="preserve">directive for the </w:t>
      </w:r>
      <w:r w:rsidRPr="001E2A43">
        <w:rPr>
          <w:i/>
          <w:iCs/>
          <w:lang w:val="es-ES_tradnl"/>
        </w:rPr>
        <w:t>IMT family</w:t>
      </w:r>
      <w:r w:rsidR="001E2A43">
        <w:rPr>
          <w:lang w:val="es-ES_tradnl"/>
        </w:rPr>
        <w:t>)</w:t>
      </w:r>
      <w:r w:rsidRPr="001E2A43">
        <w:rPr>
          <w:lang w:val="es-ES_tradnl"/>
        </w:rPr>
        <w:t xml:space="preserve"> </w:t>
      </w:r>
    </w:p>
    <w:p w:rsidR="005439C7" w:rsidRPr="00654722" w:rsidRDefault="005439C7" w:rsidP="005439C7">
      <w:pPr>
        <w:tabs>
          <w:tab w:val="clear" w:pos="794"/>
          <w:tab w:val="clear" w:pos="1191"/>
        </w:tabs>
        <w:rPr>
          <w:lang w:val="es-ES_tradnl"/>
        </w:rPr>
      </w:pPr>
      <w:r w:rsidRPr="00654722">
        <w:rPr>
          <w:rFonts w:asciiTheme="majorBidi" w:hAnsiTheme="majorBidi" w:cstheme="majorBidi"/>
          <w:szCs w:val="24"/>
          <w:lang w:val="es-ES_tradnl"/>
        </w:rPr>
        <w:t>Tx</w:t>
      </w:r>
      <w:r w:rsidRPr="00654722">
        <w:rPr>
          <w:rFonts w:asciiTheme="majorBidi" w:hAnsiTheme="majorBidi" w:cstheme="majorBidi"/>
          <w:szCs w:val="24"/>
          <w:lang w:val="es-ES_tradnl"/>
        </w:rPr>
        <w:tab/>
      </w:r>
      <w:r w:rsidR="00654722" w:rsidRPr="00654722">
        <w:rPr>
          <w:rFonts w:asciiTheme="majorBidi" w:hAnsiTheme="majorBidi" w:cstheme="majorBidi"/>
          <w:szCs w:val="24"/>
          <w:lang w:val="es-ES_tradnl"/>
        </w:rPr>
        <w:t>Transmisor (</w:t>
      </w:r>
      <w:r w:rsidR="00654722" w:rsidRPr="00654722">
        <w:rPr>
          <w:i/>
          <w:iCs/>
          <w:lang w:val="es-ES_tradnl"/>
        </w:rPr>
        <w:t>transmitter</w:t>
      </w:r>
      <w:r w:rsidR="00654722" w:rsidRPr="00654722">
        <w:rPr>
          <w:lang w:val="es-ES_tradnl"/>
        </w:rPr>
        <w:t>)</w:t>
      </w:r>
    </w:p>
    <w:p w:rsidR="005439C7" w:rsidRPr="00654722" w:rsidRDefault="005439C7" w:rsidP="005439C7">
      <w:pPr>
        <w:tabs>
          <w:tab w:val="clear" w:pos="794"/>
          <w:tab w:val="clear" w:pos="1191"/>
        </w:tabs>
        <w:rPr>
          <w:lang w:val="es-ES_tradnl"/>
        </w:rPr>
      </w:pPr>
      <w:r w:rsidRPr="00654722">
        <w:rPr>
          <w:rFonts w:asciiTheme="majorBidi" w:hAnsiTheme="majorBidi" w:cstheme="majorBidi"/>
          <w:szCs w:val="24"/>
          <w:lang w:val="es-ES_tradnl"/>
        </w:rPr>
        <w:t>UE</w:t>
      </w:r>
      <w:r w:rsidRPr="00654722">
        <w:rPr>
          <w:rFonts w:asciiTheme="majorBidi" w:hAnsiTheme="majorBidi" w:cstheme="majorBidi"/>
          <w:szCs w:val="24"/>
          <w:lang w:val="es-ES_tradnl"/>
        </w:rPr>
        <w:tab/>
      </w:r>
      <w:r w:rsidR="00654722">
        <w:rPr>
          <w:rFonts w:asciiTheme="majorBidi" w:hAnsiTheme="majorBidi" w:cstheme="majorBidi"/>
          <w:szCs w:val="24"/>
          <w:lang w:val="es-ES_tradnl"/>
        </w:rPr>
        <w:t>E</w:t>
      </w:r>
      <w:r w:rsidR="00654722" w:rsidRPr="0072410C">
        <w:rPr>
          <w:rFonts w:asciiTheme="majorBidi" w:hAnsiTheme="majorBidi" w:cstheme="majorBidi"/>
          <w:szCs w:val="24"/>
          <w:lang w:val="es-ES_tradnl"/>
        </w:rPr>
        <w:t>quipo de usuario</w:t>
      </w:r>
      <w:r w:rsidR="00654722" w:rsidRPr="00654722">
        <w:rPr>
          <w:lang w:val="es-ES_tradnl"/>
        </w:rPr>
        <w:t xml:space="preserve"> (</w:t>
      </w:r>
      <w:r w:rsidR="00654722" w:rsidRPr="00654722">
        <w:rPr>
          <w:i/>
          <w:iCs/>
          <w:lang w:val="es-ES_tradnl"/>
        </w:rPr>
        <w:t>user equipment</w:t>
      </w:r>
      <w:r w:rsidR="00654722">
        <w:rPr>
          <w:lang w:val="es-ES_tradnl"/>
        </w:rPr>
        <w:t>)</w:t>
      </w:r>
    </w:p>
    <w:p w:rsidR="005439C7" w:rsidRPr="00654722" w:rsidRDefault="005439C7" w:rsidP="00592856">
      <w:pPr>
        <w:tabs>
          <w:tab w:val="clear" w:pos="794"/>
          <w:tab w:val="clear" w:pos="1191"/>
        </w:tabs>
        <w:ind w:left="1588" w:hanging="1588"/>
        <w:jc w:val="left"/>
        <w:rPr>
          <w:rFonts w:asciiTheme="majorBidi" w:hAnsiTheme="majorBidi" w:cstheme="majorBidi"/>
          <w:szCs w:val="24"/>
          <w:lang w:val="es-ES_tradnl"/>
        </w:rPr>
      </w:pPr>
      <w:r w:rsidRPr="00654722">
        <w:rPr>
          <w:rFonts w:asciiTheme="majorBidi" w:hAnsiTheme="majorBidi" w:cstheme="majorBidi"/>
          <w:szCs w:val="24"/>
          <w:lang w:val="es-ES_tradnl"/>
        </w:rPr>
        <w:lastRenderedPageBreak/>
        <w:t>UMTS</w:t>
      </w:r>
      <w:r w:rsidRPr="00654722">
        <w:rPr>
          <w:rFonts w:asciiTheme="majorBidi" w:hAnsiTheme="majorBidi" w:cstheme="majorBidi"/>
          <w:szCs w:val="24"/>
          <w:lang w:val="es-ES_tradnl"/>
        </w:rPr>
        <w:tab/>
      </w:r>
      <w:r w:rsidR="00592856">
        <w:rPr>
          <w:rFonts w:asciiTheme="majorBidi" w:hAnsiTheme="majorBidi" w:cstheme="majorBidi"/>
          <w:szCs w:val="24"/>
          <w:lang w:val="es-ES_tradnl"/>
        </w:rPr>
        <w:t>S</w:t>
      </w:r>
      <w:r w:rsidR="00654722" w:rsidRPr="0072410C">
        <w:rPr>
          <w:rFonts w:asciiTheme="majorBidi" w:hAnsiTheme="majorBidi" w:cstheme="majorBidi"/>
          <w:szCs w:val="24"/>
          <w:lang w:val="es-ES_tradnl"/>
        </w:rPr>
        <w:t>istema de telecomunicaciones móviles universales</w:t>
      </w:r>
      <w:r w:rsidR="00654722" w:rsidRPr="00654722">
        <w:rPr>
          <w:lang w:val="es-ES_tradnl"/>
        </w:rPr>
        <w:t xml:space="preserve"> (</w:t>
      </w:r>
      <w:r w:rsidR="00654722" w:rsidRPr="00654722">
        <w:rPr>
          <w:i/>
          <w:iCs/>
          <w:lang w:val="es-ES_tradnl"/>
        </w:rPr>
        <w:t>u</w:t>
      </w:r>
      <w:r w:rsidRPr="00654722">
        <w:rPr>
          <w:i/>
          <w:iCs/>
          <w:lang w:val="es-ES_tradnl"/>
        </w:rPr>
        <w:t>niversal mobile telecommunications system</w:t>
      </w:r>
      <w:r w:rsidR="00654722" w:rsidRPr="00654722">
        <w:rPr>
          <w:lang w:val="es-ES_tradnl"/>
        </w:rPr>
        <w:t>)</w:t>
      </w:r>
    </w:p>
    <w:p w:rsidR="005439C7" w:rsidRPr="00654722" w:rsidRDefault="005439C7" w:rsidP="005439C7">
      <w:pPr>
        <w:tabs>
          <w:tab w:val="clear" w:pos="794"/>
          <w:tab w:val="clear" w:pos="1191"/>
        </w:tabs>
        <w:rPr>
          <w:lang w:val="es-ES_tradnl"/>
        </w:rPr>
      </w:pPr>
      <w:r w:rsidRPr="00654722">
        <w:rPr>
          <w:rFonts w:asciiTheme="majorBidi" w:hAnsiTheme="majorBidi" w:cstheme="majorBidi"/>
          <w:szCs w:val="24"/>
          <w:lang w:val="es-ES_tradnl"/>
        </w:rPr>
        <w:t>VHF</w:t>
      </w:r>
      <w:r w:rsidRPr="00654722">
        <w:rPr>
          <w:rFonts w:asciiTheme="majorBidi" w:hAnsiTheme="majorBidi" w:cstheme="majorBidi"/>
          <w:szCs w:val="24"/>
          <w:lang w:val="es-ES_tradnl"/>
        </w:rPr>
        <w:tab/>
      </w:r>
      <w:r w:rsidR="00654722">
        <w:rPr>
          <w:lang w:val="es-ES_tradnl"/>
        </w:rPr>
        <w:t>O</w:t>
      </w:r>
      <w:r w:rsidR="00654722" w:rsidRPr="0072410C">
        <w:rPr>
          <w:lang w:val="es-ES_tradnl"/>
        </w:rPr>
        <w:t>ndas métricas</w:t>
      </w:r>
      <w:r w:rsidR="00654722" w:rsidRPr="00654722">
        <w:rPr>
          <w:lang w:val="es-ES_tradnl"/>
        </w:rPr>
        <w:t xml:space="preserve"> (</w:t>
      </w:r>
      <w:r w:rsidR="00654722" w:rsidRPr="00654722">
        <w:rPr>
          <w:i/>
          <w:iCs/>
          <w:lang w:val="es-ES_tradnl"/>
        </w:rPr>
        <w:t>very high frequency</w:t>
      </w:r>
      <w:r w:rsidR="00654722" w:rsidRPr="00654722">
        <w:rPr>
          <w:lang w:val="es-ES_tradnl"/>
        </w:rPr>
        <w:t>)</w:t>
      </w:r>
    </w:p>
    <w:p w:rsidR="005439C7" w:rsidRPr="00654722" w:rsidRDefault="005439C7" w:rsidP="00654722">
      <w:pPr>
        <w:tabs>
          <w:tab w:val="clear" w:pos="794"/>
          <w:tab w:val="clear" w:pos="1191"/>
        </w:tabs>
        <w:ind w:left="1588" w:hanging="1588"/>
        <w:rPr>
          <w:rFonts w:asciiTheme="majorBidi" w:hAnsiTheme="majorBidi" w:cstheme="majorBidi"/>
          <w:szCs w:val="24"/>
          <w:lang w:val="es-ES_tradnl"/>
        </w:rPr>
      </w:pPr>
      <w:r w:rsidRPr="00654722">
        <w:rPr>
          <w:rFonts w:asciiTheme="majorBidi" w:hAnsiTheme="majorBidi" w:cstheme="majorBidi"/>
          <w:szCs w:val="24"/>
          <w:lang w:val="es-ES_tradnl"/>
        </w:rPr>
        <w:t>W-CDMA</w:t>
      </w:r>
      <w:r w:rsidRPr="00654722">
        <w:rPr>
          <w:rFonts w:asciiTheme="majorBidi" w:hAnsiTheme="majorBidi" w:cstheme="majorBidi"/>
          <w:szCs w:val="24"/>
          <w:lang w:val="es-ES_tradnl"/>
        </w:rPr>
        <w:tab/>
      </w:r>
      <w:r w:rsidR="00654722">
        <w:rPr>
          <w:rFonts w:asciiTheme="majorBidi" w:hAnsiTheme="majorBidi" w:cstheme="majorBidi"/>
          <w:szCs w:val="24"/>
          <w:lang w:val="es-ES_tradnl"/>
        </w:rPr>
        <w:t>A</w:t>
      </w:r>
      <w:r w:rsidR="00654722" w:rsidRPr="0072410C">
        <w:rPr>
          <w:lang w:val="es-ES_tradnl"/>
        </w:rPr>
        <w:t>cceso múltiple por división de código de banda ancha</w:t>
      </w:r>
      <w:r w:rsidR="00654722" w:rsidRPr="00654722">
        <w:rPr>
          <w:lang w:val="es-ES_tradnl"/>
        </w:rPr>
        <w:t xml:space="preserve"> (</w:t>
      </w:r>
      <w:r w:rsidR="00654722" w:rsidRPr="00654722">
        <w:rPr>
          <w:i/>
          <w:iCs/>
          <w:lang w:val="es-ES_tradnl"/>
        </w:rPr>
        <w:t>wideband code division multiple access</w:t>
      </w:r>
      <w:r w:rsidR="00654722">
        <w:rPr>
          <w:lang w:val="es-ES_tradnl"/>
        </w:rPr>
        <w:t>)</w:t>
      </w:r>
    </w:p>
    <w:p w:rsidR="005439C7" w:rsidRPr="00654722" w:rsidRDefault="005439C7" w:rsidP="00654722">
      <w:pPr>
        <w:tabs>
          <w:tab w:val="clear" w:pos="794"/>
          <w:tab w:val="clear" w:pos="1191"/>
        </w:tabs>
        <w:ind w:left="1588" w:hanging="1588"/>
        <w:rPr>
          <w:lang w:val="es-ES_tradnl"/>
        </w:rPr>
      </w:pPr>
      <w:r w:rsidRPr="00654722">
        <w:rPr>
          <w:rFonts w:asciiTheme="majorBidi" w:hAnsiTheme="majorBidi" w:cstheme="majorBidi"/>
          <w:szCs w:val="24"/>
          <w:lang w:val="es-ES_tradnl"/>
        </w:rPr>
        <w:t>WiMAX</w:t>
      </w:r>
      <w:r w:rsidRPr="00654722">
        <w:rPr>
          <w:rFonts w:asciiTheme="majorBidi" w:hAnsiTheme="majorBidi" w:cstheme="majorBidi"/>
          <w:szCs w:val="24"/>
          <w:lang w:val="es-ES_tradnl"/>
        </w:rPr>
        <w:tab/>
      </w:r>
      <w:r w:rsidR="00654722" w:rsidRPr="0072410C">
        <w:rPr>
          <w:lang w:val="es-ES_tradnl"/>
        </w:rPr>
        <w:t>Interoperabilidad mundial para acceso por microondas</w:t>
      </w:r>
      <w:r w:rsidR="00654722" w:rsidRPr="00654722">
        <w:rPr>
          <w:lang w:val="es-ES_tradnl"/>
        </w:rPr>
        <w:t xml:space="preserve"> (</w:t>
      </w:r>
      <w:r w:rsidR="00654722" w:rsidRPr="00654722">
        <w:rPr>
          <w:i/>
          <w:iCs/>
          <w:lang w:val="es-ES_tradnl"/>
        </w:rPr>
        <w:t>worldwide interoperability for microwave access</w:t>
      </w:r>
      <w:r w:rsidR="00654722" w:rsidRPr="00654722">
        <w:rPr>
          <w:lang w:val="es-ES_tradnl"/>
        </w:rPr>
        <w:t>)</w:t>
      </w:r>
    </w:p>
    <w:p w:rsidR="005439C7" w:rsidRPr="00654722" w:rsidRDefault="005439C7" w:rsidP="005439C7">
      <w:pPr>
        <w:tabs>
          <w:tab w:val="clear" w:pos="794"/>
          <w:tab w:val="clear" w:pos="1191"/>
        </w:tabs>
        <w:rPr>
          <w:rFonts w:asciiTheme="majorBidi" w:hAnsiTheme="majorBidi" w:cstheme="majorBidi"/>
          <w:szCs w:val="24"/>
          <w:lang w:val="es-ES_tradnl"/>
        </w:rPr>
      </w:pPr>
      <w:r w:rsidRPr="00C012A6">
        <w:rPr>
          <w:rFonts w:asciiTheme="majorBidi" w:hAnsiTheme="majorBidi" w:cstheme="majorBidi"/>
          <w:szCs w:val="24"/>
          <w:lang w:val="es-ES_tradnl"/>
        </w:rPr>
        <w:t>WLAN</w:t>
      </w:r>
      <w:r w:rsidRPr="00C012A6">
        <w:rPr>
          <w:rFonts w:asciiTheme="majorBidi" w:hAnsiTheme="majorBidi" w:cstheme="majorBidi"/>
          <w:szCs w:val="24"/>
          <w:lang w:val="es-ES_tradnl"/>
        </w:rPr>
        <w:tab/>
      </w:r>
      <w:r w:rsidR="00654722">
        <w:rPr>
          <w:lang w:val="es-ES_tradnl"/>
        </w:rPr>
        <w:t>R</w:t>
      </w:r>
      <w:r w:rsidR="00654722" w:rsidRPr="0072410C">
        <w:rPr>
          <w:lang w:val="es-ES_tradnl"/>
        </w:rPr>
        <w:t>ed de área local inalámbrica</w:t>
      </w:r>
      <w:r w:rsidR="00654722" w:rsidRPr="00C012A6">
        <w:rPr>
          <w:lang w:val="es-ES_tradnl"/>
        </w:rPr>
        <w:t xml:space="preserve"> </w:t>
      </w:r>
      <w:r w:rsidR="00654722">
        <w:rPr>
          <w:lang w:val="es-ES_tradnl"/>
        </w:rPr>
        <w:t>(</w:t>
      </w:r>
      <w:r w:rsidR="00654722" w:rsidRPr="00654722">
        <w:rPr>
          <w:i/>
          <w:iCs/>
          <w:lang w:val="es-ES_tradnl"/>
        </w:rPr>
        <w:t>wireless local area network</w:t>
      </w:r>
      <w:r w:rsidR="00654722">
        <w:rPr>
          <w:lang w:val="es-ES_tradnl"/>
        </w:rPr>
        <w:t>)</w:t>
      </w:r>
    </w:p>
    <w:p w:rsidR="002A523D" w:rsidRPr="0072410C" w:rsidRDefault="002A523D" w:rsidP="002A523D">
      <w:pPr>
        <w:pStyle w:val="Heading1"/>
        <w:rPr>
          <w:lang w:val="es-ES_tradnl"/>
        </w:rPr>
      </w:pPr>
      <w:bookmarkStart w:id="2" w:name="_Toc453154545"/>
      <w:bookmarkStart w:id="3" w:name="_Toc498508706"/>
      <w:bookmarkStart w:id="4" w:name="_Toc525820168"/>
      <w:bookmarkStart w:id="5" w:name="_Toc525820348"/>
      <w:r w:rsidRPr="0072410C">
        <w:rPr>
          <w:lang w:val="es-ES_tradnl"/>
        </w:rPr>
        <w:t>1</w:t>
      </w:r>
      <w:r w:rsidRPr="0072410C">
        <w:rPr>
          <w:lang w:val="es-ES_tradnl"/>
        </w:rPr>
        <w:tab/>
        <w:t>Introducción</w:t>
      </w:r>
      <w:bookmarkEnd w:id="2"/>
      <w:bookmarkEnd w:id="3"/>
      <w:bookmarkEnd w:id="4"/>
      <w:bookmarkEnd w:id="5"/>
    </w:p>
    <w:p w:rsidR="002A523D" w:rsidRPr="0072410C" w:rsidRDefault="002A523D" w:rsidP="002A523D">
      <w:pPr>
        <w:rPr>
          <w:lang w:val="es-ES_tradnl"/>
        </w:rPr>
      </w:pPr>
      <w:r w:rsidRPr="0072410C">
        <w:rPr>
          <w:lang w:val="es-ES_tradnl"/>
        </w:rPr>
        <w:t>En el presente informe se examinan las emisiones no deseadas tanto en el dominio fuera de banda como en el no esencial, con especial atención a los sistemas digitales de banda estrecha y de banda ancha.</w:t>
      </w:r>
    </w:p>
    <w:p w:rsidR="002A523D" w:rsidRPr="0072410C" w:rsidRDefault="002A523D" w:rsidP="002A523D">
      <w:pPr>
        <w:rPr>
          <w:lang w:val="es-ES_tradnl"/>
        </w:rPr>
      </w:pPr>
      <w:r w:rsidRPr="0072410C">
        <w:rPr>
          <w:lang w:val="es-ES_tradnl"/>
        </w:rPr>
        <w:t>Los transmisores modernos de sistemas digitales siempre generan el espectro radioeléctrico digitalmente en la llamada «banda base». Tras la conversión de la señal digital a la señal analógica, las dos componentes de la banda base se desplazan directamente a la gama de frecuencias radioeléctricas mediante la aplicación de la modulación en fase/cuadratura. Como resultado de ello, no se producen crestas claras en el dominio no esencial. Los transmisores digitales, en comparación con los analógicos, no tienen picos.</w:t>
      </w:r>
    </w:p>
    <w:p w:rsidR="002A523D" w:rsidRPr="0072410C" w:rsidRDefault="002A523D" w:rsidP="002A523D">
      <w:pPr>
        <w:rPr>
          <w:lang w:val="es-ES_tradnl"/>
        </w:rPr>
      </w:pPr>
      <w:r w:rsidRPr="0072410C">
        <w:rPr>
          <w:lang w:val="es-ES_tradnl"/>
        </w:rPr>
        <w:t>Los actuales límites genéricos establecidos para las emisiones no deseadas de los sistemas radiodigitales se actualizaron o desarrollaron por primera vez hace unos 15 años, si bien las tecnologías digitales han evolucionado considerablemente desde entonces. Varias recomendaciones de la serie SM (Recomendaciones UIT-R SM.1541, UIT-R SM.329, UIT-R SM.1539 y otras) se elaboraron en el período comprendido entre 1996 y 2004, cuando los sistemas radiodigitales ya predominaban sobre los analógicos. La norma ERC/REC 74-01 es una recomendación de la Conferencia Europea de Administraciones de Correos y Telecomunicaciones sobre las emisiones no deseadas del dominio no esencial en relación con los límites de la categoría B definidos en la Recomendación UIT-R SM.329.</w:t>
      </w:r>
    </w:p>
    <w:p w:rsidR="002A523D" w:rsidRPr="0072410C" w:rsidRDefault="002A523D" w:rsidP="002A523D">
      <w:pPr>
        <w:rPr>
          <w:lang w:val="es-ES_tradnl"/>
        </w:rPr>
      </w:pPr>
      <w:r w:rsidRPr="0072410C">
        <w:rPr>
          <w:rFonts w:asciiTheme="majorBidi" w:hAnsiTheme="majorBidi" w:cstheme="majorBidi"/>
          <w:lang w:val="es-ES_tradnl"/>
        </w:rPr>
        <w:t>Las mediciones de las emisiones no deseadas de diversas muestras de equipos de sistemas digitales se realizaron utilizando el proceso de medición y las configuraciones que figuran en el Anexo 1. Los resultados de la medición se presentan en el Anexo 2 y se resumen en los párrafos 2, 3 y 4.</w:t>
      </w:r>
    </w:p>
    <w:p w:rsidR="002A523D" w:rsidRPr="0072410C" w:rsidRDefault="002A523D" w:rsidP="002A523D">
      <w:pPr>
        <w:pStyle w:val="Heading1"/>
        <w:rPr>
          <w:lang w:val="es-ES_tradnl"/>
        </w:rPr>
      </w:pPr>
      <w:bookmarkStart w:id="6" w:name="_Toc453154546"/>
      <w:bookmarkStart w:id="7" w:name="_Toc498508707"/>
      <w:bookmarkStart w:id="8" w:name="_Toc525820169"/>
      <w:bookmarkStart w:id="9" w:name="_Toc525820349"/>
      <w:r w:rsidRPr="0072410C">
        <w:rPr>
          <w:lang w:val="es-ES_tradnl"/>
        </w:rPr>
        <w:t>2</w:t>
      </w:r>
      <w:r w:rsidRPr="0072410C">
        <w:rPr>
          <w:lang w:val="es-ES_tradnl"/>
        </w:rPr>
        <w:tab/>
      </w:r>
      <w:bookmarkEnd w:id="6"/>
      <w:bookmarkEnd w:id="7"/>
      <w:r w:rsidRPr="0072410C">
        <w:rPr>
          <w:lang w:val="es-ES_tradnl"/>
        </w:rPr>
        <w:t>Emisiones fuera de banda</w:t>
      </w:r>
      <w:bookmarkEnd w:id="8"/>
      <w:bookmarkEnd w:id="9"/>
    </w:p>
    <w:p w:rsidR="002A523D" w:rsidRPr="0072410C" w:rsidRDefault="002A523D" w:rsidP="002A523D">
      <w:pPr>
        <w:rPr>
          <w:lang w:val="es-ES_tradnl"/>
        </w:rPr>
      </w:pPr>
      <w:r w:rsidRPr="0072410C">
        <w:rPr>
          <w:lang w:val="es-ES_tradnl"/>
        </w:rPr>
        <w:t xml:space="preserve">En el cuadro 1 figura un resumen de la comparación de los resultados de las mediciones de varios sistemas digitales con los límites de las emisiones fuera de banda existentes en la Recomendación UIT-R SM.1541, la CRR-06 y las normas pertinentes del ETSI. </w:t>
      </w:r>
    </w:p>
    <w:p w:rsidR="002A523D" w:rsidRPr="0072410C" w:rsidRDefault="002A523D" w:rsidP="002A523D">
      <w:pPr>
        <w:rPr>
          <w:lang w:val="es-ES_tradnl"/>
        </w:rPr>
      </w:pPr>
      <w:r w:rsidRPr="0072410C">
        <w:rPr>
          <w:lang w:val="es-ES_tradnl"/>
        </w:rPr>
        <w:t>En las mediciones de los siguientes sistemas, se mejoraron los resultados de las máscaras específicas de las emisiones fuera de banda definidas en las normas pertinentes del ETSI:</w:t>
      </w:r>
    </w:p>
    <w:p w:rsidR="002A523D" w:rsidRPr="0072410C" w:rsidRDefault="002A523D" w:rsidP="002A523D">
      <w:pPr>
        <w:pStyle w:val="enumlev1"/>
        <w:rPr>
          <w:lang w:val="es-ES_tradnl"/>
        </w:rPr>
      </w:pPr>
      <w:r w:rsidRPr="0072410C">
        <w:rPr>
          <w:lang w:val="es-ES_tradnl"/>
        </w:rPr>
        <w:t>–</w:t>
      </w:r>
      <w:r w:rsidRPr="0072410C">
        <w:rPr>
          <w:lang w:val="es-ES_tradnl"/>
        </w:rPr>
        <w:tab/>
        <w:t>Estaciones de base LTE800 (</w:t>
      </w:r>
      <w:r w:rsidR="00345CCD">
        <w:rPr>
          <w:lang w:val="es-ES_tradnl"/>
        </w:rPr>
        <w:t xml:space="preserve">Fig. </w:t>
      </w:r>
      <w:r w:rsidRPr="0072410C">
        <w:rPr>
          <w:lang w:val="es-ES_tradnl"/>
        </w:rPr>
        <w:t>8)</w:t>
      </w:r>
    </w:p>
    <w:p w:rsidR="002A523D" w:rsidRPr="0072410C" w:rsidRDefault="002A523D" w:rsidP="002A523D">
      <w:pPr>
        <w:pStyle w:val="enumlev1"/>
        <w:rPr>
          <w:lang w:val="es-ES_tradnl"/>
        </w:rPr>
      </w:pPr>
      <w:r w:rsidRPr="0072410C">
        <w:rPr>
          <w:lang w:val="es-ES_tradnl"/>
        </w:rPr>
        <w:t>–</w:t>
      </w:r>
      <w:r w:rsidRPr="0072410C">
        <w:rPr>
          <w:lang w:val="es-ES_tradnl"/>
        </w:rPr>
        <w:tab/>
        <w:t>Equipos de usuario LTE800 (</w:t>
      </w:r>
      <w:r w:rsidR="00E56D44">
        <w:rPr>
          <w:lang w:val="es-ES_tradnl"/>
        </w:rPr>
        <w:t xml:space="preserve">Fig. </w:t>
      </w:r>
      <w:r w:rsidRPr="0072410C">
        <w:rPr>
          <w:lang w:val="es-ES_tradnl"/>
        </w:rPr>
        <w:t>10)</w:t>
      </w:r>
    </w:p>
    <w:p w:rsidR="002A523D" w:rsidRPr="0072410C" w:rsidRDefault="002A523D" w:rsidP="002A523D">
      <w:pPr>
        <w:pStyle w:val="enumlev1"/>
        <w:rPr>
          <w:lang w:val="es-ES_tradnl"/>
        </w:rPr>
      </w:pPr>
      <w:r w:rsidRPr="0072410C">
        <w:rPr>
          <w:lang w:val="es-ES_tradnl"/>
        </w:rPr>
        <w:t>–</w:t>
      </w:r>
      <w:r w:rsidRPr="0072410C">
        <w:rPr>
          <w:lang w:val="es-ES_tradnl"/>
        </w:rPr>
        <w:tab/>
        <w:t>Estaciones de base GSM900 (</w:t>
      </w:r>
      <w:r w:rsidR="00E56D44">
        <w:rPr>
          <w:lang w:val="es-ES_tradnl"/>
        </w:rPr>
        <w:t xml:space="preserve">Fig. </w:t>
      </w:r>
      <w:r w:rsidRPr="0072410C">
        <w:rPr>
          <w:lang w:val="es-ES_tradnl"/>
        </w:rPr>
        <w:t>16)</w:t>
      </w:r>
    </w:p>
    <w:p w:rsidR="002A523D" w:rsidRPr="0072410C" w:rsidRDefault="002A523D" w:rsidP="002A523D">
      <w:pPr>
        <w:pStyle w:val="enumlev1"/>
        <w:rPr>
          <w:lang w:val="es-ES_tradnl"/>
        </w:rPr>
      </w:pPr>
      <w:r w:rsidRPr="0072410C">
        <w:rPr>
          <w:lang w:val="es-ES_tradnl"/>
        </w:rPr>
        <w:t>–</w:t>
      </w:r>
      <w:r w:rsidRPr="0072410C">
        <w:rPr>
          <w:lang w:val="es-ES_tradnl"/>
        </w:rPr>
        <w:tab/>
        <w:t>Estación de base UMTS (</w:t>
      </w:r>
      <w:r w:rsidR="00E56D44">
        <w:rPr>
          <w:lang w:val="es-ES_tradnl"/>
        </w:rPr>
        <w:t xml:space="preserve">Fig. </w:t>
      </w:r>
      <w:r w:rsidRPr="0072410C">
        <w:rPr>
          <w:lang w:val="es-ES_tradnl"/>
        </w:rPr>
        <w:t>19)</w:t>
      </w:r>
    </w:p>
    <w:p w:rsidR="002A523D" w:rsidRPr="0072410C" w:rsidRDefault="002A523D" w:rsidP="002A523D">
      <w:pPr>
        <w:pStyle w:val="enumlev1"/>
        <w:rPr>
          <w:lang w:val="es-ES_tradnl"/>
        </w:rPr>
      </w:pPr>
      <w:r w:rsidRPr="0072410C">
        <w:rPr>
          <w:lang w:val="es-ES_tradnl"/>
        </w:rPr>
        <w:t>–</w:t>
      </w:r>
      <w:r w:rsidRPr="0072410C">
        <w:rPr>
          <w:lang w:val="es-ES_tradnl"/>
        </w:rPr>
        <w:tab/>
        <w:t>RLAN (</w:t>
      </w:r>
      <w:r w:rsidR="00E56D44">
        <w:rPr>
          <w:lang w:val="es-ES_tradnl"/>
        </w:rPr>
        <w:t xml:space="preserve">Fig. </w:t>
      </w:r>
      <w:r w:rsidRPr="0072410C">
        <w:rPr>
          <w:lang w:val="es-ES_tradnl"/>
        </w:rPr>
        <w:t xml:space="preserve">21) y </w:t>
      </w:r>
    </w:p>
    <w:p w:rsidR="002A523D" w:rsidRPr="0072410C" w:rsidRDefault="002A523D" w:rsidP="002A523D">
      <w:pPr>
        <w:pStyle w:val="enumlev1"/>
        <w:rPr>
          <w:lang w:val="es-ES_tradnl"/>
        </w:rPr>
      </w:pPr>
      <w:r w:rsidRPr="0072410C">
        <w:rPr>
          <w:lang w:val="es-ES_tradnl"/>
        </w:rPr>
        <w:t>–</w:t>
      </w:r>
      <w:r w:rsidRPr="0072410C">
        <w:rPr>
          <w:lang w:val="es-ES_tradnl"/>
        </w:rPr>
        <w:tab/>
        <w:t>Enlace punto a punto a 25 GHz (</w:t>
      </w:r>
      <w:r w:rsidR="00E56D44">
        <w:rPr>
          <w:lang w:val="es-ES_tradnl"/>
        </w:rPr>
        <w:t xml:space="preserve">Fig. </w:t>
      </w:r>
      <w:r w:rsidRPr="0072410C">
        <w:rPr>
          <w:lang w:val="es-ES_tradnl"/>
        </w:rPr>
        <w:t>24).</w:t>
      </w:r>
      <w:r w:rsidRPr="0072410C" w:rsidDel="00152D84">
        <w:rPr>
          <w:lang w:val="es-ES_tradnl"/>
        </w:rPr>
        <w:t xml:space="preserve"> </w:t>
      </w:r>
    </w:p>
    <w:p w:rsidR="002A523D" w:rsidRPr="0072410C" w:rsidRDefault="002A523D" w:rsidP="002A523D">
      <w:pPr>
        <w:rPr>
          <w:lang w:val="es-ES_tradnl"/>
        </w:rPr>
      </w:pPr>
      <w:r w:rsidRPr="0072410C">
        <w:rPr>
          <w:lang w:val="es-ES_tradnl"/>
        </w:rPr>
        <w:lastRenderedPageBreak/>
        <w:t xml:space="preserve">Los límites genéricos relativos a la «red de seguridad» indicados en las máscaras de la Recomendación UIT-R SM.1541 se mejoran considerablemente en las mediciones de los transmisores DVB-T (véase la </w:t>
      </w:r>
      <w:r w:rsidR="00E56D44">
        <w:rPr>
          <w:lang w:val="es-ES_tradnl"/>
        </w:rPr>
        <w:t xml:space="preserve">Fig. </w:t>
      </w:r>
      <w:r w:rsidRPr="0072410C">
        <w:rPr>
          <w:lang w:val="es-ES_tradnl"/>
        </w:rPr>
        <w:t xml:space="preserve">7) y del enlace punto a punto a 25 GHz (véase la </w:t>
      </w:r>
      <w:r w:rsidR="00E56D44">
        <w:rPr>
          <w:lang w:val="es-ES_tradnl"/>
        </w:rPr>
        <w:t xml:space="preserve">Fig. </w:t>
      </w:r>
      <w:r w:rsidRPr="0072410C">
        <w:rPr>
          <w:lang w:val="es-ES_tradnl"/>
        </w:rPr>
        <w:t xml:space="preserve">20); en lo que respecta a los demás sistemas del cuadro 1, no se disponía de información sobre los límites fuera de banda en la Recomendación UIT-R SM.1541. </w:t>
      </w:r>
    </w:p>
    <w:p w:rsidR="002A523D" w:rsidRPr="0072410C" w:rsidRDefault="002A523D" w:rsidP="002A523D">
      <w:pPr>
        <w:rPr>
          <w:lang w:val="es-ES_tradnl"/>
        </w:rPr>
      </w:pPr>
      <w:r w:rsidRPr="0072410C">
        <w:rPr>
          <w:lang w:val="es-ES_tradnl"/>
        </w:rPr>
        <w:t>Debe señalarse además que en algunos casos (por ejemplo, respecto de lo</w:t>
      </w:r>
      <w:r w:rsidR="00E56D44">
        <w:rPr>
          <w:lang w:val="es-ES_tradnl"/>
        </w:rPr>
        <w:t>s dispositivos DECT de la Fig.</w:t>
      </w:r>
      <w:r w:rsidRPr="0072410C">
        <w:rPr>
          <w:lang w:val="es-ES_tradnl"/>
        </w:rPr>
        <w:t xml:space="preserve"> 17) los límites solo se cumplen marginalmente.</w:t>
      </w:r>
    </w:p>
    <w:p w:rsidR="002A523D" w:rsidRPr="0072410C" w:rsidRDefault="002A523D" w:rsidP="002A523D">
      <w:pPr>
        <w:tabs>
          <w:tab w:val="clear" w:pos="794"/>
          <w:tab w:val="clear" w:pos="1191"/>
          <w:tab w:val="clear" w:pos="1588"/>
          <w:tab w:val="clear" w:pos="1985"/>
          <w:tab w:val="left" w:pos="1134"/>
          <w:tab w:val="left" w:pos="1871"/>
          <w:tab w:val="left" w:pos="2268"/>
        </w:tabs>
        <w:spacing w:before="0"/>
        <w:jc w:val="left"/>
        <w:rPr>
          <w:sz w:val="20"/>
          <w:lang w:val="es-ES_tradnl"/>
        </w:rPr>
      </w:pPr>
    </w:p>
    <w:p w:rsidR="002A523D" w:rsidRPr="0072410C" w:rsidRDefault="002A523D" w:rsidP="002A523D">
      <w:pPr>
        <w:tabs>
          <w:tab w:val="clear" w:pos="794"/>
          <w:tab w:val="clear" w:pos="1191"/>
          <w:tab w:val="clear" w:pos="1588"/>
          <w:tab w:val="clear" w:pos="1985"/>
          <w:tab w:val="left" w:pos="1134"/>
          <w:tab w:val="left" w:pos="1871"/>
          <w:tab w:val="left" w:pos="2268"/>
        </w:tabs>
        <w:spacing w:before="0"/>
        <w:jc w:val="left"/>
        <w:rPr>
          <w:b/>
          <w:sz w:val="20"/>
          <w:lang w:val="es-ES_tradnl"/>
        </w:rPr>
        <w:sectPr w:rsidR="002A523D" w:rsidRPr="0072410C" w:rsidSect="002A523D">
          <w:headerReference w:type="default" r:id="rId14"/>
          <w:footerReference w:type="default" r:id="rId15"/>
          <w:headerReference w:type="first" r:id="rId16"/>
          <w:footerReference w:type="first" r:id="rId17"/>
          <w:pgSz w:w="11907" w:h="16834" w:code="9"/>
          <w:pgMar w:top="1418" w:right="1134" w:bottom="1134" w:left="1134" w:header="720" w:footer="482" w:gutter="0"/>
          <w:paperSrc w:first="15" w:other="15"/>
          <w:pgNumType w:start="1"/>
          <w:cols w:space="720"/>
          <w:docGrid w:linePitch="326"/>
        </w:sectPr>
      </w:pPr>
    </w:p>
    <w:p w:rsidR="002A523D" w:rsidRPr="0072410C" w:rsidRDefault="002A523D" w:rsidP="002A523D">
      <w:pPr>
        <w:pStyle w:val="TableNo"/>
        <w:rPr>
          <w:lang w:val="es-ES_tradnl"/>
        </w:rPr>
      </w:pPr>
      <w:bookmarkStart w:id="10" w:name="_Ref475453317"/>
      <w:r w:rsidRPr="0072410C">
        <w:rPr>
          <w:lang w:val="es-ES_tradnl"/>
        </w:rPr>
        <w:lastRenderedPageBreak/>
        <w:t>CUADRO 1</w:t>
      </w:r>
      <w:bookmarkEnd w:id="10"/>
    </w:p>
    <w:p w:rsidR="002A523D" w:rsidRPr="0072410C" w:rsidRDefault="002A523D" w:rsidP="002A523D">
      <w:pPr>
        <w:pStyle w:val="Tabletitle"/>
        <w:rPr>
          <w:lang w:val="es-ES_tradnl"/>
        </w:rPr>
      </w:pPr>
      <w:r w:rsidRPr="0072410C">
        <w:rPr>
          <w:lang w:val="es-ES_tradnl"/>
        </w:rPr>
        <w:t>Comparación de los resultados de las mediciones de varios sistemas digitales con límites fuera de banda</w:t>
      </w:r>
    </w:p>
    <w:tbl>
      <w:tblPr>
        <w:tblpPr w:leftFromText="180" w:rightFromText="180" w:vertAnchor="text" w:tblpXSpec="center" w:tblpY="1"/>
        <w:tblOverlap w:val="never"/>
        <w:tblW w:w="14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4"/>
        <w:gridCol w:w="1712"/>
        <w:gridCol w:w="2977"/>
        <w:gridCol w:w="2693"/>
        <w:gridCol w:w="4683"/>
      </w:tblGrid>
      <w:tr w:rsidR="002A523D" w:rsidRPr="0072410C" w:rsidTr="00B066CF">
        <w:tc>
          <w:tcPr>
            <w:tcW w:w="2394" w:type="dxa"/>
            <w:vMerge w:val="restart"/>
            <w:vAlign w:val="center"/>
          </w:tcPr>
          <w:p w:rsidR="002A523D" w:rsidRPr="0072410C" w:rsidRDefault="002A523D" w:rsidP="0060391F">
            <w:pPr>
              <w:pStyle w:val="Tablehead"/>
              <w:rPr>
                <w:sz w:val="20"/>
                <w:lang w:val="es-ES_tradnl"/>
              </w:rPr>
            </w:pPr>
            <w:r w:rsidRPr="0072410C">
              <w:rPr>
                <w:sz w:val="20"/>
                <w:lang w:val="es-ES_tradnl"/>
              </w:rPr>
              <w:t>Sistema</w:t>
            </w:r>
          </w:p>
        </w:tc>
        <w:tc>
          <w:tcPr>
            <w:tcW w:w="1712" w:type="dxa"/>
            <w:vMerge w:val="restart"/>
            <w:vAlign w:val="center"/>
          </w:tcPr>
          <w:p w:rsidR="002A523D" w:rsidRPr="0072410C" w:rsidRDefault="002A523D" w:rsidP="0060391F">
            <w:pPr>
              <w:pStyle w:val="Tablehead"/>
              <w:rPr>
                <w:sz w:val="20"/>
                <w:lang w:val="es-ES_tradnl"/>
              </w:rPr>
            </w:pPr>
            <w:r w:rsidRPr="0072410C">
              <w:rPr>
                <w:sz w:val="20"/>
                <w:lang w:val="es-ES_tradnl"/>
              </w:rPr>
              <w:t>Figura</w:t>
            </w:r>
          </w:p>
        </w:tc>
        <w:tc>
          <w:tcPr>
            <w:tcW w:w="10353" w:type="dxa"/>
            <w:gridSpan w:val="3"/>
            <w:vAlign w:val="center"/>
          </w:tcPr>
          <w:p w:rsidR="002A523D" w:rsidRPr="0072410C" w:rsidRDefault="002A523D" w:rsidP="0060391F">
            <w:pPr>
              <w:pStyle w:val="Tablehead"/>
              <w:rPr>
                <w:sz w:val="20"/>
                <w:lang w:val="es-ES_tradnl"/>
              </w:rPr>
            </w:pPr>
            <w:r w:rsidRPr="0072410C">
              <w:rPr>
                <w:sz w:val="20"/>
                <w:lang w:val="es-ES_tradnl"/>
              </w:rPr>
              <w:t>Comparación con:</w:t>
            </w:r>
          </w:p>
        </w:tc>
      </w:tr>
      <w:tr w:rsidR="002A523D" w:rsidRPr="0072410C" w:rsidTr="00B066CF">
        <w:tc>
          <w:tcPr>
            <w:tcW w:w="2394" w:type="dxa"/>
            <w:vMerge/>
            <w:vAlign w:val="center"/>
          </w:tcPr>
          <w:p w:rsidR="002A523D" w:rsidRPr="0072410C" w:rsidRDefault="002A523D" w:rsidP="0060391F">
            <w:pPr>
              <w:pStyle w:val="Tablehead"/>
              <w:rPr>
                <w:sz w:val="20"/>
                <w:lang w:val="es-ES_tradnl"/>
              </w:rPr>
            </w:pPr>
          </w:p>
        </w:tc>
        <w:tc>
          <w:tcPr>
            <w:tcW w:w="1712" w:type="dxa"/>
            <w:vMerge/>
            <w:vAlign w:val="center"/>
          </w:tcPr>
          <w:p w:rsidR="002A523D" w:rsidRPr="0072410C" w:rsidRDefault="002A523D" w:rsidP="0060391F">
            <w:pPr>
              <w:pStyle w:val="Tablehead"/>
              <w:rPr>
                <w:sz w:val="20"/>
                <w:lang w:val="es-ES_tradnl"/>
              </w:rPr>
            </w:pPr>
          </w:p>
        </w:tc>
        <w:tc>
          <w:tcPr>
            <w:tcW w:w="2977" w:type="dxa"/>
            <w:vAlign w:val="center"/>
          </w:tcPr>
          <w:p w:rsidR="002A523D" w:rsidRPr="0072410C" w:rsidRDefault="002A523D" w:rsidP="0060391F">
            <w:pPr>
              <w:pStyle w:val="Tablehead"/>
              <w:rPr>
                <w:sz w:val="20"/>
                <w:lang w:val="es-ES_tradnl"/>
              </w:rPr>
            </w:pPr>
            <w:r w:rsidRPr="0072410C">
              <w:rPr>
                <w:sz w:val="20"/>
                <w:lang w:val="es-ES_tradnl"/>
              </w:rPr>
              <w:t>Rec. UIT-R SM.1541</w:t>
            </w:r>
          </w:p>
        </w:tc>
        <w:tc>
          <w:tcPr>
            <w:tcW w:w="2693" w:type="dxa"/>
            <w:vAlign w:val="center"/>
          </w:tcPr>
          <w:p w:rsidR="002A523D" w:rsidRPr="0072410C" w:rsidRDefault="002A523D" w:rsidP="0060391F">
            <w:pPr>
              <w:pStyle w:val="Tablehead"/>
              <w:rPr>
                <w:sz w:val="20"/>
                <w:lang w:val="es-ES_tradnl"/>
              </w:rPr>
            </w:pPr>
            <w:r w:rsidRPr="0072410C">
              <w:rPr>
                <w:sz w:val="20"/>
                <w:lang w:val="es-ES_tradnl"/>
              </w:rPr>
              <w:t>CRR-06</w:t>
            </w:r>
          </w:p>
        </w:tc>
        <w:tc>
          <w:tcPr>
            <w:tcW w:w="4683" w:type="dxa"/>
            <w:vAlign w:val="center"/>
          </w:tcPr>
          <w:p w:rsidR="002A523D" w:rsidRPr="0072410C" w:rsidRDefault="002A523D" w:rsidP="0060391F">
            <w:pPr>
              <w:pStyle w:val="Tablehead"/>
              <w:rPr>
                <w:sz w:val="20"/>
                <w:lang w:val="es-ES_tradnl"/>
              </w:rPr>
            </w:pPr>
            <w:r w:rsidRPr="0072410C">
              <w:rPr>
                <w:sz w:val="20"/>
                <w:lang w:val="es-ES_tradnl"/>
              </w:rPr>
              <w:t>ETSI</w:t>
            </w:r>
          </w:p>
        </w:tc>
      </w:tr>
      <w:tr w:rsidR="002A523D" w:rsidRPr="0072410C" w:rsidTr="00B066CF">
        <w:tc>
          <w:tcPr>
            <w:tcW w:w="2394" w:type="dxa"/>
          </w:tcPr>
          <w:p w:rsidR="002A523D" w:rsidRPr="0072410C" w:rsidRDefault="002A523D" w:rsidP="0060391F">
            <w:pPr>
              <w:pStyle w:val="Tabletext"/>
              <w:rPr>
                <w:sz w:val="20"/>
                <w:lang w:val="es-ES_tradnl"/>
              </w:rPr>
            </w:pPr>
            <w:r w:rsidRPr="0072410C">
              <w:rPr>
                <w:sz w:val="20"/>
                <w:lang w:val="es-ES_tradnl"/>
              </w:rPr>
              <w:t>Transmisor DAB+</w:t>
            </w:r>
          </w:p>
        </w:tc>
        <w:tc>
          <w:tcPr>
            <w:tcW w:w="1712" w:type="dxa"/>
          </w:tcPr>
          <w:p w:rsidR="002A523D" w:rsidRPr="0072410C" w:rsidRDefault="002A523D" w:rsidP="0060391F">
            <w:pPr>
              <w:pStyle w:val="Tabletext"/>
              <w:rPr>
                <w:sz w:val="20"/>
                <w:lang w:val="es-ES_tradnl"/>
              </w:rPr>
            </w:pPr>
            <w:r w:rsidRPr="0072410C">
              <w:rPr>
                <w:sz w:val="20"/>
                <w:lang w:val="es-ES_tradnl"/>
              </w:rPr>
              <w:t>Figura 5</w:t>
            </w:r>
          </w:p>
        </w:tc>
        <w:tc>
          <w:tcPr>
            <w:tcW w:w="2977" w:type="dxa"/>
          </w:tcPr>
          <w:p w:rsidR="002A523D" w:rsidRPr="0072410C" w:rsidRDefault="002A523D" w:rsidP="0060391F">
            <w:pPr>
              <w:pStyle w:val="Tabletext"/>
              <w:rPr>
                <w:sz w:val="20"/>
                <w:lang w:val="es-ES_tradnl"/>
              </w:rPr>
            </w:pPr>
            <w:r w:rsidRPr="0072410C">
              <w:rPr>
                <w:sz w:val="20"/>
                <w:lang w:val="es-ES_tradnl"/>
              </w:rPr>
              <w:t>-</w:t>
            </w:r>
          </w:p>
        </w:tc>
        <w:tc>
          <w:tcPr>
            <w:tcW w:w="2693" w:type="dxa"/>
          </w:tcPr>
          <w:p w:rsidR="002A523D" w:rsidRPr="0072410C" w:rsidRDefault="002A523D" w:rsidP="00E56D44">
            <w:pPr>
              <w:pStyle w:val="Tabletext"/>
              <w:jc w:val="left"/>
              <w:rPr>
                <w:sz w:val="20"/>
                <w:lang w:val="es-ES_tradnl"/>
              </w:rPr>
            </w:pPr>
            <w:r w:rsidRPr="0072410C">
              <w:rPr>
                <w:sz w:val="20"/>
                <w:lang w:val="es-ES_tradnl"/>
              </w:rPr>
              <w:t>Se puede ver que la máscara crítica se sobrepasa con un desplazamiento de alrededor de 2,2 MHz, pero resulta difícil determinar el motivo debido a la limitación del equipo de medición en lo que respecta a la sensibilidad.</w:t>
            </w:r>
          </w:p>
        </w:tc>
        <w:tc>
          <w:tcPr>
            <w:tcW w:w="4683" w:type="dxa"/>
          </w:tcPr>
          <w:p w:rsidR="002A523D" w:rsidRPr="0072410C" w:rsidRDefault="002A523D" w:rsidP="00E56D44">
            <w:pPr>
              <w:pStyle w:val="Tabletext"/>
              <w:jc w:val="left"/>
              <w:rPr>
                <w:sz w:val="20"/>
                <w:lang w:val="es-ES_tradnl"/>
              </w:rPr>
            </w:pPr>
            <w:r w:rsidRPr="0072410C">
              <w:rPr>
                <w:sz w:val="20"/>
                <w:lang w:val="es-ES_tradnl"/>
              </w:rPr>
              <w:t>-</w:t>
            </w:r>
          </w:p>
        </w:tc>
      </w:tr>
      <w:tr w:rsidR="002A523D" w:rsidRPr="0072410C" w:rsidTr="00B066CF">
        <w:tc>
          <w:tcPr>
            <w:tcW w:w="2394" w:type="dxa"/>
          </w:tcPr>
          <w:p w:rsidR="002A523D" w:rsidRPr="0072410C" w:rsidRDefault="002A523D" w:rsidP="0060391F">
            <w:pPr>
              <w:pStyle w:val="Tabletext"/>
              <w:rPr>
                <w:sz w:val="20"/>
                <w:lang w:val="es-ES_tradnl"/>
              </w:rPr>
            </w:pPr>
            <w:r w:rsidRPr="0072410C">
              <w:rPr>
                <w:sz w:val="20"/>
                <w:lang w:val="es-ES_tradnl"/>
              </w:rPr>
              <w:t>Transmisores DVB-T</w:t>
            </w:r>
          </w:p>
        </w:tc>
        <w:tc>
          <w:tcPr>
            <w:tcW w:w="1712" w:type="dxa"/>
          </w:tcPr>
          <w:p w:rsidR="002A523D" w:rsidRPr="0072410C" w:rsidRDefault="002A523D" w:rsidP="0060391F">
            <w:pPr>
              <w:pStyle w:val="Tabletext"/>
              <w:rPr>
                <w:sz w:val="20"/>
                <w:lang w:val="es-ES_tradnl"/>
              </w:rPr>
            </w:pPr>
            <w:r w:rsidRPr="0072410C">
              <w:rPr>
                <w:sz w:val="20"/>
                <w:lang w:val="es-ES_tradnl"/>
              </w:rPr>
              <w:t>Figura 7</w:t>
            </w:r>
          </w:p>
        </w:tc>
        <w:tc>
          <w:tcPr>
            <w:tcW w:w="2977" w:type="dxa"/>
          </w:tcPr>
          <w:p w:rsidR="002A523D" w:rsidRPr="0072410C" w:rsidRDefault="002A523D" w:rsidP="00B066CF">
            <w:pPr>
              <w:pStyle w:val="Tabletext"/>
              <w:jc w:val="left"/>
              <w:rPr>
                <w:sz w:val="20"/>
                <w:lang w:val="es-ES_tradnl"/>
              </w:rPr>
            </w:pPr>
            <w:r w:rsidRPr="0072410C">
              <w:rPr>
                <w:sz w:val="20"/>
                <w:lang w:val="es-ES_tradnl"/>
              </w:rPr>
              <w:t>El sistema DVB-T mejora esos límites en ~20 dB o más.</w:t>
            </w:r>
          </w:p>
        </w:tc>
        <w:tc>
          <w:tcPr>
            <w:tcW w:w="2693" w:type="dxa"/>
          </w:tcPr>
          <w:p w:rsidR="002A523D" w:rsidRPr="0072410C" w:rsidRDefault="002A523D" w:rsidP="00E56D44">
            <w:pPr>
              <w:pStyle w:val="Tabletext"/>
              <w:jc w:val="left"/>
              <w:rPr>
                <w:sz w:val="20"/>
                <w:lang w:val="es-ES_tradnl"/>
              </w:rPr>
            </w:pPr>
            <w:r w:rsidRPr="0072410C">
              <w:rPr>
                <w:sz w:val="20"/>
                <w:lang w:val="es-ES_tradnl"/>
              </w:rPr>
              <w:t>Muy ajustado.</w:t>
            </w:r>
          </w:p>
        </w:tc>
        <w:tc>
          <w:tcPr>
            <w:tcW w:w="4683" w:type="dxa"/>
          </w:tcPr>
          <w:p w:rsidR="002A523D" w:rsidRPr="0072410C" w:rsidRDefault="002A523D" w:rsidP="00E56D44">
            <w:pPr>
              <w:pStyle w:val="Tabletext"/>
              <w:jc w:val="left"/>
              <w:rPr>
                <w:sz w:val="20"/>
                <w:lang w:val="es-ES_tradnl"/>
              </w:rPr>
            </w:pPr>
            <w:r w:rsidRPr="0072410C">
              <w:rPr>
                <w:sz w:val="20"/>
                <w:lang w:val="es-ES_tradnl"/>
              </w:rPr>
              <w:t>-</w:t>
            </w:r>
          </w:p>
        </w:tc>
      </w:tr>
      <w:tr w:rsidR="002A523D" w:rsidRPr="00EF7B19" w:rsidTr="00B066CF">
        <w:tc>
          <w:tcPr>
            <w:tcW w:w="2394" w:type="dxa"/>
          </w:tcPr>
          <w:p w:rsidR="002A523D" w:rsidRPr="0072410C" w:rsidRDefault="002A523D" w:rsidP="00E56D44">
            <w:pPr>
              <w:pStyle w:val="Tabletext"/>
              <w:jc w:val="left"/>
              <w:rPr>
                <w:sz w:val="20"/>
                <w:lang w:val="es-ES_tradnl"/>
              </w:rPr>
            </w:pPr>
            <w:r w:rsidRPr="0072410C">
              <w:rPr>
                <w:sz w:val="20"/>
                <w:lang w:val="es-ES_tradnl"/>
              </w:rPr>
              <w:t>Estaciones de base LTE800</w:t>
            </w:r>
          </w:p>
        </w:tc>
        <w:tc>
          <w:tcPr>
            <w:tcW w:w="1712" w:type="dxa"/>
          </w:tcPr>
          <w:p w:rsidR="002A523D" w:rsidRPr="0072410C" w:rsidRDefault="002A523D" w:rsidP="0060391F">
            <w:pPr>
              <w:pStyle w:val="Tabletext"/>
              <w:rPr>
                <w:sz w:val="20"/>
                <w:lang w:val="es-ES_tradnl"/>
              </w:rPr>
            </w:pPr>
            <w:r w:rsidRPr="0072410C">
              <w:rPr>
                <w:sz w:val="20"/>
                <w:lang w:val="es-ES_tradnl"/>
              </w:rPr>
              <w:t>Figura 8</w:t>
            </w:r>
          </w:p>
        </w:tc>
        <w:tc>
          <w:tcPr>
            <w:tcW w:w="2977" w:type="dxa"/>
          </w:tcPr>
          <w:p w:rsidR="002A523D" w:rsidRPr="0072410C" w:rsidRDefault="002A523D" w:rsidP="00E56D44">
            <w:pPr>
              <w:pStyle w:val="Tabletext"/>
              <w:jc w:val="left"/>
              <w:rPr>
                <w:sz w:val="20"/>
                <w:lang w:val="es-ES_tradnl"/>
              </w:rPr>
            </w:pPr>
            <w:r w:rsidRPr="0072410C">
              <w:rPr>
                <w:sz w:val="20"/>
                <w:lang w:val="es-ES_tradnl"/>
              </w:rPr>
              <w:t>En esta Recomendación no se facilita información sobre los límites fuera de banda correspondientes a este tipo de aplicación.</w:t>
            </w:r>
          </w:p>
        </w:tc>
        <w:tc>
          <w:tcPr>
            <w:tcW w:w="2693" w:type="dxa"/>
          </w:tcPr>
          <w:p w:rsidR="002A523D" w:rsidRPr="0072410C" w:rsidRDefault="002A523D" w:rsidP="00E56D44">
            <w:pPr>
              <w:pStyle w:val="Tabletext"/>
              <w:jc w:val="left"/>
              <w:rPr>
                <w:sz w:val="20"/>
                <w:lang w:val="es-ES_tradnl"/>
              </w:rPr>
            </w:pPr>
            <w:r w:rsidRPr="0072410C">
              <w:rPr>
                <w:sz w:val="20"/>
                <w:lang w:val="es-ES_tradnl"/>
              </w:rPr>
              <w:t>-</w:t>
            </w:r>
          </w:p>
        </w:tc>
        <w:tc>
          <w:tcPr>
            <w:tcW w:w="4683" w:type="dxa"/>
          </w:tcPr>
          <w:p w:rsidR="002A523D" w:rsidRPr="0072410C" w:rsidRDefault="002A523D" w:rsidP="00E56D44">
            <w:pPr>
              <w:pStyle w:val="Tabletext"/>
              <w:jc w:val="left"/>
              <w:rPr>
                <w:sz w:val="20"/>
                <w:lang w:val="es-ES_tradnl"/>
              </w:rPr>
            </w:pPr>
            <w:r w:rsidRPr="0072410C">
              <w:rPr>
                <w:b/>
                <w:sz w:val="20"/>
                <w:lang w:val="es-ES_tradnl"/>
              </w:rPr>
              <w:t xml:space="preserve">ETSI EN 301 908-14, cuadro 4.2.2.2.3-3: </w:t>
            </w:r>
            <w:r w:rsidRPr="0072410C">
              <w:rPr>
                <w:sz w:val="20"/>
                <w:lang w:val="es-ES_tradnl"/>
              </w:rPr>
              <w:t xml:space="preserve">Aunque no se apliquen filtros externos, las emisiones fuera de banda más allá de un desplazamiento de aproximadamente 15 MHz (150% de la anchura del canal) ya están 20 dB por debajo del límite. Sin embargo, una de estas señales coincide con la máscara en los </w:t>
            </w:r>
            <w:r w:rsidR="00B066CF">
              <w:rPr>
                <w:sz w:val="20"/>
                <w:lang w:val="es-ES_tradnl"/>
              </w:rPr>
              <w:t>desplazamientos inferiores (&lt;10 </w:t>
            </w:r>
            <w:r w:rsidRPr="0072410C">
              <w:rPr>
                <w:sz w:val="20"/>
                <w:lang w:val="es-ES_tradnl"/>
              </w:rPr>
              <w:t>MHz), lo que podría cambiar si se aumentara el tiempo de medición.</w:t>
            </w:r>
          </w:p>
        </w:tc>
      </w:tr>
      <w:tr w:rsidR="002A523D" w:rsidRPr="00EF7B19" w:rsidTr="00B066CF">
        <w:tc>
          <w:tcPr>
            <w:tcW w:w="2394" w:type="dxa"/>
          </w:tcPr>
          <w:p w:rsidR="002A523D" w:rsidRPr="0072410C" w:rsidRDefault="002A523D" w:rsidP="00E56D44">
            <w:pPr>
              <w:pStyle w:val="Tabletext"/>
              <w:jc w:val="left"/>
              <w:rPr>
                <w:sz w:val="20"/>
                <w:lang w:val="es-ES_tradnl"/>
              </w:rPr>
            </w:pPr>
            <w:r w:rsidRPr="0072410C">
              <w:rPr>
                <w:sz w:val="20"/>
                <w:lang w:val="es-ES_tradnl"/>
              </w:rPr>
              <w:t>Equipos de usuario LTE800</w:t>
            </w:r>
          </w:p>
        </w:tc>
        <w:tc>
          <w:tcPr>
            <w:tcW w:w="1712" w:type="dxa"/>
          </w:tcPr>
          <w:p w:rsidR="002A523D" w:rsidRPr="0072410C" w:rsidRDefault="002A523D" w:rsidP="0060391F">
            <w:pPr>
              <w:pStyle w:val="Tabletext"/>
              <w:rPr>
                <w:sz w:val="20"/>
                <w:lang w:val="es-ES_tradnl"/>
              </w:rPr>
            </w:pPr>
            <w:r w:rsidRPr="0072410C">
              <w:rPr>
                <w:sz w:val="20"/>
                <w:lang w:val="es-ES_tradnl"/>
              </w:rPr>
              <w:t>Figura 10</w:t>
            </w:r>
          </w:p>
        </w:tc>
        <w:tc>
          <w:tcPr>
            <w:tcW w:w="2977" w:type="dxa"/>
          </w:tcPr>
          <w:p w:rsidR="002A523D" w:rsidRPr="0072410C" w:rsidRDefault="002A523D" w:rsidP="00E56D44">
            <w:pPr>
              <w:pStyle w:val="Tabletext"/>
              <w:jc w:val="left"/>
              <w:rPr>
                <w:sz w:val="20"/>
                <w:highlight w:val="lightGray"/>
                <w:lang w:val="es-ES_tradnl"/>
              </w:rPr>
            </w:pPr>
            <w:r w:rsidRPr="0072410C">
              <w:rPr>
                <w:sz w:val="20"/>
                <w:lang w:val="es-ES_tradnl"/>
              </w:rPr>
              <w:t>En esta Recomendación no se facilita información sobre los límites fuera de banda correspondientes a este tipo de aplicación.</w:t>
            </w:r>
          </w:p>
        </w:tc>
        <w:tc>
          <w:tcPr>
            <w:tcW w:w="2693" w:type="dxa"/>
          </w:tcPr>
          <w:p w:rsidR="002A523D" w:rsidRPr="0072410C" w:rsidRDefault="002A523D" w:rsidP="00E56D44">
            <w:pPr>
              <w:pStyle w:val="Tabletext"/>
              <w:jc w:val="left"/>
              <w:rPr>
                <w:sz w:val="20"/>
                <w:lang w:val="es-ES_tradnl"/>
              </w:rPr>
            </w:pPr>
            <w:r w:rsidRPr="0072410C">
              <w:rPr>
                <w:sz w:val="20"/>
                <w:lang w:val="es-ES_tradnl"/>
              </w:rPr>
              <w:t>-</w:t>
            </w:r>
          </w:p>
        </w:tc>
        <w:tc>
          <w:tcPr>
            <w:tcW w:w="4683" w:type="dxa"/>
          </w:tcPr>
          <w:p w:rsidR="002A523D" w:rsidRPr="0072410C" w:rsidRDefault="002A523D" w:rsidP="00E56D44">
            <w:pPr>
              <w:pStyle w:val="Tabletext"/>
              <w:jc w:val="left"/>
              <w:rPr>
                <w:b/>
                <w:sz w:val="20"/>
                <w:lang w:val="es-ES_tradnl"/>
              </w:rPr>
            </w:pPr>
            <w:r w:rsidRPr="0072410C">
              <w:rPr>
                <w:b/>
                <w:sz w:val="20"/>
                <w:lang w:val="es-ES_tradnl"/>
              </w:rPr>
              <w:t xml:space="preserve">ETSI EN 301 908-13, cuadro 4.2.3.1.2-1: </w:t>
            </w:r>
            <w:r w:rsidRPr="0072410C">
              <w:rPr>
                <w:sz w:val="20"/>
                <w:lang w:val="es-ES_tradnl"/>
              </w:rPr>
              <w:t>Los equipos de usuario probados ofrecen mejores resultados que la máscara de las emisiones fuera de banda en distintas medidas y muestran emisiones asimétricas, con una mayor supresión por encima de los 862 MHz. Esto sugiere la presencia de filtrado (interno) para resolver los problemas de coexistencia con los sistemas situados en bandas de frecuencias adyacentes.</w:t>
            </w:r>
          </w:p>
        </w:tc>
      </w:tr>
    </w:tbl>
    <w:p w:rsidR="002A523D" w:rsidRPr="0072410C" w:rsidRDefault="002A523D" w:rsidP="00011B29">
      <w:pPr>
        <w:pStyle w:val="TableNo"/>
        <w:spacing w:before="480"/>
        <w:rPr>
          <w:lang w:val="es-ES_tradnl"/>
        </w:rPr>
      </w:pPr>
      <w:r w:rsidRPr="0072410C">
        <w:rPr>
          <w:lang w:val="es-ES_tradnl"/>
        </w:rPr>
        <w:lastRenderedPageBreak/>
        <w:t>CUADRO 1 (</w:t>
      </w:r>
      <w:r w:rsidRPr="0072410C">
        <w:rPr>
          <w:i/>
          <w:iCs/>
          <w:lang w:val="es-ES_tradnl"/>
        </w:rPr>
        <w:t>fin</w:t>
      </w:r>
      <w:r w:rsidRPr="0072410C">
        <w:rPr>
          <w:lang w:val="es-ES_tradnl"/>
        </w:rP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4"/>
        <w:gridCol w:w="1712"/>
        <w:gridCol w:w="3119"/>
        <w:gridCol w:w="2551"/>
        <w:gridCol w:w="4683"/>
      </w:tblGrid>
      <w:tr w:rsidR="002A523D" w:rsidRPr="0072410C" w:rsidTr="00B066CF">
        <w:trPr>
          <w:tblHeader/>
          <w:jc w:val="center"/>
        </w:trPr>
        <w:tc>
          <w:tcPr>
            <w:tcW w:w="2394" w:type="dxa"/>
            <w:vMerge w:val="restart"/>
            <w:vAlign w:val="center"/>
          </w:tcPr>
          <w:p w:rsidR="002A523D" w:rsidRPr="0072410C" w:rsidRDefault="002A523D" w:rsidP="0060391F">
            <w:pPr>
              <w:pStyle w:val="Tablehead"/>
              <w:rPr>
                <w:sz w:val="20"/>
                <w:lang w:val="es-ES_tradnl"/>
              </w:rPr>
            </w:pPr>
            <w:r w:rsidRPr="0072410C">
              <w:rPr>
                <w:sz w:val="20"/>
                <w:lang w:val="es-ES_tradnl"/>
              </w:rPr>
              <w:t>Sistema</w:t>
            </w:r>
          </w:p>
        </w:tc>
        <w:tc>
          <w:tcPr>
            <w:tcW w:w="1712" w:type="dxa"/>
            <w:vMerge w:val="restart"/>
            <w:vAlign w:val="center"/>
          </w:tcPr>
          <w:p w:rsidR="002A523D" w:rsidRPr="0072410C" w:rsidRDefault="002A523D" w:rsidP="0060391F">
            <w:pPr>
              <w:pStyle w:val="Tablehead"/>
              <w:rPr>
                <w:sz w:val="20"/>
                <w:lang w:val="es-ES_tradnl"/>
              </w:rPr>
            </w:pPr>
            <w:r w:rsidRPr="0072410C">
              <w:rPr>
                <w:sz w:val="20"/>
                <w:lang w:val="es-ES_tradnl"/>
              </w:rPr>
              <w:t>Figura</w:t>
            </w:r>
          </w:p>
        </w:tc>
        <w:tc>
          <w:tcPr>
            <w:tcW w:w="10353" w:type="dxa"/>
            <w:gridSpan w:val="3"/>
            <w:vAlign w:val="center"/>
          </w:tcPr>
          <w:p w:rsidR="002A523D" w:rsidRPr="0072410C" w:rsidRDefault="002A523D" w:rsidP="0060391F">
            <w:pPr>
              <w:pStyle w:val="Tablehead"/>
              <w:rPr>
                <w:sz w:val="20"/>
                <w:lang w:val="es-ES_tradnl"/>
              </w:rPr>
            </w:pPr>
            <w:r w:rsidRPr="0072410C">
              <w:rPr>
                <w:sz w:val="20"/>
                <w:lang w:val="es-ES_tradnl"/>
              </w:rPr>
              <w:t>Comparación con:</w:t>
            </w:r>
          </w:p>
        </w:tc>
      </w:tr>
      <w:tr w:rsidR="002A523D" w:rsidRPr="0072410C" w:rsidTr="00B066CF">
        <w:trPr>
          <w:tblHeader/>
          <w:jc w:val="center"/>
        </w:trPr>
        <w:tc>
          <w:tcPr>
            <w:tcW w:w="2394" w:type="dxa"/>
            <w:vMerge/>
            <w:vAlign w:val="center"/>
          </w:tcPr>
          <w:p w:rsidR="002A523D" w:rsidRPr="0072410C" w:rsidRDefault="002A523D" w:rsidP="0060391F">
            <w:pPr>
              <w:pStyle w:val="Tablehead"/>
              <w:rPr>
                <w:sz w:val="20"/>
                <w:lang w:val="es-ES_tradnl"/>
              </w:rPr>
            </w:pPr>
          </w:p>
        </w:tc>
        <w:tc>
          <w:tcPr>
            <w:tcW w:w="1712" w:type="dxa"/>
            <w:vMerge/>
            <w:vAlign w:val="center"/>
          </w:tcPr>
          <w:p w:rsidR="002A523D" w:rsidRPr="0072410C" w:rsidRDefault="002A523D" w:rsidP="0060391F">
            <w:pPr>
              <w:pStyle w:val="Tablehead"/>
              <w:rPr>
                <w:sz w:val="20"/>
                <w:lang w:val="es-ES_tradnl"/>
              </w:rPr>
            </w:pPr>
          </w:p>
        </w:tc>
        <w:tc>
          <w:tcPr>
            <w:tcW w:w="3119" w:type="dxa"/>
            <w:vAlign w:val="center"/>
          </w:tcPr>
          <w:p w:rsidR="002A523D" w:rsidRPr="0072410C" w:rsidRDefault="002A523D" w:rsidP="0060391F">
            <w:pPr>
              <w:pStyle w:val="Tablehead"/>
              <w:rPr>
                <w:sz w:val="20"/>
                <w:lang w:val="es-ES_tradnl"/>
              </w:rPr>
            </w:pPr>
            <w:r w:rsidRPr="0072410C">
              <w:rPr>
                <w:sz w:val="20"/>
                <w:lang w:val="es-ES_tradnl"/>
              </w:rPr>
              <w:t>Rec. UIT-R SM.1541</w:t>
            </w:r>
          </w:p>
        </w:tc>
        <w:tc>
          <w:tcPr>
            <w:tcW w:w="2551" w:type="dxa"/>
            <w:vAlign w:val="center"/>
          </w:tcPr>
          <w:p w:rsidR="002A523D" w:rsidRPr="0072410C" w:rsidRDefault="002A523D" w:rsidP="0060391F">
            <w:pPr>
              <w:pStyle w:val="Tablehead"/>
              <w:rPr>
                <w:sz w:val="20"/>
                <w:lang w:val="es-ES_tradnl"/>
              </w:rPr>
            </w:pPr>
            <w:r w:rsidRPr="0072410C">
              <w:rPr>
                <w:sz w:val="20"/>
                <w:lang w:val="es-ES_tradnl"/>
              </w:rPr>
              <w:t>CRR-06</w:t>
            </w:r>
          </w:p>
        </w:tc>
        <w:tc>
          <w:tcPr>
            <w:tcW w:w="4683" w:type="dxa"/>
            <w:vAlign w:val="center"/>
          </w:tcPr>
          <w:p w:rsidR="002A523D" w:rsidRPr="0072410C" w:rsidRDefault="002A523D" w:rsidP="0060391F">
            <w:pPr>
              <w:pStyle w:val="Tablehead"/>
              <w:rPr>
                <w:sz w:val="20"/>
                <w:lang w:val="es-ES_tradnl"/>
              </w:rPr>
            </w:pPr>
            <w:r w:rsidRPr="0072410C">
              <w:rPr>
                <w:sz w:val="20"/>
                <w:lang w:val="es-ES_tradnl"/>
              </w:rPr>
              <w:t>ETSI</w:t>
            </w:r>
          </w:p>
        </w:tc>
      </w:tr>
      <w:tr w:rsidR="002A523D" w:rsidRPr="00EF7B19" w:rsidTr="00B066CF">
        <w:trPr>
          <w:jc w:val="center"/>
        </w:trPr>
        <w:tc>
          <w:tcPr>
            <w:tcW w:w="2394" w:type="dxa"/>
            <w:tcBorders>
              <w:bottom w:val="single" w:sz="4" w:space="0" w:color="auto"/>
            </w:tcBorders>
          </w:tcPr>
          <w:p w:rsidR="002A523D" w:rsidRPr="0072410C" w:rsidRDefault="002A523D" w:rsidP="00E56D44">
            <w:pPr>
              <w:pStyle w:val="Tabletext"/>
              <w:jc w:val="left"/>
              <w:rPr>
                <w:sz w:val="20"/>
                <w:lang w:val="es-ES_tradnl"/>
              </w:rPr>
            </w:pPr>
            <w:r w:rsidRPr="0072410C">
              <w:rPr>
                <w:sz w:val="20"/>
                <w:lang w:val="es-ES_tradnl"/>
              </w:rPr>
              <w:t>Estaciones de base GSM900</w:t>
            </w:r>
          </w:p>
        </w:tc>
        <w:tc>
          <w:tcPr>
            <w:tcW w:w="1712" w:type="dxa"/>
            <w:tcBorders>
              <w:bottom w:val="single" w:sz="4" w:space="0" w:color="auto"/>
            </w:tcBorders>
          </w:tcPr>
          <w:p w:rsidR="002A523D" w:rsidRPr="0072410C" w:rsidRDefault="002A523D" w:rsidP="00E56D44">
            <w:pPr>
              <w:pStyle w:val="Tabletext"/>
              <w:jc w:val="left"/>
              <w:rPr>
                <w:sz w:val="20"/>
                <w:lang w:val="es-ES_tradnl"/>
              </w:rPr>
            </w:pPr>
            <w:r w:rsidRPr="0072410C">
              <w:rPr>
                <w:sz w:val="20"/>
                <w:lang w:val="es-ES_tradnl"/>
              </w:rPr>
              <w:t>Figura 16</w:t>
            </w:r>
          </w:p>
        </w:tc>
        <w:tc>
          <w:tcPr>
            <w:tcW w:w="3119" w:type="dxa"/>
            <w:tcBorders>
              <w:bottom w:val="single" w:sz="4" w:space="0" w:color="auto"/>
            </w:tcBorders>
          </w:tcPr>
          <w:p w:rsidR="002A523D" w:rsidRPr="0072410C" w:rsidRDefault="002A523D" w:rsidP="00E56D44">
            <w:pPr>
              <w:pStyle w:val="Tabletext"/>
              <w:jc w:val="left"/>
              <w:rPr>
                <w:sz w:val="20"/>
                <w:highlight w:val="lightGray"/>
                <w:lang w:val="es-ES_tradnl"/>
              </w:rPr>
            </w:pPr>
            <w:r w:rsidRPr="0072410C">
              <w:rPr>
                <w:sz w:val="20"/>
                <w:lang w:val="es-ES_tradnl"/>
              </w:rPr>
              <w:t>En esta Recomendación no se facilita información sobre los límites fuera de banda correspondientes a este tipo de aplicación.</w:t>
            </w:r>
          </w:p>
        </w:tc>
        <w:tc>
          <w:tcPr>
            <w:tcW w:w="2551" w:type="dxa"/>
            <w:tcBorders>
              <w:bottom w:val="single" w:sz="4" w:space="0" w:color="auto"/>
            </w:tcBorders>
          </w:tcPr>
          <w:p w:rsidR="002A523D" w:rsidRPr="0072410C" w:rsidRDefault="002A523D" w:rsidP="00E56D44">
            <w:pPr>
              <w:pStyle w:val="Tabletext"/>
              <w:jc w:val="left"/>
              <w:rPr>
                <w:sz w:val="20"/>
                <w:lang w:val="es-ES_tradnl"/>
              </w:rPr>
            </w:pPr>
            <w:r w:rsidRPr="0072410C">
              <w:rPr>
                <w:sz w:val="20"/>
                <w:lang w:val="es-ES_tradnl"/>
              </w:rPr>
              <w:t>-</w:t>
            </w:r>
          </w:p>
        </w:tc>
        <w:tc>
          <w:tcPr>
            <w:tcW w:w="4683" w:type="dxa"/>
            <w:tcBorders>
              <w:bottom w:val="single" w:sz="4" w:space="0" w:color="auto"/>
            </w:tcBorders>
          </w:tcPr>
          <w:p w:rsidR="002A523D" w:rsidRPr="0072410C" w:rsidRDefault="002A523D" w:rsidP="00E56D44">
            <w:pPr>
              <w:pStyle w:val="Tabletext"/>
              <w:jc w:val="left"/>
              <w:rPr>
                <w:b/>
                <w:sz w:val="20"/>
                <w:lang w:val="es-ES_tradnl"/>
              </w:rPr>
            </w:pPr>
            <w:r w:rsidRPr="0072410C">
              <w:rPr>
                <w:b/>
                <w:sz w:val="20"/>
                <w:lang w:val="es-ES_tradnl"/>
              </w:rPr>
              <w:t>ETSI TS 145 005</w:t>
            </w:r>
            <w:r w:rsidRPr="0072410C">
              <w:rPr>
                <w:bCs/>
                <w:sz w:val="20"/>
                <w:lang w:val="es-ES_tradnl"/>
              </w:rPr>
              <w:t xml:space="preserve">: </w:t>
            </w:r>
            <w:r w:rsidRPr="0072410C">
              <w:rPr>
                <w:sz w:val="20"/>
                <w:lang w:val="es-ES_tradnl"/>
              </w:rPr>
              <w:t>En toda la gama, el nivel de las emisiones no deseadas está por debajo del límite del ETSI y, en particular, con un desplazamiento de 400 kHz, mejora la máscara de emisión en aproximadamente 10 dB.</w:t>
            </w:r>
          </w:p>
        </w:tc>
      </w:tr>
      <w:tr w:rsidR="002A523D" w:rsidRPr="00EF7B19" w:rsidTr="00B066CF">
        <w:trPr>
          <w:jc w:val="center"/>
        </w:trPr>
        <w:tc>
          <w:tcPr>
            <w:tcW w:w="2394" w:type="dxa"/>
          </w:tcPr>
          <w:p w:rsidR="002A523D" w:rsidRPr="0072410C" w:rsidRDefault="002A523D" w:rsidP="00E56D44">
            <w:pPr>
              <w:pStyle w:val="Tabletext"/>
              <w:jc w:val="left"/>
              <w:rPr>
                <w:sz w:val="20"/>
                <w:lang w:val="es-ES_tradnl"/>
              </w:rPr>
            </w:pPr>
            <w:r w:rsidRPr="0072410C">
              <w:rPr>
                <w:sz w:val="20"/>
                <w:lang w:val="es-ES_tradnl"/>
              </w:rPr>
              <w:t>DECT</w:t>
            </w:r>
          </w:p>
        </w:tc>
        <w:tc>
          <w:tcPr>
            <w:tcW w:w="1712" w:type="dxa"/>
          </w:tcPr>
          <w:p w:rsidR="002A523D" w:rsidRPr="0072410C" w:rsidRDefault="002A523D" w:rsidP="00E56D44">
            <w:pPr>
              <w:pStyle w:val="Tabletext"/>
              <w:jc w:val="left"/>
              <w:rPr>
                <w:sz w:val="20"/>
                <w:lang w:val="es-ES_tradnl"/>
              </w:rPr>
            </w:pPr>
            <w:r w:rsidRPr="0072410C">
              <w:rPr>
                <w:rFonts w:eastAsia="Calibri"/>
                <w:sz w:val="20"/>
                <w:lang w:val="es-ES_tradnl"/>
              </w:rPr>
              <w:t>Figura 17</w:t>
            </w:r>
          </w:p>
        </w:tc>
        <w:tc>
          <w:tcPr>
            <w:tcW w:w="3119" w:type="dxa"/>
          </w:tcPr>
          <w:p w:rsidR="002A523D" w:rsidRPr="0072410C" w:rsidRDefault="002A523D" w:rsidP="00E56D44">
            <w:pPr>
              <w:pStyle w:val="Tabletext"/>
              <w:jc w:val="left"/>
              <w:rPr>
                <w:sz w:val="20"/>
                <w:lang w:val="es-ES_tradnl"/>
              </w:rPr>
            </w:pPr>
          </w:p>
        </w:tc>
        <w:tc>
          <w:tcPr>
            <w:tcW w:w="2551" w:type="dxa"/>
          </w:tcPr>
          <w:p w:rsidR="002A523D" w:rsidRPr="0072410C" w:rsidRDefault="002A523D" w:rsidP="00E56D44">
            <w:pPr>
              <w:pStyle w:val="Tabletext"/>
              <w:jc w:val="left"/>
              <w:rPr>
                <w:sz w:val="20"/>
                <w:lang w:val="es-ES_tradnl"/>
              </w:rPr>
            </w:pPr>
          </w:p>
        </w:tc>
        <w:tc>
          <w:tcPr>
            <w:tcW w:w="4683" w:type="dxa"/>
          </w:tcPr>
          <w:p w:rsidR="002A523D" w:rsidRPr="0072410C" w:rsidRDefault="002A523D" w:rsidP="00E56D44">
            <w:pPr>
              <w:pStyle w:val="Tabletext"/>
              <w:jc w:val="left"/>
              <w:rPr>
                <w:b/>
                <w:sz w:val="20"/>
                <w:lang w:val="es-ES_tradnl"/>
              </w:rPr>
            </w:pPr>
            <w:r w:rsidRPr="0072410C">
              <w:rPr>
                <w:sz w:val="20"/>
                <w:lang w:val="es-ES_tradnl"/>
              </w:rPr>
              <w:t>Los niveles fuera de banda de ambos dispositivos DECT medidos no cumplen los requisitos de la norma del ETSI [17] en la gama de desplazamiento en torno a 1 MHz. Puesto que en el dominio fuera de banda solo pueden observarse emisiones relacionadas con la modulación, puede suponerse que todos los dispositivos DECT tendrán casi el mismo espectro fuera de banda, en cuyo caso parece que existe un margen considerable entre el límite de emisiones fuera de banda y las emisiones reales fuera de banda, sobre todo en la gama del canal adyacente con un desplazamiento de 2 MHz.</w:t>
            </w:r>
          </w:p>
        </w:tc>
      </w:tr>
      <w:tr w:rsidR="002A523D" w:rsidRPr="00EF7B19" w:rsidTr="00B066CF">
        <w:trPr>
          <w:jc w:val="center"/>
        </w:trPr>
        <w:tc>
          <w:tcPr>
            <w:tcW w:w="2394" w:type="dxa"/>
          </w:tcPr>
          <w:p w:rsidR="002A523D" w:rsidRPr="0072410C" w:rsidRDefault="002A523D" w:rsidP="00E56D44">
            <w:pPr>
              <w:pStyle w:val="Tabletext"/>
              <w:jc w:val="left"/>
              <w:rPr>
                <w:sz w:val="20"/>
                <w:lang w:val="es-ES_tradnl"/>
              </w:rPr>
            </w:pPr>
            <w:r w:rsidRPr="0072410C">
              <w:rPr>
                <w:sz w:val="20"/>
                <w:lang w:val="es-ES_tradnl"/>
              </w:rPr>
              <w:t>Estación de base UMTS</w:t>
            </w:r>
          </w:p>
        </w:tc>
        <w:tc>
          <w:tcPr>
            <w:tcW w:w="1712" w:type="dxa"/>
          </w:tcPr>
          <w:p w:rsidR="002A523D" w:rsidRPr="0072410C" w:rsidRDefault="002A523D" w:rsidP="00E56D44">
            <w:pPr>
              <w:pStyle w:val="Tabletext"/>
              <w:jc w:val="left"/>
              <w:rPr>
                <w:sz w:val="20"/>
                <w:lang w:val="es-ES_tradnl"/>
              </w:rPr>
            </w:pPr>
            <w:r w:rsidRPr="0072410C">
              <w:rPr>
                <w:sz w:val="20"/>
                <w:lang w:val="es-ES_tradnl"/>
              </w:rPr>
              <w:t>Figura 19</w:t>
            </w:r>
          </w:p>
        </w:tc>
        <w:tc>
          <w:tcPr>
            <w:tcW w:w="3119" w:type="dxa"/>
          </w:tcPr>
          <w:p w:rsidR="002A523D" w:rsidRPr="0072410C" w:rsidRDefault="002A523D" w:rsidP="00E56D44">
            <w:pPr>
              <w:pStyle w:val="Tabletext"/>
              <w:jc w:val="left"/>
              <w:rPr>
                <w:sz w:val="20"/>
                <w:highlight w:val="lightGray"/>
                <w:lang w:val="es-ES_tradnl"/>
              </w:rPr>
            </w:pPr>
            <w:r w:rsidRPr="0072410C">
              <w:rPr>
                <w:sz w:val="20"/>
                <w:lang w:val="es-ES_tradnl"/>
              </w:rPr>
              <w:t>En esta Recomendación no se facilita información sobre los límites fuera de banda correspondientes a este tipo de aplicación.</w:t>
            </w:r>
          </w:p>
        </w:tc>
        <w:tc>
          <w:tcPr>
            <w:tcW w:w="2551" w:type="dxa"/>
          </w:tcPr>
          <w:p w:rsidR="002A523D" w:rsidRPr="0072410C" w:rsidRDefault="002A523D" w:rsidP="00E56D44">
            <w:pPr>
              <w:pStyle w:val="Tabletext"/>
              <w:jc w:val="left"/>
              <w:rPr>
                <w:sz w:val="20"/>
                <w:lang w:val="es-ES_tradnl"/>
              </w:rPr>
            </w:pPr>
            <w:r w:rsidRPr="0072410C">
              <w:rPr>
                <w:sz w:val="20"/>
                <w:lang w:val="es-ES_tradnl"/>
              </w:rPr>
              <w:t>-</w:t>
            </w:r>
          </w:p>
        </w:tc>
        <w:tc>
          <w:tcPr>
            <w:tcW w:w="4683" w:type="dxa"/>
          </w:tcPr>
          <w:p w:rsidR="002A523D" w:rsidRPr="0072410C" w:rsidRDefault="002A523D" w:rsidP="00E56D44">
            <w:pPr>
              <w:pStyle w:val="Tabletext"/>
              <w:jc w:val="left"/>
              <w:rPr>
                <w:b/>
                <w:sz w:val="20"/>
                <w:lang w:val="es-ES_tradnl"/>
              </w:rPr>
            </w:pPr>
            <w:r w:rsidRPr="0072410C">
              <w:rPr>
                <w:b/>
                <w:sz w:val="20"/>
                <w:lang w:val="es-ES_tradnl"/>
              </w:rPr>
              <w:t>ETSI TS 125 104</w:t>
            </w:r>
            <w:r w:rsidRPr="0072410C">
              <w:rPr>
                <w:bCs/>
                <w:sz w:val="20"/>
                <w:lang w:val="es-ES_tradnl"/>
              </w:rPr>
              <w:t xml:space="preserve">, capítulo 6.6.2.1, cuadro 6.5: </w:t>
            </w:r>
            <w:r w:rsidRPr="0072410C">
              <w:rPr>
                <w:sz w:val="20"/>
                <w:lang w:val="es-ES_tradnl"/>
              </w:rPr>
              <w:t>Las emisiones fuera de banda están al menos 15 dB por debajo de la máscara. Las emisiones no deseadas debidas a la modulación ya desaparecen en el ruido de banda ancha del amplificador con un desplazamiento de alrededor del 125% de la anchura del canal.</w:t>
            </w:r>
          </w:p>
        </w:tc>
      </w:tr>
      <w:tr w:rsidR="002A523D" w:rsidRPr="00EF7B19" w:rsidTr="00B066CF">
        <w:trPr>
          <w:jc w:val="center"/>
        </w:trPr>
        <w:tc>
          <w:tcPr>
            <w:tcW w:w="2394" w:type="dxa"/>
          </w:tcPr>
          <w:p w:rsidR="002A523D" w:rsidRPr="0072410C" w:rsidRDefault="002A523D" w:rsidP="00E56D44">
            <w:pPr>
              <w:pStyle w:val="Tabletext"/>
              <w:jc w:val="left"/>
              <w:rPr>
                <w:sz w:val="20"/>
                <w:lang w:val="es-ES_tradnl"/>
              </w:rPr>
            </w:pPr>
            <w:r w:rsidRPr="0072410C">
              <w:rPr>
                <w:sz w:val="20"/>
                <w:lang w:val="es-ES_tradnl"/>
              </w:rPr>
              <w:t>RLAN</w:t>
            </w:r>
          </w:p>
        </w:tc>
        <w:tc>
          <w:tcPr>
            <w:tcW w:w="1712" w:type="dxa"/>
          </w:tcPr>
          <w:p w:rsidR="002A523D" w:rsidRPr="0072410C" w:rsidRDefault="002A523D" w:rsidP="00E56D44">
            <w:pPr>
              <w:pStyle w:val="Tabletext"/>
              <w:jc w:val="left"/>
              <w:rPr>
                <w:sz w:val="20"/>
                <w:lang w:val="es-ES_tradnl"/>
              </w:rPr>
            </w:pPr>
            <w:r w:rsidRPr="0072410C">
              <w:rPr>
                <w:sz w:val="20"/>
                <w:lang w:val="es-ES_tradnl"/>
              </w:rPr>
              <w:t>Figura 21</w:t>
            </w:r>
          </w:p>
        </w:tc>
        <w:tc>
          <w:tcPr>
            <w:tcW w:w="3119" w:type="dxa"/>
          </w:tcPr>
          <w:p w:rsidR="002A523D" w:rsidRPr="0072410C" w:rsidRDefault="002A523D" w:rsidP="00E56D44">
            <w:pPr>
              <w:pStyle w:val="Tabletext"/>
              <w:jc w:val="left"/>
              <w:rPr>
                <w:sz w:val="20"/>
                <w:highlight w:val="lightGray"/>
                <w:lang w:val="es-ES_tradnl"/>
              </w:rPr>
            </w:pPr>
            <w:r w:rsidRPr="0072410C">
              <w:rPr>
                <w:sz w:val="20"/>
                <w:lang w:val="es-ES_tradnl"/>
              </w:rPr>
              <w:t>En esta Recomendación no se facilita información sobre los límites fuera de banda correspondientes a este tipo de aplicación.</w:t>
            </w:r>
          </w:p>
        </w:tc>
        <w:tc>
          <w:tcPr>
            <w:tcW w:w="2551" w:type="dxa"/>
          </w:tcPr>
          <w:p w:rsidR="002A523D" w:rsidRPr="0072410C" w:rsidRDefault="002A523D" w:rsidP="00E56D44">
            <w:pPr>
              <w:pStyle w:val="Tabletext"/>
              <w:jc w:val="left"/>
              <w:rPr>
                <w:sz w:val="20"/>
                <w:lang w:val="es-ES_tradnl"/>
              </w:rPr>
            </w:pPr>
            <w:r w:rsidRPr="0072410C">
              <w:rPr>
                <w:sz w:val="20"/>
                <w:lang w:val="es-ES_tradnl"/>
              </w:rPr>
              <w:t>-</w:t>
            </w:r>
          </w:p>
        </w:tc>
        <w:tc>
          <w:tcPr>
            <w:tcW w:w="4683" w:type="dxa"/>
          </w:tcPr>
          <w:p w:rsidR="002A523D" w:rsidRPr="0072410C" w:rsidRDefault="002A523D" w:rsidP="00E56D44">
            <w:pPr>
              <w:pStyle w:val="Tabletext"/>
              <w:jc w:val="left"/>
              <w:rPr>
                <w:b/>
                <w:sz w:val="20"/>
                <w:lang w:val="es-ES_tradnl"/>
              </w:rPr>
            </w:pPr>
            <w:r w:rsidRPr="0072410C">
              <w:rPr>
                <w:b/>
                <w:sz w:val="20"/>
                <w:lang w:val="es-ES_tradnl"/>
              </w:rPr>
              <w:t xml:space="preserve">ETSI </w:t>
            </w:r>
            <w:r w:rsidRPr="0072410C">
              <w:rPr>
                <w:b/>
                <w:bCs/>
                <w:sz w:val="20"/>
                <w:lang w:val="es-ES_tradnl"/>
              </w:rPr>
              <w:t>EN 300 328</w:t>
            </w:r>
            <w:r w:rsidRPr="0072410C">
              <w:rPr>
                <w:sz w:val="20"/>
                <w:lang w:val="es-ES_tradnl"/>
              </w:rPr>
              <w:t xml:space="preserve">: Con un desplazamiento del 250%, las emisiones fuera </w:t>
            </w:r>
            <w:r w:rsidR="00E56D44">
              <w:rPr>
                <w:sz w:val="20"/>
                <w:lang w:val="es-ES_tradnl"/>
              </w:rPr>
              <w:t>de banda suelen estar más de 20 </w:t>
            </w:r>
            <w:r w:rsidRPr="0072410C">
              <w:rPr>
                <w:sz w:val="20"/>
                <w:lang w:val="es-ES_tradnl"/>
              </w:rPr>
              <w:t>dB por debajo del límite.</w:t>
            </w:r>
          </w:p>
        </w:tc>
      </w:tr>
      <w:tr w:rsidR="002A523D" w:rsidRPr="00EF7B19" w:rsidTr="00B066CF">
        <w:trPr>
          <w:jc w:val="center"/>
        </w:trPr>
        <w:tc>
          <w:tcPr>
            <w:tcW w:w="2394" w:type="dxa"/>
          </w:tcPr>
          <w:p w:rsidR="002A523D" w:rsidRPr="0072410C" w:rsidRDefault="002A523D" w:rsidP="00E56D44">
            <w:pPr>
              <w:pStyle w:val="Tabletext"/>
              <w:jc w:val="left"/>
              <w:rPr>
                <w:sz w:val="20"/>
                <w:lang w:val="es-ES_tradnl"/>
              </w:rPr>
            </w:pPr>
            <w:r w:rsidRPr="0072410C">
              <w:rPr>
                <w:lang w:val="es-ES_tradnl"/>
              </w:rPr>
              <w:t>Enlace punto a punto a 25 GHz</w:t>
            </w:r>
          </w:p>
        </w:tc>
        <w:tc>
          <w:tcPr>
            <w:tcW w:w="1712" w:type="dxa"/>
          </w:tcPr>
          <w:p w:rsidR="002A523D" w:rsidRPr="0072410C" w:rsidRDefault="002A523D" w:rsidP="00E56D44">
            <w:pPr>
              <w:pStyle w:val="Tabletext"/>
              <w:jc w:val="left"/>
              <w:rPr>
                <w:sz w:val="20"/>
                <w:lang w:val="es-ES_tradnl"/>
              </w:rPr>
            </w:pPr>
            <w:r w:rsidRPr="0072410C">
              <w:rPr>
                <w:sz w:val="20"/>
                <w:lang w:val="es-ES_tradnl"/>
              </w:rPr>
              <w:t>Figura 24</w:t>
            </w:r>
          </w:p>
        </w:tc>
        <w:tc>
          <w:tcPr>
            <w:tcW w:w="3119" w:type="dxa"/>
          </w:tcPr>
          <w:p w:rsidR="002A523D" w:rsidRPr="0072410C" w:rsidRDefault="002A523D" w:rsidP="00E56D44">
            <w:pPr>
              <w:pStyle w:val="Tabletext"/>
              <w:jc w:val="left"/>
              <w:rPr>
                <w:sz w:val="20"/>
                <w:lang w:val="es-ES_tradnl"/>
              </w:rPr>
            </w:pPr>
            <w:r w:rsidRPr="0072410C">
              <w:rPr>
                <w:sz w:val="20"/>
                <w:lang w:val="es-ES_tradnl"/>
              </w:rPr>
              <w:t>Los límites genéricos de las emisiones fuera de banda de la red de seguridad del servicio fijo que figuran en el anexo 12 de esta Recomendación se cumplen con un margen de unos 20 dB.</w:t>
            </w:r>
          </w:p>
        </w:tc>
        <w:tc>
          <w:tcPr>
            <w:tcW w:w="2551" w:type="dxa"/>
          </w:tcPr>
          <w:p w:rsidR="002A523D" w:rsidRPr="0072410C" w:rsidRDefault="002A523D" w:rsidP="00E56D44">
            <w:pPr>
              <w:pStyle w:val="Tabletext"/>
              <w:jc w:val="left"/>
              <w:rPr>
                <w:sz w:val="20"/>
                <w:lang w:val="es-ES_tradnl"/>
              </w:rPr>
            </w:pPr>
            <w:r w:rsidRPr="0072410C">
              <w:rPr>
                <w:sz w:val="20"/>
                <w:lang w:val="es-ES_tradnl"/>
              </w:rPr>
              <w:t>-</w:t>
            </w:r>
          </w:p>
        </w:tc>
        <w:tc>
          <w:tcPr>
            <w:tcW w:w="4683" w:type="dxa"/>
          </w:tcPr>
          <w:p w:rsidR="002A523D" w:rsidRPr="0072410C" w:rsidRDefault="002A523D" w:rsidP="00E56D44">
            <w:pPr>
              <w:pStyle w:val="Tabletext"/>
              <w:jc w:val="left"/>
              <w:rPr>
                <w:b/>
                <w:sz w:val="20"/>
                <w:lang w:val="es-ES_tradnl"/>
              </w:rPr>
            </w:pPr>
            <w:r w:rsidRPr="0072410C">
              <w:rPr>
                <w:b/>
                <w:sz w:val="20"/>
                <w:lang w:val="es-ES_tradnl"/>
              </w:rPr>
              <w:t>ETSI EN 302 217-2-2</w:t>
            </w:r>
            <w:r w:rsidRPr="0072410C">
              <w:rPr>
                <w:bCs/>
                <w:sz w:val="20"/>
                <w:lang w:val="es-ES_tradnl"/>
              </w:rPr>
              <w:t>, sección 4.2.4.2.1:</w:t>
            </w:r>
            <w:r w:rsidRPr="0072410C">
              <w:rPr>
                <w:b/>
                <w:sz w:val="20"/>
                <w:lang w:val="es-ES_tradnl"/>
              </w:rPr>
              <w:t xml:space="preserve"> </w:t>
            </w:r>
            <w:r w:rsidRPr="0072410C">
              <w:rPr>
                <w:sz w:val="20"/>
                <w:lang w:val="es-ES_tradnl"/>
              </w:rPr>
              <w:t>El límite específico se cumple con un margen de al menos 10 dB.</w:t>
            </w:r>
          </w:p>
        </w:tc>
      </w:tr>
    </w:tbl>
    <w:p w:rsidR="002A523D" w:rsidRPr="0072410C" w:rsidRDefault="002A523D" w:rsidP="002A523D">
      <w:pPr>
        <w:tabs>
          <w:tab w:val="clear" w:pos="794"/>
          <w:tab w:val="clear" w:pos="1191"/>
          <w:tab w:val="clear" w:pos="1588"/>
          <w:tab w:val="clear" w:pos="1985"/>
          <w:tab w:val="left" w:pos="1134"/>
          <w:tab w:val="left" w:pos="1871"/>
          <w:tab w:val="left" w:pos="2268"/>
        </w:tabs>
        <w:jc w:val="left"/>
        <w:rPr>
          <w:szCs w:val="24"/>
          <w:lang w:val="es-ES_tradnl"/>
        </w:rPr>
        <w:sectPr w:rsidR="002A523D" w:rsidRPr="0072410C" w:rsidSect="002A523D">
          <w:headerReference w:type="even" r:id="rId18"/>
          <w:headerReference w:type="default" r:id="rId19"/>
          <w:footerReference w:type="default" r:id="rId20"/>
          <w:headerReference w:type="first" r:id="rId21"/>
          <w:footerReference w:type="first" r:id="rId22"/>
          <w:pgSz w:w="16834" w:h="11907" w:orient="landscape" w:code="9"/>
          <w:pgMar w:top="1134" w:right="1418" w:bottom="1134" w:left="1134" w:header="720" w:footer="482" w:gutter="0"/>
          <w:paperSrc w:first="15" w:other="15"/>
          <w:cols w:space="720"/>
          <w:docGrid w:linePitch="326"/>
        </w:sectPr>
      </w:pPr>
    </w:p>
    <w:p w:rsidR="002A523D" w:rsidRPr="0072410C" w:rsidRDefault="002A523D" w:rsidP="002A523D">
      <w:pPr>
        <w:pStyle w:val="Heading1"/>
        <w:rPr>
          <w:lang w:val="es-ES_tradnl"/>
        </w:rPr>
      </w:pPr>
      <w:bookmarkStart w:id="11" w:name="_Toc498508708"/>
      <w:bookmarkStart w:id="12" w:name="_Toc453154547"/>
      <w:bookmarkStart w:id="13" w:name="_Toc525820170"/>
      <w:bookmarkStart w:id="14" w:name="_Toc525820350"/>
      <w:r w:rsidRPr="0072410C">
        <w:rPr>
          <w:lang w:val="es-ES_tradnl"/>
        </w:rPr>
        <w:lastRenderedPageBreak/>
        <w:t>3</w:t>
      </w:r>
      <w:r w:rsidRPr="0072410C">
        <w:rPr>
          <w:lang w:val="es-ES_tradnl" w:eastAsia="de-DE"/>
        </w:rPr>
        <w:tab/>
      </w:r>
      <w:bookmarkEnd w:id="11"/>
      <w:bookmarkEnd w:id="12"/>
      <w:r w:rsidRPr="0072410C">
        <w:rPr>
          <w:lang w:val="es-ES_tradnl" w:eastAsia="de-DE"/>
        </w:rPr>
        <w:t>Emisiones no esenciales</w:t>
      </w:r>
      <w:bookmarkEnd w:id="13"/>
      <w:bookmarkEnd w:id="14"/>
    </w:p>
    <w:p w:rsidR="002A523D" w:rsidRPr="0072410C" w:rsidRDefault="002A523D" w:rsidP="002A523D">
      <w:pPr>
        <w:rPr>
          <w:lang w:val="es-ES_tradnl"/>
        </w:rPr>
      </w:pPr>
      <w:r w:rsidRPr="0072410C">
        <w:rPr>
          <w:lang w:val="es-ES_tradnl"/>
        </w:rPr>
        <w:t>En el cuadro 2 se ofrece un resumen de la comparación de los resultados de las mediciones de varios sistemas digitales con los límites existentes relativos a las emision</w:t>
      </w:r>
      <w:r w:rsidR="00592856">
        <w:rPr>
          <w:lang w:val="es-ES_tradnl"/>
        </w:rPr>
        <w:t>es no deseadas en el dominio no </w:t>
      </w:r>
      <w:r w:rsidRPr="0072410C">
        <w:rPr>
          <w:lang w:val="es-ES_tradnl"/>
        </w:rPr>
        <w:t>esencial que figuran en la Recomendación UIT-R SM.329, la ERC/REC 74-01 y las normas pertinentes del ETSI.</w:t>
      </w:r>
    </w:p>
    <w:p w:rsidR="002A523D" w:rsidRPr="0072410C" w:rsidRDefault="002A523D" w:rsidP="002A523D">
      <w:pPr>
        <w:rPr>
          <w:lang w:val="es-ES_tradnl"/>
        </w:rPr>
      </w:pPr>
      <w:r w:rsidRPr="0072410C">
        <w:rPr>
          <w:lang w:val="es-ES_tradnl"/>
        </w:rPr>
        <w:t xml:space="preserve">Con excepción de las frecuencias armónicas de la </w:t>
      </w:r>
      <w:r w:rsidR="00E56D44">
        <w:rPr>
          <w:lang w:val="es-ES_tradnl"/>
        </w:rPr>
        <w:t xml:space="preserve">Fig. </w:t>
      </w:r>
      <w:r w:rsidRPr="0072410C">
        <w:rPr>
          <w:lang w:val="es-ES_tradnl"/>
        </w:rPr>
        <w:t>13 (equipo de usuario LTE800), los límites de la Recomendación UIT-R SM.3290 y de la ERC/REC 74-01 en el dominio no esencial suelen ser mejorados por un margen considerable de varias decenas de dB:</w:t>
      </w:r>
    </w:p>
    <w:p w:rsidR="002A523D" w:rsidRPr="0072410C" w:rsidRDefault="002A523D" w:rsidP="002A523D">
      <w:pPr>
        <w:pStyle w:val="enumlev1"/>
        <w:rPr>
          <w:lang w:val="es-ES_tradnl"/>
        </w:rPr>
      </w:pPr>
      <w:r w:rsidRPr="0072410C">
        <w:rPr>
          <w:lang w:val="es-ES_tradnl"/>
        </w:rPr>
        <w:t>–</w:t>
      </w:r>
      <w:r w:rsidRPr="0072410C">
        <w:rPr>
          <w:lang w:val="es-ES_tradnl"/>
        </w:rPr>
        <w:tab/>
        <w:t>Transmisor DAB (</w:t>
      </w:r>
      <w:r w:rsidR="00E56D44">
        <w:rPr>
          <w:lang w:val="es-ES_tradnl"/>
        </w:rPr>
        <w:t xml:space="preserve">Fig. </w:t>
      </w:r>
      <w:r w:rsidRPr="0072410C">
        <w:rPr>
          <w:lang w:val="es-ES_tradnl"/>
        </w:rPr>
        <w:t>6)</w:t>
      </w:r>
    </w:p>
    <w:p w:rsidR="002A523D" w:rsidRPr="0072410C" w:rsidRDefault="002A523D" w:rsidP="002A523D">
      <w:pPr>
        <w:pStyle w:val="enumlev1"/>
        <w:rPr>
          <w:lang w:val="es-ES_tradnl"/>
        </w:rPr>
      </w:pPr>
      <w:r w:rsidRPr="0072410C">
        <w:rPr>
          <w:lang w:val="es-ES_tradnl"/>
        </w:rPr>
        <w:t>–</w:t>
      </w:r>
      <w:r w:rsidRPr="0072410C">
        <w:rPr>
          <w:lang w:val="es-ES_tradnl"/>
        </w:rPr>
        <w:tab/>
        <w:t>Transmisor DVB-T (</w:t>
      </w:r>
      <w:r w:rsidR="00E56D44">
        <w:rPr>
          <w:lang w:val="es-ES_tradnl"/>
        </w:rPr>
        <w:t xml:space="preserve">Fig. </w:t>
      </w:r>
      <w:r w:rsidRPr="0072410C">
        <w:rPr>
          <w:lang w:val="es-ES_tradnl"/>
        </w:rPr>
        <w:t>7)</w:t>
      </w:r>
    </w:p>
    <w:p w:rsidR="002A523D" w:rsidRPr="0072410C" w:rsidRDefault="002A523D" w:rsidP="002A523D">
      <w:pPr>
        <w:pStyle w:val="enumlev1"/>
        <w:rPr>
          <w:lang w:val="es-ES_tradnl"/>
        </w:rPr>
      </w:pPr>
      <w:r w:rsidRPr="0072410C">
        <w:rPr>
          <w:lang w:val="es-ES_tradnl"/>
        </w:rPr>
        <w:t>–</w:t>
      </w:r>
      <w:r w:rsidRPr="0072410C">
        <w:rPr>
          <w:lang w:val="es-ES_tradnl"/>
        </w:rPr>
        <w:tab/>
        <w:t>Estación de base LTE800 (</w:t>
      </w:r>
      <w:r w:rsidR="00E56D44">
        <w:rPr>
          <w:lang w:val="es-ES_tradnl"/>
        </w:rPr>
        <w:t xml:space="preserve">Fig. </w:t>
      </w:r>
      <w:r w:rsidRPr="0072410C">
        <w:rPr>
          <w:lang w:val="es-ES_tradnl"/>
        </w:rPr>
        <w:t>9)</w:t>
      </w:r>
    </w:p>
    <w:p w:rsidR="002A523D" w:rsidRPr="0072410C" w:rsidRDefault="002A523D" w:rsidP="002A523D">
      <w:pPr>
        <w:pStyle w:val="enumlev1"/>
        <w:rPr>
          <w:lang w:val="es-ES_tradnl"/>
        </w:rPr>
      </w:pPr>
      <w:r w:rsidRPr="0072410C">
        <w:rPr>
          <w:lang w:val="es-ES_tradnl"/>
        </w:rPr>
        <w:t>–</w:t>
      </w:r>
      <w:r w:rsidRPr="0072410C">
        <w:rPr>
          <w:lang w:val="es-ES_tradnl"/>
        </w:rPr>
        <w:tab/>
        <w:t>Equipo de usuario LTE800 (</w:t>
      </w:r>
      <w:r w:rsidR="00E56D44">
        <w:rPr>
          <w:lang w:val="es-ES_tradnl"/>
        </w:rPr>
        <w:t xml:space="preserve">Fig. </w:t>
      </w:r>
      <w:r w:rsidRPr="0072410C">
        <w:rPr>
          <w:lang w:val="es-ES_tradnl"/>
        </w:rPr>
        <w:t>11)</w:t>
      </w:r>
    </w:p>
    <w:p w:rsidR="002A523D" w:rsidRPr="0072410C" w:rsidRDefault="002A523D" w:rsidP="002A523D">
      <w:pPr>
        <w:pStyle w:val="enumlev1"/>
        <w:rPr>
          <w:lang w:val="es-ES_tradnl"/>
        </w:rPr>
      </w:pPr>
      <w:r w:rsidRPr="0072410C">
        <w:rPr>
          <w:lang w:val="es-ES_tradnl"/>
        </w:rPr>
        <w:t>–</w:t>
      </w:r>
      <w:r w:rsidRPr="0072410C">
        <w:rPr>
          <w:lang w:val="es-ES_tradnl"/>
        </w:rPr>
        <w:tab/>
        <w:t>Equipo de usuario LTE a 2,3 GHz (</w:t>
      </w:r>
      <w:r w:rsidR="00E56D44">
        <w:rPr>
          <w:lang w:val="es-ES_tradnl"/>
        </w:rPr>
        <w:t xml:space="preserve">Fig. </w:t>
      </w:r>
      <w:r w:rsidRPr="0072410C">
        <w:rPr>
          <w:lang w:val="es-ES_tradnl"/>
        </w:rPr>
        <w:t>14)</w:t>
      </w:r>
    </w:p>
    <w:p w:rsidR="002A523D" w:rsidRPr="0072410C" w:rsidRDefault="002A523D" w:rsidP="002A523D">
      <w:pPr>
        <w:pStyle w:val="enumlev1"/>
        <w:rPr>
          <w:lang w:val="es-ES_tradnl"/>
        </w:rPr>
      </w:pPr>
      <w:r w:rsidRPr="0072410C">
        <w:rPr>
          <w:lang w:val="es-ES_tradnl"/>
        </w:rPr>
        <w:t>–</w:t>
      </w:r>
      <w:r w:rsidRPr="0072410C">
        <w:rPr>
          <w:lang w:val="es-ES_tradnl"/>
        </w:rPr>
        <w:tab/>
        <w:t>Estación de base GSM900 (</w:t>
      </w:r>
      <w:r w:rsidR="00E56D44">
        <w:rPr>
          <w:lang w:val="es-ES_tradnl"/>
        </w:rPr>
        <w:t xml:space="preserve">Fig. </w:t>
      </w:r>
      <w:r w:rsidRPr="0072410C">
        <w:rPr>
          <w:lang w:val="es-ES_tradnl"/>
        </w:rPr>
        <w:t>16)</w:t>
      </w:r>
    </w:p>
    <w:p w:rsidR="002A523D" w:rsidRPr="0072410C" w:rsidRDefault="002A523D" w:rsidP="002A523D">
      <w:pPr>
        <w:pStyle w:val="enumlev1"/>
        <w:rPr>
          <w:lang w:val="es-ES_tradnl"/>
        </w:rPr>
      </w:pPr>
      <w:r w:rsidRPr="0072410C">
        <w:rPr>
          <w:lang w:val="es-ES_tradnl"/>
        </w:rPr>
        <w:t>–</w:t>
      </w:r>
      <w:r w:rsidRPr="0072410C">
        <w:rPr>
          <w:lang w:val="es-ES_tradnl"/>
        </w:rPr>
        <w:tab/>
        <w:t>Estación de base UMTS (</w:t>
      </w:r>
      <w:r w:rsidR="00E56D44">
        <w:rPr>
          <w:lang w:val="es-ES_tradnl"/>
        </w:rPr>
        <w:t xml:space="preserve">Fig. </w:t>
      </w:r>
      <w:r w:rsidRPr="0072410C">
        <w:rPr>
          <w:lang w:val="es-ES_tradnl"/>
        </w:rPr>
        <w:t>20)</w:t>
      </w:r>
    </w:p>
    <w:p w:rsidR="002A523D" w:rsidRPr="0072410C" w:rsidRDefault="002A523D" w:rsidP="002A523D">
      <w:pPr>
        <w:pStyle w:val="enumlev1"/>
        <w:rPr>
          <w:lang w:val="es-ES_tradnl"/>
        </w:rPr>
      </w:pPr>
      <w:r w:rsidRPr="0072410C">
        <w:rPr>
          <w:lang w:val="es-ES_tradnl"/>
        </w:rPr>
        <w:t>–</w:t>
      </w:r>
      <w:r w:rsidRPr="0072410C">
        <w:rPr>
          <w:lang w:val="es-ES_tradnl"/>
        </w:rPr>
        <w:tab/>
        <w:t>RLAN (</w:t>
      </w:r>
      <w:r w:rsidR="00E56D44">
        <w:rPr>
          <w:lang w:val="es-ES_tradnl"/>
        </w:rPr>
        <w:t xml:space="preserve">Fig. </w:t>
      </w:r>
      <w:r w:rsidRPr="0072410C">
        <w:rPr>
          <w:lang w:val="es-ES_tradnl"/>
        </w:rPr>
        <w:t>22)</w:t>
      </w:r>
    </w:p>
    <w:p w:rsidR="002A523D" w:rsidRPr="0072410C" w:rsidRDefault="002A523D" w:rsidP="002A523D">
      <w:pPr>
        <w:pStyle w:val="enumlev1"/>
        <w:rPr>
          <w:lang w:val="es-ES_tradnl"/>
        </w:rPr>
      </w:pPr>
      <w:r w:rsidRPr="0072410C">
        <w:rPr>
          <w:lang w:val="es-ES_tradnl"/>
        </w:rPr>
        <w:t>–</w:t>
      </w:r>
      <w:r w:rsidRPr="0072410C">
        <w:rPr>
          <w:lang w:val="es-ES_tradnl"/>
        </w:rPr>
        <w:tab/>
        <w:t>Equipo de usuario WiMAX a 3,6 GHz (</w:t>
      </w:r>
      <w:r w:rsidR="00E56D44">
        <w:rPr>
          <w:lang w:val="es-ES_tradnl"/>
        </w:rPr>
        <w:t xml:space="preserve">Fig. </w:t>
      </w:r>
      <w:r w:rsidRPr="0072410C">
        <w:rPr>
          <w:lang w:val="es-ES_tradnl"/>
        </w:rPr>
        <w:t>23)</w:t>
      </w:r>
    </w:p>
    <w:p w:rsidR="002A523D" w:rsidRPr="0072410C" w:rsidRDefault="002A523D" w:rsidP="002A523D">
      <w:pPr>
        <w:pStyle w:val="enumlev1"/>
        <w:rPr>
          <w:lang w:val="es-ES_tradnl"/>
        </w:rPr>
      </w:pPr>
      <w:r w:rsidRPr="0072410C">
        <w:rPr>
          <w:lang w:val="es-ES_tradnl"/>
        </w:rPr>
        <w:t>–</w:t>
      </w:r>
      <w:r w:rsidRPr="0072410C">
        <w:rPr>
          <w:lang w:val="es-ES_tradnl"/>
        </w:rPr>
        <w:tab/>
        <w:t>Enlace punto a punto a 25 GHz (</w:t>
      </w:r>
      <w:r w:rsidR="00E56D44">
        <w:rPr>
          <w:lang w:val="es-ES_tradnl"/>
        </w:rPr>
        <w:t xml:space="preserve">Fig. </w:t>
      </w:r>
      <w:r w:rsidRPr="0072410C">
        <w:rPr>
          <w:lang w:val="es-ES_tradnl"/>
        </w:rPr>
        <w:t>25)</w:t>
      </w:r>
    </w:p>
    <w:p w:rsidR="002A523D" w:rsidRPr="0072410C" w:rsidRDefault="002A523D" w:rsidP="002A523D">
      <w:pPr>
        <w:rPr>
          <w:lang w:val="es-ES_tradnl"/>
        </w:rPr>
      </w:pPr>
      <w:r w:rsidRPr="0072410C">
        <w:rPr>
          <w:lang w:val="es-ES_tradnl"/>
        </w:rPr>
        <w:t>Las siguientes mediciones muestran que el nivel de emisiones no deseadas en el dominio no esencial no es constante a lo largo de la frecuencia, como se supone en la Recomendación UIT-R SM.329 y en las normas pertinentes del ETSI, en particular cuando se aplican filtros de salida:</w:t>
      </w:r>
    </w:p>
    <w:p w:rsidR="002A523D" w:rsidRPr="0072410C" w:rsidRDefault="002A523D" w:rsidP="002A523D">
      <w:pPr>
        <w:pStyle w:val="enumlev1"/>
        <w:rPr>
          <w:lang w:val="es-ES_tradnl"/>
        </w:rPr>
      </w:pPr>
      <w:r w:rsidRPr="0072410C">
        <w:rPr>
          <w:lang w:val="es-ES_tradnl"/>
        </w:rPr>
        <w:t>–</w:t>
      </w:r>
      <w:r w:rsidRPr="0072410C">
        <w:rPr>
          <w:lang w:val="es-ES_tradnl"/>
        </w:rPr>
        <w:tab/>
        <w:t>Transmisor DAB (</w:t>
      </w:r>
      <w:r w:rsidR="00E56D44">
        <w:rPr>
          <w:lang w:val="es-ES_tradnl"/>
        </w:rPr>
        <w:t xml:space="preserve">Fig. </w:t>
      </w:r>
      <w:r w:rsidRPr="0072410C">
        <w:rPr>
          <w:lang w:val="es-ES_tradnl"/>
        </w:rPr>
        <w:t>6)</w:t>
      </w:r>
    </w:p>
    <w:p w:rsidR="002A523D" w:rsidRPr="0072410C" w:rsidRDefault="002A523D" w:rsidP="002A523D">
      <w:pPr>
        <w:pStyle w:val="enumlev1"/>
        <w:rPr>
          <w:lang w:val="es-ES_tradnl"/>
        </w:rPr>
      </w:pPr>
      <w:r w:rsidRPr="0072410C">
        <w:rPr>
          <w:lang w:val="es-ES_tradnl"/>
        </w:rPr>
        <w:t>–</w:t>
      </w:r>
      <w:r w:rsidRPr="0072410C">
        <w:rPr>
          <w:lang w:val="es-ES_tradnl"/>
        </w:rPr>
        <w:tab/>
        <w:t>Estación de base LTE800 (</w:t>
      </w:r>
      <w:r w:rsidR="00E56D44">
        <w:rPr>
          <w:lang w:val="es-ES_tradnl"/>
        </w:rPr>
        <w:t xml:space="preserve">Fig. </w:t>
      </w:r>
      <w:r w:rsidRPr="0072410C">
        <w:rPr>
          <w:lang w:val="es-ES_tradnl"/>
        </w:rPr>
        <w:t>9)</w:t>
      </w:r>
    </w:p>
    <w:p w:rsidR="002A523D" w:rsidRPr="0072410C" w:rsidRDefault="002A523D" w:rsidP="002A523D">
      <w:pPr>
        <w:pStyle w:val="enumlev1"/>
        <w:rPr>
          <w:lang w:val="es-ES_tradnl"/>
        </w:rPr>
      </w:pPr>
      <w:r w:rsidRPr="0072410C">
        <w:rPr>
          <w:lang w:val="es-ES_tradnl"/>
        </w:rPr>
        <w:t>–</w:t>
      </w:r>
      <w:r w:rsidRPr="0072410C">
        <w:rPr>
          <w:lang w:val="es-ES_tradnl"/>
        </w:rPr>
        <w:tab/>
        <w:t>Equipo de usuario LTE800 (</w:t>
      </w:r>
      <w:r w:rsidR="00E56D44">
        <w:rPr>
          <w:lang w:val="es-ES_tradnl"/>
        </w:rPr>
        <w:t xml:space="preserve">Fig. </w:t>
      </w:r>
      <w:r w:rsidRPr="0072410C">
        <w:rPr>
          <w:lang w:val="es-ES_tradnl"/>
        </w:rPr>
        <w:t>11)</w:t>
      </w:r>
    </w:p>
    <w:p w:rsidR="002A523D" w:rsidRPr="0072410C" w:rsidRDefault="002A523D" w:rsidP="002A523D">
      <w:pPr>
        <w:pStyle w:val="enumlev1"/>
        <w:rPr>
          <w:lang w:val="es-ES_tradnl"/>
        </w:rPr>
      </w:pPr>
      <w:r w:rsidRPr="0072410C">
        <w:rPr>
          <w:lang w:val="es-ES_tradnl"/>
        </w:rPr>
        <w:t>–</w:t>
      </w:r>
      <w:r w:rsidRPr="0072410C">
        <w:rPr>
          <w:lang w:val="es-ES_tradnl"/>
        </w:rPr>
        <w:tab/>
        <w:t>Equipo de usuario LTE a 2,3 GHz (</w:t>
      </w:r>
      <w:r w:rsidR="00E56D44">
        <w:rPr>
          <w:lang w:val="es-ES_tradnl"/>
        </w:rPr>
        <w:t xml:space="preserve">Fig. </w:t>
      </w:r>
      <w:r w:rsidRPr="0072410C">
        <w:rPr>
          <w:lang w:val="es-ES_tradnl"/>
        </w:rPr>
        <w:t>14)</w:t>
      </w:r>
    </w:p>
    <w:p w:rsidR="002A523D" w:rsidRPr="0072410C" w:rsidRDefault="002A523D" w:rsidP="002A523D">
      <w:pPr>
        <w:pStyle w:val="enumlev1"/>
        <w:rPr>
          <w:lang w:val="es-ES_tradnl"/>
        </w:rPr>
      </w:pPr>
      <w:r w:rsidRPr="0072410C">
        <w:rPr>
          <w:lang w:val="es-ES_tradnl"/>
        </w:rPr>
        <w:t>–</w:t>
      </w:r>
      <w:r w:rsidRPr="0072410C">
        <w:rPr>
          <w:lang w:val="es-ES_tradnl"/>
        </w:rPr>
        <w:tab/>
        <w:t>Estación de base GSM900 (</w:t>
      </w:r>
      <w:r w:rsidR="00E56D44">
        <w:rPr>
          <w:lang w:val="es-ES_tradnl"/>
        </w:rPr>
        <w:t xml:space="preserve">Fig. </w:t>
      </w:r>
      <w:r w:rsidRPr="0072410C">
        <w:rPr>
          <w:lang w:val="es-ES_tradnl"/>
        </w:rPr>
        <w:t>16)</w:t>
      </w:r>
    </w:p>
    <w:p w:rsidR="002A523D" w:rsidRPr="0072410C" w:rsidRDefault="002A523D" w:rsidP="002A523D">
      <w:pPr>
        <w:pStyle w:val="enumlev1"/>
        <w:rPr>
          <w:lang w:val="es-ES_tradnl"/>
        </w:rPr>
      </w:pPr>
      <w:r w:rsidRPr="0072410C">
        <w:rPr>
          <w:lang w:val="es-ES_tradnl"/>
        </w:rPr>
        <w:t>–</w:t>
      </w:r>
      <w:r w:rsidRPr="0072410C">
        <w:rPr>
          <w:lang w:val="es-ES_tradnl"/>
        </w:rPr>
        <w:tab/>
        <w:t>Estación de base UMTS (</w:t>
      </w:r>
      <w:r w:rsidR="00E56D44">
        <w:rPr>
          <w:lang w:val="es-ES_tradnl"/>
        </w:rPr>
        <w:t xml:space="preserve">Fig. </w:t>
      </w:r>
      <w:r w:rsidRPr="0072410C">
        <w:rPr>
          <w:lang w:val="es-ES_tradnl"/>
        </w:rPr>
        <w:t>20)</w:t>
      </w:r>
    </w:p>
    <w:p w:rsidR="002A523D" w:rsidRPr="0072410C" w:rsidRDefault="002A523D" w:rsidP="002A523D">
      <w:pPr>
        <w:pStyle w:val="enumlev1"/>
        <w:rPr>
          <w:lang w:val="es-ES_tradnl"/>
        </w:rPr>
      </w:pPr>
      <w:r w:rsidRPr="0072410C">
        <w:rPr>
          <w:lang w:val="es-ES_tradnl"/>
        </w:rPr>
        <w:t>–</w:t>
      </w:r>
      <w:r w:rsidRPr="0072410C">
        <w:rPr>
          <w:lang w:val="es-ES_tradnl"/>
        </w:rPr>
        <w:tab/>
        <w:t>Enlace punto a punto a 25 GHz (</w:t>
      </w:r>
      <w:r w:rsidR="00E56D44">
        <w:rPr>
          <w:lang w:val="es-ES_tradnl"/>
        </w:rPr>
        <w:t xml:space="preserve">Fig. </w:t>
      </w:r>
      <w:r w:rsidRPr="0072410C">
        <w:rPr>
          <w:lang w:val="es-ES_tradnl"/>
        </w:rPr>
        <w:t>24)</w:t>
      </w:r>
    </w:p>
    <w:p w:rsidR="002A523D" w:rsidRPr="0072410C" w:rsidRDefault="002A523D" w:rsidP="002A523D">
      <w:pPr>
        <w:rPr>
          <w:lang w:val="es-ES_tradnl"/>
        </w:rPr>
      </w:pPr>
      <w:r w:rsidRPr="0072410C">
        <w:rPr>
          <w:lang w:val="es-ES_tradnl"/>
        </w:rPr>
        <w:t xml:space="preserve">Con un desplazamiento de frecuencia cada vez mayor, el nivel de las emisiones no esenciales disminuye continuamente. Los transmisores filtrados no suelen presentar emisiones no esenciales mensurables en los desplazamientos de más de cuatro veces la anchura de banda de la señal y, a veces, incluso en el límite del 250% (véase, por ejemplo, la </w:t>
      </w:r>
      <w:r w:rsidR="00E56D44">
        <w:rPr>
          <w:lang w:val="es-ES_tradnl"/>
        </w:rPr>
        <w:t xml:space="preserve">Fig. </w:t>
      </w:r>
      <w:r w:rsidRPr="0072410C">
        <w:rPr>
          <w:lang w:val="es-ES_tradnl"/>
        </w:rPr>
        <w:t>26). Sin embargo, generalmente se espera una respuesta parásita de la atenuación del filtro en las gamas de frecuencias cercanas a los armónicos de la frecuencia central.</w:t>
      </w:r>
    </w:p>
    <w:p w:rsidR="002A523D" w:rsidRPr="0072410C" w:rsidRDefault="002A523D" w:rsidP="002A523D">
      <w:pPr>
        <w:rPr>
          <w:lang w:val="es-ES_tradnl"/>
        </w:rPr>
      </w:pPr>
      <w:r w:rsidRPr="0072410C">
        <w:rPr>
          <w:lang w:val="es-ES_tradnl"/>
        </w:rPr>
        <w:t xml:space="preserve">Incluso los transmisores no filtrados muestran que las emisiones no esenciales dependen de la frecuencia. Una excepción puede ser una cresta en los armónicos; véase el equipo de usuario LTE800 en la </w:t>
      </w:r>
      <w:r w:rsidR="00E56D44">
        <w:rPr>
          <w:lang w:val="es-ES_tradnl"/>
        </w:rPr>
        <w:t xml:space="preserve">Fig. </w:t>
      </w:r>
      <w:r w:rsidRPr="0072410C">
        <w:rPr>
          <w:lang w:val="es-ES_tradnl"/>
        </w:rPr>
        <w:t>13, donde se muestra un ejemplo de emisiones no deseadas del equipo medido en la frecuencia del segundo armónico, pero incluso en ese caso la cresta está 1,5 dB por debajo del límite de la norma ERC/REC 74-01.</w:t>
      </w:r>
    </w:p>
    <w:p w:rsidR="002A523D" w:rsidRPr="0072410C" w:rsidRDefault="002A523D" w:rsidP="002A523D">
      <w:pPr>
        <w:tabs>
          <w:tab w:val="clear" w:pos="794"/>
          <w:tab w:val="clear" w:pos="1191"/>
          <w:tab w:val="clear" w:pos="1588"/>
          <w:tab w:val="clear" w:pos="1985"/>
          <w:tab w:val="left" w:pos="1134"/>
          <w:tab w:val="left" w:pos="1871"/>
          <w:tab w:val="left" w:pos="2268"/>
        </w:tabs>
        <w:jc w:val="left"/>
        <w:rPr>
          <w:szCs w:val="24"/>
          <w:lang w:val="es-ES_tradnl"/>
        </w:rPr>
      </w:pPr>
    </w:p>
    <w:p w:rsidR="002A523D" w:rsidRPr="0072410C" w:rsidRDefault="002A523D" w:rsidP="002A523D">
      <w:pPr>
        <w:tabs>
          <w:tab w:val="clear" w:pos="794"/>
          <w:tab w:val="clear" w:pos="1191"/>
          <w:tab w:val="clear" w:pos="1588"/>
          <w:tab w:val="clear" w:pos="1985"/>
          <w:tab w:val="left" w:pos="1134"/>
          <w:tab w:val="left" w:pos="1871"/>
          <w:tab w:val="left" w:pos="2268"/>
        </w:tabs>
        <w:jc w:val="left"/>
        <w:rPr>
          <w:lang w:val="es-ES_tradnl"/>
        </w:rPr>
        <w:sectPr w:rsidR="002A523D" w:rsidRPr="0072410C" w:rsidSect="0060391F">
          <w:headerReference w:type="even" r:id="rId23"/>
          <w:headerReference w:type="default" r:id="rId24"/>
          <w:footerReference w:type="default" r:id="rId25"/>
          <w:pgSz w:w="11907" w:h="16834"/>
          <w:pgMar w:top="1418" w:right="1134" w:bottom="1134" w:left="1134" w:header="720" w:footer="720" w:gutter="0"/>
          <w:paperSrc w:first="15" w:other="15"/>
          <w:cols w:space="720"/>
          <w:docGrid w:linePitch="326"/>
        </w:sectPr>
      </w:pPr>
    </w:p>
    <w:p w:rsidR="002A523D" w:rsidRPr="0072410C" w:rsidRDefault="002A523D" w:rsidP="002A523D">
      <w:pPr>
        <w:pStyle w:val="TableNo"/>
        <w:rPr>
          <w:lang w:val="es-ES_tradnl"/>
        </w:rPr>
      </w:pPr>
      <w:bookmarkStart w:id="15" w:name="_Ref475526726"/>
      <w:bookmarkStart w:id="16" w:name="_Ref475526714"/>
      <w:r w:rsidRPr="0072410C">
        <w:rPr>
          <w:lang w:val="es-ES_tradnl"/>
        </w:rPr>
        <w:lastRenderedPageBreak/>
        <w:t>CUADRO 2</w:t>
      </w:r>
      <w:bookmarkEnd w:id="15"/>
    </w:p>
    <w:bookmarkEnd w:id="16"/>
    <w:p w:rsidR="002A523D" w:rsidRPr="0072410C" w:rsidRDefault="002A523D" w:rsidP="002A523D">
      <w:pPr>
        <w:pStyle w:val="Tabletitle"/>
        <w:rPr>
          <w:lang w:val="es-ES_tradnl"/>
        </w:rPr>
      </w:pPr>
      <w:r w:rsidRPr="0072410C">
        <w:rPr>
          <w:lang w:val="es-ES_tradnl"/>
        </w:rPr>
        <w:t>Comparación de los resultados de las mediciones de varios sistemas digitales</w:t>
      </w:r>
      <w:r w:rsidRPr="0072410C">
        <w:rPr>
          <w:lang w:val="es-ES_tradnl"/>
        </w:rPr>
        <w:br/>
        <w:t>con límites relativos a las emisiones no deseadas en el dominio no esencial</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2"/>
        <w:gridCol w:w="2095"/>
        <w:gridCol w:w="3647"/>
        <w:gridCol w:w="3119"/>
        <w:gridCol w:w="3276"/>
      </w:tblGrid>
      <w:tr w:rsidR="002A523D" w:rsidRPr="0072410C" w:rsidTr="0060391F">
        <w:trPr>
          <w:tblHeader/>
          <w:jc w:val="center"/>
        </w:trPr>
        <w:tc>
          <w:tcPr>
            <w:tcW w:w="2322" w:type="dxa"/>
            <w:vMerge w:val="restart"/>
            <w:vAlign w:val="center"/>
          </w:tcPr>
          <w:p w:rsidR="002A523D" w:rsidRPr="0072410C" w:rsidRDefault="002A523D" w:rsidP="0060391F">
            <w:pPr>
              <w:pStyle w:val="Tablehead"/>
              <w:rPr>
                <w:szCs w:val="22"/>
                <w:lang w:val="es-ES_tradnl"/>
              </w:rPr>
            </w:pPr>
            <w:r w:rsidRPr="0072410C">
              <w:rPr>
                <w:szCs w:val="22"/>
                <w:lang w:val="es-ES_tradnl"/>
              </w:rPr>
              <w:t>Sistema</w:t>
            </w:r>
          </w:p>
        </w:tc>
        <w:tc>
          <w:tcPr>
            <w:tcW w:w="2095" w:type="dxa"/>
            <w:vMerge w:val="restart"/>
            <w:vAlign w:val="center"/>
          </w:tcPr>
          <w:p w:rsidR="002A523D" w:rsidRPr="0072410C" w:rsidRDefault="002A523D" w:rsidP="0060391F">
            <w:pPr>
              <w:pStyle w:val="Tablehead"/>
              <w:rPr>
                <w:szCs w:val="22"/>
                <w:lang w:val="es-ES_tradnl"/>
              </w:rPr>
            </w:pPr>
            <w:r w:rsidRPr="0072410C">
              <w:rPr>
                <w:szCs w:val="22"/>
                <w:lang w:val="es-ES_tradnl"/>
              </w:rPr>
              <w:t>Figura</w:t>
            </w:r>
          </w:p>
        </w:tc>
        <w:tc>
          <w:tcPr>
            <w:tcW w:w="10042" w:type="dxa"/>
            <w:gridSpan w:val="3"/>
          </w:tcPr>
          <w:p w:rsidR="002A523D" w:rsidRPr="0072410C" w:rsidRDefault="002A523D" w:rsidP="0060391F">
            <w:pPr>
              <w:pStyle w:val="Tablehead"/>
              <w:rPr>
                <w:szCs w:val="22"/>
                <w:lang w:val="es-ES_tradnl"/>
              </w:rPr>
            </w:pPr>
            <w:r w:rsidRPr="0072410C">
              <w:rPr>
                <w:szCs w:val="22"/>
                <w:lang w:val="es-ES_tradnl"/>
              </w:rPr>
              <w:t>Comparación con:</w:t>
            </w:r>
          </w:p>
        </w:tc>
      </w:tr>
      <w:tr w:rsidR="002A523D" w:rsidRPr="0072410C" w:rsidTr="0060391F">
        <w:trPr>
          <w:tblHeader/>
          <w:jc w:val="center"/>
        </w:trPr>
        <w:tc>
          <w:tcPr>
            <w:tcW w:w="2322" w:type="dxa"/>
            <w:vMerge/>
            <w:vAlign w:val="center"/>
          </w:tcPr>
          <w:p w:rsidR="002A523D" w:rsidRPr="0072410C" w:rsidRDefault="002A523D" w:rsidP="0060391F">
            <w:pPr>
              <w:pStyle w:val="Tablehead"/>
              <w:rPr>
                <w:szCs w:val="22"/>
                <w:lang w:val="es-ES_tradnl"/>
              </w:rPr>
            </w:pPr>
          </w:p>
        </w:tc>
        <w:tc>
          <w:tcPr>
            <w:tcW w:w="2095" w:type="dxa"/>
            <w:vMerge/>
            <w:vAlign w:val="center"/>
          </w:tcPr>
          <w:p w:rsidR="002A523D" w:rsidRPr="0072410C" w:rsidRDefault="002A523D" w:rsidP="0060391F">
            <w:pPr>
              <w:pStyle w:val="Tablehead"/>
              <w:rPr>
                <w:szCs w:val="22"/>
                <w:lang w:val="es-ES_tradnl"/>
              </w:rPr>
            </w:pPr>
          </w:p>
        </w:tc>
        <w:tc>
          <w:tcPr>
            <w:tcW w:w="3647" w:type="dxa"/>
          </w:tcPr>
          <w:p w:rsidR="002A523D" w:rsidRPr="0072410C" w:rsidRDefault="002A523D" w:rsidP="0060391F">
            <w:pPr>
              <w:pStyle w:val="Tablehead"/>
              <w:rPr>
                <w:szCs w:val="22"/>
                <w:lang w:val="es-ES_tradnl"/>
              </w:rPr>
            </w:pPr>
            <w:r w:rsidRPr="0072410C">
              <w:rPr>
                <w:szCs w:val="22"/>
                <w:lang w:val="es-ES_tradnl"/>
              </w:rPr>
              <w:t>Rec. UIT-R SM.329</w:t>
            </w:r>
          </w:p>
        </w:tc>
        <w:tc>
          <w:tcPr>
            <w:tcW w:w="3119" w:type="dxa"/>
          </w:tcPr>
          <w:p w:rsidR="002A523D" w:rsidRPr="0072410C" w:rsidRDefault="002A523D" w:rsidP="0060391F">
            <w:pPr>
              <w:pStyle w:val="Tablehead"/>
              <w:rPr>
                <w:szCs w:val="22"/>
                <w:lang w:val="es-ES_tradnl"/>
              </w:rPr>
            </w:pPr>
            <w:r w:rsidRPr="0072410C">
              <w:rPr>
                <w:szCs w:val="22"/>
                <w:lang w:val="es-ES_tradnl"/>
              </w:rPr>
              <w:t>ERC/REC 74-01</w:t>
            </w:r>
          </w:p>
        </w:tc>
        <w:tc>
          <w:tcPr>
            <w:tcW w:w="3276" w:type="dxa"/>
          </w:tcPr>
          <w:p w:rsidR="002A523D" w:rsidRPr="0072410C" w:rsidRDefault="002A523D" w:rsidP="0060391F">
            <w:pPr>
              <w:pStyle w:val="Tablehead"/>
              <w:rPr>
                <w:szCs w:val="22"/>
                <w:lang w:val="es-ES_tradnl"/>
              </w:rPr>
            </w:pPr>
            <w:r w:rsidRPr="0072410C">
              <w:rPr>
                <w:szCs w:val="22"/>
                <w:lang w:val="es-ES_tradnl"/>
              </w:rPr>
              <w:t>Norma pertinente del ETSI</w:t>
            </w:r>
          </w:p>
        </w:tc>
      </w:tr>
      <w:tr w:rsidR="002A523D" w:rsidRPr="0072410C" w:rsidTr="0060391F">
        <w:trPr>
          <w:jc w:val="center"/>
        </w:trPr>
        <w:tc>
          <w:tcPr>
            <w:tcW w:w="2322" w:type="dxa"/>
          </w:tcPr>
          <w:p w:rsidR="002A523D" w:rsidRPr="0072410C" w:rsidRDefault="002A523D" w:rsidP="00E56D44">
            <w:pPr>
              <w:pStyle w:val="Tabletext"/>
              <w:jc w:val="left"/>
              <w:rPr>
                <w:lang w:val="es-ES_tradnl"/>
              </w:rPr>
            </w:pPr>
            <w:r w:rsidRPr="0072410C">
              <w:rPr>
                <w:lang w:val="es-ES_tradnl"/>
              </w:rPr>
              <w:t>Transmisores DAB/DAB+</w:t>
            </w:r>
          </w:p>
        </w:tc>
        <w:tc>
          <w:tcPr>
            <w:tcW w:w="2095" w:type="dxa"/>
          </w:tcPr>
          <w:p w:rsidR="002A523D" w:rsidRPr="0072410C" w:rsidRDefault="002A523D" w:rsidP="00E56D44">
            <w:pPr>
              <w:pStyle w:val="Tabletext"/>
              <w:jc w:val="left"/>
              <w:rPr>
                <w:lang w:val="es-ES_tradnl"/>
              </w:rPr>
            </w:pPr>
            <w:r w:rsidRPr="0072410C">
              <w:rPr>
                <w:rFonts w:eastAsia="Calibri"/>
                <w:lang w:val="es-ES_tradnl"/>
              </w:rPr>
              <w:t>Figura 5</w:t>
            </w:r>
            <w:r w:rsidRPr="0072410C">
              <w:rPr>
                <w:rFonts w:eastAsia="Calibri"/>
                <w:szCs w:val="24"/>
                <w:lang w:val="es-ES_tradnl"/>
              </w:rPr>
              <w:t xml:space="preserve"> (transmisor DAB+) y </w:t>
            </w:r>
            <w:r w:rsidR="00E56D44">
              <w:rPr>
                <w:rFonts w:eastAsia="Calibri"/>
                <w:szCs w:val="24"/>
                <w:lang w:val="es-ES_tradnl"/>
              </w:rPr>
              <w:t>F</w:t>
            </w:r>
            <w:r w:rsidRPr="0072410C">
              <w:rPr>
                <w:lang w:val="es-ES_tradnl"/>
              </w:rPr>
              <w:t>igura 6</w:t>
            </w:r>
            <w:r w:rsidRPr="0072410C">
              <w:rPr>
                <w:rFonts w:eastAsia="Calibri"/>
                <w:szCs w:val="24"/>
                <w:lang w:val="es-ES_tradnl"/>
              </w:rPr>
              <w:t xml:space="preserve"> (transmisor DAB)</w:t>
            </w:r>
          </w:p>
        </w:tc>
        <w:tc>
          <w:tcPr>
            <w:tcW w:w="3647" w:type="dxa"/>
          </w:tcPr>
          <w:p w:rsidR="002A523D" w:rsidRPr="0072410C" w:rsidRDefault="002A523D" w:rsidP="00E56D44">
            <w:pPr>
              <w:pStyle w:val="Tabletext"/>
              <w:jc w:val="left"/>
              <w:rPr>
                <w:b/>
                <w:lang w:val="es-ES_tradnl"/>
              </w:rPr>
            </w:pPr>
            <w:r w:rsidRPr="0072410C">
              <w:rPr>
                <w:lang w:val="es-ES_tradnl"/>
              </w:rPr>
              <w:t>Los transmisores DAB superan la categoría A (todos los servicios excepto los indicados a continuación) (figura 6).</w:t>
            </w:r>
          </w:p>
        </w:tc>
        <w:tc>
          <w:tcPr>
            <w:tcW w:w="3119" w:type="dxa"/>
          </w:tcPr>
          <w:p w:rsidR="002A523D" w:rsidRPr="0072410C" w:rsidRDefault="002A523D" w:rsidP="00E56D44">
            <w:pPr>
              <w:pStyle w:val="Tabletext"/>
              <w:jc w:val="left"/>
              <w:rPr>
                <w:b/>
                <w:lang w:val="es-ES_tradnl"/>
              </w:rPr>
            </w:pPr>
            <w:r w:rsidRPr="0072410C">
              <w:rPr>
                <w:lang w:val="es-ES_tradnl"/>
              </w:rPr>
              <w:t>Las emisiones no esenciales de los transmisores DAB/DAB+ filtrados con desplazamientos desde la frecuencia central por encima de unos 10 MHz y las emisiones armónicas están por debajo de la sensibilidad de medición y más de 57 dB por debajo de los límites de la norma ERC/REC 74-01.</w:t>
            </w:r>
          </w:p>
        </w:tc>
        <w:tc>
          <w:tcPr>
            <w:tcW w:w="3276" w:type="dxa"/>
          </w:tcPr>
          <w:p w:rsidR="002A523D" w:rsidRPr="0072410C" w:rsidRDefault="002A523D" w:rsidP="0060391F">
            <w:pPr>
              <w:pStyle w:val="Tabletext"/>
              <w:rPr>
                <w:b/>
                <w:lang w:val="es-ES_tradnl"/>
              </w:rPr>
            </w:pPr>
            <w:r w:rsidRPr="0072410C">
              <w:rPr>
                <w:b/>
                <w:lang w:val="es-ES_tradnl"/>
              </w:rPr>
              <w:t>-</w:t>
            </w:r>
          </w:p>
        </w:tc>
      </w:tr>
      <w:tr w:rsidR="002A523D" w:rsidRPr="00EF7B19" w:rsidTr="0060391F">
        <w:trPr>
          <w:jc w:val="center"/>
        </w:trPr>
        <w:tc>
          <w:tcPr>
            <w:tcW w:w="2322" w:type="dxa"/>
          </w:tcPr>
          <w:p w:rsidR="002A523D" w:rsidRPr="0072410C" w:rsidRDefault="002A523D" w:rsidP="00E56D44">
            <w:pPr>
              <w:pStyle w:val="Tabletext"/>
              <w:jc w:val="left"/>
              <w:rPr>
                <w:lang w:val="es-ES_tradnl"/>
              </w:rPr>
            </w:pPr>
            <w:r w:rsidRPr="0072410C">
              <w:rPr>
                <w:lang w:val="es-ES_tradnl"/>
              </w:rPr>
              <w:t>Transmisores DVB-T</w:t>
            </w:r>
          </w:p>
        </w:tc>
        <w:tc>
          <w:tcPr>
            <w:tcW w:w="2095" w:type="dxa"/>
          </w:tcPr>
          <w:p w:rsidR="002A523D" w:rsidRPr="0072410C" w:rsidRDefault="002A523D" w:rsidP="00E56D44">
            <w:pPr>
              <w:pStyle w:val="Tabletext"/>
              <w:jc w:val="left"/>
              <w:rPr>
                <w:rFonts w:eastAsia="Calibri"/>
                <w:szCs w:val="24"/>
                <w:lang w:val="es-ES_tradnl"/>
              </w:rPr>
            </w:pPr>
            <w:r w:rsidRPr="0072410C">
              <w:rPr>
                <w:lang w:val="es-ES_tradnl"/>
              </w:rPr>
              <w:t>Figura 7</w:t>
            </w:r>
          </w:p>
        </w:tc>
        <w:tc>
          <w:tcPr>
            <w:tcW w:w="3647" w:type="dxa"/>
          </w:tcPr>
          <w:p w:rsidR="002A523D" w:rsidRPr="0072410C" w:rsidRDefault="002A523D" w:rsidP="00E56D44">
            <w:pPr>
              <w:pStyle w:val="Tabletext"/>
              <w:jc w:val="left"/>
              <w:rPr>
                <w:lang w:val="es-ES_tradnl"/>
              </w:rPr>
            </w:pPr>
          </w:p>
        </w:tc>
        <w:tc>
          <w:tcPr>
            <w:tcW w:w="3119" w:type="dxa"/>
          </w:tcPr>
          <w:p w:rsidR="002A523D" w:rsidRPr="0072410C" w:rsidRDefault="002A523D" w:rsidP="00E56D44">
            <w:pPr>
              <w:pStyle w:val="Tabletext"/>
              <w:jc w:val="left"/>
              <w:rPr>
                <w:lang w:val="es-ES_tradnl"/>
              </w:rPr>
            </w:pPr>
            <w:r w:rsidRPr="0072410C">
              <w:rPr>
                <w:lang w:val="es-ES_tradnl"/>
              </w:rPr>
              <w:t>Debido al filtrado requerido, el nivel de las emisiones no deseadas incluso al principio del dominio no esencial (desplazamiento de 20 MHz) está por debajo de la sensibilidad de medición y al menos 30 dB por debajo del límite establecido en el cuadro 4.1 de la ERC/REC 74</w:t>
            </w:r>
            <w:r w:rsidRPr="0072410C">
              <w:rPr>
                <w:lang w:val="es-ES_tradnl"/>
              </w:rPr>
              <w:noBreakHyphen/>
              <w:t>01.</w:t>
            </w:r>
          </w:p>
        </w:tc>
        <w:tc>
          <w:tcPr>
            <w:tcW w:w="3276" w:type="dxa"/>
          </w:tcPr>
          <w:p w:rsidR="002A523D" w:rsidRPr="0072410C" w:rsidRDefault="002A523D" w:rsidP="0060391F">
            <w:pPr>
              <w:pStyle w:val="Tabletext"/>
              <w:rPr>
                <w:b/>
                <w:lang w:val="es-ES_tradnl"/>
              </w:rPr>
            </w:pPr>
          </w:p>
        </w:tc>
      </w:tr>
      <w:tr w:rsidR="002A523D" w:rsidRPr="00EF7B19" w:rsidTr="0060391F">
        <w:trPr>
          <w:jc w:val="center"/>
        </w:trPr>
        <w:tc>
          <w:tcPr>
            <w:tcW w:w="2322" w:type="dxa"/>
          </w:tcPr>
          <w:p w:rsidR="002A523D" w:rsidRPr="0072410C" w:rsidRDefault="002A523D" w:rsidP="00E56D44">
            <w:pPr>
              <w:pStyle w:val="Tabletext"/>
              <w:jc w:val="left"/>
              <w:rPr>
                <w:lang w:val="es-ES_tradnl"/>
              </w:rPr>
            </w:pPr>
            <w:r w:rsidRPr="0072410C">
              <w:rPr>
                <w:lang w:val="es-ES_tradnl"/>
              </w:rPr>
              <w:t>Estación de base LTE800</w:t>
            </w:r>
          </w:p>
        </w:tc>
        <w:tc>
          <w:tcPr>
            <w:tcW w:w="2095" w:type="dxa"/>
          </w:tcPr>
          <w:p w:rsidR="002A523D" w:rsidRPr="0072410C" w:rsidRDefault="002A523D" w:rsidP="00E56D44">
            <w:pPr>
              <w:pStyle w:val="Tabletext"/>
              <w:jc w:val="left"/>
              <w:rPr>
                <w:lang w:val="es-ES_tradnl"/>
              </w:rPr>
            </w:pPr>
            <w:r w:rsidRPr="0072410C">
              <w:rPr>
                <w:lang w:val="es-ES_tradnl"/>
              </w:rPr>
              <w:t>Figura 9</w:t>
            </w:r>
          </w:p>
        </w:tc>
        <w:tc>
          <w:tcPr>
            <w:tcW w:w="10042" w:type="dxa"/>
            <w:gridSpan w:val="3"/>
          </w:tcPr>
          <w:p w:rsidR="002A523D" w:rsidRPr="0072410C" w:rsidRDefault="002A523D" w:rsidP="00E56D44">
            <w:pPr>
              <w:pStyle w:val="Tabletext"/>
              <w:jc w:val="left"/>
              <w:rPr>
                <w:b/>
                <w:lang w:val="es-ES_tradnl"/>
              </w:rPr>
            </w:pPr>
            <w:r w:rsidRPr="0072410C">
              <w:rPr>
                <w:lang w:val="es-ES_tradnl"/>
              </w:rPr>
              <w:t>Los niveles de las emisiones no esenciales están al menos 40 dB por debajo de los límites de la categoría B correspondientes al servicio móvil terrestre de la Recomendación UIT-R SM.329, del cuadro 2.1 de la norma ERC/REC 74-01 y de la norma EN 301 908-14 del ETSI, debido a los filtros de salida aplicados.</w:t>
            </w:r>
          </w:p>
        </w:tc>
      </w:tr>
      <w:tr w:rsidR="002A523D" w:rsidRPr="00EF7B19" w:rsidTr="0060391F">
        <w:trPr>
          <w:jc w:val="center"/>
        </w:trPr>
        <w:tc>
          <w:tcPr>
            <w:tcW w:w="2322" w:type="dxa"/>
          </w:tcPr>
          <w:p w:rsidR="002A523D" w:rsidRPr="0072410C" w:rsidRDefault="002A523D" w:rsidP="00E56D44">
            <w:pPr>
              <w:pStyle w:val="Tabletext"/>
              <w:jc w:val="left"/>
              <w:rPr>
                <w:lang w:val="es-ES_tradnl"/>
              </w:rPr>
            </w:pPr>
            <w:r w:rsidRPr="0072410C">
              <w:rPr>
                <w:lang w:val="es-ES_tradnl"/>
              </w:rPr>
              <w:t>Equipos de usuario LTE800</w:t>
            </w:r>
          </w:p>
        </w:tc>
        <w:tc>
          <w:tcPr>
            <w:tcW w:w="2095" w:type="dxa"/>
          </w:tcPr>
          <w:p w:rsidR="002A523D" w:rsidRPr="0072410C" w:rsidRDefault="002A523D" w:rsidP="00E56D44">
            <w:pPr>
              <w:pStyle w:val="Tabletext"/>
              <w:jc w:val="left"/>
              <w:rPr>
                <w:lang w:val="es-ES_tradnl"/>
              </w:rPr>
            </w:pPr>
            <w:r w:rsidRPr="0072410C">
              <w:rPr>
                <w:lang w:val="es-ES_tradnl"/>
              </w:rPr>
              <w:t>Figura 11</w:t>
            </w:r>
          </w:p>
        </w:tc>
        <w:tc>
          <w:tcPr>
            <w:tcW w:w="10042" w:type="dxa"/>
            <w:gridSpan w:val="3"/>
          </w:tcPr>
          <w:p w:rsidR="002A523D" w:rsidRPr="0072410C" w:rsidRDefault="002A523D" w:rsidP="00345CCD">
            <w:pPr>
              <w:pStyle w:val="Tabletext"/>
              <w:jc w:val="left"/>
              <w:rPr>
                <w:b/>
                <w:lang w:val="es-ES_tradnl"/>
              </w:rPr>
            </w:pPr>
            <w:r w:rsidRPr="0072410C">
              <w:rPr>
                <w:szCs w:val="24"/>
                <w:lang w:val="es-ES_tradnl"/>
              </w:rPr>
              <w:t>Ambos equipos de usuario mejoran los límites de la Recomendación UIT-R SM.329 (categoría B, servicio móvil terrestre), del cuadro 2.1 de la ERC/REC 74-01 y de la norma EN 301 908-13 del ETSI (</w:t>
            </w:r>
            <w:r w:rsidR="00345CCD">
              <w:rPr>
                <w:szCs w:val="24"/>
                <w:lang w:val="es-ES_tradnl"/>
              </w:rPr>
              <w:t>Cuadro </w:t>
            </w:r>
            <w:r w:rsidRPr="0072410C">
              <w:rPr>
                <w:szCs w:val="24"/>
                <w:lang w:val="es-ES_tradnl"/>
              </w:rPr>
              <w:t>4.2.4.1.2-2) en al menos 20 dB en esta configuración. Las emisiones no esenciales reales son inferiores a las indicadas debido a la limitación en la sensibilidad de medición disponible.</w:t>
            </w:r>
          </w:p>
        </w:tc>
      </w:tr>
    </w:tbl>
    <w:p w:rsidR="002A523D" w:rsidRPr="0072410C" w:rsidRDefault="002A523D" w:rsidP="002A523D">
      <w:pPr>
        <w:pStyle w:val="TableNo"/>
        <w:rPr>
          <w:lang w:val="es-ES_tradnl"/>
        </w:rPr>
      </w:pPr>
      <w:r w:rsidRPr="0072410C">
        <w:rPr>
          <w:lang w:val="es-ES_tradnl"/>
        </w:rPr>
        <w:lastRenderedPageBreak/>
        <w:t>CUADRO 2 (</w:t>
      </w:r>
      <w:r w:rsidRPr="0072410C">
        <w:rPr>
          <w:i/>
          <w:iCs/>
          <w:lang w:val="es-ES_tradnl"/>
        </w:rPr>
        <w:t>fin</w:t>
      </w:r>
      <w:r w:rsidRPr="0072410C">
        <w:rPr>
          <w:lang w:val="es-ES_tradnl"/>
        </w:rP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2"/>
        <w:gridCol w:w="2095"/>
        <w:gridCol w:w="3647"/>
        <w:gridCol w:w="3119"/>
        <w:gridCol w:w="3276"/>
      </w:tblGrid>
      <w:tr w:rsidR="002A523D" w:rsidRPr="0072410C" w:rsidTr="0060391F">
        <w:trPr>
          <w:tblHeader/>
          <w:jc w:val="center"/>
        </w:trPr>
        <w:tc>
          <w:tcPr>
            <w:tcW w:w="2322" w:type="dxa"/>
            <w:vMerge w:val="restart"/>
            <w:vAlign w:val="center"/>
          </w:tcPr>
          <w:p w:rsidR="002A523D" w:rsidRPr="0072410C" w:rsidRDefault="002A523D" w:rsidP="0060391F">
            <w:pPr>
              <w:pStyle w:val="Tablehead"/>
              <w:rPr>
                <w:szCs w:val="22"/>
                <w:lang w:val="es-ES_tradnl"/>
              </w:rPr>
            </w:pPr>
            <w:r w:rsidRPr="0072410C">
              <w:rPr>
                <w:szCs w:val="22"/>
                <w:lang w:val="es-ES_tradnl"/>
              </w:rPr>
              <w:t>Sistema</w:t>
            </w:r>
          </w:p>
        </w:tc>
        <w:tc>
          <w:tcPr>
            <w:tcW w:w="2095" w:type="dxa"/>
            <w:vMerge w:val="restart"/>
            <w:vAlign w:val="center"/>
          </w:tcPr>
          <w:p w:rsidR="002A523D" w:rsidRPr="0072410C" w:rsidRDefault="002A523D" w:rsidP="0060391F">
            <w:pPr>
              <w:pStyle w:val="Tablehead"/>
              <w:rPr>
                <w:szCs w:val="22"/>
                <w:lang w:val="es-ES_tradnl"/>
              </w:rPr>
            </w:pPr>
            <w:r w:rsidRPr="0072410C">
              <w:rPr>
                <w:szCs w:val="22"/>
                <w:lang w:val="es-ES_tradnl"/>
              </w:rPr>
              <w:t>Figura</w:t>
            </w:r>
          </w:p>
        </w:tc>
        <w:tc>
          <w:tcPr>
            <w:tcW w:w="10042" w:type="dxa"/>
            <w:gridSpan w:val="3"/>
          </w:tcPr>
          <w:p w:rsidR="002A523D" w:rsidRPr="0072410C" w:rsidRDefault="002A523D" w:rsidP="0060391F">
            <w:pPr>
              <w:pStyle w:val="Tablehead"/>
              <w:rPr>
                <w:szCs w:val="22"/>
                <w:lang w:val="es-ES_tradnl"/>
              </w:rPr>
            </w:pPr>
            <w:r w:rsidRPr="0072410C">
              <w:rPr>
                <w:szCs w:val="22"/>
                <w:lang w:val="es-ES_tradnl"/>
              </w:rPr>
              <w:t>Comparación con:</w:t>
            </w:r>
          </w:p>
        </w:tc>
      </w:tr>
      <w:tr w:rsidR="002A523D" w:rsidRPr="0072410C" w:rsidTr="0060391F">
        <w:trPr>
          <w:tblHeader/>
          <w:jc w:val="center"/>
        </w:trPr>
        <w:tc>
          <w:tcPr>
            <w:tcW w:w="2322" w:type="dxa"/>
            <w:vMerge/>
            <w:vAlign w:val="center"/>
          </w:tcPr>
          <w:p w:rsidR="002A523D" w:rsidRPr="0072410C" w:rsidRDefault="002A523D" w:rsidP="0060391F">
            <w:pPr>
              <w:pStyle w:val="Tablehead"/>
              <w:rPr>
                <w:lang w:val="es-ES_tradnl"/>
              </w:rPr>
            </w:pPr>
          </w:p>
        </w:tc>
        <w:tc>
          <w:tcPr>
            <w:tcW w:w="2095" w:type="dxa"/>
            <w:vMerge/>
            <w:vAlign w:val="center"/>
          </w:tcPr>
          <w:p w:rsidR="002A523D" w:rsidRPr="0072410C" w:rsidRDefault="002A523D" w:rsidP="0060391F">
            <w:pPr>
              <w:pStyle w:val="Tablehead"/>
              <w:rPr>
                <w:lang w:val="es-ES_tradnl"/>
              </w:rPr>
            </w:pPr>
          </w:p>
        </w:tc>
        <w:tc>
          <w:tcPr>
            <w:tcW w:w="3647" w:type="dxa"/>
          </w:tcPr>
          <w:p w:rsidR="002A523D" w:rsidRPr="0072410C" w:rsidRDefault="002A523D" w:rsidP="0060391F">
            <w:pPr>
              <w:pStyle w:val="Tablehead"/>
              <w:rPr>
                <w:lang w:val="es-ES_tradnl"/>
              </w:rPr>
            </w:pPr>
            <w:r w:rsidRPr="0072410C">
              <w:rPr>
                <w:szCs w:val="22"/>
                <w:lang w:val="es-ES_tradnl"/>
              </w:rPr>
              <w:t>Rec. UIT-R SM.329</w:t>
            </w:r>
          </w:p>
        </w:tc>
        <w:tc>
          <w:tcPr>
            <w:tcW w:w="3119" w:type="dxa"/>
          </w:tcPr>
          <w:p w:rsidR="002A523D" w:rsidRPr="0072410C" w:rsidRDefault="002A523D" w:rsidP="0060391F">
            <w:pPr>
              <w:pStyle w:val="Tablehead"/>
              <w:rPr>
                <w:lang w:val="es-ES_tradnl"/>
              </w:rPr>
            </w:pPr>
            <w:r w:rsidRPr="0072410C">
              <w:rPr>
                <w:szCs w:val="22"/>
                <w:lang w:val="es-ES_tradnl"/>
              </w:rPr>
              <w:t>ERC/REC 74-01</w:t>
            </w:r>
          </w:p>
        </w:tc>
        <w:tc>
          <w:tcPr>
            <w:tcW w:w="3276" w:type="dxa"/>
          </w:tcPr>
          <w:p w:rsidR="002A523D" w:rsidRPr="0072410C" w:rsidRDefault="002A523D" w:rsidP="0060391F">
            <w:pPr>
              <w:pStyle w:val="Tablehead"/>
              <w:rPr>
                <w:lang w:val="es-ES_tradnl"/>
              </w:rPr>
            </w:pPr>
            <w:r w:rsidRPr="0072410C">
              <w:rPr>
                <w:szCs w:val="22"/>
                <w:lang w:val="es-ES_tradnl"/>
              </w:rPr>
              <w:t>Norma pertinente del ETSI</w:t>
            </w:r>
          </w:p>
        </w:tc>
      </w:tr>
      <w:tr w:rsidR="002A523D" w:rsidRPr="00EF7B19" w:rsidTr="0060391F">
        <w:trPr>
          <w:tblHeader/>
          <w:jc w:val="center"/>
        </w:trPr>
        <w:tc>
          <w:tcPr>
            <w:tcW w:w="2322" w:type="dxa"/>
          </w:tcPr>
          <w:p w:rsidR="002A523D" w:rsidRPr="0072410C" w:rsidRDefault="002A523D" w:rsidP="00345CCD">
            <w:pPr>
              <w:pStyle w:val="Tabletext"/>
              <w:jc w:val="left"/>
              <w:rPr>
                <w:lang w:val="es-ES_tradnl"/>
              </w:rPr>
            </w:pPr>
            <w:r w:rsidRPr="0072410C">
              <w:rPr>
                <w:lang w:val="es-ES_tradnl"/>
              </w:rPr>
              <w:t>Equipos de usuario LTE2300</w:t>
            </w:r>
          </w:p>
        </w:tc>
        <w:tc>
          <w:tcPr>
            <w:tcW w:w="2095" w:type="dxa"/>
          </w:tcPr>
          <w:p w:rsidR="002A523D" w:rsidRPr="0072410C" w:rsidRDefault="002A523D" w:rsidP="00345CCD">
            <w:pPr>
              <w:pStyle w:val="Tabletext"/>
              <w:jc w:val="left"/>
              <w:rPr>
                <w:szCs w:val="24"/>
                <w:lang w:val="es-ES_tradnl"/>
              </w:rPr>
            </w:pPr>
            <w:r w:rsidRPr="0072410C">
              <w:rPr>
                <w:rFonts w:eastAsia="Calibri"/>
                <w:lang w:val="es-ES_tradnl"/>
              </w:rPr>
              <w:t>Figura 14</w:t>
            </w:r>
          </w:p>
        </w:tc>
        <w:tc>
          <w:tcPr>
            <w:tcW w:w="10042" w:type="dxa"/>
            <w:gridSpan w:val="3"/>
          </w:tcPr>
          <w:p w:rsidR="002A523D" w:rsidRPr="0072410C" w:rsidRDefault="002A523D" w:rsidP="00345CCD">
            <w:pPr>
              <w:pStyle w:val="Tabletext"/>
              <w:jc w:val="left"/>
              <w:rPr>
                <w:szCs w:val="24"/>
                <w:lang w:val="es-ES_tradnl"/>
              </w:rPr>
            </w:pPr>
            <w:r w:rsidRPr="0072410C">
              <w:rPr>
                <w:lang w:val="es-ES_tradnl"/>
              </w:rPr>
              <w:t xml:space="preserve">Las emisiones no esenciales correspondientes a los desplazamientos de frecuencias superiores ofrecen un rendimiento superior al límite de hasta 30 dB. Cabe señalar, sin embargo, que las mediciones en el dominio no esencial están limitadas por el rango dinámico del equipo de medición. Por consiguiente, las emisiones no deseadas de los dispositivos podrían ser incluso inferiores a las que se muestran en la </w:t>
            </w:r>
            <w:r w:rsidR="00674EE1">
              <w:rPr>
                <w:lang w:val="es-ES_tradnl"/>
              </w:rPr>
              <w:t xml:space="preserve">Fig. </w:t>
            </w:r>
            <w:r w:rsidRPr="0072410C">
              <w:rPr>
                <w:lang w:val="es-ES_tradnl"/>
              </w:rPr>
              <w:t>14.</w:t>
            </w:r>
          </w:p>
        </w:tc>
      </w:tr>
      <w:tr w:rsidR="002A523D" w:rsidRPr="00EF7B19" w:rsidTr="0060391F">
        <w:trPr>
          <w:jc w:val="center"/>
        </w:trPr>
        <w:tc>
          <w:tcPr>
            <w:tcW w:w="2322" w:type="dxa"/>
          </w:tcPr>
          <w:p w:rsidR="002A523D" w:rsidRPr="0072410C" w:rsidRDefault="002A523D" w:rsidP="00345CCD">
            <w:pPr>
              <w:pStyle w:val="Tabletext"/>
              <w:jc w:val="left"/>
              <w:rPr>
                <w:lang w:val="es-ES_tradnl"/>
              </w:rPr>
            </w:pPr>
            <w:r w:rsidRPr="0072410C">
              <w:rPr>
                <w:lang w:val="es-ES_tradnl"/>
              </w:rPr>
              <w:t>Estación de base GSM900</w:t>
            </w:r>
          </w:p>
        </w:tc>
        <w:tc>
          <w:tcPr>
            <w:tcW w:w="2095" w:type="dxa"/>
          </w:tcPr>
          <w:p w:rsidR="002A523D" w:rsidRPr="0072410C" w:rsidRDefault="002A523D" w:rsidP="00345CCD">
            <w:pPr>
              <w:pStyle w:val="Tabletext"/>
              <w:jc w:val="left"/>
              <w:rPr>
                <w:szCs w:val="24"/>
                <w:lang w:val="es-ES_tradnl"/>
              </w:rPr>
            </w:pPr>
            <w:r w:rsidRPr="0072410C">
              <w:rPr>
                <w:lang w:val="es-ES_tradnl"/>
              </w:rPr>
              <w:t>Figura 16</w:t>
            </w:r>
          </w:p>
        </w:tc>
        <w:tc>
          <w:tcPr>
            <w:tcW w:w="6766" w:type="dxa"/>
            <w:gridSpan w:val="2"/>
          </w:tcPr>
          <w:p w:rsidR="002A523D" w:rsidRPr="0072410C" w:rsidRDefault="002A523D" w:rsidP="00345CCD">
            <w:pPr>
              <w:pStyle w:val="Tabletext"/>
              <w:jc w:val="left"/>
              <w:rPr>
                <w:b/>
                <w:lang w:val="es-ES_tradnl"/>
              </w:rPr>
            </w:pPr>
            <w:r w:rsidRPr="0072410C">
              <w:rPr>
                <w:lang w:val="es-ES_tradnl"/>
              </w:rPr>
              <w:t>Fuera de la banda GSM asignada, el límite no esencial de la categoría B, de los sistemas móviles terrestres y de las estaciones de base, indicado en la Recomendación UIT-R SM.329 y en la norma ERC/REC 74-01, resulta mejorado en al menos 30 dB.</w:t>
            </w:r>
          </w:p>
        </w:tc>
        <w:tc>
          <w:tcPr>
            <w:tcW w:w="3276" w:type="dxa"/>
          </w:tcPr>
          <w:p w:rsidR="002A523D" w:rsidRPr="0072410C" w:rsidRDefault="002A523D" w:rsidP="00345CCD">
            <w:pPr>
              <w:pStyle w:val="Tabletext"/>
              <w:jc w:val="left"/>
              <w:rPr>
                <w:b/>
                <w:lang w:val="es-ES_tradnl"/>
              </w:rPr>
            </w:pPr>
            <w:r w:rsidRPr="0072410C">
              <w:rPr>
                <w:lang w:val="es-ES_tradnl"/>
              </w:rPr>
              <w:t>En particular, fuera de la banda GSM asignada, el nivel de las emisiones no deseadas está más de 25 dB por debajo del límite establecido en la norma TS 145 005 del ETSI debido al filtrado interno destinado a proteger los servicios adyacentes.</w:t>
            </w:r>
          </w:p>
        </w:tc>
      </w:tr>
      <w:tr w:rsidR="002A523D" w:rsidRPr="0072410C" w:rsidTr="0060391F">
        <w:trPr>
          <w:jc w:val="center"/>
        </w:trPr>
        <w:tc>
          <w:tcPr>
            <w:tcW w:w="2322" w:type="dxa"/>
          </w:tcPr>
          <w:p w:rsidR="002A523D" w:rsidRPr="0072410C" w:rsidRDefault="002A523D" w:rsidP="00345CCD">
            <w:pPr>
              <w:pStyle w:val="Tabletext"/>
              <w:jc w:val="left"/>
              <w:rPr>
                <w:lang w:val="es-ES_tradnl"/>
              </w:rPr>
            </w:pPr>
            <w:r w:rsidRPr="0072410C">
              <w:rPr>
                <w:lang w:val="es-ES_tradnl"/>
              </w:rPr>
              <w:t>Estación de base UMTS</w:t>
            </w:r>
          </w:p>
        </w:tc>
        <w:tc>
          <w:tcPr>
            <w:tcW w:w="2095" w:type="dxa"/>
          </w:tcPr>
          <w:p w:rsidR="002A523D" w:rsidRPr="0072410C" w:rsidRDefault="002A523D" w:rsidP="00345CCD">
            <w:pPr>
              <w:pStyle w:val="Tabletext"/>
              <w:jc w:val="left"/>
              <w:rPr>
                <w:caps/>
                <w:lang w:val="es-ES_tradnl"/>
              </w:rPr>
            </w:pPr>
            <w:r w:rsidRPr="0072410C">
              <w:rPr>
                <w:rFonts w:eastAsia="Calibri"/>
                <w:lang w:val="es-ES_tradnl"/>
              </w:rPr>
              <w:t>Figura 20</w:t>
            </w:r>
          </w:p>
        </w:tc>
        <w:tc>
          <w:tcPr>
            <w:tcW w:w="10042" w:type="dxa"/>
            <w:gridSpan w:val="3"/>
          </w:tcPr>
          <w:p w:rsidR="002A523D" w:rsidRPr="0072410C" w:rsidRDefault="002A523D" w:rsidP="00345CCD">
            <w:pPr>
              <w:pStyle w:val="Tabletext"/>
              <w:jc w:val="left"/>
              <w:rPr>
                <w:lang w:val="es-ES_tradnl"/>
              </w:rPr>
            </w:pPr>
            <w:r w:rsidRPr="0072410C">
              <w:rPr>
                <w:lang w:val="es-ES_tradnl"/>
              </w:rPr>
              <w:t>Aunque transmite por el canal más alto y, por consiguiente, presenta el caso más crítico para cumplir los límites de las emisiones no esenciales, la estación mejora esos límites en aproximadamente 10 dB incluso al comienzo del dominio no esencial.</w:t>
            </w:r>
          </w:p>
          <w:p w:rsidR="002A523D" w:rsidRPr="0072410C" w:rsidRDefault="002A523D" w:rsidP="00345CCD">
            <w:pPr>
              <w:pStyle w:val="Tabletext"/>
              <w:jc w:val="left"/>
              <w:rPr>
                <w:lang w:val="es-ES_tradnl"/>
              </w:rPr>
            </w:pPr>
            <w:r w:rsidRPr="0072410C">
              <w:rPr>
                <w:lang w:val="es-ES_tradnl"/>
              </w:rPr>
              <w:t>En los desplazamientos superiores a 20 MHz, los límites se mejoran en al menos 30 dB. Las emisiones no esenciales reales de esos desplazamientos son incluso inferiores a las indicadas. La limitación es la sensibilidad de la medición.</w:t>
            </w:r>
          </w:p>
        </w:tc>
      </w:tr>
      <w:tr w:rsidR="002A523D" w:rsidRPr="00EF7B19" w:rsidTr="0060391F">
        <w:trPr>
          <w:jc w:val="center"/>
        </w:trPr>
        <w:tc>
          <w:tcPr>
            <w:tcW w:w="2322" w:type="dxa"/>
          </w:tcPr>
          <w:p w:rsidR="002A523D" w:rsidRPr="0072410C" w:rsidRDefault="002A523D" w:rsidP="00345CCD">
            <w:pPr>
              <w:pStyle w:val="Tabletext"/>
              <w:jc w:val="left"/>
              <w:rPr>
                <w:lang w:val="es-ES_tradnl"/>
              </w:rPr>
            </w:pPr>
            <w:r w:rsidRPr="0072410C">
              <w:rPr>
                <w:lang w:val="es-ES_tradnl"/>
              </w:rPr>
              <w:t>RLAN</w:t>
            </w:r>
          </w:p>
        </w:tc>
        <w:tc>
          <w:tcPr>
            <w:tcW w:w="2095" w:type="dxa"/>
          </w:tcPr>
          <w:p w:rsidR="002A523D" w:rsidRPr="0072410C" w:rsidRDefault="002A523D" w:rsidP="00345CCD">
            <w:pPr>
              <w:pStyle w:val="Tabletext"/>
              <w:jc w:val="left"/>
              <w:rPr>
                <w:rFonts w:eastAsia="Calibri"/>
                <w:szCs w:val="24"/>
                <w:lang w:val="es-ES_tradnl"/>
              </w:rPr>
            </w:pPr>
            <w:r w:rsidRPr="0072410C">
              <w:rPr>
                <w:lang w:val="es-ES_tradnl"/>
              </w:rPr>
              <w:t>Figura 22</w:t>
            </w:r>
          </w:p>
        </w:tc>
        <w:tc>
          <w:tcPr>
            <w:tcW w:w="10042" w:type="dxa"/>
            <w:gridSpan w:val="3"/>
          </w:tcPr>
          <w:p w:rsidR="002A523D" w:rsidRPr="0072410C" w:rsidRDefault="002A523D" w:rsidP="00345CCD">
            <w:pPr>
              <w:pStyle w:val="Tabletext"/>
              <w:jc w:val="left"/>
              <w:rPr>
                <w:lang w:val="es-ES_tradnl"/>
              </w:rPr>
            </w:pPr>
            <w:r w:rsidRPr="0072410C">
              <w:rPr>
                <w:szCs w:val="24"/>
                <w:lang w:val="es-ES_tradnl"/>
              </w:rPr>
              <w:t>Los límites se cumplen con un margen típico de 20 a 30 dB.</w:t>
            </w:r>
          </w:p>
        </w:tc>
      </w:tr>
      <w:tr w:rsidR="002A523D" w:rsidRPr="00EF7B19" w:rsidTr="0060391F">
        <w:trPr>
          <w:jc w:val="center"/>
        </w:trPr>
        <w:tc>
          <w:tcPr>
            <w:tcW w:w="2322" w:type="dxa"/>
          </w:tcPr>
          <w:p w:rsidR="002A523D" w:rsidRPr="0072410C" w:rsidRDefault="002A523D" w:rsidP="00345CCD">
            <w:pPr>
              <w:pStyle w:val="Tabletext"/>
              <w:jc w:val="left"/>
              <w:rPr>
                <w:lang w:val="es-ES_tradnl"/>
              </w:rPr>
            </w:pPr>
            <w:r w:rsidRPr="0072410C">
              <w:rPr>
                <w:lang w:val="es-ES_tradnl"/>
              </w:rPr>
              <w:t xml:space="preserve">Equipo de usuario WiMAX a 3,6 GHz </w:t>
            </w:r>
          </w:p>
        </w:tc>
        <w:tc>
          <w:tcPr>
            <w:tcW w:w="2095" w:type="dxa"/>
          </w:tcPr>
          <w:p w:rsidR="002A523D" w:rsidRPr="0072410C" w:rsidRDefault="002A523D" w:rsidP="00345CCD">
            <w:pPr>
              <w:pStyle w:val="Tabletext"/>
              <w:jc w:val="left"/>
              <w:rPr>
                <w:lang w:val="es-ES_tradnl"/>
              </w:rPr>
            </w:pPr>
            <w:r w:rsidRPr="0072410C">
              <w:rPr>
                <w:lang w:val="es-ES_tradnl"/>
              </w:rPr>
              <w:t>Figura 23</w:t>
            </w:r>
          </w:p>
        </w:tc>
        <w:tc>
          <w:tcPr>
            <w:tcW w:w="10042" w:type="dxa"/>
            <w:gridSpan w:val="3"/>
          </w:tcPr>
          <w:p w:rsidR="002A523D" w:rsidRPr="0072410C" w:rsidRDefault="002A523D" w:rsidP="00345CCD">
            <w:pPr>
              <w:pStyle w:val="Tabletext"/>
              <w:jc w:val="left"/>
              <w:rPr>
                <w:lang w:val="es-ES_tradnl"/>
              </w:rPr>
            </w:pPr>
            <w:r w:rsidRPr="0072410C">
              <w:rPr>
                <w:szCs w:val="24"/>
                <w:lang w:val="es-ES_tradnl"/>
              </w:rPr>
              <w:t>Aunque la medición solo cubre una pequeña gama de frecuencias con un desplazamiento muy alto, se observa que se mejoran los límites con un margen de al menos 40 dB.</w:t>
            </w:r>
          </w:p>
        </w:tc>
      </w:tr>
      <w:tr w:rsidR="002A523D" w:rsidRPr="00EF7B19" w:rsidTr="0060391F">
        <w:trPr>
          <w:jc w:val="center"/>
        </w:trPr>
        <w:tc>
          <w:tcPr>
            <w:tcW w:w="2322" w:type="dxa"/>
          </w:tcPr>
          <w:p w:rsidR="002A523D" w:rsidRPr="0072410C" w:rsidRDefault="002A523D" w:rsidP="00345CCD">
            <w:pPr>
              <w:pStyle w:val="Tabletext"/>
              <w:jc w:val="left"/>
              <w:rPr>
                <w:lang w:val="es-ES_tradnl"/>
              </w:rPr>
            </w:pPr>
            <w:r w:rsidRPr="0072410C">
              <w:rPr>
                <w:lang w:val="es-ES_tradnl"/>
              </w:rPr>
              <w:t>Enlaces punto a punto a 25 GHz</w:t>
            </w:r>
          </w:p>
        </w:tc>
        <w:tc>
          <w:tcPr>
            <w:tcW w:w="2095" w:type="dxa"/>
          </w:tcPr>
          <w:p w:rsidR="002A523D" w:rsidRPr="0072410C" w:rsidRDefault="002A523D" w:rsidP="00345CCD">
            <w:pPr>
              <w:pStyle w:val="Tabletext"/>
              <w:jc w:val="left"/>
              <w:rPr>
                <w:rFonts w:eastAsia="Calibri"/>
                <w:szCs w:val="24"/>
                <w:lang w:val="es-ES_tradnl"/>
              </w:rPr>
            </w:pPr>
            <w:r w:rsidRPr="0072410C">
              <w:rPr>
                <w:lang w:val="es-ES_tradnl"/>
              </w:rPr>
              <w:t>Figura 25</w:t>
            </w:r>
          </w:p>
        </w:tc>
        <w:tc>
          <w:tcPr>
            <w:tcW w:w="10042" w:type="dxa"/>
            <w:gridSpan w:val="3"/>
          </w:tcPr>
          <w:p w:rsidR="002A523D" w:rsidRPr="0072410C" w:rsidRDefault="002A523D" w:rsidP="00345CCD">
            <w:pPr>
              <w:pStyle w:val="Tabletext"/>
              <w:jc w:val="left"/>
              <w:rPr>
                <w:lang w:val="es-ES_tradnl"/>
              </w:rPr>
            </w:pPr>
            <w:r w:rsidRPr="0072410C">
              <w:rPr>
                <w:szCs w:val="24"/>
                <w:lang w:val="es-ES_tradnl"/>
              </w:rPr>
              <w:t>El límite de las emisiones no esenciales se cumple con un margen de más de 20 dB.</w:t>
            </w:r>
          </w:p>
        </w:tc>
      </w:tr>
    </w:tbl>
    <w:p w:rsidR="002A523D" w:rsidRPr="0072410C" w:rsidRDefault="002A523D" w:rsidP="002A52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sz w:val="20"/>
          <w:lang w:val="es-ES_tradnl"/>
        </w:rPr>
      </w:pPr>
    </w:p>
    <w:p w:rsidR="002A523D" w:rsidRPr="0072410C" w:rsidRDefault="002A523D" w:rsidP="002A523D">
      <w:pPr>
        <w:tabs>
          <w:tab w:val="clear" w:pos="794"/>
          <w:tab w:val="clear" w:pos="1191"/>
          <w:tab w:val="clear" w:pos="1588"/>
          <w:tab w:val="clear" w:pos="1985"/>
          <w:tab w:val="left" w:pos="1134"/>
          <w:tab w:val="left" w:pos="1871"/>
          <w:tab w:val="left" w:pos="2268"/>
        </w:tabs>
        <w:jc w:val="left"/>
        <w:rPr>
          <w:szCs w:val="24"/>
          <w:lang w:val="es-ES_tradnl"/>
        </w:rPr>
        <w:sectPr w:rsidR="002A523D" w:rsidRPr="0072410C" w:rsidSect="0060391F">
          <w:headerReference w:type="even" r:id="rId26"/>
          <w:headerReference w:type="default" r:id="rId27"/>
          <w:footerReference w:type="default" r:id="rId28"/>
          <w:pgSz w:w="16834" w:h="11907" w:orient="landscape"/>
          <w:pgMar w:top="1134" w:right="1418" w:bottom="1134" w:left="1134" w:header="567" w:footer="720" w:gutter="0"/>
          <w:paperSrc w:first="15" w:other="15"/>
          <w:cols w:space="720"/>
          <w:docGrid w:linePitch="326"/>
        </w:sectPr>
      </w:pPr>
    </w:p>
    <w:p w:rsidR="002A523D" w:rsidRPr="0072410C" w:rsidRDefault="002A523D" w:rsidP="002A523D">
      <w:pPr>
        <w:pStyle w:val="Heading1"/>
        <w:rPr>
          <w:lang w:val="es-ES_tradnl"/>
        </w:rPr>
      </w:pPr>
      <w:bookmarkStart w:id="17" w:name="_Toc453154548"/>
      <w:bookmarkStart w:id="18" w:name="_Toc498508709"/>
      <w:bookmarkStart w:id="19" w:name="_Toc525820171"/>
      <w:bookmarkStart w:id="20" w:name="_Toc525820351"/>
      <w:r w:rsidRPr="0072410C">
        <w:rPr>
          <w:lang w:val="es-ES_tradnl"/>
        </w:rPr>
        <w:lastRenderedPageBreak/>
        <w:t>4</w:t>
      </w:r>
      <w:r w:rsidRPr="0072410C">
        <w:rPr>
          <w:lang w:val="es-ES_tradnl"/>
        </w:rPr>
        <w:tab/>
      </w:r>
      <w:bookmarkEnd w:id="17"/>
      <w:bookmarkEnd w:id="18"/>
      <w:r w:rsidRPr="0072410C">
        <w:rPr>
          <w:lang w:val="es-ES_tradnl"/>
        </w:rPr>
        <w:t>Límite entre el dominio fuera de banda y el dominio no esencial</w:t>
      </w:r>
      <w:bookmarkEnd w:id="19"/>
      <w:bookmarkEnd w:id="20"/>
    </w:p>
    <w:p w:rsidR="002A523D" w:rsidRPr="0072410C" w:rsidRDefault="002A523D" w:rsidP="002A523D">
      <w:pPr>
        <w:rPr>
          <w:lang w:val="es-ES_tradnl"/>
        </w:rPr>
      </w:pPr>
      <w:r w:rsidRPr="0072410C">
        <w:rPr>
          <w:lang w:val="es-ES_tradnl"/>
        </w:rPr>
        <w:t>Con la excepción de algunos sistemas móviles públicos (normas 3GPP), en general, el límite entre el dominio fuera de banda y el dominio no esencial se define en el 250% de la anchura de banda de la señal (anchura de banda necesaria Bn). En el caso de los sistemas de banda ancha, el Reglamento de Radiocomunicaciones (del Anexo 1 al Apéndice 3) define un límite más restringido de 1,5*Bn. No obstante, a menudo esta fórmula solo se aplica a los sistemas con una anchura de banda mayor que la que realmente se utiliza en la banda. Son ejemplos de ello:</w:t>
      </w:r>
    </w:p>
    <w:p w:rsidR="002A523D" w:rsidRPr="0072410C" w:rsidRDefault="002A523D" w:rsidP="002A523D">
      <w:pPr>
        <w:pStyle w:val="enumlev1"/>
        <w:rPr>
          <w:lang w:val="es-ES_tradnl"/>
        </w:rPr>
      </w:pPr>
      <w:r w:rsidRPr="0072410C">
        <w:rPr>
          <w:lang w:val="es-ES_tradnl"/>
        </w:rPr>
        <w:t>–</w:t>
      </w:r>
      <w:r w:rsidRPr="0072410C">
        <w:rPr>
          <w:lang w:val="es-ES_tradnl"/>
        </w:rPr>
        <w:tab/>
        <w:t>entre 30 MHz y 1 GHz, el límite a 1,5 Bn solo se aplica a Bn &gt; 10 MHz. Las aplicaciones típicas como TETRA, DAB, DVB-T, GSM, UMTS y LTE tienen una anchura de banda menor;</w:t>
      </w:r>
    </w:p>
    <w:p w:rsidR="002A523D" w:rsidRPr="0072410C" w:rsidRDefault="002A523D" w:rsidP="002A523D">
      <w:pPr>
        <w:pStyle w:val="enumlev1"/>
        <w:rPr>
          <w:lang w:val="es-ES_tradnl"/>
        </w:rPr>
      </w:pPr>
      <w:r w:rsidRPr="0072410C">
        <w:rPr>
          <w:lang w:val="es-ES_tradnl"/>
        </w:rPr>
        <w:t>–</w:t>
      </w:r>
      <w:r w:rsidRPr="0072410C">
        <w:rPr>
          <w:lang w:val="es-ES_tradnl"/>
        </w:rPr>
        <w:tab/>
        <w:t>entre 1 GHz y 3 GHz, el límite reducido solo se aplica a Bn &gt; 50 MHz. Casi todos los sistemas de esta gama, entre ellos los sistemas GSM, UMTS, DECT, LTE y RLAN, tienen una anchura de banda menor.</w:t>
      </w:r>
    </w:p>
    <w:p w:rsidR="002A523D" w:rsidRPr="0072410C" w:rsidRDefault="002A523D" w:rsidP="002A523D">
      <w:pPr>
        <w:rPr>
          <w:lang w:val="es-ES_tradnl"/>
        </w:rPr>
      </w:pPr>
      <w:r w:rsidRPr="0072410C">
        <w:rPr>
          <w:lang w:val="es-ES_tradnl"/>
        </w:rPr>
        <w:t>Por consiguiente, en todos los sistemas medidos del presente informe, el límite se sitúa en el 250% de la anchura de banda de la señal, con excepciones en las bandas del servicio móvil público, en las que a menudo el límite se define en relación con los bordes de la banda designada. Por ejemplo, en algunos sistemas IMT basados en una anchura de banda variable de los canales, actualmente se especifica, en el párrafo 2.6 de la Recomendación UIT-R M.2070, que el límite para las estaciones de base se encuentra 10 MHz más allá del borde de la banda operativa.</w:t>
      </w:r>
    </w:p>
    <w:p w:rsidR="002A523D" w:rsidRPr="0072410C" w:rsidRDefault="002A523D" w:rsidP="00674EE1">
      <w:pPr>
        <w:rPr>
          <w:lang w:val="es-ES_tradnl"/>
        </w:rPr>
      </w:pPr>
      <w:r w:rsidRPr="0072410C">
        <w:rPr>
          <w:lang w:val="es-ES_tradnl"/>
        </w:rPr>
        <w:t xml:space="preserve">Las mediciones del presente informe muestran que las emisiones no deseadas basadas en la modulación, sobre todo en el caso de los sistemas de banda ancha, a menudo terminan en los desplazamientos muy inferiores al 250% de la anchura de banda. En particular, esta observación es válida en las estaciones de base de los sistemas filtrados, tales como los sistemas DAB (véase la </w:t>
      </w:r>
      <w:r w:rsidR="00674EE1">
        <w:rPr>
          <w:lang w:val="es-ES_tradnl"/>
        </w:rPr>
        <w:t>Fig. </w:t>
      </w:r>
      <w:r w:rsidRPr="0072410C">
        <w:rPr>
          <w:lang w:val="es-ES_tradnl"/>
        </w:rPr>
        <w:t xml:space="preserve">26), DVB-T (véase la </w:t>
      </w:r>
      <w:r w:rsidR="00674EE1">
        <w:rPr>
          <w:lang w:val="es-ES_tradnl"/>
        </w:rPr>
        <w:t xml:space="preserve">Fig. </w:t>
      </w:r>
      <w:r w:rsidRPr="0072410C">
        <w:rPr>
          <w:lang w:val="es-ES_tradnl"/>
        </w:rPr>
        <w:t xml:space="preserve">7) y GSM/UMTS/LTE (véanse las figuras 15 y 16 para GSM, la </w:t>
      </w:r>
      <w:r w:rsidR="00674EE1">
        <w:rPr>
          <w:lang w:val="es-ES_tradnl"/>
        </w:rPr>
        <w:t>Fig. </w:t>
      </w:r>
      <w:r w:rsidRPr="0072410C">
        <w:rPr>
          <w:lang w:val="es-ES_tradnl"/>
        </w:rPr>
        <w:t xml:space="preserve">19 para UMTS, las figuras 8 y 9 </w:t>
      </w:r>
      <w:r>
        <w:rPr>
          <w:lang w:val="es-ES_tradnl"/>
        </w:rPr>
        <w:t>para las estaciones de base LTE</w:t>
      </w:r>
      <w:r w:rsidRPr="0072410C">
        <w:rPr>
          <w:lang w:val="es-ES_tradnl"/>
        </w:rPr>
        <w:t xml:space="preserve">800 y la </w:t>
      </w:r>
      <w:r w:rsidR="00345CCD">
        <w:rPr>
          <w:lang w:val="es-ES_tradnl"/>
        </w:rPr>
        <w:t xml:space="preserve">Fig. </w:t>
      </w:r>
      <w:r w:rsidRPr="0072410C">
        <w:rPr>
          <w:lang w:val="es-ES_tradnl"/>
        </w:rPr>
        <w:t>11 para los equipos de usuario LTE800).</w:t>
      </w:r>
    </w:p>
    <w:p w:rsidR="002A523D" w:rsidRPr="0072410C" w:rsidRDefault="002A523D" w:rsidP="002A523D">
      <w:pPr>
        <w:pStyle w:val="Heading1"/>
        <w:rPr>
          <w:lang w:val="es-ES_tradnl"/>
        </w:rPr>
      </w:pPr>
      <w:bookmarkStart w:id="21" w:name="_Toc525820172"/>
      <w:bookmarkStart w:id="22" w:name="_Toc525820352"/>
      <w:r w:rsidRPr="0072410C">
        <w:rPr>
          <w:lang w:val="es-ES_tradnl"/>
        </w:rPr>
        <w:t>5</w:t>
      </w:r>
      <w:r w:rsidRPr="0072410C">
        <w:rPr>
          <w:lang w:val="es-ES_tradnl"/>
        </w:rPr>
        <w:tab/>
        <w:t>Resumen</w:t>
      </w:r>
      <w:bookmarkEnd w:id="21"/>
      <w:bookmarkEnd w:id="22"/>
    </w:p>
    <w:p w:rsidR="002A523D" w:rsidRPr="0072410C" w:rsidRDefault="002A523D" w:rsidP="002A523D">
      <w:pPr>
        <w:rPr>
          <w:lang w:val="es-ES_tradnl"/>
        </w:rPr>
      </w:pPr>
      <w:r w:rsidRPr="0072410C">
        <w:rPr>
          <w:lang w:val="es-ES_tradnl"/>
        </w:rPr>
        <w:t>En este informe se proporcionan mediciones de un número limitado de muestras de equipos con diferentes tecnologías radioeléctricas. Se observa que las emisiones medidas suelen ser inferiores a los límites establecidos en las recomendaciones del UIT-R y en las normas del ETSI por un margen considerable de varias decenas de dB en el dominio no esencial, con excepción de las frecuencias armónicas. Esta conclusión tiene implicaciones importantes para los estudios de compartición y compatibilidad, que suelen basarse en el supuesto de que los equipos apenas cumplirían los límites establecidos en las normas.</w:t>
      </w:r>
    </w:p>
    <w:p w:rsidR="002A523D" w:rsidRPr="0072410C" w:rsidRDefault="002A523D" w:rsidP="002A523D">
      <w:pPr>
        <w:rPr>
          <w:lang w:val="es-ES_tradnl"/>
        </w:rPr>
      </w:pPr>
      <w:r w:rsidRPr="0072410C">
        <w:rPr>
          <w:lang w:val="es-ES_tradnl"/>
        </w:rPr>
        <w:t>No obstante, estos resultados deben justificarse estadísticamente, ya que las mediciones se han realizado en un número limitado de condiciones (tanto ambientales como de parámetros configurados) y en un número muy limitado de muestras de equipos.</w:t>
      </w:r>
    </w:p>
    <w:p w:rsidR="002A523D" w:rsidRPr="0072410C" w:rsidRDefault="002A523D" w:rsidP="002A523D">
      <w:pPr>
        <w:rPr>
          <w:lang w:val="es-ES_tradnl"/>
        </w:rPr>
      </w:pPr>
      <w:r w:rsidRPr="0072410C">
        <w:rPr>
          <w:lang w:val="es-ES_tradnl"/>
        </w:rPr>
        <w:t>A partir de los ejemplos presentados en este estudio, no se pretende imponer restricciones adicionales ni modificar los límites o fronteras de las recomendaciones actuales del UIT-R.</w:t>
      </w:r>
    </w:p>
    <w:p w:rsidR="002A523D" w:rsidRPr="0072410C" w:rsidRDefault="002A523D" w:rsidP="002A523D">
      <w:pPr>
        <w:pStyle w:val="Reftitle"/>
        <w:rPr>
          <w:lang w:val="es-ES_tradnl"/>
        </w:rPr>
      </w:pPr>
    </w:p>
    <w:p w:rsidR="002A523D" w:rsidRPr="0072410C" w:rsidRDefault="002A523D" w:rsidP="002A523D">
      <w:pPr>
        <w:pStyle w:val="Reftitle"/>
        <w:rPr>
          <w:lang w:val="es-ES_tradnl"/>
        </w:rPr>
      </w:pPr>
    </w:p>
    <w:p w:rsidR="002A523D" w:rsidRPr="0072410C" w:rsidRDefault="002A523D" w:rsidP="00592856">
      <w:pPr>
        <w:pStyle w:val="AnnexNoTitle"/>
        <w:rPr>
          <w:lang w:val="es-ES_tradnl"/>
        </w:rPr>
      </w:pPr>
      <w:r w:rsidRPr="0072410C">
        <w:rPr>
          <w:lang w:val="es-ES_tradnl"/>
        </w:rPr>
        <w:lastRenderedPageBreak/>
        <w:t>Referencias</w:t>
      </w:r>
    </w:p>
    <w:p w:rsidR="0060391F" w:rsidRDefault="0060391F" w:rsidP="002A523D">
      <w:pPr>
        <w:pStyle w:val="Reftext"/>
        <w:rPr>
          <w:lang w:val="es-ES_tradnl"/>
        </w:rPr>
      </w:pPr>
      <w:bookmarkStart w:id="23" w:name="_Ref475967317"/>
    </w:p>
    <w:p w:rsidR="002A523D" w:rsidRPr="0072410C" w:rsidRDefault="002A523D" w:rsidP="002A523D">
      <w:pPr>
        <w:pStyle w:val="Reftext"/>
        <w:rPr>
          <w:lang w:val="es-ES_tradnl"/>
        </w:rPr>
      </w:pPr>
      <w:r w:rsidRPr="0072410C">
        <w:rPr>
          <w:lang w:val="es-ES_tradnl"/>
        </w:rPr>
        <w:t>[1]</w:t>
      </w:r>
      <w:r w:rsidRPr="0072410C">
        <w:rPr>
          <w:lang w:val="es-ES_tradnl"/>
        </w:rPr>
        <w:tab/>
        <w:t xml:space="preserve">Recomendación UIT-R SM.1541 – </w:t>
      </w:r>
      <w:bookmarkEnd w:id="23"/>
      <w:r w:rsidRPr="0072410C">
        <w:rPr>
          <w:lang w:val="es-ES_tradnl"/>
        </w:rPr>
        <w:t>Emisiones no deseadas en el dominio fuera de banda</w:t>
      </w:r>
    </w:p>
    <w:p w:rsidR="002A523D" w:rsidRPr="0072410C" w:rsidRDefault="002A523D" w:rsidP="002A523D">
      <w:pPr>
        <w:pStyle w:val="Reftext"/>
        <w:rPr>
          <w:lang w:val="es-ES_tradnl"/>
        </w:rPr>
      </w:pPr>
      <w:bookmarkStart w:id="24" w:name="_Ref475973878"/>
      <w:r w:rsidRPr="0072410C">
        <w:rPr>
          <w:lang w:val="es-ES_tradnl"/>
        </w:rPr>
        <w:t>[2]</w:t>
      </w:r>
      <w:r w:rsidRPr="0072410C">
        <w:rPr>
          <w:lang w:val="es-ES_tradnl"/>
        </w:rPr>
        <w:tab/>
        <w:t>ERC REC 74-01 (Siófok, 1998; Niza, 1999; Sesimbra 2002; Hradec Králové, 2005; Cardiff, 2011) –</w:t>
      </w:r>
      <w:bookmarkEnd w:id="24"/>
      <w:r w:rsidRPr="0072410C">
        <w:rPr>
          <w:lang w:val="es-ES_tradnl"/>
        </w:rPr>
        <w:t>Emisiones no deseadas en el dominio no esencial</w:t>
      </w:r>
    </w:p>
    <w:p w:rsidR="002A523D" w:rsidRPr="0072410C" w:rsidRDefault="002A523D" w:rsidP="002A523D">
      <w:pPr>
        <w:pStyle w:val="Reftext"/>
        <w:rPr>
          <w:lang w:val="es-ES_tradnl"/>
        </w:rPr>
      </w:pPr>
      <w:bookmarkStart w:id="25" w:name="_Ref475973859"/>
      <w:r w:rsidRPr="0072410C">
        <w:rPr>
          <w:lang w:val="es-ES_tradnl"/>
        </w:rPr>
        <w:t>[3]</w:t>
      </w:r>
      <w:r w:rsidRPr="0072410C">
        <w:rPr>
          <w:lang w:val="es-ES_tradnl"/>
        </w:rPr>
        <w:tab/>
        <w:t xml:space="preserve">Recomendación UIT-R SM.329 – </w:t>
      </w:r>
      <w:bookmarkEnd w:id="25"/>
      <w:r w:rsidRPr="0072410C">
        <w:rPr>
          <w:lang w:val="es-ES_tradnl"/>
        </w:rPr>
        <w:t>Emisiones no deseadas en el dominio no esencial</w:t>
      </w:r>
    </w:p>
    <w:p w:rsidR="002A523D" w:rsidRPr="0072410C" w:rsidRDefault="002A523D" w:rsidP="002A523D">
      <w:pPr>
        <w:pStyle w:val="Reftext"/>
        <w:rPr>
          <w:lang w:val="es-ES_tradnl"/>
        </w:rPr>
      </w:pPr>
      <w:bookmarkStart w:id="26" w:name="_Ref475976884"/>
      <w:r w:rsidRPr="0072410C">
        <w:rPr>
          <w:lang w:val="es-ES_tradnl"/>
        </w:rPr>
        <w:t>[4]</w:t>
      </w:r>
      <w:r w:rsidRPr="0072410C">
        <w:rPr>
          <w:lang w:val="es-ES_tradnl"/>
        </w:rPr>
        <w:tab/>
      </w:r>
      <w:bookmarkEnd w:id="26"/>
      <w:r w:rsidRPr="0072410C">
        <w:rPr>
          <w:lang w:val="es-ES_tradnl"/>
        </w:rPr>
        <w:t>Reglamento de Radiocomunicaciones de la UIT, edición de 2016</w:t>
      </w:r>
    </w:p>
    <w:p w:rsidR="002A523D" w:rsidRPr="0072410C" w:rsidRDefault="002A523D" w:rsidP="002A523D">
      <w:pPr>
        <w:pStyle w:val="Reftext"/>
        <w:rPr>
          <w:lang w:val="es-ES_tradnl"/>
        </w:rPr>
      </w:pPr>
      <w:r w:rsidRPr="0072410C">
        <w:rPr>
          <w:lang w:val="es-ES_tradnl"/>
        </w:rPr>
        <w:t>[5]</w:t>
      </w:r>
      <w:r w:rsidRPr="0072410C">
        <w:rPr>
          <w:lang w:val="es-ES_tradnl"/>
        </w:rPr>
        <w:tab/>
        <w:t>Recomendación UIT-R SM.1539 – Variación del límite entre los dominios de emisión fuera de banda y no esencial requerida para la aplicación de las Recomendaciones UIT-R SM.1541 y UIT-R SM.329</w:t>
      </w:r>
    </w:p>
    <w:p w:rsidR="002A523D" w:rsidRPr="00AE66A9" w:rsidRDefault="002A523D" w:rsidP="002A523D">
      <w:pPr>
        <w:pStyle w:val="Reftext"/>
        <w:rPr>
          <w:lang w:val="en-GB"/>
        </w:rPr>
      </w:pPr>
      <w:r w:rsidRPr="00AE66A9">
        <w:rPr>
          <w:lang w:val="en-GB"/>
        </w:rPr>
        <w:t>[6]</w:t>
      </w:r>
      <w:r w:rsidRPr="00AE66A9">
        <w:rPr>
          <w:lang w:val="en-GB"/>
        </w:rPr>
        <w:tab/>
        <w:t xml:space="preserve">ETSI EN 301 908 – IMT cellular networks; Harmonized EN covering the essential requirements of article 3.2 of the R&amp;TTE Directive </w:t>
      </w:r>
    </w:p>
    <w:p w:rsidR="002A523D" w:rsidRPr="00AE66A9" w:rsidRDefault="002A523D" w:rsidP="002A523D">
      <w:pPr>
        <w:pStyle w:val="Reftext"/>
        <w:rPr>
          <w:lang w:val="en-GB"/>
        </w:rPr>
      </w:pPr>
      <w:r w:rsidRPr="00AE66A9">
        <w:rPr>
          <w:lang w:val="en-GB"/>
        </w:rPr>
        <w:t>[7]</w:t>
      </w:r>
      <w:r w:rsidRPr="00AE66A9">
        <w:rPr>
          <w:lang w:val="en-GB"/>
        </w:rPr>
        <w:tab/>
        <w:t>ETSI EN 301 908-3 v7.1.1 – IMT cellular networks; Harmonized EN covering the essential requirements of article 3.2 of the R&amp;TTE Directive; Part 3: CDMA Direct Spread (UTRA FDD) Base Stations (BS)</w:t>
      </w:r>
    </w:p>
    <w:p w:rsidR="002A523D" w:rsidRPr="00AE66A9" w:rsidRDefault="002A523D" w:rsidP="002A523D">
      <w:pPr>
        <w:pStyle w:val="Reftext"/>
        <w:rPr>
          <w:lang w:val="en-GB"/>
        </w:rPr>
      </w:pPr>
      <w:r w:rsidRPr="00AE66A9">
        <w:rPr>
          <w:lang w:val="en-GB"/>
        </w:rPr>
        <w:t>[8]</w:t>
      </w:r>
      <w:r w:rsidRPr="00AE66A9">
        <w:rPr>
          <w:lang w:val="en-GB"/>
        </w:rPr>
        <w:tab/>
        <w:t>ETSI EN 301 908-13 v7.1.1 (2015-12) – IMT cellular networks; Harmonised EN covering the essential requirements of article 3.2 of the R&amp;TTE Directive; Part 13: Evolved Universal Terrestrial Radio Access (E-UTRA) User Equipment (UE)</w:t>
      </w:r>
    </w:p>
    <w:p w:rsidR="002A523D" w:rsidRPr="00AE66A9" w:rsidRDefault="002A523D" w:rsidP="002A523D">
      <w:pPr>
        <w:pStyle w:val="Reftext"/>
        <w:rPr>
          <w:lang w:val="en-GB"/>
        </w:rPr>
      </w:pPr>
      <w:r w:rsidRPr="00AE66A9">
        <w:rPr>
          <w:lang w:val="en-GB"/>
        </w:rPr>
        <w:t>[9]</w:t>
      </w:r>
      <w:r w:rsidRPr="00AE66A9">
        <w:rPr>
          <w:lang w:val="en-GB"/>
        </w:rPr>
        <w:tab/>
        <w:t>ETSI EN 301 908-14 v7.1.1 – IMT cellular networks; Harmonised EN covering the essential requirements of article 3.2 of the R&amp;TTE Directive; Part 14: Evolved Universal Terrestrial Radio Access (E-UTRA) Base Stations (BS)</w:t>
      </w:r>
    </w:p>
    <w:p w:rsidR="002A523D" w:rsidRPr="00AE66A9" w:rsidRDefault="002A523D" w:rsidP="002A523D">
      <w:pPr>
        <w:pStyle w:val="Reftext"/>
        <w:rPr>
          <w:lang w:val="en-GB"/>
        </w:rPr>
      </w:pPr>
      <w:r w:rsidRPr="00AE66A9">
        <w:rPr>
          <w:lang w:val="en-GB"/>
        </w:rPr>
        <w:t>[10]</w:t>
      </w:r>
      <w:r w:rsidRPr="00AE66A9">
        <w:rPr>
          <w:lang w:val="en-GB"/>
        </w:rPr>
        <w:tab/>
        <w:t>ETSI EN 301 908-18 v7.1.1 – IMT cellular networks; Harmonized EN covering the essential requirements of article 3.2 of the R&amp;TTE Directive; Part 18: E-UTRA, UTRA and GSM/EDGE Multi-Standard Radio (MSR) Base Station (BS)</w:t>
      </w:r>
    </w:p>
    <w:p w:rsidR="002A523D" w:rsidRPr="0072410C" w:rsidRDefault="002A523D" w:rsidP="002A523D">
      <w:pPr>
        <w:pStyle w:val="Reftext"/>
        <w:rPr>
          <w:lang w:val="es-ES_tradnl"/>
        </w:rPr>
      </w:pPr>
      <w:bookmarkStart w:id="27" w:name="_Ref475979462"/>
      <w:r w:rsidRPr="0072410C">
        <w:rPr>
          <w:lang w:val="es-ES_tradnl"/>
        </w:rPr>
        <w:t>[11]</w:t>
      </w:r>
      <w:r w:rsidRPr="0072410C">
        <w:rPr>
          <w:lang w:val="es-ES_tradnl"/>
        </w:rPr>
        <w:tab/>
        <w:t>Acuerdo de Ginebra, 2006 (GE-06): Acuerdo regional relativo a la planificación del servicio de radiodifusión digital terrenal en la Región 1 (partes de la Región 1 situadas al oeste del meridiano 170º E y al norte del paralelo 40º S, exceptuado el territorio de Mongolia) y en la República Islámica del Irán, en las bandas de frecuencias 174-230 MHz y 470-862 MHz (</w:t>
      </w:r>
      <w:hyperlink r:id="rId29" w:history="1">
        <w:r w:rsidRPr="0072410C">
          <w:rPr>
            <w:rStyle w:val="Hyperlink"/>
            <w:lang w:val="es-ES_tradnl"/>
          </w:rPr>
          <w:t>https://www.itu.int/pub/R-ACT-RRC.14-2006/es</w:t>
        </w:r>
      </w:hyperlink>
      <w:r w:rsidRPr="0072410C">
        <w:rPr>
          <w:lang w:val="es-ES_tradnl"/>
        </w:rPr>
        <w:t>)</w:t>
      </w:r>
      <w:bookmarkEnd w:id="27"/>
    </w:p>
    <w:p w:rsidR="002A523D" w:rsidRPr="00AE66A9" w:rsidRDefault="002A523D" w:rsidP="001565A8">
      <w:pPr>
        <w:pStyle w:val="Reftext"/>
        <w:rPr>
          <w:lang w:val="en-GB"/>
        </w:rPr>
      </w:pPr>
      <w:r w:rsidRPr="00AE66A9">
        <w:rPr>
          <w:lang w:val="en-GB"/>
        </w:rPr>
        <w:t>[12]</w:t>
      </w:r>
      <w:r w:rsidRPr="00AE66A9">
        <w:rPr>
          <w:lang w:val="en-GB"/>
        </w:rPr>
        <w:tab/>
        <w:t xml:space="preserve">ETSI EN 302 077 v1.1.1 – Electromagnetic compatibility and Radio spectrum Matters (ERM); Transmitting equipment for the Terrestrial </w:t>
      </w:r>
      <w:r w:rsidR="001565A8">
        <w:rPr>
          <w:lang w:val="en-GB"/>
        </w:rPr>
        <w:t>–</w:t>
      </w:r>
      <w:r w:rsidRPr="00AE66A9">
        <w:rPr>
          <w:lang w:val="en-GB"/>
        </w:rPr>
        <w:t xml:space="preserve"> Digital Audio Broadcasting (T</w:t>
      </w:r>
      <w:r w:rsidRPr="00AE66A9">
        <w:rPr>
          <w:lang w:val="en-GB"/>
        </w:rPr>
        <w:noBreakHyphen/>
        <w:t>DAB) service; Part 1: Technical characteristics and test methods</w:t>
      </w:r>
    </w:p>
    <w:p w:rsidR="002A523D" w:rsidRPr="00AE66A9" w:rsidRDefault="002A523D" w:rsidP="002A523D">
      <w:pPr>
        <w:pStyle w:val="Reftext"/>
        <w:rPr>
          <w:lang w:val="en-GB"/>
        </w:rPr>
      </w:pPr>
      <w:r w:rsidRPr="00AE66A9">
        <w:rPr>
          <w:lang w:val="en-GB"/>
        </w:rPr>
        <w:t>[13]</w:t>
      </w:r>
      <w:r w:rsidRPr="00AE66A9">
        <w:rPr>
          <w:lang w:val="en-GB"/>
        </w:rPr>
        <w:tab/>
        <w:t>ETSI EN 302 296 v1.1.1 – Electromagnetic compatibility and Radio spectrum Matters (ERM); Transmitting equipment for the digital television broadcast service, Terrestrial (DVB-T)</w:t>
      </w:r>
    </w:p>
    <w:p w:rsidR="002A523D" w:rsidRPr="00AE66A9" w:rsidRDefault="002A523D" w:rsidP="002A523D">
      <w:pPr>
        <w:pStyle w:val="Reftext"/>
        <w:rPr>
          <w:lang w:val="en-GB"/>
        </w:rPr>
      </w:pPr>
      <w:bookmarkStart w:id="28" w:name="_Ref476044989"/>
      <w:r w:rsidRPr="00AE66A9">
        <w:rPr>
          <w:lang w:val="en-GB"/>
        </w:rPr>
        <w:t>[14]</w:t>
      </w:r>
      <w:r w:rsidRPr="00AE66A9">
        <w:rPr>
          <w:lang w:val="en-GB"/>
        </w:rPr>
        <w:tab/>
        <w:t xml:space="preserve">LTE User Equipment – Coexistence with 862-870 MHz, Ofcom, Septiembre de 2012: </w:t>
      </w:r>
      <w:hyperlink r:id="rId30" w:history="1">
        <w:r w:rsidRPr="00AE66A9">
          <w:rPr>
            <w:rStyle w:val="Hyperlink"/>
            <w:lang w:val="en-GB"/>
          </w:rPr>
          <w:t>http://stakeholders.ofcom.org.uk/binaries/consultations/award-800mhz/statement/lte-coexistence.pdf</w:t>
        </w:r>
        <w:bookmarkEnd w:id="28"/>
      </w:hyperlink>
      <w:r w:rsidRPr="00AE66A9">
        <w:rPr>
          <w:lang w:val="en-GB"/>
        </w:rPr>
        <w:t xml:space="preserve"> </w:t>
      </w:r>
    </w:p>
    <w:p w:rsidR="002A523D" w:rsidRPr="0072410C" w:rsidRDefault="002A523D" w:rsidP="002A523D">
      <w:pPr>
        <w:pStyle w:val="Reftext"/>
        <w:rPr>
          <w:lang w:val="es-ES_tradnl"/>
        </w:rPr>
      </w:pPr>
      <w:bookmarkStart w:id="29" w:name="_Ref476045152"/>
      <w:r w:rsidRPr="0072410C">
        <w:rPr>
          <w:lang w:val="es-ES_tradnl"/>
        </w:rPr>
        <w:t>[15]</w:t>
      </w:r>
      <w:r w:rsidRPr="0072410C">
        <w:rPr>
          <w:lang w:val="es-ES_tradnl"/>
        </w:rPr>
        <w:tab/>
        <w:t xml:space="preserve">Recomendación UIT-R M.2071 – </w:t>
      </w:r>
      <w:bookmarkEnd w:id="29"/>
      <w:r w:rsidRPr="0072410C">
        <w:rPr>
          <w:lang w:val="es-ES_tradnl"/>
        </w:rPr>
        <w:t>Características genéricas de las emisiones no deseadas procedentes de estaciones móviles que utilizan las interfaces radioeléctricas terrenales de las IMT-Avanzadas</w:t>
      </w:r>
    </w:p>
    <w:p w:rsidR="002A523D" w:rsidRPr="00AE66A9" w:rsidRDefault="002A523D" w:rsidP="002A523D">
      <w:pPr>
        <w:pStyle w:val="Reftext"/>
        <w:rPr>
          <w:lang w:val="en-GB"/>
        </w:rPr>
      </w:pPr>
      <w:r w:rsidRPr="00AE66A9">
        <w:rPr>
          <w:lang w:val="en-GB"/>
        </w:rPr>
        <w:t>[16]</w:t>
      </w:r>
      <w:r w:rsidRPr="00AE66A9">
        <w:rPr>
          <w:lang w:val="en-GB"/>
        </w:rPr>
        <w:tab/>
        <w:t>ETSI TS 145 005 v13.0.0 (2016-01) – Digital cellular telecommunications system (Phase 2+); Radio transmission and reception (3GPP TS 45.005 version 13.0.0 Release 13)</w:t>
      </w:r>
    </w:p>
    <w:p w:rsidR="002A523D" w:rsidRPr="00AE66A9" w:rsidRDefault="002A523D" w:rsidP="002A523D">
      <w:pPr>
        <w:pStyle w:val="Reftext"/>
        <w:rPr>
          <w:lang w:val="en-GB"/>
        </w:rPr>
      </w:pPr>
      <w:r w:rsidRPr="00AE66A9">
        <w:rPr>
          <w:lang w:val="en-GB"/>
        </w:rPr>
        <w:t>[17]</w:t>
      </w:r>
      <w:r w:rsidRPr="00AE66A9">
        <w:rPr>
          <w:lang w:val="en-GB"/>
        </w:rPr>
        <w:tab/>
        <w:t>ETSI EN 300 175-2 v2.6.1 (2015-07) – Digital Enhanced Cordless Telecommunications (DECT). Common Interface (CI); Part 2: Physical Layer (PHL)</w:t>
      </w:r>
    </w:p>
    <w:p w:rsidR="002A523D" w:rsidRPr="00AE66A9" w:rsidRDefault="002A523D" w:rsidP="002A523D">
      <w:pPr>
        <w:pStyle w:val="Reftext"/>
        <w:rPr>
          <w:lang w:val="en-GB"/>
        </w:rPr>
      </w:pPr>
      <w:r w:rsidRPr="00AE66A9">
        <w:rPr>
          <w:lang w:val="en-GB"/>
        </w:rPr>
        <w:t>[18]</w:t>
      </w:r>
      <w:r w:rsidRPr="00AE66A9">
        <w:rPr>
          <w:lang w:val="en-GB"/>
        </w:rPr>
        <w:tab/>
        <w:t xml:space="preserve">ETSI TS 125 104 – Universal Mobile Telecommunications System (UMTS); Base Station (BS) radio transmission and reception (FDD) </w:t>
      </w:r>
    </w:p>
    <w:p w:rsidR="002A523D" w:rsidRPr="00AE66A9" w:rsidRDefault="002A523D" w:rsidP="00592856">
      <w:pPr>
        <w:pStyle w:val="Reftext"/>
        <w:keepNext/>
        <w:keepLines/>
        <w:rPr>
          <w:lang w:val="en-GB"/>
        </w:rPr>
      </w:pPr>
      <w:r w:rsidRPr="00AE66A9">
        <w:rPr>
          <w:lang w:val="en-GB"/>
        </w:rPr>
        <w:lastRenderedPageBreak/>
        <w:t>[19]</w:t>
      </w:r>
      <w:r w:rsidRPr="00AE66A9">
        <w:rPr>
          <w:lang w:val="en-GB"/>
        </w:rPr>
        <w:tab/>
        <w:t>ETSI EN 300 328 v1.9.1 – Electromagnetic compatibility and Radio spectrum Matters (ERM); Wideband transmission systems; Data transmission equipment operating in the 2.4 GHz ISM band and using wide band modulation techniques; Harmonized EN covering the essential requirements of article 3.2 of the R&amp;TTE Directive</w:t>
      </w:r>
    </w:p>
    <w:p w:rsidR="002A523D" w:rsidRPr="00AE66A9" w:rsidRDefault="002A523D" w:rsidP="002A523D">
      <w:pPr>
        <w:pStyle w:val="Reftext"/>
        <w:rPr>
          <w:lang w:val="en-GB"/>
        </w:rPr>
      </w:pPr>
      <w:r w:rsidRPr="00AE66A9">
        <w:rPr>
          <w:lang w:val="en-GB"/>
        </w:rPr>
        <w:t>[20]</w:t>
      </w:r>
      <w:r w:rsidRPr="00AE66A9">
        <w:rPr>
          <w:lang w:val="en-GB"/>
        </w:rPr>
        <w:tab/>
        <w:t>ETSI EN 302 217-2-2 v2.0.0 – Fixed Radio Systems; Characteristics and requirements for point-to-point equipment and antennas</w:t>
      </w:r>
    </w:p>
    <w:p w:rsidR="002A523D" w:rsidRPr="00AE66A9" w:rsidRDefault="002A523D" w:rsidP="002A523D">
      <w:pPr>
        <w:pStyle w:val="Reftext"/>
        <w:rPr>
          <w:lang w:val="en-GB"/>
        </w:rPr>
      </w:pPr>
      <w:r w:rsidRPr="00AE66A9">
        <w:rPr>
          <w:lang w:val="en-GB"/>
        </w:rPr>
        <w:t>[21]</w:t>
      </w:r>
      <w:r w:rsidRPr="00AE66A9">
        <w:rPr>
          <w:lang w:val="en-GB"/>
        </w:rPr>
        <w:tab/>
        <w:t xml:space="preserve">ETSI EN 301 390 v1.3.1 – Fixed Radio Systems; Point-to-point and Multipoint Systems; Unwanted emissions in the spurious domain and receiver immunity limits at equipment/antenna port of Digital Fixed Radio Systems </w:t>
      </w:r>
    </w:p>
    <w:p w:rsidR="002A523D" w:rsidRPr="0072410C" w:rsidRDefault="002A523D" w:rsidP="002A523D">
      <w:pPr>
        <w:pStyle w:val="Reftext"/>
        <w:rPr>
          <w:lang w:val="es-ES_tradnl"/>
        </w:rPr>
      </w:pPr>
      <w:r w:rsidRPr="0072410C">
        <w:rPr>
          <w:lang w:val="es-ES_tradnl"/>
        </w:rPr>
        <w:t>[22]</w:t>
      </w:r>
      <w:r w:rsidRPr="0072410C">
        <w:rPr>
          <w:lang w:val="es-ES_tradnl"/>
        </w:rPr>
        <w:tab/>
        <w:t>Recomendación (02)05 del ECC – Emisiones no deseadas</w:t>
      </w:r>
    </w:p>
    <w:p w:rsidR="002A523D" w:rsidRPr="00AE66A9" w:rsidRDefault="002A523D" w:rsidP="002A523D">
      <w:pPr>
        <w:pStyle w:val="Reftext"/>
        <w:rPr>
          <w:lang w:val="en-GB"/>
        </w:rPr>
      </w:pPr>
      <w:r w:rsidRPr="00AE66A9">
        <w:rPr>
          <w:lang w:val="en-GB"/>
        </w:rPr>
        <w:t>[23]</w:t>
      </w:r>
      <w:r w:rsidRPr="00AE66A9">
        <w:rPr>
          <w:lang w:val="en-GB"/>
        </w:rPr>
        <w:tab/>
        <w:t>ETSI EN 301 406 v1.5.1 – Digital Enhanced Cordless Telecommunications (DECT); Harmonized EN for Digital Enhanced Cordless Telecommunications (DECT) covering the essential requirements under article 3.2 of the R&amp;TTE Directive; Generic radio</w:t>
      </w:r>
    </w:p>
    <w:p w:rsidR="002A523D" w:rsidRPr="00AE66A9" w:rsidRDefault="002A523D" w:rsidP="002A523D">
      <w:pPr>
        <w:pStyle w:val="Reftext"/>
        <w:rPr>
          <w:lang w:val="en-GB"/>
        </w:rPr>
      </w:pPr>
      <w:r w:rsidRPr="0072410C">
        <w:rPr>
          <w:lang w:val="es-ES_tradnl"/>
        </w:rPr>
        <w:t>[24]</w:t>
      </w:r>
      <w:r w:rsidRPr="0072410C">
        <w:rPr>
          <w:lang w:val="es-ES_tradnl"/>
        </w:rPr>
        <w:tab/>
        <w:t xml:space="preserve">Declaración de coordinación de ECC PT1 a ETSI ERM RM y ERM/MSG TFES sobre los «límites de emisiones no esenciales de la categoría B de IMT 2000/UTRA», Doc. </w:t>
      </w:r>
      <w:r w:rsidRPr="00AE66A9">
        <w:rPr>
          <w:lang w:val="en-GB"/>
        </w:rPr>
        <w:t>ECC PT1(06)184, Anexo 12</w:t>
      </w:r>
    </w:p>
    <w:p w:rsidR="002A523D" w:rsidRPr="00AE66A9" w:rsidRDefault="002A523D" w:rsidP="002A523D">
      <w:pPr>
        <w:pStyle w:val="Reftext"/>
        <w:rPr>
          <w:lang w:val="en-GB"/>
        </w:rPr>
      </w:pPr>
      <w:r w:rsidRPr="00AE66A9">
        <w:rPr>
          <w:lang w:val="en-GB"/>
        </w:rPr>
        <w:t>[25]</w:t>
      </w:r>
      <w:r w:rsidRPr="00AE66A9">
        <w:rPr>
          <w:lang w:val="en-GB"/>
        </w:rPr>
        <w:tab/>
        <w:t>ETSI Technical Specification TS 136 521 – LTE; Evolved Universal Terrestrial Radio Access (E</w:t>
      </w:r>
      <w:r w:rsidRPr="00AE66A9">
        <w:rPr>
          <w:lang w:val="en-GB"/>
        </w:rPr>
        <w:noBreakHyphen/>
        <w:t>UTRA); User Equipment (UE) conformance specification; Radio transmission and reception</w:t>
      </w:r>
    </w:p>
    <w:p w:rsidR="002A523D" w:rsidRPr="0072410C" w:rsidRDefault="002A523D" w:rsidP="002A523D">
      <w:pPr>
        <w:pStyle w:val="Reftext"/>
        <w:rPr>
          <w:lang w:val="es-ES_tradnl"/>
        </w:rPr>
      </w:pPr>
      <w:r w:rsidRPr="0072410C">
        <w:rPr>
          <w:lang w:val="es-ES_tradnl"/>
        </w:rPr>
        <w:t>[26]</w:t>
      </w:r>
      <w:r w:rsidRPr="0072410C">
        <w:rPr>
          <w:lang w:val="es-ES_tradnl"/>
        </w:rPr>
        <w:tab/>
        <w:t>Informe UIT-R M.2292-0 – Características de los sistemas terrenales de las IMT-Avanzadas para los análisis de compartición de frecuencias/interferencia</w:t>
      </w:r>
    </w:p>
    <w:p w:rsidR="002A523D" w:rsidRPr="00AE66A9" w:rsidRDefault="002A523D" w:rsidP="002A523D">
      <w:pPr>
        <w:pStyle w:val="Reftext"/>
        <w:rPr>
          <w:lang w:val="en-GB"/>
        </w:rPr>
      </w:pPr>
      <w:r w:rsidRPr="00AE66A9">
        <w:rPr>
          <w:lang w:val="en-GB"/>
        </w:rPr>
        <w:t>[27]</w:t>
      </w:r>
      <w:r w:rsidRPr="00AE66A9">
        <w:rPr>
          <w:lang w:val="en-GB"/>
        </w:rPr>
        <w:tab/>
        <w:t>Informe 174 del ECC – Compatibility between the mobile service in the band 2500-2690 MHz and the radiodetermination service in the band 2700-2900 MHz</w:t>
      </w:r>
    </w:p>
    <w:p w:rsidR="002A523D" w:rsidRPr="00AE66A9" w:rsidRDefault="002A523D" w:rsidP="002A523D">
      <w:pPr>
        <w:pStyle w:val="Reftext"/>
        <w:rPr>
          <w:lang w:val="en-GB"/>
        </w:rPr>
      </w:pPr>
      <w:r w:rsidRPr="00AE66A9">
        <w:rPr>
          <w:lang w:val="en-GB"/>
        </w:rPr>
        <w:t>[28]</w:t>
      </w:r>
      <w:r w:rsidRPr="00AE66A9">
        <w:rPr>
          <w:lang w:val="en-GB"/>
        </w:rPr>
        <w:tab/>
        <w:t>IEEE 802.11-2012 – IEEE Standard for Information technology – Telecommunications and information exchange between systems Local and metropolitan area networks – Specific requirements Part 11: Wireless LAN Medium Access Control (MAC) and Physical Layer (PHY) Specifications</w:t>
      </w:r>
    </w:p>
    <w:p w:rsidR="002A523D" w:rsidRPr="002A523D" w:rsidRDefault="002A523D" w:rsidP="002A523D">
      <w:pPr>
        <w:pStyle w:val="Reftext"/>
        <w:rPr>
          <w:lang w:val="en-GB"/>
        </w:rPr>
      </w:pPr>
      <w:r w:rsidRPr="002A523D">
        <w:rPr>
          <w:lang w:val="en-GB"/>
        </w:rPr>
        <w:t>[29]</w:t>
      </w:r>
      <w:r w:rsidRPr="002A523D">
        <w:rPr>
          <w:lang w:val="en-GB"/>
        </w:rPr>
        <w:tab/>
        <w:t>ETSI EN 301 908-21 v5.2.1 – IMT cellular networks; Harmonized EN covering the essential requirements of article 3.2 of the R&amp;TTE Directive; Part 21: OFDMA TDD WMAN (Mobile WiMAX) FDD User Equipment (UE)</w:t>
      </w:r>
    </w:p>
    <w:p w:rsidR="002A523D" w:rsidRPr="0072410C" w:rsidRDefault="002A523D" w:rsidP="002A523D">
      <w:pPr>
        <w:pStyle w:val="Reftext"/>
        <w:rPr>
          <w:szCs w:val="24"/>
          <w:highlight w:val="yellow"/>
          <w:lang w:val="es-ES_tradnl"/>
        </w:rPr>
      </w:pPr>
      <w:r w:rsidRPr="0072410C">
        <w:rPr>
          <w:lang w:val="es-ES_tradnl"/>
        </w:rPr>
        <w:t>[30]</w:t>
      </w:r>
      <w:r w:rsidRPr="0072410C">
        <w:rPr>
          <w:lang w:val="es-ES_tradnl"/>
        </w:rPr>
        <w:tab/>
      </w:r>
      <w:r w:rsidRPr="0072410C">
        <w:rPr>
          <w:szCs w:val="24"/>
          <w:lang w:val="es-ES_tradnl"/>
        </w:rPr>
        <w:t>Recomendación UIT-R M.1580</w:t>
      </w:r>
      <w:r w:rsidRPr="0072410C">
        <w:rPr>
          <w:lang w:val="es-ES_tradnl"/>
        </w:rPr>
        <w:t xml:space="preserve"> – </w:t>
      </w:r>
      <w:r w:rsidRPr="0072410C">
        <w:rPr>
          <w:szCs w:val="24"/>
          <w:lang w:val="es-ES_tradnl"/>
        </w:rPr>
        <w:t>Características genéricas de las emisiones no deseadas procedentes de estaciones de base que utilizan las interfaces radioeléctricas terrenales de las IMT-2000</w:t>
      </w:r>
    </w:p>
    <w:p w:rsidR="002A523D" w:rsidRPr="0072410C" w:rsidRDefault="002A523D" w:rsidP="002A523D">
      <w:pPr>
        <w:pStyle w:val="Reftext"/>
        <w:rPr>
          <w:szCs w:val="24"/>
          <w:highlight w:val="yellow"/>
          <w:lang w:val="es-ES_tradnl"/>
        </w:rPr>
      </w:pPr>
      <w:r w:rsidRPr="0072410C">
        <w:rPr>
          <w:lang w:val="es-ES_tradnl"/>
        </w:rPr>
        <w:t>[31]</w:t>
      </w:r>
      <w:r w:rsidRPr="0072410C">
        <w:rPr>
          <w:lang w:val="es-ES_tradnl"/>
        </w:rPr>
        <w:tab/>
      </w:r>
      <w:r w:rsidRPr="0072410C">
        <w:rPr>
          <w:szCs w:val="24"/>
          <w:lang w:val="es-ES_tradnl"/>
        </w:rPr>
        <w:t>Recomendación UIT-R M.1581</w:t>
      </w:r>
      <w:r w:rsidRPr="0072410C">
        <w:rPr>
          <w:lang w:val="es-ES_tradnl"/>
        </w:rPr>
        <w:t xml:space="preserve"> – </w:t>
      </w:r>
      <w:r w:rsidRPr="0072410C">
        <w:rPr>
          <w:szCs w:val="24"/>
          <w:lang w:val="es-ES_tradnl"/>
        </w:rPr>
        <w:t>Características genéricas de las emisiones no deseadas procedentes de estaciones móviles que utilizan las interfaces radioeléctricas terrenales de las IMT-2000</w:t>
      </w:r>
    </w:p>
    <w:p w:rsidR="002A523D" w:rsidRPr="0072410C" w:rsidRDefault="002A523D" w:rsidP="002A523D">
      <w:pPr>
        <w:pStyle w:val="Reftext"/>
        <w:rPr>
          <w:szCs w:val="24"/>
          <w:highlight w:val="yellow"/>
          <w:lang w:val="es-ES_tradnl"/>
        </w:rPr>
      </w:pPr>
      <w:r w:rsidRPr="0072410C">
        <w:rPr>
          <w:lang w:val="es-ES_tradnl"/>
        </w:rPr>
        <w:t>[32]</w:t>
      </w:r>
      <w:r w:rsidRPr="0072410C">
        <w:rPr>
          <w:lang w:val="es-ES_tradnl"/>
        </w:rPr>
        <w:tab/>
      </w:r>
      <w:r w:rsidRPr="0072410C">
        <w:rPr>
          <w:szCs w:val="24"/>
          <w:lang w:val="es-ES_tradnl"/>
        </w:rPr>
        <w:t>Recomendación UIT-R M.2070</w:t>
      </w:r>
      <w:r w:rsidRPr="0072410C">
        <w:rPr>
          <w:lang w:val="es-ES_tradnl"/>
        </w:rPr>
        <w:t xml:space="preserve"> – </w:t>
      </w:r>
      <w:r w:rsidRPr="0072410C">
        <w:rPr>
          <w:szCs w:val="24"/>
          <w:lang w:val="es-ES_tradnl"/>
        </w:rPr>
        <w:t>Características genéricas de las emisiones no deseadas procedentes de estaciones de base que utilizan las interfaces radioeléctricas terrenales de las IMT-Avanzadas</w:t>
      </w:r>
    </w:p>
    <w:p w:rsidR="002A523D" w:rsidRPr="0072410C" w:rsidRDefault="002A523D" w:rsidP="002A523D">
      <w:pPr>
        <w:pStyle w:val="Reftext"/>
        <w:rPr>
          <w:lang w:val="es-ES_tradnl"/>
        </w:rPr>
      </w:pPr>
      <w:r w:rsidRPr="0072410C">
        <w:rPr>
          <w:lang w:val="es-ES_tradnl"/>
        </w:rPr>
        <w:t>[33]</w:t>
      </w:r>
      <w:r w:rsidRPr="0072410C">
        <w:rPr>
          <w:lang w:val="es-ES_tradnl"/>
        </w:rPr>
        <w:tab/>
        <w:t>Recomendación UIT-R SM.1540 – Emisiones no deseadas en el dominio de las emisiones fuera de banda que caen dentro de las bandas atribuidas adyacentes</w:t>
      </w:r>
    </w:p>
    <w:p w:rsidR="002A523D" w:rsidRPr="0072410C" w:rsidRDefault="002A523D" w:rsidP="002A523D">
      <w:pPr>
        <w:pStyle w:val="Reftext"/>
        <w:rPr>
          <w:lang w:val="es-ES_tradnl"/>
        </w:rPr>
      </w:pPr>
      <w:r w:rsidRPr="0072410C">
        <w:rPr>
          <w:lang w:val="es-ES_tradnl"/>
        </w:rPr>
        <w:t>[34]</w:t>
      </w:r>
      <w:r w:rsidRPr="0072410C">
        <w:rPr>
          <w:lang w:val="es-ES_tradnl"/>
        </w:rPr>
        <w:tab/>
        <w:t>Directiva 2014/53/UE del Parlamento Europeo y del Consejo, de 16 de abril de 2014</w:t>
      </w:r>
    </w:p>
    <w:p w:rsidR="002A523D" w:rsidRPr="002A523D" w:rsidRDefault="002A523D" w:rsidP="002A523D">
      <w:pPr>
        <w:pStyle w:val="Reftext"/>
        <w:rPr>
          <w:szCs w:val="24"/>
          <w:lang w:val="en-GB"/>
        </w:rPr>
      </w:pPr>
      <w:r w:rsidRPr="002A523D">
        <w:rPr>
          <w:lang w:val="en-GB"/>
        </w:rPr>
        <w:t>[35]</w:t>
      </w:r>
      <w:r w:rsidRPr="002A523D">
        <w:rPr>
          <w:lang w:val="en-GB"/>
        </w:rPr>
        <w:tab/>
        <w:t>3GPP TS 36.211 v13.1.0 – Evolved Universal Terrestrial Radio Access (E-UTRA); Physical channels and modulation</w:t>
      </w:r>
    </w:p>
    <w:p w:rsidR="002A523D" w:rsidRPr="002A523D" w:rsidRDefault="002A523D" w:rsidP="002A523D">
      <w:pPr>
        <w:pStyle w:val="Reftext"/>
        <w:rPr>
          <w:lang w:val="en-GB"/>
        </w:rPr>
      </w:pPr>
      <w:r w:rsidRPr="002A523D">
        <w:rPr>
          <w:lang w:val="en-GB"/>
        </w:rPr>
        <w:t>[36]</w:t>
      </w:r>
      <w:r w:rsidRPr="002A523D">
        <w:rPr>
          <w:lang w:val="en-GB"/>
        </w:rPr>
        <w:tab/>
        <w:t>ETSI EN 302 408 v8.0.1 – Digital cellular telecommunications system (Phase 2+); GSM Cordless Telephony System (CTS), Phase 1; CTS-FP Radio subsystem</w:t>
      </w:r>
    </w:p>
    <w:p w:rsidR="002A523D" w:rsidRPr="002A523D" w:rsidRDefault="002A523D" w:rsidP="002A523D">
      <w:pPr>
        <w:pStyle w:val="Reftext"/>
        <w:rPr>
          <w:lang w:val="en-GB"/>
        </w:rPr>
      </w:pPr>
      <w:r w:rsidRPr="002A523D">
        <w:rPr>
          <w:lang w:val="en-GB"/>
        </w:rPr>
        <w:t>[37]</w:t>
      </w:r>
      <w:r w:rsidRPr="002A523D">
        <w:rPr>
          <w:lang w:val="en-GB"/>
        </w:rPr>
        <w:tab/>
        <w:t>ETSI EN 301 502 v12.1.1 – Global System for Mobile communications (GSM); Harmonized EN for Base Station Equipment covering the essential requirements of article 3.2 of the R&amp;TTE Directive</w:t>
      </w:r>
    </w:p>
    <w:p w:rsidR="002A523D" w:rsidRPr="0072410C" w:rsidRDefault="002A523D" w:rsidP="002A523D">
      <w:pPr>
        <w:pStyle w:val="Reftext"/>
        <w:rPr>
          <w:lang w:val="es-ES_tradnl"/>
        </w:rPr>
      </w:pPr>
      <w:r w:rsidRPr="0072410C">
        <w:rPr>
          <w:lang w:val="es-ES_tradnl"/>
        </w:rPr>
        <w:t>[38]</w:t>
      </w:r>
      <w:r w:rsidRPr="0072410C">
        <w:rPr>
          <w:lang w:val="es-ES_tradnl"/>
        </w:rPr>
        <w:tab/>
        <w:t>Recomendación UIT-R SM.328 – Espectros y anchuras de banda de las emisiones</w:t>
      </w:r>
    </w:p>
    <w:p w:rsidR="00592856" w:rsidRDefault="002A523D" w:rsidP="00592856">
      <w:pPr>
        <w:rPr>
          <w:lang w:val="es-ES_tradnl"/>
        </w:rPr>
      </w:pPr>
      <w:bookmarkStart w:id="30" w:name="_Toc475540027"/>
      <w:r w:rsidRPr="0072410C">
        <w:rPr>
          <w:lang w:val="es-ES_tradnl"/>
        </w:rPr>
        <w:br w:type="page"/>
      </w:r>
    </w:p>
    <w:p w:rsidR="002A523D" w:rsidRPr="0072410C" w:rsidRDefault="002A523D" w:rsidP="002A523D">
      <w:pPr>
        <w:pStyle w:val="AnnexNoTitle"/>
        <w:rPr>
          <w:lang w:val="es-ES_tradnl"/>
        </w:rPr>
      </w:pPr>
      <w:r w:rsidRPr="0072410C">
        <w:rPr>
          <w:caps/>
          <w:lang w:val="es-ES_tradnl"/>
        </w:rPr>
        <w:lastRenderedPageBreak/>
        <w:t>A</w:t>
      </w:r>
      <w:r w:rsidRPr="0072410C">
        <w:rPr>
          <w:lang w:val="es-ES_tradnl"/>
        </w:rPr>
        <w:t>nexo</w:t>
      </w:r>
      <w:r w:rsidRPr="0072410C">
        <w:rPr>
          <w:caps/>
          <w:lang w:val="es-ES_tradnl"/>
        </w:rPr>
        <w:t xml:space="preserve"> 1</w:t>
      </w:r>
      <w:r w:rsidRPr="0072410C">
        <w:rPr>
          <w:caps/>
          <w:lang w:val="es-ES_tradnl"/>
        </w:rPr>
        <w:br/>
      </w:r>
      <w:r w:rsidRPr="0072410C">
        <w:rPr>
          <w:caps/>
          <w:lang w:val="es-ES_tradnl"/>
        </w:rPr>
        <w:br/>
      </w:r>
      <w:r w:rsidRPr="0072410C">
        <w:rPr>
          <w:lang w:val="es-ES_tradnl"/>
        </w:rPr>
        <w:t>Proceso de medición y configuración</w:t>
      </w:r>
    </w:p>
    <w:p w:rsidR="002A523D" w:rsidRDefault="002A523D" w:rsidP="002A523D">
      <w:pPr>
        <w:keepLines/>
        <w:tabs>
          <w:tab w:val="clear" w:pos="794"/>
          <w:tab w:val="clear" w:pos="1191"/>
          <w:tab w:val="clear" w:pos="1588"/>
          <w:tab w:val="clear" w:pos="1985"/>
          <w:tab w:val="left" w:pos="567"/>
          <w:tab w:val="left" w:leader="dot" w:pos="7938"/>
          <w:tab w:val="center" w:pos="9526"/>
        </w:tabs>
        <w:spacing w:before="240"/>
        <w:ind w:left="567" w:hanging="567"/>
        <w:jc w:val="center"/>
        <w:rPr>
          <w:b/>
          <w:szCs w:val="24"/>
          <w:lang w:val="es-ES_tradnl"/>
        </w:rPr>
      </w:pPr>
      <w:r w:rsidRPr="0072410C">
        <w:rPr>
          <w:b/>
          <w:szCs w:val="24"/>
          <w:lang w:val="es-ES_tradnl"/>
        </w:rPr>
        <w:t>Índice</w:t>
      </w:r>
    </w:p>
    <w:p w:rsidR="002A523D" w:rsidRDefault="002A523D" w:rsidP="002A523D">
      <w:pPr>
        <w:pStyle w:val="toc0"/>
        <w:rPr>
          <w:b/>
          <w:szCs w:val="24"/>
          <w:lang w:val="es-ES_tradnl"/>
        </w:rPr>
      </w:pPr>
      <w:r w:rsidRPr="00592856">
        <w:rPr>
          <w:lang w:val="es-ES_tradnl" w:eastAsia="zh-CN"/>
        </w:rPr>
        <w:tab/>
        <w:t>Página</w:t>
      </w:r>
    </w:p>
    <w:p w:rsidR="002A523D" w:rsidRDefault="002A523D" w:rsidP="002A523D">
      <w:pPr>
        <w:pStyle w:val="TOC1"/>
        <w:rPr>
          <w:rFonts w:asciiTheme="minorHAnsi" w:eastAsiaTheme="minorEastAsia" w:hAnsiTheme="minorHAnsi" w:cstheme="minorBidi"/>
          <w:noProof/>
          <w:sz w:val="22"/>
          <w:szCs w:val="22"/>
          <w:lang w:val="es-ES" w:eastAsia="zh-CN"/>
        </w:rPr>
      </w:pPr>
      <w:r>
        <w:rPr>
          <w:b/>
          <w:szCs w:val="24"/>
          <w:lang w:val="es-ES_tradnl"/>
        </w:rPr>
        <w:fldChar w:fldCharType="begin"/>
      </w:r>
      <w:r>
        <w:rPr>
          <w:b/>
          <w:szCs w:val="24"/>
          <w:lang w:val="es-ES_tradnl"/>
        </w:rPr>
        <w:instrText xml:space="preserve"> TOC \o "1-1" \h \z \u </w:instrText>
      </w:r>
      <w:r>
        <w:rPr>
          <w:b/>
          <w:szCs w:val="24"/>
          <w:lang w:val="es-ES_tradnl"/>
        </w:rPr>
        <w:fldChar w:fldCharType="separate"/>
      </w:r>
      <w:hyperlink w:anchor="_Toc525820353" w:history="1">
        <w:r w:rsidRPr="00906361">
          <w:rPr>
            <w:rStyle w:val="Hyperlink"/>
            <w:noProof/>
            <w:lang w:val="es-ES_tradnl"/>
          </w:rPr>
          <w:t>1</w:t>
        </w:r>
        <w:r>
          <w:rPr>
            <w:rFonts w:asciiTheme="minorHAnsi" w:eastAsiaTheme="minorEastAsia" w:hAnsiTheme="minorHAnsi" w:cstheme="minorBidi"/>
            <w:noProof/>
            <w:sz w:val="22"/>
            <w:szCs w:val="22"/>
            <w:lang w:val="es-ES" w:eastAsia="zh-CN"/>
          </w:rPr>
          <w:tab/>
        </w:r>
        <w:r w:rsidRPr="00906361">
          <w:rPr>
            <w:rStyle w:val="Hyperlink"/>
            <w:noProof/>
            <w:lang w:val="es-ES_tradnl"/>
          </w:rPr>
          <w:t>Configuración de tipo 1</w:t>
        </w:r>
        <w:r>
          <w:rPr>
            <w:noProof/>
            <w:webHidden/>
          </w:rPr>
          <w:tab/>
        </w:r>
        <w:r>
          <w:rPr>
            <w:noProof/>
            <w:webHidden/>
          </w:rPr>
          <w:tab/>
        </w:r>
        <w:r>
          <w:rPr>
            <w:noProof/>
            <w:webHidden/>
          </w:rPr>
          <w:fldChar w:fldCharType="begin"/>
        </w:r>
        <w:r>
          <w:rPr>
            <w:noProof/>
            <w:webHidden/>
          </w:rPr>
          <w:instrText xml:space="preserve"> PAGEREF _Toc525820353 \h </w:instrText>
        </w:r>
        <w:r>
          <w:rPr>
            <w:noProof/>
            <w:webHidden/>
          </w:rPr>
        </w:r>
        <w:r>
          <w:rPr>
            <w:noProof/>
            <w:webHidden/>
          </w:rPr>
          <w:fldChar w:fldCharType="separate"/>
        </w:r>
        <w:r w:rsidR="005D44C1">
          <w:rPr>
            <w:noProof/>
            <w:webHidden/>
          </w:rPr>
          <w:t>13</w:t>
        </w:r>
        <w:r>
          <w:rPr>
            <w:noProof/>
            <w:webHidden/>
          </w:rPr>
          <w:fldChar w:fldCharType="end"/>
        </w:r>
      </w:hyperlink>
    </w:p>
    <w:p w:rsidR="002A523D" w:rsidRDefault="003A78D2" w:rsidP="002A523D">
      <w:pPr>
        <w:pStyle w:val="TOC1"/>
        <w:rPr>
          <w:rFonts w:asciiTheme="minorHAnsi" w:eastAsiaTheme="minorEastAsia" w:hAnsiTheme="minorHAnsi" w:cstheme="minorBidi"/>
          <w:noProof/>
          <w:sz w:val="22"/>
          <w:szCs w:val="22"/>
          <w:lang w:val="es-ES" w:eastAsia="zh-CN"/>
        </w:rPr>
      </w:pPr>
      <w:hyperlink w:anchor="_Toc525820354" w:history="1">
        <w:r w:rsidR="002A523D" w:rsidRPr="00906361">
          <w:rPr>
            <w:rStyle w:val="Hyperlink"/>
            <w:noProof/>
            <w:lang w:val="es-ES_tradnl"/>
          </w:rPr>
          <w:t>2</w:t>
        </w:r>
        <w:r w:rsidR="002A523D">
          <w:rPr>
            <w:rFonts w:asciiTheme="minorHAnsi" w:eastAsiaTheme="minorEastAsia" w:hAnsiTheme="minorHAnsi" w:cstheme="minorBidi"/>
            <w:noProof/>
            <w:sz w:val="22"/>
            <w:szCs w:val="22"/>
            <w:lang w:val="es-ES" w:eastAsia="zh-CN"/>
          </w:rPr>
          <w:tab/>
        </w:r>
        <w:r w:rsidR="002A523D" w:rsidRPr="00906361">
          <w:rPr>
            <w:rStyle w:val="Hyperlink"/>
            <w:noProof/>
            <w:lang w:val="es-ES_tradnl"/>
          </w:rPr>
          <w:t>Configuración de tipo 2</w:t>
        </w:r>
        <w:r w:rsidR="002A523D">
          <w:rPr>
            <w:noProof/>
            <w:webHidden/>
          </w:rPr>
          <w:tab/>
        </w:r>
        <w:r w:rsidR="002A523D">
          <w:rPr>
            <w:noProof/>
            <w:webHidden/>
          </w:rPr>
          <w:tab/>
        </w:r>
        <w:r w:rsidR="002A523D">
          <w:rPr>
            <w:noProof/>
            <w:webHidden/>
          </w:rPr>
          <w:fldChar w:fldCharType="begin"/>
        </w:r>
        <w:r w:rsidR="002A523D">
          <w:rPr>
            <w:noProof/>
            <w:webHidden/>
          </w:rPr>
          <w:instrText xml:space="preserve"> PAGEREF _Toc525820354 \h </w:instrText>
        </w:r>
        <w:r w:rsidR="002A523D">
          <w:rPr>
            <w:noProof/>
            <w:webHidden/>
          </w:rPr>
        </w:r>
        <w:r w:rsidR="002A523D">
          <w:rPr>
            <w:noProof/>
            <w:webHidden/>
          </w:rPr>
          <w:fldChar w:fldCharType="separate"/>
        </w:r>
        <w:r w:rsidR="005D44C1">
          <w:rPr>
            <w:noProof/>
            <w:webHidden/>
          </w:rPr>
          <w:t>14</w:t>
        </w:r>
        <w:r w:rsidR="002A523D">
          <w:rPr>
            <w:noProof/>
            <w:webHidden/>
          </w:rPr>
          <w:fldChar w:fldCharType="end"/>
        </w:r>
      </w:hyperlink>
    </w:p>
    <w:p w:rsidR="002A523D" w:rsidRDefault="003A78D2" w:rsidP="002A523D">
      <w:pPr>
        <w:pStyle w:val="TOC1"/>
        <w:rPr>
          <w:rFonts w:asciiTheme="minorHAnsi" w:eastAsiaTheme="minorEastAsia" w:hAnsiTheme="minorHAnsi" w:cstheme="minorBidi"/>
          <w:noProof/>
          <w:sz w:val="22"/>
          <w:szCs w:val="22"/>
          <w:lang w:val="es-ES" w:eastAsia="zh-CN"/>
        </w:rPr>
      </w:pPr>
      <w:hyperlink w:anchor="_Toc525820355" w:history="1">
        <w:r w:rsidR="002A523D" w:rsidRPr="00906361">
          <w:rPr>
            <w:rStyle w:val="Hyperlink"/>
            <w:noProof/>
            <w:lang w:val="es-ES_tradnl"/>
          </w:rPr>
          <w:t>3</w:t>
        </w:r>
        <w:r w:rsidR="002A523D">
          <w:rPr>
            <w:rFonts w:asciiTheme="minorHAnsi" w:eastAsiaTheme="minorEastAsia" w:hAnsiTheme="minorHAnsi" w:cstheme="minorBidi"/>
            <w:noProof/>
            <w:sz w:val="22"/>
            <w:szCs w:val="22"/>
            <w:lang w:val="es-ES" w:eastAsia="zh-CN"/>
          </w:rPr>
          <w:tab/>
        </w:r>
        <w:r w:rsidR="002A523D" w:rsidRPr="00906361">
          <w:rPr>
            <w:rStyle w:val="Hyperlink"/>
            <w:noProof/>
            <w:lang w:val="es-ES_tradnl"/>
          </w:rPr>
          <w:t>Configuración de tipo 3</w:t>
        </w:r>
        <w:r w:rsidR="002A523D">
          <w:rPr>
            <w:noProof/>
            <w:webHidden/>
          </w:rPr>
          <w:tab/>
        </w:r>
        <w:r w:rsidR="002A523D">
          <w:rPr>
            <w:noProof/>
            <w:webHidden/>
          </w:rPr>
          <w:tab/>
        </w:r>
        <w:r w:rsidR="002A523D">
          <w:rPr>
            <w:noProof/>
            <w:webHidden/>
          </w:rPr>
          <w:fldChar w:fldCharType="begin"/>
        </w:r>
        <w:r w:rsidR="002A523D">
          <w:rPr>
            <w:noProof/>
            <w:webHidden/>
          </w:rPr>
          <w:instrText xml:space="preserve"> PAGEREF _Toc525820355 \h </w:instrText>
        </w:r>
        <w:r w:rsidR="002A523D">
          <w:rPr>
            <w:noProof/>
            <w:webHidden/>
          </w:rPr>
        </w:r>
        <w:r w:rsidR="002A523D">
          <w:rPr>
            <w:noProof/>
            <w:webHidden/>
          </w:rPr>
          <w:fldChar w:fldCharType="separate"/>
        </w:r>
        <w:r w:rsidR="005D44C1">
          <w:rPr>
            <w:noProof/>
            <w:webHidden/>
          </w:rPr>
          <w:t>15</w:t>
        </w:r>
        <w:r w:rsidR="002A523D">
          <w:rPr>
            <w:noProof/>
            <w:webHidden/>
          </w:rPr>
          <w:fldChar w:fldCharType="end"/>
        </w:r>
      </w:hyperlink>
    </w:p>
    <w:p w:rsidR="002A523D" w:rsidRDefault="003A78D2" w:rsidP="002A523D">
      <w:pPr>
        <w:pStyle w:val="TOC1"/>
        <w:rPr>
          <w:rFonts w:asciiTheme="minorHAnsi" w:eastAsiaTheme="minorEastAsia" w:hAnsiTheme="minorHAnsi" w:cstheme="minorBidi"/>
          <w:noProof/>
          <w:sz w:val="22"/>
          <w:szCs w:val="22"/>
          <w:lang w:val="es-ES" w:eastAsia="zh-CN"/>
        </w:rPr>
      </w:pPr>
      <w:hyperlink w:anchor="_Toc525820356" w:history="1">
        <w:r w:rsidR="002A523D" w:rsidRPr="00906361">
          <w:rPr>
            <w:rStyle w:val="Hyperlink"/>
            <w:noProof/>
            <w:lang w:val="es-ES_tradnl"/>
          </w:rPr>
          <w:t>4</w:t>
        </w:r>
        <w:r w:rsidR="002A523D">
          <w:rPr>
            <w:rFonts w:asciiTheme="minorHAnsi" w:eastAsiaTheme="minorEastAsia" w:hAnsiTheme="minorHAnsi" w:cstheme="minorBidi"/>
            <w:noProof/>
            <w:sz w:val="22"/>
            <w:szCs w:val="22"/>
            <w:lang w:val="es-ES" w:eastAsia="zh-CN"/>
          </w:rPr>
          <w:tab/>
        </w:r>
        <w:r w:rsidR="002A523D" w:rsidRPr="00906361">
          <w:rPr>
            <w:rStyle w:val="Hyperlink"/>
            <w:noProof/>
            <w:lang w:val="es-ES_tradnl"/>
          </w:rPr>
          <w:t>Crestas y valores medios de las máscaras de espectro</w:t>
        </w:r>
        <w:r w:rsidR="002A523D">
          <w:rPr>
            <w:noProof/>
            <w:webHidden/>
          </w:rPr>
          <w:tab/>
        </w:r>
        <w:r w:rsidR="002A523D">
          <w:rPr>
            <w:noProof/>
            <w:webHidden/>
          </w:rPr>
          <w:tab/>
        </w:r>
        <w:r w:rsidR="002A523D">
          <w:rPr>
            <w:noProof/>
            <w:webHidden/>
          </w:rPr>
          <w:fldChar w:fldCharType="begin"/>
        </w:r>
        <w:r w:rsidR="002A523D">
          <w:rPr>
            <w:noProof/>
            <w:webHidden/>
          </w:rPr>
          <w:instrText xml:space="preserve"> PAGEREF _Toc525820356 \h </w:instrText>
        </w:r>
        <w:r w:rsidR="002A523D">
          <w:rPr>
            <w:noProof/>
            <w:webHidden/>
          </w:rPr>
        </w:r>
        <w:r w:rsidR="002A523D">
          <w:rPr>
            <w:noProof/>
            <w:webHidden/>
          </w:rPr>
          <w:fldChar w:fldCharType="separate"/>
        </w:r>
        <w:r w:rsidR="005D44C1">
          <w:rPr>
            <w:noProof/>
            <w:webHidden/>
          </w:rPr>
          <w:t>16</w:t>
        </w:r>
        <w:r w:rsidR="002A523D">
          <w:rPr>
            <w:noProof/>
            <w:webHidden/>
          </w:rPr>
          <w:fldChar w:fldCharType="end"/>
        </w:r>
      </w:hyperlink>
    </w:p>
    <w:p w:rsidR="002A523D" w:rsidRPr="0072410C" w:rsidRDefault="002A523D" w:rsidP="002A523D">
      <w:pPr>
        <w:pStyle w:val="Normalaftertitle"/>
        <w:rPr>
          <w:lang w:val="es-ES_tradnl"/>
        </w:rPr>
      </w:pPr>
      <w:r>
        <w:rPr>
          <w:b/>
          <w:szCs w:val="24"/>
          <w:lang w:val="es-ES_tradnl"/>
        </w:rPr>
        <w:fldChar w:fldCharType="end"/>
      </w:r>
      <w:bookmarkStart w:id="31" w:name="Annex_1"/>
      <w:r w:rsidRPr="0072410C">
        <w:rPr>
          <w:lang w:val="es-ES_tradnl"/>
        </w:rPr>
        <w:t>En el presente Anexo se muestran las configuraciones típicas para la medición de emisiones fuera de banda y emisiones no esenciales. La configuración que se utilice dependerá del rango dinámico requerido del resultado y de si la emisión es pulsada o continua.</w:t>
      </w:r>
    </w:p>
    <w:p w:rsidR="002A523D" w:rsidRPr="0072410C" w:rsidRDefault="002A523D" w:rsidP="002A523D">
      <w:pPr>
        <w:rPr>
          <w:lang w:val="es-ES_tradnl"/>
        </w:rPr>
      </w:pPr>
      <w:r w:rsidRPr="0072410C">
        <w:rPr>
          <w:lang w:val="es-ES_tradnl"/>
        </w:rPr>
        <w:t>En las mediciones conducidas de los transmisores que no requieren un trayecto de retorno, la señal se obtiene directamente de la salida del transmisor, después de una atenuación adecuada (carga ficticia) o de una salida de medición (si se dispone de ella). En caso de que se aplique un filtrado de salida externo, el punto de medición se encuentra después del filtro.</w:t>
      </w:r>
    </w:p>
    <w:p w:rsidR="002A523D" w:rsidRPr="0072410C" w:rsidRDefault="002A523D" w:rsidP="002A523D">
      <w:pPr>
        <w:rPr>
          <w:lang w:val="es-ES_tradnl"/>
        </w:rPr>
      </w:pPr>
      <w:r w:rsidRPr="0072410C">
        <w:rPr>
          <w:lang w:val="es-ES_tradnl"/>
        </w:rPr>
        <w:t>En las mediciones conducidas de los transmisores que requieren un trayecto de retorno para funcionar y que no disponen de una salida de medición, la señal se toma de la salida de un acoplador direccional que se inserta en el trayecto de transmisión. Un inconveniente importante de este método es que la señal que debe medirse es atenuada por el acoplador direccional (normalmente 20 dB), lo que limita el nivel de detección de emisiones no deseadas, sobre todo en los dispositivos de muy baja potencia. Algunos sistemas permiten el acceso a la línea de transmisión antes del divisor Rx/Tx, que es entonces el punto de medición preferido.</w:t>
      </w:r>
    </w:p>
    <w:p w:rsidR="002A523D" w:rsidRPr="0072410C" w:rsidRDefault="002A523D" w:rsidP="002A523D">
      <w:pPr>
        <w:rPr>
          <w:lang w:val="es-ES_tradnl"/>
        </w:rPr>
      </w:pPr>
      <w:r w:rsidRPr="0072410C">
        <w:rPr>
          <w:lang w:val="es-ES_tradnl"/>
        </w:rPr>
        <w:t>Los transmisores que no disponen de un puerto de antena deben medirse radiados, preferiblemente en una célula G-TEM con propiedades de RF conocidas.</w:t>
      </w:r>
    </w:p>
    <w:p w:rsidR="002A523D" w:rsidRPr="0072410C" w:rsidRDefault="002A523D" w:rsidP="002A523D">
      <w:pPr>
        <w:rPr>
          <w:lang w:val="es-ES_tradnl"/>
        </w:rPr>
      </w:pPr>
      <w:r w:rsidRPr="0072410C">
        <w:rPr>
          <w:lang w:val="es-ES_tradnl"/>
        </w:rPr>
        <w:t>En cuanto a las mediciones radiadas de los transmisores más grandes, la señal se toma de una antena de medición. En este caso, lo más importante es reunir la mayor cantidad posible de energía de RF y que la gama de frecuencias de interés esté libre de emisiones de otros transmisores. Ambas situaciones pueden abordarse utilizando una antena de alta directividad (y por lo tanto de alta ganancia) que apunte directamente a la antena transmisora a la distancia más corta posible.</w:t>
      </w:r>
    </w:p>
    <w:p w:rsidR="002A523D" w:rsidRPr="0072410C" w:rsidRDefault="002A523D" w:rsidP="002A523D">
      <w:pPr>
        <w:pStyle w:val="Heading1"/>
        <w:rPr>
          <w:lang w:val="es-ES_tradnl"/>
        </w:rPr>
      </w:pPr>
      <w:bookmarkStart w:id="32" w:name="_Toc476049652"/>
      <w:bookmarkStart w:id="33" w:name="_Toc487449430"/>
      <w:bookmarkStart w:id="34" w:name="_Toc525820173"/>
      <w:bookmarkStart w:id="35" w:name="_Toc525820353"/>
      <w:r w:rsidRPr="0072410C">
        <w:rPr>
          <w:lang w:val="es-ES_tradnl"/>
        </w:rPr>
        <w:t>1</w:t>
      </w:r>
      <w:r w:rsidRPr="0072410C">
        <w:rPr>
          <w:lang w:val="es-ES_tradnl"/>
        </w:rPr>
        <w:tab/>
        <w:t>Configuración de tipo 1</w:t>
      </w:r>
      <w:bookmarkEnd w:id="32"/>
      <w:bookmarkEnd w:id="33"/>
      <w:bookmarkEnd w:id="34"/>
      <w:bookmarkEnd w:id="35"/>
    </w:p>
    <w:p w:rsidR="002A523D" w:rsidRPr="0072410C" w:rsidRDefault="002A523D" w:rsidP="002A523D">
      <w:pPr>
        <w:rPr>
          <w:lang w:val="es-ES_tradnl"/>
        </w:rPr>
      </w:pPr>
      <w:r w:rsidRPr="0072410C">
        <w:rPr>
          <w:lang w:val="es-ES_tradnl"/>
        </w:rPr>
        <w:t>Si el rango dinámico requerido no es mayor que la diferencia entre el nivel máximo que el receptor de medición puede manejar sin sobrecargarse y su propio nivel de ruido, se puede utilizar la configuración más simple para señales continuas:</w:t>
      </w:r>
    </w:p>
    <w:p w:rsidR="002A523D" w:rsidRPr="0072410C" w:rsidRDefault="002A523D" w:rsidP="002A523D">
      <w:pPr>
        <w:pStyle w:val="FigureNo"/>
        <w:rPr>
          <w:lang w:val="es-ES_tradnl"/>
        </w:rPr>
      </w:pPr>
      <w:r w:rsidRPr="0072410C">
        <w:rPr>
          <w:lang w:val="es-ES_tradnl"/>
        </w:rPr>
        <w:lastRenderedPageBreak/>
        <w:t>Figura 1</w:t>
      </w:r>
    </w:p>
    <w:p w:rsidR="002A523D" w:rsidRDefault="002A523D" w:rsidP="002A523D">
      <w:pPr>
        <w:pStyle w:val="Figuretitle"/>
        <w:rPr>
          <w:lang w:val="es-ES_tradnl"/>
        </w:rPr>
      </w:pPr>
      <w:r w:rsidRPr="0072410C">
        <w:rPr>
          <w:lang w:val="es-ES_tradnl"/>
        </w:rPr>
        <w:t>Configuración principal de medición de tipo 1</w:t>
      </w:r>
    </w:p>
    <w:p w:rsidR="00931531" w:rsidRPr="00D24BC5" w:rsidRDefault="007E1F28" w:rsidP="00931531">
      <w:pPr>
        <w:pStyle w:val="Figure"/>
        <w:rPr>
          <w:lang w:val="en-GB" w:eastAsia="zh-CN"/>
        </w:rPr>
      </w:pPr>
      <w:r>
        <w:object w:dxaOrig="3171" w:dyaOrig="323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6.35pt;height:211.15pt" o:ole="">
            <v:imagedata r:id="rId31" o:title=""/>
          </v:shape>
          <o:OLEObject Type="Embed" ProgID="CorelDraw.Graphic.16" ShapeID="_x0000_i1025" DrawAspect="Content" ObjectID="_1600519720" r:id="rId32"/>
        </w:object>
      </w:r>
    </w:p>
    <w:p w:rsidR="002A523D" w:rsidRPr="0072410C" w:rsidRDefault="002A523D" w:rsidP="002A523D">
      <w:pPr>
        <w:pStyle w:val="Heading1"/>
        <w:rPr>
          <w:lang w:val="es-ES_tradnl"/>
        </w:rPr>
      </w:pPr>
      <w:bookmarkStart w:id="36" w:name="_Toc476049653"/>
      <w:bookmarkStart w:id="37" w:name="_Toc487449431"/>
      <w:bookmarkStart w:id="38" w:name="_Toc525820174"/>
      <w:bookmarkStart w:id="39" w:name="_Toc525820354"/>
      <w:r w:rsidRPr="0072410C">
        <w:rPr>
          <w:lang w:val="es-ES_tradnl"/>
        </w:rPr>
        <w:t>2</w:t>
      </w:r>
      <w:r w:rsidRPr="0072410C">
        <w:rPr>
          <w:lang w:val="es-ES_tradnl"/>
        </w:rPr>
        <w:tab/>
        <w:t>Configuración de tipo 2</w:t>
      </w:r>
      <w:bookmarkEnd w:id="36"/>
      <w:bookmarkEnd w:id="37"/>
      <w:bookmarkEnd w:id="38"/>
      <w:bookmarkEnd w:id="39"/>
    </w:p>
    <w:p w:rsidR="002A523D" w:rsidRPr="0072410C" w:rsidRDefault="002A523D" w:rsidP="002A523D">
      <w:pPr>
        <w:rPr>
          <w:lang w:val="es-ES_tradnl"/>
        </w:rPr>
      </w:pPr>
      <w:r w:rsidRPr="0072410C">
        <w:rPr>
          <w:lang w:val="es-ES_tradnl"/>
        </w:rPr>
        <w:t>Esta configuración puede utilizarse para señales continuas cuando el rango dinámico requerido del resultado supera la capacidad del receptor/analizador de medición.</w:t>
      </w:r>
    </w:p>
    <w:p w:rsidR="002A523D" w:rsidRPr="0072410C" w:rsidRDefault="002A523D" w:rsidP="002A523D">
      <w:pPr>
        <w:rPr>
          <w:lang w:val="es-ES_tradnl"/>
        </w:rPr>
      </w:pPr>
      <w:r w:rsidRPr="0072410C">
        <w:rPr>
          <w:lang w:val="es-ES_tradnl"/>
        </w:rPr>
        <w:t>Para mejorar el rango dinámico del receptor/analizador de medición, la señal deseada debe ser suprimida por un filtro (sintonizable). En primer lugar, se mide y registra el espectro filtrado en el canal o la frecuencia deseados, así como en el dominio fuera de banda o no esencial. En una segunda medición, utilizando la misma configuración de receptor/analizador, se mide y registra la atenuación (respuesta de frecuencia) del filtro. A continuación, mediante una aplicación informática (por ejemplo, Microsoft Excel), se añaden ambas curvas para conservar el espectro original de la señal. La medición es más eficiente si es controlada por una computadora.</w:t>
      </w:r>
    </w:p>
    <w:p w:rsidR="002A523D" w:rsidRPr="0072410C" w:rsidRDefault="002A523D" w:rsidP="002A523D">
      <w:pPr>
        <w:rPr>
          <w:lang w:val="es-ES_tradnl"/>
        </w:rPr>
      </w:pPr>
      <w:r w:rsidRPr="0072410C">
        <w:rPr>
          <w:lang w:val="es-ES_tradnl"/>
        </w:rPr>
        <w:t>Dependiendo de la aplicación, frecuencia y anchura de banda de la señal analizada, puede utilizarse un filtro de paso de banda o un filtro de supresión de banda. En el caso de las emisiones no esenciales, se prefiere un filtro de supresión de banda sintonizado con la frecuencia deseada, ya que permite medir todo el rango no esencial a la vez. En las mediciones fuera de banda también pueden utilizarse filtros de paso de banda sintonizados con la gama de frecuencias del dominio fuera de banda que se desea medir.</w:t>
      </w:r>
    </w:p>
    <w:p w:rsidR="002A523D" w:rsidRPr="0072410C" w:rsidRDefault="002A523D" w:rsidP="00E6488C">
      <w:pPr>
        <w:pStyle w:val="FigureNo"/>
        <w:keepNext w:val="0"/>
        <w:keepLines w:val="0"/>
        <w:spacing w:before="240"/>
        <w:rPr>
          <w:lang w:val="es-ES_tradnl"/>
        </w:rPr>
      </w:pPr>
      <w:r w:rsidRPr="0072410C">
        <w:rPr>
          <w:lang w:val="es-ES_tradnl"/>
        </w:rPr>
        <w:t>Figura 2</w:t>
      </w:r>
    </w:p>
    <w:p w:rsidR="002A523D" w:rsidRDefault="002A523D" w:rsidP="002A523D">
      <w:pPr>
        <w:pStyle w:val="Figuretitle"/>
        <w:rPr>
          <w:lang w:val="es-ES_tradnl"/>
        </w:rPr>
      </w:pPr>
      <w:r w:rsidRPr="0072410C">
        <w:rPr>
          <w:lang w:val="es-ES_tradnl"/>
        </w:rPr>
        <w:t>Configuración principal de medición de tipo 2</w:t>
      </w:r>
    </w:p>
    <w:p w:rsidR="007323D5" w:rsidRPr="007323D5" w:rsidRDefault="007E1F28" w:rsidP="007323D5">
      <w:pPr>
        <w:pStyle w:val="Figure"/>
        <w:rPr>
          <w:lang w:val="es-ES_tradnl"/>
        </w:rPr>
      </w:pPr>
      <w:r>
        <w:object w:dxaOrig="4528" w:dyaOrig="2612">
          <v:shape id="_x0000_i1026" type="#_x0000_t75" style="width:284.8pt;height:163.9pt" o:ole="">
            <v:imagedata r:id="rId33" o:title=""/>
          </v:shape>
          <o:OLEObject Type="Embed" ProgID="CorelDraw.Graphic.16" ShapeID="_x0000_i1026" DrawAspect="Content" ObjectID="_1600519721" r:id="rId34"/>
        </w:object>
      </w:r>
    </w:p>
    <w:p w:rsidR="002A523D" w:rsidRPr="0072410C" w:rsidRDefault="002A523D" w:rsidP="002A523D">
      <w:pPr>
        <w:pStyle w:val="Heading1"/>
        <w:rPr>
          <w:lang w:val="es-ES_tradnl"/>
        </w:rPr>
      </w:pPr>
      <w:bookmarkStart w:id="40" w:name="_Ref475545435"/>
      <w:bookmarkStart w:id="41" w:name="_Toc476049654"/>
      <w:bookmarkStart w:id="42" w:name="_Toc487449432"/>
      <w:bookmarkStart w:id="43" w:name="_Toc525820175"/>
      <w:bookmarkStart w:id="44" w:name="_Toc525820355"/>
      <w:r w:rsidRPr="0072410C">
        <w:rPr>
          <w:lang w:val="es-ES_tradnl"/>
        </w:rPr>
        <w:lastRenderedPageBreak/>
        <w:t>3</w:t>
      </w:r>
      <w:r w:rsidRPr="0072410C">
        <w:rPr>
          <w:lang w:val="es-ES_tradnl"/>
        </w:rPr>
        <w:tab/>
        <w:t>Configuración de tipo 3</w:t>
      </w:r>
      <w:bookmarkEnd w:id="40"/>
      <w:bookmarkEnd w:id="41"/>
      <w:bookmarkEnd w:id="42"/>
      <w:bookmarkEnd w:id="43"/>
      <w:bookmarkEnd w:id="44"/>
    </w:p>
    <w:p w:rsidR="002A523D" w:rsidRPr="0072410C" w:rsidRDefault="002A523D" w:rsidP="002A523D">
      <w:pPr>
        <w:rPr>
          <w:lang w:val="es-ES_tradnl"/>
        </w:rPr>
      </w:pPr>
      <w:r w:rsidRPr="0072410C">
        <w:rPr>
          <w:lang w:val="es-ES_tradnl"/>
        </w:rPr>
        <w:t>En cuanto a los sistemas AMDT que transmiten en ráfagas, los límites suelen aplicarse a los períodos en que el transmisor está encendido. A menos que en la recomendación pertinente se mencione específicamente el nivel de cresta, deberá medirse el nivel medio de ráfaga, que es el valor cuadrático medio solo durante la ráfaga. Esto se hace activando externamente el receptor de medición al inicio de la ráfaga y ajustando el tiempo de medición para que coincida con la duración de la ráfaga. El activador se deriva de un segundo analizador de espectro, que funciona en modo de intervalo cero y se sintoniza con la frecuencia deseada.</w:t>
      </w:r>
    </w:p>
    <w:p w:rsidR="002A523D" w:rsidRPr="0072410C" w:rsidRDefault="002A523D" w:rsidP="002A523D">
      <w:pPr>
        <w:rPr>
          <w:lang w:val="es-ES_tradnl"/>
        </w:rPr>
      </w:pPr>
      <w:r w:rsidRPr="0072410C">
        <w:rPr>
          <w:lang w:val="es-ES_tradnl"/>
        </w:rPr>
        <w:t>El proceso de medición es idéntico al de la configuración de tipo 2.</w:t>
      </w:r>
    </w:p>
    <w:p w:rsidR="002A523D" w:rsidRPr="0072410C" w:rsidRDefault="002A523D" w:rsidP="002A523D">
      <w:pPr>
        <w:pStyle w:val="FigureNo"/>
        <w:rPr>
          <w:lang w:val="es-ES_tradnl"/>
        </w:rPr>
      </w:pPr>
      <w:r w:rsidRPr="0072410C">
        <w:rPr>
          <w:lang w:val="es-ES_tradnl"/>
        </w:rPr>
        <w:t>Figura 3</w:t>
      </w:r>
    </w:p>
    <w:p w:rsidR="002A523D" w:rsidRDefault="002A523D" w:rsidP="002A523D">
      <w:pPr>
        <w:pStyle w:val="Figuretitle"/>
        <w:rPr>
          <w:lang w:val="es-ES_tradnl"/>
        </w:rPr>
      </w:pPr>
      <w:r w:rsidRPr="0072410C">
        <w:rPr>
          <w:lang w:val="es-ES_tradnl"/>
        </w:rPr>
        <w:t>Configuración de tipo 3 para mediciones de sistemas AMDT</w:t>
      </w:r>
    </w:p>
    <w:p w:rsidR="006E3EE7" w:rsidRPr="00D24BC5" w:rsidRDefault="007E1F28" w:rsidP="006E3EE7">
      <w:pPr>
        <w:pStyle w:val="Figure"/>
        <w:rPr>
          <w:lang w:val="en-GB" w:eastAsia="zh-CN"/>
        </w:rPr>
      </w:pPr>
      <w:r>
        <w:object w:dxaOrig="5595" w:dyaOrig="2876">
          <v:shape id="_x0000_i1027" type="#_x0000_t75" style="width:368.05pt;height:189.15pt" o:ole="">
            <v:imagedata r:id="rId35" o:title=""/>
          </v:shape>
          <o:OLEObject Type="Embed" ProgID="CorelDraw.Graphic.16" ShapeID="_x0000_i1027" DrawAspect="Content" ObjectID="_1600519722" r:id="rId36"/>
        </w:object>
      </w:r>
    </w:p>
    <w:p w:rsidR="002A523D" w:rsidRPr="0072410C" w:rsidRDefault="002A523D" w:rsidP="002A523D">
      <w:pPr>
        <w:pStyle w:val="Headingb"/>
        <w:rPr>
          <w:rFonts w:eastAsia="Calibri"/>
          <w:lang w:val="es-ES_tradnl"/>
        </w:rPr>
      </w:pPr>
      <w:r w:rsidRPr="0072410C">
        <w:rPr>
          <w:rFonts w:eastAsia="Calibri"/>
          <w:lang w:val="es-ES_tradnl"/>
        </w:rPr>
        <w:t>Procesamiento de datos</w:t>
      </w:r>
    </w:p>
    <w:p w:rsidR="002A523D" w:rsidRPr="0072410C" w:rsidRDefault="002A523D" w:rsidP="002A523D">
      <w:pPr>
        <w:rPr>
          <w:lang w:val="es-ES_tradnl"/>
        </w:rPr>
      </w:pPr>
      <w:r w:rsidRPr="0072410C">
        <w:rPr>
          <w:lang w:val="es-ES_tradnl"/>
        </w:rPr>
        <w:t>La anchura de banda de medición se elige siempre de forma que sea igual o inferior a la anchura de banda de referencia indicada en la recomendación o norma pertinente. Especialmente en las proximidades de la cresta de las emisiones no esenciales y en el dominio fuera de banda próximo a la frecuencia deseada, es necesario utilizar una anchura de banda de medición estrecha porque, de lo contrario, el espectro medido se ampliaría indebidamente, lo que daría lugar a una sobreestimación del nivel no deseado.</w:t>
      </w:r>
    </w:p>
    <w:p w:rsidR="002A523D" w:rsidRPr="0072410C" w:rsidRDefault="002A523D" w:rsidP="002A523D">
      <w:pPr>
        <w:rPr>
          <w:lang w:val="es-ES_tradnl"/>
        </w:rPr>
      </w:pPr>
      <w:r w:rsidRPr="0072410C">
        <w:rPr>
          <w:lang w:val="es-ES_tradnl"/>
        </w:rPr>
        <w:t>Los niveles de señal (o densidades espectrales) tomados en la anchura de banda de medición seleccionada se convierten linealmente a los niveles o densidades de potencia correspondientes de las anchuras de banda de referencia mediante la siguiente fórmula:</w:t>
      </w:r>
    </w:p>
    <w:p w:rsidR="002A523D" w:rsidRPr="0072410C" w:rsidRDefault="002A523D" w:rsidP="002A523D">
      <w:pPr>
        <w:pStyle w:val="Equation"/>
        <w:rPr>
          <w:lang w:val="es-ES_tradnl"/>
        </w:rPr>
      </w:pPr>
      <w:r w:rsidRPr="0072410C">
        <w:rPr>
          <w:lang w:val="es-ES_tradnl"/>
        </w:rPr>
        <w:tab/>
      </w:r>
      <w:r w:rsidRPr="0072410C">
        <w:rPr>
          <w:lang w:val="es-ES_tradnl"/>
        </w:rPr>
        <w:tab/>
      </w:r>
      <w:r w:rsidRPr="0072410C">
        <w:rPr>
          <w:noProof/>
          <w:lang w:val="en-GB" w:eastAsia="zh-CN"/>
        </w:rPr>
        <w:drawing>
          <wp:inline distT="0" distB="0" distL="0" distR="0" wp14:anchorId="4D835235" wp14:editId="41F59A90">
            <wp:extent cx="2351405" cy="391795"/>
            <wp:effectExtent l="0" t="0" r="0" b="8255"/>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351405" cy="391795"/>
                    </a:xfrm>
                    <a:prstGeom prst="rect">
                      <a:avLst/>
                    </a:prstGeom>
                    <a:noFill/>
                    <a:ln>
                      <a:noFill/>
                    </a:ln>
                  </pic:spPr>
                </pic:pic>
              </a:graphicData>
            </a:graphic>
          </wp:inline>
        </w:drawing>
      </w:r>
    </w:p>
    <w:p w:rsidR="002A523D" w:rsidRPr="0072410C" w:rsidRDefault="002A523D" w:rsidP="002A523D">
      <w:pPr>
        <w:tabs>
          <w:tab w:val="clear" w:pos="794"/>
          <w:tab w:val="clear" w:pos="1191"/>
          <w:tab w:val="clear" w:pos="1588"/>
          <w:tab w:val="clear" w:pos="1985"/>
          <w:tab w:val="left" w:pos="1134"/>
          <w:tab w:val="left" w:pos="1871"/>
          <w:tab w:val="left" w:pos="2268"/>
        </w:tabs>
        <w:jc w:val="left"/>
        <w:rPr>
          <w:szCs w:val="24"/>
          <w:lang w:val="es-ES_tradnl"/>
        </w:rPr>
      </w:pPr>
      <w:r w:rsidRPr="0072410C">
        <w:rPr>
          <w:szCs w:val="24"/>
          <w:lang w:val="es-ES_tradnl"/>
        </w:rPr>
        <w:t>donde</w:t>
      </w:r>
    </w:p>
    <w:p w:rsidR="002A523D" w:rsidRPr="0072410C" w:rsidRDefault="002A523D" w:rsidP="002A523D">
      <w:pPr>
        <w:pStyle w:val="Equationlegend"/>
        <w:rPr>
          <w:lang w:val="es-ES_tradnl"/>
        </w:rPr>
      </w:pPr>
      <w:r w:rsidRPr="0072410C">
        <w:rPr>
          <w:i/>
          <w:lang w:val="es-ES_tradnl"/>
        </w:rPr>
        <w:tab/>
        <w:t>P</w:t>
      </w:r>
      <w:r w:rsidRPr="0072410C">
        <w:rPr>
          <w:rFonts w:asciiTheme="majorBidi" w:hAnsiTheme="majorBidi" w:cstheme="majorBidi"/>
          <w:i/>
          <w:szCs w:val="24"/>
          <w:vertAlign w:val="subscript"/>
          <w:lang w:val="es-ES_tradnl"/>
        </w:rPr>
        <w:t>refBW</w:t>
      </w:r>
      <w:r w:rsidRPr="0072410C">
        <w:rPr>
          <w:lang w:val="es-ES_tradnl"/>
        </w:rPr>
        <w:t xml:space="preserve"> : </w:t>
      </w:r>
      <w:r w:rsidRPr="0072410C">
        <w:rPr>
          <w:lang w:val="es-ES_tradnl"/>
        </w:rPr>
        <w:tab/>
        <w:t>nivel de señal en la anchura de banda de referencia</w:t>
      </w:r>
    </w:p>
    <w:p w:rsidR="002A523D" w:rsidRPr="0072410C" w:rsidRDefault="002A523D" w:rsidP="002A523D">
      <w:pPr>
        <w:pStyle w:val="Equationlegend"/>
        <w:rPr>
          <w:lang w:val="es-ES_tradnl"/>
        </w:rPr>
      </w:pPr>
      <w:r w:rsidRPr="0072410C">
        <w:rPr>
          <w:i/>
          <w:lang w:val="es-ES_tradnl"/>
        </w:rPr>
        <w:tab/>
        <w:t>P</w:t>
      </w:r>
      <w:r w:rsidRPr="0072410C">
        <w:rPr>
          <w:rFonts w:asciiTheme="majorBidi" w:hAnsiTheme="majorBidi" w:cstheme="majorBidi"/>
          <w:i/>
          <w:szCs w:val="24"/>
          <w:vertAlign w:val="subscript"/>
          <w:lang w:val="es-ES_tradnl"/>
        </w:rPr>
        <w:t>measBW</w:t>
      </w:r>
      <w:r w:rsidRPr="0072410C">
        <w:rPr>
          <w:lang w:val="es-ES_tradnl"/>
        </w:rPr>
        <w:t xml:space="preserve"> : </w:t>
      </w:r>
      <w:r w:rsidRPr="0072410C">
        <w:rPr>
          <w:lang w:val="es-ES_tradnl"/>
        </w:rPr>
        <w:tab/>
        <w:t>nivel de señal en la anchura de banda de medición</w:t>
      </w:r>
    </w:p>
    <w:p w:rsidR="002A523D" w:rsidRPr="0072410C" w:rsidRDefault="002A523D" w:rsidP="002A523D">
      <w:pPr>
        <w:pStyle w:val="Equationlegend"/>
        <w:rPr>
          <w:lang w:val="es-ES_tradnl"/>
        </w:rPr>
      </w:pPr>
      <w:r w:rsidRPr="0072410C">
        <w:rPr>
          <w:i/>
          <w:lang w:val="es-ES_tradnl"/>
        </w:rPr>
        <w:tab/>
        <w:t>refBW</w:t>
      </w:r>
      <w:r w:rsidRPr="0072410C">
        <w:rPr>
          <w:lang w:val="es-ES_tradnl"/>
        </w:rPr>
        <w:t xml:space="preserve"> : </w:t>
      </w:r>
      <w:r w:rsidRPr="0072410C">
        <w:rPr>
          <w:lang w:val="es-ES_tradnl"/>
        </w:rPr>
        <w:tab/>
        <w:t>anchura de banda de referencia</w:t>
      </w:r>
    </w:p>
    <w:p w:rsidR="002A523D" w:rsidRPr="0072410C" w:rsidRDefault="002A523D" w:rsidP="002A523D">
      <w:pPr>
        <w:pStyle w:val="Equationlegend"/>
        <w:rPr>
          <w:lang w:val="es-ES_tradnl"/>
        </w:rPr>
      </w:pPr>
      <w:r w:rsidRPr="0072410C">
        <w:rPr>
          <w:i/>
          <w:lang w:val="es-ES_tradnl"/>
        </w:rPr>
        <w:tab/>
        <w:t>measBW</w:t>
      </w:r>
      <w:r w:rsidRPr="0072410C">
        <w:rPr>
          <w:lang w:val="es-ES_tradnl"/>
        </w:rPr>
        <w:t xml:space="preserve"> : </w:t>
      </w:r>
      <w:r w:rsidRPr="0072410C">
        <w:rPr>
          <w:lang w:val="es-ES_tradnl"/>
        </w:rPr>
        <w:tab/>
        <w:t>anchura de banda de medición</w:t>
      </w:r>
    </w:p>
    <w:p w:rsidR="002A523D" w:rsidRPr="0072410C" w:rsidRDefault="002A523D" w:rsidP="002A523D">
      <w:pPr>
        <w:pStyle w:val="Heading1"/>
        <w:rPr>
          <w:lang w:val="es-ES_tradnl"/>
        </w:rPr>
      </w:pPr>
      <w:bookmarkStart w:id="45" w:name="_Ref437874744"/>
      <w:bookmarkStart w:id="46" w:name="_Toc476049655"/>
      <w:bookmarkStart w:id="47" w:name="_Toc487449433"/>
      <w:bookmarkStart w:id="48" w:name="_Toc525820176"/>
      <w:bookmarkStart w:id="49" w:name="_Toc525820356"/>
      <w:r w:rsidRPr="0072410C">
        <w:rPr>
          <w:lang w:val="es-ES_tradnl"/>
        </w:rPr>
        <w:lastRenderedPageBreak/>
        <w:t>4</w:t>
      </w:r>
      <w:r w:rsidRPr="0072410C">
        <w:rPr>
          <w:lang w:val="es-ES_tradnl"/>
        </w:rPr>
        <w:tab/>
      </w:r>
      <w:bookmarkEnd w:id="45"/>
      <w:bookmarkEnd w:id="46"/>
      <w:bookmarkEnd w:id="47"/>
      <w:r w:rsidRPr="0072410C">
        <w:rPr>
          <w:lang w:val="es-ES_tradnl"/>
        </w:rPr>
        <w:t>Crestas y valores medios de las máscaras de espectro</w:t>
      </w:r>
      <w:bookmarkEnd w:id="48"/>
      <w:bookmarkEnd w:id="49"/>
    </w:p>
    <w:p w:rsidR="002A523D" w:rsidRPr="0072410C" w:rsidRDefault="002A523D" w:rsidP="002A523D">
      <w:pPr>
        <w:rPr>
          <w:lang w:val="es-ES_tradnl"/>
        </w:rPr>
      </w:pPr>
      <w:r w:rsidRPr="0072410C">
        <w:rPr>
          <w:szCs w:val="24"/>
          <w:lang w:val="es-ES_tradnl"/>
        </w:rPr>
        <w:t>Si se establecieran límites para las emisiones no deseadas que no deban superarse en ningún momento, sería necesario medir las emisiones con un detector de crestas.</w:t>
      </w:r>
      <w:r w:rsidRPr="0072410C">
        <w:rPr>
          <w:lang w:val="es-ES_tradnl"/>
        </w:rPr>
        <w:t xml:space="preserve"> No obstante, la referencia de 0 dB para las máscaras de espectro fuera de banda es, en la mayoría de los casos, la potencia total en el canal o una densidad de flujo de potencia en una anchura de banda de referencia determinada, que son valores cuadráticos medios.</w:t>
      </w:r>
    </w:p>
    <w:p w:rsidR="002A523D" w:rsidRPr="0072410C" w:rsidRDefault="002A523D" w:rsidP="002A523D">
      <w:pPr>
        <w:rPr>
          <w:lang w:val="es-ES_tradnl"/>
        </w:rPr>
      </w:pPr>
      <w:r w:rsidRPr="0072410C">
        <w:rPr>
          <w:lang w:val="es-ES_tradnl"/>
        </w:rPr>
        <w:t>Mientras que en los receptores analógicos víctimas el potencial de interferencia de una emisión no deseada depende principalmente de su nivel de cresta, en los receptores digitales el potencial de interferencia está determinado por el valor cuadrático medio. Este extremo se ha comprobado mediante diversas mediciones realizadas en estudios de compatibilidad.</w:t>
      </w:r>
    </w:p>
    <w:p w:rsidR="002A523D" w:rsidRPr="0072410C" w:rsidRDefault="002A523D" w:rsidP="002A523D">
      <w:pPr>
        <w:rPr>
          <w:lang w:val="es-ES_tradnl"/>
        </w:rPr>
      </w:pPr>
      <w:r w:rsidRPr="0072410C">
        <w:rPr>
          <w:lang w:val="es-ES_tradnl"/>
        </w:rPr>
        <w:t>En los sistemas digitales, casi todas las emisiones no deseadas, así como la emisión deseada, son similares al ruido, lo que significa que normalmente hay una diferencia fija entre el valor cuadrático medio y el nivel de cresta de unos 13 dB. En estos sistemas sería posible definir valores cuadráticos medios o límites de cresta, ya que se podría calcular el otro nivel correspondiente. Entre las excepciones cabe mencionar los picos debidos a los armónicos o a la mezcla de productos.</w:t>
      </w:r>
    </w:p>
    <w:p w:rsidR="002A523D" w:rsidRPr="0072410C" w:rsidRDefault="002A523D" w:rsidP="002A523D">
      <w:pPr>
        <w:rPr>
          <w:lang w:val="es-ES_tradnl"/>
        </w:rPr>
      </w:pPr>
      <w:r w:rsidRPr="0072410C">
        <w:rPr>
          <w:lang w:val="es-ES_tradnl"/>
        </w:rPr>
        <w:t xml:space="preserve">No obstante, puede resultar útil considerar los sistemas caso por caso y definir tanto los niveles fuera de banda o no esenciales como el nivel de referencia de 0 dB sobre la misma base (ambos según el valor cuadrático medio o según el nivel de cresta) y adaptarlos al caso específico, ya que ello permitiría la comparación directa de un espectro medido con una máscara. En la </w:t>
      </w:r>
      <w:r w:rsidR="00674EE1">
        <w:rPr>
          <w:lang w:val="es-ES_tradnl"/>
        </w:rPr>
        <w:t xml:space="preserve">Fig. </w:t>
      </w:r>
      <w:r w:rsidRPr="0072410C">
        <w:rPr>
          <w:lang w:val="es-ES_tradnl"/>
        </w:rPr>
        <w:t>4 se muestra un ejemplo (emisiones fuera de banda DVB-T) en el que los límites fuera de banda de la máscara se definen siempre en niveles de cresta. La máscara 1 es la densidad espectral de cresta en la anchura de banda de referencia de 4 kHz. Esta máscara puede compararse directamente con el espectro fuera de banda medido. En la máscara 2, sin embargo, el nivel de referencia de 0 dB es la potencia espectral del valor cuadrático medio en 4 kHz. En este caso hay una diferencia de aproximadamente 13 dB entre la densidad espectral medida en el canal y la referencia de 0 dB de la máscara.</w:t>
      </w:r>
    </w:p>
    <w:p w:rsidR="002A523D" w:rsidRPr="0072410C" w:rsidRDefault="002A523D" w:rsidP="002A523D">
      <w:pPr>
        <w:pStyle w:val="FigureNo"/>
        <w:rPr>
          <w:lang w:val="es-ES_tradnl"/>
        </w:rPr>
      </w:pPr>
      <w:bookmarkStart w:id="50" w:name="_Ref437881045"/>
      <w:r w:rsidRPr="0072410C">
        <w:rPr>
          <w:lang w:val="es-ES_tradnl"/>
        </w:rPr>
        <w:t>Figura 4</w:t>
      </w:r>
      <w:bookmarkEnd w:id="50"/>
    </w:p>
    <w:p w:rsidR="002A523D" w:rsidRDefault="002A523D" w:rsidP="002A523D">
      <w:pPr>
        <w:pStyle w:val="Figuretitle"/>
        <w:rPr>
          <w:lang w:val="es-ES_tradnl"/>
        </w:rPr>
      </w:pPr>
      <w:r w:rsidRPr="0072410C">
        <w:rPr>
          <w:lang w:val="es-ES_tradnl"/>
        </w:rPr>
        <w:t>Diferentes definiciones de máscara: un ejemplo (emisiones fuera de banda DVB-T)</w:t>
      </w:r>
    </w:p>
    <w:p w:rsidR="00AF3A27" w:rsidRPr="00D24BC5" w:rsidRDefault="00E01F1A" w:rsidP="00AF3A27">
      <w:pPr>
        <w:pStyle w:val="Figure"/>
        <w:rPr>
          <w:lang w:val="en-GB"/>
        </w:rPr>
      </w:pPr>
      <w:r>
        <w:object w:dxaOrig="6347" w:dyaOrig="4106">
          <v:shape id="_x0000_i1028" type="#_x0000_t75" style="width:419.65pt;height:271.35pt" o:ole="">
            <v:imagedata r:id="rId38" o:title=""/>
          </v:shape>
          <o:OLEObject Type="Embed" ProgID="CorelDraw.Graphic.16" ShapeID="_x0000_i1028" DrawAspect="Content" ObjectID="_1600519723" r:id="rId39"/>
        </w:object>
      </w:r>
    </w:p>
    <w:p w:rsidR="002A523D" w:rsidRPr="0072410C" w:rsidRDefault="002A523D" w:rsidP="002A523D">
      <w:pPr>
        <w:pStyle w:val="Normalaftertitle"/>
        <w:rPr>
          <w:lang w:val="es-ES_tradnl"/>
        </w:rPr>
      </w:pPr>
      <w:r w:rsidRPr="0072410C">
        <w:rPr>
          <w:lang w:val="es-ES_tradnl"/>
        </w:rPr>
        <w:lastRenderedPageBreak/>
        <w:t>En muchos casos, el nivel de referencia de una máscara de espectro es la potencia de la portadora no modulada. En los sistemas digitales, la portadora nunca está sin modulación y, por lo tanto, no puede medirse directamente. En lugar de ello, la potencia total en el canal de la señal modulada puede ser el valor cuadrático medio medido, ya que este valor es igual a la potencia de una portadora no modulada. Sin embargo, la anchura de banda de referencia para esta medición debe ser la anchura de banda ocupada de la señal, que puede ser diferente de la anchura de banda de referencia correspondiente a las emisiones no deseadas. En estos casos, una máscara de espectro comparada con un espectro medido no tiene una línea de refer</w:t>
      </w:r>
      <w:r w:rsidR="005E4FFC">
        <w:rPr>
          <w:lang w:val="es-ES_tradnl"/>
        </w:rPr>
        <w:t>m</w:t>
      </w:r>
      <w:r w:rsidRPr="0072410C">
        <w:rPr>
          <w:lang w:val="es-ES_tradnl"/>
        </w:rPr>
        <w:t xml:space="preserve">encia en el canal. En el ejemplo de la </w:t>
      </w:r>
      <w:r w:rsidR="00674EE1">
        <w:rPr>
          <w:lang w:val="es-ES_tradnl"/>
        </w:rPr>
        <w:t xml:space="preserve">Fig. </w:t>
      </w:r>
      <w:r w:rsidRPr="0072410C">
        <w:rPr>
          <w:lang w:val="es-ES_tradnl"/>
        </w:rPr>
        <w:t>4, faltaría la línea horizontal entre 0 MHz y 4 MHz de desplazamiento, y el nivel de referencia de 0 dB sería desplazado por la diferencia resultante de la corrección de la anchura de banda (en el caso del sistema DVB-T: 10*log</w:t>
      </w:r>
      <w:r w:rsidRPr="0072410C">
        <w:rPr>
          <w:vertAlign w:val="subscript"/>
          <w:lang w:val="es-ES_tradnl"/>
        </w:rPr>
        <w:t>10</w:t>
      </w:r>
      <w:r w:rsidRPr="0072410C">
        <w:rPr>
          <w:lang w:val="es-ES_tradnl"/>
        </w:rPr>
        <w:t>(8 MHz/4 kHz)=23 dB).</w:t>
      </w:r>
      <w:bookmarkEnd w:id="30"/>
      <w:bookmarkEnd w:id="31"/>
    </w:p>
    <w:p w:rsidR="002A523D" w:rsidRPr="0072410C" w:rsidRDefault="002A523D" w:rsidP="002A523D">
      <w:pPr>
        <w:tabs>
          <w:tab w:val="clear" w:pos="794"/>
          <w:tab w:val="clear" w:pos="1191"/>
          <w:tab w:val="clear" w:pos="1588"/>
          <w:tab w:val="clear" w:pos="1985"/>
        </w:tabs>
        <w:overflowPunct/>
        <w:autoSpaceDE/>
        <w:autoSpaceDN/>
        <w:adjustRightInd/>
        <w:spacing w:before="0"/>
        <w:jc w:val="left"/>
        <w:textAlignment w:val="auto"/>
        <w:rPr>
          <w:lang w:val="es-ES_tradnl"/>
        </w:rPr>
      </w:pPr>
    </w:p>
    <w:p w:rsidR="002A523D" w:rsidRPr="0072410C" w:rsidRDefault="002A523D" w:rsidP="002A523D">
      <w:pPr>
        <w:tabs>
          <w:tab w:val="clear" w:pos="794"/>
          <w:tab w:val="clear" w:pos="1191"/>
          <w:tab w:val="clear" w:pos="1588"/>
          <w:tab w:val="clear" w:pos="1985"/>
        </w:tabs>
        <w:overflowPunct/>
        <w:autoSpaceDE/>
        <w:autoSpaceDN/>
        <w:adjustRightInd/>
        <w:spacing w:before="0"/>
        <w:jc w:val="left"/>
        <w:textAlignment w:val="auto"/>
        <w:rPr>
          <w:lang w:val="es-ES_tradnl"/>
        </w:rPr>
      </w:pPr>
      <w:r w:rsidRPr="0072410C">
        <w:rPr>
          <w:lang w:val="es-ES_tradnl"/>
        </w:rPr>
        <w:br w:type="page"/>
      </w:r>
    </w:p>
    <w:p w:rsidR="002A523D" w:rsidRPr="0072410C" w:rsidRDefault="002A523D" w:rsidP="002A523D">
      <w:pPr>
        <w:pStyle w:val="AnnexNoTitle"/>
        <w:rPr>
          <w:lang w:val="es-ES_tradnl"/>
        </w:rPr>
      </w:pPr>
      <w:r w:rsidRPr="0072410C">
        <w:rPr>
          <w:caps/>
          <w:lang w:val="es-ES_tradnl"/>
        </w:rPr>
        <w:lastRenderedPageBreak/>
        <w:t>A</w:t>
      </w:r>
      <w:r w:rsidRPr="0072410C">
        <w:rPr>
          <w:lang w:val="es-ES_tradnl"/>
        </w:rPr>
        <w:t>nexo</w:t>
      </w:r>
      <w:r w:rsidRPr="0072410C">
        <w:rPr>
          <w:caps/>
          <w:lang w:val="es-ES_tradnl"/>
        </w:rPr>
        <w:t xml:space="preserve"> 2</w:t>
      </w:r>
      <w:r w:rsidRPr="0072410C">
        <w:rPr>
          <w:caps/>
          <w:lang w:val="es-ES_tradnl"/>
        </w:rPr>
        <w:br/>
      </w:r>
      <w:r w:rsidRPr="0072410C">
        <w:rPr>
          <w:caps/>
          <w:lang w:val="es-ES_tradnl"/>
        </w:rPr>
        <w:br/>
      </w:r>
      <w:bookmarkStart w:id="51" w:name="_Toc475540029"/>
      <w:r w:rsidRPr="0072410C">
        <w:rPr>
          <w:lang w:val="es-ES_tradnl"/>
        </w:rPr>
        <w:t>Mediciones de las emisiones no deseadas de sistemas digitales comunes</w:t>
      </w:r>
      <w:bookmarkEnd w:id="51"/>
    </w:p>
    <w:p w:rsidR="002A523D" w:rsidRDefault="002A523D" w:rsidP="002A523D">
      <w:pPr>
        <w:keepLines/>
        <w:tabs>
          <w:tab w:val="clear" w:pos="794"/>
          <w:tab w:val="clear" w:pos="1191"/>
          <w:tab w:val="clear" w:pos="1588"/>
          <w:tab w:val="clear" w:pos="1985"/>
          <w:tab w:val="left" w:pos="567"/>
          <w:tab w:val="left" w:leader="dot" w:pos="7938"/>
          <w:tab w:val="center" w:pos="9526"/>
        </w:tabs>
        <w:spacing w:before="240"/>
        <w:ind w:left="567" w:hanging="567"/>
        <w:jc w:val="center"/>
        <w:rPr>
          <w:b/>
          <w:szCs w:val="24"/>
          <w:lang w:val="es-ES_tradnl"/>
        </w:rPr>
      </w:pPr>
      <w:bookmarkStart w:id="52" w:name="_Toc475540030"/>
      <w:r w:rsidRPr="0072410C">
        <w:rPr>
          <w:b/>
          <w:szCs w:val="24"/>
          <w:lang w:val="es-ES_tradnl"/>
        </w:rPr>
        <w:t>Índice</w:t>
      </w:r>
    </w:p>
    <w:p w:rsidR="002A523D" w:rsidRPr="00AF31CE" w:rsidRDefault="002A523D" w:rsidP="002A523D">
      <w:pPr>
        <w:pStyle w:val="toc0"/>
        <w:rPr>
          <w:noProof/>
          <w:lang w:eastAsia="zh-CN"/>
        </w:rPr>
      </w:pPr>
      <w:r w:rsidRPr="009847AD">
        <w:rPr>
          <w:lang w:eastAsia="zh-CN"/>
        </w:rPr>
        <w:tab/>
        <w:t>P</w:t>
      </w:r>
      <w:r>
        <w:rPr>
          <w:lang w:eastAsia="zh-CN"/>
        </w:rPr>
        <w:t>ágina</w:t>
      </w:r>
      <w:r>
        <w:rPr>
          <w:b/>
          <w:szCs w:val="24"/>
          <w:lang w:val="es-ES_tradnl"/>
        </w:rPr>
        <w:fldChar w:fldCharType="begin"/>
      </w:r>
      <w:r>
        <w:rPr>
          <w:b/>
          <w:szCs w:val="24"/>
          <w:lang w:val="es-ES_tradnl"/>
        </w:rPr>
        <w:instrText xml:space="preserve"> TOC \o "1-1" \h \z \u </w:instrText>
      </w:r>
      <w:r>
        <w:rPr>
          <w:b/>
          <w:szCs w:val="24"/>
          <w:lang w:val="es-ES_tradnl"/>
        </w:rPr>
        <w:fldChar w:fldCharType="separate"/>
      </w:r>
    </w:p>
    <w:p w:rsidR="002A523D" w:rsidRDefault="003A78D2" w:rsidP="002A523D">
      <w:pPr>
        <w:pStyle w:val="TOC1"/>
        <w:rPr>
          <w:rFonts w:asciiTheme="minorHAnsi" w:eastAsiaTheme="minorEastAsia" w:hAnsiTheme="minorHAnsi" w:cstheme="minorBidi"/>
          <w:noProof/>
          <w:sz w:val="22"/>
          <w:szCs w:val="22"/>
          <w:lang w:val="es-ES" w:eastAsia="zh-CN"/>
        </w:rPr>
      </w:pPr>
      <w:hyperlink w:anchor="_Toc525820177" w:history="1">
        <w:r w:rsidR="002A523D" w:rsidRPr="00AD44F0">
          <w:rPr>
            <w:rStyle w:val="Hyperlink"/>
            <w:noProof/>
            <w:lang w:val="es-ES_tradnl"/>
          </w:rPr>
          <w:t>1</w:t>
        </w:r>
        <w:r w:rsidR="002A523D">
          <w:rPr>
            <w:rFonts w:asciiTheme="minorHAnsi" w:eastAsiaTheme="minorEastAsia" w:hAnsiTheme="minorHAnsi" w:cstheme="minorBidi"/>
            <w:noProof/>
            <w:sz w:val="22"/>
            <w:szCs w:val="22"/>
            <w:lang w:val="es-ES" w:eastAsia="zh-CN"/>
          </w:rPr>
          <w:tab/>
        </w:r>
        <w:r w:rsidR="002A523D" w:rsidRPr="00AD44F0">
          <w:rPr>
            <w:rStyle w:val="Hyperlink"/>
            <w:noProof/>
            <w:lang w:val="es-ES_tradnl"/>
          </w:rPr>
          <w:t>Consideraciones generales</w:t>
        </w:r>
        <w:r w:rsidR="002A523D">
          <w:rPr>
            <w:noProof/>
            <w:webHidden/>
          </w:rPr>
          <w:tab/>
        </w:r>
        <w:r w:rsidR="002A523D">
          <w:rPr>
            <w:noProof/>
            <w:webHidden/>
          </w:rPr>
          <w:tab/>
        </w:r>
        <w:r w:rsidR="002A523D">
          <w:rPr>
            <w:noProof/>
            <w:webHidden/>
          </w:rPr>
          <w:fldChar w:fldCharType="begin"/>
        </w:r>
        <w:r w:rsidR="002A523D">
          <w:rPr>
            <w:noProof/>
            <w:webHidden/>
          </w:rPr>
          <w:instrText xml:space="preserve"> PAGEREF _Toc525820177 \h </w:instrText>
        </w:r>
        <w:r w:rsidR="002A523D">
          <w:rPr>
            <w:noProof/>
            <w:webHidden/>
          </w:rPr>
        </w:r>
        <w:r w:rsidR="002A523D">
          <w:rPr>
            <w:noProof/>
            <w:webHidden/>
          </w:rPr>
          <w:fldChar w:fldCharType="separate"/>
        </w:r>
        <w:r w:rsidR="005D44C1">
          <w:rPr>
            <w:noProof/>
            <w:webHidden/>
          </w:rPr>
          <w:t>18</w:t>
        </w:r>
        <w:r w:rsidR="002A523D">
          <w:rPr>
            <w:noProof/>
            <w:webHidden/>
          </w:rPr>
          <w:fldChar w:fldCharType="end"/>
        </w:r>
      </w:hyperlink>
    </w:p>
    <w:p w:rsidR="002A523D" w:rsidRDefault="003A78D2" w:rsidP="002A523D">
      <w:pPr>
        <w:pStyle w:val="TOC1"/>
        <w:rPr>
          <w:rFonts w:asciiTheme="minorHAnsi" w:eastAsiaTheme="minorEastAsia" w:hAnsiTheme="minorHAnsi" w:cstheme="minorBidi"/>
          <w:noProof/>
          <w:sz w:val="22"/>
          <w:szCs w:val="22"/>
          <w:lang w:val="es-ES" w:eastAsia="zh-CN"/>
        </w:rPr>
      </w:pPr>
      <w:hyperlink w:anchor="_Toc525820178" w:history="1">
        <w:r w:rsidR="002A523D" w:rsidRPr="00AD44F0">
          <w:rPr>
            <w:rStyle w:val="Hyperlink"/>
            <w:noProof/>
            <w:lang w:val="es-ES_tradnl"/>
          </w:rPr>
          <w:t>2</w:t>
        </w:r>
        <w:r w:rsidR="002A523D">
          <w:rPr>
            <w:rFonts w:asciiTheme="minorHAnsi" w:eastAsiaTheme="minorEastAsia" w:hAnsiTheme="minorHAnsi" w:cstheme="minorBidi"/>
            <w:noProof/>
            <w:sz w:val="22"/>
            <w:szCs w:val="22"/>
            <w:lang w:val="es-ES" w:eastAsia="zh-CN"/>
          </w:rPr>
          <w:tab/>
        </w:r>
        <w:r w:rsidR="002A523D" w:rsidRPr="00AD44F0">
          <w:rPr>
            <w:rStyle w:val="Hyperlink"/>
            <w:noProof/>
            <w:lang w:val="es-ES_tradnl"/>
          </w:rPr>
          <w:t>DAB/</w:t>
        </w:r>
        <w:r w:rsidR="002A523D" w:rsidRPr="00AD44F0">
          <w:rPr>
            <w:rStyle w:val="Hyperlink"/>
            <w:noProof/>
            <w:lang w:val="es-ES_tradnl"/>
          </w:rPr>
          <w:t>D</w:t>
        </w:r>
        <w:r w:rsidR="002A523D" w:rsidRPr="00AD44F0">
          <w:rPr>
            <w:rStyle w:val="Hyperlink"/>
            <w:noProof/>
            <w:lang w:val="es-ES_tradnl"/>
          </w:rPr>
          <w:t>AB+</w:t>
        </w:r>
        <w:r w:rsidR="002A523D">
          <w:rPr>
            <w:noProof/>
            <w:webHidden/>
          </w:rPr>
          <w:tab/>
        </w:r>
        <w:r w:rsidR="002A523D">
          <w:rPr>
            <w:noProof/>
            <w:webHidden/>
          </w:rPr>
          <w:tab/>
        </w:r>
        <w:r w:rsidR="002A523D">
          <w:rPr>
            <w:noProof/>
            <w:webHidden/>
          </w:rPr>
          <w:fldChar w:fldCharType="begin"/>
        </w:r>
        <w:r w:rsidR="002A523D">
          <w:rPr>
            <w:noProof/>
            <w:webHidden/>
          </w:rPr>
          <w:instrText xml:space="preserve"> PAGEREF _Toc525820178 \h </w:instrText>
        </w:r>
        <w:r w:rsidR="002A523D">
          <w:rPr>
            <w:noProof/>
            <w:webHidden/>
          </w:rPr>
        </w:r>
        <w:r w:rsidR="002A523D">
          <w:rPr>
            <w:noProof/>
            <w:webHidden/>
          </w:rPr>
          <w:fldChar w:fldCharType="separate"/>
        </w:r>
        <w:r w:rsidR="005D44C1">
          <w:rPr>
            <w:noProof/>
            <w:webHidden/>
          </w:rPr>
          <w:t>19</w:t>
        </w:r>
        <w:r w:rsidR="002A523D">
          <w:rPr>
            <w:noProof/>
            <w:webHidden/>
          </w:rPr>
          <w:fldChar w:fldCharType="end"/>
        </w:r>
      </w:hyperlink>
    </w:p>
    <w:p w:rsidR="002A523D" w:rsidRDefault="003A78D2" w:rsidP="002A523D">
      <w:pPr>
        <w:pStyle w:val="TOC1"/>
        <w:rPr>
          <w:rFonts w:asciiTheme="minorHAnsi" w:eastAsiaTheme="minorEastAsia" w:hAnsiTheme="minorHAnsi" w:cstheme="minorBidi"/>
          <w:noProof/>
          <w:sz w:val="22"/>
          <w:szCs w:val="22"/>
          <w:lang w:val="es-ES" w:eastAsia="zh-CN"/>
        </w:rPr>
      </w:pPr>
      <w:hyperlink w:anchor="_Toc525820179" w:history="1">
        <w:r w:rsidR="002A523D" w:rsidRPr="00AD44F0">
          <w:rPr>
            <w:rStyle w:val="Hyperlink"/>
            <w:noProof/>
            <w:lang w:val="es-ES_tradnl"/>
          </w:rPr>
          <w:t>3</w:t>
        </w:r>
        <w:r w:rsidR="002A523D">
          <w:rPr>
            <w:rFonts w:asciiTheme="minorHAnsi" w:eastAsiaTheme="minorEastAsia" w:hAnsiTheme="minorHAnsi" w:cstheme="minorBidi"/>
            <w:noProof/>
            <w:sz w:val="22"/>
            <w:szCs w:val="22"/>
            <w:lang w:val="es-ES" w:eastAsia="zh-CN"/>
          </w:rPr>
          <w:tab/>
        </w:r>
        <w:r w:rsidR="002A523D" w:rsidRPr="00AD44F0">
          <w:rPr>
            <w:rStyle w:val="Hyperlink"/>
            <w:noProof/>
            <w:lang w:val="es-ES_tradnl"/>
          </w:rPr>
          <w:t>DVB-T</w:t>
        </w:r>
        <w:r w:rsidR="002A523D">
          <w:rPr>
            <w:noProof/>
            <w:webHidden/>
          </w:rPr>
          <w:tab/>
        </w:r>
        <w:r w:rsidR="002A523D">
          <w:rPr>
            <w:noProof/>
            <w:webHidden/>
          </w:rPr>
          <w:tab/>
        </w:r>
        <w:r w:rsidR="002A523D">
          <w:rPr>
            <w:noProof/>
            <w:webHidden/>
          </w:rPr>
          <w:fldChar w:fldCharType="begin"/>
        </w:r>
        <w:r w:rsidR="002A523D">
          <w:rPr>
            <w:noProof/>
            <w:webHidden/>
          </w:rPr>
          <w:instrText xml:space="preserve"> PAGEREF _Toc525820179 \h </w:instrText>
        </w:r>
        <w:r w:rsidR="002A523D">
          <w:rPr>
            <w:noProof/>
            <w:webHidden/>
          </w:rPr>
        </w:r>
        <w:r w:rsidR="002A523D">
          <w:rPr>
            <w:noProof/>
            <w:webHidden/>
          </w:rPr>
          <w:fldChar w:fldCharType="separate"/>
        </w:r>
        <w:r w:rsidR="005D44C1">
          <w:rPr>
            <w:noProof/>
            <w:webHidden/>
          </w:rPr>
          <w:t>22</w:t>
        </w:r>
        <w:r w:rsidR="002A523D">
          <w:rPr>
            <w:noProof/>
            <w:webHidden/>
          </w:rPr>
          <w:fldChar w:fldCharType="end"/>
        </w:r>
      </w:hyperlink>
    </w:p>
    <w:p w:rsidR="002A523D" w:rsidRDefault="003A78D2" w:rsidP="002A523D">
      <w:pPr>
        <w:pStyle w:val="TOC1"/>
        <w:rPr>
          <w:rFonts w:asciiTheme="minorHAnsi" w:eastAsiaTheme="minorEastAsia" w:hAnsiTheme="minorHAnsi" w:cstheme="minorBidi"/>
          <w:noProof/>
          <w:sz w:val="22"/>
          <w:szCs w:val="22"/>
          <w:lang w:val="es-ES" w:eastAsia="zh-CN"/>
        </w:rPr>
      </w:pPr>
      <w:hyperlink w:anchor="_Toc525820180" w:history="1">
        <w:r w:rsidR="002A523D" w:rsidRPr="00AD44F0">
          <w:rPr>
            <w:rStyle w:val="Hyperlink"/>
            <w:noProof/>
            <w:lang w:val="es-ES_tradnl"/>
          </w:rPr>
          <w:t>4</w:t>
        </w:r>
        <w:r w:rsidR="002A523D">
          <w:rPr>
            <w:rFonts w:asciiTheme="minorHAnsi" w:eastAsiaTheme="minorEastAsia" w:hAnsiTheme="minorHAnsi" w:cstheme="minorBidi"/>
            <w:noProof/>
            <w:sz w:val="22"/>
            <w:szCs w:val="22"/>
            <w:lang w:val="es-ES" w:eastAsia="zh-CN"/>
          </w:rPr>
          <w:tab/>
        </w:r>
        <w:r w:rsidR="002A523D" w:rsidRPr="00AD44F0">
          <w:rPr>
            <w:rStyle w:val="Hyperlink"/>
            <w:noProof/>
            <w:lang w:val="es-ES_tradnl"/>
          </w:rPr>
          <w:t>Estaciones de base LTE800</w:t>
        </w:r>
        <w:r w:rsidR="002A523D">
          <w:rPr>
            <w:noProof/>
            <w:webHidden/>
          </w:rPr>
          <w:tab/>
        </w:r>
        <w:r w:rsidR="002A523D">
          <w:rPr>
            <w:noProof/>
            <w:webHidden/>
          </w:rPr>
          <w:tab/>
        </w:r>
        <w:r w:rsidR="002A523D">
          <w:rPr>
            <w:noProof/>
            <w:webHidden/>
          </w:rPr>
          <w:fldChar w:fldCharType="begin"/>
        </w:r>
        <w:r w:rsidR="002A523D">
          <w:rPr>
            <w:noProof/>
            <w:webHidden/>
          </w:rPr>
          <w:instrText xml:space="preserve"> PAGEREF _Toc525820180 \h </w:instrText>
        </w:r>
        <w:r w:rsidR="002A523D">
          <w:rPr>
            <w:noProof/>
            <w:webHidden/>
          </w:rPr>
        </w:r>
        <w:r w:rsidR="002A523D">
          <w:rPr>
            <w:noProof/>
            <w:webHidden/>
          </w:rPr>
          <w:fldChar w:fldCharType="separate"/>
        </w:r>
        <w:r w:rsidR="005D44C1">
          <w:rPr>
            <w:noProof/>
            <w:webHidden/>
          </w:rPr>
          <w:t>25</w:t>
        </w:r>
        <w:r w:rsidR="002A523D">
          <w:rPr>
            <w:noProof/>
            <w:webHidden/>
          </w:rPr>
          <w:fldChar w:fldCharType="end"/>
        </w:r>
      </w:hyperlink>
    </w:p>
    <w:p w:rsidR="002A523D" w:rsidRDefault="003A78D2" w:rsidP="002A523D">
      <w:pPr>
        <w:pStyle w:val="TOC1"/>
        <w:rPr>
          <w:rFonts w:asciiTheme="minorHAnsi" w:eastAsiaTheme="minorEastAsia" w:hAnsiTheme="minorHAnsi" w:cstheme="minorBidi"/>
          <w:noProof/>
          <w:sz w:val="22"/>
          <w:szCs w:val="22"/>
          <w:lang w:val="es-ES" w:eastAsia="zh-CN"/>
        </w:rPr>
      </w:pPr>
      <w:hyperlink w:anchor="_Toc525820181" w:history="1">
        <w:r w:rsidR="002A523D" w:rsidRPr="00AD44F0">
          <w:rPr>
            <w:rStyle w:val="Hyperlink"/>
            <w:noProof/>
            <w:lang w:val="es-ES_tradnl"/>
          </w:rPr>
          <w:t>5</w:t>
        </w:r>
        <w:r w:rsidR="002A523D">
          <w:rPr>
            <w:rFonts w:asciiTheme="minorHAnsi" w:eastAsiaTheme="minorEastAsia" w:hAnsiTheme="minorHAnsi" w:cstheme="minorBidi"/>
            <w:noProof/>
            <w:sz w:val="22"/>
            <w:szCs w:val="22"/>
            <w:lang w:val="es-ES" w:eastAsia="zh-CN"/>
          </w:rPr>
          <w:tab/>
        </w:r>
        <w:r w:rsidR="002A523D" w:rsidRPr="00AD44F0">
          <w:rPr>
            <w:rStyle w:val="Hyperlink"/>
            <w:noProof/>
            <w:lang w:val="es-ES_tradnl"/>
          </w:rPr>
          <w:t>Equipo de usuario LTE800</w:t>
        </w:r>
        <w:r w:rsidR="002A523D">
          <w:rPr>
            <w:noProof/>
            <w:webHidden/>
          </w:rPr>
          <w:tab/>
        </w:r>
        <w:r w:rsidR="002A523D">
          <w:rPr>
            <w:noProof/>
            <w:webHidden/>
          </w:rPr>
          <w:tab/>
        </w:r>
        <w:r w:rsidR="002A523D">
          <w:rPr>
            <w:noProof/>
            <w:webHidden/>
          </w:rPr>
          <w:fldChar w:fldCharType="begin"/>
        </w:r>
        <w:r w:rsidR="002A523D">
          <w:rPr>
            <w:noProof/>
            <w:webHidden/>
          </w:rPr>
          <w:instrText xml:space="preserve"> PAGEREF _Toc525820181 \h </w:instrText>
        </w:r>
        <w:r w:rsidR="002A523D">
          <w:rPr>
            <w:noProof/>
            <w:webHidden/>
          </w:rPr>
        </w:r>
        <w:r w:rsidR="002A523D">
          <w:rPr>
            <w:noProof/>
            <w:webHidden/>
          </w:rPr>
          <w:fldChar w:fldCharType="separate"/>
        </w:r>
        <w:r w:rsidR="005D44C1">
          <w:rPr>
            <w:noProof/>
            <w:webHidden/>
          </w:rPr>
          <w:t>28</w:t>
        </w:r>
        <w:r w:rsidR="002A523D">
          <w:rPr>
            <w:noProof/>
            <w:webHidden/>
          </w:rPr>
          <w:fldChar w:fldCharType="end"/>
        </w:r>
      </w:hyperlink>
    </w:p>
    <w:p w:rsidR="002A523D" w:rsidRDefault="003A78D2" w:rsidP="002A523D">
      <w:pPr>
        <w:pStyle w:val="TOC1"/>
        <w:rPr>
          <w:rFonts w:asciiTheme="minorHAnsi" w:eastAsiaTheme="minorEastAsia" w:hAnsiTheme="minorHAnsi" w:cstheme="minorBidi"/>
          <w:noProof/>
          <w:sz w:val="22"/>
          <w:szCs w:val="22"/>
          <w:lang w:val="es-ES" w:eastAsia="zh-CN"/>
        </w:rPr>
      </w:pPr>
      <w:hyperlink w:anchor="_Toc525820182" w:history="1">
        <w:r w:rsidR="002A523D" w:rsidRPr="00AD44F0">
          <w:rPr>
            <w:rStyle w:val="Hyperlink"/>
            <w:noProof/>
            <w:lang w:val="es-ES_tradnl"/>
          </w:rPr>
          <w:t>6</w:t>
        </w:r>
        <w:r w:rsidR="002A523D">
          <w:rPr>
            <w:rFonts w:asciiTheme="minorHAnsi" w:eastAsiaTheme="minorEastAsia" w:hAnsiTheme="minorHAnsi" w:cstheme="minorBidi"/>
            <w:noProof/>
            <w:sz w:val="22"/>
            <w:szCs w:val="22"/>
            <w:lang w:val="es-ES" w:eastAsia="zh-CN"/>
          </w:rPr>
          <w:tab/>
        </w:r>
        <w:r w:rsidR="002A523D" w:rsidRPr="00AD44F0">
          <w:rPr>
            <w:rStyle w:val="Hyperlink"/>
            <w:noProof/>
            <w:lang w:val="es-ES_tradnl"/>
          </w:rPr>
          <w:t>Equipo de usuario LTE2300</w:t>
        </w:r>
        <w:r w:rsidR="002A523D">
          <w:rPr>
            <w:noProof/>
            <w:webHidden/>
          </w:rPr>
          <w:tab/>
        </w:r>
        <w:r w:rsidR="002A523D">
          <w:rPr>
            <w:noProof/>
            <w:webHidden/>
          </w:rPr>
          <w:tab/>
        </w:r>
        <w:r w:rsidR="002A523D">
          <w:rPr>
            <w:noProof/>
            <w:webHidden/>
          </w:rPr>
          <w:fldChar w:fldCharType="begin"/>
        </w:r>
        <w:r w:rsidR="002A523D">
          <w:rPr>
            <w:noProof/>
            <w:webHidden/>
          </w:rPr>
          <w:instrText xml:space="preserve"> PAGEREF _Toc525820182 \h </w:instrText>
        </w:r>
        <w:r w:rsidR="002A523D">
          <w:rPr>
            <w:noProof/>
            <w:webHidden/>
          </w:rPr>
        </w:r>
        <w:r w:rsidR="002A523D">
          <w:rPr>
            <w:noProof/>
            <w:webHidden/>
          </w:rPr>
          <w:fldChar w:fldCharType="separate"/>
        </w:r>
        <w:r w:rsidR="005D44C1">
          <w:rPr>
            <w:noProof/>
            <w:webHidden/>
          </w:rPr>
          <w:t>35</w:t>
        </w:r>
        <w:r w:rsidR="002A523D">
          <w:rPr>
            <w:noProof/>
            <w:webHidden/>
          </w:rPr>
          <w:fldChar w:fldCharType="end"/>
        </w:r>
      </w:hyperlink>
    </w:p>
    <w:p w:rsidR="002A523D" w:rsidRDefault="003A78D2" w:rsidP="002A523D">
      <w:pPr>
        <w:pStyle w:val="TOC1"/>
        <w:rPr>
          <w:rFonts w:asciiTheme="minorHAnsi" w:eastAsiaTheme="minorEastAsia" w:hAnsiTheme="minorHAnsi" w:cstheme="minorBidi"/>
          <w:noProof/>
          <w:sz w:val="22"/>
          <w:szCs w:val="22"/>
          <w:lang w:val="es-ES" w:eastAsia="zh-CN"/>
        </w:rPr>
      </w:pPr>
      <w:hyperlink w:anchor="_Toc525820183" w:history="1">
        <w:r w:rsidR="002A523D" w:rsidRPr="00AD44F0">
          <w:rPr>
            <w:rStyle w:val="Hyperlink"/>
            <w:noProof/>
            <w:lang w:val="es-ES_tradnl"/>
          </w:rPr>
          <w:t>7</w:t>
        </w:r>
        <w:r w:rsidR="002A523D">
          <w:rPr>
            <w:rFonts w:asciiTheme="minorHAnsi" w:eastAsiaTheme="minorEastAsia" w:hAnsiTheme="minorHAnsi" w:cstheme="minorBidi"/>
            <w:noProof/>
            <w:sz w:val="22"/>
            <w:szCs w:val="22"/>
            <w:lang w:val="es-ES" w:eastAsia="zh-CN"/>
          </w:rPr>
          <w:tab/>
        </w:r>
        <w:r w:rsidR="002A523D" w:rsidRPr="00AD44F0">
          <w:rPr>
            <w:rStyle w:val="Hyperlink"/>
            <w:noProof/>
            <w:lang w:val="es-ES_tradnl"/>
          </w:rPr>
          <w:t>Estación de base GSM900</w:t>
        </w:r>
        <w:r w:rsidR="002A523D">
          <w:rPr>
            <w:noProof/>
            <w:webHidden/>
          </w:rPr>
          <w:tab/>
        </w:r>
        <w:r w:rsidR="002A523D">
          <w:rPr>
            <w:noProof/>
            <w:webHidden/>
          </w:rPr>
          <w:tab/>
        </w:r>
        <w:r w:rsidR="002A523D">
          <w:rPr>
            <w:noProof/>
            <w:webHidden/>
          </w:rPr>
          <w:fldChar w:fldCharType="begin"/>
        </w:r>
        <w:r w:rsidR="002A523D">
          <w:rPr>
            <w:noProof/>
            <w:webHidden/>
          </w:rPr>
          <w:instrText xml:space="preserve"> PAGEREF _Toc525820183 \h </w:instrText>
        </w:r>
        <w:r w:rsidR="002A523D">
          <w:rPr>
            <w:noProof/>
            <w:webHidden/>
          </w:rPr>
        </w:r>
        <w:r w:rsidR="002A523D">
          <w:rPr>
            <w:noProof/>
            <w:webHidden/>
          </w:rPr>
          <w:fldChar w:fldCharType="separate"/>
        </w:r>
        <w:r w:rsidR="005D44C1">
          <w:rPr>
            <w:noProof/>
            <w:webHidden/>
          </w:rPr>
          <w:t>37</w:t>
        </w:r>
        <w:r w:rsidR="002A523D">
          <w:rPr>
            <w:noProof/>
            <w:webHidden/>
          </w:rPr>
          <w:fldChar w:fldCharType="end"/>
        </w:r>
      </w:hyperlink>
    </w:p>
    <w:p w:rsidR="002A523D" w:rsidRDefault="003A78D2" w:rsidP="002A523D">
      <w:pPr>
        <w:pStyle w:val="TOC1"/>
        <w:rPr>
          <w:rFonts w:asciiTheme="minorHAnsi" w:eastAsiaTheme="minorEastAsia" w:hAnsiTheme="minorHAnsi" w:cstheme="minorBidi"/>
          <w:noProof/>
          <w:sz w:val="22"/>
          <w:szCs w:val="22"/>
          <w:lang w:val="es-ES" w:eastAsia="zh-CN"/>
        </w:rPr>
      </w:pPr>
      <w:hyperlink w:anchor="_Toc525820184" w:history="1">
        <w:r w:rsidR="002A523D" w:rsidRPr="00AD44F0">
          <w:rPr>
            <w:rStyle w:val="Hyperlink"/>
            <w:noProof/>
            <w:lang w:val="es-ES_tradnl"/>
          </w:rPr>
          <w:t>8</w:t>
        </w:r>
        <w:r w:rsidR="002A523D">
          <w:rPr>
            <w:rFonts w:asciiTheme="minorHAnsi" w:eastAsiaTheme="minorEastAsia" w:hAnsiTheme="minorHAnsi" w:cstheme="minorBidi"/>
            <w:noProof/>
            <w:sz w:val="22"/>
            <w:szCs w:val="22"/>
            <w:lang w:val="es-ES" w:eastAsia="zh-CN"/>
          </w:rPr>
          <w:tab/>
        </w:r>
        <w:r w:rsidR="002A523D" w:rsidRPr="00AD44F0">
          <w:rPr>
            <w:rStyle w:val="Hyperlink"/>
            <w:noProof/>
            <w:lang w:val="es-ES_tradnl"/>
          </w:rPr>
          <w:t>DECT</w:t>
        </w:r>
        <w:r w:rsidR="002A523D">
          <w:rPr>
            <w:noProof/>
            <w:webHidden/>
          </w:rPr>
          <w:tab/>
        </w:r>
        <w:r w:rsidR="002A523D">
          <w:rPr>
            <w:noProof/>
            <w:webHidden/>
          </w:rPr>
          <w:tab/>
        </w:r>
        <w:r w:rsidR="002A523D">
          <w:rPr>
            <w:noProof/>
            <w:webHidden/>
          </w:rPr>
          <w:fldChar w:fldCharType="begin"/>
        </w:r>
        <w:r w:rsidR="002A523D">
          <w:rPr>
            <w:noProof/>
            <w:webHidden/>
          </w:rPr>
          <w:instrText xml:space="preserve"> PAGEREF _Toc525820184 \h </w:instrText>
        </w:r>
        <w:r w:rsidR="002A523D">
          <w:rPr>
            <w:noProof/>
            <w:webHidden/>
          </w:rPr>
        </w:r>
        <w:r w:rsidR="002A523D">
          <w:rPr>
            <w:noProof/>
            <w:webHidden/>
          </w:rPr>
          <w:fldChar w:fldCharType="separate"/>
        </w:r>
        <w:r w:rsidR="005D44C1">
          <w:rPr>
            <w:noProof/>
            <w:webHidden/>
          </w:rPr>
          <w:t>40</w:t>
        </w:r>
        <w:r w:rsidR="002A523D">
          <w:rPr>
            <w:noProof/>
            <w:webHidden/>
          </w:rPr>
          <w:fldChar w:fldCharType="end"/>
        </w:r>
      </w:hyperlink>
    </w:p>
    <w:p w:rsidR="002A523D" w:rsidRDefault="003A78D2" w:rsidP="002A523D">
      <w:pPr>
        <w:pStyle w:val="TOC1"/>
        <w:rPr>
          <w:rFonts w:asciiTheme="minorHAnsi" w:eastAsiaTheme="minorEastAsia" w:hAnsiTheme="minorHAnsi" w:cstheme="minorBidi"/>
          <w:noProof/>
          <w:sz w:val="22"/>
          <w:szCs w:val="22"/>
          <w:lang w:val="es-ES" w:eastAsia="zh-CN"/>
        </w:rPr>
      </w:pPr>
      <w:hyperlink w:anchor="_Toc525820185" w:history="1">
        <w:r w:rsidR="002A523D" w:rsidRPr="00AD44F0">
          <w:rPr>
            <w:rStyle w:val="Hyperlink"/>
            <w:noProof/>
            <w:lang w:val="es-ES_tradnl"/>
          </w:rPr>
          <w:t>9</w:t>
        </w:r>
        <w:r w:rsidR="002A523D">
          <w:rPr>
            <w:rFonts w:asciiTheme="minorHAnsi" w:eastAsiaTheme="minorEastAsia" w:hAnsiTheme="minorHAnsi" w:cstheme="minorBidi"/>
            <w:noProof/>
            <w:sz w:val="22"/>
            <w:szCs w:val="22"/>
            <w:lang w:val="es-ES" w:eastAsia="zh-CN"/>
          </w:rPr>
          <w:tab/>
        </w:r>
        <w:r w:rsidR="002A523D" w:rsidRPr="00AD44F0">
          <w:rPr>
            <w:rStyle w:val="Hyperlink"/>
            <w:noProof/>
            <w:lang w:val="es-ES_tradnl"/>
          </w:rPr>
          <w:t xml:space="preserve">Estaciones </w:t>
        </w:r>
        <w:r w:rsidR="002A523D" w:rsidRPr="00AD44F0">
          <w:rPr>
            <w:rStyle w:val="Hyperlink"/>
            <w:noProof/>
          </w:rPr>
          <w:t>de</w:t>
        </w:r>
        <w:r w:rsidR="002A523D" w:rsidRPr="00AD44F0">
          <w:rPr>
            <w:rStyle w:val="Hyperlink"/>
            <w:noProof/>
            <w:lang w:val="es-ES_tradnl"/>
          </w:rPr>
          <w:t xml:space="preserve"> base UMTS 2100</w:t>
        </w:r>
        <w:r w:rsidR="002A523D">
          <w:rPr>
            <w:noProof/>
            <w:webHidden/>
          </w:rPr>
          <w:tab/>
        </w:r>
        <w:r w:rsidR="002A523D">
          <w:rPr>
            <w:noProof/>
            <w:webHidden/>
          </w:rPr>
          <w:tab/>
        </w:r>
        <w:r w:rsidR="002A523D">
          <w:rPr>
            <w:noProof/>
            <w:webHidden/>
          </w:rPr>
          <w:fldChar w:fldCharType="begin"/>
        </w:r>
        <w:r w:rsidR="002A523D">
          <w:rPr>
            <w:noProof/>
            <w:webHidden/>
          </w:rPr>
          <w:instrText xml:space="preserve"> PAGEREF _Toc525820185 \h </w:instrText>
        </w:r>
        <w:r w:rsidR="002A523D">
          <w:rPr>
            <w:noProof/>
            <w:webHidden/>
          </w:rPr>
        </w:r>
        <w:r w:rsidR="002A523D">
          <w:rPr>
            <w:noProof/>
            <w:webHidden/>
          </w:rPr>
          <w:fldChar w:fldCharType="separate"/>
        </w:r>
        <w:r w:rsidR="005D44C1">
          <w:rPr>
            <w:noProof/>
            <w:webHidden/>
          </w:rPr>
          <w:t>44</w:t>
        </w:r>
        <w:r w:rsidR="002A523D">
          <w:rPr>
            <w:noProof/>
            <w:webHidden/>
          </w:rPr>
          <w:fldChar w:fldCharType="end"/>
        </w:r>
      </w:hyperlink>
    </w:p>
    <w:p w:rsidR="002A523D" w:rsidRDefault="003A78D2" w:rsidP="002A523D">
      <w:pPr>
        <w:pStyle w:val="TOC1"/>
        <w:rPr>
          <w:rFonts w:asciiTheme="minorHAnsi" w:eastAsiaTheme="minorEastAsia" w:hAnsiTheme="minorHAnsi" w:cstheme="minorBidi"/>
          <w:noProof/>
          <w:sz w:val="22"/>
          <w:szCs w:val="22"/>
          <w:lang w:val="es-ES" w:eastAsia="zh-CN"/>
        </w:rPr>
      </w:pPr>
      <w:hyperlink w:anchor="_Toc525820186" w:history="1">
        <w:r w:rsidR="002A523D" w:rsidRPr="00AD44F0">
          <w:rPr>
            <w:rStyle w:val="Hyperlink"/>
            <w:noProof/>
            <w:lang w:val="es-ES_tradnl"/>
          </w:rPr>
          <w:t>10</w:t>
        </w:r>
        <w:r w:rsidR="002A523D">
          <w:rPr>
            <w:rFonts w:asciiTheme="minorHAnsi" w:eastAsiaTheme="minorEastAsia" w:hAnsiTheme="minorHAnsi" w:cstheme="minorBidi"/>
            <w:noProof/>
            <w:sz w:val="22"/>
            <w:szCs w:val="22"/>
            <w:lang w:val="es-ES" w:eastAsia="zh-CN"/>
          </w:rPr>
          <w:tab/>
        </w:r>
        <w:r w:rsidR="002A523D" w:rsidRPr="00AD44F0">
          <w:rPr>
            <w:rStyle w:val="Hyperlink"/>
            <w:noProof/>
            <w:lang w:val="es-ES_tradnl"/>
          </w:rPr>
          <w:t>Dispositivos RLAN en la banda de 2,4 GHz</w:t>
        </w:r>
        <w:r w:rsidR="002A523D">
          <w:rPr>
            <w:noProof/>
            <w:webHidden/>
          </w:rPr>
          <w:tab/>
        </w:r>
        <w:r w:rsidR="002A523D">
          <w:rPr>
            <w:noProof/>
            <w:webHidden/>
          </w:rPr>
          <w:tab/>
        </w:r>
        <w:r w:rsidR="002A523D">
          <w:rPr>
            <w:noProof/>
            <w:webHidden/>
          </w:rPr>
          <w:fldChar w:fldCharType="begin"/>
        </w:r>
        <w:r w:rsidR="002A523D">
          <w:rPr>
            <w:noProof/>
            <w:webHidden/>
          </w:rPr>
          <w:instrText xml:space="preserve"> PAGEREF _Toc525820186 \h </w:instrText>
        </w:r>
        <w:r w:rsidR="002A523D">
          <w:rPr>
            <w:noProof/>
            <w:webHidden/>
          </w:rPr>
        </w:r>
        <w:r w:rsidR="002A523D">
          <w:rPr>
            <w:noProof/>
            <w:webHidden/>
          </w:rPr>
          <w:fldChar w:fldCharType="separate"/>
        </w:r>
        <w:r w:rsidR="005D44C1">
          <w:rPr>
            <w:noProof/>
            <w:webHidden/>
          </w:rPr>
          <w:t>47</w:t>
        </w:r>
        <w:r w:rsidR="002A523D">
          <w:rPr>
            <w:noProof/>
            <w:webHidden/>
          </w:rPr>
          <w:fldChar w:fldCharType="end"/>
        </w:r>
      </w:hyperlink>
    </w:p>
    <w:p w:rsidR="002A523D" w:rsidRDefault="003A78D2" w:rsidP="002A523D">
      <w:pPr>
        <w:pStyle w:val="TOC1"/>
        <w:rPr>
          <w:rFonts w:asciiTheme="minorHAnsi" w:eastAsiaTheme="minorEastAsia" w:hAnsiTheme="minorHAnsi" w:cstheme="minorBidi"/>
          <w:noProof/>
          <w:sz w:val="22"/>
          <w:szCs w:val="22"/>
          <w:lang w:val="es-ES" w:eastAsia="zh-CN"/>
        </w:rPr>
      </w:pPr>
      <w:hyperlink w:anchor="_Toc525820187" w:history="1">
        <w:r w:rsidR="002A523D" w:rsidRPr="00AD44F0">
          <w:rPr>
            <w:rStyle w:val="Hyperlink"/>
            <w:noProof/>
            <w:lang w:val="es-ES_tradnl"/>
          </w:rPr>
          <w:t>11</w:t>
        </w:r>
        <w:r w:rsidR="002A523D">
          <w:rPr>
            <w:rFonts w:asciiTheme="minorHAnsi" w:eastAsiaTheme="minorEastAsia" w:hAnsiTheme="minorHAnsi" w:cstheme="minorBidi"/>
            <w:noProof/>
            <w:sz w:val="22"/>
            <w:szCs w:val="22"/>
            <w:lang w:val="es-ES" w:eastAsia="zh-CN"/>
          </w:rPr>
          <w:tab/>
        </w:r>
        <w:r w:rsidR="002A523D" w:rsidRPr="00AD44F0">
          <w:rPr>
            <w:rStyle w:val="Hyperlink"/>
            <w:noProof/>
            <w:lang w:val="es-ES_tradnl"/>
          </w:rPr>
          <w:t>WIMAX 3.6 GHz EU</w:t>
        </w:r>
        <w:r w:rsidR="002A523D">
          <w:rPr>
            <w:noProof/>
            <w:webHidden/>
          </w:rPr>
          <w:tab/>
        </w:r>
        <w:r w:rsidR="002A523D">
          <w:rPr>
            <w:noProof/>
            <w:webHidden/>
          </w:rPr>
          <w:tab/>
        </w:r>
        <w:r w:rsidR="002A523D">
          <w:rPr>
            <w:noProof/>
            <w:webHidden/>
          </w:rPr>
          <w:fldChar w:fldCharType="begin"/>
        </w:r>
        <w:r w:rsidR="002A523D">
          <w:rPr>
            <w:noProof/>
            <w:webHidden/>
          </w:rPr>
          <w:instrText xml:space="preserve"> PAGEREF _Toc525820187 \h </w:instrText>
        </w:r>
        <w:r w:rsidR="002A523D">
          <w:rPr>
            <w:noProof/>
            <w:webHidden/>
          </w:rPr>
        </w:r>
        <w:r w:rsidR="002A523D">
          <w:rPr>
            <w:noProof/>
            <w:webHidden/>
          </w:rPr>
          <w:fldChar w:fldCharType="separate"/>
        </w:r>
        <w:r w:rsidR="005D44C1">
          <w:rPr>
            <w:noProof/>
            <w:webHidden/>
          </w:rPr>
          <w:t>50</w:t>
        </w:r>
        <w:r w:rsidR="002A523D">
          <w:rPr>
            <w:noProof/>
            <w:webHidden/>
          </w:rPr>
          <w:fldChar w:fldCharType="end"/>
        </w:r>
      </w:hyperlink>
    </w:p>
    <w:p w:rsidR="002A523D" w:rsidRDefault="003A78D2" w:rsidP="002A523D">
      <w:pPr>
        <w:pStyle w:val="TOC1"/>
        <w:rPr>
          <w:rFonts w:asciiTheme="minorHAnsi" w:eastAsiaTheme="minorEastAsia" w:hAnsiTheme="minorHAnsi" w:cstheme="minorBidi"/>
          <w:noProof/>
          <w:sz w:val="22"/>
          <w:szCs w:val="22"/>
          <w:lang w:val="es-ES" w:eastAsia="zh-CN"/>
        </w:rPr>
      </w:pPr>
      <w:hyperlink w:anchor="_Toc525820188" w:history="1">
        <w:r w:rsidR="002A523D" w:rsidRPr="00AD44F0">
          <w:rPr>
            <w:rStyle w:val="Hyperlink"/>
            <w:noProof/>
            <w:lang w:val="es-ES_tradnl"/>
          </w:rPr>
          <w:t>12</w:t>
        </w:r>
        <w:r w:rsidR="002A523D">
          <w:rPr>
            <w:rFonts w:asciiTheme="minorHAnsi" w:eastAsiaTheme="minorEastAsia" w:hAnsiTheme="minorHAnsi" w:cstheme="minorBidi"/>
            <w:noProof/>
            <w:sz w:val="22"/>
            <w:szCs w:val="22"/>
            <w:lang w:val="es-ES" w:eastAsia="zh-CN"/>
          </w:rPr>
          <w:tab/>
        </w:r>
        <w:r w:rsidR="002A523D" w:rsidRPr="00AD44F0">
          <w:rPr>
            <w:rStyle w:val="Hyperlink"/>
            <w:noProof/>
            <w:lang w:val="es-ES_tradnl"/>
          </w:rPr>
          <w:t>Enlaces punto a punto de 25 GHz</w:t>
        </w:r>
        <w:r w:rsidR="002A523D">
          <w:rPr>
            <w:noProof/>
            <w:webHidden/>
          </w:rPr>
          <w:tab/>
        </w:r>
        <w:r w:rsidR="002A523D">
          <w:rPr>
            <w:noProof/>
            <w:webHidden/>
          </w:rPr>
          <w:tab/>
        </w:r>
        <w:r w:rsidR="002A523D">
          <w:rPr>
            <w:noProof/>
            <w:webHidden/>
          </w:rPr>
          <w:fldChar w:fldCharType="begin"/>
        </w:r>
        <w:r w:rsidR="002A523D">
          <w:rPr>
            <w:noProof/>
            <w:webHidden/>
          </w:rPr>
          <w:instrText xml:space="preserve"> PAGEREF _Toc525820188 \h </w:instrText>
        </w:r>
        <w:r w:rsidR="002A523D">
          <w:rPr>
            <w:noProof/>
            <w:webHidden/>
          </w:rPr>
        </w:r>
        <w:r w:rsidR="002A523D">
          <w:rPr>
            <w:noProof/>
            <w:webHidden/>
          </w:rPr>
          <w:fldChar w:fldCharType="separate"/>
        </w:r>
        <w:r w:rsidR="005D44C1">
          <w:rPr>
            <w:noProof/>
            <w:webHidden/>
          </w:rPr>
          <w:t>51</w:t>
        </w:r>
        <w:r w:rsidR="002A523D">
          <w:rPr>
            <w:noProof/>
            <w:webHidden/>
          </w:rPr>
          <w:fldChar w:fldCharType="end"/>
        </w:r>
      </w:hyperlink>
    </w:p>
    <w:p w:rsidR="002A523D" w:rsidRDefault="003A78D2" w:rsidP="002A523D">
      <w:pPr>
        <w:pStyle w:val="TOC1"/>
        <w:rPr>
          <w:rFonts w:asciiTheme="minorHAnsi" w:eastAsiaTheme="minorEastAsia" w:hAnsiTheme="minorHAnsi" w:cstheme="minorBidi"/>
          <w:noProof/>
          <w:sz w:val="22"/>
          <w:szCs w:val="22"/>
          <w:lang w:val="es-ES" w:eastAsia="zh-CN"/>
        </w:rPr>
      </w:pPr>
      <w:hyperlink w:anchor="_Toc525820189" w:history="1">
        <w:r w:rsidR="002A523D" w:rsidRPr="00AD44F0">
          <w:rPr>
            <w:rStyle w:val="Hyperlink"/>
            <w:noProof/>
            <w:lang w:val="es-ES_tradnl"/>
          </w:rPr>
          <w:t>13</w:t>
        </w:r>
        <w:r w:rsidR="002A523D">
          <w:rPr>
            <w:rFonts w:asciiTheme="minorHAnsi" w:eastAsiaTheme="minorEastAsia" w:hAnsiTheme="minorHAnsi" w:cstheme="minorBidi"/>
            <w:noProof/>
            <w:sz w:val="22"/>
            <w:szCs w:val="22"/>
            <w:lang w:val="es-ES" w:eastAsia="zh-CN"/>
          </w:rPr>
          <w:tab/>
        </w:r>
        <w:r w:rsidR="002A523D" w:rsidRPr="00AD44F0">
          <w:rPr>
            <w:rStyle w:val="Hyperlink"/>
            <w:noProof/>
            <w:lang w:val="es-ES_tradnl"/>
          </w:rPr>
          <w:t>Sistemas con o sin filtrado</w:t>
        </w:r>
        <w:r w:rsidR="002A523D">
          <w:rPr>
            <w:noProof/>
            <w:webHidden/>
          </w:rPr>
          <w:tab/>
        </w:r>
        <w:r w:rsidR="002A523D">
          <w:rPr>
            <w:noProof/>
            <w:webHidden/>
          </w:rPr>
          <w:tab/>
        </w:r>
        <w:r w:rsidR="002A523D">
          <w:rPr>
            <w:noProof/>
            <w:webHidden/>
          </w:rPr>
          <w:fldChar w:fldCharType="begin"/>
        </w:r>
        <w:r w:rsidR="002A523D">
          <w:rPr>
            <w:noProof/>
            <w:webHidden/>
          </w:rPr>
          <w:instrText xml:space="preserve"> PAGEREF _Toc525820189 \h </w:instrText>
        </w:r>
        <w:r w:rsidR="002A523D">
          <w:rPr>
            <w:noProof/>
            <w:webHidden/>
          </w:rPr>
        </w:r>
        <w:r w:rsidR="002A523D">
          <w:rPr>
            <w:noProof/>
            <w:webHidden/>
          </w:rPr>
          <w:fldChar w:fldCharType="separate"/>
        </w:r>
        <w:r w:rsidR="005D44C1">
          <w:rPr>
            <w:noProof/>
            <w:webHidden/>
          </w:rPr>
          <w:t>54</w:t>
        </w:r>
        <w:r w:rsidR="002A523D">
          <w:rPr>
            <w:noProof/>
            <w:webHidden/>
          </w:rPr>
          <w:fldChar w:fldCharType="end"/>
        </w:r>
      </w:hyperlink>
    </w:p>
    <w:p w:rsidR="002A523D" w:rsidRDefault="003A78D2" w:rsidP="002A523D">
      <w:pPr>
        <w:pStyle w:val="TOC1"/>
        <w:rPr>
          <w:rFonts w:asciiTheme="minorHAnsi" w:eastAsiaTheme="minorEastAsia" w:hAnsiTheme="minorHAnsi" w:cstheme="minorBidi"/>
          <w:noProof/>
          <w:sz w:val="22"/>
          <w:szCs w:val="22"/>
          <w:lang w:val="es-ES" w:eastAsia="zh-CN"/>
        </w:rPr>
      </w:pPr>
      <w:hyperlink w:anchor="_Toc525820190" w:history="1">
        <w:r w:rsidR="002A523D" w:rsidRPr="00AD44F0">
          <w:rPr>
            <w:rStyle w:val="Hyperlink"/>
            <w:noProof/>
            <w:lang w:val="es-ES_tradnl"/>
          </w:rPr>
          <w:t>14</w:t>
        </w:r>
        <w:r w:rsidR="002A523D">
          <w:rPr>
            <w:rFonts w:asciiTheme="minorHAnsi" w:eastAsiaTheme="minorEastAsia" w:hAnsiTheme="minorHAnsi" w:cstheme="minorBidi"/>
            <w:noProof/>
            <w:sz w:val="22"/>
            <w:szCs w:val="22"/>
            <w:lang w:val="es-ES" w:eastAsia="zh-CN"/>
          </w:rPr>
          <w:tab/>
        </w:r>
        <w:r w:rsidR="002A523D" w:rsidRPr="00AD44F0">
          <w:rPr>
            <w:rStyle w:val="Hyperlink"/>
            <w:noProof/>
            <w:lang w:val="es-ES_tradnl"/>
          </w:rPr>
          <w:t>Emisiones transitorias en sistemas digitales por impulsos</w:t>
        </w:r>
        <w:r w:rsidR="002A523D">
          <w:rPr>
            <w:noProof/>
            <w:webHidden/>
          </w:rPr>
          <w:tab/>
        </w:r>
        <w:r w:rsidR="002A523D">
          <w:rPr>
            <w:noProof/>
            <w:webHidden/>
          </w:rPr>
          <w:tab/>
        </w:r>
        <w:r w:rsidR="002A523D">
          <w:rPr>
            <w:noProof/>
            <w:webHidden/>
          </w:rPr>
          <w:fldChar w:fldCharType="begin"/>
        </w:r>
        <w:r w:rsidR="002A523D">
          <w:rPr>
            <w:noProof/>
            <w:webHidden/>
          </w:rPr>
          <w:instrText xml:space="preserve"> PAGEREF _Toc525820190 \h </w:instrText>
        </w:r>
        <w:r w:rsidR="002A523D">
          <w:rPr>
            <w:noProof/>
            <w:webHidden/>
          </w:rPr>
        </w:r>
        <w:r w:rsidR="002A523D">
          <w:rPr>
            <w:noProof/>
            <w:webHidden/>
          </w:rPr>
          <w:fldChar w:fldCharType="separate"/>
        </w:r>
        <w:r w:rsidR="005D44C1">
          <w:rPr>
            <w:noProof/>
            <w:webHidden/>
          </w:rPr>
          <w:t>56</w:t>
        </w:r>
        <w:r w:rsidR="002A523D">
          <w:rPr>
            <w:noProof/>
            <w:webHidden/>
          </w:rPr>
          <w:fldChar w:fldCharType="end"/>
        </w:r>
      </w:hyperlink>
    </w:p>
    <w:p w:rsidR="002A523D" w:rsidRDefault="003A78D2" w:rsidP="002A523D">
      <w:pPr>
        <w:pStyle w:val="TOC1"/>
        <w:rPr>
          <w:rFonts w:asciiTheme="minorHAnsi" w:eastAsiaTheme="minorEastAsia" w:hAnsiTheme="minorHAnsi" w:cstheme="minorBidi"/>
          <w:noProof/>
          <w:sz w:val="22"/>
          <w:szCs w:val="22"/>
          <w:lang w:val="es-ES" w:eastAsia="zh-CN"/>
        </w:rPr>
      </w:pPr>
      <w:hyperlink w:anchor="_Toc525820191" w:history="1">
        <w:r w:rsidR="002A523D" w:rsidRPr="00AD44F0">
          <w:rPr>
            <w:rStyle w:val="Hyperlink"/>
            <w:noProof/>
            <w:lang w:val="es-ES_tradnl"/>
          </w:rPr>
          <w:t>15</w:t>
        </w:r>
        <w:r w:rsidR="002A523D">
          <w:rPr>
            <w:rFonts w:asciiTheme="minorHAnsi" w:eastAsiaTheme="minorEastAsia" w:hAnsiTheme="minorHAnsi" w:cstheme="minorBidi"/>
            <w:noProof/>
            <w:sz w:val="22"/>
            <w:szCs w:val="22"/>
            <w:lang w:val="es-ES" w:eastAsia="zh-CN"/>
          </w:rPr>
          <w:tab/>
        </w:r>
        <w:r w:rsidR="002A523D" w:rsidRPr="00AD44F0">
          <w:rPr>
            <w:rStyle w:val="Hyperlink"/>
            <w:noProof/>
            <w:lang w:val="es-ES_tradnl"/>
          </w:rPr>
          <w:t>Emisiones no deseadas de banda estrecha y banda ancha</w:t>
        </w:r>
        <w:r w:rsidR="002A523D">
          <w:rPr>
            <w:noProof/>
            <w:webHidden/>
          </w:rPr>
          <w:tab/>
        </w:r>
        <w:r w:rsidR="002A523D">
          <w:rPr>
            <w:noProof/>
            <w:webHidden/>
          </w:rPr>
          <w:tab/>
        </w:r>
        <w:r w:rsidR="002A523D">
          <w:rPr>
            <w:noProof/>
            <w:webHidden/>
          </w:rPr>
          <w:fldChar w:fldCharType="begin"/>
        </w:r>
        <w:r w:rsidR="002A523D">
          <w:rPr>
            <w:noProof/>
            <w:webHidden/>
          </w:rPr>
          <w:instrText xml:space="preserve"> PAGEREF _Toc525820191 \h </w:instrText>
        </w:r>
        <w:r w:rsidR="002A523D">
          <w:rPr>
            <w:noProof/>
            <w:webHidden/>
          </w:rPr>
        </w:r>
        <w:r w:rsidR="002A523D">
          <w:rPr>
            <w:noProof/>
            <w:webHidden/>
          </w:rPr>
          <w:fldChar w:fldCharType="separate"/>
        </w:r>
        <w:r w:rsidR="005D44C1">
          <w:rPr>
            <w:noProof/>
            <w:webHidden/>
          </w:rPr>
          <w:t>58</w:t>
        </w:r>
        <w:r w:rsidR="002A523D">
          <w:rPr>
            <w:noProof/>
            <w:webHidden/>
          </w:rPr>
          <w:fldChar w:fldCharType="end"/>
        </w:r>
      </w:hyperlink>
    </w:p>
    <w:p w:rsidR="002A523D" w:rsidRPr="0072410C" w:rsidRDefault="002A523D" w:rsidP="002A523D">
      <w:pPr>
        <w:pStyle w:val="Heading1"/>
        <w:rPr>
          <w:lang w:val="es-ES_tradnl"/>
        </w:rPr>
      </w:pPr>
      <w:r>
        <w:rPr>
          <w:szCs w:val="24"/>
          <w:lang w:val="es-ES_tradnl"/>
        </w:rPr>
        <w:fldChar w:fldCharType="end"/>
      </w:r>
      <w:bookmarkStart w:id="53" w:name="_Toc476049661"/>
      <w:bookmarkStart w:id="54" w:name="_Toc525820177"/>
      <w:bookmarkStart w:id="55" w:name="_Toc525820357"/>
      <w:bookmarkStart w:id="56" w:name="Annex_2"/>
      <w:r w:rsidRPr="0072410C">
        <w:rPr>
          <w:lang w:val="es-ES_tradnl"/>
        </w:rPr>
        <w:t>1</w:t>
      </w:r>
      <w:r w:rsidRPr="0072410C">
        <w:rPr>
          <w:lang w:val="es-ES_tradnl"/>
        </w:rPr>
        <w:tab/>
        <w:t>Consideraciones generales</w:t>
      </w:r>
      <w:bookmarkEnd w:id="52"/>
      <w:bookmarkEnd w:id="53"/>
      <w:bookmarkEnd w:id="54"/>
      <w:bookmarkEnd w:id="55"/>
    </w:p>
    <w:p w:rsidR="002A523D" w:rsidRPr="0072410C" w:rsidRDefault="002A523D" w:rsidP="002A523D">
      <w:pPr>
        <w:rPr>
          <w:lang w:val="es-ES_tradnl"/>
        </w:rPr>
      </w:pPr>
      <w:r w:rsidRPr="0072410C">
        <w:rPr>
          <w:lang w:val="es-ES_tradnl"/>
        </w:rPr>
        <w:t>En la presente sección se muestran los resultados de mediciones de emisiones no deseadas (dominio fuera de banda (OoB) y no esencial) procedentes de diversos sistemas digitales comunes. Las mediciones se han realizado con determinados equipos de muestra que puede que no representen a todos los equipos existentes.</w:t>
      </w:r>
    </w:p>
    <w:p w:rsidR="002A523D" w:rsidRPr="0072410C" w:rsidRDefault="002A523D" w:rsidP="002A523D">
      <w:pPr>
        <w:rPr>
          <w:lang w:val="es-ES_tradnl"/>
        </w:rPr>
      </w:pPr>
      <w:r w:rsidRPr="0072410C">
        <w:rPr>
          <w:lang w:val="es-ES_tradnl"/>
        </w:rPr>
        <w:t xml:space="preserve">Para poder realizar una comparación inmediata, en las figuras se muestran los límites relevantes junto con las mediciones. Cuando los límites se definen como niveles de potencia absolutos, estos se vuelven a calcular para obtener valores relativos utilizando el mismo nivel de potencia de referencia en la portadora transmitida y para los espectros medidos. Cuando los límites se definen como densidad espectral de potencia en anchos de banda diferentes al ancho de banda de medición, los espectros medidos se convierten en el ancho de banda de referencia utilizando una ventana corrediza de integración. Para poder comparar más fácilmente el espectro medido con las líneas de límites OoB, estas se dibujan a partir de 0 MHz de desplazamiento de la frecuencia central como líneas de referencia para indicar la densidad espectral de potencia relativa dentro de la banda. </w:t>
      </w:r>
    </w:p>
    <w:p w:rsidR="002A523D" w:rsidRPr="0072410C" w:rsidRDefault="002A523D" w:rsidP="002A523D">
      <w:pPr>
        <w:rPr>
          <w:rFonts w:eastAsia="Calibri"/>
          <w:shd w:val="solid" w:color="FFFF00" w:fill="auto"/>
          <w:lang w:val="es-ES_tradnl"/>
        </w:rPr>
      </w:pPr>
      <w:r w:rsidRPr="0072410C">
        <w:rPr>
          <w:lang w:val="es-ES_tradnl"/>
        </w:rPr>
        <w:lastRenderedPageBreak/>
        <w:t xml:space="preserve">En cada figura se muestra el límite OoB de referencia (por ejemplo, máscara de espectro) obtenido a partir de la norma pertinente. Cuando está disponible también se incorpora el límite de «red de seguridad» de la Recomendación UIT-R SM.1541 para el servicio en cuestión para comparar con el límite normalizado efectivo más estricto. </w:t>
      </w:r>
    </w:p>
    <w:p w:rsidR="002A523D" w:rsidRPr="0072410C" w:rsidRDefault="002A523D" w:rsidP="002A523D">
      <w:pPr>
        <w:rPr>
          <w:lang w:val="es-ES_tradnl"/>
        </w:rPr>
      </w:pPr>
      <w:r w:rsidRPr="0072410C">
        <w:rPr>
          <w:lang w:val="es-ES_tradnl"/>
        </w:rPr>
        <w:t>Cabe mencionar que la sensibilidad de medición puede variar en los diferentes diagramas y que no se conocerá exactamente. Así, los espectros parecen finalizar a veces con un gradiente (casi) horizontal, que es en realidad el ruido de fondo del receptor de medición y no emisiones no deseadas procedentes del transmisor. Esto ocurre principalmente con los transmisores con un filtro en la salida que limitan las emisiones no deseadas para cumplir ciertos requisitos de sistema (por ejemplo, proteger la banda de recepción correspondiente). Esos sistemas casi nunca muestran emisiones medibles de desplazamientos mayores en el dominio no esencial. Téngase en cuenta que, en algunas figuras, la anotación «ruido de receptor» debería leerse como «ruido de fondo de analizador de espectro».</w:t>
      </w:r>
    </w:p>
    <w:p w:rsidR="002A523D" w:rsidRPr="0072410C" w:rsidRDefault="002A523D" w:rsidP="002A523D">
      <w:pPr>
        <w:rPr>
          <w:lang w:val="es-ES_tradnl"/>
        </w:rPr>
      </w:pPr>
      <w:r w:rsidRPr="0072410C">
        <w:rPr>
          <w:lang w:val="es-ES_tradnl"/>
        </w:rPr>
        <w:t>Para obtener aclaraciones sobre cuándo deben utilizarse casos puntuales o promedio de máscaras de espectro, consulte el Anexo 1, §</w:t>
      </w:r>
      <w:r>
        <w:rPr>
          <w:lang w:val="es-ES_tradnl"/>
        </w:rPr>
        <w:t xml:space="preserve"> </w:t>
      </w:r>
      <w:r w:rsidRPr="0072410C">
        <w:rPr>
          <w:lang w:val="es-ES_tradnl"/>
        </w:rPr>
        <w:t>4.</w:t>
      </w:r>
    </w:p>
    <w:p w:rsidR="002A523D" w:rsidRPr="0072410C" w:rsidRDefault="002A523D" w:rsidP="002A523D">
      <w:pPr>
        <w:pStyle w:val="Heading1"/>
        <w:rPr>
          <w:lang w:val="es-ES_tradnl"/>
        </w:rPr>
      </w:pPr>
      <w:bookmarkStart w:id="57" w:name="_Toc449437418"/>
      <w:bookmarkStart w:id="58" w:name="_Toc475540031"/>
      <w:bookmarkStart w:id="59" w:name="_Toc476049662"/>
      <w:bookmarkStart w:id="60" w:name="_Toc525820178"/>
      <w:bookmarkStart w:id="61" w:name="_Toc525820358"/>
      <w:r>
        <w:rPr>
          <w:lang w:val="es-ES_tradnl"/>
        </w:rPr>
        <w:t>2</w:t>
      </w:r>
      <w:r>
        <w:rPr>
          <w:lang w:val="es-ES_tradnl"/>
        </w:rPr>
        <w:tab/>
        <w:t>DAB/</w:t>
      </w:r>
      <w:r w:rsidRPr="0072410C">
        <w:rPr>
          <w:lang w:val="es-ES_tradnl"/>
        </w:rPr>
        <w:t>DAB+</w:t>
      </w:r>
      <w:bookmarkEnd w:id="57"/>
      <w:bookmarkEnd w:id="58"/>
      <w:bookmarkEnd w:id="59"/>
      <w:bookmarkEnd w:id="60"/>
      <w:bookmarkEnd w:id="61"/>
    </w:p>
    <w:p w:rsidR="002A523D" w:rsidRPr="0072410C" w:rsidRDefault="002A523D" w:rsidP="002A523D">
      <w:pPr>
        <w:rPr>
          <w:lang w:val="es-ES_tradnl"/>
        </w:rPr>
      </w:pPr>
      <w:r w:rsidRPr="0072410C">
        <w:rPr>
          <w:lang w:val="es-ES_tradnl"/>
        </w:rPr>
        <w:t xml:space="preserve">El sistema OFDM es uno de los posibles sucesores digitales del sistema de radiodifusión sonora analógica. Los parámetros RF pertinentes son iguales en los sistemas DAB </w:t>
      </w:r>
      <w:r>
        <w:rPr>
          <w:lang w:val="es-ES_tradnl"/>
        </w:rPr>
        <w:t xml:space="preserve">y </w:t>
      </w:r>
      <w:r w:rsidRPr="0072410C">
        <w:rPr>
          <w:lang w:val="es-ES_tradnl"/>
        </w:rPr>
        <w:t>DAB+:</w:t>
      </w:r>
    </w:p>
    <w:p w:rsidR="002A523D" w:rsidRPr="0072410C" w:rsidRDefault="002A523D" w:rsidP="00485A0A">
      <w:pPr>
        <w:pStyle w:val="enumlev1"/>
        <w:tabs>
          <w:tab w:val="clear" w:pos="1985"/>
          <w:tab w:val="left" w:pos="3261"/>
        </w:tabs>
        <w:spacing w:before="240"/>
        <w:rPr>
          <w:lang w:val="es-ES_tradnl"/>
        </w:rPr>
      </w:pPr>
      <w:r w:rsidRPr="0072410C">
        <w:rPr>
          <w:lang w:val="es-ES_tradnl"/>
        </w:rPr>
        <w:t>–</w:t>
      </w:r>
      <w:r w:rsidRPr="0072410C">
        <w:rPr>
          <w:lang w:val="es-ES_tradnl"/>
        </w:rPr>
        <w:tab/>
        <w:t>Modulación:</w:t>
      </w:r>
      <w:r w:rsidRPr="0072410C">
        <w:rPr>
          <w:lang w:val="es-ES_tradnl"/>
        </w:rPr>
        <w:tab/>
      </w:r>
      <w:r w:rsidRPr="0072410C">
        <w:rPr>
          <w:lang w:val="es-ES_tradnl"/>
        </w:rPr>
        <w:tab/>
      </w:r>
      <w:r w:rsidRPr="0072410C">
        <w:rPr>
          <w:lang w:val="es-ES_tradnl"/>
        </w:rPr>
        <w:tab/>
        <w:t>OFDM con 1 736 portadoras activas</w:t>
      </w:r>
    </w:p>
    <w:p w:rsidR="002A523D" w:rsidRPr="0072410C" w:rsidRDefault="002A523D" w:rsidP="002A523D">
      <w:pPr>
        <w:pStyle w:val="enumlev1"/>
        <w:tabs>
          <w:tab w:val="clear" w:pos="1985"/>
          <w:tab w:val="left" w:pos="3261"/>
        </w:tabs>
        <w:rPr>
          <w:lang w:val="es-ES_tradnl"/>
        </w:rPr>
      </w:pPr>
      <w:r w:rsidRPr="0072410C">
        <w:rPr>
          <w:lang w:val="es-ES_tradnl"/>
        </w:rPr>
        <w:t>–</w:t>
      </w:r>
      <w:r w:rsidRPr="0072410C">
        <w:rPr>
          <w:lang w:val="es-ES_tradnl"/>
        </w:rPr>
        <w:tab/>
        <w:t>Ancho de banda de transmisión:</w:t>
      </w:r>
      <w:r w:rsidRPr="0072410C">
        <w:rPr>
          <w:lang w:val="es-ES_tradnl"/>
        </w:rPr>
        <w:tab/>
        <w:t>1,536 MHz</w:t>
      </w:r>
    </w:p>
    <w:p w:rsidR="002A523D" w:rsidRPr="0072410C" w:rsidRDefault="002A523D" w:rsidP="002A523D">
      <w:pPr>
        <w:pStyle w:val="enumlev1"/>
        <w:tabs>
          <w:tab w:val="clear" w:pos="1985"/>
          <w:tab w:val="left" w:pos="3261"/>
        </w:tabs>
        <w:rPr>
          <w:lang w:val="es-ES_tradnl"/>
        </w:rPr>
      </w:pPr>
      <w:r w:rsidRPr="0072410C">
        <w:rPr>
          <w:lang w:val="es-ES_tradnl"/>
        </w:rPr>
        <w:t>–</w:t>
      </w:r>
      <w:r w:rsidRPr="0072410C">
        <w:rPr>
          <w:lang w:val="es-ES_tradnl"/>
        </w:rPr>
        <w:tab/>
        <w:t xml:space="preserve">Potencia de transmisión: </w:t>
      </w:r>
      <w:r w:rsidRPr="0072410C">
        <w:rPr>
          <w:lang w:val="es-ES_tradnl"/>
        </w:rPr>
        <w:tab/>
      </w:r>
      <w:r w:rsidRPr="0072410C">
        <w:rPr>
          <w:lang w:val="es-ES_tradnl"/>
        </w:rPr>
        <w:tab/>
      </w:r>
      <w:r w:rsidRPr="0072410C">
        <w:rPr>
          <w:lang w:val="es-ES_tradnl"/>
        </w:rPr>
        <w:tab/>
        <w:t>780 W = 28,9 dBW (salida Tx), 10 kW (p.r.a.)</w:t>
      </w:r>
    </w:p>
    <w:p w:rsidR="002A523D" w:rsidRPr="0072410C" w:rsidRDefault="002A523D" w:rsidP="00522E85">
      <w:pPr>
        <w:pStyle w:val="enumlev1"/>
        <w:tabs>
          <w:tab w:val="clear" w:pos="1985"/>
          <w:tab w:val="left" w:pos="3261"/>
        </w:tabs>
        <w:rPr>
          <w:lang w:val="es-ES_tradnl"/>
        </w:rPr>
      </w:pPr>
      <w:r w:rsidRPr="0072410C">
        <w:rPr>
          <w:lang w:val="es-ES_tradnl"/>
        </w:rPr>
        <w:t>–</w:t>
      </w:r>
      <w:r w:rsidRPr="0072410C">
        <w:rPr>
          <w:lang w:val="es-ES_tradnl"/>
        </w:rPr>
        <w:tab/>
        <w:t xml:space="preserve">Filtro de salida Tx: </w:t>
      </w:r>
      <w:r w:rsidRPr="0072410C">
        <w:rPr>
          <w:lang w:val="es-ES_tradnl"/>
        </w:rPr>
        <w:tab/>
      </w:r>
      <w:r w:rsidRPr="0072410C">
        <w:rPr>
          <w:lang w:val="es-ES_tradnl"/>
        </w:rPr>
        <w:tab/>
      </w:r>
      <w:r w:rsidRPr="0072410C">
        <w:rPr>
          <w:lang w:val="es-ES_tradnl"/>
        </w:rPr>
        <w:tab/>
      </w:r>
      <w:r w:rsidR="00522E85">
        <w:rPr>
          <w:lang w:val="es-ES_tradnl"/>
        </w:rPr>
        <w:t>S</w:t>
      </w:r>
      <w:r w:rsidRPr="0072410C">
        <w:rPr>
          <w:lang w:val="es-ES_tradnl"/>
        </w:rPr>
        <w:t>í</w:t>
      </w:r>
    </w:p>
    <w:p w:rsidR="002A523D" w:rsidRPr="0072410C" w:rsidRDefault="002A523D" w:rsidP="002A523D">
      <w:pPr>
        <w:pStyle w:val="enumlev1"/>
        <w:tabs>
          <w:tab w:val="clear" w:pos="1985"/>
          <w:tab w:val="left" w:pos="3261"/>
        </w:tabs>
        <w:rPr>
          <w:lang w:val="es-ES_tradnl"/>
        </w:rPr>
      </w:pPr>
      <w:r w:rsidRPr="0072410C">
        <w:rPr>
          <w:lang w:val="es-ES_tradnl"/>
        </w:rPr>
        <w:t>–</w:t>
      </w:r>
      <w:r w:rsidRPr="0072410C">
        <w:rPr>
          <w:lang w:val="es-ES_tradnl"/>
        </w:rPr>
        <w:tab/>
        <w:t>El dominio OoB finaliza en:</w:t>
      </w:r>
      <w:r w:rsidRPr="0072410C">
        <w:rPr>
          <w:lang w:val="es-ES_tradnl"/>
        </w:rPr>
        <w:tab/>
      </w:r>
      <w:r w:rsidRPr="0072410C">
        <w:rPr>
          <w:lang w:val="es-ES_tradnl"/>
        </w:rPr>
        <w:tab/>
        <w:t>3,84 MHz (250% del ancho de banda necesario).</w:t>
      </w:r>
    </w:p>
    <w:p w:rsidR="002A523D" w:rsidRPr="0072410C" w:rsidRDefault="002A523D" w:rsidP="002A523D">
      <w:pPr>
        <w:pStyle w:val="Heading2"/>
        <w:rPr>
          <w:lang w:val="es-ES_tradnl"/>
        </w:rPr>
      </w:pPr>
      <w:bookmarkStart w:id="62" w:name="_Toc448512636"/>
      <w:bookmarkStart w:id="63" w:name="_Toc449437419"/>
      <w:bookmarkStart w:id="64" w:name="_Toc475540032"/>
      <w:bookmarkStart w:id="65" w:name="_Toc476049663"/>
      <w:bookmarkEnd w:id="62"/>
      <w:r w:rsidRPr="0072410C">
        <w:rPr>
          <w:lang w:val="es-ES_tradnl"/>
        </w:rPr>
        <w:t>2.1</w:t>
      </w:r>
      <w:r w:rsidRPr="0072410C">
        <w:rPr>
          <w:lang w:val="es-ES_tradnl"/>
        </w:rPr>
        <w:tab/>
      </w:r>
      <w:bookmarkEnd w:id="63"/>
      <w:bookmarkEnd w:id="64"/>
      <w:bookmarkEnd w:id="65"/>
      <w:r w:rsidRPr="0072410C">
        <w:rPr>
          <w:lang w:val="es-ES_tradnl"/>
        </w:rPr>
        <w:t>Emisión fuera de banda</w:t>
      </w:r>
    </w:p>
    <w:p w:rsidR="002A523D" w:rsidRPr="0072410C" w:rsidRDefault="002A523D" w:rsidP="002A523D">
      <w:pPr>
        <w:rPr>
          <w:lang w:val="es-ES_tradnl"/>
        </w:rPr>
      </w:pPr>
      <w:r w:rsidRPr="0072410C">
        <w:rPr>
          <w:lang w:val="es-ES_tradnl"/>
        </w:rPr>
        <w:t xml:space="preserve">En la </w:t>
      </w:r>
      <w:r w:rsidR="00674EE1">
        <w:rPr>
          <w:lang w:val="es-ES_tradnl"/>
        </w:rPr>
        <w:t xml:space="preserve">Fig. </w:t>
      </w:r>
      <w:r w:rsidRPr="0072410C">
        <w:rPr>
          <w:lang w:val="es-ES_tradnl"/>
        </w:rPr>
        <w:t xml:space="preserve">5 se muestran medidas de un transmisor DAB+ con los límites pertinentes. </w:t>
      </w:r>
    </w:p>
    <w:p w:rsidR="002A523D" w:rsidRPr="0072410C" w:rsidRDefault="002A523D" w:rsidP="00674EE1">
      <w:pPr>
        <w:rPr>
          <w:lang w:val="es-ES_tradnl"/>
        </w:rPr>
      </w:pPr>
      <w:r w:rsidRPr="0072410C">
        <w:rPr>
          <w:lang w:val="es-ES_tradnl"/>
        </w:rPr>
        <w:t>Una de las máscaras definidas en el Acuerdo Especial GE-06 (Fig</w:t>
      </w:r>
      <w:r w:rsidR="00674EE1">
        <w:rPr>
          <w:lang w:val="es-ES_tradnl"/>
        </w:rPr>
        <w:t>.</w:t>
      </w:r>
      <w:r w:rsidRPr="0072410C">
        <w:rPr>
          <w:lang w:val="es-ES_tradnl"/>
        </w:rPr>
        <w:t xml:space="preserve"> 3-2 y su Cuadro 3-10 asociado) presenta el límite del espectro de señal radiada fuera de banda en cualquier banda de 4 kHz. La frecuencia central del transmisor fue de 174,928 MHz, que es el bloque más inferior en la banda de VHF. Así pues, se utilizó la máscara más crítica como referencia de las medidas de la banda lateral inferior.</w:t>
      </w:r>
    </w:p>
    <w:p w:rsidR="002A523D" w:rsidRPr="0072410C" w:rsidRDefault="002A523D" w:rsidP="002A523D">
      <w:pPr>
        <w:rPr>
          <w:lang w:val="es-ES_tradnl"/>
        </w:rPr>
      </w:pPr>
      <w:r w:rsidRPr="0072410C">
        <w:rPr>
          <w:lang w:val="es-ES_tradnl"/>
        </w:rPr>
        <w:t xml:space="preserve">Las mediciones se realizaron en el puerto de antena del transmisor con una anchura de banda de resolución de 3 kHz. La máscara de espectro del GE-06 tiene un ancho de banda de referencia original de 4 kHz. Se convirtió en una máscara de espectro de 3 kHz; la máscara resultante se muestra en la </w:t>
      </w:r>
      <w:r w:rsidR="00674EE1">
        <w:rPr>
          <w:lang w:val="es-ES_tradnl"/>
        </w:rPr>
        <w:t xml:space="preserve">Fig. </w:t>
      </w:r>
      <w:r w:rsidRPr="0072410C">
        <w:rPr>
          <w:lang w:val="es-ES_tradnl"/>
        </w:rPr>
        <w:t xml:space="preserve">5. </w:t>
      </w:r>
    </w:p>
    <w:p w:rsidR="002A523D" w:rsidRPr="0072410C" w:rsidRDefault="002A523D" w:rsidP="002A523D">
      <w:pPr>
        <w:rPr>
          <w:lang w:val="es-ES_tradnl"/>
        </w:rPr>
      </w:pPr>
      <w:r w:rsidRPr="0072410C">
        <w:rPr>
          <w:lang w:val="es-ES_tradnl"/>
        </w:rPr>
        <w:t xml:space="preserve">A modo de información, el límite pertinente para las emisiones no esenciales de la ERC/REC 74-01 también se muestra en la </w:t>
      </w:r>
      <w:r w:rsidR="00674EE1">
        <w:rPr>
          <w:lang w:val="es-ES_tradnl"/>
        </w:rPr>
        <w:t xml:space="preserve">Fig. </w:t>
      </w:r>
      <w:r w:rsidRPr="0072410C">
        <w:rPr>
          <w:lang w:val="es-ES_tradnl"/>
        </w:rPr>
        <w:t>5.</w:t>
      </w:r>
    </w:p>
    <w:p w:rsidR="002A523D" w:rsidRPr="0072410C" w:rsidRDefault="002A523D" w:rsidP="002A523D">
      <w:pPr>
        <w:pStyle w:val="FigureNo"/>
        <w:rPr>
          <w:lang w:val="es-ES_tradnl"/>
        </w:rPr>
      </w:pPr>
      <w:bookmarkStart w:id="66" w:name="_Ref432082489"/>
      <w:r w:rsidRPr="0072410C">
        <w:rPr>
          <w:lang w:val="es-ES_tradnl"/>
        </w:rPr>
        <w:lastRenderedPageBreak/>
        <w:t>Figura 5</w:t>
      </w:r>
      <w:bookmarkEnd w:id="66"/>
    </w:p>
    <w:p w:rsidR="002A523D" w:rsidRDefault="002A523D" w:rsidP="002A523D">
      <w:pPr>
        <w:pStyle w:val="Figuretitle"/>
        <w:rPr>
          <w:lang w:val="es-ES_tradnl"/>
        </w:rPr>
      </w:pPr>
      <w:r w:rsidRPr="0072410C">
        <w:rPr>
          <w:lang w:val="es-ES_tradnl"/>
        </w:rPr>
        <w:t>Mediciones OoB desde un transmisor DAB+</w:t>
      </w:r>
    </w:p>
    <w:p w:rsidR="00780DA8" w:rsidRPr="00DC646A" w:rsidRDefault="00780DA8" w:rsidP="00780DA8">
      <w:pPr>
        <w:pStyle w:val="Figure"/>
      </w:pPr>
      <w:r>
        <w:object w:dxaOrig="6385" w:dyaOrig="4235">
          <v:shape id="_x0000_i1029" type="#_x0000_t75" style="width:421.8pt;height:279.95pt" o:ole="">
            <v:imagedata r:id="rId40" o:title=""/>
          </v:shape>
          <o:OLEObject Type="Embed" ProgID="CorelDraw.Graphic.16" ShapeID="_x0000_i1029" DrawAspect="Content" ObjectID="_1600519724" r:id="rId41"/>
        </w:object>
      </w:r>
    </w:p>
    <w:p w:rsidR="002A523D" w:rsidRPr="0072410C" w:rsidRDefault="002A523D" w:rsidP="002A523D">
      <w:pPr>
        <w:pStyle w:val="Normalaftertitle"/>
        <w:rPr>
          <w:lang w:val="es-ES_tradnl"/>
        </w:rPr>
      </w:pPr>
      <w:r w:rsidRPr="0072410C">
        <w:rPr>
          <w:lang w:val="es-ES_tradnl"/>
        </w:rPr>
        <w:t>Como los niveles medidos de emisiones espectrales en desplazamientos superiores a 2,5 MHz están muy cerca del nivel de sensibilidad del equipo de medición, solo puede decirse que los niveles efectivos de las emisiones OoB superiores a este desplazamiento son inferiores a la máscara crítica (más estricta) del Acuerdo Especial GE-06. Con todo, y debido a la gama dinámica limitada de las mediciones, no fue posible determinar en qué medida las emisiones del transmisor eran inferiores a la máscara crítica. La sensibilidad efectiva del sistema utilizada</w:t>
      </w:r>
      <w:r>
        <w:rPr>
          <w:lang w:val="es-ES_tradnl"/>
        </w:rPr>
        <w:t xml:space="preserve"> en la medición se situó entre </w:t>
      </w:r>
      <w:r w:rsidRPr="0072410C">
        <w:rPr>
          <w:lang w:val="es-ES_tradnl"/>
        </w:rPr>
        <w:t>–</w:t>
      </w:r>
      <w:r>
        <w:rPr>
          <w:lang w:val="es-ES_tradnl"/>
        </w:rPr>
        <w:t xml:space="preserve">115 y </w:t>
      </w:r>
      <w:r w:rsidRPr="0072410C">
        <w:rPr>
          <w:lang w:val="es-ES_tradnl"/>
        </w:rPr>
        <w:t>–120 dBm en el desplazamiento de frecuencia de 2,2 MHz.</w:t>
      </w:r>
    </w:p>
    <w:p w:rsidR="002A523D" w:rsidRPr="0072410C" w:rsidRDefault="002A523D" w:rsidP="002A523D">
      <w:pPr>
        <w:rPr>
          <w:rFonts w:eastAsia="Calibri"/>
          <w:lang w:val="es-ES_tradnl"/>
        </w:rPr>
      </w:pPr>
      <w:r w:rsidRPr="0072410C">
        <w:rPr>
          <w:lang w:val="es-ES_tradnl"/>
        </w:rPr>
        <w:t xml:space="preserve">Observación de la </w:t>
      </w:r>
      <w:r w:rsidR="00674EE1">
        <w:rPr>
          <w:lang w:val="es-ES_tradnl"/>
        </w:rPr>
        <w:t xml:space="preserve">Fig. </w:t>
      </w:r>
      <w:r w:rsidRPr="0072410C">
        <w:rPr>
          <w:lang w:val="es-ES_tradnl"/>
        </w:rPr>
        <w:t xml:space="preserve">5: </w:t>
      </w:r>
    </w:p>
    <w:p w:rsidR="002A523D" w:rsidRPr="0072410C" w:rsidRDefault="002A523D" w:rsidP="002A523D">
      <w:pPr>
        <w:pStyle w:val="enumlev1"/>
        <w:rPr>
          <w:lang w:val="es-ES_tradnl"/>
        </w:rPr>
      </w:pPr>
      <w:r w:rsidRPr="0072410C">
        <w:rPr>
          <w:lang w:val="es-ES_tradnl"/>
        </w:rPr>
        <w:t>–</w:t>
      </w:r>
      <w:r w:rsidRPr="0072410C">
        <w:rPr>
          <w:lang w:val="es-ES_tradnl"/>
        </w:rPr>
        <w:tab/>
        <w:t>Puede verse que se infringe la máscara crítica alrededor del desplazamiento de 2,2 MHz pero es difícil determinar por qué, dada la limitación de la sensibilidad del equipo de medición.</w:t>
      </w:r>
    </w:p>
    <w:p w:rsidR="002A523D" w:rsidRPr="0072410C" w:rsidRDefault="002A523D" w:rsidP="002A523D">
      <w:pPr>
        <w:pStyle w:val="enumlev1"/>
        <w:rPr>
          <w:lang w:val="es-ES_tradnl"/>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1701"/>
        <w:gridCol w:w="2410"/>
        <w:gridCol w:w="3538"/>
      </w:tblGrid>
      <w:tr w:rsidR="002A523D" w:rsidRPr="0072410C" w:rsidTr="00485A0A">
        <w:tc>
          <w:tcPr>
            <w:tcW w:w="1985" w:type="dxa"/>
            <w:vMerge w:val="restart"/>
            <w:vAlign w:val="center"/>
          </w:tcPr>
          <w:p w:rsidR="002A523D" w:rsidRPr="0072410C" w:rsidRDefault="002A523D" w:rsidP="0060391F">
            <w:pPr>
              <w:pStyle w:val="Tablehead"/>
              <w:rPr>
                <w:lang w:val="es-ES_tradnl"/>
              </w:rPr>
            </w:pPr>
            <w:bookmarkStart w:id="67" w:name="_Toc449437420"/>
            <w:r w:rsidRPr="0072410C">
              <w:rPr>
                <w:lang w:val="es-ES_tradnl"/>
              </w:rPr>
              <w:t>Sistema</w:t>
            </w:r>
          </w:p>
        </w:tc>
        <w:tc>
          <w:tcPr>
            <w:tcW w:w="1701" w:type="dxa"/>
            <w:vMerge w:val="restart"/>
            <w:vAlign w:val="center"/>
          </w:tcPr>
          <w:p w:rsidR="002A523D" w:rsidRPr="0072410C" w:rsidRDefault="002A523D" w:rsidP="0060391F">
            <w:pPr>
              <w:pStyle w:val="Tablehead"/>
              <w:rPr>
                <w:lang w:val="es-ES_tradnl"/>
              </w:rPr>
            </w:pPr>
            <w:r w:rsidRPr="0072410C">
              <w:rPr>
                <w:lang w:val="es-ES_tradnl"/>
              </w:rPr>
              <w:t xml:space="preserve">Figura </w:t>
            </w:r>
          </w:p>
        </w:tc>
        <w:tc>
          <w:tcPr>
            <w:tcW w:w="5948" w:type="dxa"/>
            <w:gridSpan w:val="2"/>
            <w:vAlign w:val="center"/>
          </w:tcPr>
          <w:p w:rsidR="002A523D" w:rsidRPr="0072410C" w:rsidRDefault="002A523D" w:rsidP="0060391F">
            <w:pPr>
              <w:pStyle w:val="Tablehead"/>
              <w:rPr>
                <w:lang w:val="es-ES_tradnl"/>
              </w:rPr>
            </w:pPr>
            <w:r w:rsidRPr="0072410C">
              <w:rPr>
                <w:lang w:val="es-ES_tradnl"/>
              </w:rPr>
              <w:t xml:space="preserve">Comparación con: </w:t>
            </w:r>
          </w:p>
        </w:tc>
      </w:tr>
      <w:tr w:rsidR="002A523D" w:rsidRPr="0072410C" w:rsidTr="00485A0A">
        <w:tc>
          <w:tcPr>
            <w:tcW w:w="1985" w:type="dxa"/>
            <w:vMerge/>
            <w:vAlign w:val="center"/>
          </w:tcPr>
          <w:p w:rsidR="002A523D" w:rsidRPr="0072410C" w:rsidRDefault="002A523D" w:rsidP="0060391F">
            <w:pPr>
              <w:pStyle w:val="Tablehead"/>
              <w:rPr>
                <w:lang w:val="es-ES_tradnl"/>
              </w:rPr>
            </w:pPr>
          </w:p>
        </w:tc>
        <w:tc>
          <w:tcPr>
            <w:tcW w:w="1701" w:type="dxa"/>
            <w:vMerge/>
            <w:vAlign w:val="center"/>
          </w:tcPr>
          <w:p w:rsidR="002A523D" w:rsidRPr="0072410C" w:rsidRDefault="002A523D" w:rsidP="0060391F">
            <w:pPr>
              <w:pStyle w:val="Tablehead"/>
              <w:rPr>
                <w:lang w:val="es-ES_tradnl"/>
              </w:rPr>
            </w:pPr>
          </w:p>
        </w:tc>
        <w:tc>
          <w:tcPr>
            <w:tcW w:w="2410" w:type="dxa"/>
            <w:vAlign w:val="center"/>
          </w:tcPr>
          <w:p w:rsidR="002A523D" w:rsidRPr="0072410C" w:rsidRDefault="002A523D" w:rsidP="0060391F">
            <w:pPr>
              <w:pStyle w:val="Tablehead"/>
              <w:rPr>
                <w:lang w:val="es-ES_tradnl"/>
              </w:rPr>
            </w:pPr>
            <w:r w:rsidRPr="0072410C">
              <w:rPr>
                <w:lang w:val="es-ES_tradnl"/>
              </w:rPr>
              <w:t>Rec. UIT-R SM.1541</w:t>
            </w:r>
          </w:p>
        </w:tc>
        <w:tc>
          <w:tcPr>
            <w:tcW w:w="3538" w:type="dxa"/>
            <w:vAlign w:val="center"/>
          </w:tcPr>
          <w:p w:rsidR="002A523D" w:rsidRPr="0072410C" w:rsidRDefault="002A523D" w:rsidP="0060391F">
            <w:pPr>
              <w:pStyle w:val="Tablehead"/>
              <w:rPr>
                <w:lang w:val="es-ES_tradnl"/>
              </w:rPr>
            </w:pPr>
            <w:r w:rsidRPr="0072410C">
              <w:rPr>
                <w:lang w:val="es-ES_tradnl"/>
              </w:rPr>
              <w:t>RRC06</w:t>
            </w:r>
          </w:p>
        </w:tc>
      </w:tr>
      <w:tr w:rsidR="002A523D" w:rsidRPr="00EF7B19" w:rsidTr="0060391F">
        <w:tc>
          <w:tcPr>
            <w:tcW w:w="1985" w:type="dxa"/>
          </w:tcPr>
          <w:p w:rsidR="002A523D" w:rsidRPr="0072410C" w:rsidRDefault="002A523D" w:rsidP="0060391F">
            <w:pPr>
              <w:pStyle w:val="Tabletext"/>
              <w:rPr>
                <w:lang w:val="es-ES_tradnl"/>
              </w:rPr>
            </w:pPr>
            <w:r w:rsidRPr="0072410C">
              <w:rPr>
                <w:lang w:val="es-ES_tradnl"/>
              </w:rPr>
              <w:t>Transmisor DAB+</w:t>
            </w:r>
          </w:p>
        </w:tc>
        <w:tc>
          <w:tcPr>
            <w:tcW w:w="1701" w:type="dxa"/>
          </w:tcPr>
          <w:p w:rsidR="002A523D" w:rsidRPr="0072410C" w:rsidRDefault="002A523D" w:rsidP="0060391F">
            <w:pPr>
              <w:pStyle w:val="Tabletext"/>
              <w:jc w:val="center"/>
              <w:rPr>
                <w:lang w:val="es-ES_tradnl"/>
              </w:rPr>
            </w:pPr>
            <w:r w:rsidRPr="0072410C">
              <w:rPr>
                <w:lang w:val="es-ES_tradnl"/>
              </w:rPr>
              <w:t>Figura 5</w:t>
            </w:r>
          </w:p>
        </w:tc>
        <w:tc>
          <w:tcPr>
            <w:tcW w:w="2410" w:type="dxa"/>
          </w:tcPr>
          <w:p w:rsidR="002A523D" w:rsidRPr="0072410C" w:rsidRDefault="002A523D" w:rsidP="0060391F">
            <w:pPr>
              <w:pStyle w:val="Tabletext"/>
              <w:rPr>
                <w:lang w:val="es-ES_tradnl"/>
              </w:rPr>
            </w:pPr>
          </w:p>
        </w:tc>
        <w:tc>
          <w:tcPr>
            <w:tcW w:w="3538" w:type="dxa"/>
          </w:tcPr>
          <w:p w:rsidR="002A523D" w:rsidRPr="0072410C" w:rsidRDefault="002A523D" w:rsidP="00345CCD">
            <w:pPr>
              <w:pStyle w:val="Tabletext"/>
              <w:jc w:val="left"/>
              <w:rPr>
                <w:lang w:val="es-ES_tradnl"/>
              </w:rPr>
            </w:pPr>
            <w:r w:rsidRPr="0072410C">
              <w:rPr>
                <w:lang w:val="es-ES_tradnl"/>
              </w:rPr>
              <w:t>Puede verse que se infringe la máscara crítica alrededor del desplazamiento de 2,2 MHz pero es difícil determinar por qué, dada la limitación de la sensibilidad del equipo de medición.</w:t>
            </w:r>
          </w:p>
        </w:tc>
      </w:tr>
    </w:tbl>
    <w:p w:rsidR="002A523D" w:rsidRPr="0072410C" w:rsidRDefault="002A523D" w:rsidP="002A523D">
      <w:pPr>
        <w:pStyle w:val="Heading2"/>
        <w:rPr>
          <w:lang w:val="es-ES_tradnl"/>
        </w:rPr>
      </w:pPr>
      <w:bookmarkStart w:id="68" w:name="_Toc475540033"/>
      <w:bookmarkStart w:id="69" w:name="_Toc476049664"/>
      <w:r w:rsidRPr="0072410C">
        <w:rPr>
          <w:lang w:val="es-ES_tradnl"/>
        </w:rPr>
        <w:t>2.2</w:t>
      </w:r>
      <w:r w:rsidRPr="0072410C">
        <w:rPr>
          <w:lang w:val="es-ES_tradnl"/>
        </w:rPr>
        <w:tab/>
      </w:r>
      <w:bookmarkEnd w:id="67"/>
      <w:bookmarkEnd w:id="68"/>
      <w:bookmarkEnd w:id="69"/>
      <w:r w:rsidRPr="0072410C">
        <w:rPr>
          <w:lang w:val="es-ES_tradnl"/>
        </w:rPr>
        <w:t>Emisión no esencial</w:t>
      </w:r>
    </w:p>
    <w:p w:rsidR="002A523D" w:rsidRPr="0072410C" w:rsidRDefault="002A523D" w:rsidP="002A523D">
      <w:pPr>
        <w:rPr>
          <w:lang w:val="es-ES_tradnl"/>
        </w:rPr>
      </w:pPr>
      <w:r w:rsidRPr="0072410C">
        <w:rPr>
          <w:lang w:val="es-ES_tradnl"/>
        </w:rPr>
        <w:t xml:space="preserve">Como se ha mencionado anteriormente, los transmisores DAB/DAB+ tienen siempre filtros de salida para limitar las emisiones no deseadas. Las medidas tomadas en diversos transmisores DAB en Alemania muestran que no pueden detectarse emisiones no deseadas en el dominio no esencial para </w:t>
      </w:r>
      <w:r w:rsidRPr="0072410C">
        <w:rPr>
          <w:lang w:val="es-ES_tradnl"/>
        </w:rPr>
        <w:lastRenderedPageBreak/>
        <w:t>desplazamientos de alta frecuencia de la frecuencia central y las emisiones armónicas por encima del ruido de fondo del sistema de medición.</w:t>
      </w:r>
    </w:p>
    <w:p w:rsidR="002A523D" w:rsidRPr="0072410C" w:rsidRDefault="002A523D" w:rsidP="002A523D">
      <w:pPr>
        <w:rPr>
          <w:lang w:val="es-ES_tradnl"/>
        </w:rPr>
      </w:pPr>
      <w:r w:rsidRPr="0072410C">
        <w:rPr>
          <w:lang w:val="es-ES_tradnl"/>
        </w:rPr>
        <w:t xml:space="preserve">En la </w:t>
      </w:r>
      <w:r w:rsidR="00674EE1">
        <w:rPr>
          <w:lang w:val="es-ES_tradnl"/>
        </w:rPr>
        <w:t xml:space="preserve">Fig. </w:t>
      </w:r>
      <w:r w:rsidRPr="0072410C">
        <w:rPr>
          <w:lang w:val="es-ES_tradnl"/>
        </w:rPr>
        <w:t>6 se muestran las medidas de las emisiones no esenciales de un transmisor DAB (en azul oscuro) y los límites normativos pertinentes.</w:t>
      </w:r>
    </w:p>
    <w:p w:rsidR="002A523D" w:rsidRPr="0072410C" w:rsidRDefault="002A523D" w:rsidP="002A523D">
      <w:pPr>
        <w:pStyle w:val="FigureNo"/>
        <w:rPr>
          <w:lang w:val="es-ES_tradnl"/>
        </w:rPr>
      </w:pPr>
      <w:bookmarkStart w:id="70" w:name="_Ref475455094"/>
      <w:bookmarkStart w:id="71" w:name="_Ref475979637"/>
      <w:r w:rsidRPr="0072410C">
        <w:rPr>
          <w:lang w:val="es-ES_tradnl"/>
        </w:rPr>
        <w:t>Figura 6</w:t>
      </w:r>
      <w:bookmarkEnd w:id="70"/>
    </w:p>
    <w:p w:rsidR="002A523D" w:rsidRDefault="002A523D" w:rsidP="002A523D">
      <w:pPr>
        <w:pStyle w:val="Figuretitle"/>
        <w:rPr>
          <w:lang w:val="es-ES_tradnl"/>
        </w:rPr>
      </w:pPr>
      <w:r w:rsidRPr="0072410C">
        <w:rPr>
          <w:lang w:val="es-ES_tradnl"/>
        </w:rPr>
        <w:t>Emisiones no esenciales de un transmisor DAB (en la línea azul)</w:t>
      </w:r>
      <w:bookmarkEnd w:id="71"/>
    </w:p>
    <w:p w:rsidR="00485A0A" w:rsidRPr="00D24BC5" w:rsidRDefault="00FF4823" w:rsidP="00485A0A">
      <w:pPr>
        <w:pStyle w:val="Figure"/>
        <w:rPr>
          <w:lang w:val="en-GB" w:eastAsia="zh-CN"/>
        </w:rPr>
      </w:pPr>
      <w:r>
        <w:object w:dxaOrig="6380" w:dyaOrig="4170">
          <v:shape id="_x0000_i1030" type="#_x0000_t75" style="width:416.95pt;height:272.95pt" o:ole="">
            <v:imagedata r:id="rId42" o:title=""/>
          </v:shape>
          <o:OLEObject Type="Embed" ProgID="CorelDraw.Graphic.16" ShapeID="_x0000_i1030" DrawAspect="Content" ObjectID="_1600519725" r:id="rId43"/>
        </w:object>
      </w:r>
    </w:p>
    <w:p w:rsidR="002A523D" w:rsidRPr="00B27711" w:rsidRDefault="002A523D" w:rsidP="00B27711">
      <w:pPr>
        <w:pStyle w:val="Normalaftertitle0"/>
        <w:rPr>
          <w:lang w:val="es-ES_tradnl"/>
        </w:rPr>
      </w:pPr>
      <w:r w:rsidRPr="00B27711">
        <w:rPr>
          <w:lang w:val="es-ES_tradnl"/>
        </w:rPr>
        <w:t xml:space="preserve">Comparación con las medidas en los límites normativos: </w:t>
      </w:r>
    </w:p>
    <w:p w:rsidR="002A523D" w:rsidRPr="0072410C" w:rsidRDefault="002A523D" w:rsidP="002A523D">
      <w:pPr>
        <w:pStyle w:val="enumlev1"/>
        <w:rPr>
          <w:lang w:val="es-ES_tradnl"/>
        </w:rPr>
      </w:pPr>
      <w:r w:rsidRPr="0072410C">
        <w:rPr>
          <w:lang w:val="es-ES_tradnl"/>
        </w:rPr>
        <w:t>–</w:t>
      </w:r>
      <w:r w:rsidRPr="0072410C">
        <w:rPr>
          <w:lang w:val="es-ES_tradnl"/>
        </w:rPr>
        <w:tab/>
        <w:t>En la Recomendación UIT-R SM.329 no figuran límites concretos de emisiones no esenciales de DAB en la categoría B (Europa). Así pues, se utiliza el límite de la categoría A «todos los servicios excepto los mencionados a continuación».</w:t>
      </w:r>
    </w:p>
    <w:p w:rsidR="002A523D" w:rsidRPr="0072410C" w:rsidRDefault="002A523D" w:rsidP="002A523D">
      <w:pPr>
        <w:pStyle w:val="enumlev1"/>
        <w:rPr>
          <w:lang w:val="es-ES_tradnl"/>
        </w:rPr>
      </w:pPr>
      <w:r w:rsidRPr="0072410C">
        <w:rPr>
          <w:lang w:val="es-ES_tradnl"/>
        </w:rPr>
        <w:t>–</w:t>
      </w:r>
      <w:r w:rsidRPr="0072410C">
        <w:rPr>
          <w:lang w:val="es-ES_tradnl"/>
        </w:rPr>
        <w:tab/>
        <w:t xml:space="preserve">La medición se realizó en el puerto de antena de un transmisor DAB con 780 W de potencia de salida (10 kW p.r.a). El límite de emisiones no esenciales de la categoría A «todos los servicios excepto los mencionados a continuación» de la Recomendación UIT-R SM.329 en 100 kHz es de 70 dBc. Como la </w:t>
      </w:r>
      <w:r w:rsidR="00674EE1">
        <w:rPr>
          <w:lang w:val="es-ES_tradnl"/>
        </w:rPr>
        <w:t xml:space="preserve">Fig. </w:t>
      </w:r>
      <w:r w:rsidRPr="0072410C">
        <w:rPr>
          <w:lang w:val="es-ES_tradnl"/>
        </w:rPr>
        <w:t>6 se ha normalizado al nivel espectral dentro de la banda en el ancho de banda de 100 kHz, ese límite se convirtió e</w:t>
      </w:r>
      <w:r w:rsidR="004B1C7F">
        <w:rPr>
          <w:lang w:val="es-ES_tradnl"/>
        </w:rPr>
        <w:t>n una atenuación relativa de 70 </w:t>
      </w:r>
      <w:r w:rsidRPr="0072410C">
        <w:rPr>
          <w:lang w:val="es-ES_tradnl"/>
        </w:rPr>
        <w:t>dBc − 10*log</w:t>
      </w:r>
      <w:r w:rsidRPr="00817754">
        <w:rPr>
          <w:vertAlign w:val="subscript"/>
          <w:lang w:val="es-ES_tradnl"/>
        </w:rPr>
        <w:t>10</w:t>
      </w:r>
      <w:r>
        <w:rPr>
          <w:lang w:val="es-ES_tradnl"/>
        </w:rPr>
        <w:t>(1 536/100) = 58,</w:t>
      </w:r>
      <w:r w:rsidRPr="0072410C">
        <w:rPr>
          <w:lang w:val="es-ES_tradnl"/>
        </w:rPr>
        <w:t xml:space="preserve">2 dBc. En el Anexo </w:t>
      </w:r>
      <w:r>
        <w:rPr>
          <w:lang w:val="es-ES_tradnl"/>
        </w:rPr>
        <w:t>4, Cuadro 4.1, de la ERC/REC 74</w:t>
      </w:r>
      <w:r>
        <w:rPr>
          <w:lang w:val="es-ES_tradnl"/>
        </w:rPr>
        <w:noBreakHyphen/>
      </w:r>
      <w:r w:rsidRPr="0072410C">
        <w:rPr>
          <w:lang w:val="es-ES_tradnl"/>
        </w:rPr>
        <w:t>01 se especifica un límite de 75 dBc para transmisores con una potencia de salida de entre 8 y 800 W, con un ancho de banda de referencia de 100 kHz. Esto conduce a una densidad espectral de potencia dentro del canal en 100 kHz</w:t>
      </w:r>
      <w:r>
        <w:rPr>
          <w:lang w:val="es-ES_tradnl"/>
        </w:rPr>
        <w:t>; el límite estaría en 75 dBc − 10*log</w:t>
      </w:r>
      <w:r w:rsidRPr="00817754">
        <w:rPr>
          <w:vertAlign w:val="subscript"/>
          <w:lang w:val="es-ES_tradnl"/>
        </w:rPr>
        <w:t>10</w:t>
      </w:r>
      <w:r>
        <w:rPr>
          <w:lang w:val="es-ES_tradnl"/>
        </w:rPr>
        <w:t>(1 536/100) = 63,</w:t>
      </w:r>
      <w:r w:rsidRPr="0072410C">
        <w:rPr>
          <w:lang w:val="es-ES_tradnl"/>
        </w:rPr>
        <w:t>2 dBc.</w:t>
      </w:r>
    </w:p>
    <w:p w:rsidR="002A523D" w:rsidRPr="0072410C" w:rsidRDefault="002A523D" w:rsidP="002A523D">
      <w:pPr>
        <w:pStyle w:val="enumlev1"/>
        <w:rPr>
          <w:lang w:val="es-ES_tradnl"/>
        </w:rPr>
      </w:pPr>
      <w:r w:rsidRPr="0072410C">
        <w:rPr>
          <w:lang w:val="es-ES_tradnl"/>
        </w:rPr>
        <w:t>–</w:t>
      </w:r>
      <w:r w:rsidRPr="0072410C">
        <w:rPr>
          <w:lang w:val="es-ES_tradnl"/>
        </w:rPr>
        <w:tab/>
        <w:t xml:space="preserve">En el Cuadro 4.3 [12] de la EN 302 077-1 del ETSI, se define un límite relativo de 126 dBc en un ancho de banda de referencia de 4 kHz para una potencia media de salida de transmisor de entre 25 y 1000 W. Como la </w:t>
      </w:r>
      <w:r w:rsidR="00674EE1">
        <w:rPr>
          <w:lang w:val="es-ES_tradnl"/>
        </w:rPr>
        <w:t xml:space="preserve">Fig. </w:t>
      </w:r>
      <w:r w:rsidRPr="0072410C">
        <w:rPr>
          <w:lang w:val="es-ES_tradnl"/>
        </w:rPr>
        <w:t>6 se ha normalizado al nivel espectral dentro de la banda en el ancho de banda de 100 kHz, ese límite se convierte en una atenuación relativa de 12</w:t>
      </w:r>
      <w:r w:rsidR="00783742">
        <w:rPr>
          <w:lang w:val="es-ES_tradnl"/>
        </w:rPr>
        <w:t>6 </w:t>
      </w:r>
      <w:r>
        <w:rPr>
          <w:lang w:val="es-ES_tradnl"/>
        </w:rPr>
        <w:t>dBc − 10*log</w:t>
      </w:r>
      <w:r w:rsidRPr="00817754">
        <w:rPr>
          <w:vertAlign w:val="subscript"/>
          <w:lang w:val="es-ES_tradnl"/>
        </w:rPr>
        <w:t>10</w:t>
      </w:r>
      <w:r>
        <w:rPr>
          <w:lang w:val="es-ES_tradnl"/>
        </w:rPr>
        <w:t>(1 536/4) = 100,</w:t>
      </w:r>
      <w:r w:rsidRPr="0072410C">
        <w:rPr>
          <w:lang w:val="es-ES_tradnl"/>
        </w:rPr>
        <w:t>2 dBc.</w:t>
      </w:r>
    </w:p>
    <w:p w:rsidR="002A523D" w:rsidRPr="0072410C" w:rsidRDefault="002A523D" w:rsidP="00FF4823">
      <w:pPr>
        <w:keepNext/>
        <w:keepLines/>
        <w:rPr>
          <w:rFonts w:eastAsia="Calibri"/>
          <w:lang w:val="es-ES_tradnl"/>
        </w:rPr>
      </w:pPr>
      <w:r w:rsidRPr="0072410C">
        <w:rPr>
          <w:lang w:val="es-ES_tradnl"/>
        </w:rPr>
        <w:lastRenderedPageBreak/>
        <w:t>Observaciones de las Figs</w:t>
      </w:r>
      <w:r w:rsidR="00FF4823">
        <w:rPr>
          <w:lang w:val="es-ES_tradnl"/>
        </w:rPr>
        <w:t>.</w:t>
      </w:r>
      <w:r w:rsidRPr="0072410C">
        <w:rPr>
          <w:lang w:val="es-ES_tradnl"/>
        </w:rPr>
        <w:t xml:space="preserve"> 5 y 6: </w:t>
      </w:r>
    </w:p>
    <w:p w:rsidR="002A523D" w:rsidRPr="0072410C" w:rsidRDefault="002A523D" w:rsidP="002A523D">
      <w:pPr>
        <w:pStyle w:val="enumlev1"/>
        <w:rPr>
          <w:lang w:val="es-ES_tradnl"/>
        </w:rPr>
      </w:pPr>
      <w:r w:rsidRPr="0072410C">
        <w:rPr>
          <w:lang w:val="es-ES_tradnl"/>
        </w:rPr>
        <w:t>–</w:t>
      </w:r>
      <w:r w:rsidRPr="0072410C">
        <w:rPr>
          <w:lang w:val="es-ES_tradnl"/>
        </w:rPr>
        <w:tab/>
        <w:t>La supresión relativa de las emisiones no esenciales con respecto a la potencia de la portadora cerca de la frontera OoB es aproximadamente de 100 dB (véanse también lo</w:t>
      </w:r>
      <w:r>
        <w:rPr>
          <w:lang w:val="es-ES_tradnl"/>
        </w:rPr>
        <w:t>s desplazamientos inferiores −3,</w:t>
      </w:r>
      <w:r w:rsidRPr="0072410C">
        <w:rPr>
          <w:lang w:val="es-ES_tradnl"/>
        </w:rPr>
        <w:t xml:space="preserve">84 MHz en la </w:t>
      </w:r>
      <w:r w:rsidR="00674EE1">
        <w:rPr>
          <w:lang w:val="es-ES_tradnl"/>
        </w:rPr>
        <w:t xml:space="preserve">Fig. </w:t>
      </w:r>
      <w:r w:rsidRPr="0072410C">
        <w:rPr>
          <w:lang w:val="es-ES_tradnl"/>
        </w:rPr>
        <w:t>5 siguiente);</w:t>
      </w:r>
    </w:p>
    <w:p w:rsidR="002A523D" w:rsidRPr="0072410C" w:rsidRDefault="002A523D" w:rsidP="002A523D">
      <w:pPr>
        <w:pStyle w:val="enumlev1"/>
        <w:rPr>
          <w:lang w:val="es-ES_tradnl"/>
        </w:rPr>
      </w:pPr>
      <w:r w:rsidRPr="0072410C">
        <w:rPr>
          <w:lang w:val="es-ES_tradnl"/>
        </w:rPr>
        <w:t>–</w:t>
      </w:r>
      <w:r w:rsidRPr="0072410C">
        <w:rPr>
          <w:lang w:val="es-ES_tradnl"/>
        </w:rPr>
        <w:tab/>
        <w:t xml:space="preserve">Las emisiones no esenciales de transmisores DAB/DAB+ filtrados con desplazamientos de la frecuencia central superiores a unos 10 MHz y las emisiones armónicas son inferiores a la sensibilidad de medición y superiores a 57 dB por debajo </w:t>
      </w:r>
      <w:r>
        <w:rPr>
          <w:lang w:val="es-ES_tradnl"/>
        </w:rPr>
        <w:t>de los límites de la ERC/REC 74</w:t>
      </w:r>
      <w:r>
        <w:rPr>
          <w:lang w:val="es-ES_tradnl"/>
        </w:rPr>
        <w:noBreakHyphen/>
      </w:r>
      <w:r w:rsidRPr="0072410C">
        <w:rPr>
          <w:lang w:val="es-ES_tradnl"/>
        </w:rPr>
        <w:t>01;</w:t>
      </w:r>
    </w:p>
    <w:p w:rsidR="002A523D" w:rsidRPr="0072410C" w:rsidRDefault="002A523D" w:rsidP="002A523D">
      <w:pPr>
        <w:pStyle w:val="enumlev1"/>
        <w:rPr>
          <w:lang w:val="es-ES_tradnl"/>
        </w:rPr>
      </w:pPr>
      <w:r w:rsidRPr="0072410C">
        <w:rPr>
          <w:lang w:val="es-ES_tradnl"/>
        </w:rPr>
        <w:t>–</w:t>
      </w:r>
      <w:r w:rsidRPr="0072410C">
        <w:rPr>
          <w:lang w:val="es-ES_tradnl"/>
        </w:rPr>
        <w:tab/>
        <w:t xml:space="preserve">La máscara OoB alcanza el límite de emisión no esencial de la ERC/REC 74-01 en desplazamientos de aproximadamente 1,4 MHz o 90% del ancho de banda de la señal (véase la </w:t>
      </w:r>
      <w:r w:rsidR="00674EE1">
        <w:rPr>
          <w:lang w:val="es-ES_tradnl"/>
        </w:rPr>
        <w:t xml:space="preserve">Fig. </w:t>
      </w:r>
      <w:r w:rsidRPr="0072410C">
        <w:rPr>
          <w:lang w:val="es-ES_tradnl"/>
        </w:rPr>
        <w:t>5).</w:t>
      </w:r>
    </w:p>
    <w:p w:rsidR="002A523D" w:rsidRPr="0072410C" w:rsidRDefault="002A523D" w:rsidP="002A523D">
      <w:pPr>
        <w:pStyle w:val="enumlev1"/>
        <w:rPr>
          <w:lang w:val="es-ES_tradnl"/>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9"/>
        <w:gridCol w:w="2418"/>
        <w:gridCol w:w="2625"/>
        <w:gridCol w:w="2437"/>
      </w:tblGrid>
      <w:tr w:rsidR="002A523D" w:rsidRPr="0072410C" w:rsidTr="00522E85">
        <w:trPr>
          <w:jc w:val="center"/>
        </w:trPr>
        <w:tc>
          <w:tcPr>
            <w:tcW w:w="1996" w:type="dxa"/>
            <w:vMerge w:val="restart"/>
            <w:vAlign w:val="center"/>
          </w:tcPr>
          <w:p w:rsidR="002A523D" w:rsidRPr="0072410C" w:rsidRDefault="002A523D" w:rsidP="0060391F">
            <w:pPr>
              <w:pStyle w:val="Tablehead"/>
              <w:rPr>
                <w:lang w:val="es-ES_tradnl"/>
              </w:rPr>
            </w:pPr>
            <w:bookmarkStart w:id="72" w:name="_Toc378767756"/>
            <w:bookmarkStart w:id="73" w:name="_Toc395724439"/>
            <w:bookmarkStart w:id="74" w:name="_Toc415058549"/>
            <w:bookmarkStart w:id="75" w:name="_Toc449437421"/>
            <w:r w:rsidRPr="0072410C">
              <w:rPr>
                <w:lang w:val="es-ES_tradnl"/>
              </w:rPr>
              <w:t>Sistema</w:t>
            </w:r>
          </w:p>
        </w:tc>
        <w:tc>
          <w:tcPr>
            <w:tcW w:w="2235" w:type="dxa"/>
            <w:vMerge w:val="restart"/>
            <w:vAlign w:val="center"/>
          </w:tcPr>
          <w:p w:rsidR="002A523D" w:rsidRPr="0072410C" w:rsidRDefault="002A523D" w:rsidP="0060391F">
            <w:pPr>
              <w:pStyle w:val="Tablehead"/>
              <w:rPr>
                <w:lang w:val="es-ES_tradnl"/>
              </w:rPr>
            </w:pPr>
            <w:r w:rsidRPr="0072410C">
              <w:rPr>
                <w:lang w:val="es-ES_tradnl"/>
              </w:rPr>
              <w:t>Figura</w:t>
            </w:r>
          </w:p>
        </w:tc>
        <w:tc>
          <w:tcPr>
            <w:tcW w:w="4678" w:type="dxa"/>
            <w:gridSpan w:val="2"/>
          </w:tcPr>
          <w:p w:rsidR="002A523D" w:rsidRPr="0072410C" w:rsidRDefault="002A523D" w:rsidP="0060391F">
            <w:pPr>
              <w:pStyle w:val="Tablehead"/>
              <w:rPr>
                <w:lang w:val="es-ES_tradnl"/>
              </w:rPr>
            </w:pPr>
            <w:r w:rsidRPr="0072410C">
              <w:rPr>
                <w:lang w:val="es-ES_tradnl"/>
              </w:rPr>
              <w:t xml:space="preserve">Comparación con: </w:t>
            </w:r>
          </w:p>
        </w:tc>
      </w:tr>
      <w:tr w:rsidR="002A523D" w:rsidRPr="0072410C" w:rsidTr="0060391F">
        <w:trPr>
          <w:jc w:val="center"/>
        </w:trPr>
        <w:tc>
          <w:tcPr>
            <w:tcW w:w="1996" w:type="dxa"/>
            <w:vMerge/>
          </w:tcPr>
          <w:p w:rsidR="002A523D" w:rsidRPr="0072410C" w:rsidRDefault="002A523D" w:rsidP="0060391F">
            <w:pPr>
              <w:pStyle w:val="Tablehead"/>
              <w:rPr>
                <w:lang w:val="es-ES_tradnl"/>
              </w:rPr>
            </w:pPr>
          </w:p>
        </w:tc>
        <w:tc>
          <w:tcPr>
            <w:tcW w:w="2235" w:type="dxa"/>
            <w:vMerge/>
          </w:tcPr>
          <w:p w:rsidR="002A523D" w:rsidRPr="0072410C" w:rsidRDefault="002A523D" w:rsidP="0060391F">
            <w:pPr>
              <w:pStyle w:val="Tablehead"/>
              <w:rPr>
                <w:lang w:val="es-ES_tradnl"/>
              </w:rPr>
            </w:pPr>
          </w:p>
        </w:tc>
        <w:tc>
          <w:tcPr>
            <w:tcW w:w="2426" w:type="dxa"/>
          </w:tcPr>
          <w:p w:rsidR="002A523D" w:rsidRPr="0072410C" w:rsidRDefault="002A523D" w:rsidP="0060391F">
            <w:pPr>
              <w:pStyle w:val="Tablehead"/>
              <w:rPr>
                <w:lang w:val="es-ES_tradnl"/>
              </w:rPr>
            </w:pPr>
            <w:r w:rsidRPr="0072410C">
              <w:rPr>
                <w:lang w:val="es-ES_tradnl"/>
              </w:rPr>
              <w:t>Rec. UIT-R SM.329</w:t>
            </w:r>
          </w:p>
        </w:tc>
        <w:tc>
          <w:tcPr>
            <w:tcW w:w="2252" w:type="dxa"/>
          </w:tcPr>
          <w:p w:rsidR="002A523D" w:rsidRPr="0072410C" w:rsidRDefault="002A523D" w:rsidP="0060391F">
            <w:pPr>
              <w:pStyle w:val="Tablehead"/>
              <w:rPr>
                <w:lang w:val="es-ES_tradnl"/>
              </w:rPr>
            </w:pPr>
            <w:r w:rsidRPr="0072410C">
              <w:rPr>
                <w:lang w:val="es-ES_tradnl"/>
              </w:rPr>
              <w:t>ERC/Rec 74-01</w:t>
            </w:r>
          </w:p>
        </w:tc>
      </w:tr>
      <w:tr w:rsidR="002A523D" w:rsidRPr="00EF7B19" w:rsidTr="0060391F">
        <w:trPr>
          <w:jc w:val="center"/>
        </w:trPr>
        <w:tc>
          <w:tcPr>
            <w:tcW w:w="1996" w:type="dxa"/>
          </w:tcPr>
          <w:p w:rsidR="002A523D" w:rsidRPr="0072410C" w:rsidRDefault="002A523D" w:rsidP="00674EE1">
            <w:pPr>
              <w:pStyle w:val="Tabletext"/>
              <w:jc w:val="left"/>
              <w:rPr>
                <w:lang w:val="es-ES_tradnl"/>
              </w:rPr>
            </w:pPr>
            <w:r w:rsidRPr="0072410C">
              <w:rPr>
                <w:lang w:val="es-ES_tradnl"/>
              </w:rPr>
              <w:t>Transmisores DAB/DAB+</w:t>
            </w:r>
          </w:p>
        </w:tc>
        <w:tc>
          <w:tcPr>
            <w:tcW w:w="2235" w:type="dxa"/>
          </w:tcPr>
          <w:p w:rsidR="002A523D" w:rsidRPr="0072410C" w:rsidRDefault="002A523D" w:rsidP="00674EE1">
            <w:pPr>
              <w:pStyle w:val="Tabletext"/>
              <w:jc w:val="left"/>
              <w:rPr>
                <w:lang w:val="es-ES_tradnl"/>
              </w:rPr>
            </w:pPr>
            <w:r w:rsidRPr="0072410C">
              <w:rPr>
                <w:lang w:val="es-ES_tradnl"/>
              </w:rPr>
              <w:t>Figura 5 (transmisor DAB+) y Figura 6 (transmisor DAB)</w:t>
            </w:r>
          </w:p>
        </w:tc>
        <w:tc>
          <w:tcPr>
            <w:tcW w:w="2426" w:type="dxa"/>
          </w:tcPr>
          <w:p w:rsidR="002A523D" w:rsidRPr="0072410C" w:rsidRDefault="002A523D" w:rsidP="00674EE1">
            <w:pPr>
              <w:pStyle w:val="Tabletext"/>
              <w:jc w:val="left"/>
              <w:rPr>
                <w:lang w:val="es-ES_tradnl"/>
              </w:rPr>
            </w:pPr>
            <w:r w:rsidRPr="0072410C">
              <w:rPr>
                <w:lang w:val="es-ES_tradnl"/>
              </w:rPr>
              <w:t>La categoría A «todos los servicios excepto los mencionados a continuación» se ven superados</w:t>
            </w:r>
            <w:r w:rsidR="00674EE1">
              <w:rPr>
                <w:lang w:val="es-ES_tradnl"/>
              </w:rPr>
              <w:t xml:space="preserve"> por los transmisores DAB (Fig.</w:t>
            </w:r>
            <w:r>
              <w:rPr>
                <w:lang w:val="es-ES_tradnl"/>
              </w:rPr>
              <w:t> </w:t>
            </w:r>
            <w:r w:rsidRPr="0072410C">
              <w:rPr>
                <w:lang w:val="es-ES_tradnl"/>
              </w:rPr>
              <w:t>6).</w:t>
            </w:r>
          </w:p>
        </w:tc>
        <w:tc>
          <w:tcPr>
            <w:tcW w:w="2252" w:type="dxa"/>
          </w:tcPr>
          <w:p w:rsidR="002A523D" w:rsidRPr="0072410C" w:rsidRDefault="002A523D" w:rsidP="00674EE1">
            <w:pPr>
              <w:pStyle w:val="Tabletext"/>
              <w:jc w:val="left"/>
              <w:rPr>
                <w:highlight w:val="lightGray"/>
                <w:lang w:val="es-ES_tradnl"/>
              </w:rPr>
            </w:pPr>
            <w:r w:rsidRPr="0072410C">
              <w:rPr>
                <w:lang w:val="es-ES_tradnl"/>
              </w:rPr>
              <w:t>Las emisiones no esenciales de transmisores DAB/DAB+ filtrados con desplazamientos de la frecuencia central superiores a unos 10</w:t>
            </w:r>
            <w:r>
              <w:rPr>
                <w:lang w:val="es-ES_tradnl"/>
              </w:rPr>
              <w:t> </w:t>
            </w:r>
            <w:r w:rsidRPr="0072410C">
              <w:rPr>
                <w:lang w:val="es-ES_tradnl"/>
              </w:rPr>
              <w:t>MHz y las emisiones armónicas son inferiores a la sensibilidad de medición y superiores a 57 dB por debajo de los límites de la ERC/REC</w:t>
            </w:r>
            <w:r>
              <w:rPr>
                <w:lang w:val="es-ES_tradnl"/>
              </w:rPr>
              <w:t> </w:t>
            </w:r>
            <w:r w:rsidRPr="0072410C">
              <w:rPr>
                <w:lang w:val="es-ES_tradnl"/>
              </w:rPr>
              <w:t>74-01.</w:t>
            </w:r>
            <w:r w:rsidRPr="0072410C">
              <w:rPr>
                <w:rFonts w:ascii="Calibri" w:hAnsi="Calibri"/>
                <w:b/>
                <w:color w:val="800000"/>
                <w:lang w:val="es-ES_tradnl"/>
              </w:rPr>
              <w:t xml:space="preserve"> </w:t>
            </w:r>
          </w:p>
        </w:tc>
      </w:tr>
    </w:tbl>
    <w:p w:rsidR="002A523D" w:rsidRPr="0072410C" w:rsidRDefault="002A523D" w:rsidP="002A523D">
      <w:pPr>
        <w:pStyle w:val="Heading1"/>
        <w:rPr>
          <w:lang w:val="es-ES_tradnl"/>
        </w:rPr>
      </w:pPr>
      <w:bookmarkStart w:id="76" w:name="_Toc475540035"/>
      <w:bookmarkStart w:id="77" w:name="_Toc476049665"/>
      <w:bookmarkStart w:id="78" w:name="_Toc525820179"/>
      <w:bookmarkStart w:id="79" w:name="_Toc525820359"/>
      <w:r w:rsidRPr="0072410C">
        <w:rPr>
          <w:lang w:val="es-ES_tradnl"/>
        </w:rPr>
        <w:t>3</w:t>
      </w:r>
      <w:r w:rsidRPr="0072410C">
        <w:rPr>
          <w:lang w:val="es-ES_tradnl"/>
        </w:rPr>
        <w:tab/>
        <w:t>DVB-T</w:t>
      </w:r>
      <w:bookmarkEnd w:id="72"/>
      <w:bookmarkEnd w:id="73"/>
      <w:bookmarkEnd w:id="74"/>
      <w:bookmarkEnd w:id="75"/>
      <w:bookmarkEnd w:id="76"/>
      <w:bookmarkEnd w:id="77"/>
      <w:bookmarkEnd w:id="78"/>
      <w:bookmarkEnd w:id="79"/>
    </w:p>
    <w:p w:rsidR="002A523D" w:rsidRPr="0072410C" w:rsidRDefault="002A523D" w:rsidP="002A523D">
      <w:pPr>
        <w:rPr>
          <w:lang w:val="es-ES_tradnl"/>
        </w:rPr>
      </w:pPr>
      <w:r w:rsidRPr="0072410C">
        <w:rPr>
          <w:lang w:val="es-ES_tradnl"/>
        </w:rPr>
        <w:t>Se trata del sistema de televisión terrenal digital utilizado en Europa. Para proteger los canales adyacentes y/o los servicios de radiocomunicaciones, los límites OoB</w:t>
      </w:r>
      <w:r>
        <w:rPr>
          <w:lang w:val="es-ES_tradnl"/>
        </w:rPr>
        <w:t xml:space="preserve"> de la Recomendación UIT</w:t>
      </w:r>
      <w:r>
        <w:rPr>
          <w:lang w:val="es-ES_tradnl"/>
        </w:rPr>
        <w:noBreakHyphen/>
      </w:r>
      <w:r w:rsidRPr="0072410C">
        <w:rPr>
          <w:lang w:val="es-ES_tradnl"/>
        </w:rPr>
        <w:t>R</w:t>
      </w:r>
      <w:r>
        <w:rPr>
          <w:lang w:val="es-ES_tradnl"/>
        </w:rPr>
        <w:t> </w:t>
      </w:r>
      <w:r w:rsidRPr="0072410C">
        <w:rPr>
          <w:lang w:val="es-ES_tradnl"/>
        </w:rPr>
        <w:t xml:space="preserve">SM.1541 se consideraron insuficientes. Por ese motivo, se definieron límites más estrictos en el Acuerdo GE-06. Para cumplir esos requisitos, los transmisores DVB-T deben estar siempre equipados con filtros limitadores de banda tras la fase de amplificación final. </w:t>
      </w:r>
    </w:p>
    <w:p w:rsidR="002A523D" w:rsidRPr="0072410C" w:rsidRDefault="002A523D" w:rsidP="002A523D">
      <w:pPr>
        <w:rPr>
          <w:lang w:val="es-ES_tradnl"/>
        </w:rPr>
      </w:pPr>
      <w:r w:rsidRPr="0072410C">
        <w:rPr>
          <w:lang w:val="es-ES_tradnl"/>
        </w:rPr>
        <w:t>Los parámetros del sistema DVB-T medido son:</w:t>
      </w:r>
    </w:p>
    <w:p w:rsidR="002A523D" w:rsidRPr="0072410C" w:rsidRDefault="002A523D" w:rsidP="00FF4823">
      <w:pPr>
        <w:tabs>
          <w:tab w:val="clear" w:pos="1985"/>
          <w:tab w:val="left" w:pos="3261"/>
        </w:tabs>
        <w:rPr>
          <w:lang w:val="es-ES_tradnl"/>
        </w:rPr>
      </w:pPr>
      <w:r w:rsidRPr="0072410C">
        <w:rPr>
          <w:lang w:val="es-ES_tradnl"/>
        </w:rPr>
        <w:t>Modulación:</w:t>
      </w:r>
      <w:r w:rsidRPr="0072410C">
        <w:rPr>
          <w:lang w:val="es-ES_tradnl"/>
        </w:rPr>
        <w:tab/>
      </w:r>
      <w:r w:rsidRPr="0072410C">
        <w:rPr>
          <w:lang w:val="es-ES_tradnl"/>
        </w:rPr>
        <w:tab/>
        <w:t>8k OFDM con 6 817 portadoras activas</w:t>
      </w:r>
    </w:p>
    <w:p w:rsidR="002A523D" w:rsidRPr="0072410C" w:rsidRDefault="002A523D" w:rsidP="00FF4823">
      <w:pPr>
        <w:tabs>
          <w:tab w:val="clear" w:pos="1985"/>
          <w:tab w:val="left" w:pos="3261"/>
        </w:tabs>
        <w:rPr>
          <w:lang w:val="es-ES_tradnl"/>
        </w:rPr>
      </w:pPr>
      <w:r w:rsidRPr="0072410C">
        <w:rPr>
          <w:lang w:val="es-ES_tradnl"/>
        </w:rPr>
        <w:t>Ancho de banda:</w:t>
      </w:r>
      <w:r w:rsidRPr="0072410C">
        <w:rPr>
          <w:lang w:val="es-ES_tradnl"/>
        </w:rPr>
        <w:tab/>
        <w:t>7,61 MHz</w:t>
      </w:r>
    </w:p>
    <w:p w:rsidR="002A523D" w:rsidRPr="0072410C" w:rsidRDefault="002A523D" w:rsidP="00FF4823">
      <w:pPr>
        <w:tabs>
          <w:tab w:val="clear" w:pos="1985"/>
          <w:tab w:val="left" w:pos="3261"/>
        </w:tabs>
        <w:rPr>
          <w:lang w:val="es-ES_tradnl"/>
        </w:rPr>
      </w:pPr>
      <w:r w:rsidRPr="0072410C">
        <w:rPr>
          <w:lang w:val="es-ES_tradnl"/>
        </w:rPr>
        <w:t>Potencia de trans</w:t>
      </w:r>
      <w:bookmarkStart w:id="80" w:name="_GoBack"/>
      <w:bookmarkEnd w:id="80"/>
      <w:r w:rsidRPr="0072410C">
        <w:rPr>
          <w:lang w:val="es-ES_tradnl"/>
        </w:rPr>
        <w:t>misión:</w:t>
      </w:r>
      <w:r w:rsidRPr="0072410C">
        <w:rPr>
          <w:lang w:val="es-ES_tradnl"/>
        </w:rPr>
        <w:tab/>
        <w:t>1 kW (salida Tx), 10 kW p.r.a.</w:t>
      </w:r>
    </w:p>
    <w:p w:rsidR="002A523D" w:rsidRPr="0072410C" w:rsidRDefault="002A523D" w:rsidP="0001551F">
      <w:pPr>
        <w:tabs>
          <w:tab w:val="clear" w:pos="1985"/>
          <w:tab w:val="left" w:pos="3261"/>
        </w:tabs>
        <w:rPr>
          <w:lang w:val="es-ES_tradnl"/>
        </w:rPr>
      </w:pPr>
      <w:r w:rsidRPr="0072410C">
        <w:rPr>
          <w:lang w:val="es-ES_tradnl"/>
        </w:rPr>
        <w:t>Filtro de salida Tx:</w:t>
      </w:r>
      <w:r w:rsidRPr="0072410C">
        <w:rPr>
          <w:lang w:val="es-ES_tradnl"/>
        </w:rPr>
        <w:tab/>
      </w:r>
      <w:r w:rsidR="0001551F">
        <w:rPr>
          <w:lang w:val="es-ES_tradnl"/>
        </w:rPr>
        <w:t>S</w:t>
      </w:r>
      <w:r w:rsidRPr="0072410C">
        <w:rPr>
          <w:lang w:val="es-ES_tradnl"/>
        </w:rPr>
        <w:t>í</w:t>
      </w:r>
    </w:p>
    <w:p w:rsidR="002A523D" w:rsidRPr="0072410C" w:rsidRDefault="002A523D" w:rsidP="00FF4823">
      <w:pPr>
        <w:tabs>
          <w:tab w:val="clear" w:pos="1985"/>
          <w:tab w:val="left" w:pos="3261"/>
        </w:tabs>
        <w:rPr>
          <w:lang w:val="es-ES_tradnl"/>
        </w:rPr>
      </w:pPr>
      <w:r w:rsidRPr="0072410C">
        <w:rPr>
          <w:lang w:val="es-ES_tradnl"/>
        </w:rPr>
        <w:t>El dominio OoB finaliza en:</w:t>
      </w:r>
      <w:r w:rsidRPr="0072410C">
        <w:rPr>
          <w:lang w:val="es-ES_tradnl"/>
        </w:rPr>
        <w:tab/>
        <w:t>20 MHz (véase la Recomendación UIT-R SM.1541 Anexo 6, § 2.2.1).</w:t>
      </w:r>
    </w:p>
    <w:p w:rsidR="002A523D" w:rsidRPr="0072410C" w:rsidRDefault="002A523D" w:rsidP="002A523D">
      <w:pPr>
        <w:tabs>
          <w:tab w:val="clear" w:pos="1985"/>
          <w:tab w:val="left" w:pos="2835"/>
        </w:tabs>
        <w:rPr>
          <w:lang w:val="es-ES_tradnl"/>
        </w:rPr>
      </w:pPr>
      <w:r w:rsidRPr="0072410C">
        <w:rPr>
          <w:lang w:val="es-ES_tradnl"/>
        </w:rPr>
        <w:t>Para explicaciones adicionales, véase también el Anexo 1, § 4.</w:t>
      </w:r>
    </w:p>
    <w:p w:rsidR="002A523D" w:rsidRPr="0072410C" w:rsidRDefault="002A523D" w:rsidP="002A523D">
      <w:pPr>
        <w:pStyle w:val="Heading2"/>
        <w:rPr>
          <w:lang w:val="es-ES_tradnl"/>
        </w:rPr>
      </w:pPr>
      <w:bookmarkStart w:id="81" w:name="_Toc449437422"/>
      <w:bookmarkStart w:id="82" w:name="_Toc475540036"/>
      <w:bookmarkStart w:id="83" w:name="_Toc476049666"/>
      <w:bookmarkEnd w:id="81"/>
      <w:r w:rsidRPr="0072410C">
        <w:rPr>
          <w:lang w:val="es-ES_tradnl"/>
        </w:rPr>
        <w:lastRenderedPageBreak/>
        <w:t>3.1</w:t>
      </w:r>
      <w:r w:rsidRPr="0072410C">
        <w:rPr>
          <w:lang w:val="es-ES_tradnl"/>
        </w:rPr>
        <w:tab/>
      </w:r>
      <w:bookmarkEnd w:id="82"/>
      <w:bookmarkEnd w:id="83"/>
      <w:r w:rsidRPr="0072410C">
        <w:rPr>
          <w:lang w:val="es-ES_tradnl"/>
        </w:rPr>
        <w:t>Emisión fuera de banda</w:t>
      </w:r>
    </w:p>
    <w:p w:rsidR="002A523D" w:rsidRPr="0072410C" w:rsidRDefault="002A523D" w:rsidP="002A523D">
      <w:pPr>
        <w:rPr>
          <w:lang w:val="es-ES_tradnl"/>
        </w:rPr>
      </w:pPr>
      <w:r w:rsidRPr="0072410C">
        <w:rPr>
          <w:lang w:val="es-ES_tradnl"/>
        </w:rPr>
        <w:t xml:space="preserve">Las mediciones se realizaron en el alimentador de antena con un ancho de banda de </w:t>
      </w:r>
      <w:r>
        <w:rPr>
          <w:lang w:val="es-ES_tradnl"/>
        </w:rPr>
        <w:t>medición de 7,5 </w:t>
      </w:r>
      <w:r w:rsidRPr="0072410C">
        <w:rPr>
          <w:lang w:val="es-ES_tradnl"/>
        </w:rPr>
        <w:t xml:space="preserve">kHz y se presentan en la </w:t>
      </w:r>
      <w:r w:rsidR="00783742">
        <w:rPr>
          <w:lang w:val="es-ES_tradnl"/>
        </w:rPr>
        <w:t xml:space="preserve">Fig. </w:t>
      </w:r>
      <w:r w:rsidRPr="0072410C">
        <w:rPr>
          <w:lang w:val="es-ES_tradnl"/>
        </w:rPr>
        <w:t>7 con un ancho de banda de referencia de 4 kHz. Los niveles medidos se normalizan a la densidad espectral de potencia dentro de la banda en un ancho de banda de 4 kHz. En la Recomendación UIT-R SM.1541 se especifican los límites relativos para todo el rango OoB. Para proteger los servicios de radiocomunicaciones en bandas adyacentes, el filtro de salida del transmisor sobre el que se realizan las mediciones cumple</w:t>
      </w:r>
      <w:r>
        <w:rPr>
          <w:lang w:val="es-ES_tradnl"/>
        </w:rPr>
        <w:t xml:space="preserve"> la máscara más estricta del GE</w:t>
      </w:r>
      <w:r>
        <w:rPr>
          <w:lang w:val="es-ES_tradnl"/>
        </w:rPr>
        <w:noBreakHyphen/>
      </w:r>
      <w:r w:rsidR="00FF4823">
        <w:rPr>
          <w:lang w:val="es-ES_tradnl"/>
        </w:rPr>
        <w:t>06, Capítulo </w:t>
      </w:r>
      <w:r w:rsidRPr="0072410C">
        <w:rPr>
          <w:lang w:val="es-ES_tradnl"/>
        </w:rPr>
        <w:t>3.6, Cuadro 3-11 para casos sensibles. Cabe mencionar que en la mayoría de los casos se aplica la máscara de espectro RRC06 no crítica.</w:t>
      </w:r>
    </w:p>
    <w:p w:rsidR="002A523D" w:rsidRPr="0072410C" w:rsidRDefault="002A523D" w:rsidP="002A523D">
      <w:pPr>
        <w:pStyle w:val="FigureNo"/>
        <w:rPr>
          <w:lang w:val="es-ES_tradnl"/>
        </w:rPr>
      </w:pPr>
      <w:bookmarkStart w:id="84" w:name="_Ref432082652"/>
      <w:r w:rsidRPr="0072410C">
        <w:rPr>
          <w:lang w:val="es-ES_tradnl"/>
        </w:rPr>
        <w:t>Figura 7</w:t>
      </w:r>
      <w:bookmarkEnd w:id="84"/>
    </w:p>
    <w:p w:rsidR="002A523D" w:rsidRDefault="002A523D" w:rsidP="002A523D">
      <w:pPr>
        <w:pStyle w:val="Figuretitle"/>
        <w:rPr>
          <w:lang w:val="es-ES_tradnl"/>
        </w:rPr>
      </w:pPr>
      <w:r w:rsidRPr="0072410C">
        <w:rPr>
          <w:lang w:val="es-ES_tradnl"/>
        </w:rPr>
        <w:t>Mediciones OoB de transmisores DVB-T</w:t>
      </w:r>
    </w:p>
    <w:p w:rsidR="00EF2930" w:rsidRPr="00D24BC5" w:rsidRDefault="009D2B9A" w:rsidP="00EF2930">
      <w:pPr>
        <w:pStyle w:val="Figure"/>
        <w:rPr>
          <w:lang w:val="en-GB" w:eastAsia="zh-CN"/>
        </w:rPr>
      </w:pPr>
      <w:r>
        <w:object w:dxaOrig="6337" w:dyaOrig="4271">
          <v:shape id="_x0000_i1031" type="#_x0000_t75" style="width:420.2pt;height:283.15pt" o:ole="">
            <v:imagedata r:id="rId44" o:title=""/>
          </v:shape>
          <o:OLEObject Type="Embed" ProgID="CorelDraw.Graphic.16" ShapeID="_x0000_i1031" DrawAspect="Content" ObjectID="_1600519726" r:id="rId45"/>
        </w:object>
      </w:r>
    </w:p>
    <w:p w:rsidR="002A523D" w:rsidRPr="0072410C" w:rsidRDefault="002A523D" w:rsidP="002A523D">
      <w:pPr>
        <w:pStyle w:val="Normalaftertitle"/>
        <w:rPr>
          <w:lang w:val="es-ES_tradnl"/>
        </w:rPr>
      </w:pPr>
      <w:r w:rsidRPr="0072410C">
        <w:rPr>
          <w:lang w:val="es-ES_tradnl"/>
        </w:rPr>
        <w:t xml:space="preserve">Observación de la </w:t>
      </w:r>
      <w:r w:rsidR="00783742">
        <w:rPr>
          <w:lang w:val="es-ES_tradnl"/>
        </w:rPr>
        <w:t xml:space="preserve">Fig. </w:t>
      </w:r>
      <w:r w:rsidRPr="0072410C">
        <w:rPr>
          <w:lang w:val="es-ES_tradnl"/>
        </w:rPr>
        <w:t xml:space="preserve">7: </w:t>
      </w:r>
    </w:p>
    <w:p w:rsidR="002A523D" w:rsidRDefault="002A523D" w:rsidP="002A523D">
      <w:pPr>
        <w:pStyle w:val="enumlev1"/>
        <w:spacing w:after="120"/>
        <w:rPr>
          <w:lang w:val="es-ES_tradnl"/>
        </w:rPr>
      </w:pPr>
      <w:r w:rsidRPr="0072410C">
        <w:rPr>
          <w:lang w:val="es-ES_tradnl"/>
        </w:rPr>
        <w:t>–</w:t>
      </w:r>
      <w:r w:rsidRPr="0072410C">
        <w:rPr>
          <w:lang w:val="es-ES_tradnl"/>
        </w:rPr>
        <w:tab/>
        <w:t>Las emisiones OoB solo podrían medirse hasta el nivel de pu</w:t>
      </w:r>
      <w:r>
        <w:rPr>
          <w:lang w:val="es-ES_tradnl"/>
        </w:rPr>
        <w:t>nto crítico de la máscara de GE</w:t>
      </w:r>
      <w:r>
        <w:rPr>
          <w:lang w:val="es-ES_tradnl"/>
        </w:rPr>
        <w:noBreakHyphen/>
      </w:r>
      <w:r w:rsidRPr="0072410C">
        <w:rPr>
          <w:lang w:val="es-ES_tradnl"/>
        </w:rPr>
        <w:t>06 a 12 MHz. Las emisiones OoB de desplazamientos de frecuencias superiores están por debajo de esta máscara de máxima exigencia pero no pueden cuantificarse debido a la sensibilidad de medición limitada.</w:t>
      </w:r>
    </w:p>
    <w:p w:rsidR="00F4111B" w:rsidRPr="0072410C" w:rsidRDefault="00F4111B" w:rsidP="002A523D">
      <w:pPr>
        <w:pStyle w:val="enumlev1"/>
        <w:spacing w:after="120"/>
        <w:rPr>
          <w:lang w:val="es-ES_tradnl"/>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5"/>
        <w:gridCol w:w="2414"/>
        <w:gridCol w:w="2632"/>
        <w:gridCol w:w="2428"/>
      </w:tblGrid>
      <w:tr w:rsidR="002A523D" w:rsidRPr="0072410C" w:rsidTr="00F4111B">
        <w:trPr>
          <w:jc w:val="center"/>
        </w:trPr>
        <w:tc>
          <w:tcPr>
            <w:tcW w:w="2001" w:type="dxa"/>
            <w:vMerge w:val="restart"/>
            <w:vAlign w:val="center"/>
          </w:tcPr>
          <w:p w:rsidR="002A523D" w:rsidRPr="0072410C" w:rsidRDefault="002A523D" w:rsidP="0060391F">
            <w:pPr>
              <w:pStyle w:val="Tablehead"/>
              <w:rPr>
                <w:lang w:val="es-ES_tradnl"/>
              </w:rPr>
            </w:pPr>
            <w:bookmarkStart w:id="85" w:name="_Toc449437423"/>
            <w:r w:rsidRPr="0072410C">
              <w:rPr>
                <w:lang w:val="es-ES_tradnl"/>
              </w:rPr>
              <w:t>Sistema</w:t>
            </w:r>
          </w:p>
        </w:tc>
        <w:tc>
          <w:tcPr>
            <w:tcW w:w="2231" w:type="dxa"/>
            <w:vMerge w:val="restart"/>
            <w:vAlign w:val="center"/>
          </w:tcPr>
          <w:p w:rsidR="002A523D" w:rsidRPr="0072410C" w:rsidRDefault="002A523D" w:rsidP="0060391F">
            <w:pPr>
              <w:pStyle w:val="Tablehead"/>
              <w:rPr>
                <w:lang w:val="es-ES_tradnl"/>
              </w:rPr>
            </w:pPr>
            <w:r w:rsidRPr="0072410C">
              <w:rPr>
                <w:lang w:val="es-ES_tradnl"/>
              </w:rPr>
              <w:t>Figura</w:t>
            </w:r>
          </w:p>
        </w:tc>
        <w:tc>
          <w:tcPr>
            <w:tcW w:w="4677" w:type="dxa"/>
            <w:gridSpan w:val="2"/>
            <w:vAlign w:val="center"/>
          </w:tcPr>
          <w:p w:rsidR="002A523D" w:rsidRPr="0072410C" w:rsidRDefault="002A523D" w:rsidP="0060391F">
            <w:pPr>
              <w:pStyle w:val="Tablehead"/>
              <w:rPr>
                <w:lang w:val="es-ES_tradnl"/>
              </w:rPr>
            </w:pPr>
            <w:r w:rsidRPr="0072410C">
              <w:rPr>
                <w:lang w:val="es-ES_tradnl"/>
              </w:rPr>
              <w:t xml:space="preserve">Comparación con: </w:t>
            </w:r>
          </w:p>
        </w:tc>
      </w:tr>
      <w:tr w:rsidR="002A523D" w:rsidRPr="0072410C" w:rsidTr="00F4111B">
        <w:trPr>
          <w:jc w:val="center"/>
        </w:trPr>
        <w:tc>
          <w:tcPr>
            <w:tcW w:w="2001" w:type="dxa"/>
            <w:vMerge/>
            <w:vAlign w:val="center"/>
          </w:tcPr>
          <w:p w:rsidR="002A523D" w:rsidRPr="0072410C" w:rsidRDefault="002A523D" w:rsidP="0060391F">
            <w:pPr>
              <w:pStyle w:val="Tablehead"/>
              <w:rPr>
                <w:lang w:val="es-ES_tradnl"/>
              </w:rPr>
            </w:pPr>
          </w:p>
        </w:tc>
        <w:tc>
          <w:tcPr>
            <w:tcW w:w="2231" w:type="dxa"/>
            <w:vMerge/>
            <w:vAlign w:val="center"/>
          </w:tcPr>
          <w:p w:rsidR="002A523D" w:rsidRPr="0072410C" w:rsidRDefault="002A523D" w:rsidP="0060391F">
            <w:pPr>
              <w:pStyle w:val="Tablehead"/>
              <w:rPr>
                <w:lang w:val="es-ES_tradnl"/>
              </w:rPr>
            </w:pPr>
          </w:p>
        </w:tc>
        <w:tc>
          <w:tcPr>
            <w:tcW w:w="2433" w:type="dxa"/>
            <w:vAlign w:val="center"/>
          </w:tcPr>
          <w:p w:rsidR="002A523D" w:rsidRPr="0072410C" w:rsidRDefault="002A523D" w:rsidP="0060391F">
            <w:pPr>
              <w:pStyle w:val="Tablehead"/>
              <w:rPr>
                <w:lang w:val="es-ES_tradnl"/>
              </w:rPr>
            </w:pPr>
            <w:r w:rsidRPr="0072410C">
              <w:rPr>
                <w:lang w:val="es-ES_tradnl"/>
              </w:rPr>
              <w:t>Rec. UIT-R SM.1541</w:t>
            </w:r>
          </w:p>
        </w:tc>
        <w:tc>
          <w:tcPr>
            <w:tcW w:w="2244" w:type="dxa"/>
            <w:vAlign w:val="center"/>
          </w:tcPr>
          <w:p w:rsidR="002A523D" w:rsidRPr="0072410C" w:rsidRDefault="002A523D" w:rsidP="0060391F">
            <w:pPr>
              <w:pStyle w:val="Tablehead"/>
              <w:rPr>
                <w:lang w:val="es-ES_tradnl"/>
              </w:rPr>
            </w:pPr>
            <w:r w:rsidRPr="0072410C">
              <w:rPr>
                <w:lang w:val="es-ES_tradnl"/>
              </w:rPr>
              <w:t>RRC06</w:t>
            </w:r>
          </w:p>
        </w:tc>
      </w:tr>
      <w:tr w:rsidR="002A523D" w:rsidRPr="0072410C" w:rsidTr="0060391F">
        <w:trPr>
          <w:jc w:val="center"/>
        </w:trPr>
        <w:tc>
          <w:tcPr>
            <w:tcW w:w="2001" w:type="dxa"/>
          </w:tcPr>
          <w:p w:rsidR="002A523D" w:rsidRPr="0072410C" w:rsidRDefault="002A523D" w:rsidP="0060391F">
            <w:pPr>
              <w:pStyle w:val="Tabletext"/>
              <w:rPr>
                <w:lang w:val="es-ES_tradnl"/>
              </w:rPr>
            </w:pPr>
            <w:r w:rsidRPr="0072410C">
              <w:rPr>
                <w:lang w:val="es-ES_tradnl"/>
              </w:rPr>
              <w:t>Transmisores DVB-T</w:t>
            </w:r>
          </w:p>
        </w:tc>
        <w:tc>
          <w:tcPr>
            <w:tcW w:w="2231" w:type="dxa"/>
          </w:tcPr>
          <w:p w:rsidR="002A523D" w:rsidRPr="0072410C" w:rsidRDefault="002A523D" w:rsidP="0060391F">
            <w:pPr>
              <w:pStyle w:val="Tabletext"/>
              <w:rPr>
                <w:lang w:val="es-ES_tradnl"/>
              </w:rPr>
            </w:pPr>
            <w:r w:rsidRPr="0072410C">
              <w:rPr>
                <w:lang w:val="es-ES_tradnl"/>
              </w:rPr>
              <w:t>Figura 7</w:t>
            </w:r>
          </w:p>
        </w:tc>
        <w:tc>
          <w:tcPr>
            <w:tcW w:w="2433" w:type="dxa"/>
          </w:tcPr>
          <w:p w:rsidR="002A523D" w:rsidRPr="0072410C" w:rsidRDefault="002A523D" w:rsidP="0060391F">
            <w:pPr>
              <w:pStyle w:val="Tabletext"/>
              <w:rPr>
                <w:lang w:val="es-ES_tradnl"/>
              </w:rPr>
            </w:pPr>
            <w:r w:rsidRPr="0072410C">
              <w:rPr>
                <w:lang w:val="es-ES_tradnl"/>
              </w:rPr>
              <w:t>DVB-T supera estos límites por ~20 dB o más.</w:t>
            </w:r>
          </w:p>
        </w:tc>
        <w:tc>
          <w:tcPr>
            <w:tcW w:w="2244" w:type="dxa"/>
          </w:tcPr>
          <w:p w:rsidR="002A523D" w:rsidRPr="0072410C" w:rsidRDefault="002A523D" w:rsidP="0060391F">
            <w:pPr>
              <w:pStyle w:val="Tabletext"/>
              <w:rPr>
                <w:lang w:val="es-ES_tradnl"/>
              </w:rPr>
            </w:pPr>
            <w:r w:rsidRPr="0072410C">
              <w:rPr>
                <w:lang w:val="es-ES_tradnl"/>
              </w:rPr>
              <w:t>Ajuste adecuado</w:t>
            </w:r>
          </w:p>
        </w:tc>
      </w:tr>
    </w:tbl>
    <w:p w:rsidR="002A523D" w:rsidRPr="0072410C" w:rsidRDefault="002A523D" w:rsidP="00F4111B">
      <w:pPr>
        <w:pStyle w:val="Heading2"/>
        <w:rPr>
          <w:lang w:val="es-ES_tradnl"/>
        </w:rPr>
      </w:pPr>
      <w:bookmarkStart w:id="86" w:name="_Toc475540037"/>
      <w:bookmarkStart w:id="87" w:name="_Toc476049667"/>
      <w:r w:rsidRPr="0072410C">
        <w:rPr>
          <w:lang w:val="es-ES_tradnl"/>
        </w:rPr>
        <w:lastRenderedPageBreak/>
        <w:t>3.2</w:t>
      </w:r>
      <w:r w:rsidRPr="0072410C">
        <w:rPr>
          <w:lang w:val="es-ES_tradnl"/>
        </w:rPr>
        <w:tab/>
      </w:r>
      <w:bookmarkEnd w:id="85"/>
      <w:bookmarkEnd w:id="86"/>
      <w:bookmarkEnd w:id="87"/>
      <w:r w:rsidRPr="0072410C">
        <w:rPr>
          <w:lang w:val="es-ES_tradnl"/>
        </w:rPr>
        <w:t>Emisión no esencial</w:t>
      </w:r>
    </w:p>
    <w:p w:rsidR="002A523D" w:rsidRPr="0072410C" w:rsidRDefault="002A523D" w:rsidP="00F4111B">
      <w:pPr>
        <w:keepNext/>
        <w:keepLines/>
        <w:rPr>
          <w:lang w:val="es-ES_tradnl"/>
        </w:rPr>
      </w:pPr>
      <w:r w:rsidRPr="0072410C">
        <w:rPr>
          <w:lang w:val="es-ES_tradnl"/>
        </w:rPr>
        <w:t xml:space="preserve">Comparación con límites normativos: </w:t>
      </w:r>
    </w:p>
    <w:p w:rsidR="002A523D" w:rsidRPr="0072410C" w:rsidRDefault="002A523D" w:rsidP="00F4111B">
      <w:pPr>
        <w:pStyle w:val="enumlev1"/>
        <w:keepNext/>
        <w:keepLines/>
        <w:rPr>
          <w:lang w:val="es-ES_tradnl"/>
        </w:rPr>
      </w:pPr>
      <w:r w:rsidRPr="0072410C">
        <w:rPr>
          <w:lang w:val="es-ES_tradnl"/>
        </w:rPr>
        <w:t>–</w:t>
      </w:r>
      <w:r w:rsidRPr="0072410C">
        <w:rPr>
          <w:lang w:val="es-ES_tradnl"/>
        </w:rPr>
        <w:tab/>
        <w:t>El Acuerdo GE-06 no contiene ningún límite para emisiones no esenciales.</w:t>
      </w:r>
    </w:p>
    <w:p w:rsidR="002A523D" w:rsidRPr="0072410C" w:rsidRDefault="002A523D" w:rsidP="002A523D">
      <w:pPr>
        <w:pStyle w:val="enumlev1"/>
        <w:rPr>
          <w:lang w:val="es-ES_tradnl"/>
        </w:rPr>
      </w:pPr>
      <w:r w:rsidRPr="0072410C">
        <w:rPr>
          <w:lang w:val="es-ES_tradnl"/>
        </w:rPr>
        <w:t>–</w:t>
      </w:r>
      <w:r w:rsidRPr="0072410C">
        <w:rPr>
          <w:lang w:val="es-ES_tradnl"/>
        </w:rPr>
        <w:tab/>
        <w:t>Como en la Recomendación UIT-R SM.329 no figuran valores concretos para DVB-T, pueden utilizarse los límites de la Categoría general A para transmisores de «radiodifusión de televisión». Se establece un límite de 46 dB + 10*log</w:t>
      </w:r>
      <w:r w:rsidRPr="0072410C">
        <w:rPr>
          <w:szCs w:val="24"/>
          <w:vertAlign w:val="subscript"/>
          <w:lang w:val="es-ES_tradnl"/>
        </w:rPr>
        <w:t>10</w:t>
      </w:r>
      <w:r w:rsidRPr="0072410C">
        <w:rPr>
          <w:lang w:val="es-ES_tradnl"/>
        </w:rPr>
        <w:t>(P/W) o 60 dBc, el que sea menos exigente, pero sin exceder 12 mW (10</w:t>
      </w:r>
      <w:r>
        <w:rPr>
          <w:lang w:val="es-ES_tradnl"/>
        </w:rPr>
        <w:t>,</w:t>
      </w:r>
      <w:r w:rsidRPr="0072410C">
        <w:rPr>
          <w:lang w:val="es-ES_tradnl"/>
        </w:rPr>
        <w:t>8 dBm). Para transmisores con más de 50 W de potencia de salida, la atenuación de 60 dBc en el ancho de banda de 100 kHz es pertinente; para los transmisores con más de 12 kW, la atenuación requerida es de 19 dB + 10*log</w:t>
      </w:r>
      <w:r w:rsidRPr="0072410C">
        <w:rPr>
          <w:szCs w:val="24"/>
          <w:vertAlign w:val="subscript"/>
          <w:lang w:val="es-ES_tradnl"/>
        </w:rPr>
        <w:t>10</w:t>
      </w:r>
      <w:r w:rsidRPr="0072410C">
        <w:rPr>
          <w:lang w:val="es-ES_tradnl"/>
        </w:rPr>
        <w:t>(P/W).</w:t>
      </w:r>
    </w:p>
    <w:p w:rsidR="002A523D" w:rsidRPr="0072410C" w:rsidRDefault="002A523D" w:rsidP="002A523D">
      <w:pPr>
        <w:pStyle w:val="enumlev1"/>
        <w:rPr>
          <w:rFonts w:asciiTheme="majorBidi" w:hAnsiTheme="majorBidi" w:cstheme="majorBidi"/>
          <w:lang w:val="es-ES_tradnl"/>
        </w:rPr>
      </w:pPr>
      <w:r w:rsidRPr="0072410C">
        <w:rPr>
          <w:lang w:val="es-ES_tradnl"/>
        </w:rPr>
        <w:t>–</w:t>
      </w:r>
      <w:r w:rsidRPr="0072410C">
        <w:rPr>
          <w:lang w:val="es-ES_tradnl"/>
        </w:rPr>
        <w:tab/>
        <w:t xml:space="preserve">En el Cuadro 4.1 de </w:t>
      </w:r>
      <w:r w:rsidRPr="0072410C">
        <w:rPr>
          <w:rFonts w:asciiTheme="majorBidi" w:hAnsiTheme="majorBidi"/>
          <w:lang w:val="es-ES_tradnl"/>
        </w:rPr>
        <w:t xml:space="preserve">la ERC/REC 74-01 se especifica un límite de emisiones no esenciales de –16 dBm en el ancho de banda de 100 kHz para un transmisor con una potencia media a la salida </w:t>
      </w:r>
      <w:r w:rsidRPr="0072410C">
        <w:rPr>
          <w:rFonts w:asciiTheme="majorBidi" w:hAnsiTheme="majorBidi"/>
          <w:szCs w:val="24"/>
          <w:lang w:val="es-ES_tradnl"/>
        </w:rPr>
        <w:t xml:space="preserve">1 kW </w:t>
      </w:r>
      <w:r w:rsidRPr="0072410C">
        <w:rPr>
          <w:rFonts w:asciiTheme="majorBidi" w:hAnsiTheme="majorBidi"/>
          <w:lang w:val="es-ES_tradnl"/>
        </w:rPr>
        <w:t>en el puerto de antena.</w:t>
      </w:r>
    </w:p>
    <w:p w:rsidR="002A523D" w:rsidRPr="0072410C" w:rsidRDefault="002A523D" w:rsidP="002A523D">
      <w:pPr>
        <w:pStyle w:val="enumlev1"/>
        <w:rPr>
          <w:lang w:val="es-ES_tradnl"/>
        </w:rPr>
      </w:pPr>
      <w:r w:rsidRPr="0072410C">
        <w:rPr>
          <w:lang w:val="es-ES_tradnl"/>
        </w:rPr>
        <w:tab/>
        <w:t>Con la potencia de salida de 59 dBm en un ancho de banda de 8 MHz, este límite conduce a una atenuación relativa de 59 dBm −10*log</w:t>
      </w:r>
      <w:r w:rsidRPr="0072410C">
        <w:rPr>
          <w:szCs w:val="24"/>
          <w:vertAlign w:val="subscript"/>
          <w:lang w:val="es-ES_tradnl"/>
        </w:rPr>
        <w:t>10</w:t>
      </w:r>
      <w:r>
        <w:rPr>
          <w:lang w:val="es-ES_tradnl"/>
        </w:rPr>
        <w:t>(8 000/100) − (−16</w:t>
      </w:r>
      <w:r w:rsidRPr="0072410C">
        <w:rPr>
          <w:lang w:val="es-ES_tradnl"/>
        </w:rPr>
        <w:t> dBm) = 56 dB. El límite se muestra en la Fig. 7.</w:t>
      </w:r>
    </w:p>
    <w:p w:rsidR="002A523D" w:rsidRPr="0072410C" w:rsidRDefault="002A523D" w:rsidP="002A523D">
      <w:pPr>
        <w:pStyle w:val="enumlev1"/>
        <w:rPr>
          <w:lang w:val="es-ES_tradnl"/>
        </w:rPr>
      </w:pPr>
      <w:r w:rsidRPr="0072410C">
        <w:rPr>
          <w:lang w:val="es-ES_tradnl"/>
        </w:rPr>
        <w:t>–</w:t>
      </w:r>
      <w:r w:rsidRPr="0072410C">
        <w:rPr>
          <w:lang w:val="es-ES_tradnl"/>
        </w:rPr>
        <w:tab/>
        <w:t>En la norma pertinente del ETSI, EN 302 296 [13], se especifican límites de emisiones no esenciales más exigentes que los de la Recomendación UIT-R SM.329. Por ejemplo, para potencias de salida de transmisores superiores a 1 kW, el límite en esta norma del ETSI es de −36 dBm en un ancho de banda de 100 kHz (400-790 MHz y 862-1 000 MHz), lo que da como resultado una atenuación relativa superior a 96 dBc.</w:t>
      </w:r>
    </w:p>
    <w:p w:rsidR="002A523D" w:rsidRPr="0072410C" w:rsidRDefault="002A523D" w:rsidP="002A523D">
      <w:pPr>
        <w:rPr>
          <w:lang w:val="es-ES_tradnl"/>
        </w:rPr>
      </w:pPr>
      <w:r w:rsidRPr="0072410C">
        <w:rPr>
          <w:lang w:val="es-ES_tradnl"/>
        </w:rPr>
        <w:t>Como se ha mencionado anteriormente, los transmisores DVB-T siempre tienen filtros de salida para cumplir los requisitos del Acuerdo GE-06. El punto más crítico es el desplazamiento de 12 MHz donde tiene que alcanzarse el nivel OoB inferior. En la frontera entre el dominio no esencial y el dominio fuera de banda a 20 MHz, el filtro de salida reduce aún más las emisiones no deseadas muy por debajo de cualquier límite. En consecuencia, no habrá emisiones no esenciales o armónicas por encima de la sensibilidad de medición. Las mediciones realizadas en Alemania por BNetzA muestran que la densidad espectral de las emisiones no deseadas de DVB-T en el dominio no esencial se atenúa en más de 100 dB, en comparación con la densidad espectral de potencia de referencia dentro de la banda en el mismo ancho de banda.</w:t>
      </w:r>
    </w:p>
    <w:p w:rsidR="002A523D" w:rsidRPr="0072410C" w:rsidRDefault="002A523D" w:rsidP="002A523D">
      <w:pPr>
        <w:rPr>
          <w:rFonts w:eastAsia="Calibri"/>
          <w:szCs w:val="24"/>
          <w:lang w:val="es-ES_tradnl"/>
        </w:rPr>
      </w:pPr>
      <w:r w:rsidRPr="0072410C">
        <w:rPr>
          <w:lang w:val="es-ES_tradnl"/>
        </w:rPr>
        <w:t xml:space="preserve">Observaciones de la </w:t>
      </w:r>
      <w:r w:rsidR="00783742">
        <w:rPr>
          <w:lang w:val="es-ES_tradnl"/>
        </w:rPr>
        <w:t xml:space="preserve">Fig. </w:t>
      </w:r>
      <w:r w:rsidRPr="0072410C">
        <w:rPr>
          <w:lang w:val="es-ES_tradnl"/>
        </w:rPr>
        <w:t xml:space="preserve">7: </w:t>
      </w:r>
    </w:p>
    <w:p w:rsidR="002A523D" w:rsidRPr="0072410C" w:rsidRDefault="002A523D" w:rsidP="002A523D">
      <w:pPr>
        <w:pStyle w:val="enumlev1"/>
        <w:rPr>
          <w:lang w:val="es-ES_tradnl"/>
        </w:rPr>
      </w:pPr>
      <w:r w:rsidRPr="0072410C">
        <w:rPr>
          <w:lang w:val="es-ES_tradnl"/>
        </w:rPr>
        <w:t>–</w:t>
      </w:r>
      <w:r w:rsidRPr="0072410C">
        <w:rPr>
          <w:lang w:val="es-ES_tradnl"/>
        </w:rPr>
        <w:tab/>
        <w:t>Debido al requisito de filtrado, el nivel de emisión no deseado incluso al inicio del dominio no esencial (desplazamiento de 20 MHz) está por debajo de la sensibilidad de medición y al menos 30 dB por debajo del límite del Cuadro 4.1 de la ERC/REC 74-01.</w:t>
      </w:r>
    </w:p>
    <w:p w:rsidR="002A523D" w:rsidRPr="0072410C" w:rsidRDefault="002A523D" w:rsidP="002A523D">
      <w:pPr>
        <w:pStyle w:val="enumlev1"/>
        <w:rPr>
          <w:lang w:val="es-ES_tradnl"/>
        </w:rPr>
      </w:pPr>
      <w:r w:rsidRPr="0072410C">
        <w:rPr>
          <w:lang w:val="es-ES_tradnl"/>
        </w:rPr>
        <w:tab/>
        <w:t>La máscara OoB del GE-06 ya alcanza el límite de emisión no esencial del Cuadro 4.1 de la ERC/REC 74-01 en desplazamientos de frecuencia de 5 MHz o 62% del ancho de banda de señal.</w:t>
      </w:r>
    </w:p>
    <w:p w:rsidR="00F4111B" w:rsidRPr="00F4111B" w:rsidRDefault="00F4111B" w:rsidP="002A523D">
      <w:pPr>
        <w:pStyle w:val="enumlev1"/>
        <w:rPr>
          <w:sz w:val="6"/>
          <w:szCs w:val="6"/>
          <w:lang w:val="es-ES_tradnl"/>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3"/>
        <w:gridCol w:w="1376"/>
        <w:gridCol w:w="2552"/>
        <w:gridCol w:w="3548"/>
      </w:tblGrid>
      <w:tr w:rsidR="002A523D" w:rsidRPr="0072410C" w:rsidTr="0060391F">
        <w:trPr>
          <w:jc w:val="center"/>
        </w:trPr>
        <w:tc>
          <w:tcPr>
            <w:tcW w:w="2163" w:type="dxa"/>
            <w:vMerge w:val="restart"/>
            <w:vAlign w:val="center"/>
          </w:tcPr>
          <w:p w:rsidR="002A523D" w:rsidRPr="0072410C" w:rsidRDefault="002A523D" w:rsidP="0060391F">
            <w:pPr>
              <w:pStyle w:val="Tablehead"/>
              <w:rPr>
                <w:lang w:val="es-ES_tradnl"/>
              </w:rPr>
            </w:pPr>
            <w:bookmarkStart w:id="88" w:name="_Toc449437424"/>
            <w:r w:rsidRPr="0072410C">
              <w:rPr>
                <w:lang w:val="es-ES_tradnl"/>
              </w:rPr>
              <w:t>Sistema</w:t>
            </w:r>
          </w:p>
        </w:tc>
        <w:tc>
          <w:tcPr>
            <w:tcW w:w="1376" w:type="dxa"/>
            <w:vMerge w:val="restart"/>
            <w:vAlign w:val="center"/>
          </w:tcPr>
          <w:p w:rsidR="002A523D" w:rsidRPr="0072410C" w:rsidRDefault="002A523D" w:rsidP="0060391F">
            <w:pPr>
              <w:pStyle w:val="Tablehead"/>
              <w:rPr>
                <w:lang w:val="es-ES_tradnl"/>
              </w:rPr>
            </w:pPr>
            <w:r w:rsidRPr="0072410C">
              <w:rPr>
                <w:lang w:val="es-ES_tradnl"/>
              </w:rPr>
              <w:t>Figura</w:t>
            </w:r>
          </w:p>
        </w:tc>
        <w:tc>
          <w:tcPr>
            <w:tcW w:w="6100" w:type="dxa"/>
            <w:gridSpan w:val="2"/>
          </w:tcPr>
          <w:p w:rsidR="002A523D" w:rsidRPr="0072410C" w:rsidRDefault="002A523D" w:rsidP="0060391F">
            <w:pPr>
              <w:pStyle w:val="Tablehead"/>
              <w:rPr>
                <w:lang w:val="es-ES_tradnl"/>
              </w:rPr>
            </w:pPr>
            <w:r w:rsidRPr="0072410C">
              <w:rPr>
                <w:lang w:val="es-ES_tradnl"/>
              </w:rPr>
              <w:t xml:space="preserve">Comparación con: </w:t>
            </w:r>
          </w:p>
        </w:tc>
      </w:tr>
      <w:tr w:rsidR="002A523D" w:rsidRPr="0072410C" w:rsidTr="0060391F">
        <w:trPr>
          <w:jc w:val="center"/>
        </w:trPr>
        <w:tc>
          <w:tcPr>
            <w:tcW w:w="2163" w:type="dxa"/>
            <w:vMerge/>
          </w:tcPr>
          <w:p w:rsidR="002A523D" w:rsidRPr="0072410C" w:rsidRDefault="002A523D" w:rsidP="0060391F">
            <w:pPr>
              <w:pStyle w:val="Tablehead"/>
              <w:rPr>
                <w:lang w:val="es-ES_tradnl"/>
              </w:rPr>
            </w:pPr>
          </w:p>
        </w:tc>
        <w:tc>
          <w:tcPr>
            <w:tcW w:w="1376" w:type="dxa"/>
            <w:vMerge/>
          </w:tcPr>
          <w:p w:rsidR="002A523D" w:rsidRPr="0072410C" w:rsidRDefault="002A523D" w:rsidP="0060391F">
            <w:pPr>
              <w:pStyle w:val="Tablehead"/>
              <w:rPr>
                <w:lang w:val="es-ES_tradnl"/>
              </w:rPr>
            </w:pPr>
          </w:p>
        </w:tc>
        <w:tc>
          <w:tcPr>
            <w:tcW w:w="2552" w:type="dxa"/>
          </w:tcPr>
          <w:p w:rsidR="002A523D" w:rsidRPr="0072410C" w:rsidRDefault="002A523D" w:rsidP="0060391F">
            <w:pPr>
              <w:pStyle w:val="Tablehead"/>
              <w:rPr>
                <w:lang w:val="es-ES_tradnl"/>
              </w:rPr>
            </w:pPr>
            <w:r w:rsidRPr="0072410C">
              <w:rPr>
                <w:lang w:val="es-ES_tradnl"/>
              </w:rPr>
              <w:t>Rec. UIT-R SM.329</w:t>
            </w:r>
          </w:p>
        </w:tc>
        <w:tc>
          <w:tcPr>
            <w:tcW w:w="3548" w:type="dxa"/>
          </w:tcPr>
          <w:p w:rsidR="002A523D" w:rsidRPr="0072410C" w:rsidRDefault="002A523D" w:rsidP="0060391F">
            <w:pPr>
              <w:pStyle w:val="Tablehead"/>
              <w:rPr>
                <w:lang w:val="es-ES_tradnl"/>
              </w:rPr>
            </w:pPr>
            <w:r w:rsidRPr="0072410C">
              <w:rPr>
                <w:lang w:val="es-ES_tradnl"/>
              </w:rPr>
              <w:t>ERC/Rec 74-01</w:t>
            </w:r>
          </w:p>
        </w:tc>
      </w:tr>
      <w:tr w:rsidR="002A523D" w:rsidRPr="00EF7B19" w:rsidTr="0060391F">
        <w:trPr>
          <w:jc w:val="center"/>
        </w:trPr>
        <w:tc>
          <w:tcPr>
            <w:tcW w:w="2163" w:type="dxa"/>
          </w:tcPr>
          <w:p w:rsidR="002A523D" w:rsidRPr="0072410C" w:rsidRDefault="002A523D" w:rsidP="0060391F">
            <w:pPr>
              <w:pStyle w:val="Tabletext"/>
              <w:rPr>
                <w:lang w:val="es-ES_tradnl"/>
              </w:rPr>
            </w:pPr>
            <w:r w:rsidRPr="0072410C">
              <w:rPr>
                <w:lang w:val="es-ES_tradnl"/>
              </w:rPr>
              <w:t>Transmisores DVB-T</w:t>
            </w:r>
          </w:p>
        </w:tc>
        <w:tc>
          <w:tcPr>
            <w:tcW w:w="1376" w:type="dxa"/>
          </w:tcPr>
          <w:p w:rsidR="002A523D" w:rsidRPr="0072410C" w:rsidRDefault="002A523D" w:rsidP="0060391F">
            <w:pPr>
              <w:pStyle w:val="Tabletext"/>
              <w:rPr>
                <w:lang w:val="es-ES_tradnl"/>
              </w:rPr>
            </w:pPr>
            <w:r w:rsidRPr="0072410C">
              <w:rPr>
                <w:lang w:val="es-ES_tradnl"/>
              </w:rPr>
              <w:t>Figura 7</w:t>
            </w:r>
          </w:p>
        </w:tc>
        <w:tc>
          <w:tcPr>
            <w:tcW w:w="2552" w:type="dxa"/>
          </w:tcPr>
          <w:p w:rsidR="002A523D" w:rsidRPr="0072410C" w:rsidRDefault="002A523D" w:rsidP="0060391F">
            <w:pPr>
              <w:pStyle w:val="Tabletext"/>
              <w:rPr>
                <w:lang w:val="es-ES_tradnl"/>
              </w:rPr>
            </w:pPr>
          </w:p>
        </w:tc>
        <w:tc>
          <w:tcPr>
            <w:tcW w:w="3548" w:type="dxa"/>
          </w:tcPr>
          <w:p w:rsidR="002A523D" w:rsidRPr="0072410C" w:rsidRDefault="002A523D" w:rsidP="00F4111B">
            <w:pPr>
              <w:pStyle w:val="Tabletext"/>
              <w:jc w:val="left"/>
              <w:rPr>
                <w:rFonts w:ascii="Calibri" w:hAnsi="Calibri" w:cs="Calibri"/>
                <w:b/>
                <w:color w:val="800000"/>
                <w:highlight w:val="lightGray"/>
                <w:lang w:val="es-ES_tradnl"/>
              </w:rPr>
            </w:pPr>
            <w:r w:rsidRPr="0072410C">
              <w:rPr>
                <w:lang w:val="es-ES_tradnl"/>
              </w:rPr>
              <w:t>Debido al requisito de filtrado, el nivel de emisión no deseado incluso al inicio del dominio no esencial (desplazamiento de 20 MHz) está por debajo de la sensibilidad de medición y al menos 30 dB por debajo del límite del Cuadro 4.1 de la ERC/REC 74-01.</w:t>
            </w:r>
          </w:p>
        </w:tc>
      </w:tr>
    </w:tbl>
    <w:p w:rsidR="002A523D" w:rsidRPr="0072410C" w:rsidRDefault="002A523D" w:rsidP="00ED7C68">
      <w:pPr>
        <w:pStyle w:val="Heading1"/>
        <w:rPr>
          <w:lang w:val="es-ES_tradnl"/>
        </w:rPr>
      </w:pPr>
      <w:bookmarkStart w:id="89" w:name="_Toc475540038"/>
      <w:bookmarkStart w:id="90" w:name="_Toc476049668"/>
      <w:bookmarkStart w:id="91" w:name="_Toc525820180"/>
      <w:bookmarkStart w:id="92" w:name="_Toc525820360"/>
      <w:r w:rsidRPr="0072410C">
        <w:rPr>
          <w:lang w:val="es-ES_tradnl"/>
        </w:rPr>
        <w:lastRenderedPageBreak/>
        <w:t>4</w:t>
      </w:r>
      <w:r w:rsidRPr="0072410C">
        <w:rPr>
          <w:lang w:val="es-ES_tradnl"/>
        </w:rPr>
        <w:tab/>
        <w:t>Estaciones de base LTE800</w:t>
      </w:r>
      <w:bookmarkEnd w:id="88"/>
      <w:bookmarkEnd w:id="89"/>
      <w:bookmarkEnd w:id="90"/>
      <w:bookmarkEnd w:id="91"/>
      <w:bookmarkEnd w:id="92"/>
    </w:p>
    <w:p w:rsidR="002A523D" w:rsidRPr="0072410C" w:rsidRDefault="002A523D" w:rsidP="002A523D">
      <w:pPr>
        <w:tabs>
          <w:tab w:val="clear" w:pos="1985"/>
          <w:tab w:val="left" w:pos="2410"/>
        </w:tabs>
        <w:rPr>
          <w:lang w:val="es-ES_tradnl"/>
        </w:rPr>
      </w:pPr>
      <w:r w:rsidRPr="0072410C">
        <w:rPr>
          <w:lang w:val="es-ES_tradnl"/>
        </w:rPr>
        <w:t>Muchos proveedores de redes ya están aplicando la cuarta generación de normas sobre comunicaciones móviles (LTE). 3GPP TS 36.211 permite que muchos parámetros de RF sean flexibles, incluido el ancho de banda RF. Las mediciones se realizaron en diversas estaciones de base LTE800 de diferentes fabricantes. Los parámetros RF fundamentales de las estaciones de base medidas son:</w:t>
      </w:r>
    </w:p>
    <w:p w:rsidR="002A523D" w:rsidRPr="0072410C" w:rsidRDefault="002A523D" w:rsidP="002A523D">
      <w:pPr>
        <w:tabs>
          <w:tab w:val="clear" w:pos="1985"/>
          <w:tab w:val="left" w:pos="2410"/>
        </w:tabs>
        <w:rPr>
          <w:lang w:val="es-ES_tradnl"/>
        </w:rPr>
      </w:pPr>
      <w:r w:rsidRPr="0072410C">
        <w:rPr>
          <w:lang w:val="es-ES_tradnl"/>
        </w:rPr>
        <w:t>Gama de frecuencias:</w:t>
      </w:r>
      <w:r w:rsidRPr="0072410C">
        <w:rPr>
          <w:lang w:val="es-ES_tradnl"/>
        </w:rPr>
        <w:tab/>
      </w:r>
      <w:r w:rsidRPr="0072410C">
        <w:rPr>
          <w:lang w:val="es-ES_tradnl"/>
        </w:rPr>
        <w:tab/>
        <w:t>796 MHz para Tx1 y Tx2, 816 MHz para Tx3</w:t>
      </w:r>
    </w:p>
    <w:p w:rsidR="002A523D" w:rsidRPr="0072410C" w:rsidRDefault="002A523D" w:rsidP="002A523D">
      <w:pPr>
        <w:tabs>
          <w:tab w:val="clear" w:pos="1985"/>
          <w:tab w:val="left" w:pos="2410"/>
        </w:tabs>
        <w:rPr>
          <w:lang w:val="es-ES_tradnl"/>
        </w:rPr>
      </w:pPr>
      <w:r w:rsidRPr="0072410C">
        <w:rPr>
          <w:lang w:val="es-ES_tradnl"/>
        </w:rPr>
        <w:t>Modulación:</w:t>
      </w:r>
      <w:r w:rsidRPr="0072410C">
        <w:rPr>
          <w:lang w:val="es-ES_tradnl"/>
        </w:rPr>
        <w:tab/>
      </w:r>
      <w:r w:rsidRPr="0072410C">
        <w:rPr>
          <w:lang w:val="es-ES_tradnl"/>
        </w:rPr>
        <w:tab/>
      </w:r>
      <w:r w:rsidRPr="0072410C">
        <w:rPr>
          <w:lang w:val="es-ES_tradnl"/>
        </w:rPr>
        <w:tab/>
        <w:t>OFDM</w:t>
      </w:r>
    </w:p>
    <w:p w:rsidR="002A523D" w:rsidRPr="0072410C" w:rsidRDefault="002A523D" w:rsidP="002A523D">
      <w:pPr>
        <w:tabs>
          <w:tab w:val="clear" w:pos="1985"/>
          <w:tab w:val="left" w:pos="2410"/>
        </w:tabs>
        <w:rPr>
          <w:lang w:val="es-ES_tradnl"/>
        </w:rPr>
      </w:pPr>
      <w:r w:rsidRPr="0072410C">
        <w:rPr>
          <w:lang w:val="es-ES_tradnl"/>
        </w:rPr>
        <w:t>Ancho de banda:</w:t>
      </w:r>
      <w:r w:rsidRPr="0072410C">
        <w:rPr>
          <w:lang w:val="es-ES_tradnl"/>
        </w:rPr>
        <w:tab/>
      </w:r>
      <w:r w:rsidRPr="0072410C">
        <w:rPr>
          <w:lang w:val="es-ES_tradnl"/>
        </w:rPr>
        <w:tab/>
        <w:t>10 MHz</w:t>
      </w:r>
    </w:p>
    <w:p w:rsidR="002A523D" w:rsidRPr="0072410C" w:rsidRDefault="002A523D" w:rsidP="00CB08E1">
      <w:pPr>
        <w:tabs>
          <w:tab w:val="clear" w:pos="1985"/>
          <w:tab w:val="left" w:pos="2410"/>
        </w:tabs>
        <w:rPr>
          <w:lang w:val="es-ES_tradnl"/>
        </w:rPr>
      </w:pPr>
      <w:r w:rsidRPr="0072410C">
        <w:rPr>
          <w:lang w:val="es-ES_tradnl"/>
        </w:rPr>
        <w:t>Potencia de transmisión:</w:t>
      </w:r>
      <w:r w:rsidRPr="0072410C">
        <w:rPr>
          <w:lang w:val="es-ES_tradnl"/>
        </w:rPr>
        <w:tab/>
      </w:r>
      <w:r w:rsidRPr="0072410C">
        <w:rPr>
          <w:lang w:val="es-ES_tradnl"/>
        </w:rPr>
        <w:tab/>
      </w:r>
      <w:r w:rsidR="00CB08E1">
        <w:rPr>
          <w:lang w:val="es-ES_tradnl"/>
        </w:rPr>
        <w:t>S</w:t>
      </w:r>
      <w:r w:rsidRPr="0072410C">
        <w:rPr>
          <w:lang w:val="es-ES_tradnl"/>
        </w:rPr>
        <w:t>alida Tx 46 dBm (40 W), 60,5 dBm (1122 W) p.i.r.e.</w:t>
      </w:r>
    </w:p>
    <w:p w:rsidR="002A523D" w:rsidRPr="0072410C" w:rsidRDefault="00CB08E1" w:rsidP="002A523D">
      <w:pPr>
        <w:tabs>
          <w:tab w:val="clear" w:pos="1985"/>
          <w:tab w:val="left" w:pos="2410"/>
        </w:tabs>
        <w:ind w:left="2880" w:hanging="2880"/>
        <w:rPr>
          <w:lang w:val="es-ES_tradnl"/>
        </w:rPr>
      </w:pPr>
      <w:r>
        <w:rPr>
          <w:lang w:val="es-ES_tradnl"/>
        </w:rPr>
        <w:t xml:space="preserve">Filtro de salida Tx: </w:t>
      </w:r>
      <w:r>
        <w:rPr>
          <w:lang w:val="es-ES_tradnl"/>
        </w:rPr>
        <w:tab/>
      </w:r>
      <w:r>
        <w:rPr>
          <w:lang w:val="es-ES_tradnl"/>
        </w:rPr>
        <w:tab/>
        <w:t>N</w:t>
      </w:r>
      <w:r w:rsidR="002A523D" w:rsidRPr="0072410C">
        <w:rPr>
          <w:lang w:val="es-ES_tradnl"/>
        </w:rPr>
        <w:t>inguno para los transmisores 1 y 3; el transmisor 2 tiene un filtro externo adicional para cumplir los requisitos de protección DVB-T (en la práctica se midió la banda lateral inferior de Tx2 y el resultado se reflejó en la frecuencia central para la banda lateral superior para poder realizar una comparación directa con el resultado de Tx1 y Tx3 en una gráfica).</w:t>
      </w:r>
    </w:p>
    <w:p w:rsidR="002A523D" w:rsidRPr="0072410C" w:rsidRDefault="00CB08E1" w:rsidP="002A523D">
      <w:pPr>
        <w:tabs>
          <w:tab w:val="clear" w:pos="1985"/>
          <w:tab w:val="left" w:pos="2410"/>
        </w:tabs>
        <w:ind w:left="2880" w:hanging="2880"/>
        <w:rPr>
          <w:lang w:val="es-ES_tradnl"/>
        </w:rPr>
      </w:pPr>
      <w:r>
        <w:rPr>
          <w:lang w:val="es-ES_tradnl"/>
        </w:rPr>
        <w:t>El dominio OoB finaliza:</w:t>
      </w:r>
      <w:r>
        <w:rPr>
          <w:lang w:val="es-ES_tradnl"/>
        </w:rPr>
        <w:tab/>
        <w:t>P</w:t>
      </w:r>
      <w:r w:rsidR="002A523D" w:rsidRPr="0072410C">
        <w:rPr>
          <w:lang w:val="es-ES_tradnl"/>
        </w:rPr>
        <w:t>ara Tx1, en 35 MHz, y para Tx2 y Tx3, en 15 MHz de desplazamiento de la frecuencia central.</w:t>
      </w:r>
    </w:p>
    <w:p w:rsidR="002A523D" w:rsidRPr="0072410C" w:rsidRDefault="002A523D" w:rsidP="002A523D">
      <w:pPr>
        <w:rPr>
          <w:lang w:val="es-ES_tradnl"/>
        </w:rPr>
      </w:pPr>
      <w:r w:rsidRPr="0072410C">
        <w:rPr>
          <w:lang w:val="es-ES_tradnl"/>
        </w:rPr>
        <w:t>Aunque no se aplicaron filtros de salida externos a Tx1 ni a Tx3, los dos transmisores tenían filtros internos para limitar las emisiones no esenciales fuera de la banda de enlace descendente atribuida para proteger a sus propios receptores en la banda de enlace ascendente (832 a 862 MHz).</w:t>
      </w:r>
    </w:p>
    <w:p w:rsidR="002A523D" w:rsidRPr="0072410C" w:rsidRDefault="002A523D" w:rsidP="002A523D">
      <w:pPr>
        <w:rPr>
          <w:lang w:val="es-ES_tradnl"/>
        </w:rPr>
      </w:pPr>
      <w:r w:rsidRPr="0072410C">
        <w:rPr>
          <w:lang w:val="es-ES_tradnl"/>
        </w:rPr>
        <w:t xml:space="preserve">Las mediciones se realizaron en un número limitado de equipos de muestra y puede que el rendimiento del caso más desfavorable se desvíe notablemente de los resultados mostrados debido a la naturaleza dinámica inherente a los sistemas 3GPP LTE. Además, la configuración de bloque de recursos específica durante las mediciones no siempre se conocía. </w:t>
      </w:r>
    </w:p>
    <w:p w:rsidR="002A523D" w:rsidRPr="0072410C" w:rsidRDefault="002A523D" w:rsidP="002A523D">
      <w:pPr>
        <w:pStyle w:val="Heading2"/>
        <w:rPr>
          <w:lang w:val="es-ES_tradnl"/>
        </w:rPr>
      </w:pPr>
      <w:bookmarkStart w:id="93" w:name="_Toc437806072"/>
      <w:bookmarkStart w:id="94" w:name="_Toc449437425"/>
      <w:bookmarkStart w:id="95" w:name="_Toc475540039"/>
      <w:bookmarkEnd w:id="93"/>
      <w:r w:rsidRPr="0072410C">
        <w:rPr>
          <w:lang w:val="es-ES_tradnl"/>
        </w:rPr>
        <w:t>4.1</w:t>
      </w:r>
      <w:r w:rsidRPr="0072410C">
        <w:rPr>
          <w:lang w:val="es-ES_tradnl"/>
        </w:rPr>
        <w:tab/>
      </w:r>
      <w:bookmarkEnd w:id="94"/>
      <w:bookmarkEnd w:id="95"/>
      <w:r w:rsidRPr="0072410C">
        <w:rPr>
          <w:lang w:val="es-ES_tradnl"/>
        </w:rPr>
        <w:t>Emisión fuera de banda</w:t>
      </w:r>
    </w:p>
    <w:p w:rsidR="002A523D" w:rsidRPr="0072410C" w:rsidRDefault="002A523D" w:rsidP="002A523D">
      <w:pPr>
        <w:rPr>
          <w:lang w:val="es-ES_tradnl"/>
        </w:rPr>
      </w:pPr>
      <w:r w:rsidRPr="0072410C">
        <w:rPr>
          <w:lang w:val="es-ES_tradnl"/>
        </w:rPr>
        <w:t xml:space="preserve">El sistema transmite en ráfagas de diferente longitud y ancho de banda, dependiendo del tráfico y la configuración de la estación de base. Las mediciones se realizaron mientras las estaciones de base estaban en modo prueba utilizando todos los bloques de recursos disponibles y, por lo tanto, simulando las máximas emisiones de banda lateral. Los anchos de </w:t>
      </w:r>
      <w:r w:rsidR="00ED7C68">
        <w:rPr>
          <w:lang w:val="es-ES_tradnl"/>
        </w:rPr>
        <w:t>banda medidos se situaron entre </w:t>
      </w:r>
      <w:r w:rsidRPr="0072410C">
        <w:rPr>
          <w:lang w:val="es-ES_tradnl"/>
        </w:rPr>
        <w:t>30 y 100 kHz. La potencia de salida del transmisor de las tres estaciones de base fue 40 W = 16 dBW = 46 dBm. La potencia radiada fue de 60,5 dBm.</w:t>
      </w:r>
    </w:p>
    <w:p w:rsidR="002A523D" w:rsidRPr="0072410C" w:rsidRDefault="002A523D" w:rsidP="002A523D">
      <w:pPr>
        <w:rPr>
          <w:lang w:val="es-ES_tradnl"/>
        </w:rPr>
      </w:pPr>
      <w:r w:rsidRPr="0072410C">
        <w:rPr>
          <w:lang w:val="es-ES_tradnl"/>
        </w:rPr>
        <w:t xml:space="preserve">Como en la Recomendación UIT-R SM.1541 no figura información sobre los límites OoB para esta clase de aplicación, se muestran las máscaras del Cuadro 4.2.2.2.3-3 de la EN 301 908-14 del ETSI en la </w:t>
      </w:r>
      <w:r w:rsidR="00783742">
        <w:rPr>
          <w:lang w:val="es-ES_tradnl"/>
        </w:rPr>
        <w:t xml:space="preserve">Fig. </w:t>
      </w:r>
      <w:r w:rsidRPr="0072410C">
        <w:rPr>
          <w:lang w:val="es-ES_tradnl"/>
        </w:rPr>
        <w:t>8 a modo de referencia.</w:t>
      </w:r>
    </w:p>
    <w:p w:rsidR="002A523D" w:rsidRPr="0072410C" w:rsidRDefault="002A523D" w:rsidP="002A523D">
      <w:pPr>
        <w:rPr>
          <w:lang w:val="es-ES_tradnl"/>
        </w:rPr>
      </w:pPr>
      <w:r w:rsidRPr="0072410C">
        <w:rPr>
          <w:lang w:val="es-ES_tradnl"/>
        </w:rPr>
        <w:t>Los niveles de los límites y los valores medidos se convirtieron en un ancho de banda de 30 kHz y se normalizaron.</w:t>
      </w:r>
    </w:p>
    <w:p w:rsidR="002A523D" w:rsidRPr="0072410C" w:rsidRDefault="002A523D" w:rsidP="002A523D">
      <w:pPr>
        <w:rPr>
          <w:lang w:val="es-ES_tradnl"/>
        </w:rPr>
      </w:pPr>
      <w:r w:rsidRPr="0072410C">
        <w:rPr>
          <w:lang w:val="es-ES_tradnl"/>
        </w:rPr>
        <w:t xml:space="preserve">Los valores que aparecen a la derecha de la línea discontinua negra en la </w:t>
      </w:r>
      <w:r w:rsidR="00783742">
        <w:rPr>
          <w:lang w:val="es-ES_tradnl"/>
        </w:rPr>
        <w:t xml:space="preserve">Fig. </w:t>
      </w:r>
      <w:r w:rsidRPr="0072410C">
        <w:rPr>
          <w:lang w:val="es-ES_tradnl"/>
        </w:rPr>
        <w:t>8 muestran las limitaciones técnicas debidas al ruido del receptor.</w:t>
      </w:r>
    </w:p>
    <w:p w:rsidR="002A523D" w:rsidRPr="0072410C" w:rsidRDefault="002A523D" w:rsidP="002A523D">
      <w:pPr>
        <w:pStyle w:val="FigureNo"/>
        <w:rPr>
          <w:lang w:val="es-ES_tradnl"/>
        </w:rPr>
      </w:pPr>
      <w:bookmarkStart w:id="96" w:name="_Ref432781568"/>
      <w:r w:rsidRPr="0072410C">
        <w:rPr>
          <w:lang w:val="es-ES_tradnl"/>
        </w:rPr>
        <w:lastRenderedPageBreak/>
        <w:t>Figura 8</w:t>
      </w:r>
      <w:bookmarkEnd w:id="96"/>
    </w:p>
    <w:p w:rsidR="002A523D" w:rsidRDefault="002A523D" w:rsidP="002A523D">
      <w:pPr>
        <w:pStyle w:val="Figuretitle"/>
        <w:rPr>
          <w:lang w:val="es-ES_tradnl"/>
        </w:rPr>
      </w:pPr>
      <w:r w:rsidRPr="0072410C">
        <w:rPr>
          <w:lang w:val="es-ES_tradnl"/>
        </w:rPr>
        <w:t xml:space="preserve">Emisiones OoB de estaciones de base LTE800 </w:t>
      </w:r>
    </w:p>
    <w:p w:rsidR="00ED7C68" w:rsidRPr="00D24BC5" w:rsidRDefault="00654F28" w:rsidP="00ED7C68">
      <w:pPr>
        <w:pStyle w:val="Figure"/>
        <w:rPr>
          <w:lang w:val="en-GB" w:eastAsia="zh-CN"/>
        </w:rPr>
      </w:pPr>
      <w:r>
        <w:object w:dxaOrig="6327" w:dyaOrig="4265">
          <v:shape id="_x0000_i1032" type="#_x0000_t75" style="width:421.25pt;height:281pt" o:ole="">
            <v:imagedata r:id="rId46" o:title="" cropright="-676f"/>
          </v:shape>
          <o:OLEObject Type="Embed" ProgID="CorelDraw.Graphic.16" ShapeID="_x0000_i1032" DrawAspect="Content" ObjectID="_1600519727" r:id="rId47"/>
        </w:object>
      </w:r>
    </w:p>
    <w:p w:rsidR="002A523D" w:rsidRPr="0072410C" w:rsidRDefault="002A523D" w:rsidP="002A523D">
      <w:pPr>
        <w:rPr>
          <w:lang w:val="es-ES_tradnl"/>
        </w:rPr>
      </w:pPr>
      <w:r w:rsidRPr="0072410C">
        <w:rPr>
          <w:lang w:val="es-ES_tradnl"/>
        </w:rPr>
        <w:t xml:space="preserve">Observación de la </w:t>
      </w:r>
      <w:r w:rsidR="00783742">
        <w:rPr>
          <w:lang w:val="es-ES_tradnl"/>
        </w:rPr>
        <w:t xml:space="preserve">Fig. </w:t>
      </w:r>
      <w:r w:rsidRPr="0072410C">
        <w:rPr>
          <w:lang w:val="es-ES_tradnl"/>
        </w:rPr>
        <w:t>8:</w:t>
      </w:r>
    </w:p>
    <w:p w:rsidR="002A523D" w:rsidRPr="0072410C" w:rsidRDefault="002A523D" w:rsidP="002A523D">
      <w:pPr>
        <w:pStyle w:val="enumlev1"/>
        <w:rPr>
          <w:lang w:val="es-ES_tradnl"/>
        </w:rPr>
      </w:pPr>
      <w:r w:rsidRPr="0072410C">
        <w:rPr>
          <w:lang w:val="es-ES_tradnl"/>
        </w:rPr>
        <w:t>–</w:t>
      </w:r>
      <w:r w:rsidRPr="0072410C">
        <w:rPr>
          <w:lang w:val="es-ES_tradnl"/>
        </w:rPr>
        <w:tab/>
        <w:t xml:space="preserve">Incluso si no se aplican filtros externos (véase Tx1 y Tx3), las emisiones OoB más allá de un desplazamiento de unos 15 MHz (150% ancho de canal) ya son suprimidas por </w:t>
      </w:r>
      <w:r w:rsidRPr="0072410C">
        <w:rPr>
          <w:rFonts w:asciiTheme="majorBidi" w:hAnsiTheme="majorBidi"/>
          <w:szCs w:val="24"/>
          <w:lang w:val="es-ES_tradnl"/>
        </w:rPr>
        <w:t xml:space="preserve">80 dB, o de 20 dB </w:t>
      </w:r>
      <w:r w:rsidRPr="0072410C">
        <w:rPr>
          <w:lang w:val="es-ES_tradnl"/>
        </w:rPr>
        <w:t xml:space="preserve">por debajo del límite (véase también la </w:t>
      </w:r>
      <w:r w:rsidR="00783742">
        <w:rPr>
          <w:lang w:val="es-ES_tradnl"/>
        </w:rPr>
        <w:t xml:space="preserve">Fig. </w:t>
      </w:r>
      <w:r w:rsidRPr="0072410C">
        <w:rPr>
          <w:rFonts w:asciiTheme="majorBidi" w:hAnsiTheme="majorBidi"/>
          <w:szCs w:val="24"/>
          <w:lang w:val="es-ES_tradnl"/>
        </w:rPr>
        <w:t>27, banda lateral superior</w:t>
      </w:r>
      <w:r w:rsidRPr="0072410C">
        <w:rPr>
          <w:lang w:val="es-ES_tradnl"/>
        </w:rPr>
        <w:t>).</w:t>
      </w:r>
    </w:p>
    <w:p w:rsidR="002A523D" w:rsidRPr="0072410C" w:rsidRDefault="002A523D" w:rsidP="002A523D">
      <w:pPr>
        <w:pStyle w:val="enumlev1"/>
        <w:rPr>
          <w:rFonts w:asciiTheme="majorBidi" w:hAnsiTheme="majorBidi" w:cstheme="majorBidi"/>
          <w:szCs w:val="24"/>
          <w:lang w:val="es-ES_tradnl"/>
        </w:rPr>
      </w:pPr>
      <w:r w:rsidRPr="0072410C">
        <w:rPr>
          <w:lang w:val="es-ES_tradnl"/>
        </w:rPr>
        <w:t>–</w:t>
      </w:r>
      <w:r w:rsidRPr="0072410C">
        <w:rPr>
          <w:lang w:val="es-ES_tradnl"/>
        </w:rPr>
        <w:tab/>
      </w:r>
      <w:r w:rsidRPr="0072410C">
        <w:rPr>
          <w:rFonts w:asciiTheme="majorBidi" w:hAnsiTheme="majorBidi"/>
          <w:szCs w:val="24"/>
          <w:lang w:val="es-ES_tradnl"/>
        </w:rPr>
        <w:t xml:space="preserve">Con todo, cabe indicar que Tx1 solo cumple la máscara a </w:t>
      </w:r>
      <w:r>
        <w:rPr>
          <w:rFonts w:asciiTheme="majorBidi" w:hAnsiTheme="majorBidi"/>
          <w:szCs w:val="24"/>
          <w:lang w:val="es-ES_tradnl"/>
        </w:rPr>
        <w:t>desplazamientos inferiores (&lt;10 </w:t>
      </w:r>
      <w:r w:rsidRPr="0072410C">
        <w:rPr>
          <w:rFonts w:asciiTheme="majorBidi" w:hAnsiTheme="majorBidi"/>
          <w:szCs w:val="24"/>
          <w:lang w:val="es-ES_tradnl"/>
        </w:rPr>
        <w:t>MHz) y esto podría cambiar si se aumentase el tiempo de medición.</w:t>
      </w:r>
    </w:p>
    <w:p w:rsidR="002A523D" w:rsidRPr="0072410C" w:rsidRDefault="002A523D" w:rsidP="002A523D">
      <w:pPr>
        <w:pStyle w:val="enumlev1"/>
        <w:rPr>
          <w:rFonts w:asciiTheme="majorBidi" w:hAnsiTheme="majorBidi" w:cstheme="majorBidi"/>
          <w:szCs w:val="24"/>
          <w:lang w:val="es-ES_tradnl"/>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39"/>
        <w:gridCol w:w="2139"/>
        <w:gridCol w:w="2647"/>
        <w:gridCol w:w="2714"/>
      </w:tblGrid>
      <w:tr w:rsidR="002A523D" w:rsidRPr="0072410C" w:rsidTr="0060391F">
        <w:trPr>
          <w:jc w:val="center"/>
        </w:trPr>
        <w:tc>
          <w:tcPr>
            <w:tcW w:w="1960" w:type="dxa"/>
            <w:vMerge w:val="restart"/>
            <w:vAlign w:val="center"/>
          </w:tcPr>
          <w:p w:rsidR="002A523D" w:rsidRPr="0072410C" w:rsidRDefault="002A523D" w:rsidP="0060391F">
            <w:pPr>
              <w:pStyle w:val="Tablehead"/>
              <w:keepLines/>
              <w:rPr>
                <w:lang w:val="es-ES_tradnl"/>
              </w:rPr>
            </w:pPr>
            <w:r w:rsidRPr="0072410C">
              <w:rPr>
                <w:lang w:val="es-ES_tradnl"/>
              </w:rPr>
              <w:t>Sistema</w:t>
            </w:r>
          </w:p>
        </w:tc>
        <w:tc>
          <w:tcPr>
            <w:tcW w:w="1960" w:type="dxa"/>
            <w:vMerge w:val="restart"/>
            <w:vAlign w:val="center"/>
          </w:tcPr>
          <w:p w:rsidR="002A523D" w:rsidRPr="0072410C" w:rsidRDefault="002A523D" w:rsidP="0060391F">
            <w:pPr>
              <w:pStyle w:val="Tablehead"/>
              <w:keepLines/>
              <w:rPr>
                <w:lang w:val="es-ES_tradnl"/>
              </w:rPr>
            </w:pPr>
            <w:r w:rsidRPr="0072410C">
              <w:rPr>
                <w:lang w:val="es-ES_tradnl"/>
              </w:rPr>
              <w:t>Figura</w:t>
            </w:r>
          </w:p>
        </w:tc>
        <w:tc>
          <w:tcPr>
            <w:tcW w:w="4913" w:type="dxa"/>
            <w:gridSpan w:val="2"/>
          </w:tcPr>
          <w:p w:rsidR="002A523D" w:rsidRPr="0072410C" w:rsidRDefault="002A523D" w:rsidP="0060391F">
            <w:pPr>
              <w:pStyle w:val="Tablehead"/>
              <w:keepLines/>
              <w:rPr>
                <w:lang w:val="es-ES_tradnl"/>
              </w:rPr>
            </w:pPr>
            <w:r w:rsidRPr="0072410C">
              <w:rPr>
                <w:lang w:val="es-ES_tradnl"/>
              </w:rPr>
              <w:t xml:space="preserve">Comparación con: </w:t>
            </w:r>
          </w:p>
        </w:tc>
      </w:tr>
      <w:tr w:rsidR="002A523D" w:rsidRPr="00EF7B19" w:rsidTr="0060391F">
        <w:trPr>
          <w:jc w:val="center"/>
        </w:trPr>
        <w:tc>
          <w:tcPr>
            <w:tcW w:w="1960" w:type="dxa"/>
            <w:vMerge/>
          </w:tcPr>
          <w:p w:rsidR="002A523D" w:rsidRPr="0072410C" w:rsidRDefault="002A523D" w:rsidP="0060391F">
            <w:pPr>
              <w:pStyle w:val="Tablehead"/>
              <w:keepLines/>
              <w:rPr>
                <w:lang w:val="es-ES_tradnl"/>
              </w:rPr>
            </w:pPr>
          </w:p>
        </w:tc>
        <w:tc>
          <w:tcPr>
            <w:tcW w:w="1960" w:type="dxa"/>
            <w:vMerge/>
          </w:tcPr>
          <w:p w:rsidR="002A523D" w:rsidRPr="0072410C" w:rsidRDefault="002A523D" w:rsidP="0060391F">
            <w:pPr>
              <w:pStyle w:val="Tablehead"/>
              <w:keepLines/>
              <w:rPr>
                <w:lang w:val="es-ES_tradnl"/>
              </w:rPr>
            </w:pPr>
          </w:p>
        </w:tc>
        <w:tc>
          <w:tcPr>
            <w:tcW w:w="2426" w:type="dxa"/>
          </w:tcPr>
          <w:p w:rsidR="002A523D" w:rsidRPr="0072410C" w:rsidRDefault="002A523D" w:rsidP="0060391F">
            <w:pPr>
              <w:pStyle w:val="Tablehead"/>
              <w:keepLines/>
              <w:rPr>
                <w:lang w:val="es-ES_tradnl"/>
              </w:rPr>
            </w:pPr>
            <w:r w:rsidRPr="0072410C">
              <w:rPr>
                <w:lang w:val="es-ES_tradnl"/>
              </w:rPr>
              <w:t>Rec. UIT-R SM.1541</w:t>
            </w:r>
          </w:p>
        </w:tc>
        <w:tc>
          <w:tcPr>
            <w:tcW w:w="2487" w:type="dxa"/>
          </w:tcPr>
          <w:p w:rsidR="002A523D" w:rsidRPr="0072410C" w:rsidRDefault="002A523D" w:rsidP="0060391F">
            <w:pPr>
              <w:pStyle w:val="Tablehead"/>
              <w:keepLines/>
              <w:rPr>
                <w:lang w:val="es-ES_tradnl"/>
              </w:rPr>
            </w:pPr>
            <w:r w:rsidRPr="0072410C">
              <w:rPr>
                <w:lang w:val="es-ES_tradnl"/>
              </w:rPr>
              <w:t>Cuadro 4.2.2.2.3-3 de la EN 301 908-14 del ETSI</w:t>
            </w:r>
          </w:p>
        </w:tc>
      </w:tr>
      <w:tr w:rsidR="002A523D" w:rsidRPr="00EF7B19" w:rsidTr="0060391F">
        <w:trPr>
          <w:jc w:val="center"/>
        </w:trPr>
        <w:tc>
          <w:tcPr>
            <w:tcW w:w="1960" w:type="dxa"/>
          </w:tcPr>
          <w:p w:rsidR="002A523D" w:rsidRPr="0072410C" w:rsidRDefault="002A523D" w:rsidP="00676E66">
            <w:pPr>
              <w:pStyle w:val="Tabletext"/>
              <w:keepNext/>
              <w:keepLines/>
              <w:jc w:val="left"/>
              <w:rPr>
                <w:lang w:val="es-ES_tradnl"/>
              </w:rPr>
            </w:pPr>
            <w:r w:rsidRPr="0072410C">
              <w:rPr>
                <w:lang w:val="es-ES_tradnl"/>
              </w:rPr>
              <w:t>Estaciones de base LTE800</w:t>
            </w:r>
          </w:p>
        </w:tc>
        <w:tc>
          <w:tcPr>
            <w:tcW w:w="1960" w:type="dxa"/>
          </w:tcPr>
          <w:p w:rsidR="002A523D" w:rsidRPr="0072410C" w:rsidRDefault="002A523D" w:rsidP="0060391F">
            <w:pPr>
              <w:pStyle w:val="Tabletext"/>
              <w:keepNext/>
              <w:keepLines/>
              <w:rPr>
                <w:lang w:val="es-ES_tradnl"/>
              </w:rPr>
            </w:pPr>
            <w:r w:rsidRPr="0072410C">
              <w:rPr>
                <w:lang w:val="es-ES_tradnl"/>
              </w:rPr>
              <w:t>Figura 8</w:t>
            </w:r>
          </w:p>
        </w:tc>
        <w:tc>
          <w:tcPr>
            <w:tcW w:w="2426" w:type="dxa"/>
          </w:tcPr>
          <w:p w:rsidR="002A523D" w:rsidRPr="0072410C" w:rsidRDefault="002A523D" w:rsidP="00676E66">
            <w:pPr>
              <w:pStyle w:val="Tabletext"/>
              <w:keepNext/>
              <w:keepLines/>
              <w:jc w:val="left"/>
              <w:rPr>
                <w:lang w:val="es-ES_tradnl"/>
              </w:rPr>
            </w:pPr>
            <w:r w:rsidRPr="0072410C">
              <w:rPr>
                <w:lang w:val="es-ES_tradnl"/>
              </w:rPr>
              <w:t>No hay información sobre los límites OoB para esta clase de aplicación en la Recomendación.</w:t>
            </w:r>
          </w:p>
        </w:tc>
        <w:tc>
          <w:tcPr>
            <w:tcW w:w="2487" w:type="dxa"/>
          </w:tcPr>
          <w:p w:rsidR="002A523D" w:rsidRPr="0072410C" w:rsidRDefault="002A523D" w:rsidP="00676E66">
            <w:pPr>
              <w:pStyle w:val="Tabletext"/>
              <w:keepNext/>
              <w:keepLines/>
              <w:jc w:val="left"/>
              <w:rPr>
                <w:lang w:val="es-ES_tradnl"/>
              </w:rPr>
            </w:pPr>
            <w:r w:rsidRPr="0072410C">
              <w:rPr>
                <w:lang w:val="es-ES_tradnl"/>
              </w:rPr>
              <w:t>Incluso si no se aplican filtros externos, las emisiones OoB más allá de un desplazamiento de unos 15 MHz (150% ancho de canal) ya son de 20 dB por debajo del límite. Con todo, solo una de esas señales cumple la máscara a desplazamientos inferiores (&lt;10 MHz) y esto podría cambiar si se aumentase el tiempo de medición.</w:t>
            </w:r>
          </w:p>
        </w:tc>
      </w:tr>
    </w:tbl>
    <w:p w:rsidR="002A523D" w:rsidRPr="0072410C" w:rsidRDefault="002A523D" w:rsidP="002A523D">
      <w:pPr>
        <w:pStyle w:val="Tablefin"/>
        <w:rPr>
          <w:lang w:val="es-ES_tradnl"/>
        </w:rPr>
      </w:pPr>
    </w:p>
    <w:p w:rsidR="002A523D" w:rsidRPr="0072410C" w:rsidRDefault="002A523D" w:rsidP="002A523D">
      <w:pPr>
        <w:pStyle w:val="Heading2"/>
        <w:rPr>
          <w:highlight w:val="lightGray"/>
          <w:lang w:val="es-ES_tradnl"/>
        </w:rPr>
      </w:pPr>
      <w:bookmarkStart w:id="97" w:name="_Toc475540040"/>
      <w:bookmarkStart w:id="98" w:name="_Toc449437426"/>
      <w:bookmarkStart w:id="99" w:name="_Toc476049670"/>
      <w:r w:rsidRPr="0072410C">
        <w:rPr>
          <w:lang w:val="es-ES_tradnl"/>
        </w:rPr>
        <w:lastRenderedPageBreak/>
        <w:t>4.2</w:t>
      </w:r>
      <w:r w:rsidRPr="0072410C">
        <w:rPr>
          <w:lang w:val="es-ES_tradnl"/>
        </w:rPr>
        <w:tab/>
      </w:r>
      <w:bookmarkEnd w:id="97"/>
      <w:bookmarkEnd w:id="98"/>
      <w:bookmarkEnd w:id="99"/>
      <w:r w:rsidRPr="0072410C">
        <w:rPr>
          <w:lang w:val="es-ES_tradnl"/>
        </w:rPr>
        <w:t>Emisión no esencial</w:t>
      </w:r>
    </w:p>
    <w:p w:rsidR="002A523D" w:rsidRPr="0072410C" w:rsidRDefault="002A523D" w:rsidP="002A523D">
      <w:pPr>
        <w:rPr>
          <w:szCs w:val="24"/>
          <w:lang w:val="es-ES_tradnl"/>
        </w:rPr>
      </w:pPr>
      <w:r w:rsidRPr="0072410C">
        <w:rPr>
          <w:lang w:val="es-ES_tradnl"/>
        </w:rPr>
        <w:t xml:space="preserve">Comparación con límites de reglamentación: </w:t>
      </w:r>
    </w:p>
    <w:p w:rsidR="002A523D" w:rsidRPr="0072410C" w:rsidRDefault="002A523D" w:rsidP="002A523D">
      <w:pPr>
        <w:pStyle w:val="enumlev1"/>
        <w:rPr>
          <w:lang w:val="es-ES_tradnl"/>
        </w:rPr>
      </w:pPr>
      <w:r w:rsidRPr="0072410C">
        <w:rPr>
          <w:lang w:val="es-ES_tradnl"/>
        </w:rPr>
        <w:t>–</w:t>
      </w:r>
      <w:r w:rsidRPr="0072410C">
        <w:rPr>
          <w:lang w:val="es-ES_tradnl"/>
        </w:rPr>
        <w:tab/>
        <w:t xml:space="preserve">Como en la Recomendación UIT-R SM.329 (Cat. B) no figuran valores concretos para los sistemas de acceso inalámbrico de banda ancha inferiores a 1 GHz, en la </w:t>
      </w:r>
      <w:r w:rsidR="00783742">
        <w:rPr>
          <w:lang w:val="es-ES_tradnl"/>
        </w:rPr>
        <w:t xml:space="preserve">Fig. </w:t>
      </w:r>
      <w:r w:rsidRPr="0072410C">
        <w:rPr>
          <w:lang w:val="es-ES_tradnl"/>
        </w:rPr>
        <w:t xml:space="preserve">9 se muestra el límite de Categoría B general para el servicio móvil terrestre de −36 dBm en ancho de banda de 100 kHz a modo de referencia. </w:t>
      </w:r>
    </w:p>
    <w:p w:rsidR="002A523D" w:rsidRPr="0072410C" w:rsidRDefault="002A523D" w:rsidP="002A523D">
      <w:pPr>
        <w:pStyle w:val="enumlev1"/>
        <w:rPr>
          <w:lang w:val="es-ES_tradnl"/>
        </w:rPr>
      </w:pPr>
      <w:r w:rsidRPr="0072410C">
        <w:rPr>
          <w:lang w:val="es-ES_tradnl"/>
        </w:rPr>
        <w:t>–</w:t>
      </w:r>
      <w:r w:rsidRPr="0072410C">
        <w:rPr>
          <w:lang w:val="es-ES_tradnl"/>
        </w:rPr>
        <w:tab/>
        <w:t xml:space="preserve">En la Sección 4.2.4.2.1 de la norma pertinente del </w:t>
      </w:r>
      <w:r w:rsidRPr="0072410C">
        <w:rPr>
          <w:rFonts w:asciiTheme="majorBidi" w:hAnsiTheme="majorBidi"/>
          <w:lang w:val="es-ES_tradnl"/>
        </w:rPr>
        <w:t xml:space="preserve">ETSI, </w:t>
      </w:r>
      <w:r w:rsidRPr="0072410C">
        <w:rPr>
          <w:rFonts w:asciiTheme="majorBidi" w:hAnsiTheme="majorBidi"/>
          <w:szCs w:val="24"/>
          <w:lang w:val="es-ES_tradnl"/>
        </w:rPr>
        <w:t>EN 301 908-14, y en el Cuadro 2.1 de la ERC/REC 74</w:t>
      </w:r>
      <w:r w:rsidRPr="0072410C">
        <w:rPr>
          <w:rFonts w:asciiTheme="majorBidi" w:hAnsiTheme="majorBidi"/>
          <w:szCs w:val="24"/>
          <w:lang w:val="es-ES_tradnl"/>
        </w:rPr>
        <w:noBreakHyphen/>
        <w:t xml:space="preserve">01 </w:t>
      </w:r>
      <w:r w:rsidRPr="0072410C">
        <w:rPr>
          <w:rFonts w:asciiTheme="majorBidi" w:hAnsiTheme="majorBidi"/>
          <w:lang w:val="es-ES_tradnl"/>
        </w:rPr>
        <w:t>también se fija el límite de emisiones no esenciales de -36 dBm en un ancho de banda de 100 kHz (la medición se realizó en la salida del transmisor</w:t>
      </w:r>
      <w:r w:rsidRPr="0072410C">
        <w:rPr>
          <w:lang w:val="es-ES_tradnl"/>
        </w:rPr>
        <w:t>). Este límite debe utilizarse como referencia para una potencia dentro de la banda total de 40 W = 46 dBm en 10 MHz, lo que corresponde a una densidad espectral de potencia dentro de la banda de 46 dBm − 10log</w:t>
      </w:r>
      <w:r w:rsidRPr="0072410C">
        <w:rPr>
          <w:szCs w:val="24"/>
          <w:vertAlign w:val="subscript"/>
          <w:lang w:val="es-ES_tradnl"/>
        </w:rPr>
        <w:t>10</w:t>
      </w:r>
      <w:r w:rsidRPr="0072410C">
        <w:rPr>
          <w:lang w:val="es-ES_tradnl"/>
        </w:rPr>
        <w:t>(10 000/100) = 26 dBm en un ancho de banda de 100 kHz. La atenuación relativa resultante de emisiones no esenciales es por lo tanto de 26 dBm − (−36 dBm) = 62 dB.</w:t>
      </w:r>
    </w:p>
    <w:p w:rsidR="002A523D" w:rsidRPr="0072410C" w:rsidRDefault="002A523D" w:rsidP="002A523D">
      <w:pPr>
        <w:rPr>
          <w:lang w:val="es-ES_tradnl"/>
        </w:rPr>
      </w:pPr>
      <w:r w:rsidRPr="0072410C">
        <w:rPr>
          <w:lang w:val="es-ES_tradnl"/>
        </w:rPr>
        <w:t xml:space="preserve">Como se ha visto en las mediciones OoB, el nivel de las emisiones que se muestra en la </w:t>
      </w:r>
      <w:r w:rsidR="00783742">
        <w:rPr>
          <w:lang w:val="es-ES_tradnl"/>
        </w:rPr>
        <w:t xml:space="preserve">Fig. </w:t>
      </w:r>
      <w:r w:rsidRPr="0072410C">
        <w:rPr>
          <w:lang w:val="es-ES_tradnl"/>
        </w:rPr>
        <w:t xml:space="preserve">8 ya está por debajo de la sensibilidad del sistema de medición en la frontera del dominio no esencial. Como todas las estaciones de base LTE tienen al menos filtros internos para proteger sus propias bandas de recepción, no pudieron detectarse emisiones no esenciales en ningún otro desplazamiento de frecuencia. </w:t>
      </w:r>
    </w:p>
    <w:p w:rsidR="002A523D" w:rsidRPr="0072410C" w:rsidRDefault="002A523D" w:rsidP="002A523D">
      <w:pPr>
        <w:rPr>
          <w:lang w:val="es-ES_tradnl"/>
        </w:rPr>
      </w:pPr>
      <w:r w:rsidRPr="0072410C">
        <w:rPr>
          <w:lang w:val="es-ES_tradnl"/>
        </w:rPr>
        <w:t xml:space="preserve">En la </w:t>
      </w:r>
      <w:r w:rsidR="00783742">
        <w:rPr>
          <w:lang w:val="es-ES_tradnl"/>
        </w:rPr>
        <w:t xml:space="preserve">Fig. </w:t>
      </w:r>
      <w:r w:rsidRPr="0072410C">
        <w:rPr>
          <w:lang w:val="es-ES_tradnl"/>
        </w:rPr>
        <w:t xml:space="preserve">9 se muestran medidas realizadas en la salida del transmisor de una estación de base LTE que opera a 796 MHz. La estación de base se ha configurado para transmitir con una potencia máxima, aunque no todos los bloques de recursos se han atribuido a los datos de usuario. El modo operacional cuando la estación de base transmite a la máxima potencia y todos los bloques de recursos están atribuidos a datos de usuario puede generar un nivel superior de emisiones no deseadas y denominarse «caso más desfavorable». </w:t>
      </w:r>
    </w:p>
    <w:p w:rsidR="002A523D" w:rsidRPr="0072410C" w:rsidRDefault="002A523D" w:rsidP="002A523D">
      <w:pPr>
        <w:rPr>
          <w:lang w:val="es-ES_tradnl"/>
        </w:rPr>
      </w:pPr>
      <w:r w:rsidRPr="0072410C">
        <w:rPr>
          <w:lang w:val="es-ES_tradnl"/>
        </w:rPr>
        <w:t xml:space="preserve">Teniendo en cuenta los principios descritos en § 3.2, el dominio no esencial comienza en un desplazamiento de 15 MHz (representado con la línea roja discontinua en la </w:t>
      </w:r>
      <w:r w:rsidR="00783742">
        <w:rPr>
          <w:lang w:val="es-ES_tradnl"/>
        </w:rPr>
        <w:t xml:space="preserve">Fig. </w:t>
      </w:r>
      <w:r w:rsidRPr="0072410C">
        <w:rPr>
          <w:lang w:val="es-ES_tradnl"/>
        </w:rPr>
        <w:t>9 a continuación).</w:t>
      </w:r>
    </w:p>
    <w:p w:rsidR="002A523D" w:rsidRPr="0072410C" w:rsidRDefault="002A523D" w:rsidP="002A523D">
      <w:pPr>
        <w:pStyle w:val="FigureNo"/>
        <w:rPr>
          <w:lang w:val="es-ES_tradnl"/>
        </w:rPr>
      </w:pPr>
      <w:bookmarkStart w:id="100" w:name="_Ref441744847"/>
      <w:r w:rsidRPr="0072410C">
        <w:rPr>
          <w:lang w:val="es-ES_tradnl"/>
        </w:rPr>
        <w:lastRenderedPageBreak/>
        <w:t>Figura 9</w:t>
      </w:r>
      <w:bookmarkEnd w:id="100"/>
    </w:p>
    <w:p w:rsidR="002A523D" w:rsidRDefault="002A523D" w:rsidP="002A523D">
      <w:pPr>
        <w:pStyle w:val="Figuretitle"/>
        <w:rPr>
          <w:lang w:val="es-ES_tradnl"/>
        </w:rPr>
      </w:pPr>
      <w:r w:rsidRPr="0072410C">
        <w:rPr>
          <w:lang w:val="es-ES_tradnl"/>
        </w:rPr>
        <w:t>Emisiones de una estación de base LTE800</w:t>
      </w:r>
    </w:p>
    <w:p w:rsidR="00676E66" w:rsidRPr="00D24BC5" w:rsidRDefault="00654F28" w:rsidP="00676E66">
      <w:pPr>
        <w:pStyle w:val="Figure"/>
        <w:rPr>
          <w:lang w:val="en-GB" w:eastAsia="de-DE"/>
        </w:rPr>
      </w:pPr>
      <w:r>
        <w:object w:dxaOrig="6528" w:dyaOrig="4428">
          <v:shape id="_x0000_i1033" type="#_x0000_t75" style="width:431.45pt;height:292.3pt" o:ole="">
            <v:imagedata r:id="rId48" o:title=""/>
          </v:shape>
          <o:OLEObject Type="Embed" ProgID="CorelDraw.Graphic.16" ShapeID="_x0000_i1033" DrawAspect="Content" ObjectID="_1600519728" r:id="rId49"/>
        </w:object>
      </w:r>
    </w:p>
    <w:p w:rsidR="002A523D" w:rsidRPr="0072410C" w:rsidRDefault="002A523D" w:rsidP="002A523D">
      <w:pPr>
        <w:pStyle w:val="Normalaftertitle"/>
        <w:rPr>
          <w:szCs w:val="24"/>
          <w:lang w:val="es-ES_tradnl"/>
        </w:rPr>
      </w:pPr>
      <w:r w:rsidRPr="0072410C">
        <w:rPr>
          <w:lang w:val="es-ES_tradnl"/>
        </w:rPr>
        <w:t xml:space="preserve">Observaciones de la </w:t>
      </w:r>
      <w:r w:rsidR="00783742">
        <w:rPr>
          <w:lang w:val="es-ES_tradnl"/>
        </w:rPr>
        <w:t xml:space="preserve">Fig. </w:t>
      </w:r>
      <w:r w:rsidRPr="0072410C">
        <w:rPr>
          <w:lang w:val="es-ES_tradnl"/>
        </w:rPr>
        <w:t xml:space="preserve">9: </w:t>
      </w:r>
    </w:p>
    <w:p w:rsidR="002A523D" w:rsidRPr="0072410C" w:rsidRDefault="002A523D" w:rsidP="002A523D">
      <w:pPr>
        <w:pStyle w:val="enumlev1"/>
        <w:rPr>
          <w:lang w:val="es-ES_tradnl"/>
        </w:rPr>
      </w:pPr>
      <w:r w:rsidRPr="0072410C">
        <w:rPr>
          <w:lang w:val="es-ES_tradnl"/>
        </w:rPr>
        <w:t>–</w:t>
      </w:r>
      <w:r w:rsidRPr="0072410C">
        <w:rPr>
          <w:lang w:val="es-ES_tradnl"/>
        </w:rPr>
        <w:tab/>
        <w:t>Las señales moduladas ya desaparecen por debajo de la sensibilidad de medición con un desplazamiento de unos 15 MHz (150% de ancho de banda).</w:t>
      </w:r>
    </w:p>
    <w:p w:rsidR="002A523D" w:rsidRPr="0072410C" w:rsidRDefault="002A523D" w:rsidP="002A523D">
      <w:pPr>
        <w:pStyle w:val="enumlev1"/>
        <w:rPr>
          <w:lang w:val="es-ES_tradnl"/>
        </w:rPr>
      </w:pPr>
      <w:r w:rsidRPr="0072410C">
        <w:rPr>
          <w:lang w:val="es-ES_tradnl"/>
        </w:rPr>
        <w:t>–</w:t>
      </w:r>
      <w:r w:rsidRPr="0072410C">
        <w:rPr>
          <w:lang w:val="es-ES_tradnl"/>
        </w:rPr>
        <w:tab/>
        <w:t>Los niveles de emisiones no esenciales son de al menos 40 dB por debajo de los límites de la Categoría B para el servicio móvil terrestre en la Recome</w:t>
      </w:r>
      <w:r>
        <w:rPr>
          <w:lang w:val="es-ES_tradnl"/>
        </w:rPr>
        <w:t>ndación UIT-R SM.329, el Cuadro </w:t>
      </w:r>
      <w:r w:rsidRPr="0072410C">
        <w:rPr>
          <w:lang w:val="es-ES_tradnl"/>
        </w:rPr>
        <w:t>2.1 de la ERC/REC 74-01 y la EN 301 908-14 del ETSI debido a los filtros de salida aplicados.</w:t>
      </w:r>
    </w:p>
    <w:p w:rsidR="002A523D" w:rsidRPr="0072410C" w:rsidRDefault="002A523D" w:rsidP="002A523D">
      <w:pPr>
        <w:pStyle w:val="enumlev1"/>
        <w:rPr>
          <w:lang w:val="es-ES_tradnl"/>
        </w:rPr>
      </w:pPr>
      <w:r w:rsidRPr="0072410C">
        <w:rPr>
          <w:lang w:val="es-ES_tradnl"/>
        </w:rPr>
        <w:t>–</w:t>
      </w:r>
      <w:r w:rsidRPr="0072410C">
        <w:rPr>
          <w:lang w:val="es-ES_tradnl"/>
        </w:rPr>
        <w:tab/>
      </w:r>
      <w:r w:rsidRPr="0072410C">
        <w:rPr>
          <w:rFonts w:asciiTheme="majorBidi" w:hAnsiTheme="majorBidi"/>
          <w:lang w:val="es-ES_tradnl"/>
        </w:rPr>
        <w:t xml:space="preserve">Aunque la estación no se operó en el modo de «caso más desfavorable», puede verse que el filtro de salida tiene el máximo efecto con desplazamientos por encima de 12 MHz, aunque el dominio no esencial comienza en un desplazamiento de </w:t>
      </w:r>
      <w:r w:rsidRPr="0072410C">
        <w:rPr>
          <w:lang w:val="es-ES_tradnl"/>
        </w:rPr>
        <w:t>25 MHz.</w:t>
      </w:r>
    </w:p>
    <w:p w:rsidR="002A523D" w:rsidRPr="0072410C" w:rsidRDefault="002A523D" w:rsidP="002A523D">
      <w:pPr>
        <w:pStyle w:val="enumlev1"/>
        <w:rPr>
          <w:lang w:val="es-ES_tradnl"/>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0"/>
        <w:gridCol w:w="1560"/>
        <w:gridCol w:w="2261"/>
        <w:gridCol w:w="2078"/>
        <w:gridCol w:w="2210"/>
      </w:tblGrid>
      <w:tr w:rsidR="002A523D" w:rsidRPr="0072410C" w:rsidTr="0060391F">
        <w:trPr>
          <w:jc w:val="center"/>
        </w:trPr>
        <w:tc>
          <w:tcPr>
            <w:tcW w:w="1413" w:type="dxa"/>
            <w:vMerge w:val="restart"/>
            <w:vAlign w:val="center"/>
          </w:tcPr>
          <w:p w:rsidR="002A523D" w:rsidRPr="0072410C" w:rsidRDefault="002A523D" w:rsidP="0060391F">
            <w:pPr>
              <w:pStyle w:val="Tablehead"/>
              <w:rPr>
                <w:lang w:val="es-ES_tradnl"/>
              </w:rPr>
            </w:pPr>
            <w:bookmarkStart w:id="101" w:name="_Ref441746229"/>
            <w:bookmarkStart w:id="102" w:name="_Toc449437427"/>
            <w:r w:rsidRPr="0072410C">
              <w:rPr>
                <w:lang w:val="es-ES_tradnl"/>
              </w:rPr>
              <w:t>Sistema</w:t>
            </w:r>
          </w:p>
        </w:tc>
        <w:tc>
          <w:tcPr>
            <w:tcW w:w="1442" w:type="dxa"/>
            <w:vMerge w:val="restart"/>
            <w:vAlign w:val="center"/>
          </w:tcPr>
          <w:p w:rsidR="002A523D" w:rsidRPr="0072410C" w:rsidRDefault="002A523D" w:rsidP="0060391F">
            <w:pPr>
              <w:pStyle w:val="Tablehead"/>
              <w:rPr>
                <w:lang w:val="es-ES_tradnl"/>
              </w:rPr>
            </w:pPr>
            <w:r w:rsidRPr="0072410C">
              <w:rPr>
                <w:lang w:val="es-ES_tradnl"/>
              </w:rPr>
              <w:t>Figura</w:t>
            </w:r>
          </w:p>
        </w:tc>
        <w:tc>
          <w:tcPr>
            <w:tcW w:w="6054" w:type="dxa"/>
            <w:gridSpan w:val="3"/>
          </w:tcPr>
          <w:p w:rsidR="002A523D" w:rsidRPr="0072410C" w:rsidRDefault="002A523D" w:rsidP="0060391F">
            <w:pPr>
              <w:pStyle w:val="Tablehead"/>
              <w:rPr>
                <w:lang w:val="es-ES_tradnl"/>
              </w:rPr>
            </w:pPr>
            <w:r w:rsidRPr="0072410C">
              <w:rPr>
                <w:lang w:val="es-ES_tradnl"/>
              </w:rPr>
              <w:t xml:space="preserve">Comparación con: </w:t>
            </w:r>
          </w:p>
        </w:tc>
      </w:tr>
      <w:tr w:rsidR="002A523D" w:rsidRPr="0072410C" w:rsidTr="0060391F">
        <w:trPr>
          <w:jc w:val="center"/>
        </w:trPr>
        <w:tc>
          <w:tcPr>
            <w:tcW w:w="1413" w:type="dxa"/>
            <w:vMerge/>
          </w:tcPr>
          <w:p w:rsidR="002A523D" w:rsidRPr="0072410C" w:rsidRDefault="002A523D" w:rsidP="0060391F">
            <w:pPr>
              <w:pStyle w:val="Tablehead"/>
              <w:rPr>
                <w:lang w:val="es-ES_tradnl"/>
              </w:rPr>
            </w:pPr>
          </w:p>
        </w:tc>
        <w:tc>
          <w:tcPr>
            <w:tcW w:w="1442" w:type="dxa"/>
            <w:vMerge/>
          </w:tcPr>
          <w:p w:rsidR="002A523D" w:rsidRPr="0072410C" w:rsidRDefault="002A523D" w:rsidP="0060391F">
            <w:pPr>
              <w:pStyle w:val="Tablehead"/>
              <w:rPr>
                <w:lang w:val="es-ES_tradnl"/>
              </w:rPr>
            </w:pPr>
          </w:p>
        </w:tc>
        <w:tc>
          <w:tcPr>
            <w:tcW w:w="2090" w:type="dxa"/>
          </w:tcPr>
          <w:p w:rsidR="002A523D" w:rsidRPr="0072410C" w:rsidRDefault="002A523D" w:rsidP="0060391F">
            <w:pPr>
              <w:pStyle w:val="Tablehead"/>
              <w:rPr>
                <w:lang w:val="es-ES_tradnl"/>
              </w:rPr>
            </w:pPr>
            <w:r w:rsidRPr="0072410C">
              <w:rPr>
                <w:lang w:val="es-ES_tradnl"/>
              </w:rPr>
              <w:t>Rec. UIT-R SM.329</w:t>
            </w:r>
          </w:p>
        </w:tc>
        <w:tc>
          <w:tcPr>
            <w:tcW w:w="1921" w:type="dxa"/>
          </w:tcPr>
          <w:p w:rsidR="002A523D" w:rsidRPr="0072410C" w:rsidRDefault="002A523D" w:rsidP="0060391F">
            <w:pPr>
              <w:pStyle w:val="Tablehead"/>
              <w:rPr>
                <w:lang w:val="es-ES_tradnl"/>
              </w:rPr>
            </w:pPr>
            <w:r w:rsidRPr="0072410C">
              <w:rPr>
                <w:lang w:val="es-ES_tradnl"/>
              </w:rPr>
              <w:t>ERC/Rec 74-01</w:t>
            </w:r>
          </w:p>
        </w:tc>
        <w:tc>
          <w:tcPr>
            <w:tcW w:w="2043" w:type="dxa"/>
          </w:tcPr>
          <w:p w:rsidR="002A523D" w:rsidRPr="0072410C" w:rsidRDefault="002A523D" w:rsidP="0060391F">
            <w:pPr>
              <w:pStyle w:val="Tablehead"/>
              <w:rPr>
                <w:lang w:val="es-ES_tradnl"/>
              </w:rPr>
            </w:pPr>
            <w:r w:rsidRPr="0072410C">
              <w:rPr>
                <w:lang w:val="es-ES_tradnl"/>
              </w:rPr>
              <w:t>ETSI</w:t>
            </w:r>
          </w:p>
        </w:tc>
      </w:tr>
      <w:tr w:rsidR="002A523D" w:rsidRPr="00EF7B19" w:rsidTr="0060391F">
        <w:trPr>
          <w:jc w:val="center"/>
        </w:trPr>
        <w:tc>
          <w:tcPr>
            <w:tcW w:w="1413" w:type="dxa"/>
          </w:tcPr>
          <w:p w:rsidR="002A523D" w:rsidRPr="0072410C" w:rsidRDefault="002A523D" w:rsidP="0060391F">
            <w:pPr>
              <w:pStyle w:val="Tabletext"/>
              <w:rPr>
                <w:lang w:val="es-ES_tradnl"/>
              </w:rPr>
            </w:pPr>
            <w:r w:rsidRPr="0072410C">
              <w:rPr>
                <w:lang w:val="es-ES_tradnl"/>
              </w:rPr>
              <w:t>Estaciones de base LTE800</w:t>
            </w:r>
          </w:p>
        </w:tc>
        <w:tc>
          <w:tcPr>
            <w:tcW w:w="1442" w:type="dxa"/>
          </w:tcPr>
          <w:p w:rsidR="002A523D" w:rsidRPr="0072410C" w:rsidRDefault="002A523D" w:rsidP="0060391F">
            <w:pPr>
              <w:pStyle w:val="Tabletext"/>
              <w:rPr>
                <w:lang w:val="es-ES_tradnl"/>
              </w:rPr>
            </w:pPr>
            <w:r w:rsidRPr="0072410C">
              <w:rPr>
                <w:lang w:val="es-ES_tradnl"/>
              </w:rPr>
              <w:t>Figura 9</w:t>
            </w:r>
          </w:p>
        </w:tc>
        <w:tc>
          <w:tcPr>
            <w:tcW w:w="6054" w:type="dxa"/>
            <w:gridSpan w:val="3"/>
          </w:tcPr>
          <w:p w:rsidR="002A523D" w:rsidRPr="0072410C" w:rsidRDefault="002A523D" w:rsidP="0060391F">
            <w:pPr>
              <w:pStyle w:val="Tabletext"/>
              <w:rPr>
                <w:rFonts w:ascii="Calibri" w:hAnsi="Calibri" w:cs="Calibri"/>
                <w:b/>
                <w:color w:val="800000"/>
                <w:highlight w:val="lightGray"/>
                <w:lang w:val="es-ES_tradnl"/>
              </w:rPr>
            </w:pPr>
            <w:r w:rsidRPr="0072410C">
              <w:rPr>
                <w:lang w:val="es-ES_tradnl"/>
              </w:rPr>
              <w:t>Los niveles de emisiones no esenciales son de al menos 40 dB por debajo de los límites de la Categoría B para el servicio móvil terrestre en la Recomendación UIT-R SM.329, el Cuadro 2.1 de la ERC/REC 74-01 y la EN 301 908-14 del ETSI debido a los filtros de salida aplicados.</w:t>
            </w:r>
          </w:p>
        </w:tc>
      </w:tr>
    </w:tbl>
    <w:p w:rsidR="002A523D" w:rsidRPr="0072410C" w:rsidRDefault="002A523D" w:rsidP="002A523D">
      <w:pPr>
        <w:pStyle w:val="Heading1"/>
        <w:rPr>
          <w:lang w:val="es-ES_tradnl"/>
        </w:rPr>
      </w:pPr>
      <w:bookmarkStart w:id="103" w:name="_Toc475540041"/>
      <w:bookmarkStart w:id="104" w:name="_Toc476049671"/>
      <w:bookmarkStart w:id="105" w:name="_Toc525820181"/>
      <w:bookmarkStart w:id="106" w:name="_Toc525820361"/>
      <w:r>
        <w:rPr>
          <w:lang w:val="es-ES_tradnl"/>
        </w:rPr>
        <w:t>5</w:t>
      </w:r>
      <w:r>
        <w:rPr>
          <w:lang w:val="es-ES_tradnl"/>
        </w:rPr>
        <w:tab/>
        <w:t>Equipo de usuario LTE</w:t>
      </w:r>
      <w:r w:rsidRPr="0072410C">
        <w:rPr>
          <w:lang w:val="es-ES_tradnl"/>
        </w:rPr>
        <w:t>800</w:t>
      </w:r>
      <w:bookmarkEnd w:id="101"/>
      <w:bookmarkEnd w:id="102"/>
      <w:bookmarkEnd w:id="103"/>
      <w:bookmarkEnd w:id="104"/>
      <w:bookmarkEnd w:id="105"/>
      <w:bookmarkEnd w:id="106"/>
    </w:p>
    <w:p w:rsidR="002A523D" w:rsidRPr="0072410C" w:rsidRDefault="002A523D" w:rsidP="002A523D">
      <w:pPr>
        <w:rPr>
          <w:lang w:val="es-ES_tradnl"/>
        </w:rPr>
      </w:pPr>
      <w:r w:rsidRPr="0072410C">
        <w:rPr>
          <w:lang w:val="es-ES_tradnl"/>
        </w:rPr>
        <w:t xml:space="preserve">Los equipos de usuario de LTE800 pueden ser módems instalados en casas con antenas internas o externas, o teléfonos inteligentes. Durante las conexiones activas, el equipo de usuario siempre transmite un canal de control con un ancho de banda de 180 kHz. El planificador en la estación de base asigna una parte adicional del ancho del canal durante determinados tiempos al móvil para </w:t>
      </w:r>
      <w:r w:rsidRPr="0072410C">
        <w:rPr>
          <w:lang w:val="es-ES_tradnl"/>
        </w:rPr>
        <w:lastRenderedPageBreak/>
        <w:t xml:space="preserve">transmitir datos de usuario. Esto da como resultado un ancho de banda de la señal del equipo de usuario en constante cambio, dependiendo de la situación del tráfico. Además, con el control de potencia se ajusta constantemente la potencia de salida del equipo de usuario de modo que la señal puede recibirse en la estación de base. </w:t>
      </w:r>
    </w:p>
    <w:p w:rsidR="002A523D" w:rsidRPr="0072410C" w:rsidRDefault="002A523D" w:rsidP="002A523D">
      <w:pPr>
        <w:rPr>
          <w:lang w:val="es-ES_tradnl"/>
        </w:rPr>
      </w:pPr>
      <w:r w:rsidRPr="0072410C">
        <w:rPr>
          <w:lang w:val="es-ES_tradnl"/>
        </w:rPr>
        <w:t>Las mediciones se realizaron en diversos equipos de usuario LTE800 de diferentes fabricantes. Se admite que, idealmente, debería analizarse un número estadísticamente representativo de muestras de equipo/diseños de referencia para obtener modelos estadísticos del rendimiento de los dispositivos móviles utilizados en la práctica. Por razones prácticas, las mediciones se realizan en un número limitado de equipos de muestra y puede que el rendimiento del caso más desfavorable se desvíe notablemente de los resultados mostrados debido a la dinámica inherente a los sistemas 3GPP LTE. Por ejemplo, la configuración LTE utilizada (es decir, el número de bloques de recursos, dónde se sitúan estos en el tiempo/frecuencia, etc.) no siempre se especifica. Incluso una «carga total» en la que el equipo de usuario transmita con todos los bloques de recursos posibles a máxima potencia no da como resultado necesariamente el máximo de emisiones no deseadas, motivo por el que en las normas del ETSI utilizadas para pruebas de conformidad, el equipo debe ser operado en un número diferente de configuraciones, ninguna de las cuales puede producir emisiones no deseadas superiores al límite</w:t>
      </w:r>
      <w:r w:rsidRPr="0072410C">
        <w:rPr>
          <w:rStyle w:val="FootnoteReference"/>
          <w:lang w:val="es-ES_tradnl"/>
        </w:rPr>
        <w:footnoteReference w:id="1"/>
      </w:r>
      <w:r w:rsidRPr="0072410C">
        <w:rPr>
          <w:lang w:val="es-ES_tradnl"/>
        </w:rPr>
        <w:t xml:space="preserve">. Con todo, los resultados de medición pueden proporcionar datos valiosos para estudios de compatibilidad y para su divulgación. </w:t>
      </w:r>
    </w:p>
    <w:p w:rsidR="002A523D" w:rsidRPr="0072410C" w:rsidRDefault="002A523D" w:rsidP="002A523D">
      <w:pPr>
        <w:rPr>
          <w:lang w:val="es-ES_tradnl"/>
        </w:rPr>
      </w:pPr>
      <w:r w:rsidRPr="0072410C">
        <w:rPr>
          <w:lang w:val="es-ES_tradnl"/>
        </w:rPr>
        <w:t>Los parámetros RF fundamentales de los equipos de usuario medidos son:</w:t>
      </w:r>
    </w:p>
    <w:p w:rsidR="002A523D" w:rsidRPr="0072410C" w:rsidRDefault="002A523D" w:rsidP="00CB08E1">
      <w:pPr>
        <w:tabs>
          <w:tab w:val="clear" w:pos="1985"/>
          <w:tab w:val="left" w:pos="2268"/>
          <w:tab w:val="left" w:pos="3261"/>
        </w:tabs>
        <w:rPr>
          <w:lang w:val="es-ES_tradnl"/>
        </w:rPr>
      </w:pPr>
      <w:r>
        <w:rPr>
          <w:lang w:val="es-ES_tradnl"/>
        </w:rPr>
        <w:t>Gama de frecuencias:</w:t>
      </w:r>
      <w:r>
        <w:rPr>
          <w:lang w:val="es-ES_tradnl"/>
        </w:rPr>
        <w:tab/>
      </w:r>
      <w:r>
        <w:rPr>
          <w:lang w:val="es-ES_tradnl"/>
        </w:rPr>
        <w:tab/>
        <w:t xml:space="preserve">832 MHz </w:t>
      </w:r>
      <w:r w:rsidRPr="00C92E13">
        <w:rPr>
          <w:lang w:val="es-ES_tradnl"/>
        </w:rPr>
        <w:t>–</w:t>
      </w:r>
      <w:r w:rsidRPr="0072410C">
        <w:rPr>
          <w:lang w:val="es-ES_tradnl"/>
        </w:rPr>
        <w:t xml:space="preserve"> 862 MHz</w:t>
      </w:r>
    </w:p>
    <w:p w:rsidR="002A523D" w:rsidRPr="0072410C" w:rsidRDefault="002A523D" w:rsidP="00CB08E1">
      <w:pPr>
        <w:tabs>
          <w:tab w:val="clear" w:pos="1985"/>
          <w:tab w:val="left" w:pos="2268"/>
          <w:tab w:val="left" w:pos="3261"/>
        </w:tabs>
        <w:rPr>
          <w:lang w:val="es-ES_tradnl"/>
        </w:rPr>
      </w:pPr>
      <w:r w:rsidRPr="0072410C">
        <w:rPr>
          <w:lang w:val="es-ES_tradnl"/>
        </w:rPr>
        <w:t>Modulación:</w:t>
      </w:r>
      <w:r w:rsidRPr="0072410C">
        <w:rPr>
          <w:lang w:val="es-ES_tradnl"/>
        </w:rPr>
        <w:tab/>
      </w:r>
      <w:r w:rsidRPr="0072410C">
        <w:rPr>
          <w:lang w:val="es-ES_tradnl"/>
        </w:rPr>
        <w:tab/>
      </w:r>
      <w:r w:rsidRPr="0072410C">
        <w:rPr>
          <w:lang w:val="es-ES_tradnl"/>
        </w:rPr>
        <w:tab/>
        <w:t>SC-</w:t>
      </w:r>
      <w:r>
        <w:rPr>
          <w:lang w:val="es-ES_tradnl"/>
        </w:rPr>
        <w:t>AMDF</w:t>
      </w:r>
    </w:p>
    <w:p w:rsidR="002A523D" w:rsidRPr="0072410C" w:rsidRDefault="002A523D" w:rsidP="00CB08E1">
      <w:pPr>
        <w:tabs>
          <w:tab w:val="clear" w:pos="1985"/>
          <w:tab w:val="left" w:pos="2268"/>
          <w:tab w:val="left" w:pos="3261"/>
        </w:tabs>
        <w:rPr>
          <w:lang w:val="es-ES_tradnl"/>
        </w:rPr>
      </w:pPr>
      <w:r w:rsidRPr="0072410C">
        <w:rPr>
          <w:lang w:val="es-ES_tradnl"/>
        </w:rPr>
        <w:t>Ancho de banda:</w:t>
      </w:r>
      <w:r w:rsidRPr="0072410C">
        <w:rPr>
          <w:lang w:val="es-ES_tradnl"/>
        </w:rPr>
        <w:tab/>
      </w:r>
      <w:r w:rsidRPr="0072410C">
        <w:rPr>
          <w:lang w:val="es-ES_tradnl"/>
        </w:rPr>
        <w:tab/>
        <w:t>180 kHz a 10 MHz</w:t>
      </w:r>
    </w:p>
    <w:p w:rsidR="002A523D" w:rsidRPr="0072410C" w:rsidRDefault="002A523D" w:rsidP="00CB08E1">
      <w:pPr>
        <w:tabs>
          <w:tab w:val="clear" w:pos="1985"/>
          <w:tab w:val="left" w:pos="2268"/>
          <w:tab w:val="left" w:pos="3261"/>
        </w:tabs>
        <w:ind w:left="3261" w:hanging="3261"/>
        <w:rPr>
          <w:lang w:val="es-ES_tradnl"/>
        </w:rPr>
      </w:pPr>
      <w:r w:rsidRPr="0072410C">
        <w:rPr>
          <w:lang w:val="es-ES_tradnl"/>
        </w:rPr>
        <w:t>El dominio OoB</w:t>
      </w:r>
      <w:r w:rsidR="00CB08E1">
        <w:rPr>
          <w:lang w:val="es-ES_tradnl"/>
        </w:rPr>
        <w:t xml:space="preserve"> finaliza en:</w:t>
      </w:r>
      <w:r w:rsidR="00CB08E1">
        <w:rPr>
          <w:lang w:val="es-ES_tradnl"/>
        </w:rPr>
        <w:tab/>
        <w:t>D</w:t>
      </w:r>
      <w:r>
        <w:rPr>
          <w:lang w:val="es-ES_tradnl"/>
        </w:rPr>
        <w:t>esplazamiento 20 </w:t>
      </w:r>
      <w:r w:rsidRPr="0072410C">
        <w:rPr>
          <w:lang w:val="es-ES_tradnl"/>
        </w:rPr>
        <w:t>MHz de la frec</w:t>
      </w:r>
      <w:r>
        <w:rPr>
          <w:lang w:val="es-ES_tradnl"/>
        </w:rPr>
        <w:t>uencia central (véase el Cuadro </w:t>
      </w:r>
      <w:r w:rsidRPr="0072410C">
        <w:rPr>
          <w:lang w:val="es-ES_tradnl"/>
        </w:rPr>
        <w:t>4.2.4.1.2-1 de la EN 301 908-13 del ETSI)</w:t>
      </w:r>
      <w:r w:rsidR="00CB08E1">
        <w:rPr>
          <w:lang w:val="es-ES_tradnl"/>
        </w:rPr>
        <w:t>.</w:t>
      </w:r>
    </w:p>
    <w:p w:rsidR="002A523D" w:rsidRPr="0072410C" w:rsidRDefault="00CB08E1" w:rsidP="00CB08E1">
      <w:pPr>
        <w:tabs>
          <w:tab w:val="clear" w:pos="1985"/>
          <w:tab w:val="left" w:pos="2268"/>
          <w:tab w:val="left" w:pos="3261"/>
        </w:tabs>
        <w:rPr>
          <w:lang w:val="es-ES_tradnl"/>
        </w:rPr>
      </w:pPr>
      <w:r>
        <w:rPr>
          <w:lang w:val="es-ES_tradnl"/>
        </w:rPr>
        <w:t>Potencia de transmisión:</w:t>
      </w:r>
      <w:r>
        <w:rPr>
          <w:lang w:val="es-ES_tradnl"/>
        </w:rPr>
        <w:tab/>
        <w:t>H</w:t>
      </w:r>
      <w:r w:rsidR="002A523D" w:rsidRPr="0072410C">
        <w:rPr>
          <w:lang w:val="es-ES_tradnl"/>
        </w:rPr>
        <w:t>asta 23 dBm (200 mW) p.i.r.e.</w:t>
      </w:r>
    </w:p>
    <w:p w:rsidR="002A523D" w:rsidRPr="0072410C" w:rsidRDefault="00CB08E1" w:rsidP="00CB08E1">
      <w:pPr>
        <w:tabs>
          <w:tab w:val="clear" w:pos="1985"/>
          <w:tab w:val="left" w:pos="2268"/>
          <w:tab w:val="left" w:pos="3261"/>
        </w:tabs>
        <w:rPr>
          <w:lang w:val="es-ES_tradnl"/>
        </w:rPr>
      </w:pPr>
      <w:r>
        <w:rPr>
          <w:lang w:val="es-ES_tradnl"/>
        </w:rPr>
        <w:t xml:space="preserve">Filtro de salida Tx: </w:t>
      </w:r>
      <w:r>
        <w:rPr>
          <w:lang w:val="es-ES_tradnl"/>
        </w:rPr>
        <w:tab/>
      </w:r>
      <w:r>
        <w:rPr>
          <w:lang w:val="es-ES_tradnl"/>
        </w:rPr>
        <w:tab/>
        <w:t>N</w:t>
      </w:r>
      <w:r w:rsidR="002A523D">
        <w:rPr>
          <w:lang w:val="es-ES_tradnl"/>
        </w:rPr>
        <w:t>inguno</w:t>
      </w:r>
    </w:p>
    <w:p w:rsidR="002A523D" w:rsidRPr="0072410C" w:rsidRDefault="002A523D" w:rsidP="002A523D">
      <w:pPr>
        <w:rPr>
          <w:lang w:val="es-ES_tradnl"/>
        </w:rPr>
      </w:pPr>
      <w:r w:rsidRPr="0072410C">
        <w:rPr>
          <w:lang w:val="es-ES_tradnl"/>
        </w:rPr>
        <w:t>Aunque no se aplicaron filtros de salida externos, hay algunos filtros internos para limitar las emisiones no esenciales fuera de la banda de enlace descendente atribuida para proteger a sus propios receptores que operan en la banda 791 a 821 MHz, o servicios adyacentes.</w:t>
      </w:r>
    </w:p>
    <w:p w:rsidR="002A523D" w:rsidRPr="0072410C" w:rsidRDefault="002A523D" w:rsidP="002A523D">
      <w:pPr>
        <w:rPr>
          <w:lang w:val="es-ES_tradnl"/>
        </w:rPr>
      </w:pPr>
      <w:r w:rsidRPr="0072410C">
        <w:rPr>
          <w:lang w:val="es-ES_tradnl"/>
        </w:rPr>
        <w:lastRenderedPageBreak/>
        <w:t xml:space="preserve">Como solo el modo </w:t>
      </w:r>
      <w:r>
        <w:rPr>
          <w:lang w:val="es-ES_tradnl"/>
        </w:rPr>
        <w:t>DDF</w:t>
      </w:r>
      <w:r w:rsidRPr="0072410C">
        <w:rPr>
          <w:lang w:val="es-ES_tradnl"/>
        </w:rPr>
        <w:t xml:space="preserve"> es interesante en esta gama de frecuencias, no se ha estudiado la operación </w:t>
      </w:r>
      <w:r>
        <w:rPr>
          <w:lang w:val="es-ES_tradnl"/>
        </w:rPr>
        <w:t>DDT</w:t>
      </w:r>
      <w:r w:rsidRPr="0072410C">
        <w:rPr>
          <w:lang w:val="es-ES_tradnl"/>
        </w:rPr>
        <w:t>.</w:t>
      </w:r>
    </w:p>
    <w:p w:rsidR="002A523D" w:rsidRPr="0072410C" w:rsidRDefault="002A523D" w:rsidP="002A523D">
      <w:pPr>
        <w:pStyle w:val="Heading2"/>
        <w:rPr>
          <w:lang w:val="es-ES_tradnl"/>
        </w:rPr>
      </w:pPr>
      <w:bookmarkStart w:id="107" w:name="_Ref448405303"/>
      <w:bookmarkStart w:id="108" w:name="_Toc449437428"/>
      <w:bookmarkStart w:id="109" w:name="_Toc475540042"/>
      <w:bookmarkEnd w:id="107"/>
      <w:r w:rsidRPr="0072410C">
        <w:rPr>
          <w:lang w:val="es-ES_tradnl"/>
        </w:rPr>
        <w:t>5.1</w:t>
      </w:r>
      <w:r w:rsidRPr="0072410C">
        <w:rPr>
          <w:lang w:val="es-ES_tradnl"/>
        </w:rPr>
        <w:tab/>
      </w:r>
      <w:bookmarkEnd w:id="108"/>
      <w:bookmarkEnd w:id="109"/>
      <w:r w:rsidRPr="0072410C">
        <w:rPr>
          <w:lang w:val="es-ES_tradnl"/>
        </w:rPr>
        <w:t>Emisión fuera de banda</w:t>
      </w:r>
    </w:p>
    <w:p w:rsidR="002A523D" w:rsidRPr="0072410C" w:rsidRDefault="002A523D" w:rsidP="002A523D">
      <w:pPr>
        <w:rPr>
          <w:lang w:val="es-ES_tradnl"/>
        </w:rPr>
      </w:pPr>
      <w:r w:rsidRPr="0072410C">
        <w:rPr>
          <w:lang w:val="es-ES_tradnl"/>
        </w:rPr>
        <w:t xml:space="preserve">En [14] se publican medidas sobre cuatro equipos de usuario LTE800 diferentes. En el informe se indica que las medidas se registraron como potencia RMS en una anchura de banda de resolución de 10 kHz, con cada equipo de usuario transmitiendo a máxima potencia (23 dBm) y utilizando modulación 16QAM, que fue la modulación de orden máxima soportada por todos los dispositivos estudiados. Eso generó unos niveles máximos de emisiones no deseadas. Como en la Recomendación UIT-R SM.1541 no figura información sobre los límites OoB para esta clase de aplicación, se muestran las máscaras del Cuadro 4.2.3.1.2-1 de la EN 301 908-13 del ETSI en la </w:t>
      </w:r>
      <w:r w:rsidR="00783742">
        <w:rPr>
          <w:lang w:val="es-ES_tradnl"/>
        </w:rPr>
        <w:t xml:space="preserve">Fig. </w:t>
      </w:r>
      <w:r w:rsidRPr="0072410C">
        <w:rPr>
          <w:lang w:val="es-ES_tradnl"/>
        </w:rPr>
        <w:t>10 a modo de referencia. Recuérdese que en esa norma también se define la fron</w:t>
      </w:r>
      <w:r w:rsidR="00287193">
        <w:rPr>
          <w:lang w:val="es-ES_tradnl"/>
        </w:rPr>
        <w:t>tera OoB para señales LTE de 10 </w:t>
      </w:r>
      <w:r w:rsidRPr="0072410C">
        <w:rPr>
          <w:lang w:val="es-ES_tradnl"/>
        </w:rPr>
        <w:t>MHz en un desplazamiento de 20 MHz, lo que equivale a un 200% del ancho de banda del canal.</w:t>
      </w:r>
    </w:p>
    <w:p w:rsidR="002A523D" w:rsidRPr="0072410C" w:rsidRDefault="002A523D" w:rsidP="002A523D">
      <w:pPr>
        <w:rPr>
          <w:lang w:val="es-ES_tradnl"/>
        </w:rPr>
      </w:pPr>
      <w:r w:rsidRPr="0072410C">
        <w:rPr>
          <w:lang w:val="es-ES_tradnl"/>
        </w:rPr>
        <w:t>Los niveles de los límites y los valores medidos se convirtieron en un ancho de banda de 10 kHz y se normalizaron.</w:t>
      </w:r>
    </w:p>
    <w:p w:rsidR="002A523D" w:rsidRPr="0072410C" w:rsidRDefault="002A523D" w:rsidP="002A523D">
      <w:pPr>
        <w:pStyle w:val="FigureNo"/>
        <w:rPr>
          <w:lang w:val="es-ES_tradnl"/>
        </w:rPr>
      </w:pPr>
      <w:bookmarkStart w:id="110" w:name="_Ref447585848"/>
      <w:bookmarkStart w:id="111" w:name="_Ref448325690"/>
      <w:r w:rsidRPr="0072410C">
        <w:rPr>
          <w:lang w:val="es-ES_tradnl"/>
        </w:rPr>
        <w:t>Figura 10</w:t>
      </w:r>
      <w:bookmarkEnd w:id="110"/>
    </w:p>
    <w:p w:rsidR="002A523D" w:rsidRDefault="002A523D" w:rsidP="002A523D">
      <w:pPr>
        <w:pStyle w:val="Figuretitle"/>
        <w:rPr>
          <w:lang w:val="es-ES_tradnl"/>
        </w:rPr>
      </w:pPr>
      <w:r w:rsidRPr="0072410C">
        <w:rPr>
          <w:lang w:val="es-ES_tradnl"/>
        </w:rPr>
        <w:t>Mediciones OoB de cuatro equipos de usuario LTE800</w:t>
      </w:r>
      <w:bookmarkEnd w:id="111"/>
    </w:p>
    <w:bookmarkStart w:id="112" w:name="_Ref415676509"/>
    <w:p w:rsidR="00287193" w:rsidRPr="00D24BC5" w:rsidRDefault="00716FBC" w:rsidP="00287193">
      <w:pPr>
        <w:pStyle w:val="Figure"/>
        <w:rPr>
          <w:lang w:val="en-GB" w:eastAsia="zh-CN"/>
        </w:rPr>
      </w:pPr>
      <w:r>
        <w:object w:dxaOrig="6558" w:dyaOrig="4408">
          <v:shape id="_x0000_i1034" type="#_x0000_t75" style="width:433.05pt;height:291.75pt" o:ole="">
            <v:imagedata r:id="rId50" o:title=""/>
          </v:shape>
          <o:OLEObject Type="Embed" ProgID="CorelDraw.Graphic.16" ShapeID="_x0000_i1034" DrawAspect="Content" ObjectID="_1600519729" r:id="rId51"/>
        </w:object>
      </w:r>
    </w:p>
    <w:bookmarkEnd w:id="112"/>
    <w:p w:rsidR="00287193" w:rsidRPr="00287193" w:rsidRDefault="00287193" w:rsidP="00287193">
      <w:pPr>
        <w:pStyle w:val="Figure"/>
        <w:rPr>
          <w:lang w:val="es-ES_tradnl"/>
        </w:rPr>
      </w:pPr>
    </w:p>
    <w:p w:rsidR="002A523D" w:rsidRPr="0072410C" w:rsidRDefault="002A523D" w:rsidP="002A523D">
      <w:pPr>
        <w:pStyle w:val="Normalaftertitle"/>
        <w:keepNext/>
        <w:keepLines/>
        <w:rPr>
          <w:lang w:val="es-ES_tradnl"/>
        </w:rPr>
      </w:pPr>
      <w:r w:rsidRPr="0072410C">
        <w:rPr>
          <w:lang w:val="es-ES_tradnl"/>
        </w:rPr>
        <w:lastRenderedPageBreak/>
        <w:t xml:space="preserve">Observaciones de la </w:t>
      </w:r>
      <w:r w:rsidR="00783742">
        <w:rPr>
          <w:lang w:val="es-ES_tradnl"/>
        </w:rPr>
        <w:t xml:space="preserve">Fig. </w:t>
      </w:r>
      <w:r w:rsidRPr="0072410C">
        <w:rPr>
          <w:lang w:val="es-ES_tradnl"/>
        </w:rPr>
        <w:t xml:space="preserve">10: </w:t>
      </w:r>
    </w:p>
    <w:p w:rsidR="002A523D" w:rsidRPr="0072410C" w:rsidRDefault="002A523D" w:rsidP="002A523D">
      <w:pPr>
        <w:pStyle w:val="enumlev1"/>
        <w:keepNext/>
        <w:keepLines/>
        <w:rPr>
          <w:lang w:val="es-ES_tradnl"/>
        </w:rPr>
      </w:pPr>
      <w:r w:rsidRPr="0072410C">
        <w:rPr>
          <w:lang w:val="es-ES_tradnl"/>
        </w:rPr>
        <w:t>–</w:t>
      </w:r>
      <w:r w:rsidRPr="0072410C">
        <w:rPr>
          <w:lang w:val="es-ES_tradnl"/>
        </w:rPr>
        <w:tab/>
        <w:t>Los resultados muestran que todos los equipos de usuario superan la máscara de emisión OoB en diverso grado.</w:t>
      </w:r>
    </w:p>
    <w:p w:rsidR="002A523D" w:rsidRPr="0072410C" w:rsidRDefault="002A523D" w:rsidP="002A523D">
      <w:pPr>
        <w:pStyle w:val="enumlev1"/>
        <w:keepNext/>
        <w:keepLines/>
        <w:rPr>
          <w:lang w:val="es-ES_tradnl"/>
        </w:rPr>
      </w:pPr>
      <w:r w:rsidRPr="0072410C">
        <w:rPr>
          <w:lang w:val="es-ES_tradnl"/>
        </w:rPr>
        <w:t>–</w:t>
      </w:r>
      <w:r w:rsidRPr="0072410C">
        <w:rPr>
          <w:lang w:val="es-ES_tradnl"/>
        </w:rPr>
        <w:tab/>
        <w:t>Todos equipos de usuarios probados mostraron emisiones asimétricas con mayor supresión por encima de 862 MHz. Esto sugiere la presencia de filtrado (interno) para superar los problemas de coexistencia con sistemas de bandas de frecuencias adyacentes.</w:t>
      </w:r>
    </w:p>
    <w:p w:rsidR="002A523D" w:rsidRPr="0072410C" w:rsidRDefault="002A523D" w:rsidP="002A523D">
      <w:pPr>
        <w:tabs>
          <w:tab w:val="clear" w:pos="794"/>
          <w:tab w:val="clear" w:pos="1191"/>
          <w:tab w:val="clear" w:pos="1588"/>
          <w:tab w:val="clear" w:pos="1985"/>
          <w:tab w:val="left" w:pos="1134"/>
          <w:tab w:val="left" w:pos="1871"/>
          <w:tab w:val="left" w:pos="2268"/>
        </w:tabs>
        <w:jc w:val="left"/>
        <w:rPr>
          <w:szCs w:val="24"/>
          <w:lang w:val="es-ES_tradnl"/>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2"/>
        <w:gridCol w:w="2151"/>
        <w:gridCol w:w="2655"/>
        <w:gridCol w:w="2681"/>
      </w:tblGrid>
      <w:tr w:rsidR="002A523D" w:rsidRPr="0072410C" w:rsidTr="00357F79">
        <w:trPr>
          <w:jc w:val="center"/>
        </w:trPr>
        <w:tc>
          <w:tcPr>
            <w:tcW w:w="1972" w:type="dxa"/>
            <w:vMerge w:val="restart"/>
            <w:vAlign w:val="center"/>
          </w:tcPr>
          <w:p w:rsidR="002A523D" w:rsidRPr="0072410C" w:rsidRDefault="002A523D" w:rsidP="0060391F">
            <w:pPr>
              <w:pStyle w:val="Tablehead"/>
              <w:rPr>
                <w:lang w:val="es-ES_tradnl"/>
              </w:rPr>
            </w:pPr>
            <w:bookmarkStart w:id="113" w:name="_Toc449437429"/>
            <w:r w:rsidRPr="0072410C">
              <w:rPr>
                <w:lang w:val="es-ES_tradnl"/>
              </w:rPr>
              <w:t>Sistema</w:t>
            </w:r>
          </w:p>
        </w:tc>
        <w:tc>
          <w:tcPr>
            <w:tcW w:w="1972" w:type="dxa"/>
            <w:vMerge w:val="restart"/>
            <w:vAlign w:val="center"/>
          </w:tcPr>
          <w:p w:rsidR="002A523D" w:rsidRPr="0072410C" w:rsidRDefault="002A523D" w:rsidP="0060391F">
            <w:pPr>
              <w:pStyle w:val="Tablehead"/>
              <w:rPr>
                <w:lang w:val="es-ES_tradnl"/>
              </w:rPr>
            </w:pPr>
            <w:r w:rsidRPr="0072410C">
              <w:rPr>
                <w:lang w:val="es-ES_tradnl"/>
              </w:rPr>
              <w:t>Figura</w:t>
            </w:r>
          </w:p>
        </w:tc>
        <w:tc>
          <w:tcPr>
            <w:tcW w:w="4892" w:type="dxa"/>
            <w:gridSpan w:val="2"/>
          </w:tcPr>
          <w:p w:rsidR="002A523D" w:rsidRPr="0072410C" w:rsidRDefault="002A523D" w:rsidP="0060391F">
            <w:pPr>
              <w:pStyle w:val="Tablehead"/>
              <w:rPr>
                <w:lang w:val="es-ES_tradnl"/>
              </w:rPr>
            </w:pPr>
            <w:r w:rsidRPr="0072410C">
              <w:rPr>
                <w:lang w:val="es-ES_tradnl"/>
              </w:rPr>
              <w:t xml:space="preserve">Comparación con: </w:t>
            </w:r>
          </w:p>
        </w:tc>
      </w:tr>
      <w:tr w:rsidR="002A523D" w:rsidRPr="00EF7B19" w:rsidTr="0060391F">
        <w:trPr>
          <w:jc w:val="center"/>
        </w:trPr>
        <w:tc>
          <w:tcPr>
            <w:tcW w:w="1972" w:type="dxa"/>
            <w:vMerge/>
          </w:tcPr>
          <w:p w:rsidR="002A523D" w:rsidRPr="0072410C" w:rsidRDefault="002A523D" w:rsidP="0060391F">
            <w:pPr>
              <w:pStyle w:val="Tablehead"/>
              <w:rPr>
                <w:lang w:val="es-ES_tradnl"/>
              </w:rPr>
            </w:pPr>
          </w:p>
        </w:tc>
        <w:tc>
          <w:tcPr>
            <w:tcW w:w="1972" w:type="dxa"/>
            <w:vMerge/>
          </w:tcPr>
          <w:p w:rsidR="002A523D" w:rsidRPr="0072410C" w:rsidRDefault="002A523D" w:rsidP="0060391F">
            <w:pPr>
              <w:pStyle w:val="Tablehead"/>
              <w:rPr>
                <w:lang w:val="es-ES_tradnl"/>
              </w:rPr>
            </w:pPr>
          </w:p>
        </w:tc>
        <w:tc>
          <w:tcPr>
            <w:tcW w:w="2434" w:type="dxa"/>
          </w:tcPr>
          <w:p w:rsidR="002A523D" w:rsidRPr="0072410C" w:rsidRDefault="002A523D" w:rsidP="0060391F">
            <w:pPr>
              <w:pStyle w:val="Tablehead"/>
              <w:rPr>
                <w:lang w:val="es-ES_tradnl"/>
              </w:rPr>
            </w:pPr>
            <w:r w:rsidRPr="0072410C">
              <w:rPr>
                <w:lang w:val="es-ES_tradnl"/>
              </w:rPr>
              <w:t>Rec. UIT-R SM.1541</w:t>
            </w:r>
          </w:p>
        </w:tc>
        <w:tc>
          <w:tcPr>
            <w:tcW w:w="2458" w:type="dxa"/>
          </w:tcPr>
          <w:p w:rsidR="002A523D" w:rsidRPr="0072410C" w:rsidRDefault="002A523D" w:rsidP="0060391F">
            <w:pPr>
              <w:pStyle w:val="Tablehead"/>
              <w:rPr>
                <w:lang w:val="es-ES_tradnl"/>
              </w:rPr>
            </w:pPr>
            <w:r w:rsidRPr="0072410C">
              <w:rPr>
                <w:lang w:val="es-ES_tradnl"/>
              </w:rPr>
              <w:t>Cuadro 4.2.3.1.2-1 de la EN 301 908-13 del ETSI</w:t>
            </w:r>
          </w:p>
        </w:tc>
      </w:tr>
      <w:tr w:rsidR="002A523D" w:rsidRPr="00EF7B19" w:rsidTr="0060391F">
        <w:trPr>
          <w:jc w:val="center"/>
        </w:trPr>
        <w:tc>
          <w:tcPr>
            <w:tcW w:w="1972" w:type="dxa"/>
          </w:tcPr>
          <w:p w:rsidR="002A523D" w:rsidRPr="0072410C" w:rsidRDefault="002A523D" w:rsidP="00783742">
            <w:pPr>
              <w:pStyle w:val="Tabletext"/>
              <w:jc w:val="left"/>
              <w:rPr>
                <w:lang w:val="es-ES_tradnl"/>
              </w:rPr>
            </w:pPr>
            <w:r w:rsidRPr="0072410C">
              <w:rPr>
                <w:lang w:val="es-ES_tradnl"/>
              </w:rPr>
              <w:t>Equipos de usuario LTE800</w:t>
            </w:r>
          </w:p>
        </w:tc>
        <w:tc>
          <w:tcPr>
            <w:tcW w:w="1972" w:type="dxa"/>
          </w:tcPr>
          <w:p w:rsidR="002A523D" w:rsidRPr="0072410C" w:rsidRDefault="002A523D" w:rsidP="00783742">
            <w:pPr>
              <w:pStyle w:val="Tabletext"/>
              <w:jc w:val="left"/>
              <w:rPr>
                <w:lang w:val="es-ES_tradnl"/>
              </w:rPr>
            </w:pPr>
            <w:r w:rsidRPr="0072410C">
              <w:rPr>
                <w:lang w:val="es-ES_tradnl"/>
              </w:rPr>
              <w:t>Figura 10</w:t>
            </w:r>
          </w:p>
        </w:tc>
        <w:tc>
          <w:tcPr>
            <w:tcW w:w="2434" w:type="dxa"/>
          </w:tcPr>
          <w:p w:rsidR="002A523D" w:rsidRPr="0072410C" w:rsidRDefault="002A523D" w:rsidP="00783742">
            <w:pPr>
              <w:pStyle w:val="Tabletext"/>
              <w:jc w:val="left"/>
              <w:rPr>
                <w:lang w:val="es-ES_tradnl"/>
              </w:rPr>
            </w:pPr>
            <w:r w:rsidRPr="0072410C">
              <w:rPr>
                <w:lang w:val="es-ES_tradnl"/>
              </w:rPr>
              <w:t>No hay información sobre los límites OoB para esta clase de aplicación en la Recomendación.</w:t>
            </w:r>
          </w:p>
        </w:tc>
        <w:tc>
          <w:tcPr>
            <w:tcW w:w="2458" w:type="dxa"/>
          </w:tcPr>
          <w:p w:rsidR="002A523D" w:rsidRPr="0072410C" w:rsidRDefault="002A523D" w:rsidP="00783742">
            <w:pPr>
              <w:pStyle w:val="Tabletext"/>
              <w:jc w:val="left"/>
              <w:rPr>
                <w:lang w:val="es-ES_tradnl"/>
              </w:rPr>
            </w:pPr>
            <w:r w:rsidRPr="0072410C">
              <w:rPr>
                <w:lang w:val="es-ES_tradnl"/>
              </w:rPr>
              <w:t>Los equipos de usuario probados superaron la máscara de emisión OoB en diverso grado y mostraron emisiones asimétricas con mayor supresión por encima de 862 MHz. Esto sugiere la presencia de filtrado (interno) para superar los problemas de coexistencia con sistemas de bandas de frecuencias adyacentes.</w:t>
            </w:r>
          </w:p>
        </w:tc>
      </w:tr>
    </w:tbl>
    <w:p w:rsidR="002A523D" w:rsidRPr="0072410C" w:rsidRDefault="002A523D" w:rsidP="002A523D">
      <w:pPr>
        <w:pStyle w:val="Heading2"/>
        <w:rPr>
          <w:lang w:val="es-ES_tradnl"/>
        </w:rPr>
      </w:pPr>
      <w:bookmarkStart w:id="114" w:name="_Toc475540043"/>
      <w:bookmarkStart w:id="115" w:name="_Toc476049673"/>
      <w:r w:rsidRPr="0072410C">
        <w:rPr>
          <w:lang w:val="es-ES_tradnl"/>
        </w:rPr>
        <w:t>5.2</w:t>
      </w:r>
      <w:r w:rsidRPr="0072410C">
        <w:rPr>
          <w:lang w:val="es-ES_tradnl"/>
        </w:rPr>
        <w:tab/>
      </w:r>
      <w:bookmarkEnd w:id="113"/>
      <w:bookmarkEnd w:id="114"/>
      <w:bookmarkEnd w:id="115"/>
      <w:r w:rsidRPr="0072410C">
        <w:rPr>
          <w:lang w:val="es-ES_tradnl"/>
        </w:rPr>
        <w:t>Emisión no esencial</w:t>
      </w:r>
    </w:p>
    <w:p w:rsidR="002A523D" w:rsidRPr="0072410C" w:rsidRDefault="002A523D" w:rsidP="002A523D">
      <w:pPr>
        <w:pStyle w:val="enumlev1"/>
        <w:rPr>
          <w:lang w:val="es-ES_tradnl"/>
        </w:rPr>
      </w:pPr>
      <w:r w:rsidRPr="0072410C">
        <w:rPr>
          <w:lang w:val="es-ES_tradnl"/>
        </w:rPr>
        <w:t>–</w:t>
      </w:r>
      <w:r w:rsidRPr="0072410C">
        <w:rPr>
          <w:lang w:val="es-ES_tradnl"/>
        </w:rPr>
        <w:tab/>
        <w:t>En la Recomendación UIT-R SM.329 (Cat. B, servicio móvil terrestre), el Cuadro 2.1 de la ERC/REC 74</w:t>
      </w:r>
      <w:r w:rsidRPr="0072410C">
        <w:rPr>
          <w:lang w:val="es-ES_tradnl"/>
        </w:rPr>
        <w:noBreakHyphen/>
        <w:t xml:space="preserve">01 y la norma pertinente </w:t>
      </w:r>
      <w:r w:rsidRPr="0072410C">
        <w:rPr>
          <w:rFonts w:asciiTheme="majorBidi" w:hAnsiTheme="majorBidi"/>
          <w:szCs w:val="24"/>
          <w:lang w:val="es-ES_tradnl"/>
        </w:rPr>
        <w:t xml:space="preserve">N 301 908-13 del ETSI (Cuadro 4.2.4.1.2-2) </w:t>
      </w:r>
      <w:r w:rsidRPr="0072410C">
        <w:rPr>
          <w:lang w:val="es-ES_tradnl"/>
        </w:rPr>
        <w:t xml:space="preserve">se especifica un límite de emisiones no esenciales de </w:t>
      </w:r>
      <w:r w:rsidRPr="0072410C">
        <w:rPr>
          <w:rFonts w:asciiTheme="majorBidi" w:hAnsiTheme="majorBidi"/>
          <w:lang w:val="es-ES_tradnl"/>
        </w:rPr>
        <w:t>−</w:t>
      </w:r>
      <w:r w:rsidRPr="0072410C">
        <w:rPr>
          <w:lang w:val="es-ES_tradnl"/>
        </w:rPr>
        <w:t>36 dBm en el ancho de banda de referencia de 100 kHz (medida realizada en la salida del transmisor). Este límite debe utilizarse como referencia para una potencia dentro de la banda total de 200 mW = 23 dBm en 10 MHz, lo que corresponde a una densidad espectral dentro de la banda de 23 dBm − 10log</w:t>
      </w:r>
      <w:r w:rsidRPr="0072410C">
        <w:rPr>
          <w:rFonts w:asciiTheme="majorBidi" w:hAnsiTheme="majorBidi"/>
          <w:szCs w:val="24"/>
          <w:vertAlign w:val="subscript"/>
          <w:lang w:val="es-ES_tradnl"/>
        </w:rPr>
        <w:t>10</w:t>
      </w:r>
      <w:r w:rsidRPr="0072410C">
        <w:rPr>
          <w:lang w:val="es-ES_tradnl"/>
        </w:rPr>
        <w:t>(10 000/100) = 3 dBm en un ancho de banda de 100 kHz. La atenuación relativa resultante de emisiones no esenciales es por lo tanto de 3 dBm − (−36 dBm) = 39 dB.</w:t>
      </w:r>
    </w:p>
    <w:p w:rsidR="002A523D" w:rsidRPr="0072410C" w:rsidRDefault="002A523D" w:rsidP="002A523D">
      <w:pPr>
        <w:pStyle w:val="enumlev1"/>
        <w:rPr>
          <w:lang w:val="es-ES_tradnl"/>
        </w:rPr>
      </w:pPr>
      <w:r w:rsidRPr="0072410C">
        <w:rPr>
          <w:lang w:val="es-ES_tradnl"/>
        </w:rPr>
        <w:t>–</w:t>
      </w:r>
      <w:r w:rsidRPr="0072410C">
        <w:rPr>
          <w:lang w:val="es-ES_tradnl"/>
        </w:rPr>
        <w:tab/>
        <w:t>Recuérdese que en la EN 301 908-13 del ETSI también se define la frontera OoB para señales LTE de 10 MHz en un desplazamiento de 20 MHz, lo que equivale a un 200% del ancho de banda del canal (véase su Cuadro 4.2.4.1.2-1).</w:t>
      </w:r>
    </w:p>
    <w:p w:rsidR="002A523D" w:rsidRPr="0072410C" w:rsidRDefault="002A523D" w:rsidP="002A523D">
      <w:pPr>
        <w:rPr>
          <w:lang w:val="es-ES_tradnl"/>
        </w:rPr>
      </w:pPr>
      <w:r w:rsidRPr="0072410C">
        <w:rPr>
          <w:lang w:val="es-ES_tradnl"/>
        </w:rPr>
        <w:t xml:space="preserve">En la </w:t>
      </w:r>
      <w:r w:rsidR="00783742">
        <w:rPr>
          <w:lang w:val="es-ES_tradnl"/>
        </w:rPr>
        <w:t xml:space="preserve">Fig. </w:t>
      </w:r>
      <w:r w:rsidRPr="0072410C">
        <w:rPr>
          <w:lang w:val="es-ES_tradnl"/>
        </w:rPr>
        <w:t>11 se muestran medidas de dos equipos de usuario LTE800 que operan en 857 MHz en la gama de desplazamiento cerca de la frontera OoB.</w:t>
      </w:r>
    </w:p>
    <w:p w:rsidR="002A523D" w:rsidRPr="0072410C" w:rsidRDefault="002A523D" w:rsidP="002A523D">
      <w:pPr>
        <w:pStyle w:val="FigureNo"/>
        <w:rPr>
          <w:lang w:val="es-ES_tradnl"/>
        </w:rPr>
      </w:pPr>
      <w:bookmarkStart w:id="116" w:name="_Ref437878589"/>
      <w:r w:rsidRPr="0072410C">
        <w:rPr>
          <w:lang w:val="es-ES_tradnl"/>
        </w:rPr>
        <w:lastRenderedPageBreak/>
        <w:t>Figura 11</w:t>
      </w:r>
      <w:bookmarkEnd w:id="116"/>
    </w:p>
    <w:p w:rsidR="002A523D" w:rsidRDefault="002A523D" w:rsidP="002A523D">
      <w:pPr>
        <w:pStyle w:val="Figuretitle"/>
        <w:rPr>
          <w:lang w:val="es-ES_tradnl"/>
        </w:rPr>
      </w:pPr>
      <w:r w:rsidRPr="0072410C">
        <w:rPr>
          <w:lang w:val="es-ES_tradnl"/>
        </w:rPr>
        <w:t>Emisiones de dos equipos de usuario LTE800</w:t>
      </w:r>
    </w:p>
    <w:p w:rsidR="00357F79" w:rsidRPr="00D24BC5" w:rsidRDefault="00CB08E1" w:rsidP="00357F79">
      <w:pPr>
        <w:pStyle w:val="Figure"/>
        <w:rPr>
          <w:lang w:val="en-GB"/>
        </w:rPr>
      </w:pPr>
      <w:r>
        <w:object w:dxaOrig="6399" w:dyaOrig="4440">
          <v:shape id="_x0000_i1113" type="#_x0000_t75" style="width:421.8pt;height:292.3pt" o:ole="">
            <v:imagedata r:id="rId52" o:title=""/>
          </v:shape>
          <o:OLEObject Type="Embed" ProgID="CorelDraw.Graphic.16" ShapeID="_x0000_i1113" DrawAspect="Content" ObjectID="_1600519730" r:id="rId53"/>
        </w:object>
      </w:r>
    </w:p>
    <w:p w:rsidR="002A523D" w:rsidRPr="0072410C" w:rsidRDefault="002A523D" w:rsidP="002A523D">
      <w:pPr>
        <w:pStyle w:val="Normalaftertitle"/>
        <w:rPr>
          <w:lang w:val="es-ES_tradnl"/>
        </w:rPr>
      </w:pPr>
      <w:r w:rsidRPr="0072410C">
        <w:rPr>
          <w:lang w:val="es-ES_tradnl"/>
        </w:rPr>
        <w:t xml:space="preserve">Observaciones de la </w:t>
      </w:r>
      <w:r w:rsidR="00783742">
        <w:rPr>
          <w:lang w:val="es-ES_tradnl"/>
        </w:rPr>
        <w:t xml:space="preserve">Fig. </w:t>
      </w:r>
      <w:r w:rsidRPr="0072410C">
        <w:rPr>
          <w:lang w:val="es-ES_tradnl"/>
        </w:rPr>
        <w:t xml:space="preserve">11: </w:t>
      </w:r>
    </w:p>
    <w:p w:rsidR="002A523D" w:rsidRPr="0072410C" w:rsidRDefault="002A523D" w:rsidP="002A523D">
      <w:pPr>
        <w:pStyle w:val="enumlev1"/>
        <w:rPr>
          <w:lang w:val="es-ES_tradnl"/>
        </w:rPr>
      </w:pPr>
      <w:r w:rsidRPr="0072410C">
        <w:rPr>
          <w:lang w:val="es-ES_tradnl"/>
        </w:rPr>
        <w:t>–</w:t>
      </w:r>
      <w:r w:rsidRPr="0072410C">
        <w:rPr>
          <w:lang w:val="es-ES_tradnl"/>
        </w:rPr>
        <w:tab/>
        <w:t xml:space="preserve">Puede verse que los dos equipos de usuario superan los límites del Cuadro 2.1 de la </w:t>
      </w:r>
      <w:r>
        <w:rPr>
          <w:rFonts w:asciiTheme="majorBidi" w:hAnsiTheme="majorBidi"/>
          <w:szCs w:val="24"/>
          <w:lang w:val="es-ES_tradnl"/>
        </w:rPr>
        <w:t>ERC/REC </w:t>
      </w:r>
      <w:r w:rsidRPr="0072410C">
        <w:rPr>
          <w:rFonts w:asciiTheme="majorBidi" w:hAnsiTheme="majorBidi"/>
          <w:szCs w:val="24"/>
          <w:lang w:val="es-ES_tradnl"/>
        </w:rPr>
        <w:t xml:space="preserve">74-01 en al menos 20 dB en esa configuración. </w:t>
      </w:r>
      <w:r w:rsidRPr="0072410C">
        <w:rPr>
          <w:lang w:val="es-ES_tradnl"/>
        </w:rPr>
        <w:t>Las emisiones no esenciales efectivas son inferiores a las mostradas por la limitación de la sensibilidad de medición disponible;</w:t>
      </w:r>
    </w:p>
    <w:p w:rsidR="002A523D" w:rsidRPr="00C92E13" w:rsidRDefault="002A523D" w:rsidP="002A523D">
      <w:pPr>
        <w:pStyle w:val="enumlev1"/>
        <w:spacing w:after="240"/>
        <w:rPr>
          <w:lang w:val="es-ES_tradnl"/>
        </w:rPr>
      </w:pPr>
      <w:r w:rsidRPr="0072410C">
        <w:rPr>
          <w:lang w:val="es-ES_tradnl"/>
        </w:rPr>
        <w:t>–</w:t>
      </w:r>
      <w:r w:rsidRPr="0072410C">
        <w:rPr>
          <w:lang w:val="es-ES_tradnl"/>
        </w:rPr>
        <w:tab/>
        <w:t xml:space="preserve">El que los equipos de usuario se operasen en el canal superior LTE800, donde se suprimen aún más las emisiones no esenciales para proteger los servicios adyacentes, da como resultado una supresión muy alta de las emisiones no esenciales, incluso por debajo de la sensibilidad de medición. Examinando las bandas laterales inferiores en la </w:t>
      </w:r>
      <w:r w:rsidR="00783742">
        <w:rPr>
          <w:lang w:val="es-ES_tradnl"/>
        </w:rPr>
        <w:t xml:space="preserve">Fig. </w:t>
      </w:r>
      <w:r w:rsidRPr="0072410C">
        <w:rPr>
          <w:lang w:val="es-ES_tradnl"/>
        </w:rPr>
        <w:t>11 puede verse que en la frontera OoB e incluso dentro de la banda LTE800, las emisiones no esenciales son considerablemente inferiores a los límites.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8"/>
        <w:gridCol w:w="1555"/>
        <w:gridCol w:w="2268"/>
        <w:gridCol w:w="2073"/>
        <w:gridCol w:w="2225"/>
      </w:tblGrid>
      <w:tr w:rsidR="002A523D" w:rsidRPr="0072410C" w:rsidTr="00CB08E1">
        <w:trPr>
          <w:jc w:val="center"/>
        </w:trPr>
        <w:tc>
          <w:tcPr>
            <w:tcW w:w="1438" w:type="dxa"/>
            <w:vMerge w:val="restart"/>
            <w:vAlign w:val="center"/>
          </w:tcPr>
          <w:p w:rsidR="002A523D" w:rsidRPr="0072410C" w:rsidRDefault="002A523D" w:rsidP="0060391F">
            <w:pPr>
              <w:pStyle w:val="Tablehead"/>
              <w:keepNext w:val="0"/>
              <w:rPr>
                <w:lang w:val="es-ES_tradnl"/>
              </w:rPr>
            </w:pPr>
            <w:r w:rsidRPr="0072410C">
              <w:rPr>
                <w:lang w:val="es-ES_tradnl"/>
              </w:rPr>
              <w:t>Sistema</w:t>
            </w:r>
          </w:p>
        </w:tc>
        <w:tc>
          <w:tcPr>
            <w:tcW w:w="1474" w:type="dxa"/>
            <w:vMerge w:val="restart"/>
            <w:vAlign w:val="center"/>
          </w:tcPr>
          <w:p w:rsidR="002A523D" w:rsidRPr="0072410C" w:rsidRDefault="002A523D" w:rsidP="0060391F">
            <w:pPr>
              <w:pStyle w:val="Tablehead"/>
              <w:keepNext w:val="0"/>
              <w:rPr>
                <w:lang w:val="es-ES_tradnl"/>
              </w:rPr>
            </w:pPr>
            <w:r w:rsidRPr="0072410C">
              <w:rPr>
                <w:lang w:val="es-ES_tradnl"/>
              </w:rPr>
              <w:t>Figura</w:t>
            </w:r>
          </w:p>
        </w:tc>
        <w:tc>
          <w:tcPr>
            <w:tcW w:w="6223" w:type="dxa"/>
            <w:gridSpan w:val="3"/>
          </w:tcPr>
          <w:p w:rsidR="002A523D" w:rsidRPr="0072410C" w:rsidRDefault="002A523D" w:rsidP="0060391F">
            <w:pPr>
              <w:pStyle w:val="Tablehead"/>
              <w:keepNext w:val="0"/>
              <w:rPr>
                <w:lang w:val="es-ES_tradnl"/>
              </w:rPr>
            </w:pPr>
            <w:r w:rsidRPr="0072410C">
              <w:rPr>
                <w:lang w:val="es-ES_tradnl"/>
              </w:rPr>
              <w:t xml:space="preserve">Comparación con: </w:t>
            </w:r>
          </w:p>
        </w:tc>
      </w:tr>
      <w:tr w:rsidR="002A523D" w:rsidRPr="00CB08E1" w:rsidTr="0060391F">
        <w:trPr>
          <w:jc w:val="center"/>
        </w:trPr>
        <w:tc>
          <w:tcPr>
            <w:tcW w:w="1438" w:type="dxa"/>
            <w:vMerge/>
          </w:tcPr>
          <w:p w:rsidR="002A523D" w:rsidRPr="0072410C" w:rsidRDefault="002A523D" w:rsidP="0060391F">
            <w:pPr>
              <w:pStyle w:val="Tablehead"/>
              <w:keepNext w:val="0"/>
              <w:rPr>
                <w:lang w:val="es-ES_tradnl"/>
              </w:rPr>
            </w:pPr>
          </w:p>
        </w:tc>
        <w:tc>
          <w:tcPr>
            <w:tcW w:w="1474" w:type="dxa"/>
            <w:vMerge/>
          </w:tcPr>
          <w:p w:rsidR="002A523D" w:rsidRPr="0072410C" w:rsidRDefault="002A523D" w:rsidP="0060391F">
            <w:pPr>
              <w:pStyle w:val="Tablehead"/>
              <w:keepNext w:val="0"/>
              <w:rPr>
                <w:lang w:val="es-ES_tradnl"/>
              </w:rPr>
            </w:pPr>
          </w:p>
        </w:tc>
        <w:tc>
          <w:tcPr>
            <w:tcW w:w="2149" w:type="dxa"/>
          </w:tcPr>
          <w:p w:rsidR="002A523D" w:rsidRPr="0072410C" w:rsidRDefault="002A523D" w:rsidP="0060391F">
            <w:pPr>
              <w:pStyle w:val="Tablehead"/>
              <w:keepNext w:val="0"/>
              <w:rPr>
                <w:lang w:val="es-ES_tradnl"/>
              </w:rPr>
            </w:pPr>
            <w:r w:rsidRPr="0072410C">
              <w:rPr>
                <w:lang w:val="es-ES_tradnl"/>
              </w:rPr>
              <w:t>Rec. UIT-R SM.329</w:t>
            </w:r>
          </w:p>
        </w:tc>
        <w:tc>
          <w:tcPr>
            <w:tcW w:w="1965" w:type="dxa"/>
          </w:tcPr>
          <w:p w:rsidR="002A523D" w:rsidRPr="0072410C" w:rsidRDefault="002A523D" w:rsidP="00604C17">
            <w:pPr>
              <w:pStyle w:val="Tablehead"/>
              <w:keepNext w:val="0"/>
              <w:rPr>
                <w:lang w:val="es-ES_tradnl"/>
              </w:rPr>
            </w:pPr>
            <w:r w:rsidRPr="0072410C">
              <w:rPr>
                <w:lang w:val="es-ES_tradnl"/>
              </w:rPr>
              <w:t>ERC/Rec 74-01</w:t>
            </w:r>
          </w:p>
        </w:tc>
        <w:tc>
          <w:tcPr>
            <w:tcW w:w="2109" w:type="dxa"/>
          </w:tcPr>
          <w:p w:rsidR="002A523D" w:rsidRPr="0072410C" w:rsidRDefault="002A523D" w:rsidP="0060391F">
            <w:pPr>
              <w:pStyle w:val="Tablehead"/>
              <w:keepNext w:val="0"/>
              <w:rPr>
                <w:lang w:val="es-ES_tradnl"/>
              </w:rPr>
            </w:pPr>
            <w:r w:rsidRPr="0072410C">
              <w:rPr>
                <w:lang w:val="es-ES_tradnl"/>
              </w:rPr>
              <w:t>ETSI</w:t>
            </w:r>
          </w:p>
        </w:tc>
      </w:tr>
      <w:tr w:rsidR="002A523D" w:rsidRPr="00EF7B19" w:rsidTr="0060391F">
        <w:trPr>
          <w:jc w:val="center"/>
        </w:trPr>
        <w:tc>
          <w:tcPr>
            <w:tcW w:w="1438" w:type="dxa"/>
          </w:tcPr>
          <w:p w:rsidR="002A523D" w:rsidRPr="0072410C" w:rsidRDefault="002A523D" w:rsidP="00783742">
            <w:pPr>
              <w:pStyle w:val="Tabletext"/>
              <w:jc w:val="left"/>
              <w:rPr>
                <w:lang w:val="es-ES_tradnl"/>
              </w:rPr>
            </w:pPr>
            <w:r w:rsidRPr="0072410C">
              <w:rPr>
                <w:lang w:val="es-ES_tradnl"/>
              </w:rPr>
              <w:t>Equipos de usuario LTE800</w:t>
            </w:r>
          </w:p>
        </w:tc>
        <w:tc>
          <w:tcPr>
            <w:tcW w:w="1474" w:type="dxa"/>
          </w:tcPr>
          <w:p w:rsidR="002A523D" w:rsidRPr="0072410C" w:rsidRDefault="002A523D" w:rsidP="00783742">
            <w:pPr>
              <w:pStyle w:val="Tabletext"/>
              <w:jc w:val="left"/>
              <w:rPr>
                <w:lang w:val="es-ES_tradnl"/>
              </w:rPr>
            </w:pPr>
            <w:r w:rsidRPr="0072410C">
              <w:rPr>
                <w:lang w:val="es-ES_tradnl"/>
              </w:rPr>
              <w:t>Figura 11</w:t>
            </w:r>
          </w:p>
        </w:tc>
        <w:tc>
          <w:tcPr>
            <w:tcW w:w="6223" w:type="dxa"/>
            <w:gridSpan w:val="3"/>
          </w:tcPr>
          <w:p w:rsidR="002A523D" w:rsidRPr="0072410C" w:rsidRDefault="002A523D" w:rsidP="00783742">
            <w:pPr>
              <w:pStyle w:val="Tabletext"/>
              <w:jc w:val="left"/>
              <w:rPr>
                <w:b/>
                <w:lang w:val="es-ES_tradnl"/>
              </w:rPr>
            </w:pPr>
            <w:r w:rsidRPr="0072410C">
              <w:rPr>
                <w:lang w:val="es-ES_tradnl"/>
              </w:rPr>
              <w:t>Los dos equipos de usuario superan los límites de la Rec. UIT-R SM.329 (Cat. B, servicio móvil terrestre), del Cuadro 2.1 de la ERC/REC 74-01 y de la norma pertinente EN 301 908-13 del ETSI (Cuadro 4.2.4.1.2-2) en al menos 20 dB en esa configuración. Las emisiones no esenciales efectivas son inferiores a las mostradas por la limitación de la sensibilidad de medición disponible.</w:t>
            </w:r>
          </w:p>
        </w:tc>
      </w:tr>
    </w:tbl>
    <w:p w:rsidR="002A523D" w:rsidRPr="0072410C" w:rsidRDefault="002A523D" w:rsidP="002A523D">
      <w:pPr>
        <w:pStyle w:val="Heading2"/>
        <w:rPr>
          <w:rFonts w:ascii="Arial" w:eastAsia="Calibri" w:hAnsi="Arial"/>
          <w:lang w:val="es-ES_tradnl"/>
        </w:rPr>
      </w:pPr>
      <w:bookmarkStart w:id="117" w:name="_Toc448512648"/>
      <w:bookmarkStart w:id="118" w:name="_Toc449437430"/>
      <w:bookmarkStart w:id="119" w:name="_Toc475540044"/>
      <w:bookmarkStart w:id="120" w:name="_Toc476049674"/>
      <w:bookmarkEnd w:id="117"/>
      <w:r w:rsidRPr="0072410C">
        <w:rPr>
          <w:lang w:val="es-ES_tradnl"/>
        </w:rPr>
        <w:t>5.3</w:t>
      </w:r>
      <w:r w:rsidRPr="0072410C">
        <w:rPr>
          <w:lang w:val="es-ES_tradnl"/>
        </w:rPr>
        <w:tab/>
      </w:r>
      <w:r w:rsidRPr="0072410C">
        <w:rPr>
          <w:lang w:val="es-ES_tradnl"/>
        </w:rPr>
        <w:tab/>
        <w:t>Emisiones armónicas</w:t>
      </w:r>
      <w:bookmarkEnd w:id="118"/>
      <w:bookmarkEnd w:id="119"/>
      <w:bookmarkEnd w:id="120"/>
    </w:p>
    <w:p w:rsidR="002A523D" w:rsidRPr="0072410C" w:rsidRDefault="002A523D" w:rsidP="002A523D">
      <w:pPr>
        <w:rPr>
          <w:lang w:val="es-ES_tradnl"/>
        </w:rPr>
      </w:pPr>
      <w:r w:rsidRPr="0072410C">
        <w:rPr>
          <w:lang w:val="es-ES_tradnl"/>
        </w:rPr>
        <w:t xml:space="preserve">Se han medido emisiones no deseadas en la segunda frecuencia armónica del equipo de usuario LTE800 disponible en el mercado ya que se encuentran en el ancho de banda del receptor de una banda de servicio de radionavegación por satélite. Como estas emisiones no deseadas están siempre </w:t>
      </w:r>
      <w:r w:rsidRPr="0072410C">
        <w:rPr>
          <w:lang w:val="es-ES_tradnl"/>
        </w:rPr>
        <w:lastRenderedPageBreak/>
        <w:t>por encima de 1 GHz, se aplican los límites de la Cat. B, servicio móvil terrestre, de la Recomendación UIT-R SM.329, del Cuadro 2.1 de la ERC/REC 74-01 y de la EN 301 908</w:t>
      </w:r>
      <w:r w:rsidRPr="0072410C">
        <w:rPr>
          <w:lang w:val="es-ES_tradnl"/>
        </w:rPr>
        <w:noBreakHyphen/>
        <w:t>13 del ETSI de −30 dBm en el ancho de banda de referencia de 1 MHz. En la Recomendación UIT-R M.2071, aplicable a los equipos de usuario de IMT-Avanzadas, también se especifica el mismo límite. La potencia radiada total medida fue de 27 dBm en 10 MHz, lo que da como resultado una densidad espectral dentro del canal de 17 dBm/MHz. La supresión requerida de las frecuencias arm</w:t>
      </w:r>
      <w:r>
        <w:rPr>
          <w:lang w:val="es-ES_tradnl"/>
        </w:rPr>
        <w:t>ónicas sería por lo tanto de 17 </w:t>
      </w:r>
      <w:r w:rsidRPr="0072410C">
        <w:rPr>
          <w:lang w:val="es-ES_tradnl"/>
        </w:rPr>
        <w:t>dBm/MHz − (−30 dBm) = 47 dB.</w:t>
      </w:r>
    </w:p>
    <w:p w:rsidR="002A523D" w:rsidRPr="0072410C" w:rsidRDefault="002A523D" w:rsidP="002A523D">
      <w:pPr>
        <w:rPr>
          <w:lang w:val="es-ES_tradnl"/>
        </w:rPr>
      </w:pPr>
      <w:r w:rsidRPr="0072410C">
        <w:rPr>
          <w:lang w:val="es-ES_tradnl"/>
        </w:rPr>
        <w:t>La frecuencia del transmisor fue de 858 MHz. Las mediciones se han realizado en un laboratorio con un ancho de banda de 100 kHz. Las Figuras 12 y 13 muestran la señal dentro de la banda medida y su segunda armónica.</w:t>
      </w:r>
    </w:p>
    <w:p w:rsidR="002A523D" w:rsidRPr="0072410C" w:rsidRDefault="002A523D" w:rsidP="002A523D">
      <w:pPr>
        <w:pStyle w:val="FigureNo"/>
        <w:rPr>
          <w:lang w:val="es-ES_tradnl"/>
        </w:rPr>
      </w:pPr>
      <w:bookmarkStart w:id="121" w:name="_Ref448326183"/>
      <w:r w:rsidRPr="0072410C">
        <w:rPr>
          <w:lang w:val="es-ES_tradnl"/>
        </w:rPr>
        <w:t>Figura 12</w:t>
      </w:r>
      <w:bookmarkEnd w:id="121"/>
    </w:p>
    <w:p w:rsidR="002A523D" w:rsidRDefault="002A523D" w:rsidP="002A523D">
      <w:pPr>
        <w:pStyle w:val="Figuretitle"/>
        <w:rPr>
          <w:lang w:val="es-ES_tradnl"/>
        </w:rPr>
      </w:pPr>
      <w:r w:rsidRPr="0072410C">
        <w:rPr>
          <w:lang w:val="es-ES_tradnl"/>
        </w:rPr>
        <w:t>Emisiones dentro de la banda de un equipo de usuario LTE800</w:t>
      </w:r>
    </w:p>
    <w:p w:rsidR="006F75F0" w:rsidRPr="00D24BC5" w:rsidRDefault="00EF7B19" w:rsidP="006F75F0">
      <w:pPr>
        <w:pStyle w:val="Figure"/>
        <w:rPr>
          <w:lang w:val="en-GB" w:eastAsia="zh-CN"/>
        </w:rPr>
      </w:pPr>
      <w:r>
        <w:object w:dxaOrig="6573" w:dyaOrig="4231">
          <v:shape id="_x0000_i1040" type="#_x0000_t75" style="width:433.05pt;height:279.95pt" o:ole="">
            <v:imagedata r:id="rId54" o:title=""/>
          </v:shape>
          <o:OLEObject Type="Embed" ProgID="CorelDraw.Graphic.16" ShapeID="_x0000_i1040" DrawAspect="Content" ObjectID="_1600519731" r:id="rId55"/>
        </w:object>
      </w:r>
    </w:p>
    <w:p w:rsidR="006F75F0" w:rsidRPr="006F75F0" w:rsidRDefault="006F75F0" w:rsidP="006F75F0">
      <w:pPr>
        <w:pStyle w:val="Figure"/>
        <w:rPr>
          <w:lang w:val="es-ES_tradnl"/>
        </w:rPr>
      </w:pPr>
    </w:p>
    <w:p w:rsidR="002A523D" w:rsidRPr="0072410C" w:rsidRDefault="002A523D" w:rsidP="002A523D">
      <w:pPr>
        <w:pStyle w:val="FigureNo"/>
        <w:rPr>
          <w:lang w:val="es-ES_tradnl"/>
        </w:rPr>
      </w:pPr>
      <w:bookmarkStart w:id="122" w:name="_Ref447624241"/>
      <w:bookmarkStart w:id="123" w:name="_Ref475974724"/>
      <w:r w:rsidRPr="0072410C">
        <w:rPr>
          <w:lang w:val="es-ES_tradnl"/>
        </w:rPr>
        <w:lastRenderedPageBreak/>
        <w:t>Figura 13</w:t>
      </w:r>
      <w:bookmarkEnd w:id="122"/>
    </w:p>
    <w:p w:rsidR="002A523D" w:rsidRDefault="002A523D" w:rsidP="002A523D">
      <w:pPr>
        <w:pStyle w:val="Figuretitle"/>
        <w:rPr>
          <w:lang w:val="es-ES_tradnl"/>
        </w:rPr>
      </w:pPr>
      <w:r w:rsidRPr="0072410C">
        <w:rPr>
          <w:lang w:val="es-ES_tradnl"/>
        </w:rPr>
        <w:t>Emisiones de un equipo de usuario LTE800 en la segunda frecuencia armónica</w:t>
      </w:r>
      <w:bookmarkEnd w:id="123"/>
    </w:p>
    <w:p w:rsidR="0082057C" w:rsidRPr="00D24BC5" w:rsidRDefault="002F5424" w:rsidP="0082057C">
      <w:pPr>
        <w:pStyle w:val="Figure"/>
        <w:rPr>
          <w:lang w:val="en-GB" w:eastAsia="zh-CN"/>
        </w:rPr>
      </w:pPr>
      <w:r>
        <w:object w:dxaOrig="6573" w:dyaOrig="4231">
          <v:shape id="_x0000_i1044" type="#_x0000_t75" style="width:433.05pt;height:279.95pt" o:ole="">
            <v:imagedata r:id="rId56" o:title=""/>
          </v:shape>
          <o:OLEObject Type="Embed" ProgID="CorelDraw.Graphic.16" ShapeID="_x0000_i1044" DrawAspect="Content" ObjectID="_1600519732" r:id="rId57"/>
        </w:object>
      </w:r>
    </w:p>
    <w:p w:rsidR="002A523D" w:rsidRPr="0072410C" w:rsidRDefault="002A523D" w:rsidP="002A523D">
      <w:pPr>
        <w:pStyle w:val="Normalaftertitle"/>
        <w:rPr>
          <w:lang w:val="es-ES_tradnl"/>
        </w:rPr>
      </w:pPr>
      <w:r w:rsidRPr="0072410C">
        <w:rPr>
          <w:lang w:val="es-ES_tradnl"/>
        </w:rPr>
        <w:t>El balance del enlace de esas medidas se muestra en el Cuadro 3:</w:t>
      </w:r>
    </w:p>
    <w:p w:rsidR="002A523D" w:rsidRPr="0072410C" w:rsidRDefault="002A523D" w:rsidP="002A523D">
      <w:pPr>
        <w:pStyle w:val="TableNo"/>
        <w:rPr>
          <w:lang w:val="es-ES_tradnl"/>
        </w:rPr>
      </w:pPr>
      <w:bookmarkStart w:id="124" w:name="_Ref448326218"/>
      <w:r w:rsidRPr="0072410C">
        <w:rPr>
          <w:lang w:val="es-ES_tradnl"/>
        </w:rPr>
        <w:t>CUADRO 3</w:t>
      </w:r>
      <w:bookmarkEnd w:id="124"/>
    </w:p>
    <w:p w:rsidR="002A523D" w:rsidRPr="0072410C" w:rsidRDefault="002A523D" w:rsidP="002A523D">
      <w:pPr>
        <w:pStyle w:val="Tabletitle"/>
        <w:rPr>
          <w:lang w:val="es-ES_tradnl"/>
        </w:rPr>
      </w:pPr>
      <w:r w:rsidRPr="0072410C">
        <w:rPr>
          <w:lang w:val="es-ES_tradnl"/>
        </w:rPr>
        <w:t>Balance del enlace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2754"/>
        <w:gridCol w:w="2120"/>
        <w:gridCol w:w="2617"/>
      </w:tblGrid>
      <w:tr w:rsidR="002A523D" w:rsidRPr="0072410C" w:rsidTr="005719E8">
        <w:trPr>
          <w:jc w:val="center"/>
        </w:trPr>
        <w:tc>
          <w:tcPr>
            <w:tcW w:w="2754" w:type="dxa"/>
            <w:vAlign w:val="center"/>
          </w:tcPr>
          <w:p w:rsidR="002A523D" w:rsidRPr="0072410C" w:rsidRDefault="002A523D" w:rsidP="0060391F">
            <w:pPr>
              <w:pStyle w:val="Tablehead"/>
              <w:rPr>
                <w:lang w:val="es-ES_tradnl"/>
              </w:rPr>
            </w:pPr>
            <w:r w:rsidRPr="0072410C">
              <w:rPr>
                <w:lang w:val="es-ES_tradnl"/>
              </w:rPr>
              <w:t>Parámetro</w:t>
            </w:r>
          </w:p>
        </w:tc>
        <w:tc>
          <w:tcPr>
            <w:tcW w:w="2120" w:type="dxa"/>
            <w:vAlign w:val="center"/>
          </w:tcPr>
          <w:p w:rsidR="002A523D" w:rsidRPr="0072410C" w:rsidRDefault="002A523D" w:rsidP="0060391F">
            <w:pPr>
              <w:pStyle w:val="Tablehead"/>
              <w:rPr>
                <w:lang w:val="es-ES_tradnl"/>
              </w:rPr>
            </w:pPr>
            <w:r w:rsidRPr="0072410C">
              <w:rPr>
                <w:lang w:val="es-ES_tradnl"/>
              </w:rPr>
              <w:t>Emisión principal</w:t>
            </w:r>
          </w:p>
        </w:tc>
        <w:tc>
          <w:tcPr>
            <w:tcW w:w="2617" w:type="dxa"/>
            <w:vAlign w:val="center"/>
          </w:tcPr>
          <w:p w:rsidR="002A523D" w:rsidRPr="0072410C" w:rsidRDefault="002A523D" w:rsidP="0060391F">
            <w:pPr>
              <w:pStyle w:val="Tablehead"/>
              <w:rPr>
                <w:lang w:val="es-ES_tradnl"/>
              </w:rPr>
            </w:pPr>
            <w:r w:rsidRPr="0072410C">
              <w:rPr>
                <w:lang w:val="es-ES_tradnl"/>
              </w:rPr>
              <w:t>Emisión armónica secundaria</w:t>
            </w:r>
          </w:p>
        </w:tc>
      </w:tr>
      <w:tr w:rsidR="002A523D" w:rsidRPr="0072410C" w:rsidTr="0060391F">
        <w:trPr>
          <w:jc w:val="center"/>
        </w:trPr>
        <w:tc>
          <w:tcPr>
            <w:tcW w:w="2754" w:type="dxa"/>
          </w:tcPr>
          <w:p w:rsidR="002A523D" w:rsidRPr="0072410C" w:rsidRDefault="002A523D" w:rsidP="0060391F">
            <w:pPr>
              <w:pStyle w:val="Tabletext"/>
              <w:jc w:val="center"/>
              <w:rPr>
                <w:lang w:val="es-ES_tradnl"/>
              </w:rPr>
            </w:pPr>
            <w:r w:rsidRPr="0072410C">
              <w:rPr>
                <w:lang w:val="es-ES_tradnl"/>
              </w:rPr>
              <w:t>Frecuencia</w:t>
            </w:r>
          </w:p>
        </w:tc>
        <w:tc>
          <w:tcPr>
            <w:tcW w:w="2120" w:type="dxa"/>
          </w:tcPr>
          <w:p w:rsidR="002A523D" w:rsidRPr="0072410C" w:rsidRDefault="002A523D" w:rsidP="0060391F">
            <w:pPr>
              <w:pStyle w:val="Tabletext"/>
              <w:jc w:val="center"/>
              <w:rPr>
                <w:lang w:val="es-ES_tradnl"/>
              </w:rPr>
            </w:pPr>
            <w:r w:rsidRPr="0072410C">
              <w:rPr>
                <w:lang w:val="es-ES_tradnl"/>
              </w:rPr>
              <w:t>858 MHz</w:t>
            </w:r>
          </w:p>
        </w:tc>
        <w:tc>
          <w:tcPr>
            <w:tcW w:w="2617" w:type="dxa"/>
          </w:tcPr>
          <w:p w:rsidR="002A523D" w:rsidRPr="0072410C" w:rsidRDefault="002A523D" w:rsidP="0060391F">
            <w:pPr>
              <w:pStyle w:val="Tabletext"/>
              <w:jc w:val="center"/>
              <w:rPr>
                <w:lang w:val="es-ES_tradnl"/>
              </w:rPr>
            </w:pPr>
            <w:r w:rsidRPr="0072410C">
              <w:rPr>
                <w:lang w:val="es-ES_tradnl"/>
              </w:rPr>
              <w:t>1716 MHz</w:t>
            </w:r>
          </w:p>
        </w:tc>
      </w:tr>
      <w:tr w:rsidR="002A523D" w:rsidRPr="0072410C" w:rsidTr="0060391F">
        <w:trPr>
          <w:jc w:val="center"/>
        </w:trPr>
        <w:tc>
          <w:tcPr>
            <w:tcW w:w="2754" w:type="dxa"/>
          </w:tcPr>
          <w:p w:rsidR="002A523D" w:rsidRPr="0072410C" w:rsidRDefault="002A523D" w:rsidP="0060391F">
            <w:pPr>
              <w:pStyle w:val="Tabletext"/>
              <w:jc w:val="center"/>
              <w:rPr>
                <w:lang w:val="es-ES_tradnl"/>
              </w:rPr>
            </w:pPr>
            <w:r w:rsidRPr="0072410C">
              <w:rPr>
                <w:lang w:val="es-ES_tradnl"/>
              </w:rPr>
              <w:t>Potencia medida</w:t>
            </w:r>
          </w:p>
        </w:tc>
        <w:tc>
          <w:tcPr>
            <w:tcW w:w="2120" w:type="dxa"/>
          </w:tcPr>
          <w:p w:rsidR="002A523D" w:rsidRPr="0072410C" w:rsidRDefault="002A523D" w:rsidP="0060391F">
            <w:pPr>
              <w:pStyle w:val="Tabletext"/>
              <w:jc w:val="center"/>
              <w:rPr>
                <w:lang w:val="es-ES_tradnl"/>
              </w:rPr>
            </w:pPr>
            <w:r w:rsidRPr="0072410C">
              <w:rPr>
                <w:lang w:val="es-ES_tradnl"/>
              </w:rPr>
              <w:t>−7,35 dBm/MHz</w:t>
            </w:r>
          </w:p>
        </w:tc>
        <w:tc>
          <w:tcPr>
            <w:tcW w:w="2617" w:type="dxa"/>
          </w:tcPr>
          <w:p w:rsidR="002A523D" w:rsidRPr="0072410C" w:rsidRDefault="002A523D" w:rsidP="0060391F">
            <w:pPr>
              <w:pStyle w:val="Tabletext"/>
              <w:jc w:val="center"/>
              <w:rPr>
                <w:lang w:val="es-ES_tradnl"/>
              </w:rPr>
            </w:pPr>
            <w:r w:rsidRPr="0072410C">
              <w:rPr>
                <w:lang w:val="es-ES_tradnl"/>
              </w:rPr>
              <w:t>−62,45 dBm/MHz</w:t>
            </w:r>
          </w:p>
        </w:tc>
      </w:tr>
      <w:tr w:rsidR="002A523D" w:rsidRPr="0072410C" w:rsidTr="0060391F">
        <w:trPr>
          <w:jc w:val="center"/>
        </w:trPr>
        <w:tc>
          <w:tcPr>
            <w:tcW w:w="2754" w:type="dxa"/>
          </w:tcPr>
          <w:p w:rsidR="002A523D" w:rsidRPr="0072410C" w:rsidRDefault="002A523D" w:rsidP="0060391F">
            <w:pPr>
              <w:pStyle w:val="Tabletext"/>
              <w:jc w:val="center"/>
              <w:rPr>
                <w:lang w:val="es-ES_tradnl"/>
              </w:rPr>
            </w:pPr>
            <w:r w:rsidRPr="0072410C">
              <w:rPr>
                <w:lang w:val="es-ES_tradnl"/>
              </w:rPr>
              <w:t>Ganancia de la antena</w:t>
            </w:r>
          </w:p>
        </w:tc>
        <w:tc>
          <w:tcPr>
            <w:tcW w:w="2120" w:type="dxa"/>
          </w:tcPr>
          <w:p w:rsidR="002A523D" w:rsidRPr="0072410C" w:rsidRDefault="002A523D" w:rsidP="0060391F">
            <w:pPr>
              <w:pStyle w:val="Tabletext"/>
              <w:jc w:val="center"/>
              <w:rPr>
                <w:lang w:val="es-ES_tradnl"/>
              </w:rPr>
            </w:pPr>
            <w:r w:rsidRPr="0072410C">
              <w:rPr>
                <w:lang w:val="es-ES_tradnl"/>
              </w:rPr>
              <w:t>7,8 dB</w:t>
            </w:r>
          </w:p>
        </w:tc>
        <w:tc>
          <w:tcPr>
            <w:tcW w:w="2617" w:type="dxa"/>
          </w:tcPr>
          <w:p w:rsidR="002A523D" w:rsidRPr="0072410C" w:rsidRDefault="002A523D" w:rsidP="0060391F">
            <w:pPr>
              <w:pStyle w:val="Tabletext"/>
              <w:jc w:val="center"/>
              <w:rPr>
                <w:lang w:val="es-ES_tradnl"/>
              </w:rPr>
            </w:pPr>
            <w:r w:rsidRPr="0072410C">
              <w:rPr>
                <w:lang w:val="es-ES_tradnl"/>
              </w:rPr>
              <w:t>7,5 dB</w:t>
            </w:r>
          </w:p>
        </w:tc>
      </w:tr>
      <w:tr w:rsidR="002A523D" w:rsidRPr="0072410C" w:rsidTr="0060391F">
        <w:trPr>
          <w:jc w:val="center"/>
        </w:trPr>
        <w:tc>
          <w:tcPr>
            <w:tcW w:w="2754" w:type="dxa"/>
          </w:tcPr>
          <w:p w:rsidR="002A523D" w:rsidRPr="0072410C" w:rsidRDefault="002A523D" w:rsidP="0060391F">
            <w:pPr>
              <w:pStyle w:val="Tabletext"/>
              <w:jc w:val="center"/>
              <w:rPr>
                <w:lang w:val="es-ES_tradnl"/>
              </w:rPr>
            </w:pPr>
            <w:r w:rsidRPr="0072410C">
              <w:rPr>
                <w:lang w:val="es-ES_tradnl"/>
              </w:rPr>
              <w:t>Atenuación de cable</w:t>
            </w:r>
          </w:p>
        </w:tc>
        <w:tc>
          <w:tcPr>
            <w:tcW w:w="2120" w:type="dxa"/>
          </w:tcPr>
          <w:p w:rsidR="002A523D" w:rsidRPr="0072410C" w:rsidRDefault="002A523D" w:rsidP="0060391F">
            <w:pPr>
              <w:pStyle w:val="Tabletext"/>
              <w:jc w:val="center"/>
              <w:rPr>
                <w:lang w:val="es-ES_tradnl"/>
              </w:rPr>
            </w:pPr>
            <w:r w:rsidRPr="0072410C">
              <w:rPr>
                <w:lang w:val="es-ES_tradnl"/>
              </w:rPr>
              <w:t>1,2 dB</w:t>
            </w:r>
          </w:p>
        </w:tc>
        <w:tc>
          <w:tcPr>
            <w:tcW w:w="2617" w:type="dxa"/>
          </w:tcPr>
          <w:p w:rsidR="002A523D" w:rsidRPr="0072410C" w:rsidRDefault="002A523D" w:rsidP="0060391F">
            <w:pPr>
              <w:pStyle w:val="Tabletext"/>
              <w:jc w:val="center"/>
              <w:rPr>
                <w:lang w:val="es-ES_tradnl"/>
              </w:rPr>
            </w:pPr>
            <w:r w:rsidRPr="0072410C">
              <w:rPr>
                <w:lang w:val="es-ES_tradnl"/>
              </w:rPr>
              <w:t>1,5 dB</w:t>
            </w:r>
          </w:p>
        </w:tc>
      </w:tr>
      <w:tr w:rsidR="002A523D" w:rsidRPr="0072410C" w:rsidTr="0060391F">
        <w:trPr>
          <w:jc w:val="center"/>
        </w:trPr>
        <w:tc>
          <w:tcPr>
            <w:tcW w:w="2754" w:type="dxa"/>
          </w:tcPr>
          <w:p w:rsidR="002A523D" w:rsidRPr="0072410C" w:rsidRDefault="002A523D" w:rsidP="0060391F">
            <w:pPr>
              <w:pStyle w:val="Tabletext"/>
              <w:jc w:val="center"/>
              <w:rPr>
                <w:lang w:val="es-ES_tradnl"/>
              </w:rPr>
            </w:pPr>
            <w:r w:rsidRPr="0072410C">
              <w:rPr>
                <w:lang w:val="es-ES_tradnl"/>
              </w:rPr>
              <w:t>Atenuación de espacio libre</w:t>
            </w:r>
          </w:p>
        </w:tc>
        <w:tc>
          <w:tcPr>
            <w:tcW w:w="2120" w:type="dxa"/>
          </w:tcPr>
          <w:p w:rsidR="002A523D" w:rsidRPr="0072410C" w:rsidRDefault="002A523D" w:rsidP="0060391F">
            <w:pPr>
              <w:pStyle w:val="Tabletext"/>
              <w:jc w:val="center"/>
              <w:rPr>
                <w:lang w:val="es-ES_tradnl"/>
              </w:rPr>
            </w:pPr>
            <w:r w:rsidRPr="0072410C">
              <w:rPr>
                <w:lang w:val="es-ES_tradnl"/>
              </w:rPr>
              <w:t>31,2 dB</w:t>
            </w:r>
          </w:p>
        </w:tc>
        <w:tc>
          <w:tcPr>
            <w:tcW w:w="2617" w:type="dxa"/>
          </w:tcPr>
          <w:p w:rsidR="002A523D" w:rsidRPr="0072410C" w:rsidRDefault="002A523D" w:rsidP="0060391F">
            <w:pPr>
              <w:pStyle w:val="Tabletext"/>
              <w:jc w:val="center"/>
              <w:rPr>
                <w:lang w:val="es-ES_tradnl"/>
              </w:rPr>
            </w:pPr>
            <w:r w:rsidRPr="0072410C">
              <w:rPr>
                <w:lang w:val="es-ES_tradnl"/>
              </w:rPr>
              <w:t>37,14 dB</w:t>
            </w:r>
          </w:p>
        </w:tc>
      </w:tr>
      <w:tr w:rsidR="002A523D" w:rsidRPr="0072410C" w:rsidTr="0060391F">
        <w:trPr>
          <w:jc w:val="center"/>
        </w:trPr>
        <w:tc>
          <w:tcPr>
            <w:tcW w:w="2754" w:type="dxa"/>
          </w:tcPr>
          <w:p w:rsidR="002A523D" w:rsidRPr="0072410C" w:rsidRDefault="002A523D" w:rsidP="0060391F">
            <w:pPr>
              <w:pStyle w:val="Tabletext"/>
              <w:jc w:val="center"/>
              <w:rPr>
                <w:lang w:val="es-ES_tradnl"/>
              </w:rPr>
            </w:pPr>
            <w:r w:rsidRPr="0072410C">
              <w:rPr>
                <w:lang w:val="es-ES_tradnl"/>
              </w:rPr>
              <w:t>Potencia radiada</w:t>
            </w:r>
          </w:p>
        </w:tc>
        <w:tc>
          <w:tcPr>
            <w:tcW w:w="2120" w:type="dxa"/>
          </w:tcPr>
          <w:p w:rsidR="002A523D" w:rsidRPr="0072410C" w:rsidRDefault="002A523D" w:rsidP="0060391F">
            <w:pPr>
              <w:pStyle w:val="Tabletext"/>
              <w:jc w:val="center"/>
              <w:rPr>
                <w:lang w:val="es-ES_tradnl"/>
              </w:rPr>
            </w:pPr>
            <w:r w:rsidRPr="0072410C">
              <w:rPr>
                <w:lang w:val="es-ES_tradnl"/>
              </w:rPr>
              <w:t>17,23 dBm/MHz</w:t>
            </w:r>
          </w:p>
        </w:tc>
        <w:tc>
          <w:tcPr>
            <w:tcW w:w="2617" w:type="dxa"/>
          </w:tcPr>
          <w:p w:rsidR="002A523D" w:rsidRPr="0072410C" w:rsidRDefault="002A523D" w:rsidP="0060391F">
            <w:pPr>
              <w:pStyle w:val="Tabletext"/>
              <w:jc w:val="center"/>
              <w:rPr>
                <w:lang w:val="es-ES_tradnl"/>
              </w:rPr>
            </w:pPr>
            <w:r w:rsidRPr="0072410C">
              <w:rPr>
                <w:lang w:val="es-ES_tradnl"/>
              </w:rPr>
              <w:t>−31,31 dBm/MHz</w:t>
            </w:r>
          </w:p>
        </w:tc>
      </w:tr>
    </w:tbl>
    <w:p w:rsidR="002A523D" w:rsidRPr="0072410C" w:rsidRDefault="002A523D" w:rsidP="002A523D">
      <w:pPr>
        <w:pStyle w:val="Tablefin"/>
        <w:rPr>
          <w:lang w:val="es-ES_tradnl"/>
        </w:rPr>
      </w:pPr>
    </w:p>
    <w:p w:rsidR="002A523D" w:rsidRPr="0072410C" w:rsidRDefault="002A523D" w:rsidP="002A523D">
      <w:pPr>
        <w:rPr>
          <w:shd w:val="solid" w:color="00FFFF" w:fill="auto"/>
          <w:lang w:val="es-ES_tradnl"/>
        </w:rPr>
      </w:pPr>
      <w:r w:rsidRPr="0072410C">
        <w:rPr>
          <w:lang w:val="es-ES_tradnl"/>
        </w:rPr>
        <w:t>La supresión de la segunda armónica del equipo de usuario me</w:t>
      </w:r>
      <w:r>
        <w:rPr>
          <w:lang w:val="es-ES_tradnl"/>
        </w:rPr>
        <w:t>dido se estima en 17,23 dBm/MHz − (–31,31 dBm/MHz) = 48,</w:t>
      </w:r>
      <w:r w:rsidRPr="0072410C">
        <w:rPr>
          <w:lang w:val="es-ES_tradnl"/>
        </w:rPr>
        <w:t>54 dB.</w:t>
      </w:r>
    </w:p>
    <w:p w:rsidR="002A523D" w:rsidRPr="0072410C" w:rsidRDefault="002A523D" w:rsidP="002A523D">
      <w:pPr>
        <w:rPr>
          <w:rFonts w:eastAsia="Calibri"/>
          <w:lang w:val="es-ES_tradnl"/>
        </w:rPr>
      </w:pPr>
      <w:r w:rsidRPr="0072410C">
        <w:rPr>
          <w:lang w:val="es-ES_tradnl"/>
        </w:rPr>
        <w:t xml:space="preserve">Observación: </w:t>
      </w:r>
    </w:p>
    <w:p w:rsidR="002A523D" w:rsidRPr="0072410C" w:rsidRDefault="002A523D" w:rsidP="002A523D">
      <w:pPr>
        <w:pStyle w:val="enumlev1"/>
        <w:rPr>
          <w:lang w:val="es-ES_tradnl"/>
        </w:rPr>
      </w:pPr>
      <w:r w:rsidRPr="0072410C">
        <w:rPr>
          <w:lang w:val="es-ES_tradnl"/>
        </w:rPr>
        <w:t>–</w:t>
      </w:r>
      <w:r w:rsidRPr="0072410C">
        <w:rPr>
          <w:lang w:val="es-ES_tradnl"/>
        </w:rPr>
        <w:tab/>
        <w:t>La emisión no deseada del equipo de usuario medido en la segunda frecuencia armónica es aproximadamente de 1,5 dB por debajo del límite.</w:t>
      </w:r>
    </w:p>
    <w:p w:rsidR="002A523D" w:rsidRPr="0072410C" w:rsidRDefault="002A523D" w:rsidP="008058E0">
      <w:pPr>
        <w:pStyle w:val="Heading1"/>
        <w:rPr>
          <w:lang w:val="es-ES_tradnl"/>
        </w:rPr>
      </w:pPr>
      <w:bookmarkStart w:id="125" w:name="_Toc449437431"/>
      <w:bookmarkStart w:id="126" w:name="_Toc475540045"/>
      <w:bookmarkStart w:id="127" w:name="_Toc476049675"/>
      <w:bookmarkStart w:id="128" w:name="_Toc525820182"/>
      <w:bookmarkStart w:id="129" w:name="_Toc525820362"/>
      <w:r>
        <w:rPr>
          <w:lang w:val="es-ES_tradnl"/>
        </w:rPr>
        <w:lastRenderedPageBreak/>
        <w:t>6</w:t>
      </w:r>
      <w:r>
        <w:rPr>
          <w:lang w:val="es-ES_tradnl"/>
        </w:rPr>
        <w:tab/>
      </w:r>
      <w:r w:rsidRPr="008058E0">
        <w:t>Equipo</w:t>
      </w:r>
      <w:r>
        <w:rPr>
          <w:lang w:val="es-ES_tradnl"/>
        </w:rPr>
        <w:t xml:space="preserve"> de usuario LTE</w:t>
      </w:r>
      <w:r w:rsidRPr="0072410C">
        <w:rPr>
          <w:lang w:val="es-ES_tradnl"/>
        </w:rPr>
        <w:t>2300</w:t>
      </w:r>
      <w:bookmarkEnd w:id="125"/>
      <w:bookmarkEnd w:id="126"/>
      <w:bookmarkEnd w:id="127"/>
      <w:bookmarkEnd w:id="128"/>
      <w:bookmarkEnd w:id="129"/>
    </w:p>
    <w:p w:rsidR="002A523D" w:rsidRPr="0072410C" w:rsidRDefault="002A523D" w:rsidP="008058E0">
      <w:pPr>
        <w:rPr>
          <w:lang w:val="es-ES_tradnl"/>
        </w:rPr>
      </w:pPr>
      <w:r w:rsidRPr="0072410C">
        <w:rPr>
          <w:lang w:val="es-ES_tradnl"/>
        </w:rPr>
        <w:t>En algunos países europeos LTE también se utiliza en la gama 2,3 GHz. El sistema es básicamente el mismo que LTE800 con la excepción de que, en general, los canales tienen 20 MHz de anchura. Los parámetros RF relevantes son:</w:t>
      </w:r>
    </w:p>
    <w:p w:rsidR="002A523D" w:rsidRPr="0072410C" w:rsidRDefault="002A523D" w:rsidP="008058E0">
      <w:pPr>
        <w:tabs>
          <w:tab w:val="clear" w:pos="794"/>
          <w:tab w:val="clear" w:pos="1191"/>
          <w:tab w:val="clear" w:pos="1588"/>
          <w:tab w:val="clear" w:pos="1985"/>
          <w:tab w:val="left" w:pos="1134"/>
          <w:tab w:val="left" w:pos="1871"/>
          <w:tab w:val="left" w:pos="2268"/>
          <w:tab w:val="left" w:pos="3402"/>
        </w:tabs>
        <w:jc w:val="left"/>
        <w:rPr>
          <w:lang w:val="es-ES_tradnl"/>
        </w:rPr>
      </w:pPr>
      <w:r w:rsidRPr="0072410C">
        <w:rPr>
          <w:lang w:val="es-ES_tradnl"/>
        </w:rPr>
        <w:t>Gama de frecuencias:</w:t>
      </w:r>
      <w:r w:rsidRPr="0072410C">
        <w:rPr>
          <w:lang w:val="es-ES_tradnl"/>
        </w:rPr>
        <w:tab/>
      </w:r>
      <w:r w:rsidRPr="0072410C">
        <w:rPr>
          <w:lang w:val="es-ES_tradnl"/>
        </w:rPr>
        <w:tab/>
        <w:t>2 300 MHz - 2 400 MHz</w:t>
      </w:r>
    </w:p>
    <w:p w:rsidR="002A523D" w:rsidRPr="0072410C" w:rsidRDefault="002A523D" w:rsidP="008058E0">
      <w:pPr>
        <w:tabs>
          <w:tab w:val="clear" w:pos="794"/>
          <w:tab w:val="clear" w:pos="1191"/>
          <w:tab w:val="clear" w:pos="1588"/>
          <w:tab w:val="clear" w:pos="1985"/>
          <w:tab w:val="left" w:pos="1134"/>
          <w:tab w:val="left" w:pos="1871"/>
          <w:tab w:val="left" w:pos="2268"/>
          <w:tab w:val="left" w:pos="3402"/>
        </w:tabs>
        <w:jc w:val="left"/>
        <w:rPr>
          <w:lang w:val="es-ES_tradnl"/>
        </w:rPr>
      </w:pPr>
      <w:r w:rsidRPr="0072410C">
        <w:rPr>
          <w:lang w:val="es-ES_tradnl"/>
        </w:rPr>
        <w:t>Modulación:</w:t>
      </w:r>
      <w:r w:rsidRPr="0072410C">
        <w:rPr>
          <w:lang w:val="es-ES_tradnl"/>
        </w:rPr>
        <w:tab/>
      </w:r>
      <w:r w:rsidRPr="0072410C">
        <w:rPr>
          <w:lang w:val="es-ES_tradnl"/>
        </w:rPr>
        <w:tab/>
      </w:r>
      <w:r w:rsidRPr="0072410C">
        <w:rPr>
          <w:lang w:val="es-ES_tradnl"/>
        </w:rPr>
        <w:tab/>
        <w:t>SC-FDMA</w:t>
      </w:r>
    </w:p>
    <w:p w:rsidR="002A523D" w:rsidRPr="0072410C" w:rsidRDefault="002A523D" w:rsidP="008058E0">
      <w:pPr>
        <w:tabs>
          <w:tab w:val="clear" w:pos="794"/>
          <w:tab w:val="clear" w:pos="1191"/>
          <w:tab w:val="clear" w:pos="1588"/>
          <w:tab w:val="clear" w:pos="1985"/>
          <w:tab w:val="left" w:pos="1134"/>
          <w:tab w:val="left" w:pos="1871"/>
          <w:tab w:val="left" w:pos="2268"/>
          <w:tab w:val="left" w:pos="3402"/>
        </w:tabs>
        <w:jc w:val="left"/>
        <w:rPr>
          <w:lang w:val="es-ES_tradnl"/>
        </w:rPr>
      </w:pPr>
      <w:r w:rsidRPr="0072410C">
        <w:rPr>
          <w:lang w:val="es-ES_tradnl"/>
        </w:rPr>
        <w:t>Ancho de banda:</w:t>
      </w:r>
      <w:r w:rsidRPr="0072410C">
        <w:rPr>
          <w:lang w:val="es-ES_tradnl"/>
        </w:rPr>
        <w:tab/>
      </w:r>
      <w:r w:rsidRPr="0072410C">
        <w:rPr>
          <w:lang w:val="es-ES_tradnl"/>
        </w:rPr>
        <w:tab/>
      </w:r>
      <w:r w:rsidRPr="0072410C">
        <w:rPr>
          <w:lang w:val="es-ES_tradnl"/>
        </w:rPr>
        <w:tab/>
        <w:t>180 kHz a 20 MHz</w:t>
      </w:r>
    </w:p>
    <w:p w:rsidR="002A523D" w:rsidRPr="0072410C" w:rsidRDefault="008058E0" w:rsidP="008058E0">
      <w:pPr>
        <w:tabs>
          <w:tab w:val="clear" w:pos="794"/>
          <w:tab w:val="clear" w:pos="1191"/>
          <w:tab w:val="clear" w:pos="1588"/>
          <w:tab w:val="clear" w:pos="1985"/>
          <w:tab w:val="left" w:pos="1134"/>
          <w:tab w:val="left" w:pos="1871"/>
          <w:tab w:val="left" w:pos="2268"/>
          <w:tab w:val="left" w:pos="3402"/>
        </w:tabs>
        <w:jc w:val="left"/>
        <w:rPr>
          <w:lang w:val="es-ES_tradnl"/>
        </w:rPr>
      </w:pPr>
      <w:r>
        <w:rPr>
          <w:lang w:val="es-ES_tradnl"/>
        </w:rPr>
        <w:t>Potencia de transmisión:</w:t>
      </w:r>
      <w:r>
        <w:rPr>
          <w:lang w:val="es-ES_tradnl"/>
        </w:rPr>
        <w:tab/>
        <w:t>H</w:t>
      </w:r>
      <w:r w:rsidR="002A523D" w:rsidRPr="0072410C">
        <w:rPr>
          <w:lang w:val="es-ES_tradnl"/>
        </w:rPr>
        <w:t>asta 23 dBm (200 mW) de salida Tx y p.i.r.e.</w:t>
      </w:r>
    </w:p>
    <w:p w:rsidR="002A523D" w:rsidRPr="0072410C" w:rsidRDefault="008058E0" w:rsidP="008058E0">
      <w:pPr>
        <w:tabs>
          <w:tab w:val="clear" w:pos="794"/>
          <w:tab w:val="clear" w:pos="1191"/>
          <w:tab w:val="clear" w:pos="1588"/>
          <w:tab w:val="clear" w:pos="1985"/>
          <w:tab w:val="left" w:pos="1134"/>
          <w:tab w:val="left" w:pos="1871"/>
          <w:tab w:val="left" w:pos="2268"/>
          <w:tab w:val="left" w:pos="3402"/>
        </w:tabs>
        <w:jc w:val="left"/>
        <w:rPr>
          <w:szCs w:val="24"/>
          <w:lang w:val="es-ES_tradnl"/>
        </w:rPr>
      </w:pPr>
      <w:r>
        <w:rPr>
          <w:lang w:val="es-ES_tradnl"/>
        </w:rPr>
        <w:t xml:space="preserve">Filtro de salida Tx: </w:t>
      </w:r>
      <w:r>
        <w:rPr>
          <w:lang w:val="es-ES_tradnl"/>
        </w:rPr>
        <w:tab/>
      </w:r>
      <w:r>
        <w:rPr>
          <w:lang w:val="es-ES_tradnl"/>
        </w:rPr>
        <w:tab/>
        <w:t>N</w:t>
      </w:r>
      <w:r w:rsidR="002A523D" w:rsidRPr="0072410C">
        <w:rPr>
          <w:lang w:val="es-ES_tradnl"/>
        </w:rPr>
        <w:t>inguno</w:t>
      </w:r>
    </w:p>
    <w:p w:rsidR="002A523D" w:rsidRPr="0072410C" w:rsidRDefault="008058E0" w:rsidP="008058E0">
      <w:pPr>
        <w:tabs>
          <w:tab w:val="clear" w:pos="794"/>
          <w:tab w:val="clear" w:pos="1191"/>
          <w:tab w:val="clear" w:pos="1588"/>
          <w:tab w:val="clear" w:pos="1985"/>
          <w:tab w:val="left" w:pos="1134"/>
          <w:tab w:val="left" w:pos="1871"/>
          <w:tab w:val="left" w:pos="2268"/>
          <w:tab w:val="left" w:pos="3402"/>
        </w:tabs>
        <w:ind w:left="3402" w:hanging="3402"/>
        <w:jc w:val="left"/>
        <w:rPr>
          <w:lang w:val="es-ES_tradnl"/>
        </w:rPr>
      </w:pPr>
      <w:r>
        <w:rPr>
          <w:lang w:val="es-ES_tradnl"/>
        </w:rPr>
        <w:t>El dominio OoB finaliza en:</w:t>
      </w:r>
      <w:r>
        <w:rPr>
          <w:lang w:val="es-ES_tradnl"/>
        </w:rPr>
        <w:tab/>
        <w:t>D</w:t>
      </w:r>
      <w:r w:rsidR="002A523D" w:rsidRPr="0072410C">
        <w:rPr>
          <w:lang w:val="es-ES_tradnl"/>
        </w:rPr>
        <w:t>esplazamiento 35 MHz de la frec</w:t>
      </w:r>
      <w:r w:rsidR="002A523D">
        <w:rPr>
          <w:lang w:val="es-ES_tradnl"/>
        </w:rPr>
        <w:t>uencia central (véase el Cuadro </w:t>
      </w:r>
      <w:r w:rsidR="002A523D" w:rsidRPr="0072410C">
        <w:rPr>
          <w:lang w:val="es-ES_tradnl"/>
        </w:rPr>
        <w:t>4.2.4.1.2-1 de la EN 301 908-13 del ETSI)</w:t>
      </w:r>
      <w:r w:rsidR="00CB08E1">
        <w:rPr>
          <w:lang w:val="es-ES_tradnl"/>
        </w:rPr>
        <w:t>.</w:t>
      </w:r>
    </w:p>
    <w:p w:rsidR="002A523D" w:rsidRPr="0072410C" w:rsidRDefault="002A523D" w:rsidP="002A523D">
      <w:pPr>
        <w:rPr>
          <w:lang w:val="es-ES_tradnl"/>
        </w:rPr>
      </w:pPr>
      <w:r w:rsidRPr="0072410C">
        <w:rPr>
          <w:lang w:val="es-ES_tradnl"/>
        </w:rPr>
        <w:t xml:space="preserve">En la </w:t>
      </w:r>
      <w:r w:rsidR="00783742">
        <w:rPr>
          <w:lang w:val="es-ES_tradnl"/>
        </w:rPr>
        <w:t xml:space="preserve">Fig. </w:t>
      </w:r>
      <w:r w:rsidRPr="0072410C">
        <w:rPr>
          <w:lang w:val="es-ES_tradnl"/>
        </w:rPr>
        <w:t>14 se muestran los resultados de las mediciones del laboratorio sobre las emisiones no deseadas de dos equipos de usuario LTE diferentes en un canal de 20 MHz de la banda DDT LTE de 2,3 GHz entre 2 370 y 2 290 MHz. Las mediciones se registraron como potencia RMS en una anchura de banda de resolución de 10 kHz (cada equipo de usuario transmi</w:t>
      </w:r>
      <w:r>
        <w:rPr>
          <w:lang w:val="es-ES_tradnl"/>
        </w:rPr>
        <w:t>tía a una potencia máxima de 23 </w:t>
      </w:r>
      <w:r w:rsidRPr="0072410C">
        <w:rPr>
          <w:lang w:val="es-ES_tradnl"/>
        </w:rPr>
        <w:t>dBm y utilizaba una modulación 16QAM).</w:t>
      </w:r>
    </w:p>
    <w:p w:rsidR="002A523D" w:rsidRPr="0072410C" w:rsidRDefault="002A523D" w:rsidP="002A523D">
      <w:pPr>
        <w:rPr>
          <w:lang w:val="es-ES_tradnl"/>
        </w:rPr>
      </w:pPr>
      <w:r w:rsidRPr="0072410C">
        <w:rPr>
          <w:lang w:val="es-ES_tradnl"/>
        </w:rPr>
        <w:t>Por razones similares a las mencionadas en §, las mediciones se realizan en dos equipos de muestra y puede que el rendimiento del caso más desfavorable se desvíe notablemente de los resultados mostrados debido a la dinámica inherente a los sistemas 3GPP LTE. Además, la configuración LTE utilizada (es decir, el número de bloques de recursos, dónde se sitúan estos en el tiempo/frecuencia, etc.) no siempre se especifica.</w:t>
      </w:r>
    </w:p>
    <w:p w:rsidR="002A523D" w:rsidRPr="0072410C" w:rsidRDefault="002A523D" w:rsidP="002A523D">
      <w:pPr>
        <w:rPr>
          <w:lang w:val="es-ES_tradnl"/>
        </w:rPr>
      </w:pPr>
      <w:r w:rsidRPr="0072410C">
        <w:rPr>
          <w:lang w:val="es-ES_tradnl"/>
        </w:rPr>
        <w:t xml:space="preserve">El gráfico de la </w:t>
      </w:r>
      <w:r w:rsidR="00783742">
        <w:rPr>
          <w:lang w:val="es-ES_tradnl"/>
        </w:rPr>
        <w:t xml:space="preserve">Fig. </w:t>
      </w:r>
      <w:r w:rsidRPr="0072410C">
        <w:rPr>
          <w:lang w:val="es-ES_tradnl"/>
        </w:rPr>
        <w:t>14 se normaliza a la densidad espectral de potencia dentro del canal en un ancho de banda de 10 kHz.</w:t>
      </w:r>
    </w:p>
    <w:p w:rsidR="002A523D" w:rsidRPr="0072410C" w:rsidRDefault="002A523D" w:rsidP="002A523D">
      <w:pPr>
        <w:rPr>
          <w:lang w:val="es-ES_tradnl"/>
        </w:rPr>
      </w:pPr>
      <w:r w:rsidRPr="0072410C">
        <w:rPr>
          <w:lang w:val="es-ES_tradnl"/>
        </w:rPr>
        <w:t xml:space="preserve">En la Recomendación UIT-R SM.1541 no figuran límites de emisión OoB para ese sistema, por lo que en la </w:t>
      </w:r>
      <w:r w:rsidR="00783742">
        <w:rPr>
          <w:lang w:val="es-ES_tradnl"/>
        </w:rPr>
        <w:t xml:space="preserve">Fig. </w:t>
      </w:r>
      <w:r w:rsidRPr="0072410C">
        <w:rPr>
          <w:lang w:val="es-ES_tradnl"/>
        </w:rPr>
        <w:t>14 se muestra la máscara de espectro de la norma pe</w:t>
      </w:r>
      <w:r>
        <w:rPr>
          <w:lang w:val="es-ES_tradnl"/>
        </w:rPr>
        <w:t>rtinente, EN 301 908-13 (Cuadro </w:t>
      </w:r>
      <w:r w:rsidRPr="0072410C">
        <w:rPr>
          <w:lang w:val="es-ES_tradnl"/>
        </w:rPr>
        <w:t>4.2.3.1.2-1) del ETSI, convertida en un ancho de banda de 10 kHz y comparada con la densidad espectral de potencia dentro del canal.</w:t>
      </w:r>
    </w:p>
    <w:p w:rsidR="002A523D" w:rsidRPr="0072410C" w:rsidRDefault="002A523D" w:rsidP="002A523D">
      <w:pPr>
        <w:rPr>
          <w:lang w:val="es-ES_tradnl"/>
        </w:rPr>
      </w:pPr>
      <w:r w:rsidRPr="0072410C">
        <w:rPr>
          <w:lang w:val="es-ES_tradnl"/>
        </w:rPr>
        <w:t>En la norma pertinente del ETSI, EN 301 908-13 (Cuadro 4.2.4</w:t>
      </w:r>
      <w:r>
        <w:rPr>
          <w:lang w:val="es-ES_tradnl"/>
        </w:rPr>
        <w:t>.1.2-2), la Recomendación UIT</w:t>
      </w:r>
      <w:r>
        <w:rPr>
          <w:lang w:val="es-ES_tradnl"/>
        </w:rPr>
        <w:noBreakHyphen/>
        <w:t>R </w:t>
      </w:r>
      <w:r w:rsidRPr="0072410C">
        <w:rPr>
          <w:lang w:val="es-ES_tradnl"/>
        </w:rPr>
        <w:t>SM.329 (Cat. B de sistemas móviles terrestres) y la ERC/REC 74-01 (Cuadro 2.1) figura un límite para emisiones no esenciales de −30 dBm en el ancho de banda de 1 MHz. Como este valor se aplica a la salida del transmisor, el límite normativo debe utilizarse como referencia para una potencia dentro de la banda total de 200 mW = 23 dBm en 20 MHz, lo que corresponde a una densidad espectral dentro de la banda de 23 dBm − 10log</w:t>
      </w:r>
      <w:r w:rsidRPr="0072410C">
        <w:rPr>
          <w:vertAlign w:val="subscript"/>
          <w:lang w:val="es-ES_tradnl"/>
        </w:rPr>
        <w:t>10</w:t>
      </w:r>
      <w:r w:rsidRPr="0072410C">
        <w:rPr>
          <w:lang w:val="es-ES_tradnl"/>
        </w:rPr>
        <w:t>(10 000/1) = 10 dBm en un ancho de banda de 1</w:t>
      </w:r>
      <w:r>
        <w:rPr>
          <w:lang w:val="es-ES_tradnl"/>
        </w:rPr>
        <w:t> </w:t>
      </w:r>
      <w:r w:rsidRPr="0072410C">
        <w:rPr>
          <w:lang w:val="es-ES_tradnl"/>
        </w:rPr>
        <w:t>MHz. La atenuación relativa resultante de emisiones no esenciale</w:t>
      </w:r>
      <w:r>
        <w:rPr>
          <w:lang w:val="es-ES_tradnl"/>
        </w:rPr>
        <w:t>s es por lo tanto de 10 dBm − (</w:t>
      </w:r>
      <w:r w:rsidRPr="00C92E13">
        <w:rPr>
          <w:lang w:val="es-ES_tradnl"/>
        </w:rPr>
        <w:t>–</w:t>
      </w:r>
      <w:r>
        <w:rPr>
          <w:lang w:val="es-ES_tradnl"/>
        </w:rPr>
        <w:t> </w:t>
      </w:r>
      <w:r w:rsidRPr="0072410C">
        <w:rPr>
          <w:lang w:val="es-ES_tradnl"/>
        </w:rPr>
        <w:t>30 dBm) = 40 dB.</w:t>
      </w:r>
    </w:p>
    <w:p w:rsidR="002A523D" w:rsidRPr="0072410C" w:rsidRDefault="002A523D" w:rsidP="002A523D">
      <w:pPr>
        <w:rPr>
          <w:lang w:val="es-ES_tradnl"/>
        </w:rPr>
      </w:pPr>
      <w:r w:rsidRPr="0072410C">
        <w:rPr>
          <w:lang w:val="es-ES_tradnl"/>
        </w:rPr>
        <w:t>Recuérdese que en la EN 301 908-13 del ETSI (Cuadro 4.2.4.1.2-1) se define la frontera OoB para señales LTE de 20 MHz en un desplazamiento de 35 MHz, lo que equivale a un 175% del ancho de banda del canal.</w:t>
      </w:r>
    </w:p>
    <w:p w:rsidR="002A523D" w:rsidRPr="0072410C" w:rsidRDefault="002A523D" w:rsidP="002A523D">
      <w:pPr>
        <w:pStyle w:val="FigureNo"/>
        <w:rPr>
          <w:lang w:val="es-ES_tradnl"/>
        </w:rPr>
      </w:pPr>
      <w:bookmarkStart w:id="130" w:name="_Ref424654130"/>
      <w:r w:rsidRPr="0072410C">
        <w:rPr>
          <w:lang w:val="es-ES_tradnl"/>
        </w:rPr>
        <w:lastRenderedPageBreak/>
        <w:t>Figura 14</w:t>
      </w:r>
      <w:bookmarkEnd w:id="130"/>
    </w:p>
    <w:p w:rsidR="002A523D" w:rsidRDefault="002A523D" w:rsidP="002A523D">
      <w:pPr>
        <w:pStyle w:val="Figuretitle"/>
        <w:rPr>
          <w:lang w:val="es-ES_tradnl"/>
        </w:rPr>
      </w:pPr>
      <w:r w:rsidRPr="0072410C">
        <w:rPr>
          <w:lang w:val="es-ES_tradnl"/>
        </w:rPr>
        <w:t xml:space="preserve">Mediciones de emisiones no deseadas de dos equipos de usuario LTE 2,3 GHz (potencia RMS, </w:t>
      </w:r>
      <w:r w:rsidR="00205AEB">
        <w:rPr>
          <w:lang w:val="es-ES_tradnl"/>
        </w:rPr>
        <w:br/>
      </w:r>
      <w:r w:rsidRPr="0072410C">
        <w:rPr>
          <w:lang w:val="es-ES_tradnl"/>
        </w:rPr>
        <w:t>anchura de banda de resolución = 10 kHz)</w:t>
      </w:r>
      <w:r w:rsidR="003346BC">
        <w:rPr>
          <w:lang w:val="es-ES_tradnl"/>
        </w:rPr>
        <w:t xml:space="preserve"> </w:t>
      </w:r>
    </w:p>
    <w:p w:rsidR="00205AEB" w:rsidRPr="00D24BC5" w:rsidRDefault="00CB08E1" w:rsidP="00205AEB">
      <w:pPr>
        <w:pStyle w:val="Figure"/>
        <w:rPr>
          <w:lang w:val="en-GB" w:eastAsia="zh-CN"/>
        </w:rPr>
      </w:pPr>
      <w:r>
        <w:object w:dxaOrig="6590" w:dyaOrig="4384">
          <v:shape id="_x0000_i1115" type="#_x0000_t75" style="width:433.6pt;height:288.55pt" o:ole="">
            <v:imagedata r:id="rId58" o:title=""/>
          </v:shape>
          <o:OLEObject Type="Embed" ProgID="CorelDraw.Graphic.16" ShapeID="_x0000_i1115" DrawAspect="Content" ObjectID="_1600519733" r:id="rId59"/>
        </w:object>
      </w:r>
    </w:p>
    <w:p w:rsidR="002A523D" w:rsidRPr="0072410C" w:rsidRDefault="002A523D" w:rsidP="002A523D">
      <w:pPr>
        <w:pStyle w:val="Normalaftertitle"/>
        <w:rPr>
          <w:rFonts w:eastAsia="Calibri"/>
          <w:szCs w:val="24"/>
          <w:lang w:val="es-ES_tradnl"/>
        </w:rPr>
      </w:pPr>
      <w:r w:rsidRPr="0072410C">
        <w:rPr>
          <w:lang w:val="es-ES_tradnl"/>
        </w:rPr>
        <w:t xml:space="preserve">Observaciones de la </w:t>
      </w:r>
      <w:r w:rsidR="00783742">
        <w:rPr>
          <w:lang w:val="es-ES_tradnl"/>
        </w:rPr>
        <w:t xml:space="preserve">Fig. </w:t>
      </w:r>
      <w:r w:rsidRPr="0072410C">
        <w:rPr>
          <w:lang w:val="es-ES_tradnl"/>
        </w:rPr>
        <w:t xml:space="preserve">14: </w:t>
      </w:r>
    </w:p>
    <w:p w:rsidR="002A523D" w:rsidRPr="0072410C" w:rsidRDefault="002A523D" w:rsidP="002A523D">
      <w:pPr>
        <w:pStyle w:val="enumlev1"/>
        <w:rPr>
          <w:lang w:val="es-ES_tradnl"/>
        </w:rPr>
      </w:pPr>
      <w:r w:rsidRPr="0072410C">
        <w:rPr>
          <w:lang w:val="es-ES_tradnl"/>
        </w:rPr>
        <w:t>–</w:t>
      </w:r>
      <w:r w:rsidRPr="0072410C">
        <w:rPr>
          <w:lang w:val="es-ES_tradnl"/>
        </w:rPr>
        <w:tab/>
        <w:t>No hay diferencias apreciables entre los perfiles de emisiones medidos de los dos dispositivos. El dispositivo A tiene una disminución lineal con la excepción de un pico dentro del dominio OoB y solo alcanza el límite de emisiones no esenciales inmediatamente después de la frontera. El dispositivo B muestra un rendimiento notablemente mejor, con una disminución más pronunciada en el dominio OoB;</w:t>
      </w:r>
    </w:p>
    <w:p w:rsidR="002A523D" w:rsidRPr="0072410C" w:rsidRDefault="002A523D" w:rsidP="002A523D">
      <w:pPr>
        <w:pStyle w:val="enumlev1"/>
        <w:rPr>
          <w:lang w:val="es-ES_tradnl"/>
        </w:rPr>
      </w:pPr>
      <w:r w:rsidRPr="0072410C">
        <w:rPr>
          <w:lang w:val="es-ES_tradnl"/>
        </w:rPr>
        <w:t>–</w:t>
      </w:r>
      <w:r w:rsidRPr="0072410C">
        <w:rPr>
          <w:lang w:val="es-ES_tradnl"/>
        </w:rPr>
        <w:tab/>
        <w:t xml:space="preserve">Las emisiones no esenciales de desplazamientos de frecuencias superiores superan el límite en hasta 30 dB. Cabe mencionar que, no obstante, las mediciones en el dominio no esencial están limitadas por la gama dinámica del equipo de medición. Las emisiones no deseadas de los dispositivos podrían ser por lo tanto inferiores a las mostradas en la </w:t>
      </w:r>
      <w:r w:rsidR="00783742">
        <w:rPr>
          <w:lang w:val="es-ES_tradnl"/>
        </w:rPr>
        <w:t xml:space="preserve">Fig. </w:t>
      </w:r>
      <w:r w:rsidRPr="0072410C">
        <w:rPr>
          <w:lang w:val="es-ES_tradnl"/>
        </w:rPr>
        <w:t xml:space="preserve">14. </w:t>
      </w:r>
    </w:p>
    <w:p w:rsidR="002A523D" w:rsidRPr="003A78D2" w:rsidRDefault="002A523D" w:rsidP="002A523D">
      <w:pPr>
        <w:pStyle w:val="enumlev1"/>
        <w:rPr>
          <w:sz w:val="16"/>
          <w:szCs w:val="16"/>
          <w:lang w:val="es-ES_tradnl"/>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3"/>
        <w:gridCol w:w="1560"/>
        <w:gridCol w:w="2260"/>
        <w:gridCol w:w="2077"/>
        <w:gridCol w:w="2209"/>
      </w:tblGrid>
      <w:tr w:rsidR="002A523D" w:rsidRPr="0072410C" w:rsidTr="003A78D2">
        <w:trPr>
          <w:jc w:val="center"/>
        </w:trPr>
        <w:tc>
          <w:tcPr>
            <w:tcW w:w="1416" w:type="dxa"/>
            <w:vMerge w:val="restart"/>
            <w:vAlign w:val="center"/>
          </w:tcPr>
          <w:p w:rsidR="002A523D" w:rsidRPr="0072410C" w:rsidRDefault="002A523D" w:rsidP="0060391F">
            <w:pPr>
              <w:pStyle w:val="Tablehead"/>
              <w:keepLines/>
              <w:rPr>
                <w:bCs/>
                <w:lang w:val="es-ES_tradnl"/>
              </w:rPr>
            </w:pPr>
            <w:bookmarkStart w:id="131" w:name="_Toc378607292"/>
            <w:bookmarkStart w:id="132" w:name="_Toc386101339"/>
            <w:bookmarkStart w:id="133" w:name="_Toc395724457"/>
            <w:bookmarkStart w:id="134" w:name="_Toc415058575"/>
            <w:bookmarkStart w:id="135" w:name="_Toc449437432"/>
            <w:r w:rsidRPr="0072410C">
              <w:rPr>
                <w:lang w:val="es-ES_tradnl"/>
              </w:rPr>
              <w:t>Sistema</w:t>
            </w:r>
          </w:p>
        </w:tc>
        <w:tc>
          <w:tcPr>
            <w:tcW w:w="1442" w:type="dxa"/>
            <w:vMerge w:val="restart"/>
            <w:vAlign w:val="center"/>
          </w:tcPr>
          <w:p w:rsidR="002A523D" w:rsidRPr="0072410C" w:rsidRDefault="002A523D" w:rsidP="0060391F">
            <w:pPr>
              <w:pStyle w:val="Tablehead"/>
              <w:keepLines/>
              <w:rPr>
                <w:bCs/>
                <w:lang w:val="es-ES_tradnl"/>
              </w:rPr>
            </w:pPr>
            <w:r w:rsidRPr="0072410C">
              <w:rPr>
                <w:lang w:val="es-ES_tradnl"/>
              </w:rPr>
              <w:t>Figura</w:t>
            </w:r>
          </w:p>
        </w:tc>
        <w:tc>
          <w:tcPr>
            <w:tcW w:w="6051" w:type="dxa"/>
            <w:gridSpan w:val="3"/>
            <w:vAlign w:val="center"/>
          </w:tcPr>
          <w:p w:rsidR="002A523D" w:rsidRPr="0072410C" w:rsidRDefault="002A523D" w:rsidP="0060391F">
            <w:pPr>
              <w:pStyle w:val="Tablehead"/>
              <w:keepLines/>
              <w:rPr>
                <w:bCs/>
                <w:lang w:val="es-ES_tradnl"/>
              </w:rPr>
            </w:pPr>
            <w:r w:rsidRPr="0072410C">
              <w:rPr>
                <w:lang w:val="es-ES_tradnl"/>
              </w:rPr>
              <w:t xml:space="preserve">Comparación con: </w:t>
            </w:r>
          </w:p>
        </w:tc>
      </w:tr>
      <w:tr w:rsidR="002A523D" w:rsidRPr="0072410C" w:rsidTr="003A78D2">
        <w:trPr>
          <w:jc w:val="center"/>
        </w:trPr>
        <w:tc>
          <w:tcPr>
            <w:tcW w:w="1416" w:type="dxa"/>
            <w:vMerge/>
            <w:tcBorders>
              <w:bottom w:val="single" w:sz="4" w:space="0" w:color="auto"/>
            </w:tcBorders>
            <w:vAlign w:val="center"/>
          </w:tcPr>
          <w:p w:rsidR="002A523D" w:rsidRPr="0072410C" w:rsidRDefault="002A523D" w:rsidP="0060391F">
            <w:pPr>
              <w:pStyle w:val="Tablehead"/>
              <w:keepLines/>
              <w:rPr>
                <w:bCs/>
                <w:lang w:val="es-ES_tradnl"/>
              </w:rPr>
            </w:pPr>
          </w:p>
        </w:tc>
        <w:tc>
          <w:tcPr>
            <w:tcW w:w="1442" w:type="dxa"/>
            <w:vMerge/>
            <w:tcBorders>
              <w:bottom w:val="single" w:sz="4" w:space="0" w:color="auto"/>
            </w:tcBorders>
            <w:vAlign w:val="center"/>
          </w:tcPr>
          <w:p w:rsidR="002A523D" w:rsidRPr="0072410C" w:rsidRDefault="002A523D" w:rsidP="0060391F">
            <w:pPr>
              <w:pStyle w:val="Tablehead"/>
              <w:keepLines/>
              <w:rPr>
                <w:bCs/>
                <w:lang w:val="es-ES_tradnl"/>
              </w:rPr>
            </w:pPr>
          </w:p>
        </w:tc>
        <w:tc>
          <w:tcPr>
            <w:tcW w:w="2089" w:type="dxa"/>
            <w:vAlign w:val="center"/>
          </w:tcPr>
          <w:p w:rsidR="002A523D" w:rsidRPr="0072410C" w:rsidRDefault="002A523D" w:rsidP="0060391F">
            <w:pPr>
              <w:pStyle w:val="Tablehead"/>
              <w:keepLines/>
              <w:rPr>
                <w:bCs/>
                <w:lang w:val="es-ES_tradnl"/>
              </w:rPr>
            </w:pPr>
            <w:r w:rsidRPr="0072410C">
              <w:rPr>
                <w:lang w:val="es-ES_tradnl"/>
              </w:rPr>
              <w:t>Rec. UIT-R SM.329</w:t>
            </w:r>
          </w:p>
        </w:tc>
        <w:tc>
          <w:tcPr>
            <w:tcW w:w="1920" w:type="dxa"/>
            <w:vAlign w:val="center"/>
          </w:tcPr>
          <w:p w:rsidR="002A523D" w:rsidRPr="0072410C" w:rsidRDefault="002A523D" w:rsidP="0060391F">
            <w:pPr>
              <w:pStyle w:val="Tablehead"/>
              <w:keepLines/>
              <w:rPr>
                <w:bCs/>
                <w:lang w:val="es-ES_tradnl"/>
              </w:rPr>
            </w:pPr>
            <w:r w:rsidRPr="0072410C">
              <w:rPr>
                <w:lang w:val="es-ES_tradnl"/>
              </w:rPr>
              <w:t>ERC/Rec 74-01</w:t>
            </w:r>
          </w:p>
        </w:tc>
        <w:tc>
          <w:tcPr>
            <w:tcW w:w="2042" w:type="dxa"/>
            <w:vAlign w:val="center"/>
          </w:tcPr>
          <w:p w:rsidR="002A523D" w:rsidRPr="0072410C" w:rsidRDefault="002A523D" w:rsidP="0060391F">
            <w:pPr>
              <w:pStyle w:val="Tablehead"/>
              <w:keepLines/>
              <w:rPr>
                <w:bCs/>
                <w:lang w:val="es-ES_tradnl"/>
              </w:rPr>
            </w:pPr>
            <w:r w:rsidRPr="0072410C">
              <w:rPr>
                <w:lang w:val="es-ES_tradnl"/>
              </w:rPr>
              <w:t>ETSI</w:t>
            </w:r>
          </w:p>
        </w:tc>
      </w:tr>
      <w:tr w:rsidR="002A523D" w:rsidRPr="00EF7B19" w:rsidTr="003A78D2">
        <w:trPr>
          <w:jc w:val="center"/>
        </w:trPr>
        <w:tc>
          <w:tcPr>
            <w:tcW w:w="1416" w:type="dxa"/>
            <w:tcBorders>
              <w:bottom w:val="single" w:sz="4" w:space="0" w:color="auto"/>
            </w:tcBorders>
          </w:tcPr>
          <w:p w:rsidR="002A523D" w:rsidRPr="0072410C" w:rsidRDefault="002A523D" w:rsidP="00783742">
            <w:pPr>
              <w:pStyle w:val="Tabletext"/>
              <w:jc w:val="left"/>
              <w:rPr>
                <w:lang w:val="es-ES_tradnl"/>
              </w:rPr>
            </w:pPr>
            <w:r w:rsidRPr="0072410C">
              <w:rPr>
                <w:lang w:val="es-ES_tradnl"/>
              </w:rPr>
              <w:t>Equipos de usuario LTE2300</w:t>
            </w:r>
          </w:p>
        </w:tc>
        <w:tc>
          <w:tcPr>
            <w:tcW w:w="1442" w:type="dxa"/>
            <w:tcBorders>
              <w:bottom w:val="single" w:sz="4" w:space="0" w:color="auto"/>
            </w:tcBorders>
          </w:tcPr>
          <w:p w:rsidR="002A523D" w:rsidRPr="0072410C" w:rsidRDefault="002A523D" w:rsidP="00783742">
            <w:pPr>
              <w:pStyle w:val="Tabletext"/>
              <w:jc w:val="left"/>
              <w:rPr>
                <w:lang w:val="es-ES_tradnl"/>
              </w:rPr>
            </w:pPr>
            <w:r w:rsidRPr="0072410C">
              <w:rPr>
                <w:lang w:val="es-ES_tradnl"/>
              </w:rPr>
              <w:t>Figura 14</w:t>
            </w:r>
          </w:p>
        </w:tc>
        <w:tc>
          <w:tcPr>
            <w:tcW w:w="6051" w:type="dxa"/>
            <w:gridSpan w:val="3"/>
          </w:tcPr>
          <w:p w:rsidR="002A523D" w:rsidRPr="0072410C" w:rsidRDefault="002A523D" w:rsidP="00783742">
            <w:pPr>
              <w:pStyle w:val="Tabletext"/>
              <w:jc w:val="left"/>
              <w:rPr>
                <w:lang w:val="es-ES_tradnl"/>
              </w:rPr>
            </w:pPr>
            <w:r w:rsidRPr="0072410C">
              <w:rPr>
                <w:lang w:val="es-ES_tradnl"/>
              </w:rPr>
              <w:t xml:space="preserve">Las emisiones no esenciales de desplazamientos de frecuencia superiores superan el límite en hasta 30 dB. Cabe mencionar que, no obstante, las mediciones en el dominio no esencial están limitadas por la gama dinámica del equipo de medición. Las emisiones no deseadas de los dispositivos podrían ser por lo tanto inferiores a las mostradas en la </w:t>
            </w:r>
            <w:r w:rsidR="00783742">
              <w:rPr>
                <w:lang w:val="es-ES_tradnl"/>
              </w:rPr>
              <w:t xml:space="preserve">Fig. </w:t>
            </w:r>
            <w:r w:rsidRPr="0072410C">
              <w:rPr>
                <w:lang w:val="es-ES_tradnl"/>
              </w:rPr>
              <w:t xml:space="preserve">14. </w:t>
            </w:r>
          </w:p>
        </w:tc>
      </w:tr>
    </w:tbl>
    <w:p w:rsidR="002A523D" w:rsidRPr="0072410C" w:rsidRDefault="002A523D" w:rsidP="002A523D">
      <w:pPr>
        <w:pStyle w:val="Heading1"/>
        <w:rPr>
          <w:lang w:val="es-ES_tradnl"/>
        </w:rPr>
      </w:pPr>
      <w:bookmarkStart w:id="136" w:name="_Toc525820183"/>
      <w:bookmarkStart w:id="137" w:name="_Toc525820363"/>
      <w:bookmarkStart w:id="138" w:name="_Toc475540046"/>
      <w:bookmarkStart w:id="139" w:name="_Toc476049676"/>
      <w:bookmarkStart w:id="140" w:name="_Ref424142209"/>
      <w:bookmarkStart w:id="141" w:name="_Toc449437435"/>
      <w:bookmarkStart w:id="142" w:name="_Toc475540049"/>
      <w:bookmarkStart w:id="143" w:name="_Toc476049679"/>
      <w:bookmarkEnd w:id="56"/>
      <w:bookmarkEnd w:id="131"/>
      <w:bookmarkEnd w:id="132"/>
      <w:bookmarkEnd w:id="133"/>
      <w:bookmarkEnd w:id="134"/>
      <w:bookmarkEnd w:id="135"/>
      <w:r w:rsidRPr="0072410C">
        <w:rPr>
          <w:lang w:val="es-ES_tradnl"/>
        </w:rPr>
        <w:lastRenderedPageBreak/>
        <w:t>7</w:t>
      </w:r>
      <w:r w:rsidRPr="0072410C">
        <w:rPr>
          <w:lang w:val="es-ES_tradnl"/>
        </w:rPr>
        <w:tab/>
        <w:t>Estación de base GSM900</w:t>
      </w:r>
      <w:bookmarkEnd w:id="136"/>
      <w:bookmarkEnd w:id="137"/>
      <w:r w:rsidRPr="0072410C">
        <w:rPr>
          <w:lang w:val="es-ES_tradnl"/>
        </w:rPr>
        <w:t xml:space="preserve"> </w:t>
      </w:r>
      <w:bookmarkEnd w:id="138"/>
      <w:bookmarkEnd w:id="139"/>
    </w:p>
    <w:p w:rsidR="002A523D" w:rsidRPr="0072410C" w:rsidRDefault="002A523D" w:rsidP="002A523D">
      <w:pPr>
        <w:keepNext/>
        <w:keepLines/>
        <w:tabs>
          <w:tab w:val="clear" w:pos="794"/>
          <w:tab w:val="clear" w:pos="1191"/>
          <w:tab w:val="clear" w:pos="1588"/>
          <w:tab w:val="clear" w:pos="1985"/>
          <w:tab w:val="left" w:pos="1134"/>
          <w:tab w:val="left" w:pos="1871"/>
          <w:tab w:val="left" w:pos="2268"/>
        </w:tabs>
        <w:jc w:val="left"/>
        <w:rPr>
          <w:szCs w:val="24"/>
          <w:lang w:val="es-ES_tradnl"/>
        </w:rPr>
      </w:pPr>
      <w:r w:rsidRPr="0072410C">
        <w:rPr>
          <w:szCs w:val="24"/>
          <w:lang w:val="es-ES_tradnl"/>
        </w:rPr>
        <w:t>Los parámetros de RF pertinentes de las estaciones de base GSM900 son los siguientes:</w:t>
      </w:r>
    </w:p>
    <w:p w:rsidR="002A523D" w:rsidRPr="005A005F" w:rsidRDefault="002A523D" w:rsidP="002A523D">
      <w:pPr>
        <w:keepNext/>
        <w:keepLines/>
        <w:tabs>
          <w:tab w:val="clear" w:pos="794"/>
          <w:tab w:val="clear" w:pos="1191"/>
          <w:tab w:val="clear" w:pos="1588"/>
          <w:tab w:val="clear" w:pos="1985"/>
          <w:tab w:val="left" w:pos="1134"/>
          <w:tab w:val="left" w:pos="1871"/>
          <w:tab w:val="left" w:pos="2268"/>
        </w:tabs>
        <w:ind w:left="5103" w:hanging="5103"/>
        <w:jc w:val="left"/>
        <w:rPr>
          <w:szCs w:val="24"/>
          <w:lang w:val="es-ES_tradnl"/>
        </w:rPr>
      </w:pPr>
      <w:r w:rsidRPr="0072410C">
        <w:rPr>
          <w:lang w:val="es-ES_tradnl"/>
        </w:rPr>
        <w:t>Gama</w:t>
      </w:r>
      <w:r>
        <w:rPr>
          <w:lang w:val="es-ES_tradnl"/>
        </w:rPr>
        <w:t xml:space="preserve"> de frecuencias</w:t>
      </w:r>
      <w:r>
        <w:rPr>
          <w:lang w:val="es-ES_tradnl"/>
        </w:rPr>
        <w:tab/>
      </w:r>
      <w:r>
        <w:rPr>
          <w:lang w:val="es-ES_tradnl"/>
        </w:rPr>
        <w:tab/>
      </w:r>
      <w:r w:rsidRPr="005A005F">
        <w:rPr>
          <w:szCs w:val="24"/>
          <w:lang w:val="es-ES_tradnl"/>
        </w:rPr>
        <w:t>925 MHz-960 MHz</w:t>
      </w:r>
    </w:p>
    <w:p w:rsidR="002A523D" w:rsidRPr="005A005F" w:rsidRDefault="002A523D" w:rsidP="002A523D">
      <w:pPr>
        <w:tabs>
          <w:tab w:val="clear" w:pos="794"/>
          <w:tab w:val="clear" w:pos="1191"/>
          <w:tab w:val="clear" w:pos="1588"/>
          <w:tab w:val="clear" w:pos="1985"/>
          <w:tab w:val="left" w:pos="1134"/>
          <w:tab w:val="left" w:pos="1871"/>
          <w:tab w:val="left" w:pos="2268"/>
        </w:tabs>
        <w:ind w:left="5103" w:hanging="5103"/>
        <w:jc w:val="left"/>
        <w:rPr>
          <w:szCs w:val="24"/>
          <w:lang w:val="es-ES_tradnl"/>
        </w:rPr>
      </w:pPr>
      <w:r>
        <w:rPr>
          <w:szCs w:val="24"/>
          <w:lang w:val="es-ES_tradnl"/>
        </w:rPr>
        <w:t>Modulación:</w:t>
      </w:r>
      <w:r>
        <w:rPr>
          <w:szCs w:val="24"/>
          <w:lang w:val="es-ES_tradnl"/>
        </w:rPr>
        <w:tab/>
      </w:r>
      <w:r w:rsidRPr="005A005F">
        <w:rPr>
          <w:szCs w:val="24"/>
          <w:lang w:val="es-ES_tradnl"/>
        </w:rPr>
        <w:tab/>
      </w:r>
      <w:r w:rsidRPr="005A005F">
        <w:rPr>
          <w:szCs w:val="24"/>
          <w:lang w:val="es-ES_tradnl"/>
        </w:rPr>
        <w:tab/>
        <w:t>MDMG</w:t>
      </w:r>
    </w:p>
    <w:p w:rsidR="002A523D" w:rsidRPr="0072410C" w:rsidRDefault="002A523D" w:rsidP="002A523D">
      <w:pPr>
        <w:tabs>
          <w:tab w:val="clear" w:pos="794"/>
          <w:tab w:val="clear" w:pos="1191"/>
          <w:tab w:val="clear" w:pos="1588"/>
          <w:tab w:val="clear" w:pos="1985"/>
          <w:tab w:val="left" w:pos="1134"/>
          <w:tab w:val="left" w:pos="1871"/>
          <w:tab w:val="left" w:pos="2268"/>
        </w:tabs>
        <w:ind w:left="5103" w:hanging="5103"/>
        <w:jc w:val="left"/>
        <w:rPr>
          <w:szCs w:val="24"/>
          <w:lang w:val="es-ES_tradnl"/>
        </w:rPr>
      </w:pPr>
      <w:r>
        <w:rPr>
          <w:szCs w:val="24"/>
          <w:lang w:val="es-ES_tradnl"/>
        </w:rPr>
        <w:t>Anchura de banda ocupada:</w:t>
      </w:r>
      <w:r>
        <w:rPr>
          <w:szCs w:val="24"/>
          <w:lang w:val="es-ES_tradnl"/>
        </w:rPr>
        <w:tab/>
      </w:r>
      <w:r w:rsidRPr="0072410C">
        <w:rPr>
          <w:szCs w:val="24"/>
          <w:lang w:val="es-ES_tradnl"/>
        </w:rPr>
        <w:t>250 kHz</w:t>
      </w:r>
    </w:p>
    <w:p w:rsidR="002A523D" w:rsidRPr="0072410C" w:rsidRDefault="002A523D" w:rsidP="002A523D">
      <w:pPr>
        <w:tabs>
          <w:tab w:val="clear" w:pos="794"/>
          <w:tab w:val="clear" w:pos="1191"/>
          <w:tab w:val="clear" w:pos="1588"/>
          <w:tab w:val="clear" w:pos="1985"/>
          <w:tab w:val="left" w:pos="1134"/>
          <w:tab w:val="left" w:pos="1871"/>
          <w:tab w:val="left" w:pos="2268"/>
        </w:tabs>
        <w:ind w:left="5103" w:hanging="5103"/>
        <w:jc w:val="left"/>
        <w:rPr>
          <w:szCs w:val="24"/>
          <w:lang w:val="es-ES_tradnl"/>
        </w:rPr>
      </w:pPr>
      <w:r>
        <w:rPr>
          <w:szCs w:val="24"/>
          <w:lang w:val="es-ES_tradnl"/>
        </w:rPr>
        <w:t xml:space="preserve">Separación de canales: </w:t>
      </w:r>
      <w:r>
        <w:rPr>
          <w:szCs w:val="24"/>
          <w:lang w:val="es-ES_tradnl"/>
        </w:rPr>
        <w:tab/>
      </w:r>
      <w:r>
        <w:rPr>
          <w:szCs w:val="24"/>
          <w:lang w:val="es-ES_tradnl"/>
        </w:rPr>
        <w:tab/>
      </w:r>
      <w:r w:rsidRPr="0072410C">
        <w:rPr>
          <w:szCs w:val="24"/>
          <w:lang w:val="es-ES_tradnl"/>
        </w:rPr>
        <w:t>200 kHz</w:t>
      </w:r>
    </w:p>
    <w:p w:rsidR="002A523D" w:rsidRPr="0072410C" w:rsidRDefault="002A523D" w:rsidP="002A523D">
      <w:pPr>
        <w:tabs>
          <w:tab w:val="clear" w:pos="794"/>
          <w:tab w:val="clear" w:pos="1191"/>
          <w:tab w:val="clear" w:pos="1588"/>
          <w:tab w:val="clear" w:pos="1985"/>
          <w:tab w:val="left" w:pos="1134"/>
          <w:tab w:val="left" w:pos="1871"/>
          <w:tab w:val="left" w:pos="2268"/>
        </w:tabs>
        <w:ind w:left="5103" w:hanging="5103"/>
        <w:jc w:val="left"/>
        <w:rPr>
          <w:szCs w:val="24"/>
          <w:lang w:val="es-ES_tradnl"/>
        </w:rPr>
      </w:pPr>
      <w:r w:rsidRPr="0072410C">
        <w:rPr>
          <w:szCs w:val="24"/>
          <w:lang w:val="es-ES_tradnl"/>
        </w:rPr>
        <w:t>Final del dominio de las emisiones fuera de banda:</w:t>
      </w:r>
      <w:r w:rsidRPr="0072410C">
        <w:rPr>
          <w:szCs w:val="24"/>
          <w:lang w:val="es-ES_tradnl"/>
        </w:rPr>
        <w:tab/>
        <w:t>Desplazamiento de 500 kHz con respecto a la frecuencia central (regla del 250% con arreglo a separación de canal (Nota 1))</w:t>
      </w:r>
      <w:r w:rsidR="001778F6">
        <w:rPr>
          <w:szCs w:val="24"/>
          <w:lang w:val="es-ES_tradnl"/>
        </w:rPr>
        <w:t>.</w:t>
      </w:r>
    </w:p>
    <w:p w:rsidR="002A523D" w:rsidRPr="0072410C" w:rsidRDefault="002A523D" w:rsidP="002A523D">
      <w:pPr>
        <w:tabs>
          <w:tab w:val="clear" w:pos="794"/>
          <w:tab w:val="clear" w:pos="1191"/>
          <w:tab w:val="clear" w:pos="1588"/>
          <w:tab w:val="clear" w:pos="1985"/>
          <w:tab w:val="left" w:pos="1134"/>
          <w:tab w:val="left" w:pos="1871"/>
          <w:tab w:val="left" w:pos="2268"/>
        </w:tabs>
        <w:ind w:left="5103" w:hanging="5103"/>
        <w:jc w:val="left"/>
        <w:rPr>
          <w:lang w:val="es-ES_tradnl"/>
        </w:rPr>
      </w:pPr>
      <w:r>
        <w:rPr>
          <w:lang w:val="es-ES_tradnl"/>
        </w:rPr>
        <w:t>Potencia del transmisor:</w:t>
      </w:r>
      <w:r>
        <w:rPr>
          <w:lang w:val="es-ES_tradnl"/>
        </w:rPr>
        <w:tab/>
      </w:r>
      <w:r w:rsidRPr="0072410C">
        <w:rPr>
          <w:lang w:val="es-ES_tradnl"/>
        </w:rPr>
        <w:t xml:space="preserve">Hasta 46 dBm a </w:t>
      </w:r>
      <w:r>
        <w:rPr>
          <w:lang w:val="es-ES_tradnl"/>
        </w:rPr>
        <w:t>la salida del transmisor (valor </w:t>
      </w:r>
      <w:r w:rsidRPr="0072410C">
        <w:rPr>
          <w:lang w:val="es-ES_tradnl"/>
        </w:rPr>
        <w:t>habitual)</w:t>
      </w:r>
    </w:p>
    <w:p w:rsidR="002A523D" w:rsidRPr="0072410C" w:rsidRDefault="002A523D" w:rsidP="001778F6">
      <w:pPr>
        <w:tabs>
          <w:tab w:val="clear" w:pos="794"/>
          <w:tab w:val="clear" w:pos="1191"/>
          <w:tab w:val="clear" w:pos="1588"/>
          <w:tab w:val="clear" w:pos="1985"/>
          <w:tab w:val="left" w:pos="1134"/>
          <w:tab w:val="left" w:pos="1871"/>
          <w:tab w:val="left" w:pos="2268"/>
        </w:tabs>
        <w:ind w:left="5103" w:hanging="5103"/>
        <w:jc w:val="left"/>
        <w:rPr>
          <w:szCs w:val="24"/>
          <w:lang w:val="es-ES_tradnl"/>
        </w:rPr>
      </w:pPr>
      <w:r w:rsidRPr="0072410C">
        <w:rPr>
          <w:lang w:val="es-ES_tradnl"/>
        </w:rPr>
        <w:t xml:space="preserve">Filtro de salida del transmisor: </w:t>
      </w:r>
      <w:r w:rsidRPr="0072410C">
        <w:rPr>
          <w:lang w:val="es-ES_tradnl"/>
        </w:rPr>
        <w:tab/>
        <w:t>Ninguno.</w:t>
      </w:r>
    </w:p>
    <w:p w:rsidR="002A523D" w:rsidRPr="0072410C" w:rsidRDefault="002A523D" w:rsidP="002A523D">
      <w:pPr>
        <w:pStyle w:val="Note"/>
        <w:rPr>
          <w:lang w:val="es-ES_tradnl"/>
        </w:rPr>
      </w:pPr>
      <w:r w:rsidRPr="0072410C">
        <w:rPr>
          <w:lang w:val="es-ES_tradnl"/>
        </w:rPr>
        <w:t>NOTA 1 – El desplazamiento de 500 kHz al comienzo del dominio de emisiones no esenciales se ha utilizado habitualmente en varios estudios de compatibilidad. En las especificaci</w:t>
      </w:r>
      <w:r>
        <w:rPr>
          <w:lang w:val="es-ES_tradnl"/>
        </w:rPr>
        <w:t>ones GSM que figuran en ETSI EN 302 </w:t>
      </w:r>
      <w:r w:rsidRPr="0072410C">
        <w:rPr>
          <w:lang w:val="es-ES_tradnl"/>
        </w:rPr>
        <w:t>408 V8.0.1, sección 4.3.3.3.1 y EN 301 502 V12.1.1, sección 4.2.5.1.3, y en el cuadro 4.2.5.5.1, las emisiones no esenciales se definen a partir de 1,8 MHz del centro de la portadora de una banda de transmisión, y a partir de un desplazamiento de 2 MHz desde el límite de la banda fuera de la banda de transmisión.</w:t>
      </w:r>
    </w:p>
    <w:p w:rsidR="002A523D" w:rsidRPr="0072410C" w:rsidRDefault="002A523D" w:rsidP="002A523D">
      <w:pPr>
        <w:rPr>
          <w:lang w:val="es-ES_tradnl"/>
        </w:rPr>
      </w:pPr>
      <w:r w:rsidRPr="0072410C">
        <w:rPr>
          <w:lang w:val="es-ES_tradnl"/>
        </w:rPr>
        <w:t>Si bien no se aplican filtros de salida externos, por lo general los transmisores incorporan algún tipo de filtrado interno para limitar las emisiones no esenciales en bandas adyacentes y proteger su propia banda de recepción en el ascendente (880-915 MHz).</w:t>
      </w:r>
    </w:p>
    <w:p w:rsidR="002A523D" w:rsidRPr="0072410C" w:rsidRDefault="002A523D" w:rsidP="002A523D">
      <w:pPr>
        <w:pStyle w:val="Heading2"/>
        <w:rPr>
          <w:rFonts w:eastAsia="Calibri"/>
          <w:lang w:val="es-ES_tradnl"/>
        </w:rPr>
      </w:pPr>
      <w:bookmarkStart w:id="144" w:name="_Toc449437433"/>
      <w:bookmarkStart w:id="145" w:name="_Toc475540047"/>
      <w:bookmarkStart w:id="146" w:name="_Toc476049677"/>
      <w:r w:rsidRPr="0072410C">
        <w:rPr>
          <w:rFonts w:eastAsia="Calibri"/>
          <w:lang w:val="es-ES_tradnl"/>
        </w:rPr>
        <w:t>7.1</w:t>
      </w:r>
      <w:r w:rsidRPr="0072410C">
        <w:rPr>
          <w:rFonts w:eastAsia="Calibri"/>
          <w:lang w:val="es-ES_tradnl"/>
        </w:rPr>
        <w:tab/>
      </w:r>
      <w:bookmarkEnd w:id="144"/>
      <w:bookmarkEnd w:id="145"/>
      <w:bookmarkEnd w:id="146"/>
      <w:r w:rsidRPr="0072410C">
        <w:rPr>
          <w:rFonts w:eastAsia="Calibri"/>
          <w:lang w:val="es-ES_tradnl"/>
        </w:rPr>
        <w:t>Emisión fuera de banda</w:t>
      </w:r>
    </w:p>
    <w:p w:rsidR="002A523D" w:rsidRPr="0072410C" w:rsidRDefault="002A523D" w:rsidP="002A523D">
      <w:pPr>
        <w:rPr>
          <w:lang w:val="es-ES_tradnl"/>
        </w:rPr>
      </w:pPr>
      <w:r w:rsidRPr="0072410C">
        <w:rPr>
          <w:lang w:val="es-ES_tradnl"/>
        </w:rPr>
        <w:t>En la Recomendación UIT-R SM.1541 no figura ningún límite específico de emisiones fuera de banda para las redes GSM. En virtud de la norma ETSI TS 145 005 pertinente no se especifican los requisitos relativos a las emisiones fuera de banda de los de las emisiones no esenciales. Sin embargo, en la norma ETSI TS 145 005, sección 4.2.1 «</w:t>
      </w:r>
      <w:r w:rsidRPr="00E64DA3">
        <w:rPr>
          <w:lang w:val="es-ES_tradnl"/>
        </w:rPr>
        <w:t>Spectrum due to modulation and wide band noise</w:t>
      </w:r>
      <w:r w:rsidRPr="0072410C">
        <w:rPr>
          <w:lang w:val="es-ES_tradnl"/>
        </w:rPr>
        <w:t>», se define una máscara espectral en la sección 4.2.1.3, Cuadro que figura en a2, que puede utilizarse como referencia. Dicha máscara de referencia se presenta en la Fig. 15 como una línea de color rojo.</w:t>
      </w:r>
    </w:p>
    <w:p w:rsidR="002A523D" w:rsidRPr="0072410C" w:rsidRDefault="002A523D" w:rsidP="002A523D">
      <w:pPr>
        <w:rPr>
          <w:lang w:val="es-ES_tradnl"/>
        </w:rPr>
      </w:pPr>
      <w:r w:rsidRPr="0072410C">
        <w:rPr>
          <w:lang w:val="es-ES_tradnl"/>
        </w:rPr>
        <w:t xml:space="preserve">La estación base para la que se realizó la medición se ajustó al canal de operación más bajo posible (#975), que corresponde a una frecuencia central en el enlace descendente de 925,2 MHz. El analizador de espectro se ajustó a una anchura de banda de 30 kHz de resolución, mediante un detector de valor eficaz y una función de traza de mantenimiento de valor máximo. </w:t>
      </w:r>
    </w:p>
    <w:p w:rsidR="002A523D" w:rsidRPr="0072410C" w:rsidRDefault="002A523D" w:rsidP="002A523D">
      <w:pPr>
        <w:pStyle w:val="FigureNo"/>
        <w:rPr>
          <w:lang w:val="es-ES_tradnl"/>
        </w:rPr>
      </w:pPr>
      <w:bookmarkStart w:id="147" w:name="_Ref417053478"/>
      <w:r w:rsidRPr="0072410C">
        <w:rPr>
          <w:lang w:val="es-ES_tradnl"/>
        </w:rPr>
        <w:lastRenderedPageBreak/>
        <w:t>FigurA 15</w:t>
      </w:r>
      <w:bookmarkEnd w:id="147"/>
    </w:p>
    <w:p w:rsidR="002A523D" w:rsidRDefault="002A523D" w:rsidP="002A523D">
      <w:pPr>
        <w:pStyle w:val="Figuretitle"/>
        <w:rPr>
          <w:lang w:val="es-ES_tradnl"/>
        </w:rPr>
      </w:pPr>
      <w:r w:rsidRPr="0072410C">
        <w:rPr>
          <w:lang w:val="es-ES_tradnl"/>
        </w:rPr>
        <w:t xml:space="preserve">Resultado de la medición de las pruebas de la estación de base GSM900 </w:t>
      </w:r>
    </w:p>
    <w:p w:rsidR="00E84BB6" w:rsidRPr="00D24BC5" w:rsidRDefault="0079556C" w:rsidP="00E84BB6">
      <w:pPr>
        <w:pStyle w:val="Figure"/>
        <w:rPr>
          <w:lang w:val="en-GB" w:eastAsia="zh-CN"/>
        </w:rPr>
      </w:pPr>
      <w:r>
        <w:object w:dxaOrig="5974" w:dyaOrig="4664">
          <v:shape id="_x0000_i1119" type="#_x0000_t75" style="width:436.85pt;height:341.2pt" o:ole="">
            <v:imagedata r:id="rId60" o:title=""/>
          </v:shape>
          <o:OLEObject Type="Embed" ProgID="CorelDraw.Graphic.16" ShapeID="_x0000_i1119" DrawAspect="Content" ObjectID="_1600519734" r:id="rId61"/>
        </w:object>
      </w:r>
    </w:p>
    <w:p w:rsidR="002A523D" w:rsidRPr="0072410C" w:rsidRDefault="002A523D" w:rsidP="002A523D">
      <w:pPr>
        <w:pStyle w:val="Normalaftertitle"/>
        <w:rPr>
          <w:lang w:val="es-ES_tradnl"/>
        </w:rPr>
      </w:pPr>
      <w:r w:rsidRPr="0072410C">
        <w:rPr>
          <w:rFonts w:eastAsia="Calibri"/>
          <w:lang w:val="es-ES_tradnl"/>
        </w:rPr>
        <w:t xml:space="preserve">Observaciones relativas a la </w:t>
      </w:r>
      <w:r w:rsidR="00783742">
        <w:rPr>
          <w:rFonts w:eastAsia="Calibri"/>
          <w:lang w:val="es-ES_tradnl"/>
        </w:rPr>
        <w:t xml:space="preserve">Fig. </w:t>
      </w:r>
      <w:r w:rsidRPr="0072410C">
        <w:rPr>
          <w:rFonts w:eastAsia="Calibri"/>
          <w:lang w:val="es-ES_tradnl"/>
        </w:rPr>
        <w:t>15:</w:t>
      </w:r>
      <w:r w:rsidRPr="0072410C">
        <w:rPr>
          <w:lang w:val="es-ES_tradnl"/>
        </w:rPr>
        <w:t xml:space="preserve"> </w:t>
      </w:r>
    </w:p>
    <w:p w:rsidR="002A523D" w:rsidRPr="0072410C" w:rsidRDefault="002A523D" w:rsidP="002A523D">
      <w:pPr>
        <w:pStyle w:val="enumlev1"/>
        <w:rPr>
          <w:lang w:val="es-ES_tradnl"/>
        </w:rPr>
      </w:pPr>
      <w:r w:rsidRPr="0072410C">
        <w:rPr>
          <w:lang w:val="es-ES_tradnl"/>
        </w:rPr>
        <w:t>•</w:t>
      </w:r>
      <w:r w:rsidRPr="0072410C">
        <w:rPr>
          <w:lang w:val="es-ES_tradnl"/>
        </w:rPr>
        <w:tab/>
        <w:t>En toda la gama, el nivel de emisiones no deseadas está por debajo del límite del ETSI y, en particular, con un desplazamiento de 400 kHz, supera el valor de la máscara de emisión en aproximadamente 10 dB.</w:t>
      </w:r>
    </w:p>
    <w:p w:rsidR="002A523D" w:rsidRPr="0072410C" w:rsidRDefault="002A523D" w:rsidP="002A523D">
      <w:pPr>
        <w:tabs>
          <w:tab w:val="clear" w:pos="794"/>
          <w:tab w:val="clear" w:pos="1191"/>
          <w:tab w:val="clear" w:pos="1588"/>
          <w:tab w:val="clear" w:pos="1985"/>
          <w:tab w:val="left" w:pos="1134"/>
          <w:tab w:val="left" w:pos="1871"/>
          <w:tab w:val="left" w:pos="2268"/>
        </w:tabs>
        <w:jc w:val="left"/>
        <w:rPr>
          <w:lang w:val="es-ES_tradnl"/>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6"/>
        <w:gridCol w:w="1847"/>
        <w:gridCol w:w="2835"/>
        <w:gridCol w:w="2981"/>
      </w:tblGrid>
      <w:tr w:rsidR="002A523D" w:rsidRPr="0072410C" w:rsidTr="008E2F48">
        <w:trPr>
          <w:jc w:val="center"/>
        </w:trPr>
        <w:tc>
          <w:tcPr>
            <w:tcW w:w="1976" w:type="dxa"/>
            <w:vMerge w:val="restart"/>
            <w:vAlign w:val="center"/>
          </w:tcPr>
          <w:p w:rsidR="002A523D" w:rsidRPr="0072410C" w:rsidRDefault="002A523D" w:rsidP="0060391F">
            <w:pPr>
              <w:pStyle w:val="Tablehead"/>
              <w:rPr>
                <w:lang w:val="es-ES_tradnl"/>
              </w:rPr>
            </w:pPr>
            <w:bookmarkStart w:id="148" w:name="_Toc449437434"/>
            <w:bookmarkStart w:id="149" w:name="_Toc448512653"/>
            <w:bookmarkEnd w:id="149"/>
            <w:r w:rsidRPr="0072410C">
              <w:rPr>
                <w:lang w:val="es-ES_tradnl"/>
              </w:rPr>
              <w:t>Sistema</w:t>
            </w:r>
          </w:p>
        </w:tc>
        <w:tc>
          <w:tcPr>
            <w:tcW w:w="1847" w:type="dxa"/>
            <w:vMerge w:val="restart"/>
            <w:vAlign w:val="center"/>
          </w:tcPr>
          <w:p w:rsidR="002A523D" w:rsidRPr="0072410C" w:rsidRDefault="002A523D" w:rsidP="0060391F">
            <w:pPr>
              <w:pStyle w:val="Tablehead"/>
              <w:rPr>
                <w:lang w:val="es-ES_tradnl"/>
              </w:rPr>
            </w:pPr>
            <w:r w:rsidRPr="0072410C">
              <w:rPr>
                <w:lang w:val="es-ES_tradnl"/>
              </w:rPr>
              <w:t>Figura</w:t>
            </w:r>
          </w:p>
        </w:tc>
        <w:tc>
          <w:tcPr>
            <w:tcW w:w="5816" w:type="dxa"/>
            <w:gridSpan w:val="2"/>
          </w:tcPr>
          <w:p w:rsidR="002A523D" w:rsidRPr="0072410C" w:rsidRDefault="002A523D" w:rsidP="0060391F">
            <w:pPr>
              <w:pStyle w:val="Tablehead"/>
              <w:rPr>
                <w:lang w:val="es-ES_tradnl"/>
              </w:rPr>
            </w:pPr>
            <w:r w:rsidRPr="0072410C">
              <w:rPr>
                <w:lang w:val="es-ES_tradnl"/>
              </w:rPr>
              <w:t xml:space="preserve">Comparación con: </w:t>
            </w:r>
          </w:p>
        </w:tc>
      </w:tr>
      <w:tr w:rsidR="002A523D" w:rsidRPr="0072410C" w:rsidTr="008E2F48">
        <w:trPr>
          <w:jc w:val="center"/>
        </w:trPr>
        <w:tc>
          <w:tcPr>
            <w:tcW w:w="1976" w:type="dxa"/>
            <w:vMerge/>
          </w:tcPr>
          <w:p w:rsidR="002A523D" w:rsidRPr="0072410C" w:rsidRDefault="002A523D" w:rsidP="0060391F">
            <w:pPr>
              <w:pStyle w:val="Tablehead"/>
              <w:rPr>
                <w:lang w:val="es-ES_tradnl"/>
              </w:rPr>
            </w:pPr>
          </w:p>
        </w:tc>
        <w:tc>
          <w:tcPr>
            <w:tcW w:w="1847" w:type="dxa"/>
            <w:vMerge/>
          </w:tcPr>
          <w:p w:rsidR="002A523D" w:rsidRPr="0072410C" w:rsidRDefault="002A523D" w:rsidP="0060391F">
            <w:pPr>
              <w:pStyle w:val="Tablehead"/>
              <w:rPr>
                <w:lang w:val="es-ES_tradnl"/>
              </w:rPr>
            </w:pPr>
          </w:p>
        </w:tc>
        <w:tc>
          <w:tcPr>
            <w:tcW w:w="2835" w:type="dxa"/>
          </w:tcPr>
          <w:p w:rsidR="002A523D" w:rsidRPr="0072410C" w:rsidRDefault="002A523D" w:rsidP="0060391F">
            <w:pPr>
              <w:pStyle w:val="Tablehead"/>
              <w:rPr>
                <w:lang w:val="es-ES_tradnl"/>
              </w:rPr>
            </w:pPr>
            <w:r w:rsidRPr="0072410C">
              <w:rPr>
                <w:lang w:val="es-ES_tradnl"/>
              </w:rPr>
              <w:t>Rec. UIT-R SM.1541</w:t>
            </w:r>
          </w:p>
        </w:tc>
        <w:tc>
          <w:tcPr>
            <w:tcW w:w="2981" w:type="dxa"/>
          </w:tcPr>
          <w:p w:rsidR="002A523D" w:rsidRPr="0072410C" w:rsidRDefault="002A523D" w:rsidP="0060391F">
            <w:pPr>
              <w:pStyle w:val="Tablehead"/>
              <w:rPr>
                <w:lang w:val="es-ES_tradnl"/>
              </w:rPr>
            </w:pPr>
            <w:r w:rsidRPr="0072410C">
              <w:rPr>
                <w:lang w:val="es-ES_tradnl"/>
              </w:rPr>
              <w:t>ETSI TS 145 005</w:t>
            </w:r>
          </w:p>
        </w:tc>
      </w:tr>
      <w:tr w:rsidR="002A523D" w:rsidRPr="00EF7B19" w:rsidTr="008E2F48">
        <w:trPr>
          <w:jc w:val="center"/>
        </w:trPr>
        <w:tc>
          <w:tcPr>
            <w:tcW w:w="1976" w:type="dxa"/>
          </w:tcPr>
          <w:p w:rsidR="002A523D" w:rsidRPr="0072410C" w:rsidRDefault="002A523D" w:rsidP="0060391F">
            <w:pPr>
              <w:pStyle w:val="Tabletext"/>
              <w:rPr>
                <w:lang w:val="es-ES_tradnl"/>
              </w:rPr>
            </w:pPr>
            <w:r w:rsidRPr="0072410C">
              <w:rPr>
                <w:lang w:val="es-ES_tradnl"/>
              </w:rPr>
              <w:t>GSM900</w:t>
            </w:r>
          </w:p>
        </w:tc>
        <w:tc>
          <w:tcPr>
            <w:tcW w:w="1847" w:type="dxa"/>
          </w:tcPr>
          <w:p w:rsidR="002A523D" w:rsidRPr="0072410C" w:rsidRDefault="002A523D" w:rsidP="0060391F">
            <w:pPr>
              <w:pStyle w:val="Tabletext"/>
              <w:rPr>
                <w:lang w:val="es-ES_tradnl"/>
              </w:rPr>
            </w:pPr>
            <w:r w:rsidRPr="0072410C">
              <w:rPr>
                <w:lang w:val="es-ES_tradnl"/>
              </w:rPr>
              <w:t>Figura 16</w:t>
            </w:r>
          </w:p>
        </w:tc>
        <w:tc>
          <w:tcPr>
            <w:tcW w:w="2835" w:type="dxa"/>
          </w:tcPr>
          <w:p w:rsidR="002A523D" w:rsidRPr="0072410C" w:rsidRDefault="002A523D" w:rsidP="00783742">
            <w:pPr>
              <w:pStyle w:val="Tabletext"/>
              <w:jc w:val="left"/>
              <w:rPr>
                <w:lang w:val="es-ES_tradnl"/>
              </w:rPr>
            </w:pPr>
            <w:r w:rsidRPr="0072410C">
              <w:rPr>
                <w:lang w:val="es-ES_tradnl"/>
              </w:rPr>
              <w:t>En esta Recomendación no figura ninguna información sobre límites de emisiones fuera de banda.</w:t>
            </w:r>
          </w:p>
        </w:tc>
        <w:tc>
          <w:tcPr>
            <w:tcW w:w="2981" w:type="dxa"/>
          </w:tcPr>
          <w:p w:rsidR="002A523D" w:rsidRPr="0072410C" w:rsidRDefault="002A523D" w:rsidP="00783742">
            <w:pPr>
              <w:pStyle w:val="Tabletext"/>
              <w:jc w:val="left"/>
              <w:rPr>
                <w:lang w:val="es-ES_tradnl"/>
              </w:rPr>
            </w:pPr>
            <w:r w:rsidRPr="0072410C">
              <w:rPr>
                <w:lang w:val="es-ES_tradnl"/>
              </w:rPr>
              <w:t>En toda la gama, el nivel de emisiones no deseadas está por debajo del límite del ETSI y, en particula</w:t>
            </w:r>
            <w:r w:rsidR="008E2F48">
              <w:rPr>
                <w:lang w:val="es-ES_tradnl"/>
              </w:rPr>
              <w:t>r, con un desplazamiento de 400 </w:t>
            </w:r>
            <w:r w:rsidRPr="0072410C">
              <w:rPr>
                <w:lang w:val="es-ES_tradnl"/>
              </w:rPr>
              <w:t>kHz, supera el valor de la máscara de emisión en aproximadamente 10 dB.</w:t>
            </w:r>
          </w:p>
        </w:tc>
      </w:tr>
    </w:tbl>
    <w:p w:rsidR="002A523D" w:rsidRPr="0072410C" w:rsidRDefault="002A523D" w:rsidP="002A523D">
      <w:pPr>
        <w:pStyle w:val="Heading2"/>
        <w:rPr>
          <w:rFonts w:eastAsia="Calibri"/>
          <w:lang w:val="es-ES_tradnl"/>
        </w:rPr>
      </w:pPr>
      <w:bookmarkStart w:id="150" w:name="_Toc475540048"/>
      <w:bookmarkStart w:id="151" w:name="_Toc476049678"/>
      <w:r w:rsidRPr="0072410C">
        <w:rPr>
          <w:rFonts w:eastAsia="Calibri"/>
          <w:lang w:val="es-ES_tradnl"/>
        </w:rPr>
        <w:t>7.2</w:t>
      </w:r>
      <w:r w:rsidRPr="0072410C">
        <w:rPr>
          <w:rFonts w:eastAsia="Calibri"/>
          <w:lang w:val="es-ES_tradnl"/>
        </w:rPr>
        <w:tab/>
      </w:r>
      <w:bookmarkEnd w:id="148"/>
      <w:bookmarkEnd w:id="150"/>
      <w:bookmarkEnd w:id="151"/>
      <w:r w:rsidRPr="0072410C">
        <w:rPr>
          <w:rFonts w:eastAsia="Calibri"/>
          <w:lang w:val="es-ES_tradnl"/>
        </w:rPr>
        <w:t>Emisión no esencial</w:t>
      </w:r>
    </w:p>
    <w:p w:rsidR="002A523D" w:rsidRPr="0072410C" w:rsidRDefault="002A523D" w:rsidP="002A523D">
      <w:pPr>
        <w:rPr>
          <w:lang w:val="es-ES_tradnl"/>
        </w:rPr>
      </w:pPr>
      <w:r w:rsidRPr="0072410C">
        <w:rPr>
          <w:lang w:val="es-ES_tradnl"/>
        </w:rPr>
        <w:t xml:space="preserve">Las mediciones se realizaron a la salida del transmisor de una estación base GSM habitual en la frecuencia «C1» (930,6 MHz) correspondiente al canal de radiodifusión (BCCH). Si bien el GSM es un sistema </w:t>
      </w:r>
      <w:r>
        <w:rPr>
          <w:lang w:val="es-ES_tradnl"/>
        </w:rPr>
        <w:t>AMDT</w:t>
      </w:r>
      <w:r w:rsidRPr="0072410C">
        <w:rPr>
          <w:lang w:val="es-ES_tradnl"/>
        </w:rPr>
        <w:t xml:space="preserve"> que normalmente transmite en ráfagas, la transmisión en la frecuencia C1 tiene </w:t>
      </w:r>
      <w:r w:rsidRPr="0072410C">
        <w:rPr>
          <w:lang w:val="es-ES_tradnl"/>
        </w:rPr>
        <w:lastRenderedPageBreak/>
        <w:t xml:space="preserve">lugar ininterrumpidamente con plena potencia. En consecuencia, no fue necesaria ninguna activación externa para medir su nivel eficaz. </w:t>
      </w:r>
    </w:p>
    <w:p w:rsidR="002A523D" w:rsidRPr="0072410C" w:rsidRDefault="002A523D" w:rsidP="002A523D">
      <w:pPr>
        <w:rPr>
          <w:lang w:val="es-ES_tradnl"/>
        </w:rPr>
      </w:pPr>
      <w:r w:rsidRPr="0072410C">
        <w:rPr>
          <w:lang w:val="es-ES_tradnl"/>
        </w:rPr>
        <w:t xml:space="preserve">En ERC/REC 74-01 y la Recomendación UIT-R SM.329 se especifica un límite de emisión no esencial de </w:t>
      </w:r>
      <w:r w:rsidRPr="0072410C">
        <w:rPr>
          <w:szCs w:val="24"/>
          <w:lang w:val="es-ES_tradnl"/>
        </w:rPr>
        <w:t>−</w:t>
      </w:r>
      <w:r w:rsidRPr="0072410C">
        <w:rPr>
          <w:lang w:val="es-ES_tradnl"/>
        </w:rPr>
        <w:t xml:space="preserve">36 dBm en una anchura de banda de 100 kHz para la categoría B, sistemas móviles terrestres y estaciones de base. En ese caso, la potencia de salida del transmisor fue 42 dBm en una anchura de banda de 200 kHz, por lo que ese límite corresponderá a una atenuación relativa de las emisiones no esenciales de 42 dBm </w:t>
      </w:r>
      <w:r w:rsidRPr="0072410C">
        <w:rPr>
          <w:szCs w:val="24"/>
          <w:lang w:val="es-ES_tradnl"/>
        </w:rPr>
        <w:t>−</w:t>
      </w:r>
      <w:r w:rsidRPr="0072410C">
        <w:rPr>
          <w:lang w:val="es-ES_tradnl"/>
        </w:rPr>
        <w:t xml:space="preserve"> (</w:t>
      </w:r>
      <w:r w:rsidRPr="0072410C">
        <w:rPr>
          <w:szCs w:val="24"/>
          <w:lang w:val="es-ES_tradnl"/>
        </w:rPr>
        <w:t>−</w:t>
      </w:r>
      <w:r w:rsidRPr="0072410C">
        <w:rPr>
          <w:lang w:val="es-ES_tradnl"/>
        </w:rPr>
        <w:t xml:space="preserve">36 dBm + 10*log10(200/100)) = 75 dB. El nivel de recepción en el canal de la estación de base para la que se realizó la medición fue +20 dBm en una anchura de banda de medición de 30 kHz, lo que corresponde a +25 dBm en una anchura de banda de referencia de 100 kHz. En consecuencia, el límite de la Recomendación UIT-R SM.329 y ERC/REC 74 01 es +25 dBm </w:t>
      </w:r>
      <w:r w:rsidRPr="0072410C">
        <w:rPr>
          <w:szCs w:val="24"/>
          <w:lang w:val="es-ES_tradnl"/>
        </w:rPr>
        <w:t>−</w:t>
      </w:r>
      <w:r w:rsidRPr="0072410C">
        <w:rPr>
          <w:lang w:val="es-ES_tradnl"/>
        </w:rPr>
        <w:t xml:space="preserve"> 75 dB = </w:t>
      </w:r>
      <w:r w:rsidRPr="0072410C">
        <w:rPr>
          <w:szCs w:val="24"/>
          <w:lang w:val="es-ES_tradnl"/>
        </w:rPr>
        <w:t>−</w:t>
      </w:r>
      <w:r w:rsidRPr="0072410C">
        <w:rPr>
          <w:lang w:val="es-ES_tradnl"/>
        </w:rPr>
        <w:t>50 dBm en el diagrama.</w:t>
      </w:r>
    </w:p>
    <w:p w:rsidR="002A523D" w:rsidRPr="0072410C" w:rsidRDefault="002A523D" w:rsidP="002A523D">
      <w:pPr>
        <w:rPr>
          <w:lang w:val="es-ES_tradnl"/>
        </w:rPr>
      </w:pPr>
      <w:r w:rsidRPr="0072410C">
        <w:rPr>
          <w:lang w:val="es-ES_tradnl"/>
        </w:rPr>
        <w:t>Los límites de ETSI TS 145 005 son bastante complejos en lo concerniente a las emisiones no esenciales, y se especifican independientemente para el interior de la banda GSM asignada y el exterior de la misma. No obstante, los valores que se obtienen son mucho más restrictivos que los valores generales de la Recomendación UIT. El límite superior de la banda del enlace descendente GSM es 960 MHz. Para una frecuencia de transmisión de la estación base medida de 930,6 MHz, el límite se sitúa con respecto a una desviación de 29,4 MHz.</w:t>
      </w:r>
    </w:p>
    <w:p w:rsidR="002A523D" w:rsidRPr="0072410C" w:rsidRDefault="002A523D" w:rsidP="002A523D">
      <w:pPr>
        <w:pStyle w:val="FigureNo"/>
        <w:rPr>
          <w:lang w:val="es-ES_tradnl"/>
        </w:rPr>
      </w:pPr>
      <w:bookmarkStart w:id="152" w:name="_Ref404875347"/>
      <w:r w:rsidRPr="0072410C">
        <w:rPr>
          <w:lang w:val="es-ES_tradnl"/>
        </w:rPr>
        <w:t>FigurA 16</w:t>
      </w:r>
      <w:bookmarkEnd w:id="152"/>
    </w:p>
    <w:p w:rsidR="002A523D" w:rsidRDefault="002A523D" w:rsidP="002A523D">
      <w:pPr>
        <w:pStyle w:val="Figuretitle"/>
        <w:rPr>
          <w:lang w:val="es-ES_tradnl"/>
        </w:rPr>
      </w:pPr>
      <w:r w:rsidRPr="0072410C">
        <w:rPr>
          <w:lang w:val="es-ES_tradnl"/>
        </w:rPr>
        <w:t>Emisiones no esenciales de una estación de base GSM900 (gama de frecuencias superior)</w:t>
      </w:r>
    </w:p>
    <w:p w:rsidR="00BA5680" w:rsidRPr="00D24BC5" w:rsidRDefault="004926F7" w:rsidP="00BA5680">
      <w:pPr>
        <w:pStyle w:val="Figure"/>
        <w:rPr>
          <w:lang w:val="en-GB" w:eastAsia="zh-CN"/>
        </w:rPr>
      </w:pPr>
      <w:r>
        <w:object w:dxaOrig="6364" w:dyaOrig="4145">
          <v:shape id="_x0000_i1095" type="#_x0000_t75" style="width:419.1pt;height:273.5pt" o:ole="">
            <v:imagedata r:id="rId62" o:title=""/>
          </v:shape>
          <o:OLEObject Type="Embed" ProgID="CorelDraw.Graphic.16" ShapeID="_x0000_i1095" DrawAspect="Content" ObjectID="_1600519735" r:id="rId63"/>
        </w:object>
      </w:r>
    </w:p>
    <w:p w:rsidR="002A523D" w:rsidRPr="0072410C" w:rsidRDefault="002A523D" w:rsidP="002A523D">
      <w:pPr>
        <w:pStyle w:val="Normalaftertitle"/>
        <w:rPr>
          <w:lang w:val="es-ES_tradnl"/>
        </w:rPr>
      </w:pPr>
      <w:r w:rsidRPr="0072410C">
        <w:rPr>
          <w:rFonts w:eastAsia="Calibri"/>
          <w:lang w:val="es-ES_tradnl"/>
        </w:rPr>
        <w:t xml:space="preserve">Observaciones relativas a la </w:t>
      </w:r>
      <w:r w:rsidR="00783742">
        <w:rPr>
          <w:rFonts w:eastAsia="Calibri"/>
          <w:lang w:val="es-ES_tradnl"/>
        </w:rPr>
        <w:t xml:space="preserve">Fig. </w:t>
      </w:r>
      <w:r w:rsidRPr="0072410C">
        <w:rPr>
          <w:rFonts w:eastAsia="Calibri"/>
          <w:lang w:val="es-ES_tradnl"/>
        </w:rPr>
        <w:t>16:</w:t>
      </w:r>
      <w:r w:rsidRPr="0072410C">
        <w:rPr>
          <w:lang w:val="es-ES_tradnl"/>
        </w:rPr>
        <w:t xml:space="preserve"> </w:t>
      </w:r>
    </w:p>
    <w:p w:rsidR="002A523D" w:rsidRPr="0072410C" w:rsidRDefault="002A523D" w:rsidP="002A523D">
      <w:pPr>
        <w:pStyle w:val="enumlev1"/>
        <w:rPr>
          <w:lang w:val="es-ES_tradnl"/>
        </w:rPr>
      </w:pPr>
      <w:r w:rsidRPr="0072410C">
        <w:rPr>
          <w:lang w:val="es-ES_tradnl"/>
        </w:rPr>
        <w:t>–</w:t>
      </w:r>
      <w:r w:rsidRPr="0072410C">
        <w:rPr>
          <w:lang w:val="es-ES_tradnl"/>
        </w:rPr>
        <w:tab/>
        <w:t>Las emisiones no esenciales reales que tienen lugar con arreglo a un desplazamiento superior a 40 MHz podrían ser inferior</w:t>
      </w:r>
      <w:r w:rsidR="00783742">
        <w:rPr>
          <w:lang w:val="es-ES_tradnl"/>
        </w:rPr>
        <w:t>es a las que se muestran en la f</w:t>
      </w:r>
      <w:r w:rsidRPr="0072410C">
        <w:rPr>
          <w:lang w:val="es-ES_tradnl"/>
        </w:rPr>
        <w:t xml:space="preserve">igura debido a la limitación de sensibilidad del receptor de la medición. </w:t>
      </w:r>
    </w:p>
    <w:p w:rsidR="002A523D" w:rsidRPr="0072410C" w:rsidRDefault="002A523D" w:rsidP="002A523D">
      <w:pPr>
        <w:pStyle w:val="enumlev1"/>
        <w:rPr>
          <w:lang w:val="es-ES_tradnl"/>
        </w:rPr>
      </w:pPr>
      <w:r w:rsidRPr="0072410C">
        <w:rPr>
          <w:lang w:val="es-ES_tradnl"/>
        </w:rPr>
        <w:t>–</w:t>
      </w:r>
      <w:r w:rsidRPr="0072410C">
        <w:rPr>
          <w:lang w:val="es-ES_tradnl"/>
        </w:rPr>
        <w:tab/>
        <w:t xml:space="preserve">Fuera de la banda GSM asignada, el límite de las emisiones no deseadas para la Categoría B, sistemas móviles terrestres y estaciones base relativas a la Recomendación UIT-R SM.329 y ERC/REC 74-01 se rebasa, por lo menos, en 30 dB. </w:t>
      </w:r>
    </w:p>
    <w:p w:rsidR="002A523D" w:rsidRPr="0072410C" w:rsidRDefault="002A523D" w:rsidP="002A523D">
      <w:pPr>
        <w:pStyle w:val="enumlev1"/>
        <w:rPr>
          <w:lang w:val="es-ES_tradnl"/>
        </w:rPr>
      </w:pPr>
      <w:r w:rsidRPr="0072410C">
        <w:rPr>
          <w:lang w:val="es-ES_tradnl"/>
        </w:rPr>
        <w:lastRenderedPageBreak/>
        <w:t xml:space="preserve">– </w:t>
      </w:r>
      <w:r w:rsidRPr="0072410C">
        <w:rPr>
          <w:lang w:val="es-ES_tradnl"/>
        </w:rPr>
        <w:tab/>
        <w:t>En particular, fuera de la banda GSM asignada, el nivel de las emisiones no deseadas es más de 25 dB inferior al límite de ETSI que figura en [16] debido al filtrado interno para proteger los servicios adyacentes.</w:t>
      </w:r>
    </w:p>
    <w:p w:rsidR="002A523D" w:rsidRPr="0072410C" w:rsidRDefault="002A523D" w:rsidP="002A523D">
      <w:pPr>
        <w:tabs>
          <w:tab w:val="clear" w:pos="794"/>
          <w:tab w:val="clear" w:pos="1191"/>
          <w:tab w:val="clear" w:pos="1588"/>
          <w:tab w:val="clear" w:pos="1985"/>
          <w:tab w:val="left" w:pos="1134"/>
          <w:tab w:val="left" w:pos="1871"/>
          <w:tab w:val="left" w:pos="2608"/>
          <w:tab w:val="left" w:pos="3345"/>
        </w:tabs>
        <w:spacing w:before="80" w:after="120"/>
        <w:ind w:left="1134" w:hanging="1134"/>
        <w:jc w:val="left"/>
        <w:rPr>
          <w:lang w:val="es-ES_tradnl"/>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0"/>
        <w:gridCol w:w="1159"/>
        <w:gridCol w:w="2653"/>
        <w:gridCol w:w="1883"/>
        <w:gridCol w:w="2414"/>
      </w:tblGrid>
      <w:tr w:rsidR="002A523D" w:rsidRPr="0072410C" w:rsidTr="001141D1">
        <w:trPr>
          <w:jc w:val="center"/>
        </w:trPr>
        <w:tc>
          <w:tcPr>
            <w:tcW w:w="1530" w:type="dxa"/>
            <w:vMerge w:val="restart"/>
            <w:vAlign w:val="center"/>
          </w:tcPr>
          <w:p w:rsidR="002A523D" w:rsidRPr="0072410C" w:rsidRDefault="002A523D" w:rsidP="0060391F">
            <w:pPr>
              <w:pStyle w:val="Tablehead"/>
              <w:rPr>
                <w:lang w:val="es-ES_tradnl"/>
              </w:rPr>
            </w:pPr>
            <w:r w:rsidRPr="0072410C">
              <w:rPr>
                <w:lang w:val="es-ES_tradnl"/>
              </w:rPr>
              <w:t>Sistema</w:t>
            </w:r>
          </w:p>
        </w:tc>
        <w:tc>
          <w:tcPr>
            <w:tcW w:w="1159" w:type="dxa"/>
            <w:vMerge w:val="restart"/>
            <w:vAlign w:val="center"/>
          </w:tcPr>
          <w:p w:rsidR="002A523D" w:rsidRPr="0072410C" w:rsidRDefault="002A523D" w:rsidP="0060391F">
            <w:pPr>
              <w:pStyle w:val="Tablehead"/>
              <w:rPr>
                <w:lang w:val="es-ES_tradnl"/>
              </w:rPr>
            </w:pPr>
            <w:r w:rsidRPr="0072410C">
              <w:rPr>
                <w:lang w:val="es-ES_tradnl"/>
              </w:rPr>
              <w:t>Figura</w:t>
            </w:r>
          </w:p>
        </w:tc>
        <w:tc>
          <w:tcPr>
            <w:tcW w:w="6950" w:type="dxa"/>
            <w:gridSpan w:val="3"/>
            <w:vAlign w:val="center"/>
          </w:tcPr>
          <w:p w:rsidR="002A523D" w:rsidRPr="0072410C" w:rsidRDefault="002A523D" w:rsidP="0060391F">
            <w:pPr>
              <w:pStyle w:val="Tablehead"/>
              <w:rPr>
                <w:lang w:val="es-ES_tradnl"/>
              </w:rPr>
            </w:pPr>
            <w:r w:rsidRPr="0072410C">
              <w:rPr>
                <w:lang w:val="es-ES_tradnl"/>
              </w:rPr>
              <w:t>Comparación con:</w:t>
            </w:r>
          </w:p>
        </w:tc>
      </w:tr>
      <w:tr w:rsidR="002A523D" w:rsidRPr="00E05074" w:rsidTr="00783742">
        <w:trPr>
          <w:jc w:val="center"/>
        </w:trPr>
        <w:tc>
          <w:tcPr>
            <w:tcW w:w="1530" w:type="dxa"/>
            <w:vMerge/>
          </w:tcPr>
          <w:p w:rsidR="002A523D" w:rsidRPr="0072410C" w:rsidRDefault="002A523D" w:rsidP="0060391F">
            <w:pPr>
              <w:pStyle w:val="Tablehead"/>
              <w:rPr>
                <w:lang w:val="es-ES_tradnl"/>
              </w:rPr>
            </w:pPr>
          </w:p>
        </w:tc>
        <w:tc>
          <w:tcPr>
            <w:tcW w:w="1159" w:type="dxa"/>
            <w:vMerge/>
          </w:tcPr>
          <w:p w:rsidR="002A523D" w:rsidRPr="0072410C" w:rsidRDefault="002A523D" w:rsidP="0060391F">
            <w:pPr>
              <w:pStyle w:val="Tablehead"/>
              <w:rPr>
                <w:lang w:val="es-ES_tradnl"/>
              </w:rPr>
            </w:pPr>
          </w:p>
        </w:tc>
        <w:tc>
          <w:tcPr>
            <w:tcW w:w="2653" w:type="dxa"/>
          </w:tcPr>
          <w:p w:rsidR="002A523D" w:rsidRPr="0072410C" w:rsidRDefault="002A523D" w:rsidP="0060391F">
            <w:pPr>
              <w:pStyle w:val="Tablehead"/>
              <w:rPr>
                <w:lang w:val="es-ES_tradnl"/>
              </w:rPr>
            </w:pPr>
            <w:r w:rsidRPr="0072410C">
              <w:rPr>
                <w:lang w:val="es-ES_tradnl"/>
              </w:rPr>
              <w:t>Rec. UIT-R SM.329</w:t>
            </w:r>
          </w:p>
        </w:tc>
        <w:tc>
          <w:tcPr>
            <w:tcW w:w="1883" w:type="dxa"/>
          </w:tcPr>
          <w:p w:rsidR="002A523D" w:rsidRPr="0072410C" w:rsidRDefault="002A523D" w:rsidP="00604C17">
            <w:pPr>
              <w:pStyle w:val="Tablehead"/>
              <w:rPr>
                <w:lang w:val="es-ES_tradnl"/>
              </w:rPr>
            </w:pPr>
            <w:r w:rsidRPr="0072410C">
              <w:rPr>
                <w:lang w:val="es-ES_tradnl"/>
              </w:rPr>
              <w:t>ERC/Rec 74-01</w:t>
            </w:r>
          </w:p>
        </w:tc>
        <w:tc>
          <w:tcPr>
            <w:tcW w:w="2414" w:type="dxa"/>
          </w:tcPr>
          <w:p w:rsidR="002A523D" w:rsidRPr="0072410C" w:rsidRDefault="002A523D" w:rsidP="0060391F">
            <w:pPr>
              <w:pStyle w:val="Tablehead"/>
              <w:rPr>
                <w:lang w:val="es-ES_tradnl"/>
              </w:rPr>
            </w:pPr>
            <w:r w:rsidRPr="0072410C">
              <w:rPr>
                <w:lang w:val="es-ES_tradnl"/>
              </w:rPr>
              <w:t>ETSI</w:t>
            </w:r>
          </w:p>
        </w:tc>
      </w:tr>
      <w:tr w:rsidR="002A523D" w:rsidRPr="00EF7B19" w:rsidTr="00783742">
        <w:trPr>
          <w:jc w:val="center"/>
        </w:trPr>
        <w:tc>
          <w:tcPr>
            <w:tcW w:w="1530" w:type="dxa"/>
          </w:tcPr>
          <w:p w:rsidR="002A523D" w:rsidRPr="0072410C" w:rsidRDefault="002A523D" w:rsidP="00783742">
            <w:pPr>
              <w:pStyle w:val="Tabletext"/>
              <w:jc w:val="left"/>
              <w:rPr>
                <w:lang w:val="es-ES_tradnl"/>
              </w:rPr>
            </w:pPr>
            <w:r w:rsidRPr="0072410C">
              <w:rPr>
                <w:lang w:val="es-ES_tradnl"/>
              </w:rPr>
              <w:t xml:space="preserve">Estación de base GSM900 </w:t>
            </w:r>
          </w:p>
        </w:tc>
        <w:tc>
          <w:tcPr>
            <w:tcW w:w="1159" w:type="dxa"/>
          </w:tcPr>
          <w:p w:rsidR="002A523D" w:rsidRPr="0072410C" w:rsidRDefault="002A523D" w:rsidP="00783742">
            <w:pPr>
              <w:pStyle w:val="Tabletext"/>
              <w:jc w:val="left"/>
              <w:rPr>
                <w:lang w:val="es-ES_tradnl"/>
              </w:rPr>
            </w:pPr>
            <w:r w:rsidRPr="0072410C">
              <w:rPr>
                <w:lang w:val="es-ES_tradnl"/>
              </w:rPr>
              <w:t>Figura 16</w:t>
            </w:r>
          </w:p>
        </w:tc>
        <w:tc>
          <w:tcPr>
            <w:tcW w:w="4536" w:type="dxa"/>
            <w:gridSpan w:val="2"/>
          </w:tcPr>
          <w:p w:rsidR="002A523D" w:rsidRPr="0072410C" w:rsidRDefault="002A523D" w:rsidP="00783742">
            <w:pPr>
              <w:pStyle w:val="Tabletext"/>
              <w:jc w:val="left"/>
              <w:rPr>
                <w:highlight w:val="lightGray"/>
                <w:lang w:val="es-ES_tradnl"/>
              </w:rPr>
            </w:pPr>
            <w:r w:rsidRPr="0072410C">
              <w:rPr>
                <w:lang w:val="es-ES_tradnl"/>
              </w:rPr>
              <w:t>Fuera de la banda GSM asignada, el límite de las emisiones no esenciales para la Categoría B, sistemas móviles terrestres, estaciones de base relativas a la Recomendación UIT-R SM.329 y ERC/REC 74-01 se rebasa, por lo menos, en 30</w:t>
            </w:r>
            <w:r w:rsidR="00783742">
              <w:rPr>
                <w:lang w:val="es-ES_tradnl"/>
              </w:rPr>
              <w:t> </w:t>
            </w:r>
            <w:r w:rsidRPr="0072410C">
              <w:rPr>
                <w:lang w:val="es-ES_tradnl"/>
              </w:rPr>
              <w:t>dB.</w:t>
            </w:r>
          </w:p>
        </w:tc>
        <w:tc>
          <w:tcPr>
            <w:tcW w:w="2414" w:type="dxa"/>
          </w:tcPr>
          <w:p w:rsidR="002A523D" w:rsidRPr="0072410C" w:rsidRDefault="002A523D" w:rsidP="00783742">
            <w:pPr>
              <w:pStyle w:val="Tabletext"/>
              <w:jc w:val="left"/>
              <w:rPr>
                <w:rFonts w:ascii="Calibri" w:hAnsi="Calibri" w:cs="Calibri"/>
                <w:b/>
                <w:color w:val="800000"/>
                <w:highlight w:val="lightGray"/>
                <w:lang w:val="es-ES_tradnl"/>
              </w:rPr>
            </w:pPr>
            <w:r w:rsidRPr="0072410C">
              <w:rPr>
                <w:lang w:val="es-ES_tradnl"/>
              </w:rPr>
              <w:t>En particular, fuera de la banda GSM asignada, el nivel de las emisiones no deseadas es más de 25</w:t>
            </w:r>
            <w:r w:rsidR="00783742">
              <w:rPr>
                <w:lang w:val="es-ES_tradnl"/>
              </w:rPr>
              <w:t> </w:t>
            </w:r>
            <w:r w:rsidRPr="0072410C">
              <w:rPr>
                <w:lang w:val="es-ES_tradnl"/>
              </w:rPr>
              <w:t>dB inferior al límite de ETSI TS 145</w:t>
            </w:r>
            <w:r w:rsidR="00783742">
              <w:rPr>
                <w:lang w:val="es-ES_tradnl"/>
              </w:rPr>
              <w:t> </w:t>
            </w:r>
            <w:r w:rsidRPr="0072410C">
              <w:rPr>
                <w:lang w:val="es-ES_tradnl"/>
              </w:rPr>
              <w:t>005 debido al filtrado interno para proteger los servicios adyacentes.</w:t>
            </w:r>
            <w:r w:rsidRPr="0072410C">
              <w:rPr>
                <w:rFonts w:ascii="Calibri" w:hAnsi="Calibri" w:cs="Calibri"/>
                <w:b/>
                <w:color w:val="800000"/>
                <w:highlight w:val="lightGray"/>
                <w:lang w:val="es-ES_tradnl"/>
              </w:rPr>
              <w:t xml:space="preserve"> </w:t>
            </w:r>
          </w:p>
        </w:tc>
      </w:tr>
    </w:tbl>
    <w:p w:rsidR="002A523D" w:rsidRPr="0072410C" w:rsidRDefault="002A523D" w:rsidP="002A523D">
      <w:pPr>
        <w:pStyle w:val="Tablefin"/>
        <w:rPr>
          <w:lang w:val="es-ES_tradnl"/>
        </w:rPr>
      </w:pPr>
    </w:p>
    <w:p w:rsidR="002A523D" w:rsidRPr="0072410C" w:rsidRDefault="002A523D" w:rsidP="002A523D">
      <w:pPr>
        <w:rPr>
          <w:lang w:val="es-ES_tradnl"/>
        </w:rPr>
      </w:pPr>
      <w:r w:rsidRPr="0072410C">
        <w:rPr>
          <w:lang w:val="es-ES_tradnl"/>
        </w:rPr>
        <w:t>El segundo armónico no figuraba por encima del umbral de ruido del receptor de medición, de lo que cabe deducir que era inferior a –100 dBm (umbral del equipo receptor en 100 kHz), lo que corresponde a un valor inferior a –90 dBm (nivel de transmisión p</w:t>
      </w:r>
      <w:r>
        <w:rPr>
          <w:lang w:val="es-ES_tradnl"/>
        </w:rPr>
        <w:t>ara una anchura de banda de 100 </w:t>
      </w:r>
      <w:r w:rsidRPr="0072410C">
        <w:rPr>
          <w:lang w:val="es-ES_tradnl"/>
        </w:rPr>
        <w:t>kHz). Las emisiones se midieron, sin registrarse, por encima del segundo armónico, puesto que ya no se producían emisiones por encima del umbral de ruido a partir de una separación de 110 MHz.</w:t>
      </w:r>
    </w:p>
    <w:p w:rsidR="002A523D" w:rsidRPr="0072410C" w:rsidRDefault="002A523D" w:rsidP="002A523D">
      <w:pPr>
        <w:pStyle w:val="Heading1"/>
        <w:rPr>
          <w:lang w:val="es-ES_tradnl"/>
        </w:rPr>
      </w:pPr>
      <w:bookmarkStart w:id="153" w:name="_Toc525820184"/>
      <w:bookmarkStart w:id="154" w:name="_Toc525820364"/>
      <w:r w:rsidRPr="0072410C">
        <w:rPr>
          <w:lang w:val="es-ES_tradnl"/>
        </w:rPr>
        <w:t>8</w:t>
      </w:r>
      <w:r w:rsidRPr="0072410C">
        <w:rPr>
          <w:lang w:val="es-ES_tradnl"/>
        </w:rPr>
        <w:tab/>
        <w:t>DECT</w:t>
      </w:r>
      <w:bookmarkEnd w:id="140"/>
      <w:bookmarkEnd w:id="141"/>
      <w:bookmarkEnd w:id="142"/>
      <w:bookmarkEnd w:id="143"/>
      <w:bookmarkEnd w:id="153"/>
      <w:bookmarkEnd w:id="154"/>
      <w:r w:rsidRPr="0072410C">
        <w:rPr>
          <w:lang w:val="es-ES_tradnl"/>
        </w:rPr>
        <w:t xml:space="preserve"> </w:t>
      </w:r>
    </w:p>
    <w:p w:rsidR="002A523D" w:rsidRPr="0072410C" w:rsidRDefault="002A523D" w:rsidP="002A523D">
      <w:pPr>
        <w:rPr>
          <w:lang w:val="es-ES_tradnl"/>
        </w:rPr>
      </w:pPr>
      <w:r w:rsidRPr="0072410C">
        <w:rPr>
          <w:lang w:val="es-ES_tradnl"/>
        </w:rPr>
        <w:t xml:space="preserve">La norma sobre Telecomunicaciones Digitales Inalámbricas Mejoradas (DECT) se utiliza habitualmente en muchos sistemas de comunicaciones personales. Se trata de un sistema </w:t>
      </w:r>
      <w:r>
        <w:rPr>
          <w:lang w:val="es-ES_tradnl"/>
        </w:rPr>
        <w:t>AMDT</w:t>
      </w:r>
      <w:r w:rsidRPr="0072410C">
        <w:rPr>
          <w:lang w:val="es-ES_tradnl"/>
        </w:rPr>
        <w:t>, por lo que la transmisión de los elementos fijos y los portátiles se realiza en ráfagas. Los parámetros de los sistemas medidos son los siguientes:</w:t>
      </w:r>
    </w:p>
    <w:p w:rsidR="002A523D" w:rsidRPr="0072410C" w:rsidRDefault="002A523D" w:rsidP="002A523D">
      <w:pPr>
        <w:rPr>
          <w:lang w:val="es-ES_tradnl"/>
        </w:rPr>
      </w:pPr>
      <w:r w:rsidRPr="0072410C">
        <w:rPr>
          <w:lang w:val="es-ES_tradnl"/>
        </w:rPr>
        <w:t xml:space="preserve">Frecuencia de transmisión: </w:t>
      </w:r>
      <w:r w:rsidRPr="0072410C">
        <w:rPr>
          <w:lang w:val="es-ES_tradnl"/>
        </w:rPr>
        <w:tab/>
      </w:r>
      <w:r w:rsidRPr="0072410C">
        <w:rPr>
          <w:lang w:val="es-ES_tradnl"/>
        </w:rPr>
        <w:tab/>
        <w:t>1 897,344 MHz</w:t>
      </w:r>
    </w:p>
    <w:p w:rsidR="002A523D" w:rsidRPr="0072410C" w:rsidRDefault="002A523D" w:rsidP="002A523D">
      <w:pPr>
        <w:rPr>
          <w:lang w:val="es-ES_tradnl"/>
        </w:rPr>
      </w:pPr>
      <w:r w:rsidRPr="0072410C">
        <w:rPr>
          <w:lang w:val="es-ES_tradnl"/>
        </w:rPr>
        <w:t xml:space="preserve">Modulación: </w:t>
      </w:r>
      <w:r w:rsidRPr="0072410C">
        <w:rPr>
          <w:lang w:val="es-ES_tradnl"/>
        </w:rPr>
        <w:tab/>
      </w:r>
      <w:r w:rsidRPr="0072410C">
        <w:rPr>
          <w:lang w:val="es-ES_tradnl"/>
        </w:rPr>
        <w:tab/>
      </w:r>
      <w:r w:rsidRPr="0072410C">
        <w:rPr>
          <w:lang w:val="es-ES_tradnl"/>
        </w:rPr>
        <w:tab/>
      </w:r>
      <w:r w:rsidRPr="0072410C">
        <w:rPr>
          <w:lang w:val="es-ES_tradnl"/>
        </w:rPr>
        <w:tab/>
      </w:r>
      <w:r w:rsidRPr="0072410C">
        <w:rPr>
          <w:lang w:val="es-ES_tradnl"/>
        </w:rPr>
        <w:tab/>
        <w:t>MDF-2</w:t>
      </w:r>
    </w:p>
    <w:p w:rsidR="002A523D" w:rsidRPr="0072410C" w:rsidRDefault="002A523D" w:rsidP="002A523D">
      <w:pPr>
        <w:rPr>
          <w:lang w:val="es-ES_tradnl"/>
        </w:rPr>
      </w:pPr>
      <w:r w:rsidRPr="0072410C">
        <w:rPr>
          <w:lang w:val="es-ES_tradnl"/>
        </w:rPr>
        <w:t xml:space="preserve">Potencia radiada: </w:t>
      </w:r>
      <w:r w:rsidRPr="0072410C">
        <w:rPr>
          <w:lang w:val="es-ES_tradnl"/>
        </w:rPr>
        <w:tab/>
      </w:r>
      <w:r w:rsidRPr="0072410C">
        <w:rPr>
          <w:lang w:val="es-ES_tradnl"/>
        </w:rPr>
        <w:tab/>
      </w:r>
      <w:r w:rsidRPr="0072410C">
        <w:rPr>
          <w:lang w:val="es-ES_tradnl"/>
        </w:rPr>
        <w:tab/>
      </w:r>
      <w:r w:rsidRPr="0072410C">
        <w:rPr>
          <w:lang w:val="es-ES_tradnl"/>
        </w:rPr>
        <w:tab/>
        <w:t>250 mW = 24 dBm (ráfaga en promedio)</w:t>
      </w:r>
    </w:p>
    <w:p w:rsidR="002A523D" w:rsidRPr="0072410C" w:rsidRDefault="002A523D" w:rsidP="002A523D">
      <w:pPr>
        <w:rPr>
          <w:lang w:val="es-ES_tradnl"/>
        </w:rPr>
      </w:pPr>
      <w:r w:rsidRPr="0072410C">
        <w:rPr>
          <w:lang w:val="es-ES_tradnl"/>
        </w:rPr>
        <w:t xml:space="preserve">Anchura de banda ocupada: </w:t>
      </w:r>
      <w:r w:rsidRPr="0072410C">
        <w:rPr>
          <w:lang w:val="es-ES_tradnl"/>
        </w:rPr>
        <w:tab/>
      </w:r>
      <w:r w:rsidRPr="0072410C">
        <w:rPr>
          <w:lang w:val="es-ES_tradnl"/>
        </w:rPr>
        <w:tab/>
        <w:t>1,15 MHz</w:t>
      </w:r>
    </w:p>
    <w:p w:rsidR="002A523D" w:rsidRPr="0072410C" w:rsidRDefault="002A523D" w:rsidP="002A523D">
      <w:pPr>
        <w:jc w:val="left"/>
        <w:rPr>
          <w:lang w:val="es-ES_tradnl"/>
        </w:rPr>
      </w:pPr>
      <w:r w:rsidRPr="0072410C">
        <w:rPr>
          <w:lang w:val="es-ES_tradnl"/>
        </w:rPr>
        <w:t>Comienzo del dominio</w:t>
      </w:r>
      <w:r w:rsidRPr="0072410C">
        <w:rPr>
          <w:lang w:val="es-ES_tradnl"/>
        </w:rPr>
        <w:br/>
        <w:t>de emisiones no esenciales:</w:t>
      </w:r>
      <w:r w:rsidRPr="0072410C">
        <w:rPr>
          <w:lang w:val="es-ES_tradnl"/>
        </w:rPr>
        <w:tab/>
      </w:r>
      <w:r w:rsidRPr="0072410C">
        <w:rPr>
          <w:lang w:val="es-ES_tradnl"/>
        </w:rPr>
        <w:tab/>
        <w:t>Desplazamiento de 2,875 MHz</w:t>
      </w:r>
    </w:p>
    <w:p w:rsidR="002A523D" w:rsidRPr="0072410C" w:rsidRDefault="002A523D" w:rsidP="002A523D">
      <w:pPr>
        <w:rPr>
          <w:lang w:val="es-ES_tradnl"/>
        </w:rPr>
      </w:pPr>
      <w:r w:rsidRPr="0072410C">
        <w:rPr>
          <w:lang w:val="es-ES_tradnl"/>
        </w:rPr>
        <w:t xml:space="preserve">Duración de las ráfagas: </w:t>
      </w:r>
      <w:r w:rsidRPr="0072410C">
        <w:rPr>
          <w:lang w:val="es-ES_tradnl"/>
        </w:rPr>
        <w:tab/>
      </w:r>
      <w:r w:rsidRPr="0072410C">
        <w:rPr>
          <w:lang w:val="es-ES_tradnl"/>
        </w:rPr>
        <w:tab/>
        <w:t>90 µs o 368 µs</w:t>
      </w:r>
    </w:p>
    <w:p w:rsidR="002A523D" w:rsidRPr="0072410C" w:rsidRDefault="002A523D" w:rsidP="002A523D">
      <w:pPr>
        <w:rPr>
          <w:lang w:val="es-ES_tradnl"/>
        </w:rPr>
      </w:pPr>
      <w:r w:rsidRPr="0072410C">
        <w:rPr>
          <w:lang w:val="es-ES_tradnl"/>
        </w:rPr>
        <w:t>Repetición de ráfagas:</w:t>
      </w:r>
      <w:r w:rsidRPr="0072410C">
        <w:rPr>
          <w:lang w:val="es-ES_tradnl"/>
        </w:rPr>
        <w:tab/>
      </w:r>
      <w:r w:rsidRPr="0072410C">
        <w:rPr>
          <w:lang w:val="es-ES_tradnl"/>
        </w:rPr>
        <w:tab/>
      </w:r>
      <w:r w:rsidRPr="0072410C">
        <w:rPr>
          <w:lang w:val="es-ES_tradnl"/>
        </w:rPr>
        <w:tab/>
        <w:t>10 ms</w:t>
      </w:r>
    </w:p>
    <w:p w:rsidR="002A523D" w:rsidRPr="0072410C" w:rsidRDefault="002A523D" w:rsidP="002A523D">
      <w:pPr>
        <w:rPr>
          <w:lang w:val="es-ES_tradnl"/>
        </w:rPr>
      </w:pPr>
      <w:r w:rsidRPr="0072410C">
        <w:rPr>
          <w:lang w:val="es-ES_tradnl"/>
        </w:rPr>
        <w:t>Anchura</w:t>
      </w:r>
      <w:r>
        <w:rPr>
          <w:lang w:val="es-ES_tradnl"/>
        </w:rPr>
        <w:t xml:space="preserve"> de banda de medición: </w:t>
      </w:r>
      <w:r>
        <w:rPr>
          <w:lang w:val="es-ES_tradnl"/>
        </w:rPr>
        <w:tab/>
        <w:t>100 kHz</w:t>
      </w:r>
    </w:p>
    <w:p w:rsidR="002A523D" w:rsidRPr="0072410C" w:rsidRDefault="002A523D" w:rsidP="001141D1">
      <w:pPr>
        <w:rPr>
          <w:lang w:val="es-ES_tradnl"/>
        </w:rPr>
      </w:pPr>
      <w:r w:rsidRPr="0072410C">
        <w:rPr>
          <w:lang w:val="es-ES_tradnl"/>
        </w:rPr>
        <w:t>Las mediciones se realizaron con radiación (en entorno aéreo), habida cuenta de que, por lo general, el equipo no incorpora conectores para antenas externas. Los niveles medidos son eficaces sólo durante las ráfagas (con arreglo a un nivel promedio de las mismas). La activación externa se utilizó para sincronizar la medición con las ráfagas transmitidas (véase la descripción de la configuración de la medición en el Anexo 1).</w:t>
      </w:r>
    </w:p>
    <w:p w:rsidR="002A523D" w:rsidRPr="0072410C" w:rsidRDefault="002A523D" w:rsidP="002A523D">
      <w:pPr>
        <w:pStyle w:val="Heading2"/>
        <w:rPr>
          <w:lang w:val="es-ES_tradnl"/>
        </w:rPr>
      </w:pPr>
      <w:bookmarkStart w:id="155" w:name="_Toc449437436"/>
      <w:bookmarkStart w:id="156" w:name="_Toc475540050"/>
      <w:bookmarkStart w:id="157" w:name="_Toc476049680"/>
      <w:r w:rsidRPr="0072410C">
        <w:rPr>
          <w:lang w:val="es-ES_tradnl"/>
        </w:rPr>
        <w:lastRenderedPageBreak/>
        <w:t>8.1</w:t>
      </w:r>
      <w:r w:rsidRPr="0072410C">
        <w:rPr>
          <w:lang w:val="es-ES_tradnl"/>
        </w:rPr>
        <w:tab/>
      </w:r>
      <w:bookmarkEnd w:id="155"/>
      <w:bookmarkEnd w:id="156"/>
      <w:bookmarkEnd w:id="157"/>
      <w:r w:rsidRPr="0072410C">
        <w:rPr>
          <w:lang w:val="es-ES_tradnl"/>
        </w:rPr>
        <w:t>Emisión fuera de banda</w:t>
      </w:r>
    </w:p>
    <w:p w:rsidR="002A523D" w:rsidRPr="0072410C" w:rsidRDefault="002A523D" w:rsidP="002A523D">
      <w:pPr>
        <w:rPr>
          <w:lang w:val="es-ES_tradnl"/>
        </w:rPr>
      </w:pPr>
      <w:r w:rsidRPr="0072410C">
        <w:rPr>
          <w:lang w:val="es-ES_tradnl"/>
        </w:rPr>
        <w:t>Se realizaron mediciones con dos terminales móviles telefónicos DECT de fabricantes diferentes con una anchura de banda de resolución de 100 kHz. Los espectros de emisiones fuera de banda obtenidos se representan en la Fig. 17 como «Tx1 AV-ráfaga/100kHz» y «Tx2 AV-ráfaga/100kHz».</w:t>
      </w:r>
    </w:p>
    <w:p w:rsidR="002A523D" w:rsidRPr="0072410C" w:rsidRDefault="002A523D" w:rsidP="002A523D">
      <w:pPr>
        <w:rPr>
          <w:lang w:val="es-ES_tradnl"/>
        </w:rPr>
      </w:pPr>
      <w:r w:rsidRPr="0072410C">
        <w:rPr>
          <w:lang w:val="es-ES_tradnl"/>
        </w:rPr>
        <w:t xml:space="preserve">La Recomendación UIT-R SM.1541 no contiene ningún anexo en el que se especifiquen límites para las emisiones DECT fuera de banda; en consecuencia, se tomó como referencia la máscara de la norma aplicable ETSI EN 300 175-2 (§ 5.5.1, Cuadro 1). Los límites de las emisiones fuera de banda se definen para niveles de potencia a lo largo de toda la anchura de banda del canal, tanto para la referencia de 0 dB como para las emisiones fuera de banda, de ahí que no fuera necesaria ninguna transformación de anchura de banda. Con objeto de disponer de una comparación directa con dichos límites, se integraron las densidades espectrales medidas en una anchura de banda de 1,15 MHz para el canal utilizado y el canal adyacente. Los resultados se muestran en la Fig. 17 como líneas horizontales («Potencia del canal Tx1» y «Potencia del canal Tx2»). El eje de nivel de dicha Figura se ha normalizado con respecto a la línea de referencia de 0 dB de la potencia total en el canal. </w:t>
      </w:r>
    </w:p>
    <w:p w:rsidR="002A523D" w:rsidRPr="0072410C" w:rsidRDefault="002A523D" w:rsidP="002A523D">
      <w:pPr>
        <w:pStyle w:val="FigureNo"/>
        <w:rPr>
          <w:lang w:val="es-ES_tradnl"/>
        </w:rPr>
      </w:pPr>
      <w:bookmarkStart w:id="158" w:name="_Ref447624804"/>
      <w:r w:rsidRPr="0072410C">
        <w:rPr>
          <w:lang w:val="es-ES_tradnl"/>
        </w:rPr>
        <w:t>FigurA 17</w:t>
      </w:r>
      <w:bookmarkEnd w:id="158"/>
    </w:p>
    <w:p w:rsidR="002A523D" w:rsidRDefault="002A523D" w:rsidP="002A523D">
      <w:pPr>
        <w:pStyle w:val="Figuretitle"/>
        <w:rPr>
          <w:lang w:val="es-ES_tradnl"/>
        </w:rPr>
      </w:pPr>
      <w:r w:rsidRPr="0072410C">
        <w:rPr>
          <w:lang w:val="es-ES_tradnl"/>
        </w:rPr>
        <w:t>Emisiones DECT fuera de banda (gama de frecuencias superior)</w:t>
      </w:r>
    </w:p>
    <w:p w:rsidR="001141D1" w:rsidRPr="00D24BC5" w:rsidRDefault="00E05074" w:rsidP="001141D1">
      <w:pPr>
        <w:pStyle w:val="Figure"/>
        <w:rPr>
          <w:lang w:val="en-GB" w:eastAsia="zh-CN"/>
        </w:rPr>
      </w:pPr>
      <w:r>
        <w:object w:dxaOrig="6537" w:dyaOrig="4075">
          <v:shape id="_x0000_i1121" type="#_x0000_t75" style="width:430.95pt;height:268.65pt" o:ole="">
            <v:imagedata r:id="rId64" o:title=""/>
          </v:shape>
          <o:OLEObject Type="Embed" ProgID="CorelDraw.Graphic.16" ShapeID="_x0000_i1121" DrawAspect="Content" ObjectID="_1600519736" r:id="rId65"/>
        </w:object>
      </w:r>
    </w:p>
    <w:p w:rsidR="002A523D" w:rsidRPr="0072410C" w:rsidRDefault="002A523D" w:rsidP="002A523D">
      <w:pPr>
        <w:pStyle w:val="Normalaftertitle"/>
        <w:rPr>
          <w:lang w:val="es-ES_tradnl"/>
        </w:rPr>
      </w:pPr>
      <w:r w:rsidRPr="0072410C">
        <w:rPr>
          <w:rFonts w:eastAsia="Calibri"/>
          <w:lang w:val="es-ES_tradnl"/>
        </w:rPr>
        <w:t xml:space="preserve">Observaciones relativas a la </w:t>
      </w:r>
      <w:r w:rsidR="00345CCD">
        <w:rPr>
          <w:rFonts w:eastAsia="Calibri"/>
          <w:lang w:val="es-ES_tradnl"/>
        </w:rPr>
        <w:t xml:space="preserve">Fig. </w:t>
      </w:r>
      <w:r w:rsidRPr="0072410C">
        <w:rPr>
          <w:rFonts w:eastAsia="Calibri"/>
          <w:lang w:val="es-ES_tradnl"/>
        </w:rPr>
        <w:t>17:</w:t>
      </w:r>
      <w:r w:rsidRPr="0072410C">
        <w:rPr>
          <w:lang w:val="es-ES_tradnl"/>
        </w:rPr>
        <w:t xml:space="preserve"> </w:t>
      </w:r>
    </w:p>
    <w:p w:rsidR="002A523D" w:rsidRDefault="002A523D" w:rsidP="002A523D">
      <w:pPr>
        <w:pStyle w:val="enumlev1"/>
        <w:rPr>
          <w:lang w:val="es-ES_tradnl"/>
        </w:rPr>
      </w:pPr>
      <w:r>
        <w:rPr>
          <w:lang w:val="es-ES_tradnl"/>
        </w:rPr>
        <w:t>–</w:t>
      </w:r>
      <w:r>
        <w:rPr>
          <w:lang w:val="es-ES_tradnl"/>
        </w:rPr>
        <w:tab/>
        <w:t>C</w:t>
      </w:r>
      <w:r w:rsidRPr="0072410C">
        <w:rPr>
          <w:lang w:val="es-ES_tradnl"/>
        </w:rPr>
        <w:t>abe observar que los niveles de emisiones fuera de banda de ambos dispositivos DECT utilizados en la medición no cumplen los requisitos de la norma ETSI en la gama de desplazamiento en torno a 1 MHz.</w:t>
      </w:r>
    </w:p>
    <w:p w:rsidR="002A523D" w:rsidRPr="00E64DA3" w:rsidRDefault="002A523D" w:rsidP="002A523D">
      <w:pPr>
        <w:pStyle w:val="enumlev1"/>
        <w:rPr>
          <w:lang w:val="es-ES_tradnl"/>
        </w:rPr>
      </w:pPr>
      <w:r w:rsidRPr="00E64DA3">
        <w:rPr>
          <w:lang w:val="es-ES_tradnl"/>
        </w:rPr>
        <w:t>–</w:t>
      </w:r>
      <w:r>
        <w:rPr>
          <w:lang w:val="es-ES_tradnl"/>
        </w:rPr>
        <w:tab/>
        <w:t>C</w:t>
      </w:r>
      <w:r w:rsidRPr="0072410C">
        <w:rPr>
          <w:lang w:val="es-ES_tradnl"/>
        </w:rPr>
        <w:t>omo solo pueden detectarse emisiones relativas a la modulación en el dominio de las emisiones fuera de banda, cabe suponer que todos los dispositivos DECT tendrán casi el mismo espectro de emisiones fuera de banda, en cuyo caso cabe deducir que existe un margen notable entre el límite de emisiones fuera de banda y las emisiones fuera de banda reales, en particular en la gama del canal adyacente con un desplazamiento de 2 MHz.</w:t>
      </w:r>
    </w:p>
    <w:p w:rsidR="002A523D" w:rsidRPr="0072410C" w:rsidRDefault="002A523D" w:rsidP="002A523D">
      <w:pPr>
        <w:pStyle w:val="enumlev1"/>
        <w:tabs>
          <w:tab w:val="clear" w:pos="794"/>
          <w:tab w:val="clear" w:pos="1191"/>
          <w:tab w:val="clear" w:pos="1588"/>
          <w:tab w:val="clear" w:pos="1985"/>
          <w:tab w:val="left" w:pos="1134"/>
          <w:tab w:val="left" w:pos="1871"/>
          <w:tab w:val="left" w:pos="2268"/>
        </w:tabs>
        <w:ind w:left="0" w:firstLine="0"/>
        <w:jc w:val="left"/>
        <w:rPr>
          <w:szCs w:val="24"/>
          <w:highlight w:val="lightGray"/>
          <w:lang w:val="es-ES_tradnl"/>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1276"/>
        <w:gridCol w:w="2126"/>
        <w:gridCol w:w="1985"/>
        <w:gridCol w:w="3123"/>
      </w:tblGrid>
      <w:tr w:rsidR="002A523D" w:rsidRPr="0072410C" w:rsidTr="00E05074">
        <w:trPr>
          <w:tblHeader/>
          <w:jc w:val="center"/>
        </w:trPr>
        <w:tc>
          <w:tcPr>
            <w:tcW w:w="1129" w:type="dxa"/>
            <w:vMerge w:val="restart"/>
            <w:vAlign w:val="center"/>
          </w:tcPr>
          <w:p w:rsidR="002A523D" w:rsidRPr="0072410C" w:rsidRDefault="002A523D" w:rsidP="0060391F">
            <w:pPr>
              <w:pStyle w:val="Tablehead"/>
              <w:rPr>
                <w:lang w:val="es-ES_tradnl"/>
              </w:rPr>
            </w:pPr>
            <w:r w:rsidRPr="0072410C">
              <w:rPr>
                <w:lang w:val="es-ES_tradnl"/>
              </w:rPr>
              <w:lastRenderedPageBreak/>
              <w:t>Sistema</w:t>
            </w:r>
          </w:p>
        </w:tc>
        <w:tc>
          <w:tcPr>
            <w:tcW w:w="1276" w:type="dxa"/>
            <w:vMerge w:val="restart"/>
            <w:vAlign w:val="center"/>
          </w:tcPr>
          <w:p w:rsidR="002A523D" w:rsidRPr="0072410C" w:rsidRDefault="002A523D" w:rsidP="0060391F">
            <w:pPr>
              <w:pStyle w:val="Tablehead"/>
              <w:rPr>
                <w:lang w:val="es-ES_tradnl"/>
              </w:rPr>
            </w:pPr>
            <w:r w:rsidRPr="0072410C">
              <w:rPr>
                <w:lang w:val="es-ES_tradnl"/>
              </w:rPr>
              <w:t>Figura</w:t>
            </w:r>
          </w:p>
        </w:tc>
        <w:tc>
          <w:tcPr>
            <w:tcW w:w="7234" w:type="dxa"/>
            <w:gridSpan w:val="3"/>
            <w:vAlign w:val="center"/>
          </w:tcPr>
          <w:p w:rsidR="002A523D" w:rsidRPr="0072410C" w:rsidRDefault="002A523D" w:rsidP="0060391F">
            <w:pPr>
              <w:pStyle w:val="Tablehead"/>
              <w:rPr>
                <w:lang w:val="es-ES_tradnl"/>
              </w:rPr>
            </w:pPr>
            <w:r w:rsidRPr="0072410C">
              <w:rPr>
                <w:lang w:val="es-ES_tradnl"/>
              </w:rPr>
              <w:t>Comparación con:</w:t>
            </w:r>
          </w:p>
        </w:tc>
      </w:tr>
      <w:tr w:rsidR="002A523D" w:rsidRPr="00C153D4" w:rsidTr="00E05074">
        <w:trPr>
          <w:tblHeader/>
          <w:jc w:val="center"/>
        </w:trPr>
        <w:tc>
          <w:tcPr>
            <w:tcW w:w="1129" w:type="dxa"/>
            <w:vMerge/>
            <w:vAlign w:val="center"/>
          </w:tcPr>
          <w:p w:rsidR="002A523D" w:rsidRPr="0072410C" w:rsidRDefault="002A523D" w:rsidP="0060391F">
            <w:pPr>
              <w:pStyle w:val="Tablehead"/>
              <w:rPr>
                <w:lang w:val="es-ES_tradnl"/>
              </w:rPr>
            </w:pPr>
          </w:p>
        </w:tc>
        <w:tc>
          <w:tcPr>
            <w:tcW w:w="1276" w:type="dxa"/>
            <w:vMerge/>
            <w:vAlign w:val="center"/>
          </w:tcPr>
          <w:p w:rsidR="002A523D" w:rsidRPr="0072410C" w:rsidRDefault="002A523D" w:rsidP="0060391F">
            <w:pPr>
              <w:pStyle w:val="Tablehead"/>
              <w:rPr>
                <w:lang w:val="es-ES_tradnl"/>
              </w:rPr>
            </w:pPr>
          </w:p>
        </w:tc>
        <w:tc>
          <w:tcPr>
            <w:tcW w:w="2126" w:type="dxa"/>
            <w:vAlign w:val="center"/>
          </w:tcPr>
          <w:p w:rsidR="002A523D" w:rsidRPr="0072410C" w:rsidRDefault="002A523D" w:rsidP="0060391F">
            <w:pPr>
              <w:pStyle w:val="Tablehead"/>
              <w:rPr>
                <w:lang w:val="es-ES_tradnl"/>
              </w:rPr>
            </w:pPr>
            <w:r w:rsidRPr="0072410C">
              <w:rPr>
                <w:lang w:val="es-ES_tradnl"/>
              </w:rPr>
              <w:t>Rec. UIT-R SM.329</w:t>
            </w:r>
          </w:p>
        </w:tc>
        <w:tc>
          <w:tcPr>
            <w:tcW w:w="1985" w:type="dxa"/>
            <w:vAlign w:val="center"/>
          </w:tcPr>
          <w:p w:rsidR="002A523D" w:rsidRPr="0072410C" w:rsidRDefault="002A523D" w:rsidP="00604C17">
            <w:pPr>
              <w:pStyle w:val="Tablehead"/>
              <w:rPr>
                <w:lang w:val="es-ES_tradnl"/>
              </w:rPr>
            </w:pPr>
            <w:r w:rsidRPr="0072410C">
              <w:rPr>
                <w:lang w:val="es-ES_tradnl"/>
              </w:rPr>
              <w:t>ERC/Rec 74-01</w:t>
            </w:r>
          </w:p>
        </w:tc>
        <w:tc>
          <w:tcPr>
            <w:tcW w:w="3123" w:type="dxa"/>
            <w:vAlign w:val="center"/>
          </w:tcPr>
          <w:p w:rsidR="002A523D" w:rsidRPr="0072410C" w:rsidRDefault="002A523D" w:rsidP="0060391F">
            <w:pPr>
              <w:pStyle w:val="Tablehead"/>
              <w:rPr>
                <w:lang w:val="es-ES_tradnl"/>
              </w:rPr>
            </w:pPr>
            <w:r w:rsidRPr="0072410C">
              <w:rPr>
                <w:lang w:val="es-ES_tradnl"/>
              </w:rPr>
              <w:t>ETSI</w:t>
            </w:r>
          </w:p>
        </w:tc>
      </w:tr>
      <w:tr w:rsidR="002A523D" w:rsidRPr="00EF7B19" w:rsidTr="00E05074">
        <w:trPr>
          <w:jc w:val="center"/>
        </w:trPr>
        <w:tc>
          <w:tcPr>
            <w:tcW w:w="1129" w:type="dxa"/>
          </w:tcPr>
          <w:p w:rsidR="002A523D" w:rsidRPr="0072410C" w:rsidRDefault="002A523D" w:rsidP="0060391F">
            <w:pPr>
              <w:pStyle w:val="Tabletext"/>
              <w:rPr>
                <w:lang w:val="es-ES_tradnl"/>
              </w:rPr>
            </w:pPr>
            <w:r w:rsidRPr="0072410C">
              <w:rPr>
                <w:lang w:val="es-ES_tradnl"/>
              </w:rPr>
              <w:t>DECT</w:t>
            </w:r>
          </w:p>
        </w:tc>
        <w:tc>
          <w:tcPr>
            <w:tcW w:w="1276" w:type="dxa"/>
          </w:tcPr>
          <w:p w:rsidR="002A523D" w:rsidRPr="0072410C" w:rsidRDefault="002A523D" w:rsidP="0060391F">
            <w:pPr>
              <w:pStyle w:val="Tabletext"/>
              <w:rPr>
                <w:lang w:val="es-ES_tradnl"/>
              </w:rPr>
            </w:pPr>
            <w:r w:rsidRPr="0072410C">
              <w:rPr>
                <w:rFonts w:eastAsia="Calibri"/>
                <w:lang w:val="es-ES_tradnl"/>
              </w:rPr>
              <w:t>Figura 17</w:t>
            </w:r>
          </w:p>
        </w:tc>
        <w:tc>
          <w:tcPr>
            <w:tcW w:w="2126" w:type="dxa"/>
          </w:tcPr>
          <w:p w:rsidR="002A523D" w:rsidRPr="0072410C" w:rsidRDefault="002A523D" w:rsidP="0060391F">
            <w:pPr>
              <w:pStyle w:val="Tabletext"/>
              <w:rPr>
                <w:b/>
                <w:lang w:val="es-ES_tradnl"/>
              </w:rPr>
            </w:pPr>
          </w:p>
        </w:tc>
        <w:tc>
          <w:tcPr>
            <w:tcW w:w="1985" w:type="dxa"/>
          </w:tcPr>
          <w:p w:rsidR="002A523D" w:rsidRPr="0072410C" w:rsidRDefault="002A523D" w:rsidP="0060391F">
            <w:pPr>
              <w:pStyle w:val="Tabletext"/>
              <w:rPr>
                <w:b/>
                <w:lang w:val="es-ES_tradnl"/>
              </w:rPr>
            </w:pPr>
          </w:p>
        </w:tc>
        <w:tc>
          <w:tcPr>
            <w:tcW w:w="3123" w:type="dxa"/>
          </w:tcPr>
          <w:p w:rsidR="002A523D" w:rsidRPr="0072410C" w:rsidRDefault="002A523D" w:rsidP="00191F52">
            <w:pPr>
              <w:pStyle w:val="Tabletext"/>
              <w:jc w:val="left"/>
              <w:rPr>
                <w:rFonts w:ascii="Calibri" w:hAnsi="Calibri" w:cs="Calibri"/>
                <w:b/>
                <w:color w:val="800000"/>
                <w:lang w:val="es-ES_tradnl"/>
              </w:rPr>
            </w:pPr>
            <w:r w:rsidRPr="0072410C">
              <w:rPr>
                <w:lang w:val="es-ES_tradnl"/>
              </w:rPr>
              <w:t>Los niveles de emisiones fuera de banda de ambos dispositivos DECT no cumplen los requisitos de la norma 0 ETSI en la gama de desplazamiento en torno a 1</w:t>
            </w:r>
            <w:r>
              <w:rPr>
                <w:lang w:val="es-ES_tradnl"/>
              </w:rPr>
              <w:t> </w:t>
            </w:r>
            <w:r w:rsidRPr="0072410C">
              <w:rPr>
                <w:lang w:val="es-ES_tradnl"/>
              </w:rPr>
              <w:t>MHz. Como solo pueden detectarse emisiones relativas a la modulación en el dominio de las emisiones fuera de banda, cabe suponer que todos los dispositivos DECT tendrán casi el mismo espectro de emisiones fuera de banda, en cuyo caso cabe deducir que existe un notable margen entre el límite de emisiones fuera de banda y las emisiones fuera de banda reales, en particular en la gama del canal adyacente con un desplazamiento de 2</w:t>
            </w:r>
            <w:r>
              <w:rPr>
                <w:lang w:val="es-ES_tradnl"/>
              </w:rPr>
              <w:t> </w:t>
            </w:r>
            <w:r w:rsidRPr="0072410C">
              <w:rPr>
                <w:lang w:val="es-ES_tradnl"/>
              </w:rPr>
              <w:t>MHz.</w:t>
            </w:r>
          </w:p>
        </w:tc>
      </w:tr>
    </w:tbl>
    <w:p w:rsidR="002A523D" w:rsidRPr="0072410C" w:rsidRDefault="002A523D" w:rsidP="00C153D4">
      <w:pPr>
        <w:pStyle w:val="Tablefin"/>
      </w:pPr>
    </w:p>
    <w:p w:rsidR="002A523D" w:rsidRPr="0072410C" w:rsidRDefault="002A523D" w:rsidP="002A523D">
      <w:pPr>
        <w:pStyle w:val="Heading2"/>
        <w:rPr>
          <w:highlight w:val="lightGray"/>
          <w:lang w:val="es-ES_tradnl"/>
        </w:rPr>
      </w:pPr>
      <w:bookmarkStart w:id="159" w:name="_Toc449437437"/>
      <w:bookmarkStart w:id="160" w:name="_Toc475540051"/>
      <w:bookmarkStart w:id="161" w:name="_Toc476049681"/>
      <w:r w:rsidRPr="0072410C">
        <w:rPr>
          <w:lang w:val="es-ES_tradnl"/>
        </w:rPr>
        <w:t>8.2</w:t>
      </w:r>
      <w:r w:rsidRPr="0072410C">
        <w:rPr>
          <w:lang w:val="es-ES_tradnl"/>
        </w:rPr>
        <w:tab/>
      </w:r>
      <w:bookmarkEnd w:id="159"/>
      <w:bookmarkEnd w:id="160"/>
      <w:bookmarkEnd w:id="161"/>
      <w:r w:rsidRPr="0072410C">
        <w:rPr>
          <w:lang w:val="es-ES_tradnl"/>
        </w:rPr>
        <w:t>Emisión no esencial</w:t>
      </w:r>
    </w:p>
    <w:p w:rsidR="002A523D" w:rsidRPr="0072410C" w:rsidRDefault="002A523D" w:rsidP="002A523D">
      <w:pPr>
        <w:rPr>
          <w:lang w:val="es-ES_tradnl"/>
        </w:rPr>
      </w:pPr>
      <w:r w:rsidRPr="0072410C">
        <w:rPr>
          <w:lang w:val="es-ES_tradnl"/>
        </w:rPr>
        <w:t>En lo concerniente al servicio DECT, en la Recomendación UIT-R SM.329 (Cat. B0, servicio móvil terrestre) y ERC/REC 74-01 se especifica un límite de emisión no esencial de −30 dBm para una anchura de banda de referencia de 1 MHz. Habida cuenta de una potencia transmitida de 24 dBm, ese límite corresponde a una atenuación relativa de las emisiones no esenciales de 24 dBm − (−30 dBm) = 54 dB.</w:t>
      </w:r>
    </w:p>
    <w:p w:rsidR="002A523D" w:rsidRPr="0072410C" w:rsidRDefault="002A523D" w:rsidP="002A523D">
      <w:pPr>
        <w:rPr>
          <w:lang w:val="es-ES_tradnl"/>
        </w:rPr>
      </w:pPr>
      <w:r w:rsidRPr="0072410C">
        <w:rPr>
          <w:lang w:val="es-ES_tradnl"/>
        </w:rPr>
        <w:t>El nivel de recepción equivalente medido en el canal en 1 MHz fue −12 dBm. En consecuencia, el eje de niveles de la Fig. 18 puede transformarse para que refleje la po</w:t>
      </w:r>
      <w:r w:rsidR="00E05074">
        <w:rPr>
          <w:lang w:val="es-ES_tradnl"/>
        </w:rPr>
        <w:t>tencia radiada en la anchura de </w:t>
      </w:r>
      <w:r w:rsidRPr="0072410C">
        <w:rPr>
          <w:lang w:val="es-ES_tradnl"/>
        </w:rPr>
        <w:t xml:space="preserve">banda de 1 MHz añadiendo 36 dB a fin de tener en cuenta las pérdidas producidas. En la </w:t>
      </w:r>
      <w:r w:rsidR="00345CCD">
        <w:rPr>
          <w:lang w:val="es-ES_tradnl"/>
        </w:rPr>
        <w:t xml:space="preserve">Fig. </w:t>
      </w:r>
      <w:r w:rsidRPr="0072410C">
        <w:rPr>
          <w:lang w:val="es-ES_tradnl"/>
        </w:rPr>
        <w:t>18, la línea relativa a la supresión necesaria de las emisiones no esenciales de 54 dB se sitúa a − 12 dBm − 54 dB = − 66 dBm.</w:t>
      </w:r>
    </w:p>
    <w:p w:rsidR="002A523D" w:rsidRPr="0072410C" w:rsidRDefault="002A523D" w:rsidP="002A523D">
      <w:pPr>
        <w:rPr>
          <w:lang w:val="es-ES_tradnl"/>
        </w:rPr>
      </w:pPr>
      <w:r w:rsidRPr="0072410C">
        <w:rPr>
          <w:lang w:val="es-ES_tradnl"/>
        </w:rPr>
        <w:t>En el apartado 5.5.4 de la norma ETSI EN 300 175-2 se especifica un límite de emisiones no esenciales de 1 µW = − 30 dBm por encima de la banda DECT designada. Las anchuras de banda de referencia para ese nivel oscilan entre 30 kHz y 3 MHz, lo que da lugar a un límite decreciente con respecto a la anchura de banda de 1 MHz de la Fig. 18. La frecuencia de transmisión de los dispositivos utilizados en la medición se fijó en 1897,344 MHz, correspondiente a la frecuencia de canal DECT más elevada de Europa. La banda DECT designada termina en 1900 MHz, que corresponde a un desplazamiento de 2,656 MHz.</w:t>
      </w:r>
    </w:p>
    <w:p w:rsidR="002A523D" w:rsidRPr="0072410C" w:rsidRDefault="002A523D" w:rsidP="002A523D">
      <w:pPr>
        <w:rPr>
          <w:lang w:val="es-ES_tradnl"/>
        </w:rPr>
      </w:pPr>
      <w:r w:rsidRPr="0072410C">
        <w:rPr>
          <w:lang w:val="es-ES_tradnl"/>
        </w:rPr>
        <w:t>Puesto que los dispositivos DECT transmiten en ráfagas, las emisiones no deseadas sólo se miden durante una de esas ráfagas mediante la activación de un analizador de espectro. En el Anexo 1, § 3, Tipo de configuración 3, se proporciona información pormenorizada sobre la configuración de medición.</w:t>
      </w:r>
    </w:p>
    <w:p w:rsidR="002A523D" w:rsidRPr="0072410C" w:rsidRDefault="002A523D" w:rsidP="002A523D">
      <w:pPr>
        <w:rPr>
          <w:lang w:val="es-ES_tradnl"/>
        </w:rPr>
      </w:pPr>
      <w:r w:rsidRPr="0072410C">
        <w:rPr>
          <w:lang w:val="es-ES_tradnl"/>
        </w:rPr>
        <w:t xml:space="preserve">Se aplicó una gama de valores variable con respecto a los niveles medidos en 100 kHz para incorporar los niveles a la anchura de banda de referencia de 1 MHz. Las líneas espectrales obtenidas, mostradas en azul y verde oscuros, deben compararse con los límites que figuran la </w:t>
      </w:r>
      <w:r w:rsidR="00345CCD">
        <w:rPr>
          <w:lang w:val="es-ES_tradnl"/>
        </w:rPr>
        <w:t xml:space="preserve">Fig. </w:t>
      </w:r>
      <w:r w:rsidRPr="0072410C">
        <w:rPr>
          <w:lang w:val="es-ES_tradnl"/>
        </w:rPr>
        <w:t xml:space="preserve">18. </w:t>
      </w:r>
    </w:p>
    <w:p w:rsidR="002A523D" w:rsidRPr="0072410C" w:rsidRDefault="002A523D" w:rsidP="002A523D">
      <w:pPr>
        <w:rPr>
          <w:lang w:val="es-ES_tradnl"/>
        </w:rPr>
      </w:pPr>
      <w:r w:rsidRPr="0072410C">
        <w:rPr>
          <w:lang w:val="es-ES_tradnl"/>
        </w:rPr>
        <w:lastRenderedPageBreak/>
        <w:t>Con objeto de comparar los niveles medidos con el límite de la norma ETSI EN 300 175-2 v2.6.1 que se define como nivel de potencia de cresta, se aplicó una reducción de 13 dB</w:t>
      </w:r>
      <w:r w:rsidRPr="0072410C">
        <w:rPr>
          <w:rStyle w:val="FootnoteReference"/>
          <w:lang w:val="es-ES_tradnl"/>
        </w:rPr>
        <w:footnoteReference w:id="2"/>
      </w:r>
      <w:r>
        <w:rPr>
          <w:lang w:val="es-ES_tradnl"/>
        </w:rPr>
        <w:t xml:space="preserve"> </w:t>
      </w:r>
      <w:r w:rsidRPr="0072410C">
        <w:rPr>
          <w:lang w:val="es-ES_tradnl"/>
        </w:rPr>
        <w:t>al cálculo del límite relativo a la Fig. 18 con objeto de tener en cuenta la diferencia entre los niveles promedio y de cresta con respecto a señales similares al ruido.</w:t>
      </w:r>
    </w:p>
    <w:p w:rsidR="002A523D" w:rsidRPr="0072410C" w:rsidRDefault="002A523D" w:rsidP="002A523D">
      <w:pPr>
        <w:pStyle w:val="FigureNo"/>
        <w:spacing w:before="320"/>
        <w:rPr>
          <w:lang w:val="es-ES_tradnl"/>
        </w:rPr>
      </w:pPr>
      <w:bookmarkStart w:id="162" w:name="_Ref404875379"/>
      <w:bookmarkStart w:id="163" w:name="_Ref385322760"/>
      <w:r w:rsidRPr="0072410C">
        <w:rPr>
          <w:lang w:val="es-ES_tradnl"/>
        </w:rPr>
        <w:t>FigurA 18</w:t>
      </w:r>
      <w:bookmarkEnd w:id="162"/>
    </w:p>
    <w:p w:rsidR="002A523D" w:rsidRDefault="002A523D" w:rsidP="002A523D">
      <w:pPr>
        <w:pStyle w:val="Figuretitle"/>
        <w:rPr>
          <w:lang w:val="es-ES_tradnl"/>
        </w:rPr>
      </w:pPr>
      <w:r w:rsidRPr="0072410C">
        <w:rPr>
          <w:lang w:val="es-ES_tradnl"/>
        </w:rPr>
        <w:t>Emisiones DECT no esenciales (gama de frecuencias superior)</w:t>
      </w:r>
      <w:bookmarkEnd w:id="163"/>
    </w:p>
    <w:p w:rsidR="00C153D4" w:rsidRPr="00D24BC5" w:rsidRDefault="006972CE" w:rsidP="00C153D4">
      <w:pPr>
        <w:pStyle w:val="Figure"/>
        <w:rPr>
          <w:lang w:val="en-GB" w:eastAsia="zh-CN"/>
        </w:rPr>
      </w:pPr>
      <w:r>
        <w:object w:dxaOrig="6346" w:dyaOrig="4213">
          <v:shape id="_x0000_i1111" type="#_x0000_t75" style="width:419.1pt;height:278.35pt" o:ole="">
            <v:imagedata r:id="rId66" o:title=""/>
          </v:shape>
          <o:OLEObject Type="Embed" ProgID="CorelDraw.Graphic.16" ShapeID="_x0000_i1111" DrawAspect="Content" ObjectID="_1600519737" r:id="rId67"/>
        </w:object>
      </w:r>
    </w:p>
    <w:p w:rsidR="002A523D" w:rsidRPr="0072410C" w:rsidRDefault="002A523D" w:rsidP="002A523D">
      <w:pPr>
        <w:pStyle w:val="Normalaftertitle"/>
        <w:spacing w:before="120"/>
        <w:rPr>
          <w:lang w:val="es-ES_tradnl"/>
        </w:rPr>
      </w:pPr>
      <w:r w:rsidRPr="0072410C">
        <w:rPr>
          <w:lang w:val="es-ES_tradnl"/>
        </w:rPr>
        <w:t>El valor de los armónicos se midió de forma independiente; los resultados obtenidos se presentan en el cuadro siguiente:</w:t>
      </w:r>
    </w:p>
    <w:p w:rsidR="002A523D" w:rsidRPr="0072410C" w:rsidRDefault="002A523D" w:rsidP="002A523D">
      <w:pPr>
        <w:pStyle w:val="TableNo"/>
        <w:spacing w:before="240"/>
        <w:rPr>
          <w:lang w:val="es-ES_tradnl"/>
        </w:rPr>
      </w:pPr>
      <w:bookmarkStart w:id="164" w:name="_Ref448327800"/>
      <w:r w:rsidRPr="0072410C">
        <w:rPr>
          <w:lang w:val="es-ES_tradnl"/>
        </w:rPr>
        <w:t>CUADRO 4</w:t>
      </w:r>
      <w:bookmarkEnd w:id="164"/>
    </w:p>
    <w:p w:rsidR="002A523D" w:rsidRPr="0072410C" w:rsidRDefault="002A523D" w:rsidP="002A523D">
      <w:pPr>
        <w:pStyle w:val="Tabletitle"/>
        <w:spacing w:after="80"/>
        <w:rPr>
          <w:lang w:val="es-ES_tradnl"/>
        </w:rPr>
      </w:pPr>
      <w:r w:rsidRPr="0072410C">
        <w:rPr>
          <w:lang w:val="es-ES_tradnl"/>
        </w:rPr>
        <w:t>Valor de los armónicos de las estaciones de base DECT utilizadas en la medición</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1"/>
        <w:gridCol w:w="1358"/>
        <w:gridCol w:w="1394"/>
        <w:gridCol w:w="1378"/>
        <w:gridCol w:w="1357"/>
        <w:gridCol w:w="1393"/>
        <w:gridCol w:w="1378"/>
      </w:tblGrid>
      <w:tr w:rsidR="002A523D" w:rsidRPr="0072410C" w:rsidTr="0060391F">
        <w:trPr>
          <w:trHeight w:val="179"/>
          <w:jc w:val="center"/>
        </w:trPr>
        <w:tc>
          <w:tcPr>
            <w:tcW w:w="1379" w:type="dxa"/>
            <w:vMerge w:val="restart"/>
          </w:tcPr>
          <w:p w:rsidR="002A523D" w:rsidRPr="0072410C" w:rsidRDefault="002A523D" w:rsidP="0060391F">
            <w:pPr>
              <w:pStyle w:val="Tablehead"/>
              <w:keepLines/>
              <w:rPr>
                <w:sz w:val="20"/>
                <w:lang w:val="es-ES_tradnl"/>
              </w:rPr>
            </w:pPr>
          </w:p>
        </w:tc>
        <w:tc>
          <w:tcPr>
            <w:tcW w:w="4125" w:type="dxa"/>
            <w:gridSpan w:val="3"/>
            <w:vAlign w:val="bottom"/>
          </w:tcPr>
          <w:p w:rsidR="002A523D" w:rsidRPr="0072410C" w:rsidRDefault="002A523D" w:rsidP="0060391F">
            <w:pPr>
              <w:pStyle w:val="Tablehead"/>
              <w:keepLines/>
              <w:rPr>
                <w:sz w:val="20"/>
                <w:lang w:val="es-ES_tradnl"/>
              </w:rPr>
            </w:pPr>
            <w:r w:rsidRPr="0072410C">
              <w:rPr>
                <w:sz w:val="20"/>
                <w:lang w:val="es-ES_tradnl"/>
              </w:rPr>
              <w:t>Tx1</w:t>
            </w:r>
          </w:p>
        </w:tc>
        <w:tc>
          <w:tcPr>
            <w:tcW w:w="4125" w:type="dxa"/>
            <w:gridSpan w:val="3"/>
            <w:vAlign w:val="bottom"/>
          </w:tcPr>
          <w:p w:rsidR="002A523D" w:rsidRPr="0072410C" w:rsidRDefault="002A523D" w:rsidP="0060391F">
            <w:pPr>
              <w:pStyle w:val="Tablehead"/>
              <w:keepLines/>
              <w:rPr>
                <w:sz w:val="20"/>
                <w:lang w:val="es-ES_tradnl"/>
              </w:rPr>
            </w:pPr>
            <w:r w:rsidRPr="0072410C">
              <w:rPr>
                <w:sz w:val="20"/>
                <w:lang w:val="es-ES_tradnl"/>
              </w:rPr>
              <w:t>Tx2</w:t>
            </w:r>
          </w:p>
        </w:tc>
      </w:tr>
      <w:tr w:rsidR="002A523D" w:rsidRPr="0072410C" w:rsidTr="0060391F">
        <w:trPr>
          <w:trHeight w:val="178"/>
          <w:jc w:val="center"/>
        </w:trPr>
        <w:tc>
          <w:tcPr>
            <w:tcW w:w="1379" w:type="dxa"/>
            <w:vMerge/>
          </w:tcPr>
          <w:p w:rsidR="002A523D" w:rsidRPr="0072410C" w:rsidRDefault="002A523D" w:rsidP="0060391F">
            <w:pPr>
              <w:pStyle w:val="Tablehead"/>
              <w:keepLines/>
              <w:rPr>
                <w:sz w:val="20"/>
                <w:lang w:val="es-ES_tradnl"/>
              </w:rPr>
            </w:pPr>
          </w:p>
        </w:tc>
        <w:tc>
          <w:tcPr>
            <w:tcW w:w="1356" w:type="dxa"/>
            <w:vAlign w:val="bottom"/>
          </w:tcPr>
          <w:p w:rsidR="002A523D" w:rsidRPr="0072410C" w:rsidRDefault="002A523D" w:rsidP="0060391F">
            <w:pPr>
              <w:pStyle w:val="Tablehead"/>
              <w:keepLines/>
              <w:rPr>
                <w:bCs/>
                <w:sz w:val="20"/>
                <w:lang w:val="es-ES_tradnl"/>
              </w:rPr>
            </w:pPr>
            <w:r w:rsidRPr="0072410C">
              <w:rPr>
                <w:bCs/>
                <w:sz w:val="20"/>
                <w:lang w:val="es-ES_tradnl"/>
              </w:rPr>
              <w:t>Frecuencia</w:t>
            </w:r>
          </w:p>
        </w:tc>
        <w:tc>
          <w:tcPr>
            <w:tcW w:w="1392" w:type="dxa"/>
            <w:vAlign w:val="bottom"/>
          </w:tcPr>
          <w:p w:rsidR="002A523D" w:rsidRPr="0072410C" w:rsidRDefault="002A523D" w:rsidP="0060391F">
            <w:pPr>
              <w:pStyle w:val="Tablehead"/>
              <w:keepLines/>
              <w:rPr>
                <w:bCs/>
                <w:sz w:val="20"/>
                <w:lang w:val="es-ES_tradnl"/>
              </w:rPr>
            </w:pPr>
            <w:r w:rsidRPr="0072410C">
              <w:rPr>
                <w:bCs/>
                <w:sz w:val="20"/>
                <w:lang w:val="es-ES_tradnl"/>
              </w:rPr>
              <w:t>Nivel/1 MHz</w:t>
            </w:r>
          </w:p>
        </w:tc>
        <w:tc>
          <w:tcPr>
            <w:tcW w:w="1377" w:type="dxa"/>
            <w:vAlign w:val="bottom"/>
          </w:tcPr>
          <w:p w:rsidR="002A523D" w:rsidRPr="0072410C" w:rsidRDefault="002A523D" w:rsidP="0060391F">
            <w:pPr>
              <w:pStyle w:val="Tablehead"/>
              <w:keepLines/>
              <w:rPr>
                <w:bCs/>
                <w:sz w:val="20"/>
                <w:lang w:val="es-ES_tradnl"/>
              </w:rPr>
            </w:pPr>
            <w:r w:rsidRPr="0072410C">
              <w:rPr>
                <w:bCs/>
                <w:sz w:val="20"/>
                <w:lang w:val="es-ES_tradnl"/>
              </w:rPr>
              <w:t>Atenuación</w:t>
            </w:r>
          </w:p>
        </w:tc>
        <w:tc>
          <w:tcPr>
            <w:tcW w:w="1356" w:type="dxa"/>
            <w:vAlign w:val="bottom"/>
          </w:tcPr>
          <w:p w:rsidR="002A523D" w:rsidRPr="0072410C" w:rsidRDefault="002A523D" w:rsidP="0060391F">
            <w:pPr>
              <w:pStyle w:val="Tablehead"/>
              <w:keepLines/>
              <w:rPr>
                <w:bCs/>
                <w:sz w:val="20"/>
                <w:lang w:val="es-ES_tradnl"/>
              </w:rPr>
            </w:pPr>
            <w:r w:rsidRPr="0072410C">
              <w:rPr>
                <w:bCs/>
                <w:sz w:val="20"/>
                <w:lang w:val="es-ES_tradnl"/>
              </w:rPr>
              <w:t>Frecuencia</w:t>
            </w:r>
          </w:p>
        </w:tc>
        <w:tc>
          <w:tcPr>
            <w:tcW w:w="1392" w:type="dxa"/>
            <w:vAlign w:val="bottom"/>
          </w:tcPr>
          <w:p w:rsidR="002A523D" w:rsidRPr="0072410C" w:rsidRDefault="002A523D" w:rsidP="0060391F">
            <w:pPr>
              <w:pStyle w:val="Tablehead"/>
              <w:keepLines/>
              <w:rPr>
                <w:bCs/>
                <w:sz w:val="20"/>
                <w:lang w:val="es-ES_tradnl"/>
              </w:rPr>
            </w:pPr>
            <w:r w:rsidRPr="0072410C">
              <w:rPr>
                <w:bCs/>
                <w:sz w:val="20"/>
                <w:lang w:val="es-ES_tradnl"/>
              </w:rPr>
              <w:t>Nivel/1 MHz</w:t>
            </w:r>
          </w:p>
        </w:tc>
        <w:tc>
          <w:tcPr>
            <w:tcW w:w="1377" w:type="dxa"/>
            <w:vAlign w:val="bottom"/>
          </w:tcPr>
          <w:p w:rsidR="002A523D" w:rsidRPr="0072410C" w:rsidRDefault="002A523D" w:rsidP="0060391F">
            <w:pPr>
              <w:pStyle w:val="Tablehead"/>
              <w:keepLines/>
              <w:rPr>
                <w:bCs/>
                <w:sz w:val="20"/>
                <w:lang w:val="es-ES_tradnl"/>
              </w:rPr>
            </w:pPr>
            <w:r w:rsidRPr="0072410C">
              <w:rPr>
                <w:bCs/>
                <w:sz w:val="20"/>
                <w:lang w:val="es-ES_tradnl"/>
              </w:rPr>
              <w:t>Atenuación</w:t>
            </w:r>
          </w:p>
        </w:tc>
      </w:tr>
      <w:tr w:rsidR="002A523D" w:rsidRPr="0072410C" w:rsidTr="0060391F">
        <w:trPr>
          <w:jc w:val="center"/>
        </w:trPr>
        <w:tc>
          <w:tcPr>
            <w:tcW w:w="1379" w:type="dxa"/>
          </w:tcPr>
          <w:p w:rsidR="002A523D" w:rsidRPr="0072410C" w:rsidRDefault="002A523D" w:rsidP="0060391F">
            <w:pPr>
              <w:pStyle w:val="Tabletext"/>
              <w:keepNext/>
              <w:keepLines/>
              <w:jc w:val="center"/>
              <w:rPr>
                <w:sz w:val="20"/>
                <w:lang w:val="es-ES_tradnl"/>
              </w:rPr>
            </w:pPr>
            <w:r w:rsidRPr="0072410C">
              <w:rPr>
                <w:sz w:val="20"/>
                <w:lang w:val="es-ES_tradnl"/>
              </w:rPr>
              <w:t>Fundamental</w:t>
            </w:r>
          </w:p>
        </w:tc>
        <w:tc>
          <w:tcPr>
            <w:tcW w:w="1356" w:type="dxa"/>
          </w:tcPr>
          <w:p w:rsidR="002A523D" w:rsidRPr="0072410C" w:rsidRDefault="002A523D" w:rsidP="0060391F">
            <w:pPr>
              <w:pStyle w:val="Tabletext"/>
              <w:keepNext/>
              <w:keepLines/>
              <w:jc w:val="center"/>
              <w:rPr>
                <w:sz w:val="20"/>
                <w:lang w:val="es-ES_tradnl"/>
              </w:rPr>
            </w:pPr>
            <w:r w:rsidRPr="0072410C">
              <w:rPr>
                <w:sz w:val="20"/>
                <w:lang w:val="es-ES_tradnl"/>
              </w:rPr>
              <w:t>1881,6 MHz</w:t>
            </w:r>
          </w:p>
        </w:tc>
        <w:tc>
          <w:tcPr>
            <w:tcW w:w="1392" w:type="dxa"/>
          </w:tcPr>
          <w:p w:rsidR="002A523D" w:rsidRPr="0072410C" w:rsidRDefault="002A523D" w:rsidP="0060391F">
            <w:pPr>
              <w:pStyle w:val="Tabletext"/>
              <w:keepNext/>
              <w:keepLines/>
              <w:jc w:val="center"/>
              <w:rPr>
                <w:sz w:val="20"/>
                <w:lang w:val="es-ES_tradnl"/>
              </w:rPr>
            </w:pPr>
            <w:r w:rsidRPr="0072410C">
              <w:rPr>
                <w:sz w:val="20"/>
                <w:lang w:val="es-ES_tradnl"/>
              </w:rPr>
              <w:t>−6,0 dBm</w:t>
            </w:r>
          </w:p>
        </w:tc>
        <w:tc>
          <w:tcPr>
            <w:tcW w:w="1377" w:type="dxa"/>
          </w:tcPr>
          <w:p w:rsidR="002A523D" w:rsidRPr="0072410C" w:rsidRDefault="002A523D" w:rsidP="0060391F">
            <w:pPr>
              <w:pStyle w:val="Tabletext"/>
              <w:keepNext/>
              <w:keepLines/>
              <w:jc w:val="center"/>
              <w:rPr>
                <w:sz w:val="20"/>
                <w:lang w:val="es-ES_tradnl"/>
              </w:rPr>
            </w:pPr>
            <w:r w:rsidRPr="0072410C">
              <w:rPr>
                <w:sz w:val="20"/>
                <w:lang w:val="es-ES_tradnl"/>
              </w:rPr>
              <w:t>0,0 dBc</w:t>
            </w:r>
          </w:p>
        </w:tc>
        <w:tc>
          <w:tcPr>
            <w:tcW w:w="1356" w:type="dxa"/>
          </w:tcPr>
          <w:p w:rsidR="002A523D" w:rsidRPr="0072410C" w:rsidRDefault="002A523D" w:rsidP="0060391F">
            <w:pPr>
              <w:pStyle w:val="Tabletext"/>
              <w:keepNext/>
              <w:keepLines/>
              <w:jc w:val="center"/>
              <w:rPr>
                <w:sz w:val="20"/>
                <w:lang w:val="es-ES_tradnl"/>
              </w:rPr>
            </w:pPr>
            <w:r w:rsidRPr="0072410C">
              <w:rPr>
                <w:sz w:val="20"/>
                <w:lang w:val="es-ES_tradnl"/>
              </w:rPr>
              <w:t>1890,4 MHz</w:t>
            </w:r>
          </w:p>
        </w:tc>
        <w:tc>
          <w:tcPr>
            <w:tcW w:w="1392" w:type="dxa"/>
          </w:tcPr>
          <w:p w:rsidR="002A523D" w:rsidRPr="0072410C" w:rsidRDefault="002A523D" w:rsidP="0060391F">
            <w:pPr>
              <w:pStyle w:val="Tabletext"/>
              <w:keepNext/>
              <w:keepLines/>
              <w:jc w:val="center"/>
              <w:rPr>
                <w:sz w:val="20"/>
                <w:lang w:val="es-ES_tradnl"/>
              </w:rPr>
            </w:pPr>
            <w:r w:rsidRPr="0072410C">
              <w:rPr>
                <w:sz w:val="20"/>
                <w:lang w:val="es-ES_tradnl"/>
              </w:rPr>
              <w:t>−8,0 dBm</w:t>
            </w:r>
          </w:p>
        </w:tc>
        <w:tc>
          <w:tcPr>
            <w:tcW w:w="1377" w:type="dxa"/>
          </w:tcPr>
          <w:p w:rsidR="002A523D" w:rsidRPr="0072410C" w:rsidRDefault="002A523D" w:rsidP="0060391F">
            <w:pPr>
              <w:pStyle w:val="Tabletext"/>
              <w:keepNext/>
              <w:keepLines/>
              <w:jc w:val="center"/>
              <w:rPr>
                <w:sz w:val="20"/>
                <w:lang w:val="es-ES_tradnl"/>
              </w:rPr>
            </w:pPr>
            <w:r w:rsidRPr="0072410C">
              <w:rPr>
                <w:sz w:val="20"/>
                <w:lang w:val="es-ES_tradnl"/>
              </w:rPr>
              <w:t>0,0 dBc</w:t>
            </w:r>
          </w:p>
        </w:tc>
      </w:tr>
      <w:tr w:rsidR="002A523D" w:rsidRPr="0072410C" w:rsidTr="0060391F">
        <w:trPr>
          <w:jc w:val="center"/>
        </w:trPr>
        <w:tc>
          <w:tcPr>
            <w:tcW w:w="1379" w:type="dxa"/>
          </w:tcPr>
          <w:p w:rsidR="002A523D" w:rsidRPr="0072410C" w:rsidRDefault="002A523D" w:rsidP="0060391F">
            <w:pPr>
              <w:pStyle w:val="Tabletext"/>
              <w:keepNext/>
              <w:keepLines/>
              <w:jc w:val="center"/>
              <w:rPr>
                <w:sz w:val="20"/>
                <w:lang w:val="es-ES_tradnl"/>
              </w:rPr>
            </w:pPr>
            <w:r w:rsidRPr="0072410C">
              <w:rPr>
                <w:sz w:val="20"/>
                <w:lang w:val="es-ES_tradnl"/>
              </w:rPr>
              <w:t>2º armónico</w:t>
            </w:r>
          </w:p>
        </w:tc>
        <w:tc>
          <w:tcPr>
            <w:tcW w:w="1356" w:type="dxa"/>
          </w:tcPr>
          <w:p w:rsidR="002A523D" w:rsidRPr="0072410C" w:rsidRDefault="002A523D" w:rsidP="0060391F">
            <w:pPr>
              <w:pStyle w:val="Tabletext"/>
              <w:keepNext/>
              <w:keepLines/>
              <w:jc w:val="center"/>
              <w:rPr>
                <w:sz w:val="20"/>
                <w:lang w:val="es-ES_tradnl"/>
              </w:rPr>
            </w:pPr>
            <w:r w:rsidRPr="0072410C">
              <w:rPr>
                <w:sz w:val="20"/>
                <w:lang w:val="es-ES_tradnl"/>
              </w:rPr>
              <w:t>3763,2 MHz</w:t>
            </w:r>
          </w:p>
        </w:tc>
        <w:tc>
          <w:tcPr>
            <w:tcW w:w="1392" w:type="dxa"/>
          </w:tcPr>
          <w:p w:rsidR="002A523D" w:rsidRPr="0072410C" w:rsidRDefault="002A523D" w:rsidP="0060391F">
            <w:pPr>
              <w:pStyle w:val="Tabletext"/>
              <w:keepNext/>
              <w:keepLines/>
              <w:jc w:val="center"/>
              <w:rPr>
                <w:sz w:val="20"/>
                <w:lang w:val="es-ES_tradnl"/>
              </w:rPr>
            </w:pPr>
            <w:r w:rsidRPr="0072410C">
              <w:rPr>
                <w:sz w:val="20"/>
                <w:lang w:val="es-ES_tradnl"/>
              </w:rPr>
              <w:t>−80,0 dBm</w:t>
            </w:r>
          </w:p>
        </w:tc>
        <w:tc>
          <w:tcPr>
            <w:tcW w:w="1377" w:type="dxa"/>
          </w:tcPr>
          <w:p w:rsidR="002A523D" w:rsidRPr="0072410C" w:rsidRDefault="002A523D" w:rsidP="0060391F">
            <w:pPr>
              <w:pStyle w:val="Tabletext"/>
              <w:keepNext/>
              <w:keepLines/>
              <w:jc w:val="center"/>
              <w:rPr>
                <w:sz w:val="20"/>
                <w:lang w:val="es-ES_tradnl"/>
              </w:rPr>
            </w:pPr>
            <w:r w:rsidRPr="0072410C">
              <w:rPr>
                <w:sz w:val="20"/>
                <w:lang w:val="es-ES_tradnl"/>
              </w:rPr>
              <w:t>74,0 dBc</w:t>
            </w:r>
          </w:p>
        </w:tc>
        <w:tc>
          <w:tcPr>
            <w:tcW w:w="1356" w:type="dxa"/>
          </w:tcPr>
          <w:p w:rsidR="002A523D" w:rsidRPr="0072410C" w:rsidRDefault="002A523D" w:rsidP="0060391F">
            <w:pPr>
              <w:pStyle w:val="Tabletext"/>
              <w:keepNext/>
              <w:keepLines/>
              <w:jc w:val="center"/>
              <w:rPr>
                <w:sz w:val="20"/>
                <w:lang w:val="es-ES_tradnl"/>
              </w:rPr>
            </w:pPr>
            <w:r w:rsidRPr="0072410C">
              <w:rPr>
                <w:sz w:val="20"/>
                <w:lang w:val="es-ES_tradnl"/>
              </w:rPr>
              <w:t>3780,8 MHz</w:t>
            </w:r>
          </w:p>
        </w:tc>
        <w:tc>
          <w:tcPr>
            <w:tcW w:w="1392" w:type="dxa"/>
          </w:tcPr>
          <w:p w:rsidR="002A523D" w:rsidRPr="0072410C" w:rsidRDefault="002A523D" w:rsidP="0060391F">
            <w:pPr>
              <w:pStyle w:val="Tabletext"/>
              <w:keepNext/>
              <w:keepLines/>
              <w:jc w:val="center"/>
              <w:rPr>
                <w:sz w:val="20"/>
                <w:lang w:val="es-ES_tradnl"/>
              </w:rPr>
            </w:pPr>
            <w:r w:rsidRPr="0072410C">
              <w:rPr>
                <w:sz w:val="20"/>
                <w:lang w:val="es-ES_tradnl"/>
              </w:rPr>
              <w:t>−77,0 dBm</w:t>
            </w:r>
          </w:p>
        </w:tc>
        <w:tc>
          <w:tcPr>
            <w:tcW w:w="1377" w:type="dxa"/>
          </w:tcPr>
          <w:p w:rsidR="002A523D" w:rsidRPr="0072410C" w:rsidRDefault="002A523D" w:rsidP="0060391F">
            <w:pPr>
              <w:pStyle w:val="Tabletext"/>
              <w:keepNext/>
              <w:keepLines/>
              <w:jc w:val="center"/>
              <w:rPr>
                <w:sz w:val="20"/>
                <w:lang w:val="es-ES_tradnl"/>
              </w:rPr>
            </w:pPr>
            <w:r w:rsidRPr="0072410C">
              <w:rPr>
                <w:sz w:val="20"/>
                <w:lang w:val="es-ES_tradnl"/>
              </w:rPr>
              <w:t>69,0 dBc</w:t>
            </w:r>
          </w:p>
        </w:tc>
      </w:tr>
      <w:tr w:rsidR="002A523D" w:rsidRPr="0072410C" w:rsidTr="0060391F">
        <w:trPr>
          <w:jc w:val="center"/>
        </w:trPr>
        <w:tc>
          <w:tcPr>
            <w:tcW w:w="1379" w:type="dxa"/>
          </w:tcPr>
          <w:p w:rsidR="002A523D" w:rsidRPr="0072410C" w:rsidRDefault="002A523D" w:rsidP="0060391F">
            <w:pPr>
              <w:pStyle w:val="Tabletext"/>
              <w:keepNext/>
              <w:keepLines/>
              <w:jc w:val="center"/>
              <w:rPr>
                <w:sz w:val="20"/>
                <w:lang w:val="es-ES_tradnl"/>
              </w:rPr>
            </w:pPr>
            <w:r w:rsidRPr="0072410C">
              <w:rPr>
                <w:sz w:val="20"/>
                <w:lang w:val="es-ES_tradnl"/>
              </w:rPr>
              <w:t>3º armónico</w:t>
            </w:r>
          </w:p>
        </w:tc>
        <w:tc>
          <w:tcPr>
            <w:tcW w:w="1356" w:type="dxa"/>
          </w:tcPr>
          <w:p w:rsidR="002A523D" w:rsidRPr="0072410C" w:rsidRDefault="002A523D" w:rsidP="0060391F">
            <w:pPr>
              <w:pStyle w:val="Tabletext"/>
              <w:keepNext/>
              <w:keepLines/>
              <w:jc w:val="center"/>
              <w:rPr>
                <w:sz w:val="20"/>
                <w:lang w:val="es-ES_tradnl"/>
              </w:rPr>
            </w:pPr>
            <w:r w:rsidRPr="0072410C">
              <w:rPr>
                <w:sz w:val="20"/>
                <w:lang w:val="es-ES_tradnl"/>
              </w:rPr>
              <w:t>5644,8 MHz</w:t>
            </w:r>
          </w:p>
        </w:tc>
        <w:tc>
          <w:tcPr>
            <w:tcW w:w="1392" w:type="dxa"/>
          </w:tcPr>
          <w:p w:rsidR="002A523D" w:rsidRPr="0072410C" w:rsidRDefault="002A523D" w:rsidP="0060391F">
            <w:pPr>
              <w:pStyle w:val="Tabletext"/>
              <w:keepNext/>
              <w:keepLines/>
              <w:jc w:val="center"/>
              <w:rPr>
                <w:sz w:val="20"/>
                <w:lang w:val="es-ES_tradnl"/>
              </w:rPr>
            </w:pPr>
            <w:r w:rsidRPr="0072410C">
              <w:rPr>
                <w:sz w:val="20"/>
                <w:lang w:val="es-ES_tradnl"/>
              </w:rPr>
              <w:t>−79,0 dBm</w:t>
            </w:r>
          </w:p>
        </w:tc>
        <w:tc>
          <w:tcPr>
            <w:tcW w:w="1377" w:type="dxa"/>
          </w:tcPr>
          <w:p w:rsidR="002A523D" w:rsidRPr="0072410C" w:rsidRDefault="002A523D" w:rsidP="0060391F">
            <w:pPr>
              <w:pStyle w:val="Tabletext"/>
              <w:keepNext/>
              <w:keepLines/>
              <w:jc w:val="center"/>
              <w:rPr>
                <w:sz w:val="20"/>
                <w:lang w:val="es-ES_tradnl"/>
              </w:rPr>
            </w:pPr>
            <w:r w:rsidRPr="0072410C">
              <w:rPr>
                <w:sz w:val="20"/>
                <w:lang w:val="es-ES_tradnl"/>
              </w:rPr>
              <w:t>73,0 dBc</w:t>
            </w:r>
          </w:p>
        </w:tc>
        <w:tc>
          <w:tcPr>
            <w:tcW w:w="1356" w:type="dxa"/>
          </w:tcPr>
          <w:p w:rsidR="002A523D" w:rsidRPr="0072410C" w:rsidRDefault="002A523D" w:rsidP="0060391F">
            <w:pPr>
              <w:pStyle w:val="Tabletext"/>
              <w:keepNext/>
              <w:keepLines/>
              <w:jc w:val="center"/>
              <w:rPr>
                <w:sz w:val="20"/>
                <w:lang w:val="es-ES_tradnl"/>
              </w:rPr>
            </w:pPr>
            <w:r w:rsidRPr="0072410C">
              <w:rPr>
                <w:sz w:val="20"/>
                <w:lang w:val="es-ES_tradnl"/>
              </w:rPr>
              <w:t>5671,2 MHz</w:t>
            </w:r>
          </w:p>
        </w:tc>
        <w:tc>
          <w:tcPr>
            <w:tcW w:w="1392" w:type="dxa"/>
          </w:tcPr>
          <w:p w:rsidR="002A523D" w:rsidRPr="0072410C" w:rsidRDefault="002A523D" w:rsidP="0060391F">
            <w:pPr>
              <w:pStyle w:val="Tabletext"/>
              <w:keepNext/>
              <w:keepLines/>
              <w:jc w:val="center"/>
              <w:rPr>
                <w:sz w:val="20"/>
                <w:lang w:val="es-ES_tradnl"/>
              </w:rPr>
            </w:pPr>
            <w:r w:rsidRPr="0072410C">
              <w:rPr>
                <w:sz w:val="20"/>
                <w:lang w:val="es-ES_tradnl"/>
              </w:rPr>
              <w:t>−85,0 dBm</w:t>
            </w:r>
          </w:p>
        </w:tc>
        <w:tc>
          <w:tcPr>
            <w:tcW w:w="1377" w:type="dxa"/>
          </w:tcPr>
          <w:p w:rsidR="002A523D" w:rsidRPr="0072410C" w:rsidRDefault="002A523D" w:rsidP="0060391F">
            <w:pPr>
              <w:pStyle w:val="Tabletext"/>
              <w:keepNext/>
              <w:keepLines/>
              <w:jc w:val="center"/>
              <w:rPr>
                <w:sz w:val="20"/>
                <w:lang w:val="es-ES_tradnl"/>
              </w:rPr>
            </w:pPr>
            <w:r w:rsidRPr="0072410C">
              <w:rPr>
                <w:sz w:val="20"/>
                <w:lang w:val="es-ES_tradnl"/>
              </w:rPr>
              <w:t>77,0 dBc</w:t>
            </w:r>
          </w:p>
        </w:tc>
      </w:tr>
      <w:tr w:rsidR="002A523D" w:rsidRPr="0072410C" w:rsidTr="0060391F">
        <w:trPr>
          <w:jc w:val="center"/>
        </w:trPr>
        <w:tc>
          <w:tcPr>
            <w:tcW w:w="1379" w:type="dxa"/>
          </w:tcPr>
          <w:p w:rsidR="002A523D" w:rsidRPr="0072410C" w:rsidRDefault="002A523D" w:rsidP="0060391F">
            <w:pPr>
              <w:pStyle w:val="Tabletext"/>
              <w:keepNext/>
              <w:keepLines/>
              <w:jc w:val="center"/>
              <w:rPr>
                <w:sz w:val="20"/>
                <w:lang w:val="es-ES_tradnl"/>
              </w:rPr>
            </w:pPr>
            <w:r w:rsidRPr="0072410C">
              <w:rPr>
                <w:sz w:val="20"/>
                <w:lang w:val="es-ES_tradnl"/>
              </w:rPr>
              <w:t>4º armónico</w:t>
            </w:r>
          </w:p>
        </w:tc>
        <w:tc>
          <w:tcPr>
            <w:tcW w:w="1356" w:type="dxa"/>
          </w:tcPr>
          <w:p w:rsidR="002A523D" w:rsidRPr="0072410C" w:rsidRDefault="002A523D" w:rsidP="0060391F">
            <w:pPr>
              <w:pStyle w:val="Tabletext"/>
              <w:keepNext/>
              <w:keepLines/>
              <w:jc w:val="center"/>
              <w:rPr>
                <w:sz w:val="20"/>
                <w:lang w:val="es-ES_tradnl"/>
              </w:rPr>
            </w:pPr>
            <w:r w:rsidRPr="0072410C">
              <w:rPr>
                <w:sz w:val="20"/>
                <w:lang w:val="es-ES_tradnl"/>
              </w:rPr>
              <w:t>7526,4 MHz</w:t>
            </w:r>
          </w:p>
        </w:tc>
        <w:tc>
          <w:tcPr>
            <w:tcW w:w="1392" w:type="dxa"/>
          </w:tcPr>
          <w:p w:rsidR="002A523D" w:rsidRPr="0072410C" w:rsidRDefault="002A523D" w:rsidP="0060391F">
            <w:pPr>
              <w:pStyle w:val="Tabletext"/>
              <w:keepNext/>
              <w:keepLines/>
              <w:jc w:val="center"/>
              <w:rPr>
                <w:sz w:val="20"/>
                <w:lang w:val="es-ES_tradnl"/>
              </w:rPr>
            </w:pPr>
            <w:r w:rsidRPr="0072410C">
              <w:rPr>
                <w:sz w:val="20"/>
                <w:lang w:val="es-ES_tradnl"/>
              </w:rPr>
              <w:t>&lt; −88 dBm</w:t>
            </w:r>
          </w:p>
        </w:tc>
        <w:tc>
          <w:tcPr>
            <w:tcW w:w="1377" w:type="dxa"/>
          </w:tcPr>
          <w:p w:rsidR="002A523D" w:rsidRPr="0072410C" w:rsidRDefault="002A523D" w:rsidP="0060391F">
            <w:pPr>
              <w:pStyle w:val="Tabletext"/>
              <w:keepNext/>
              <w:keepLines/>
              <w:jc w:val="center"/>
              <w:rPr>
                <w:sz w:val="20"/>
                <w:lang w:val="es-ES_tradnl"/>
              </w:rPr>
            </w:pPr>
            <w:r w:rsidRPr="0072410C">
              <w:rPr>
                <w:sz w:val="20"/>
                <w:lang w:val="es-ES_tradnl"/>
              </w:rPr>
              <w:t>&gt; 82 dBc</w:t>
            </w:r>
          </w:p>
        </w:tc>
        <w:tc>
          <w:tcPr>
            <w:tcW w:w="1356" w:type="dxa"/>
          </w:tcPr>
          <w:p w:rsidR="002A523D" w:rsidRPr="0072410C" w:rsidRDefault="002A523D" w:rsidP="0060391F">
            <w:pPr>
              <w:pStyle w:val="Tabletext"/>
              <w:keepNext/>
              <w:keepLines/>
              <w:jc w:val="center"/>
              <w:rPr>
                <w:sz w:val="20"/>
                <w:lang w:val="es-ES_tradnl"/>
              </w:rPr>
            </w:pPr>
            <w:r w:rsidRPr="0072410C">
              <w:rPr>
                <w:sz w:val="20"/>
                <w:lang w:val="es-ES_tradnl"/>
              </w:rPr>
              <w:t>7561,6 MHz</w:t>
            </w:r>
          </w:p>
        </w:tc>
        <w:tc>
          <w:tcPr>
            <w:tcW w:w="1392" w:type="dxa"/>
          </w:tcPr>
          <w:p w:rsidR="002A523D" w:rsidRPr="0072410C" w:rsidRDefault="002A523D" w:rsidP="0060391F">
            <w:pPr>
              <w:pStyle w:val="Tabletext"/>
              <w:keepNext/>
              <w:keepLines/>
              <w:jc w:val="center"/>
              <w:rPr>
                <w:sz w:val="20"/>
                <w:lang w:val="es-ES_tradnl"/>
              </w:rPr>
            </w:pPr>
            <w:r w:rsidRPr="0072410C">
              <w:rPr>
                <w:sz w:val="20"/>
                <w:lang w:val="es-ES_tradnl"/>
              </w:rPr>
              <w:t>&lt; −88 dBm</w:t>
            </w:r>
          </w:p>
        </w:tc>
        <w:tc>
          <w:tcPr>
            <w:tcW w:w="1377" w:type="dxa"/>
          </w:tcPr>
          <w:p w:rsidR="002A523D" w:rsidRPr="0072410C" w:rsidRDefault="002A523D" w:rsidP="0060391F">
            <w:pPr>
              <w:pStyle w:val="Tabletext"/>
              <w:keepNext/>
              <w:keepLines/>
              <w:jc w:val="center"/>
              <w:rPr>
                <w:sz w:val="20"/>
                <w:lang w:val="es-ES_tradnl"/>
              </w:rPr>
            </w:pPr>
            <w:r w:rsidRPr="0072410C">
              <w:rPr>
                <w:sz w:val="20"/>
                <w:lang w:val="es-ES_tradnl"/>
              </w:rPr>
              <w:t>&gt; 80 dBc</w:t>
            </w:r>
          </w:p>
        </w:tc>
      </w:tr>
    </w:tbl>
    <w:p w:rsidR="002A523D" w:rsidRPr="0072410C" w:rsidRDefault="002A523D" w:rsidP="006972CE">
      <w:pPr>
        <w:pStyle w:val="Tablefin"/>
      </w:pPr>
    </w:p>
    <w:p w:rsidR="002A523D" w:rsidRPr="0072410C" w:rsidRDefault="002A523D" w:rsidP="00E05074">
      <w:pPr>
        <w:keepNext/>
        <w:keepLines/>
        <w:rPr>
          <w:rFonts w:eastAsia="Calibri"/>
          <w:lang w:val="es-ES_tradnl"/>
        </w:rPr>
      </w:pPr>
      <w:r w:rsidRPr="0072410C">
        <w:rPr>
          <w:rFonts w:eastAsia="Calibri"/>
          <w:lang w:val="es-ES_tradnl"/>
        </w:rPr>
        <w:lastRenderedPageBreak/>
        <w:t xml:space="preserve">Observaciones relativas las Figuras 17 y 18: </w:t>
      </w:r>
    </w:p>
    <w:p w:rsidR="002A523D" w:rsidRPr="0072410C" w:rsidRDefault="002A523D" w:rsidP="00E05074">
      <w:pPr>
        <w:pStyle w:val="enumlev1"/>
        <w:keepNext/>
        <w:keepLines/>
        <w:rPr>
          <w:lang w:val="es-ES_tradnl"/>
        </w:rPr>
      </w:pPr>
      <w:r w:rsidRPr="0072410C">
        <w:rPr>
          <w:lang w:val="es-ES_tradnl"/>
        </w:rPr>
        <w:t>–</w:t>
      </w:r>
      <w:r w:rsidRPr="0072410C">
        <w:rPr>
          <w:lang w:val="es-ES_tradnl"/>
        </w:rPr>
        <w:tab/>
        <w:t>Los resultados ponen de manifiesto que los límites de las emisiones no esenciales de la Recomendación UIT-R SM.329 y ERC / REC 74-01 se cumplen con un amplio margen. Para desplazamientos más elevados, el valor habitual de las emisiones espurias es</w:t>
      </w:r>
      <w:r w:rsidR="00966C1E">
        <w:rPr>
          <w:lang w:val="es-ES_tradnl"/>
        </w:rPr>
        <w:t xml:space="preserve"> de 30 dB inferior a ese límite;</w:t>
      </w:r>
      <w:r w:rsidRPr="0072410C">
        <w:rPr>
          <w:lang w:val="es-ES_tradnl"/>
        </w:rPr>
        <w:t xml:space="preserve"> </w:t>
      </w:r>
    </w:p>
    <w:p w:rsidR="002A523D" w:rsidRPr="0072410C" w:rsidRDefault="002A523D" w:rsidP="00966C1E">
      <w:pPr>
        <w:pStyle w:val="enumlev1"/>
        <w:rPr>
          <w:lang w:val="es-ES_tradnl"/>
        </w:rPr>
      </w:pPr>
      <w:r w:rsidRPr="0072410C">
        <w:rPr>
          <w:lang w:val="es-ES_tradnl"/>
        </w:rPr>
        <w:t>–</w:t>
      </w:r>
      <w:r w:rsidRPr="0072410C">
        <w:rPr>
          <w:lang w:val="es-ES_tradnl"/>
        </w:rPr>
        <w:tab/>
      </w:r>
      <w:r w:rsidR="00966C1E">
        <w:rPr>
          <w:lang w:val="es-ES_tradnl"/>
        </w:rPr>
        <w:t>A</w:t>
      </w:r>
      <w:r w:rsidRPr="0072410C">
        <w:rPr>
          <w:lang w:val="es-ES_tradnl"/>
        </w:rPr>
        <w:t>l igual que con el resto de sistemas digitales, el mayor desplazamiento se da en el límite entre las emisiones fuera de banda y el dominio de las emisiones no esenciales para el que Tx1 cumple los requisitos de Cat. B con un margen de 5 dB;</w:t>
      </w:r>
    </w:p>
    <w:p w:rsidR="002A523D" w:rsidRPr="0072410C" w:rsidRDefault="002A523D" w:rsidP="002A523D">
      <w:pPr>
        <w:pStyle w:val="enumlev1"/>
        <w:rPr>
          <w:lang w:val="es-ES_tradnl"/>
        </w:rPr>
      </w:pPr>
      <w:r w:rsidRPr="0072410C">
        <w:rPr>
          <w:lang w:val="es-ES_tradnl"/>
        </w:rPr>
        <w:t>–</w:t>
      </w:r>
      <w:r w:rsidRPr="0072410C">
        <w:rPr>
          <w:lang w:val="es-ES_tradnl"/>
        </w:rPr>
        <w:tab/>
        <w:t>Los límites de las emisiones no esenciales de ETSI EN 300 175-2 se cumplen, por lo general, con un margen de 10 dB;</w:t>
      </w:r>
    </w:p>
    <w:p w:rsidR="002A523D" w:rsidRPr="0072410C" w:rsidRDefault="002A523D" w:rsidP="002A523D">
      <w:pPr>
        <w:pStyle w:val="enumlev1"/>
        <w:rPr>
          <w:lang w:val="es-ES_tradnl"/>
        </w:rPr>
      </w:pPr>
      <w:r w:rsidRPr="0072410C">
        <w:rPr>
          <w:lang w:val="es-ES_tradnl"/>
        </w:rPr>
        <w:t>–</w:t>
      </w:r>
      <w:r w:rsidRPr="0072410C">
        <w:rPr>
          <w:lang w:val="es-ES_tradnl"/>
        </w:rPr>
        <w:tab/>
        <w:t>Todas las emisiones armónicas relativas a los dispositivos utilizados en la medición se sitúan muy por debajo de los límites de emisiones no esenciales.</w:t>
      </w:r>
    </w:p>
    <w:p w:rsidR="002A523D" w:rsidRPr="0072410C" w:rsidRDefault="002A523D" w:rsidP="002A523D">
      <w:pPr>
        <w:pStyle w:val="Heading1"/>
        <w:rPr>
          <w:lang w:val="es-ES_tradnl"/>
        </w:rPr>
      </w:pPr>
      <w:bookmarkStart w:id="165" w:name="_Ref424142656"/>
      <w:bookmarkStart w:id="166" w:name="_Toc525820185"/>
      <w:bookmarkStart w:id="167" w:name="_Toc525820365"/>
      <w:bookmarkStart w:id="168" w:name="_Toc449437438"/>
      <w:bookmarkStart w:id="169" w:name="_Toc475540052"/>
      <w:bookmarkStart w:id="170" w:name="_Toc476049682"/>
      <w:r w:rsidRPr="0072410C">
        <w:rPr>
          <w:lang w:val="es-ES_tradnl"/>
        </w:rPr>
        <w:t>9</w:t>
      </w:r>
      <w:r w:rsidRPr="0072410C">
        <w:rPr>
          <w:lang w:val="es-ES_tradnl"/>
        </w:rPr>
        <w:tab/>
        <w:t xml:space="preserve">Estaciones </w:t>
      </w:r>
      <w:r w:rsidRPr="002A523D">
        <w:rPr>
          <w:lang w:val="es-ES_tradnl"/>
        </w:rPr>
        <w:t>de</w:t>
      </w:r>
      <w:r w:rsidRPr="0072410C">
        <w:rPr>
          <w:lang w:val="es-ES_tradnl"/>
        </w:rPr>
        <w:t xml:space="preserve"> base UMTS</w:t>
      </w:r>
      <w:bookmarkEnd w:id="165"/>
      <w:r w:rsidRPr="0072410C">
        <w:rPr>
          <w:lang w:val="es-ES_tradnl"/>
        </w:rPr>
        <w:t xml:space="preserve"> 2100</w:t>
      </w:r>
      <w:bookmarkEnd w:id="166"/>
      <w:bookmarkEnd w:id="167"/>
      <w:r w:rsidRPr="0072410C">
        <w:rPr>
          <w:lang w:val="es-ES_tradnl"/>
        </w:rPr>
        <w:t xml:space="preserve"> </w:t>
      </w:r>
      <w:bookmarkEnd w:id="168"/>
      <w:bookmarkEnd w:id="169"/>
      <w:bookmarkEnd w:id="170"/>
    </w:p>
    <w:p w:rsidR="002A523D" w:rsidRPr="0072410C" w:rsidRDefault="002A523D" w:rsidP="002A523D">
      <w:pPr>
        <w:rPr>
          <w:lang w:val="es-ES_tradnl"/>
        </w:rPr>
      </w:pPr>
      <w:r w:rsidRPr="0072410C">
        <w:rPr>
          <w:lang w:val="es-ES_tradnl"/>
        </w:rPr>
        <w:t>En el sistema móvil celular 3G se emplea la técnica de espectro ensanchado W-CDMA para gestionar varios accesos. Se utiliza ampliamente en Europa y en otras partes del mundo como sistema sucesor del GSM. Los parámetros del sistema UMTS son los siguientes:</w:t>
      </w:r>
    </w:p>
    <w:p w:rsidR="002A523D" w:rsidRPr="0072410C" w:rsidRDefault="002A523D" w:rsidP="002A523D">
      <w:pPr>
        <w:jc w:val="left"/>
        <w:rPr>
          <w:lang w:val="es-ES_tradnl"/>
        </w:rPr>
      </w:pPr>
      <w:r w:rsidRPr="0072410C">
        <w:rPr>
          <w:lang w:val="es-ES_tradnl"/>
        </w:rPr>
        <w:t>Gama de frecuencias:</w:t>
      </w:r>
      <w:r w:rsidRPr="0072410C">
        <w:rPr>
          <w:lang w:val="es-ES_tradnl"/>
        </w:rPr>
        <w:tab/>
      </w:r>
      <w:r w:rsidRPr="0072410C">
        <w:rPr>
          <w:lang w:val="es-ES_tradnl"/>
        </w:rPr>
        <w:tab/>
      </w:r>
      <w:r>
        <w:rPr>
          <w:lang w:val="es-ES_tradnl"/>
        </w:rPr>
        <w:tab/>
      </w:r>
      <w:r w:rsidRPr="0072410C">
        <w:rPr>
          <w:lang w:val="es-ES_tradnl"/>
        </w:rPr>
        <w:t>2 110-2 170 MHz (Banda I del enlace descendente DDF)</w:t>
      </w:r>
      <w:r w:rsidR="00E66A68">
        <w:rPr>
          <w:lang w:val="es-ES_tradnl"/>
        </w:rPr>
        <w:t>.</w:t>
      </w:r>
    </w:p>
    <w:p w:rsidR="002A523D" w:rsidRPr="0072410C" w:rsidRDefault="002A523D" w:rsidP="002A523D">
      <w:pPr>
        <w:jc w:val="left"/>
        <w:rPr>
          <w:lang w:val="es-ES_tradnl"/>
        </w:rPr>
      </w:pPr>
      <w:r w:rsidRPr="0072410C">
        <w:rPr>
          <w:lang w:val="es-ES_tradnl"/>
        </w:rPr>
        <w:t>Modulación:</w:t>
      </w:r>
      <w:r w:rsidRPr="0072410C">
        <w:rPr>
          <w:lang w:val="es-ES_tradnl"/>
        </w:rPr>
        <w:tab/>
      </w:r>
      <w:r w:rsidRPr="0072410C">
        <w:rPr>
          <w:lang w:val="es-ES_tradnl"/>
        </w:rPr>
        <w:tab/>
      </w:r>
      <w:r w:rsidRPr="0072410C">
        <w:rPr>
          <w:lang w:val="es-ES_tradnl"/>
        </w:rPr>
        <w:tab/>
      </w:r>
      <w:r>
        <w:rPr>
          <w:lang w:val="es-ES_tradnl"/>
        </w:rPr>
        <w:tab/>
      </w:r>
      <w:r>
        <w:rPr>
          <w:lang w:val="es-ES_tradnl"/>
        </w:rPr>
        <w:tab/>
      </w:r>
      <w:r w:rsidRPr="0072410C">
        <w:rPr>
          <w:lang w:val="es-ES_tradnl"/>
        </w:rPr>
        <w:t>MDP-4</w:t>
      </w:r>
    </w:p>
    <w:p w:rsidR="002A523D" w:rsidRPr="0072410C" w:rsidRDefault="002A523D" w:rsidP="002A523D">
      <w:pPr>
        <w:jc w:val="left"/>
        <w:rPr>
          <w:lang w:val="es-ES_tradnl"/>
        </w:rPr>
      </w:pPr>
      <w:r w:rsidRPr="0072410C">
        <w:rPr>
          <w:lang w:val="es-ES_tradnl"/>
        </w:rPr>
        <w:t>Anchura de banda:</w:t>
      </w:r>
      <w:r w:rsidRPr="0072410C">
        <w:rPr>
          <w:lang w:val="es-ES_tradnl"/>
        </w:rPr>
        <w:tab/>
      </w:r>
      <w:r w:rsidRPr="0072410C">
        <w:rPr>
          <w:lang w:val="es-ES_tradnl"/>
        </w:rPr>
        <w:tab/>
      </w:r>
      <w:r w:rsidRPr="0072410C">
        <w:rPr>
          <w:lang w:val="es-ES_tradnl"/>
        </w:rPr>
        <w:tab/>
      </w:r>
      <w:r>
        <w:rPr>
          <w:lang w:val="es-ES_tradnl"/>
        </w:rPr>
        <w:tab/>
      </w:r>
      <w:r w:rsidRPr="0072410C">
        <w:rPr>
          <w:lang w:val="es-ES_tradnl"/>
        </w:rPr>
        <w:t>5 MHz (canal)</w:t>
      </w:r>
    </w:p>
    <w:p w:rsidR="002A523D" w:rsidRPr="0072410C" w:rsidRDefault="002A523D" w:rsidP="00966C1E">
      <w:pPr>
        <w:jc w:val="left"/>
        <w:rPr>
          <w:lang w:val="es-ES_tradnl"/>
        </w:rPr>
      </w:pPr>
      <w:r w:rsidRPr="0072410C">
        <w:rPr>
          <w:lang w:val="es-ES_tradnl"/>
        </w:rPr>
        <w:t>Filtro externo de transmisor:</w:t>
      </w:r>
      <w:r w:rsidRPr="0072410C">
        <w:rPr>
          <w:lang w:val="es-ES_tradnl"/>
        </w:rPr>
        <w:tab/>
      </w:r>
      <w:r>
        <w:rPr>
          <w:lang w:val="es-ES_tradnl"/>
        </w:rPr>
        <w:tab/>
      </w:r>
      <w:r w:rsidR="00966C1E">
        <w:rPr>
          <w:lang w:val="es-ES_tradnl"/>
        </w:rPr>
        <w:t>N</w:t>
      </w:r>
      <w:r w:rsidRPr="0072410C">
        <w:rPr>
          <w:lang w:val="es-ES_tradnl"/>
        </w:rPr>
        <w:t>inguno</w:t>
      </w:r>
    </w:p>
    <w:p w:rsidR="002A523D" w:rsidRPr="0072410C" w:rsidRDefault="002A523D" w:rsidP="00966C1E">
      <w:pPr>
        <w:jc w:val="left"/>
        <w:rPr>
          <w:lang w:val="es-ES_tradnl"/>
        </w:rPr>
      </w:pPr>
      <w:r>
        <w:rPr>
          <w:lang w:val="es-ES_tradnl"/>
        </w:rPr>
        <w:t>Comienzo del dominio</w:t>
      </w:r>
      <w:r>
        <w:rPr>
          <w:lang w:val="es-ES_tradnl"/>
        </w:rPr>
        <w:br/>
      </w:r>
      <w:r w:rsidRPr="0072410C">
        <w:rPr>
          <w:lang w:val="es-ES_tradnl"/>
        </w:rPr>
        <w:t>de frecuencias no esenciales:</w:t>
      </w:r>
      <w:r>
        <w:rPr>
          <w:lang w:val="es-ES_tradnl"/>
        </w:rPr>
        <w:tab/>
      </w:r>
      <w:r>
        <w:rPr>
          <w:lang w:val="es-ES_tradnl"/>
        </w:rPr>
        <w:tab/>
      </w:r>
      <w:r w:rsidR="00966C1E">
        <w:rPr>
          <w:lang w:val="es-ES_tradnl"/>
        </w:rPr>
        <w:t>D</w:t>
      </w:r>
      <w:r w:rsidRPr="0072410C">
        <w:rPr>
          <w:lang w:val="es-ES_tradnl"/>
        </w:rPr>
        <w:t>esplazamien</w:t>
      </w:r>
      <w:r>
        <w:rPr>
          <w:lang w:val="es-ES_tradnl"/>
        </w:rPr>
        <w:t>to de 12,5 MHz (regla del 250%)</w:t>
      </w:r>
      <w:r w:rsidR="00E66A68">
        <w:rPr>
          <w:lang w:val="es-ES_tradnl"/>
        </w:rPr>
        <w:t>.</w:t>
      </w:r>
    </w:p>
    <w:p w:rsidR="002A523D" w:rsidRPr="0072410C" w:rsidRDefault="002A523D" w:rsidP="002A523D">
      <w:pPr>
        <w:rPr>
          <w:lang w:val="es-ES_tradnl"/>
        </w:rPr>
      </w:pPr>
      <w:r w:rsidRPr="0072410C">
        <w:rPr>
          <w:lang w:val="es-ES_tradnl"/>
        </w:rPr>
        <w:t xml:space="preserve">Si bien no se aplicó ningún filtrado adicional a la salida del transmisor, cabe considerar un cierto nivel de filtrado interno para proteger la banda de recepción de la estación de base, y probablemente los servicios adyacentes. </w:t>
      </w:r>
    </w:p>
    <w:p w:rsidR="002A523D" w:rsidRPr="0072410C" w:rsidRDefault="002A523D" w:rsidP="002A523D">
      <w:pPr>
        <w:pStyle w:val="Heading2"/>
        <w:rPr>
          <w:lang w:val="es-ES_tradnl"/>
        </w:rPr>
      </w:pPr>
      <w:bookmarkStart w:id="171" w:name="_Toc449437439"/>
      <w:bookmarkStart w:id="172" w:name="_Toc475540053"/>
      <w:bookmarkStart w:id="173" w:name="_Toc476049683"/>
      <w:r w:rsidRPr="0072410C">
        <w:rPr>
          <w:lang w:val="es-ES_tradnl"/>
        </w:rPr>
        <w:t>9.1</w:t>
      </w:r>
      <w:r w:rsidRPr="0072410C">
        <w:rPr>
          <w:lang w:val="es-ES_tradnl"/>
        </w:rPr>
        <w:tab/>
      </w:r>
      <w:bookmarkEnd w:id="171"/>
      <w:bookmarkEnd w:id="172"/>
      <w:bookmarkEnd w:id="173"/>
      <w:r w:rsidRPr="00D94F7A">
        <w:rPr>
          <w:lang w:val="es-ES_tradnl"/>
        </w:rPr>
        <w:t>Emisión fuera de banda</w:t>
      </w:r>
    </w:p>
    <w:p w:rsidR="002A523D" w:rsidRPr="0072410C" w:rsidRDefault="002A523D" w:rsidP="002A523D">
      <w:pPr>
        <w:rPr>
          <w:lang w:val="es-ES_tradnl"/>
        </w:rPr>
      </w:pPr>
      <w:r w:rsidRPr="0072410C">
        <w:rPr>
          <w:lang w:val="es-ES_tradnl"/>
        </w:rPr>
        <w:t>A la salida del transmisor se realizaron las mediciones de emisiones fuera de banda que figuran a continuación. Se utilizaron los siguientes parámetros de radiofrecuencia pertinentes para la estación utilizada en la medición:</w:t>
      </w:r>
    </w:p>
    <w:p w:rsidR="002A523D" w:rsidRPr="0072410C" w:rsidRDefault="002A523D" w:rsidP="002A523D">
      <w:pPr>
        <w:tabs>
          <w:tab w:val="clear" w:pos="794"/>
          <w:tab w:val="clear" w:pos="1191"/>
          <w:tab w:val="clear" w:pos="1588"/>
          <w:tab w:val="clear" w:pos="1985"/>
          <w:tab w:val="left" w:pos="1134"/>
          <w:tab w:val="left" w:pos="1871"/>
          <w:tab w:val="left" w:pos="2268"/>
        </w:tabs>
        <w:jc w:val="left"/>
        <w:rPr>
          <w:lang w:val="es-ES_tradnl"/>
        </w:rPr>
      </w:pPr>
      <w:r w:rsidRPr="0072410C">
        <w:rPr>
          <w:lang w:val="es-ES_tradnl"/>
        </w:rPr>
        <w:t>Frecuencia de transmisión:</w:t>
      </w:r>
      <w:r w:rsidRPr="0072410C">
        <w:rPr>
          <w:lang w:val="es-ES_tradnl"/>
        </w:rPr>
        <w:tab/>
      </w:r>
      <w:r w:rsidRPr="0072410C">
        <w:rPr>
          <w:lang w:val="es-ES_tradnl"/>
        </w:rPr>
        <w:tab/>
        <w:t>2 152 MHz (frecuencia central)</w:t>
      </w:r>
    </w:p>
    <w:p w:rsidR="002A523D" w:rsidRPr="0072410C" w:rsidRDefault="002A523D" w:rsidP="002A523D">
      <w:pPr>
        <w:tabs>
          <w:tab w:val="clear" w:pos="794"/>
          <w:tab w:val="clear" w:pos="1191"/>
          <w:tab w:val="clear" w:pos="1588"/>
          <w:tab w:val="clear" w:pos="1985"/>
          <w:tab w:val="left" w:pos="1134"/>
          <w:tab w:val="left" w:pos="1871"/>
          <w:tab w:val="left" w:pos="2268"/>
        </w:tabs>
        <w:jc w:val="left"/>
        <w:rPr>
          <w:lang w:val="es-ES_tradnl"/>
        </w:rPr>
      </w:pPr>
      <w:r w:rsidRPr="0072410C">
        <w:rPr>
          <w:lang w:val="es-ES_tradnl"/>
        </w:rPr>
        <w:t>Potencia de transmisión:</w:t>
      </w:r>
      <w:r w:rsidRPr="0072410C">
        <w:rPr>
          <w:lang w:val="es-ES_tradnl"/>
        </w:rPr>
        <w:tab/>
      </w:r>
      <w:r w:rsidRPr="0072410C">
        <w:rPr>
          <w:lang w:val="es-ES_tradnl"/>
        </w:rPr>
        <w:tab/>
        <w:t>3 W / 35 dBm (valor eficaz a la salida del transmisor)</w:t>
      </w:r>
    </w:p>
    <w:p w:rsidR="002A523D" w:rsidRPr="0072410C" w:rsidRDefault="002A523D" w:rsidP="002A523D">
      <w:pPr>
        <w:tabs>
          <w:tab w:val="clear" w:pos="794"/>
          <w:tab w:val="clear" w:pos="1191"/>
          <w:tab w:val="clear" w:pos="1588"/>
          <w:tab w:val="clear" w:pos="1985"/>
          <w:tab w:val="left" w:pos="1134"/>
          <w:tab w:val="left" w:pos="1871"/>
          <w:tab w:val="left" w:pos="2268"/>
        </w:tabs>
        <w:jc w:val="left"/>
        <w:rPr>
          <w:lang w:val="es-ES_tradnl"/>
        </w:rPr>
      </w:pPr>
      <w:r w:rsidRPr="0072410C">
        <w:rPr>
          <w:lang w:val="es-ES_tradnl"/>
        </w:rPr>
        <w:t xml:space="preserve">Anchura de banda de la medición: </w:t>
      </w:r>
      <w:r w:rsidRPr="0072410C">
        <w:rPr>
          <w:lang w:val="es-ES_tradnl"/>
        </w:rPr>
        <w:tab/>
        <w:t>4 kHz.</w:t>
      </w:r>
    </w:p>
    <w:p w:rsidR="002A523D" w:rsidRPr="0072410C" w:rsidRDefault="002A523D" w:rsidP="002A523D">
      <w:pPr>
        <w:rPr>
          <w:lang w:val="es-ES_tradnl"/>
        </w:rPr>
      </w:pPr>
      <w:r w:rsidRPr="0072410C">
        <w:rPr>
          <w:lang w:val="es-ES_tradnl"/>
        </w:rPr>
        <w:t>El espectro medido que se representa en la Fig. 19 pone de manifiesto los niveles relativos en dB normalizados con respecto a la densidad espectral de potencia máxima para la anchura de banda de medición de 4 kHz.</w:t>
      </w:r>
    </w:p>
    <w:p w:rsidR="002A523D" w:rsidRPr="0072410C" w:rsidRDefault="002A523D" w:rsidP="00345CCD">
      <w:pPr>
        <w:rPr>
          <w:lang w:val="es-ES_tradnl"/>
        </w:rPr>
      </w:pPr>
      <w:r w:rsidRPr="0072410C">
        <w:rPr>
          <w:lang w:val="es-ES_tradnl"/>
        </w:rPr>
        <w:t>En la Recomendación UIT-R SM.1541 no se establece ningún límite para los sistemas W-CDMA. En consecuencia, se muestran los límites definidos en ETSI TS 12</w:t>
      </w:r>
      <w:r>
        <w:rPr>
          <w:lang w:val="es-ES_tradnl"/>
        </w:rPr>
        <w:t>5 104, Capítulo 6.6.2.1, Cuadro </w:t>
      </w:r>
      <w:r w:rsidRPr="0072410C">
        <w:rPr>
          <w:lang w:val="es-ES_tradnl"/>
        </w:rPr>
        <w:t>6.5. Puesto que se proporcionan para anchuras de banda de referenc</w:t>
      </w:r>
      <w:r>
        <w:rPr>
          <w:lang w:val="es-ES_tradnl"/>
        </w:rPr>
        <w:t>ia que oscilan entre 30 kHz y 1 </w:t>
      </w:r>
      <w:r w:rsidRPr="0072410C">
        <w:rPr>
          <w:lang w:val="es-ES_tradnl"/>
        </w:rPr>
        <w:t xml:space="preserve">MHz, el límite correspondiente a la </w:t>
      </w:r>
      <w:r w:rsidR="00345CCD">
        <w:rPr>
          <w:lang w:val="es-ES_tradnl"/>
        </w:rPr>
        <w:t>f</w:t>
      </w:r>
      <w:r w:rsidRPr="0072410C">
        <w:rPr>
          <w:lang w:val="es-ES_tradnl"/>
        </w:rPr>
        <w:t>igura siguiente se ha obtenido después de la corrección de la anchura de banda y se ha normalizado con respecto a la densidad espectral de potencia medida en el canal.</w:t>
      </w:r>
    </w:p>
    <w:p w:rsidR="002A523D" w:rsidRPr="0072410C" w:rsidRDefault="002A523D" w:rsidP="002A523D">
      <w:pPr>
        <w:pStyle w:val="FigureNo"/>
        <w:rPr>
          <w:lang w:val="es-ES_tradnl"/>
        </w:rPr>
      </w:pPr>
      <w:bookmarkStart w:id="174" w:name="_Ref447623882"/>
      <w:r w:rsidRPr="0072410C">
        <w:rPr>
          <w:lang w:val="es-ES_tradnl"/>
        </w:rPr>
        <w:lastRenderedPageBreak/>
        <w:t>FigurA 19</w:t>
      </w:r>
      <w:bookmarkEnd w:id="174"/>
    </w:p>
    <w:p w:rsidR="002A523D" w:rsidRDefault="002A523D" w:rsidP="002A523D">
      <w:pPr>
        <w:pStyle w:val="Figuretitle"/>
        <w:rPr>
          <w:lang w:val="es-ES_tradnl"/>
        </w:rPr>
      </w:pPr>
      <w:r w:rsidRPr="0072410C">
        <w:rPr>
          <w:lang w:val="es-ES_tradnl"/>
        </w:rPr>
        <w:t xml:space="preserve">Emisiones fuera de banda de una estación de base UMTS </w:t>
      </w:r>
    </w:p>
    <w:p w:rsidR="00E66A68" w:rsidRPr="00D24BC5" w:rsidRDefault="00E66A68" w:rsidP="00E66A68">
      <w:pPr>
        <w:pStyle w:val="Figure"/>
        <w:rPr>
          <w:lang w:val="en-GB" w:eastAsia="zh-CN"/>
        </w:rPr>
      </w:pPr>
      <w:r>
        <w:object w:dxaOrig="6562" w:dyaOrig="4257">
          <v:shape id="_x0000_i1125" type="#_x0000_t75" style="width:433.6pt;height:281pt" o:ole="">
            <v:imagedata r:id="rId68" o:title=""/>
          </v:shape>
          <o:OLEObject Type="Embed" ProgID="CorelDraw.Graphic.16" ShapeID="_x0000_i1125" DrawAspect="Content" ObjectID="_1600519738" r:id="rId69"/>
        </w:object>
      </w:r>
    </w:p>
    <w:p w:rsidR="002A523D" w:rsidRPr="0072410C" w:rsidRDefault="002A523D" w:rsidP="002A523D">
      <w:pPr>
        <w:pStyle w:val="Normalaftertitle"/>
        <w:rPr>
          <w:rFonts w:asciiTheme="majorBidi" w:hAnsiTheme="majorBidi" w:cstheme="majorBidi"/>
          <w:lang w:val="es-ES_tradnl"/>
        </w:rPr>
      </w:pPr>
      <w:r w:rsidRPr="0072410C">
        <w:rPr>
          <w:rFonts w:asciiTheme="majorBidi" w:eastAsia="Calibri" w:hAnsiTheme="majorBidi" w:cstheme="majorBidi"/>
          <w:lang w:val="es-ES_tradnl"/>
        </w:rPr>
        <w:t xml:space="preserve">Observaciones relativas a la </w:t>
      </w:r>
      <w:r w:rsidR="00345CCD">
        <w:rPr>
          <w:rFonts w:asciiTheme="majorBidi" w:eastAsia="Calibri" w:hAnsiTheme="majorBidi" w:cstheme="majorBidi"/>
          <w:lang w:val="es-ES_tradnl"/>
        </w:rPr>
        <w:t xml:space="preserve">Fig. </w:t>
      </w:r>
      <w:r w:rsidRPr="0072410C">
        <w:rPr>
          <w:rFonts w:asciiTheme="majorBidi" w:eastAsia="Calibri" w:hAnsiTheme="majorBidi" w:cstheme="majorBidi"/>
          <w:lang w:val="es-ES_tradnl"/>
        </w:rPr>
        <w:t>19:</w:t>
      </w:r>
      <w:r w:rsidRPr="0072410C">
        <w:rPr>
          <w:rFonts w:asciiTheme="majorBidi" w:hAnsiTheme="majorBidi" w:cstheme="majorBidi"/>
          <w:lang w:val="es-ES_tradnl"/>
        </w:rPr>
        <w:t xml:space="preserve"> </w:t>
      </w:r>
    </w:p>
    <w:p w:rsidR="002A523D" w:rsidRPr="0072410C" w:rsidRDefault="002A523D" w:rsidP="002A523D">
      <w:pPr>
        <w:pStyle w:val="enumlev1"/>
        <w:rPr>
          <w:lang w:val="es-ES_tradnl"/>
        </w:rPr>
      </w:pPr>
      <w:r w:rsidRPr="0072410C">
        <w:rPr>
          <w:lang w:val="es-ES_tradnl"/>
        </w:rPr>
        <w:t>–</w:t>
      </w:r>
      <w:r w:rsidRPr="0072410C">
        <w:rPr>
          <w:lang w:val="es-ES_tradnl"/>
        </w:rPr>
        <w:tab/>
        <w:t>Los resultados ponen de manifiesto que el límite de la norma ETSI TS 125 104 pertinente se alcanza fácilmente. Las emisiones fuera de banda son al menos 15 dB inferiores al valor de la máscara.</w:t>
      </w:r>
    </w:p>
    <w:p w:rsidR="002A523D" w:rsidRPr="0072410C" w:rsidRDefault="00E66A68" w:rsidP="00E66A68">
      <w:pPr>
        <w:pStyle w:val="enumlev1"/>
        <w:rPr>
          <w:lang w:val="es-ES_tradnl"/>
        </w:rPr>
      </w:pPr>
      <w:r>
        <w:rPr>
          <w:lang w:val="es-ES_tradnl"/>
        </w:rPr>
        <w:t>–</w:t>
      </w:r>
      <w:r>
        <w:rPr>
          <w:lang w:val="es-ES_tradnl"/>
        </w:rPr>
        <w:tab/>
      </w:r>
      <w:r w:rsidR="002A523D" w:rsidRPr="0072410C">
        <w:rPr>
          <w:lang w:val="es-ES_tradnl"/>
        </w:rPr>
        <w:t>El ruido de banda ancha del amplificador no incluye emisiones no deseadas por modulación para desplazamientos de alrededor del 125% de la anchura del canal.</w:t>
      </w:r>
    </w:p>
    <w:p w:rsidR="002A523D" w:rsidRPr="0072410C" w:rsidRDefault="002A523D" w:rsidP="002A523D">
      <w:pPr>
        <w:pStyle w:val="enumlev1"/>
        <w:rPr>
          <w:lang w:val="es-ES_tradnl"/>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5"/>
        <w:gridCol w:w="1295"/>
        <w:gridCol w:w="2736"/>
        <w:gridCol w:w="3593"/>
      </w:tblGrid>
      <w:tr w:rsidR="002A523D" w:rsidRPr="0072410C" w:rsidTr="0060391F">
        <w:trPr>
          <w:jc w:val="center"/>
        </w:trPr>
        <w:tc>
          <w:tcPr>
            <w:tcW w:w="1985" w:type="dxa"/>
            <w:vMerge w:val="restart"/>
            <w:vAlign w:val="center"/>
          </w:tcPr>
          <w:p w:rsidR="002A523D" w:rsidRPr="0072410C" w:rsidRDefault="002A523D" w:rsidP="0060391F">
            <w:pPr>
              <w:pStyle w:val="Tablehead"/>
              <w:keepLines/>
              <w:rPr>
                <w:lang w:val="es-ES_tradnl"/>
              </w:rPr>
            </w:pPr>
            <w:bookmarkStart w:id="175" w:name="_Toc449437440"/>
            <w:r w:rsidRPr="0072410C">
              <w:rPr>
                <w:lang w:val="es-ES_tradnl"/>
              </w:rPr>
              <w:t>Sistema</w:t>
            </w:r>
          </w:p>
        </w:tc>
        <w:tc>
          <w:tcPr>
            <w:tcW w:w="1275" w:type="dxa"/>
            <w:vMerge w:val="restart"/>
            <w:vAlign w:val="center"/>
          </w:tcPr>
          <w:p w:rsidR="002A523D" w:rsidRPr="0072410C" w:rsidRDefault="002A523D" w:rsidP="0060391F">
            <w:pPr>
              <w:pStyle w:val="Tablehead"/>
              <w:keepLines/>
              <w:rPr>
                <w:lang w:val="es-ES_tradnl"/>
              </w:rPr>
            </w:pPr>
            <w:r w:rsidRPr="0072410C">
              <w:rPr>
                <w:lang w:val="es-ES_tradnl"/>
              </w:rPr>
              <w:t>Figura</w:t>
            </w:r>
          </w:p>
        </w:tc>
        <w:tc>
          <w:tcPr>
            <w:tcW w:w="6232" w:type="dxa"/>
            <w:gridSpan w:val="2"/>
            <w:vAlign w:val="center"/>
          </w:tcPr>
          <w:p w:rsidR="002A523D" w:rsidRPr="0072410C" w:rsidRDefault="002A523D" w:rsidP="0060391F">
            <w:pPr>
              <w:pStyle w:val="Tablehead"/>
              <w:keepLines/>
              <w:rPr>
                <w:lang w:val="es-ES_tradnl"/>
              </w:rPr>
            </w:pPr>
            <w:r w:rsidRPr="0072410C">
              <w:rPr>
                <w:lang w:val="es-ES_tradnl"/>
              </w:rPr>
              <w:t>Comparación con:</w:t>
            </w:r>
          </w:p>
        </w:tc>
      </w:tr>
      <w:tr w:rsidR="002A523D" w:rsidRPr="0072410C" w:rsidTr="0060391F">
        <w:trPr>
          <w:jc w:val="center"/>
        </w:trPr>
        <w:tc>
          <w:tcPr>
            <w:tcW w:w="1985" w:type="dxa"/>
            <w:vMerge/>
            <w:vAlign w:val="center"/>
          </w:tcPr>
          <w:p w:rsidR="002A523D" w:rsidRPr="0072410C" w:rsidRDefault="002A523D" w:rsidP="0060391F">
            <w:pPr>
              <w:pStyle w:val="Tablehead"/>
              <w:keepLines/>
              <w:rPr>
                <w:lang w:val="es-ES_tradnl"/>
              </w:rPr>
            </w:pPr>
          </w:p>
        </w:tc>
        <w:tc>
          <w:tcPr>
            <w:tcW w:w="1275" w:type="dxa"/>
            <w:vMerge/>
            <w:vAlign w:val="center"/>
          </w:tcPr>
          <w:p w:rsidR="002A523D" w:rsidRPr="0072410C" w:rsidRDefault="002A523D" w:rsidP="0060391F">
            <w:pPr>
              <w:pStyle w:val="Tablehead"/>
              <w:keepLines/>
              <w:rPr>
                <w:lang w:val="es-ES_tradnl"/>
              </w:rPr>
            </w:pPr>
          </w:p>
        </w:tc>
        <w:tc>
          <w:tcPr>
            <w:tcW w:w="2694" w:type="dxa"/>
            <w:vAlign w:val="center"/>
          </w:tcPr>
          <w:p w:rsidR="002A523D" w:rsidRPr="0072410C" w:rsidRDefault="002A523D" w:rsidP="0060391F">
            <w:pPr>
              <w:pStyle w:val="Tablehead"/>
              <w:keepLines/>
              <w:rPr>
                <w:lang w:val="es-ES_tradnl"/>
              </w:rPr>
            </w:pPr>
            <w:r w:rsidRPr="0072410C">
              <w:rPr>
                <w:lang w:val="es-ES_tradnl"/>
              </w:rPr>
              <w:t>Rec. UIT-R SM.1541</w:t>
            </w:r>
          </w:p>
        </w:tc>
        <w:tc>
          <w:tcPr>
            <w:tcW w:w="3538" w:type="dxa"/>
            <w:vAlign w:val="center"/>
          </w:tcPr>
          <w:p w:rsidR="002A523D" w:rsidRPr="0072410C" w:rsidRDefault="002A523D" w:rsidP="0060391F">
            <w:pPr>
              <w:pStyle w:val="Tablehead"/>
              <w:keepLines/>
              <w:rPr>
                <w:lang w:val="es-ES_tradnl"/>
              </w:rPr>
            </w:pPr>
            <w:r w:rsidRPr="0072410C">
              <w:rPr>
                <w:lang w:val="es-ES_tradnl"/>
              </w:rPr>
              <w:t>ETSI TS 125 104, Capítulo 6.6.2.1, Cuadro 6.5</w:t>
            </w:r>
          </w:p>
        </w:tc>
      </w:tr>
      <w:tr w:rsidR="002A523D" w:rsidRPr="00EF7B19" w:rsidTr="0060391F">
        <w:trPr>
          <w:jc w:val="center"/>
        </w:trPr>
        <w:tc>
          <w:tcPr>
            <w:tcW w:w="1985" w:type="dxa"/>
          </w:tcPr>
          <w:p w:rsidR="002A523D" w:rsidRPr="0072410C" w:rsidRDefault="002A523D" w:rsidP="00345CCD">
            <w:pPr>
              <w:pStyle w:val="Tabletext"/>
              <w:keepNext/>
              <w:keepLines/>
              <w:jc w:val="left"/>
              <w:rPr>
                <w:lang w:val="es-ES_tradnl"/>
              </w:rPr>
            </w:pPr>
            <w:r w:rsidRPr="0072410C">
              <w:rPr>
                <w:lang w:val="es-ES_tradnl"/>
              </w:rPr>
              <w:t xml:space="preserve">Estación de base UMTS </w:t>
            </w:r>
          </w:p>
        </w:tc>
        <w:tc>
          <w:tcPr>
            <w:tcW w:w="1275" w:type="dxa"/>
          </w:tcPr>
          <w:p w:rsidR="002A523D" w:rsidRPr="0072410C" w:rsidRDefault="002A523D" w:rsidP="00345CCD">
            <w:pPr>
              <w:pStyle w:val="Tabletext"/>
              <w:keepNext/>
              <w:keepLines/>
              <w:jc w:val="left"/>
              <w:rPr>
                <w:lang w:val="es-ES_tradnl"/>
              </w:rPr>
            </w:pPr>
            <w:r w:rsidRPr="0072410C">
              <w:rPr>
                <w:lang w:val="es-ES_tradnl"/>
              </w:rPr>
              <w:t>Figura 19</w:t>
            </w:r>
          </w:p>
        </w:tc>
        <w:tc>
          <w:tcPr>
            <w:tcW w:w="2694" w:type="dxa"/>
          </w:tcPr>
          <w:p w:rsidR="002A523D" w:rsidRPr="0072410C" w:rsidRDefault="002A523D" w:rsidP="00345CCD">
            <w:pPr>
              <w:pStyle w:val="Tabletext"/>
              <w:keepNext/>
              <w:keepLines/>
              <w:jc w:val="left"/>
              <w:rPr>
                <w:lang w:val="es-ES_tradnl"/>
              </w:rPr>
            </w:pPr>
            <w:r w:rsidRPr="0072410C">
              <w:rPr>
                <w:lang w:val="es-ES_tradnl"/>
              </w:rPr>
              <w:t>En esta Recomendación no figura ninguna información sobre límites de emisiones fuera de banda para este tipo de aplicación.</w:t>
            </w:r>
          </w:p>
        </w:tc>
        <w:tc>
          <w:tcPr>
            <w:tcW w:w="3538" w:type="dxa"/>
          </w:tcPr>
          <w:p w:rsidR="002A523D" w:rsidRPr="0072410C" w:rsidRDefault="002A523D" w:rsidP="00345CCD">
            <w:pPr>
              <w:pStyle w:val="Tabletext"/>
              <w:keepNext/>
              <w:keepLines/>
              <w:jc w:val="left"/>
              <w:rPr>
                <w:lang w:val="es-ES_tradnl"/>
              </w:rPr>
            </w:pPr>
            <w:r w:rsidRPr="0072410C">
              <w:rPr>
                <w:lang w:val="es-ES_tradnl"/>
              </w:rPr>
              <w:t>Las emisiones fuera de banda son al menos 15 dB inferiores al valor de la máscara. El ruido de banda ancha del amplificador no incluye emisiones no deseadas por modulación para desplazamientos de alrededor del 125% de la anchura del canal.</w:t>
            </w:r>
          </w:p>
        </w:tc>
      </w:tr>
    </w:tbl>
    <w:p w:rsidR="002A523D" w:rsidRPr="0072410C" w:rsidRDefault="002A523D" w:rsidP="002A523D">
      <w:pPr>
        <w:pStyle w:val="Heading2"/>
        <w:rPr>
          <w:lang w:val="es-ES_tradnl"/>
        </w:rPr>
      </w:pPr>
      <w:bookmarkStart w:id="176" w:name="_Toc475540054"/>
      <w:bookmarkStart w:id="177" w:name="_Toc476049684"/>
      <w:r w:rsidRPr="0072410C">
        <w:rPr>
          <w:lang w:val="es-ES_tradnl"/>
        </w:rPr>
        <w:t>9.2</w:t>
      </w:r>
      <w:r w:rsidRPr="0072410C">
        <w:rPr>
          <w:lang w:val="es-ES_tradnl"/>
        </w:rPr>
        <w:tab/>
      </w:r>
      <w:bookmarkEnd w:id="175"/>
      <w:bookmarkEnd w:id="176"/>
      <w:bookmarkEnd w:id="177"/>
      <w:r w:rsidRPr="0072410C">
        <w:rPr>
          <w:lang w:val="es-ES_tradnl"/>
        </w:rPr>
        <w:t>Emisión no esencial</w:t>
      </w:r>
    </w:p>
    <w:p w:rsidR="002A523D" w:rsidRPr="0072410C" w:rsidRDefault="002A523D" w:rsidP="002A523D">
      <w:pPr>
        <w:rPr>
          <w:lang w:val="es-ES_tradnl"/>
        </w:rPr>
      </w:pPr>
      <w:r w:rsidRPr="0072410C">
        <w:rPr>
          <w:lang w:val="es-ES_tradnl"/>
        </w:rPr>
        <w:t>En la Recomendación UIT-R SM.329 Cat B (Europa) para el servicio móvil terrestre (estaciones de base), el Cuadro 6.9 de ETSI TS 125 104 y el Cuadro 2.1 de ERC/REC 74-01 se especifica un nivel máximo de emisiones no esenciales de −30 dBm/MHz. En el apartado 6.6.3 de la norma ETSI [18] se define la aplicación del límite de las emisiones no esenciales para desplazamientos superiores a 12,5 MHz por debajo de la primera frecuencia portadora utilizada en la banda UMTS, o superiores a 12,5 MHz por encima de la última frecuencia de portadora utilizada.</w:t>
      </w:r>
    </w:p>
    <w:p w:rsidR="002A523D" w:rsidRPr="0072410C" w:rsidRDefault="002A523D" w:rsidP="002A523D">
      <w:pPr>
        <w:rPr>
          <w:lang w:val="es-ES_tradnl"/>
        </w:rPr>
      </w:pPr>
      <w:r w:rsidRPr="0072410C">
        <w:rPr>
          <w:lang w:val="es-ES_tradnl"/>
        </w:rPr>
        <w:lastRenderedPageBreak/>
        <w:t xml:space="preserve">En la </w:t>
      </w:r>
      <w:r w:rsidR="00345CCD">
        <w:rPr>
          <w:lang w:val="es-ES_tradnl"/>
        </w:rPr>
        <w:t xml:space="preserve">Fig. </w:t>
      </w:r>
      <w:r w:rsidRPr="0072410C">
        <w:rPr>
          <w:lang w:val="es-ES_tradnl"/>
        </w:rPr>
        <w:t>20 se muestra la medición de la radiación de una estación de base UMTS que funciona en el canal de frecuencia más elevada en la banda I del sistema UMTS:</w:t>
      </w:r>
    </w:p>
    <w:p w:rsidR="002A523D" w:rsidRPr="0072410C" w:rsidRDefault="002A523D" w:rsidP="002A523D">
      <w:pPr>
        <w:tabs>
          <w:tab w:val="clear" w:pos="794"/>
          <w:tab w:val="clear" w:pos="1191"/>
          <w:tab w:val="clear" w:pos="1588"/>
          <w:tab w:val="clear" w:pos="1985"/>
          <w:tab w:val="left" w:pos="1134"/>
          <w:tab w:val="left" w:pos="1871"/>
          <w:tab w:val="left" w:pos="2268"/>
        </w:tabs>
        <w:jc w:val="left"/>
        <w:rPr>
          <w:lang w:val="es-ES_tradnl"/>
        </w:rPr>
      </w:pPr>
      <w:r w:rsidRPr="0072410C">
        <w:rPr>
          <w:lang w:val="es-ES_tradnl"/>
        </w:rPr>
        <w:t>Frecuencia de transmisión:</w:t>
      </w:r>
      <w:r w:rsidRPr="0072410C">
        <w:rPr>
          <w:lang w:val="es-ES_tradnl"/>
        </w:rPr>
        <w:tab/>
      </w:r>
      <w:r w:rsidRPr="0072410C">
        <w:rPr>
          <w:lang w:val="es-ES_tradnl"/>
        </w:rPr>
        <w:tab/>
        <w:t>2 167,2 MHz (frecuencia central)</w:t>
      </w:r>
    </w:p>
    <w:p w:rsidR="002A523D" w:rsidRPr="0072410C" w:rsidRDefault="002A523D" w:rsidP="002A523D">
      <w:pPr>
        <w:tabs>
          <w:tab w:val="clear" w:pos="794"/>
          <w:tab w:val="clear" w:pos="1191"/>
          <w:tab w:val="clear" w:pos="1588"/>
          <w:tab w:val="clear" w:pos="1985"/>
          <w:tab w:val="left" w:pos="1134"/>
          <w:tab w:val="left" w:pos="1871"/>
          <w:tab w:val="left" w:pos="2268"/>
        </w:tabs>
        <w:jc w:val="left"/>
        <w:rPr>
          <w:lang w:val="es-ES_tradnl"/>
        </w:rPr>
      </w:pPr>
      <w:r w:rsidRPr="0072410C">
        <w:rPr>
          <w:lang w:val="es-ES_tradnl"/>
        </w:rPr>
        <w:t>Potencia de transmisión:</w:t>
      </w:r>
      <w:r w:rsidRPr="0072410C">
        <w:rPr>
          <w:lang w:val="es-ES_tradnl"/>
        </w:rPr>
        <w:tab/>
      </w:r>
      <w:r w:rsidRPr="0072410C">
        <w:rPr>
          <w:lang w:val="es-ES_tradnl"/>
        </w:rPr>
        <w:tab/>
        <w:t>32 W / 45,1 dBm (valor eficaz a la salida del transmisor)</w:t>
      </w:r>
    </w:p>
    <w:p w:rsidR="002A523D" w:rsidRPr="0072410C" w:rsidRDefault="002A523D" w:rsidP="002A523D">
      <w:pPr>
        <w:tabs>
          <w:tab w:val="clear" w:pos="794"/>
          <w:tab w:val="clear" w:pos="1191"/>
          <w:tab w:val="clear" w:pos="1588"/>
          <w:tab w:val="clear" w:pos="1985"/>
          <w:tab w:val="left" w:pos="1134"/>
          <w:tab w:val="left" w:pos="1871"/>
          <w:tab w:val="left" w:pos="2268"/>
        </w:tabs>
        <w:jc w:val="left"/>
        <w:rPr>
          <w:lang w:val="es-ES_tradnl"/>
        </w:rPr>
      </w:pPr>
      <w:r w:rsidRPr="0072410C">
        <w:rPr>
          <w:lang w:val="es-ES_tradnl"/>
        </w:rPr>
        <w:t>Anchura de banda:</w:t>
      </w:r>
      <w:r w:rsidRPr="0072410C">
        <w:rPr>
          <w:lang w:val="es-ES_tradnl"/>
        </w:rPr>
        <w:tab/>
      </w:r>
      <w:r w:rsidRPr="0072410C">
        <w:rPr>
          <w:lang w:val="es-ES_tradnl"/>
        </w:rPr>
        <w:tab/>
      </w:r>
      <w:r w:rsidRPr="0072410C">
        <w:rPr>
          <w:lang w:val="es-ES_tradnl"/>
        </w:rPr>
        <w:tab/>
      </w:r>
      <w:r w:rsidRPr="0072410C">
        <w:rPr>
          <w:lang w:val="es-ES_tradnl"/>
        </w:rPr>
        <w:tab/>
        <w:t>5 MHz (canal)</w:t>
      </w:r>
    </w:p>
    <w:p w:rsidR="002A523D" w:rsidRPr="0072410C" w:rsidRDefault="002A523D" w:rsidP="002A523D">
      <w:pPr>
        <w:tabs>
          <w:tab w:val="clear" w:pos="794"/>
          <w:tab w:val="clear" w:pos="1191"/>
          <w:tab w:val="clear" w:pos="1588"/>
          <w:tab w:val="clear" w:pos="1985"/>
          <w:tab w:val="left" w:pos="1134"/>
          <w:tab w:val="left" w:pos="1871"/>
          <w:tab w:val="left" w:pos="2268"/>
        </w:tabs>
        <w:jc w:val="left"/>
        <w:rPr>
          <w:lang w:val="es-ES_tradnl"/>
        </w:rPr>
      </w:pPr>
      <w:r w:rsidRPr="0072410C">
        <w:rPr>
          <w:lang w:val="es-ES_tradnl"/>
        </w:rPr>
        <w:t xml:space="preserve">Anchura de banda de la medición: </w:t>
      </w:r>
      <w:r w:rsidRPr="0072410C">
        <w:rPr>
          <w:lang w:val="es-ES_tradnl"/>
        </w:rPr>
        <w:tab/>
        <w:t>30 kHz.</w:t>
      </w:r>
    </w:p>
    <w:p w:rsidR="002A523D" w:rsidRPr="0072410C" w:rsidRDefault="002A523D" w:rsidP="002A523D">
      <w:pPr>
        <w:rPr>
          <w:szCs w:val="24"/>
          <w:shd w:val="solid" w:color="00FFFF" w:fill="auto"/>
          <w:lang w:val="es-ES_tradnl"/>
        </w:rPr>
      </w:pPr>
      <w:r w:rsidRPr="0072410C">
        <w:rPr>
          <w:lang w:val="es-ES_tradnl"/>
        </w:rPr>
        <w:t xml:space="preserve">En la </w:t>
      </w:r>
      <w:r w:rsidR="00345CCD">
        <w:rPr>
          <w:lang w:val="es-ES_tradnl"/>
        </w:rPr>
        <w:t xml:space="preserve">Fig. </w:t>
      </w:r>
      <w:r w:rsidRPr="0072410C">
        <w:rPr>
          <w:lang w:val="es-ES_tradnl"/>
        </w:rPr>
        <w:t xml:space="preserve">20 los niveles están normalizados con respecto a la densidad espectral de potencia en el canal para una anchura de banda de 30 kHz. El límite de </w:t>
      </w:r>
      <w:r w:rsidRPr="0072410C">
        <w:rPr>
          <w:szCs w:val="24"/>
          <w:lang w:val="es-ES_tradnl"/>
        </w:rPr>
        <w:t>−</w:t>
      </w:r>
      <w:r w:rsidRPr="0072410C">
        <w:rPr>
          <w:lang w:val="es-ES_tradnl"/>
        </w:rPr>
        <w:t>30 dBm se define para una anchura de banda de 1 MHz. La transformación a la anchura de banda UMTS de 5 MHz se realiza mediante la fórmula 10*log</w:t>
      </w:r>
      <w:r w:rsidRPr="0072410C">
        <w:rPr>
          <w:szCs w:val="24"/>
          <w:vertAlign w:val="subscript"/>
          <w:lang w:val="es-ES_tradnl"/>
        </w:rPr>
        <w:t>10</w:t>
      </w:r>
      <w:r w:rsidRPr="0072410C">
        <w:rPr>
          <w:lang w:val="es-ES_tradnl"/>
        </w:rPr>
        <w:t xml:space="preserve">(5) = 7 dB. Sobre la base de esa corrección y la normalización con arreglo a la densidad espectral de potencia en el canal, el límite que se muestra en la Figura es </w:t>
      </w:r>
      <w:r w:rsidRPr="0072410C">
        <w:rPr>
          <w:szCs w:val="24"/>
          <w:lang w:val="es-ES_tradnl"/>
        </w:rPr>
        <w:t>−</w:t>
      </w:r>
      <w:r w:rsidRPr="0072410C">
        <w:rPr>
          <w:lang w:val="es-ES_tradnl"/>
        </w:rPr>
        <w:t xml:space="preserve">30 dBm </w:t>
      </w:r>
      <w:r w:rsidRPr="0072410C">
        <w:rPr>
          <w:szCs w:val="24"/>
          <w:lang w:val="es-ES_tradnl"/>
        </w:rPr>
        <w:t>−</w:t>
      </w:r>
      <w:r>
        <w:rPr>
          <w:lang w:val="es-ES_tradnl"/>
        </w:rPr>
        <w:t xml:space="preserve"> (45,</w:t>
      </w:r>
      <w:r w:rsidRPr="0072410C">
        <w:rPr>
          <w:lang w:val="es-ES_tradnl"/>
        </w:rPr>
        <w:t xml:space="preserve">1 dBm-7 dB) = </w:t>
      </w:r>
      <w:r w:rsidRPr="0072410C">
        <w:rPr>
          <w:szCs w:val="24"/>
          <w:lang w:val="es-ES_tradnl"/>
        </w:rPr>
        <w:t>−</w:t>
      </w:r>
      <w:r w:rsidRPr="0072410C">
        <w:rPr>
          <w:lang w:val="es-ES_tradnl"/>
        </w:rPr>
        <w:t>68 dB.</w:t>
      </w:r>
      <w:r w:rsidRPr="0072410C">
        <w:rPr>
          <w:szCs w:val="24"/>
          <w:shd w:val="solid" w:color="00FFFF" w:fill="auto"/>
          <w:lang w:val="es-ES_tradnl"/>
        </w:rPr>
        <w:t xml:space="preserve"> </w:t>
      </w:r>
    </w:p>
    <w:p w:rsidR="002A523D" w:rsidRPr="0072410C" w:rsidRDefault="002A523D" w:rsidP="002A523D">
      <w:pPr>
        <w:pStyle w:val="FigureNo"/>
        <w:rPr>
          <w:lang w:val="es-ES_tradnl"/>
        </w:rPr>
      </w:pPr>
      <w:bookmarkStart w:id="178" w:name="_Ref432421963"/>
      <w:r w:rsidRPr="0072410C">
        <w:rPr>
          <w:lang w:val="es-ES_tradnl"/>
        </w:rPr>
        <w:t>FigurA 20</w:t>
      </w:r>
      <w:bookmarkEnd w:id="178"/>
    </w:p>
    <w:p w:rsidR="002A523D" w:rsidRDefault="002A523D" w:rsidP="002A523D">
      <w:pPr>
        <w:pStyle w:val="Figuretitle"/>
        <w:rPr>
          <w:lang w:val="es-ES_tradnl"/>
        </w:rPr>
      </w:pPr>
      <w:r w:rsidRPr="0072410C">
        <w:rPr>
          <w:lang w:val="es-ES_tradnl"/>
        </w:rPr>
        <w:t xml:space="preserve">Emisiones no esenciales de una estación de base UMTS </w:t>
      </w:r>
    </w:p>
    <w:p w:rsidR="00E66A68" w:rsidRPr="00D24BC5" w:rsidRDefault="00C52E0A" w:rsidP="00E66A68">
      <w:pPr>
        <w:pStyle w:val="Figure"/>
        <w:rPr>
          <w:lang w:val="en-GB" w:eastAsia="zh-CN"/>
        </w:rPr>
      </w:pPr>
      <w:r>
        <w:object w:dxaOrig="6556" w:dyaOrig="4470">
          <v:shape id="_x0000_i1160" type="#_x0000_t75" style="width:433.6pt;height:295pt" o:ole="">
            <v:imagedata r:id="rId70" o:title=""/>
          </v:shape>
          <o:OLEObject Type="Embed" ProgID="CorelDraw.Graphic.16" ShapeID="_x0000_i1160" DrawAspect="Content" ObjectID="_1600519739" r:id="rId71"/>
        </w:object>
      </w:r>
    </w:p>
    <w:p w:rsidR="002A523D" w:rsidRPr="0072410C" w:rsidRDefault="002A523D" w:rsidP="002A523D">
      <w:pPr>
        <w:pStyle w:val="Normalaftertitle"/>
        <w:rPr>
          <w:lang w:val="es-ES_tradnl"/>
        </w:rPr>
      </w:pPr>
      <w:r w:rsidRPr="0072410C">
        <w:rPr>
          <w:rFonts w:eastAsia="Calibri"/>
          <w:lang w:val="es-ES_tradnl"/>
        </w:rPr>
        <w:t xml:space="preserve">Observaciones relativas a la </w:t>
      </w:r>
      <w:r w:rsidR="00345CCD">
        <w:rPr>
          <w:rFonts w:eastAsia="Calibri"/>
          <w:lang w:val="es-ES_tradnl"/>
        </w:rPr>
        <w:t xml:space="preserve">Fig. </w:t>
      </w:r>
      <w:r w:rsidRPr="0072410C">
        <w:rPr>
          <w:rFonts w:eastAsia="Calibri"/>
          <w:lang w:val="es-ES_tradnl"/>
        </w:rPr>
        <w:t>20:</w:t>
      </w:r>
      <w:r w:rsidRPr="0072410C">
        <w:rPr>
          <w:lang w:val="es-ES_tradnl"/>
        </w:rPr>
        <w:t xml:space="preserve"> </w:t>
      </w:r>
    </w:p>
    <w:p w:rsidR="002A523D" w:rsidRPr="0072410C" w:rsidRDefault="002A523D" w:rsidP="002A523D">
      <w:pPr>
        <w:pStyle w:val="enumlev1"/>
        <w:rPr>
          <w:lang w:val="es-ES_tradnl"/>
        </w:rPr>
      </w:pPr>
      <w:r w:rsidRPr="0072410C">
        <w:rPr>
          <w:lang w:val="es-ES_tradnl"/>
        </w:rPr>
        <w:t>–</w:t>
      </w:r>
      <w:r w:rsidRPr="0072410C">
        <w:rPr>
          <w:lang w:val="es-ES_tradnl"/>
        </w:rPr>
        <w:tab/>
        <w:t>La estación objeto de medición, si bien transmite en el canal de frecuencia más elevada, que constituye el caso más crítico para satisfacer los límites de emisiones no esenciales, supera esos límites en aproximadamente 10 dB, aun al comienzo del dominio de emisiones no esenciales.</w:t>
      </w:r>
    </w:p>
    <w:p w:rsidR="002A523D" w:rsidRPr="006B2769" w:rsidRDefault="002A523D" w:rsidP="002A523D">
      <w:pPr>
        <w:pStyle w:val="enumlev1"/>
        <w:rPr>
          <w:rFonts w:asciiTheme="majorBidi" w:hAnsiTheme="majorBidi" w:cstheme="majorBidi"/>
          <w:szCs w:val="24"/>
          <w:highlight w:val="lightGray"/>
          <w:lang w:val="es-ES_tradnl"/>
        </w:rPr>
      </w:pPr>
      <w:r w:rsidRPr="0072410C">
        <w:rPr>
          <w:lang w:val="es-ES_tradnl"/>
        </w:rPr>
        <w:t xml:space="preserve">– </w:t>
      </w:r>
      <w:r w:rsidRPr="0072410C">
        <w:rPr>
          <w:lang w:val="es-ES_tradnl"/>
        </w:rPr>
        <w:tab/>
        <w:t>Para desplazamientos superiores a 20 MHz, los límites se superan en al menos 30 dB. El nivel de las emisiones no esenciales reales para esos desplazamientos es inferior al de las representadas. La limitación corresponde a la sensibilidad de medición.</w:t>
      </w:r>
    </w:p>
    <w:p w:rsidR="002A523D" w:rsidRPr="0072410C" w:rsidRDefault="002A523D" w:rsidP="002A523D">
      <w:pPr>
        <w:pStyle w:val="enumlev1"/>
        <w:rPr>
          <w:rFonts w:asciiTheme="majorBidi" w:hAnsiTheme="majorBidi" w:cstheme="majorBidi"/>
          <w:szCs w:val="24"/>
          <w:lang w:val="es-ES_tradnl"/>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1"/>
        <w:gridCol w:w="1462"/>
        <w:gridCol w:w="2628"/>
        <w:gridCol w:w="1981"/>
        <w:gridCol w:w="2107"/>
      </w:tblGrid>
      <w:tr w:rsidR="002A523D" w:rsidRPr="0072410C" w:rsidTr="0060391F">
        <w:trPr>
          <w:jc w:val="center"/>
        </w:trPr>
        <w:tc>
          <w:tcPr>
            <w:tcW w:w="1417" w:type="dxa"/>
            <w:vMerge w:val="restart"/>
            <w:vAlign w:val="center"/>
          </w:tcPr>
          <w:p w:rsidR="002A523D" w:rsidRPr="0072410C" w:rsidRDefault="002A523D" w:rsidP="0060391F">
            <w:pPr>
              <w:pStyle w:val="Tablehead"/>
              <w:rPr>
                <w:lang w:val="es-ES_tradnl"/>
              </w:rPr>
            </w:pPr>
            <w:r w:rsidRPr="0072410C">
              <w:rPr>
                <w:lang w:val="es-ES_tradnl"/>
              </w:rPr>
              <w:lastRenderedPageBreak/>
              <w:t>Sistema</w:t>
            </w:r>
          </w:p>
        </w:tc>
        <w:tc>
          <w:tcPr>
            <w:tcW w:w="1418" w:type="dxa"/>
            <w:vMerge w:val="restart"/>
            <w:vAlign w:val="center"/>
          </w:tcPr>
          <w:p w:rsidR="002A523D" w:rsidRPr="0072410C" w:rsidRDefault="002A523D" w:rsidP="0060391F">
            <w:pPr>
              <w:pStyle w:val="Tablehead"/>
              <w:rPr>
                <w:lang w:val="es-ES_tradnl"/>
              </w:rPr>
            </w:pPr>
            <w:r w:rsidRPr="0072410C">
              <w:rPr>
                <w:lang w:val="es-ES_tradnl"/>
              </w:rPr>
              <w:t>Figura</w:t>
            </w:r>
          </w:p>
        </w:tc>
        <w:tc>
          <w:tcPr>
            <w:tcW w:w="6515" w:type="dxa"/>
            <w:gridSpan w:val="3"/>
            <w:vAlign w:val="center"/>
          </w:tcPr>
          <w:p w:rsidR="002A523D" w:rsidRPr="0072410C" w:rsidRDefault="002A523D" w:rsidP="0060391F">
            <w:pPr>
              <w:pStyle w:val="Tablehead"/>
              <w:rPr>
                <w:lang w:val="es-ES_tradnl"/>
              </w:rPr>
            </w:pPr>
            <w:r w:rsidRPr="0072410C">
              <w:rPr>
                <w:lang w:val="es-ES_tradnl"/>
              </w:rPr>
              <w:t>Comparación con:</w:t>
            </w:r>
          </w:p>
        </w:tc>
      </w:tr>
      <w:tr w:rsidR="002A523D" w:rsidRPr="007323B2" w:rsidTr="0060391F">
        <w:trPr>
          <w:jc w:val="center"/>
        </w:trPr>
        <w:tc>
          <w:tcPr>
            <w:tcW w:w="1417" w:type="dxa"/>
            <w:vMerge/>
            <w:vAlign w:val="center"/>
          </w:tcPr>
          <w:p w:rsidR="002A523D" w:rsidRPr="0072410C" w:rsidRDefault="002A523D" w:rsidP="0060391F">
            <w:pPr>
              <w:pStyle w:val="Tablehead"/>
              <w:rPr>
                <w:lang w:val="es-ES_tradnl"/>
              </w:rPr>
            </w:pPr>
          </w:p>
        </w:tc>
        <w:tc>
          <w:tcPr>
            <w:tcW w:w="1418" w:type="dxa"/>
            <w:vMerge/>
            <w:vAlign w:val="center"/>
          </w:tcPr>
          <w:p w:rsidR="002A523D" w:rsidRPr="0072410C" w:rsidRDefault="002A523D" w:rsidP="0060391F">
            <w:pPr>
              <w:pStyle w:val="Tablehead"/>
              <w:rPr>
                <w:lang w:val="es-ES_tradnl"/>
              </w:rPr>
            </w:pPr>
          </w:p>
        </w:tc>
        <w:tc>
          <w:tcPr>
            <w:tcW w:w="2549" w:type="dxa"/>
            <w:vAlign w:val="center"/>
          </w:tcPr>
          <w:p w:rsidR="002A523D" w:rsidRPr="0072410C" w:rsidRDefault="002A523D" w:rsidP="0060391F">
            <w:pPr>
              <w:pStyle w:val="Tablehead"/>
              <w:rPr>
                <w:lang w:val="es-ES_tradnl"/>
              </w:rPr>
            </w:pPr>
            <w:r w:rsidRPr="0072410C">
              <w:rPr>
                <w:lang w:val="es-ES_tradnl"/>
              </w:rPr>
              <w:t>Rec. UIT-R SM.329</w:t>
            </w:r>
          </w:p>
        </w:tc>
        <w:tc>
          <w:tcPr>
            <w:tcW w:w="1922" w:type="dxa"/>
            <w:vAlign w:val="center"/>
          </w:tcPr>
          <w:p w:rsidR="002A523D" w:rsidRPr="0072410C" w:rsidRDefault="002A523D" w:rsidP="00604C17">
            <w:pPr>
              <w:pStyle w:val="Tablehead"/>
              <w:rPr>
                <w:lang w:val="es-ES_tradnl"/>
              </w:rPr>
            </w:pPr>
            <w:r w:rsidRPr="0072410C">
              <w:rPr>
                <w:lang w:val="es-ES_tradnl"/>
              </w:rPr>
              <w:t>ERC/Rec 74-01</w:t>
            </w:r>
          </w:p>
        </w:tc>
        <w:tc>
          <w:tcPr>
            <w:tcW w:w="2044" w:type="dxa"/>
            <w:vAlign w:val="center"/>
          </w:tcPr>
          <w:p w:rsidR="002A523D" w:rsidRPr="0072410C" w:rsidRDefault="002A523D" w:rsidP="0060391F">
            <w:pPr>
              <w:pStyle w:val="Tablehead"/>
              <w:rPr>
                <w:lang w:val="es-ES_tradnl"/>
              </w:rPr>
            </w:pPr>
            <w:r w:rsidRPr="0072410C">
              <w:rPr>
                <w:lang w:val="es-ES_tradnl"/>
              </w:rPr>
              <w:t>ETSI</w:t>
            </w:r>
          </w:p>
        </w:tc>
      </w:tr>
      <w:tr w:rsidR="002A523D" w:rsidRPr="0072410C" w:rsidTr="0060391F">
        <w:trPr>
          <w:jc w:val="center"/>
        </w:trPr>
        <w:tc>
          <w:tcPr>
            <w:tcW w:w="1417" w:type="dxa"/>
          </w:tcPr>
          <w:p w:rsidR="002A523D" w:rsidRPr="0072410C" w:rsidRDefault="002A523D" w:rsidP="00345CCD">
            <w:pPr>
              <w:pStyle w:val="Tabletext"/>
              <w:jc w:val="left"/>
              <w:rPr>
                <w:lang w:val="es-ES_tradnl"/>
              </w:rPr>
            </w:pPr>
            <w:r w:rsidRPr="0072410C">
              <w:rPr>
                <w:lang w:val="es-ES_tradnl"/>
              </w:rPr>
              <w:t xml:space="preserve">Estación de base UMTS </w:t>
            </w:r>
          </w:p>
        </w:tc>
        <w:tc>
          <w:tcPr>
            <w:tcW w:w="1418" w:type="dxa"/>
          </w:tcPr>
          <w:p w:rsidR="002A523D" w:rsidRPr="0072410C" w:rsidRDefault="002A523D" w:rsidP="00345CCD">
            <w:pPr>
              <w:pStyle w:val="Tabletext"/>
              <w:jc w:val="left"/>
              <w:rPr>
                <w:lang w:val="es-ES_tradnl"/>
              </w:rPr>
            </w:pPr>
            <w:r w:rsidRPr="0072410C">
              <w:rPr>
                <w:rFonts w:eastAsia="Calibri"/>
                <w:lang w:val="es-ES_tradnl"/>
              </w:rPr>
              <w:t>Figura 20</w:t>
            </w:r>
          </w:p>
        </w:tc>
        <w:tc>
          <w:tcPr>
            <w:tcW w:w="6515" w:type="dxa"/>
            <w:gridSpan w:val="3"/>
          </w:tcPr>
          <w:p w:rsidR="002A523D" w:rsidRPr="0072410C" w:rsidRDefault="002A523D" w:rsidP="00345CCD">
            <w:pPr>
              <w:pStyle w:val="Tabletext"/>
              <w:jc w:val="left"/>
              <w:rPr>
                <w:lang w:val="es-ES_tradnl"/>
              </w:rPr>
            </w:pPr>
            <w:r w:rsidRPr="0072410C">
              <w:rPr>
                <w:lang w:val="es-ES_tradnl"/>
              </w:rPr>
              <w:t>La estación objeto de medición, si bien transmite en el canal de frecuencia más elevada, que constituye el caso más crítico para satisfacer los límites de emisiones no esenciales, supera esos límites en aproximadamente 10 dB, aun al comienzo del dominio de emisiones no esenciales.</w:t>
            </w:r>
          </w:p>
          <w:p w:rsidR="002A523D" w:rsidRPr="0072410C" w:rsidRDefault="002A523D" w:rsidP="00345CCD">
            <w:pPr>
              <w:pStyle w:val="Tabletext"/>
              <w:jc w:val="left"/>
              <w:rPr>
                <w:rFonts w:ascii="Calibri" w:hAnsi="Calibri" w:cs="Calibri"/>
                <w:b/>
                <w:color w:val="800000"/>
                <w:lang w:val="es-ES_tradnl"/>
              </w:rPr>
            </w:pPr>
            <w:r w:rsidRPr="0072410C">
              <w:rPr>
                <w:lang w:val="es-ES_tradnl"/>
              </w:rPr>
              <w:t>Para desplazamientos superiores a 20 MHz, los límites se superan en al menos 30 dB. El nivel de las emisiones no esenciales reales para esos desplazamientos es inferior al de las representadas. La limitación corresponde a la sensibilidad de medición.</w:t>
            </w:r>
          </w:p>
        </w:tc>
      </w:tr>
    </w:tbl>
    <w:p w:rsidR="007323B2" w:rsidRDefault="007323B2" w:rsidP="007323B2">
      <w:pPr>
        <w:pStyle w:val="Tablefin"/>
      </w:pPr>
      <w:bookmarkStart w:id="179" w:name="_Toc386101325"/>
      <w:bookmarkStart w:id="180" w:name="_Toc395724445"/>
      <w:bookmarkStart w:id="181" w:name="_Toc415058560"/>
      <w:bookmarkStart w:id="182" w:name="_Toc449437441"/>
      <w:bookmarkStart w:id="183" w:name="_Toc475540055"/>
      <w:bookmarkStart w:id="184" w:name="_Toc476049685"/>
      <w:bookmarkStart w:id="185" w:name="_Toc525820186"/>
      <w:bookmarkStart w:id="186" w:name="_Toc525820366"/>
    </w:p>
    <w:p w:rsidR="002A523D" w:rsidRPr="0072410C" w:rsidRDefault="002A523D" w:rsidP="002A523D">
      <w:pPr>
        <w:pStyle w:val="Heading1"/>
        <w:rPr>
          <w:lang w:val="es-ES_tradnl"/>
        </w:rPr>
      </w:pPr>
      <w:r w:rsidRPr="0072410C">
        <w:rPr>
          <w:lang w:val="es-ES_tradnl"/>
        </w:rPr>
        <w:t>10</w:t>
      </w:r>
      <w:r w:rsidRPr="0072410C">
        <w:rPr>
          <w:lang w:val="es-ES_tradnl"/>
        </w:rPr>
        <w:tab/>
        <w:t>Dispositivos RLAN en la banda de 2,4 GHz</w:t>
      </w:r>
      <w:bookmarkEnd w:id="179"/>
      <w:bookmarkEnd w:id="180"/>
      <w:bookmarkEnd w:id="181"/>
      <w:bookmarkEnd w:id="182"/>
      <w:bookmarkEnd w:id="183"/>
      <w:bookmarkEnd w:id="184"/>
      <w:bookmarkEnd w:id="185"/>
      <w:bookmarkEnd w:id="186"/>
      <w:r w:rsidRPr="0072410C">
        <w:rPr>
          <w:lang w:val="es-ES_tradnl"/>
        </w:rPr>
        <w:t xml:space="preserve"> </w:t>
      </w:r>
    </w:p>
    <w:p w:rsidR="002A523D" w:rsidRPr="0072410C" w:rsidRDefault="002A523D" w:rsidP="002A523D">
      <w:pPr>
        <w:rPr>
          <w:lang w:val="es-ES_tradnl"/>
        </w:rPr>
      </w:pPr>
      <w:r w:rsidRPr="0072410C">
        <w:rPr>
          <w:lang w:val="es-ES_tradnl"/>
        </w:rPr>
        <w:t>Los dispositivos RLAN o WLAN se utilizan con mucha frecuencia en todo el mundo. Sus aplicaciones se ajustan a la norma IEEE 802.11[28]. Dependiendo de la variante dicha norma, se utiliza una frecuencia en las gamas en torno a 2,4 GHz o a 5,6 GHz. A continuación se enumeran los parámetros pertinentes:</w:t>
      </w:r>
    </w:p>
    <w:p w:rsidR="002A523D" w:rsidRPr="0072410C" w:rsidRDefault="002A523D" w:rsidP="002A523D">
      <w:pPr>
        <w:tabs>
          <w:tab w:val="clear" w:pos="794"/>
          <w:tab w:val="clear" w:pos="1191"/>
          <w:tab w:val="clear" w:pos="1588"/>
          <w:tab w:val="clear" w:pos="1985"/>
          <w:tab w:val="left" w:pos="1134"/>
          <w:tab w:val="left" w:pos="1871"/>
          <w:tab w:val="left" w:pos="2268"/>
        </w:tabs>
        <w:jc w:val="left"/>
        <w:rPr>
          <w:lang w:val="es-ES_tradnl"/>
        </w:rPr>
      </w:pPr>
      <w:r w:rsidRPr="0072410C">
        <w:rPr>
          <w:lang w:val="es-ES_tradnl"/>
        </w:rPr>
        <w:t>Modulación:</w:t>
      </w:r>
      <w:r w:rsidRPr="0072410C">
        <w:rPr>
          <w:lang w:val="es-ES_tradnl"/>
        </w:rPr>
        <w:tab/>
      </w:r>
      <w:r w:rsidRPr="0072410C">
        <w:rPr>
          <w:lang w:val="es-ES_tradnl"/>
        </w:rPr>
        <w:tab/>
      </w:r>
      <w:r w:rsidRPr="0072410C">
        <w:rPr>
          <w:lang w:val="es-ES_tradnl"/>
        </w:rPr>
        <w:tab/>
      </w:r>
      <w:r w:rsidRPr="0072410C">
        <w:rPr>
          <w:lang w:val="es-ES_tradnl"/>
        </w:rPr>
        <w:tab/>
      </w:r>
      <w:r w:rsidRPr="0072410C">
        <w:rPr>
          <w:lang w:val="es-ES_tradnl"/>
        </w:rPr>
        <w:tab/>
      </w:r>
      <w:r w:rsidRPr="0072410C">
        <w:rPr>
          <w:lang w:val="es-ES_tradnl"/>
        </w:rPr>
        <w:tab/>
      </w:r>
      <w:r w:rsidRPr="0072410C">
        <w:rPr>
          <w:lang w:val="es-ES_tradnl"/>
        </w:rPr>
        <w:tab/>
        <w:t xml:space="preserve">MDP4 o MDFD </w:t>
      </w:r>
    </w:p>
    <w:p w:rsidR="002A523D" w:rsidRPr="0072410C" w:rsidRDefault="002A523D" w:rsidP="002A523D">
      <w:pPr>
        <w:tabs>
          <w:tab w:val="clear" w:pos="794"/>
          <w:tab w:val="clear" w:pos="1191"/>
          <w:tab w:val="clear" w:pos="1588"/>
          <w:tab w:val="clear" w:pos="1985"/>
          <w:tab w:val="left" w:pos="1134"/>
          <w:tab w:val="left" w:pos="1871"/>
          <w:tab w:val="left" w:pos="2268"/>
        </w:tabs>
        <w:ind w:left="5760" w:hanging="5760"/>
        <w:jc w:val="left"/>
        <w:rPr>
          <w:lang w:val="es-ES_tradnl"/>
        </w:rPr>
      </w:pPr>
      <w:r w:rsidRPr="0072410C">
        <w:rPr>
          <w:lang w:val="es-ES_tradnl"/>
        </w:rPr>
        <w:t>Máxima potencia radiada:</w:t>
      </w:r>
      <w:r w:rsidRPr="0072410C">
        <w:rPr>
          <w:lang w:val="es-ES_tradnl"/>
        </w:rPr>
        <w:tab/>
        <w:t>100</w:t>
      </w:r>
      <w:r>
        <w:rPr>
          <w:lang w:val="es-ES_tradnl"/>
        </w:rPr>
        <w:t xml:space="preserve"> mW = 20 dBm (nivel promedio de </w:t>
      </w:r>
      <w:r w:rsidRPr="0072410C">
        <w:rPr>
          <w:lang w:val="es-ES_tradnl"/>
        </w:rPr>
        <w:t>ráfagas)</w:t>
      </w:r>
    </w:p>
    <w:p w:rsidR="002A523D" w:rsidRPr="0072410C" w:rsidRDefault="002657D9" w:rsidP="002A523D">
      <w:pPr>
        <w:tabs>
          <w:tab w:val="clear" w:pos="794"/>
          <w:tab w:val="clear" w:pos="1191"/>
          <w:tab w:val="clear" w:pos="1588"/>
          <w:tab w:val="clear" w:pos="1985"/>
          <w:tab w:val="left" w:pos="1134"/>
          <w:tab w:val="left" w:pos="1871"/>
          <w:tab w:val="left" w:pos="2268"/>
        </w:tabs>
        <w:jc w:val="left"/>
        <w:rPr>
          <w:lang w:val="es-ES_tradnl"/>
        </w:rPr>
      </w:pPr>
      <w:r>
        <w:rPr>
          <w:lang w:val="es-ES_tradnl"/>
        </w:rPr>
        <w:t>Anchura de banda:</w:t>
      </w:r>
      <w:r>
        <w:rPr>
          <w:lang w:val="es-ES_tradnl"/>
        </w:rPr>
        <w:tab/>
      </w:r>
      <w:r>
        <w:rPr>
          <w:lang w:val="es-ES_tradnl"/>
        </w:rPr>
        <w:tab/>
      </w:r>
      <w:r>
        <w:rPr>
          <w:lang w:val="es-ES_tradnl"/>
        </w:rPr>
        <w:tab/>
      </w:r>
      <w:r>
        <w:rPr>
          <w:lang w:val="es-ES_tradnl"/>
        </w:rPr>
        <w:tab/>
      </w:r>
      <w:r>
        <w:rPr>
          <w:lang w:val="es-ES_tradnl"/>
        </w:rPr>
        <w:tab/>
      </w:r>
      <w:r>
        <w:rPr>
          <w:lang w:val="es-ES_tradnl"/>
        </w:rPr>
        <w:tab/>
      </w:r>
      <w:r>
        <w:rPr>
          <w:lang w:val="es-ES_tradnl"/>
        </w:rPr>
        <w:tab/>
        <w:t>E</w:t>
      </w:r>
      <w:r w:rsidR="002A523D" w:rsidRPr="0072410C">
        <w:rPr>
          <w:lang w:val="es-ES_tradnl"/>
        </w:rPr>
        <w:t>n torno a 16 MHz</w:t>
      </w:r>
    </w:p>
    <w:p w:rsidR="002A523D" w:rsidRPr="0072410C" w:rsidRDefault="002A523D" w:rsidP="002A523D">
      <w:pPr>
        <w:tabs>
          <w:tab w:val="clear" w:pos="794"/>
          <w:tab w:val="clear" w:pos="1191"/>
          <w:tab w:val="clear" w:pos="1588"/>
          <w:tab w:val="clear" w:pos="1985"/>
          <w:tab w:val="left" w:pos="1134"/>
          <w:tab w:val="left" w:pos="1871"/>
          <w:tab w:val="left" w:pos="2268"/>
        </w:tabs>
        <w:ind w:left="5760" w:hanging="5760"/>
        <w:jc w:val="left"/>
        <w:rPr>
          <w:lang w:val="es-ES_tradnl"/>
        </w:rPr>
      </w:pPr>
      <w:r w:rsidRPr="0072410C">
        <w:rPr>
          <w:lang w:val="es-ES_tradnl"/>
        </w:rPr>
        <w:t>Final del domin</w:t>
      </w:r>
      <w:r w:rsidR="002657D9">
        <w:rPr>
          <w:lang w:val="es-ES_tradnl"/>
        </w:rPr>
        <w:t>io de emisiones no esenciales:</w:t>
      </w:r>
      <w:r w:rsidR="002657D9">
        <w:rPr>
          <w:lang w:val="es-ES_tradnl"/>
        </w:rPr>
        <w:tab/>
        <w:t>D</w:t>
      </w:r>
      <w:r w:rsidRPr="0072410C">
        <w:rPr>
          <w:lang w:val="es-ES_tradnl"/>
        </w:rPr>
        <w:t>esplazamiento de 40 MHz (</w:t>
      </w:r>
      <w:r>
        <w:rPr>
          <w:lang w:val="es-ES_tradnl"/>
        </w:rPr>
        <w:t>regla del </w:t>
      </w:r>
      <w:r w:rsidRPr="0072410C">
        <w:rPr>
          <w:lang w:val="es-ES_tradnl"/>
        </w:rPr>
        <w:t>250%)</w:t>
      </w:r>
    </w:p>
    <w:p w:rsidR="002A523D" w:rsidRPr="0072410C" w:rsidRDefault="002A523D" w:rsidP="002A523D">
      <w:pPr>
        <w:tabs>
          <w:tab w:val="clear" w:pos="794"/>
          <w:tab w:val="clear" w:pos="1191"/>
          <w:tab w:val="clear" w:pos="1588"/>
          <w:tab w:val="clear" w:pos="1985"/>
          <w:tab w:val="left" w:pos="1134"/>
          <w:tab w:val="left" w:pos="1871"/>
          <w:tab w:val="left" w:pos="2268"/>
        </w:tabs>
        <w:ind w:left="5761" w:hanging="5761"/>
        <w:jc w:val="left"/>
        <w:rPr>
          <w:lang w:val="es-ES_tradnl"/>
        </w:rPr>
      </w:pPr>
      <w:r>
        <w:rPr>
          <w:lang w:val="es-ES_tradnl"/>
        </w:rPr>
        <w:t>Duración de las ráfagas:</w:t>
      </w:r>
      <w:r w:rsidR="002657D9">
        <w:rPr>
          <w:lang w:val="es-ES_tradnl"/>
        </w:rPr>
        <w:tab/>
        <w:t>V</w:t>
      </w:r>
      <w:r w:rsidRPr="0072410C">
        <w:rPr>
          <w:lang w:val="es-ES_tradnl"/>
        </w:rPr>
        <w:t>ariable, en función del tráfico, ejemplo: 100 µs</w:t>
      </w:r>
    </w:p>
    <w:p w:rsidR="002A523D" w:rsidRPr="0072410C" w:rsidRDefault="002A523D" w:rsidP="002657D9">
      <w:pPr>
        <w:tabs>
          <w:tab w:val="clear" w:pos="794"/>
          <w:tab w:val="clear" w:pos="1191"/>
          <w:tab w:val="clear" w:pos="1588"/>
          <w:tab w:val="clear" w:pos="1985"/>
          <w:tab w:val="left" w:pos="1134"/>
          <w:tab w:val="left" w:pos="1871"/>
          <w:tab w:val="left" w:pos="2268"/>
        </w:tabs>
        <w:ind w:left="5760" w:hanging="5760"/>
        <w:jc w:val="left"/>
        <w:rPr>
          <w:lang w:val="es-ES_tradnl"/>
        </w:rPr>
      </w:pPr>
      <w:r w:rsidRPr="0072410C">
        <w:rPr>
          <w:lang w:val="es-ES_tradnl"/>
        </w:rPr>
        <w:t>Repetición de las ráfagas:</w:t>
      </w:r>
      <w:r w:rsidRPr="0072410C">
        <w:rPr>
          <w:lang w:val="es-ES_tradnl"/>
        </w:rPr>
        <w:tab/>
      </w:r>
      <w:r w:rsidR="002657D9">
        <w:rPr>
          <w:lang w:val="es-ES_tradnl"/>
        </w:rPr>
        <w:t>V</w:t>
      </w:r>
      <w:r w:rsidRPr="0072410C">
        <w:rPr>
          <w:lang w:val="es-ES_tradnl"/>
        </w:rPr>
        <w:t>ariable, en función del tráfico,</w:t>
      </w:r>
      <w:r>
        <w:rPr>
          <w:lang w:val="es-ES_tradnl"/>
        </w:rPr>
        <w:t xml:space="preserve"> por </w:t>
      </w:r>
      <w:r w:rsidRPr="0072410C">
        <w:rPr>
          <w:lang w:val="es-ES_tradnl"/>
        </w:rPr>
        <w:t>ejemplo 100 ms.</w:t>
      </w:r>
    </w:p>
    <w:p w:rsidR="002A523D" w:rsidRPr="0072410C" w:rsidRDefault="002A523D" w:rsidP="002A523D">
      <w:pPr>
        <w:pStyle w:val="Heading2"/>
        <w:rPr>
          <w:lang w:val="es-ES_tradnl"/>
        </w:rPr>
      </w:pPr>
      <w:bookmarkStart w:id="187" w:name="_Toc449437442"/>
      <w:bookmarkStart w:id="188" w:name="_Toc475540056"/>
      <w:bookmarkStart w:id="189" w:name="_Toc476049686"/>
      <w:r w:rsidRPr="0072410C">
        <w:rPr>
          <w:lang w:val="es-ES_tradnl"/>
        </w:rPr>
        <w:t>10.1</w:t>
      </w:r>
      <w:r w:rsidRPr="0072410C">
        <w:rPr>
          <w:lang w:val="es-ES_tradnl"/>
        </w:rPr>
        <w:tab/>
      </w:r>
      <w:bookmarkEnd w:id="187"/>
      <w:bookmarkEnd w:id="188"/>
      <w:bookmarkEnd w:id="189"/>
      <w:r w:rsidRPr="0072410C">
        <w:rPr>
          <w:lang w:val="es-ES_tradnl"/>
        </w:rPr>
        <w:t>Emisiones fuera de banda</w:t>
      </w:r>
    </w:p>
    <w:p w:rsidR="002A523D" w:rsidRPr="0072410C" w:rsidRDefault="002A523D" w:rsidP="002A523D">
      <w:pPr>
        <w:rPr>
          <w:lang w:val="es-ES_tradnl"/>
        </w:rPr>
      </w:pPr>
      <w:r w:rsidRPr="0072410C">
        <w:rPr>
          <w:lang w:val="es-ES_tradnl"/>
        </w:rPr>
        <w:t>Las mediciones se realizaron mediante tres dispositivos WLAN diferentes:</w:t>
      </w:r>
    </w:p>
    <w:p w:rsidR="002A523D" w:rsidRPr="0072410C" w:rsidRDefault="002A523D" w:rsidP="002A523D">
      <w:pPr>
        <w:tabs>
          <w:tab w:val="clear" w:pos="794"/>
          <w:tab w:val="clear" w:pos="1191"/>
          <w:tab w:val="clear" w:pos="1588"/>
          <w:tab w:val="clear" w:pos="1985"/>
          <w:tab w:val="left" w:pos="1134"/>
          <w:tab w:val="left" w:pos="1871"/>
          <w:tab w:val="left" w:pos="2268"/>
        </w:tabs>
        <w:ind w:left="1560" w:hanging="1560"/>
        <w:jc w:val="left"/>
        <w:rPr>
          <w:lang w:val="es-ES_tradnl"/>
        </w:rPr>
      </w:pPr>
      <w:r>
        <w:rPr>
          <w:lang w:val="es-ES_tradnl"/>
        </w:rPr>
        <w:t>Transmisor 1:</w:t>
      </w:r>
      <w:r w:rsidRPr="0072410C">
        <w:rPr>
          <w:lang w:val="es-ES_tradnl"/>
        </w:rPr>
        <w:tab/>
        <w:t>Punto de acceso RLAN que funciona en modo 802.11g (OFDM), con medición de radiación</w:t>
      </w:r>
    </w:p>
    <w:p w:rsidR="002A523D" w:rsidRPr="0072410C" w:rsidRDefault="002A523D" w:rsidP="002A523D">
      <w:pPr>
        <w:tabs>
          <w:tab w:val="clear" w:pos="794"/>
          <w:tab w:val="clear" w:pos="1191"/>
          <w:tab w:val="clear" w:pos="1588"/>
          <w:tab w:val="clear" w:pos="1985"/>
          <w:tab w:val="left" w:pos="1134"/>
          <w:tab w:val="left" w:pos="1871"/>
          <w:tab w:val="left" w:pos="2268"/>
        </w:tabs>
        <w:ind w:left="1560" w:hanging="1560"/>
        <w:jc w:val="left"/>
        <w:rPr>
          <w:lang w:val="es-ES_tradnl"/>
        </w:rPr>
      </w:pPr>
      <w:r>
        <w:rPr>
          <w:lang w:val="es-ES_tradnl"/>
        </w:rPr>
        <w:t>Transmisor 2:</w:t>
      </w:r>
      <w:r w:rsidRPr="0072410C">
        <w:rPr>
          <w:lang w:val="es-ES_tradnl"/>
        </w:rPr>
        <w:tab/>
        <w:t>Encaminador RLAN que funciona en modo 802.11b (DSSS), con medición a la salida del transmisor</w:t>
      </w:r>
    </w:p>
    <w:p w:rsidR="002A523D" w:rsidRPr="0072410C" w:rsidRDefault="002A523D" w:rsidP="002A523D">
      <w:pPr>
        <w:tabs>
          <w:tab w:val="clear" w:pos="794"/>
          <w:tab w:val="clear" w:pos="1191"/>
          <w:tab w:val="clear" w:pos="1588"/>
          <w:tab w:val="clear" w:pos="1985"/>
          <w:tab w:val="left" w:pos="1134"/>
          <w:tab w:val="left" w:pos="1871"/>
          <w:tab w:val="left" w:pos="2268"/>
        </w:tabs>
        <w:ind w:left="1560" w:hanging="1560"/>
        <w:jc w:val="left"/>
        <w:rPr>
          <w:lang w:val="es-ES_tradnl"/>
        </w:rPr>
      </w:pPr>
      <w:r>
        <w:rPr>
          <w:lang w:val="es-ES_tradnl"/>
        </w:rPr>
        <w:t>Transmisor 3:</w:t>
      </w:r>
      <w:r w:rsidRPr="0072410C">
        <w:rPr>
          <w:lang w:val="es-ES_tradnl"/>
        </w:rPr>
        <w:tab/>
        <w:t>Teléfono inteligente con compatibilidad RLAN que funciona en modo 802.11b (DSSS), con medición de radiación.</w:t>
      </w:r>
    </w:p>
    <w:p w:rsidR="002A523D" w:rsidRPr="0072410C" w:rsidRDefault="002A523D" w:rsidP="002A523D">
      <w:pPr>
        <w:rPr>
          <w:lang w:val="es-ES_tradnl"/>
        </w:rPr>
      </w:pPr>
      <w:r w:rsidRPr="0072410C">
        <w:rPr>
          <w:lang w:val="es-ES_tradnl"/>
        </w:rPr>
        <w:t>Puesto que en la Recomendación UIT-R SM.1541 no figura ningún anexo en el que se especifiquen límites para las emisiones de SRD fuera de banda, la máscara se bas</w:t>
      </w:r>
      <w:r>
        <w:rPr>
          <w:lang w:val="es-ES_tradnl"/>
        </w:rPr>
        <w:t>a en la norma aplicable ETSI EN </w:t>
      </w:r>
      <w:r w:rsidRPr="0072410C">
        <w:rPr>
          <w:lang w:val="es-ES_tradnl"/>
        </w:rPr>
        <w:t>300 328 V1.9.1[19], apartado 4.3.2.8.3. La definición de los límites de las emisiones fuera de la banda atribuida depende de la anchura de banda ocupada, a sab</w:t>
      </w:r>
      <w:r>
        <w:rPr>
          <w:lang w:val="es-ES_tradnl"/>
        </w:rPr>
        <w:t>er, 16,5 MHz para el Transmisor </w:t>
      </w:r>
      <w:r w:rsidRPr="0072410C">
        <w:rPr>
          <w:lang w:val="es-ES_tradnl"/>
        </w:rPr>
        <w:t xml:space="preserve">1 y 15 MHz para los Transmisores 2 y 3. Durante la medición, los tres transmisores funcionaban en el canal de frecuencia más elevada en la banda con frecuencia central de 2 472 MHz. </w:t>
      </w:r>
      <w:r w:rsidRPr="0072410C">
        <w:rPr>
          <w:lang w:val="es-ES_tradnl"/>
        </w:rPr>
        <w:lastRenderedPageBreak/>
        <w:t xml:space="preserve">El límite desde el final de la banda (2 480 MHz) y 2480 + OBW es de −10 dBm/MHz, y entre 2 480 + OBW y 2 480 + 2*OBW es de −20 dBm/MHz (véase la representación de ello en la </w:t>
      </w:r>
      <w:r w:rsidR="00345CCD">
        <w:rPr>
          <w:lang w:val="es-ES_tradnl"/>
        </w:rPr>
        <w:t xml:space="preserve">Fig. </w:t>
      </w:r>
      <w:r w:rsidRPr="0072410C">
        <w:rPr>
          <w:lang w:val="es-ES_tradnl"/>
        </w:rPr>
        <w:t>21).</w:t>
      </w:r>
    </w:p>
    <w:p w:rsidR="002A523D" w:rsidRPr="0072410C" w:rsidRDefault="002A523D" w:rsidP="002A523D">
      <w:pPr>
        <w:rPr>
          <w:lang w:val="es-ES_tradnl"/>
        </w:rPr>
      </w:pPr>
      <w:r w:rsidRPr="0072410C">
        <w:rPr>
          <w:lang w:val="es-ES_tradnl"/>
        </w:rPr>
        <w:t xml:space="preserve">Los niveles de la Fig. 21 muestran valores relativos en dB y están normalizados de forma que el valor de 0 dB corresponda a la densidad espectral de potencia máxima en el canal para la anchura de banda de medición de 300 kHz. Los límites también se han normalizado con arreglo a una anchura de banda de 300 kHz a fin de permitir una comparación directa. </w:t>
      </w:r>
    </w:p>
    <w:p w:rsidR="002A523D" w:rsidRPr="0072410C" w:rsidRDefault="002A523D" w:rsidP="002A523D">
      <w:pPr>
        <w:pStyle w:val="FigureNo"/>
        <w:rPr>
          <w:lang w:val="es-ES_tradnl"/>
        </w:rPr>
      </w:pPr>
      <w:bookmarkStart w:id="190" w:name="_Ref432425310"/>
      <w:r w:rsidRPr="0072410C">
        <w:rPr>
          <w:lang w:val="es-ES_tradnl"/>
        </w:rPr>
        <w:t>FigurA 21</w:t>
      </w:r>
      <w:bookmarkEnd w:id="190"/>
    </w:p>
    <w:p w:rsidR="002A523D" w:rsidRDefault="002A523D" w:rsidP="002A523D">
      <w:pPr>
        <w:pStyle w:val="Figuretitle"/>
        <w:rPr>
          <w:lang w:val="es-ES_tradnl"/>
        </w:rPr>
      </w:pPr>
      <w:r w:rsidRPr="0072410C">
        <w:rPr>
          <w:lang w:val="es-ES_tradnl"/>
        </w:rPr>
        <w:t>Emisiones RLAN fuera de banda</w:t>
      </w:r>
    </w:p>
    <w:p w:rsidR="00E520F4" w:rsidRPr="00D24BC5" w:rsidRDefault="00E940C2" w:rsidP="00E520F4">
      <w:pPr>
        <w:pStyle w:val="Figure"/>
        <w:rPr>
          <w:lang w:val="en-GB"/>
        </w:rPr>
      </w:pPr>
      <w:r>
        <w:object w:dxaOrig="6364" w:dyaOrig="4284">
          <v:shape id="_x0000_i1137" type="#_x0000_t75" style="width:419.1pt;height:282.65pt" o:ole="">
            <v:imagedata r:id="rId72" o:title=""/>
          </v:shape>
          <o:OLEObject Type="Embed" ProgID="CorelDraw.Graphic.16" ShapeID="_x0000_i1137" DrawAspect="Content" ObjectID="_1600519740" r:id="rId73"/>
        </w:object>
      </w:r>
    </w:p>
    <w:p w:rsidR="002A523D" w:rsidRPr="0072410C" w:rsidRDefault="002A523D" w:rsidP="002A523D">
      <w:pPr>
        <w:pStyle w:val="Normalaftertitle"/>
        <w:rPr>
          <w:lang w:val="es-ES_tradnl"/>
        </w:rPr>
      </w:pPr>
      <w:r w:rsidRPr="0072410C">
        <w:rPr>
          <w:rFonts w:eastAsia="Calibri"/>
          <w:lang w:val="es-ES_tradnl"/>
        </w:rPr>
        <w:t xml:space="preserve">Observaciones relativas a la </w:t>
      </w:r>
      <w:r w:rsidR="00345CCD">
        <w:rPr>
          <w:rFonts w:eastAsia="Calibri"/>
          <w:lang w:val="es-ES_tradnl"/>
        </w:rPr>
        <w:t xml:space="preserve">Fig. </w:t>
      </w:r>
      <w:r w:rsidRPr="0072410C">
        <w:rPr>
          <w:rFonts w:eastAsia="Calibri"/>
          <w:lang w:val="es-ES_tradnl"/>
        </w:rPr>
        <w:t>21:</w:t>
      </w:r>
      <w:r w:rsidRPr="0072410C">
        <w:rPr>
          <w:lang w:val="es-ES_tradnl"/>
        </w:rPr>
        <w:t xml:space="preserve"> </w:t>
      </w:r>
    </w:p>
    <w:p w:rsidR="002A523D" w:rsidRPr="002A523D" w:rsidRDefault="002A523D" w:rsidP="002A523D">
      <w:pPr>
        <w:pStyle w:val="enumlev1"/>
        <w:rPr>
          <w:highlight w:val="lightGray"/>
          <w:lang w:val="es-ES_tradnl"/>
        </w:rPr>
      </w:pPr>
      <w:r w:rsidRPr="0072410C">
        <w:rPr>
          <w:lang w:val="es-ES_tradnl"/>
        </w:rPr>
        <w:t>–</w:t>
      </w:r>
      <w:r w:rsidRPr="0072410C">
        <w:rPr>
          <w:lang w:val="es-ES_tradnl"/>
        </w:rPr>
        <w:tab/>
        <w:t>Los tres dispositivos que han sido objeto de medición satisfacen los límites de emisiones fuera de banda ETSI EN 300 328. Para un desplazamiento del 250%, por lo general el valor de las emisiones fuera de banda es al menos 20 dB inferior al límite</w:t>
      </w:r>
      <w:r w:rsidRPr="002A523D">
        <w:rPr>
          <w:lang w:val="es-ES_tradnl"/>
        </w:rPr>
        <w:t>.</w:t>
      </w:r>
    </w:p>
    <w:p w:rsidR="002A523D" w:rsidRPr="0072410C" w:rsidRDefault="002A523D" w:rsidP="002A523D">
      <w:pPr>
        <w:tabs>
          <w:tab w:val="clear" w:pos="794"/>
          <w:tab w:val="clear" w:pos="1191"/>
          <w:tab w:val="clear" w:pos="1588"/>
          <w:tab w:val="clear" w:pos="1985"/>
          <w:tab w:val="left" w:pos="1134"/>
          <w:tab w:val="left" w:pos="1871"/>
          <w:tab w:val="left" w:pos="2608"/>
          <w:tab w:val="left" w:pos="3345"/>
        </w:tabs>
        <w:spacing w:before="80"/>
        <w:ind w:left="1134" w:hanging="1134"/>
        <w:jc w:val="left"/>
        <w:rPr>
          <w:lang w:val="es-ES_tradnl"/>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3"/>
        <w:gridCol w:w="2454"/>
        <w:gridCol w:w="2761"/>
        <w:gridCol w:w="2601"/>
      </w:tblGrid>
      <w:tr w:rsidR="002A523D" w:rsidRPr="0072410C" w:rsidTr="00EE5E0F">
        <w:trPr>
          <w:jc w:val="center"/>
        </w:trPr>
        <w:tc>
          <w:tcPr>
            <w:tcW w:w="1685" w:type="dxa"/>
            <w:vMerge w:val="restart"/>
            <w:vAlign w:val="center"/>
          </w:tcPr>
          <w:p w:rsidR="002A523D" w:rsidRPr="0072410C" w:rsidRDefault="002A523D" w:rsidP="0060391F">
            <w:pPr>
              <w:pStyle w:val="Tablehead"/>
              <w:rPr>
                <w:lang w:val="es-ES_tradnl"/>
              </w:rPr>
            </w:pPr>
            <w:bookmarkStart w:id="191" w:name="_Toc449437443"/>
            <w:r w:rsidRPr="0072410C">
              <w:rPr>
                <w:lang w:val="es-ES_tradnl"/>
              </w:rPr>
              <w:t>Sistema</w:t>
            </w:r>
          </w:p>
        </w:tc>
        <w:tc>
          <w:tcPr>
            <w:tcW w:w="2268" w:type="dxa"/>
            <w:vMerge w:val="restart"/>
            <w:vAlign w:val="center"/>
          </w:tcPr>
          <w:p w:rsidR="002A523D" w:rsidRPr="0072410C" w:rsidRDefault="002A523D" w:rsidP="0060391F">
            <w:pPr>
              <w:pStyle w:val="Tablehead"/>
              <w:rPr>
                <w:lang w:val="es-ES_tradnl"/>
              </w:rPr>
            </w:pPr>
            <w:r w:rsidRPr="0072410C">
              <w:rPr>
                <w:lang w:val="es-ES_tradnl"/>
              </w:rPr>
              <w:t>Figura</w:t>
            </w:r>
          </w:p>
        </w:tc>
        <w:tc>
          <w:tcPr>
            <w:tcW w:w="4956" w:type="dxa"/>
            <w:gridSpan w:val="2"/>
            <w:vAlign w:val="center"/>
          </w:tcPr>
          <w:p w:rsidR="002A523D" w:rsidRPr="0072410C" w:rsidRDefault="002A523D" w:rsidP="0060391F">
            <w:pPr>
              <w:pStyle w:val="Tablehead"/>
              <w:rPr>
                <w:lang w:val="es-ES_tradnl"/>
              </w:rPr>
            </w:pPr>
            <w:r w:rsidRPr="0072410C">
              <w:rPr>
                <w:lang w:val="es-ES_tradnl"/>
              </w:rPr>
              <w:t xml:space="preserve">Comparación con: </w:t>
            </w:r>
          </w:p>
        </w:tc>
      </w:tr>
      <w:tr w:rsidR="002A523D" w:rsidRPr="0072410C" w:rsidTr="00EE5E0F">
        <w:trPr>
          <w:jc w:val="center"/>
        </w:trPr>
        <w:tc>
          <w:tcPr>
            <w:tcW w:w="1685" w:type="dxa"/>
            <w:vMerge/>
            <w:vAlign w:val="center"/>
          </w:tcPr>
          <w:p w:rsidR="002A523D" w:rsidRPr="0072410C" w:rsidRDefault="002A523D" w:rsidP="0060391F">
            <w:pPr>
              <w:pStyle w:val="Tablehead"/>
              <w:rPr>
                <w:lang w:val="es-ES_tradnl"/>
              </w:rPr>
            </w:pPr>
          </w:p>
        </w:tc>
        <w:tc>
          <w:tcPr>
            <w:tcW w:w="2268" w:type="dxa"/>
            <w:vMerge/>
            <w:vAlign w:val="center"/>
          </w:tcPr>
          <w:p w:rsidR="002A523D" w:rsidRPr="0072410C" w:rsidRDefault="002A523D" w:rsidP="0060391F">
            <w:pPr>
              <w:pStyle w:val="Tablehead"/>
              <w:rPr>
                <w:lang w:val="es-ES_tradnl"/>
              </w:rPr>
            </w:pPr>
          </w:p>
        </w:tc>
        <w:tc>
          <w:tcPr>
            <w:tcW w:w="2552" w:type="dxa"/>
            <w:vAlign w:val="center"/>
          </w:tcPr>
          <w:p w:rsidR="002A523D" w:rsidRPr="0072410C" w:rsidRDefault="002A523D" w:rsidP="0060391F">
            <w:pPr>
              <w:pStyle w:val="Tablehead"/>
              <w:rPr>
                <w:lang w:val="es-ES_tradnl"/>
              </w:rPr>
            </w:pPr>
            <w:r w:rsidRPr="0072410C">
              <w:rPr>
                <w:lang w:val="es-ES_tradnl"/>
              </w:rPr>
              <w:t>Rec. UIT-R SM.1541</w:t>
            </w:r>
          </w:p>
        </w:tc>
        <w:tc>
          <w:tcPr>
            <w:tcW w:w="2404" w:type="dxa"/>
            <w:vAlign w:val="center"/>
          </w:tcPr>
          <w:p w:rsidR="002A523D" w:rsidRPr="0072410C" w:rsidRDefault="002A523D" w:rsidP="0060391F">
            <w:pPr>
              <w:pStyle w:val="Tablehead"/>
              <w:rPr>
                <w:lang w:val="es-ES_tradnl"/>
              </w:rPr>
            </w:pPr>
            <w:r w:rsidRPr="0072410C">
              <w:rPr>
                <w:lang w:val="es-ES_tradnl"/>
              </w:rPr>
              <w:t xml:space="preserve">ETSI </w:t>
            </w:r>
            <w:r w:rsidRPr="0072410C">
              <w:rPr>
                <w:szCs w:val="24"/>
                <w:lang w:val="es-ES_tradnl"/>
              </w:rPr>
              <w:t>EN 300 328</w:t>
            </w:r>
          </w:p>
        </w:tc>
      </w:tr>
      <w:tr w:rsidR="002A523D" w:rsidRPr="00EF7B19" w:rsidTr="0060391F">
        <w:trPr>
          <w:jc w:val="center"/>
        </w:trPr>
        <w:tc>
          <w:tcPr>
            <w:tcW w:w="1685" w:type="dxa"/>
          </w:tcPr>
          <w:p w:rsidR="002A523D" w:rsidRPr="0072410C" w:rsidRDefault="002A523D" w:rsidP="0060391F">
            <w:pPr>
              <w:pStyle w:val="Tabletext"/>
              <w:rPr>
                <w:lang w:val="es-ES_tradnl"/>
              </w:rPr>
            </w:pPr>
            <w:r w:rsidRPr="0072410C">
              <w:rPr>
                <w:lang w:val="es-ES_tradnl"/>
              </w:rPr>
              <w:t>RLAN</w:t>
            </w:r>
          </w:p>
        </w:tc>
        <w:tc>
          <w:tcPr>
            <w:tcW w:w="2268" w:type="dxa"/>
          </w:tcPr>
          <w:p w:rsidR="002A523D" w:rsidRPr="0072410C" w:rsidRDefault="002A523D" w:rsidP="0060391F">
            <w:pPr>
              <w:pStyle w:val="Tabletext"/>
              <w:rPr>
                <w:lang w:val="es-ES_tradnl"/>
              </w:rPr>
            </w:pPr>
            <w:r w:rsidRPr="0072410C">
              <w:rPr>
                <w:lang w:val="es-ES_tradnl"/>
              </w:rPr>
              <w:t>Figura 21</w:t>
            </w:r>
          </w:p>
        </w:tc>
        <w:tc>
          <w:tcPr>
            <w:tcW w:w="2552" w:type="dxa"/>
          </w:tcPr>
          <w:p w:rsidR="002A523D" w:rsidRPr="0072410C" w:rsidRDefault="002A523D" w:rsidP="00EE5E0F">
            <w:pPr>
              <w:pStyle w:val="Tabletext"/>
              <w:jc w:val="left"/>
              <w:rPr>
                <w:lang w:val="es-ES_tradnl"/>
              </w:rPr>
            </w:pPr>
            <w:r w:rsidRPr="0072410C">
              <w:rPr>
                <w:lang w:val="es-ES_tradnl"/>
              </w:rPr>
              <w:t>En esta Recomendación no figura ninguna información sobre límites de emisiones fuera de banda para este tipo de aplicación.</w:t>
            </w:r>
          </w:p>
        </w:tc>
        <w:tc>
          <w:tcPr>
            <w:tcW w:w="2404" w:type="dxa"/>
          </w:tcPr>
          <w:p w:rsidR="002A523D" w:rsidRPr="0072410C" w:rsidRDefault="002A523D" w:rsidP="00EE5E0F">
            <w:pPr>
              <w:pStyle w:val="Tabletext"/>
              <w:jc w:val="left"/>
              <w:rPr>
                <w:rFonts w:ascii="Calibri" w:hAnsi="Calibri" w:cs="Calibri"/>
                <w:b/>
                <w:color w:val="800000"/>
                <w:highlight w:val="lightGray"/>
                <w:lang w:val="es-ES_tradnl"/>
              </w:rPr>
            </w:pPr>
            <w:r w:rsidRPr="0072410C">
              <w:rPr>
                <w:lang w:val="es-ES_tradnl"/>
              </w:rPr>
              <w:t>Para un desplazamiento del 250%, por lo general el valor de las emisiones fuera de banda es al menos 20 dB inferior al límite.</w:t>
            </w:r>
          </w:p>
        </w:tc>
      </w:tr>
    </w:tbl>
    <w:p w:rsidR="002A523D" w:rsidRPr="0072410C" w:rsidRDefault="002A523D" w:rsidP="002A523D">
      <w:pPr>
        <w:pStyle w:val="Heading2"/>
        <w:rPr>
          <w:highlight w:val="lightGray"/>
          <w:lang w:val="es-ES_tradnl"/>
        </w:rPr>
      </w:pPr>
      <w:bookmarkStart w:id="192" w:name="_Toc475540057"/>
      <w:bookmarkStart w:id="193" w:name="_Toc476049687"/>
      <w:r w:rsidRPr="0072410C">
        <w:rPr>
          <w:lang w:val="es-ES_tradnl"/>
        </w:rPr>
        <w:t>10.2</w:t>
      </w:r>
      <w:r w:rsidRPr="0072410C">
        <w:rPr>
          <w:lang w:val="es-ES_tradnl"/>
        </w:rPr>
        <w:tab/>
      </w:r>
      <w:bookmarkEnd w:id="191"/>
      <w:bookmarkEnd w:id="192"/>
      <w:bookmarkEnd w:id="193"/>
      <w:r w:rsidRPr="0072410C">
        <w:rPr>
          <w:lang w:val="es-ES_tradnl"/>
        </w:rPr>
        <w:t>Emisión no esencial</w:t>
      </w:r>
    </w:p>
    <w:p w:rsidR="002A523D" w:rsidRPr="0072410C" w:rsidRDefault="002A523D" w:rsidP="002A523D">
      <w:pPr>
        <w:rPr>
          <w:lang w:val="es-ES_tradnl"/>
        </w:rPr>
      </w:pPr>
      <w:r w:rsidRPr="0072410C">
        <w:rPr>
          <w:lang w:val="es-ES_tradnl"/>
        </w:rPr>
        <w:t>Con respecto a los sistemas RLAN, en el Cuadro 2.1, número de</w:t>
      </w:r>
      <w:r>
        <w:rPr>
          <w:lang w:val="es-ES_tradnl"/>
        </w:rPr>
        <w:t xml:space="preserve"> referencia 2.1.2 de ERC/REC 74</w:t>
      </w:r>
      <w:r>
        <w:rPr>
          <w:lang w:val="es-ES_tradnl"/>
        </w:rPr>
        <w:noBreakHyphen/>
      </w:r>
      <w:r w:rsidRPr="0072410C">
        <w:rPr>
          <w:lang w:val="es-ES_tradnl"/>
        </w:rPr>
        <w:t xml:space="preserve">01 y la Recomendación UIT-R SM.329, se especifica un límite de emisiones no esenciales de −30 dBm para una anchura de banda de 1 MHz en Europa (Cat B). </w:t>
      </w:r>
    </w:p>
    <w:p w:rsidR="002A523D" w:rsidRPr="0072410C" w:rsidRDefault="002A523D" w:rsidP="002A523D">
      <w:pPr>
        <w:rPr>
          <w:lang w:val="es-ES_tradnl"/>
        </w:rPr>
      </w:pPr>
      <w:r w:rsidRPr="0072410C">
        <w:rPr>
          <w:lang w:val="es-ES_tradnl"/>
        </w:rPr>
        <w:lastRenderedPageBreak/>
        <w:t>En ETSI EN 300 328, apartado 4.3.1.10.3, Cuadro 1, se especifica un nivel de emisión no esencial para transmisores de emisiones de banda ancha de −30 dBm en 1 MHz para la gama de frecuencias de 1 GHz a 12,75 GHz.</w:t>
      </w:r>
    </w:p>
    <w:p w:rsidR="002A523D" w:rsidRPr="0072410C" w:rsidRDefault="002A523D" w:rsidP="002A523D">
      <w:pPr>
        <w:rPr>
          <w:lang w:val="es-ES_tradnl"/>
        </w:rPr>
      </w:pPr>
      <w:r w:rsidRPr="0072410C">
        <w:rPr>
          <w:lang w:val="es-ES_tradnl"/>
        </w:rPr>
        <w:t xml:space="preserve">Las mediciones se realizaron en los tres dispositivos RLAN utilizados para las mediciones de las emisiones fuera de banda relativas a </w:t>
      </w:r>
      <w:r w:rsidR="00345CCD">
        <w:rPr>
          <w:lang w:val="es-ES_tradnl"/>
        </w:rPr>
        <w:t xml:space="preserve">la Fig. </w:t>
      </w:r>
      <w:r w:rsidRPr="0072410C">
        <w:rPr>
          <w:lang w:val="es-ES_tradnl"/>
        </w:rPr>
        <w:t xml:space="preserve">21, con una anchura de banda de medición de 300 kHz. Con objeto de realizar una comparación directa con los límites pertinentes se aplicó una gama de valores variables de integración de 1 MHz para transformar los valores medidos en la anchura de banda de referencia de 1 MHz. Puesto que los valores de la </w:t>
      </w:r>
      <w:r w:rsidR="00345CCD">
        <w:rPr>
          <w:lang w:val="es-ES_tradnl"/>
        </w:rPr>
        <w:t xml:space="preserve">Fig. </w:t>
      </w:r>
      <w:r w:rsidRPr="0072410C">
        <w:rPr>
          <w:lang w:val="es-ES_tradnl"/>
        </w:rPr>
        <w:t>22 están normalizados con arreglo a la potencia total en el canal de 20 dBm, el límite de −30 dBm de la Recomendación UIT-R SM.329 y ETSI EN 300 328 corresponde a un nivel relativo de −50 dB.</w:t>
      </w:r>
    </w:p>
    <w:p w:rsidR="002A523D" w:rsidRPr="0072410C" w:rsidRDefault="002A523D" w:rsidP="002A523D">
      <w:pPr>
        <w:rPr>
          <w:lang w:val="es-ES_tradnl"/>
        </w:rPr>
      </w:pPr>
      <w:r w:rsidRPr="0072410C">
        <w:rPr>
          <w:lang w:val="es-ES_tradnl"/>
        </w:rPr>
        <w:t>Los niveles que se muestran en el gráfico pueden transformarse directamente en niveles de radiación en una anchura de banda de 1 MHz añadiendo 20 dB.</w:t>
      </w:r>
    </w:p>
    <w:p w:rsidR="002A523D" w:rsidRPr="0072410C" w:rsidRDefault="002A523D" w:rsidP="002A523D">
      <w:pPr>
        <w:pStyle w:val="FigureNo"/>
        <w:rPr>
          <w:lang w:val="es-ES_tradnl"/>
        </w:rPr>
      </w:pPr>
      <w:bookmarkStart w:id="194" w:name="_Ref447625354"/>
      <w:r w:rsidRPr="0072410C">
        <w:rPr>
          <w:lang w:val="es-ES_tradnl"/>
        </w:rPr>
        <w:t>FigurA 22</w:t>
      </w:r>
      <w:bookmarkEnd w:id="194"/>
    </w:p>
    <w:p w:rsidR="002A523D" w:rsidRDefault="002A523D" w:rsidP="002A523D">
      <w:pPr>
        <w:pStyle w:val="Figuretitle"/>
        <w:rPr>
          <w:lang w:val="es-ES_tradnl"/>
        </w:rPr>
      </w:pPr>
      <w:r w:rsidRPr="0072410C">
        <w:rPr>
          <w:lang w:val="es-ES_tradnl"/>
        </w:rPr>
        <w:t>Emisiones RLAN no esenciales</w:t>
      </w:r>
    </w:p>
    <w:p w:rsidR="00EE5E0F" w:rsidRPr="00D24BC5" w:rsidRDefault="00C52E0A" w:rsidP="00EE5E0F">
      <w:pPr>
        <w:pStyle w:val="Figure"/>
        <w:rPr>
          <w:lang w:val="en-GB" w:eastAsia="zh-CN"/>
        </w:rPr>
      </w:pPr>
      <w:r>
        <w:object w:dxaOrig="6635" w:dyaOrig="4417">
          <v:shape id="_x0000_i1162" type="#_x0000_t75" style="width:439pt;height:292.3pt" o:ole="">
            <v:imagedata r:id="rId74" o:title=""/>
          </v:shape>
          <o:OLEObject Type="Embed" ProgID="CorelDraw.Graphic.16" ShapeID="_x0000_i1162" DrawAspect="Content" ObjectID="_1600519741" r:id="rId75"/>
        </w:object>
      </w:r>
    </w:p>
    <w:p w:rsidR="002A523D" w:rsidRPr="0072410C" w:rsidRDefault="002A523D" w:rsidP="002A523D">
      <w:pPr>
        <w:pStyle w:val="Normalaftertitle"/>
        <w:rPr>
          <w:lang w:val="es-ES_tradnl"/>
        </w:rPr>
      </w:pPr>
      <w:r w:rsidRPr="0072410C">
        <w:rPr>
          <w:rFonts w:eastAsia="Calibri"/>
          <w:lang w:val="es-ES_tradnl"/>
        </w:rPr>
        <w:t>Observaciones:</w:t>
      </w:r>
      <w:r w:rsidRPr="0072410C">
        <w:rPr>
          <w:lang w:val="es-ES_tradnl"/>
        </w:rPr>
        <w:t xml:space="preserve"> </w:t>
      </w:r>
    </w:p>
    <w:p w:rsidR="002A523D" w:rsidRPr="0072410C" w:rsidRDefault="002A523D" w:rsidP="002A523D">
      <w:pPr>
        <w:pStyle w:val="enumlev1"/>
        <w:rPr>
          <w:lang w:val="es-ES_tradnl"/>
        </w:rPr>
      </w:pPr>
      <w:r w:rsidRPr="0072410C">
        <w:rPr>
          <w:lang w:val="es-ES_tradnl"/>
        </w:rPr>
        <w:t>–</w:t>
      </w:r>
      <w:r w:rsidRPr="0072410C">
        <w:rPr>
          <w:lang w:val="es-ES_tradnl"/>
        </w:rPr>
        <w:tab/>
        <w:t>Aun los límites más restrictivos de la Recomendación UIT-R SM.329 se satisfacen para un margen habitual de 20 a 30 dB.</w:t>
      </w:r>
    </w:p>
    <w:p w:rsidR="002A523D" w:rsidRPr="00505FB1" w:rsidRDefault="002A523D" w:rsidP="002A523D">
      <w:pPr>
        <w:pStyle w:val="enumlev1"/>
        <w:rPr>
          <w:sz w:val="16"/>
          <w:szCs w:val="16"/>
          <w:lang w:val="es-ES_tradnl"/>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7"/>
        <w:gridCol w:w="1488"/>
        <w:gridCol w:w="2156"/>
        <w:gridCol w:w="1981"/>
        <w:gridCol w:w="2107"/>
      </w:tblGrid>
      <w:tr w:rsidR="002A523D" w:rsidRPr="0072410C" w:rsidTr="00505FB1">
        <w:trPr>
          <w:jc w:val="center"/>
        </w:trPr>
        <w:tc>
          <w:tcPr>
            <w:tcW w:w="1907" w:type="dxa"/>
            <w:vMerge w:val="restart"/>
            <w:vAlign w:val="center"/>
          </w:tcPr>
          <w:p w:rsidR="002A523D" w:rsidRPr="0072410C" w:rsidRDefault="002A523D" w:rsidP="0060391F">
            <w:pPr>
              <w:pStyle w:val="Tablehead"/>
              <w:rPr>
                <w:lang w:val="es-ES_tradnl"/>
              </w:rPr>
            </w:pPr>
            <w:bookmarkStart w:id="195" w:name="_Toc449437444"/>
            <w:r w:rsidRPr="0072410C">
              <w:rPr>
                <w:lang w:val="es-ES_tradnl"/>
              </w:rPr>
              <w:t>Sistema</w:t>
            </w:r>
          </w:p>
        </w:tc>
        <w:tc>
          <w:tcPr>
            <w:tcW w:w="1488" w:type="dxa"/>
            <w:vMerge w:val="restart"/>
            <w:vAlign w:val="center"/>
          </w:tcPr>
          <w:p w:rsidR="002A523D" w:rsidRPr="0072410C" w:rsidRDefault="002A523D" w:rsidP="0060391F">
            <w:pPr>
              <w:pStyle w:val="Tablehead"/>
              <w:rPr>
                <w:lang w:val="es-ES_tradnl"/>
              </w:rPr>
            </w:pPr>
            <w:r w:rsidRPr="0072410C">
              <w:rPr>
                <w:lang w:val="es-ES_tradnl"/>
              </w:rPr>
              <w:t>Figura</w:t>
            </w:r>
          </w:p>
        </w:tc>
        <w:tc>
          <w:tcPr>
            <w:tcW w:w="6244" w:type="dxa"/>
            <w:gridSpan w:val="3"/>
          </w:tcPr>
          <w:p w:rsidR="002A523D" w:rsidRPr="0072410C" w:rsidRDefault="002A523D" w:rsidP="0060391F">
            <w:pPr>
              <w:pStyle w:val="Tablehead"/>
              <w:rPr>
                <w:lang w:val="es-ES_tradnl"/>
              </w:rPr>
            </w:pPr>
            <w:r w:rsidRPr="0072410C">
              <w:rPr>
                <w:lang w:val="es-ES_tradnl"/>
              </w:rPr>
              <w:t xml:space="preserve">Comparación con: </w:t>
            </w:r>
          </w:p>
        </w:tc>
      </w:tr>
      <w:tr w:rsidR="002A523D" w:rsidRPr="0072410C" w:rsidTr="00505FB1">
        <w:trPr>
          <w:jc w:val="center"/>
        </w:trPr>
        <w:tc>
          <w:tcPr>
            <w:tcW w:w="1907" w:type="dxa"/>
            <w:vMerge/>
          </w:tcPr>
          <w:p w:rsidR="002A523D" w:rsidRPr="0072410C" w:rsidRDefault="002A523D" w:rsidP="0060391F">
            <w:pPr>
              <w:pStyle w:val="Tablehead"/>
              <w:rPr>
                <w:lang w:val="es-ES_tradnl"/>
              </w:rPr>
            </w:pPr>
          </w:p>
        </w:tc>
        <w:tc>
          <w:tcPr>
            <w:tcW w:w="1488" w:type="dxa"/>
            <w:vMerge/>
          </w:tcPr>
          <w:p w:rsidR="002A523D" w:rsidRPr="0072410C" w:rsidRDefault="002A523D" w:rsidP="0060391F">
            <w:pPr>
              <w:pStyle w:val="Tablehead"/>
              <w:rPr>
                <w:lang w:val="es-ES_tradnl"/>
              </w:rPr>
            </w:pPr>
          </w:p>
        </w:tc>
        <w:tc>
          <w:tcPr>
            <w:tcW w:w="2156" w:type="dxa"/>
          </w:tcPr>
          <w:p w:rsidR="002A523D" w:rsidRPr="0072410C" w:rsidRDefault="002A523D" w:rsidP="0060391F">
            <w:pPr>
              <w:pStyle w:val="Tablehead"/>
              <w:rPr>
                <w:lang w:val="es-ES_tradnl"/>
              </w:rPr>
            </w:pPr>
            <w:r w:rsidRPr="0072410C">
              <w:rPr>
                <w:lang w:val="es-ES_tradnl"/>
              </w:rPr>
              <w:t>Rec. UIT-R SM.329</w:t>
            </w:r>
          </w:p>
        </w:tc>
        <w:tc>
          <w:tcPr>
            <w:tcW w:w="1981" w:type="dxa"/>
          </w:tcPr>
          <w:p w:rsidR="002A523D" w:rsidRPr="0072410C" w:rsidRDefault="002A523D" w:rsidP="0060391F">
            <w:pPr>
              <w:pStyle w:val="Tablehead"/>
              <w:rPr>
                <w:lang w:val="es-ES_tradnl"/>
              </w:rPr>
            </w:pPr>
            <w:r w:rsidRPr="0072410C">
              <w:rPr>
                <w:lang w:val="es-ES_tradnl"/>
              </w:rPr>
              <w:t>ERC/Rec 74-01</w:t>
            </w:r>
          </w:p>
        </w:tc>
        <w:tc>
          <w:tcPr>
            <w:tcW w:w="2107" w:type="dxa"/>
          </w:tcPr>
          <w:p w:rsidR="002A523D" w:rsidRPr="0072410C" w:rsidRDefault="002A523D" w:rsidP="0060391F">
            <w:pPr>
              <w:pStyle w:val="Tablehead"/>
              <w:rPr>
                <w:lang w:val="es-ES_tradnl"/>
              </w:rPr>
            </w:pPr>
            <w:r w:rsidRPr="0072410C">
              <w:rPr>
                <w:lang w:val="es-ES_tradnl"/>
              </w:rPr>
              <w:t>ETSI</w:t>
            </w:r>
          </w:p>
        </w:tc>
      </w:tr>
      <w:tr w:rsidR="002A523D" w:rsidRPr="00EF7B19" w:rsidTr="00505FB1">
        <w:trPr>
          <w:jc w:val="center"/>
        </w:trPr>
        <w:tc>
          <w:tcPr>
            <w:tcW w:w="1907" w:type="dxa"/>
          </w:tcPr>
          <w:p w:rsidR="002A523D" w:rsidRPr="0072410C" w:rsidRDefault="002A523D" w:rsidP="0060391F">
            <w:pPr>
              <w:pStyle w:val="Tabletext"/>
              <w:rPr>
                <w:lang w:val="es-ES_tradnl"/>
              </w:rPr>
            </w:pPr>
            <w:r w:rsidRPr="0072410C">
              <w:rPr>
                <w:lang w:val="es-ES_tradnl"/>
              </w:rPr>
              <w:t>RLAN</w:t>
            </w:r>
          </w:p>
        </w:tc>
        <w:tc>
          <w:tcPr>
            <w:tcW w:w="1488" w:type="dxa"/>
          </w:tcPr>
          <w:p w:rsidR="002A523D" w:rsidRPr="0072410C" w:rsidRDefault="002A523D" w:rsidP="0060391F">
            <w:pPr>
              <w:pStyle w:val="Tabletext"/>
              <w:rPr>
                <w:lang w:val="es-ES_tradnl"/>
              </w:rPr>
            </w:pPr>
            <w:r w:rsidRPr="0072410C">
              <w:rPr>
                <w:lang w:val="es-ES_tradnl"/>
              </w:rPr>
              <w:t>Figura 22</w:t>
            </w:r>
          </w:p>
        </w:tc>
        <w:tc>
          <w:tcPr>
            <w:tcW w:w="6244" w:type="dxa"/>
            <w:gridSpan w:val="3"/>
          </w:tcPr>
          <w:p w:rsidR="002A523D" w:rsidRPr="0072410C" w:rsidRDefault="002A523D" w:rsidP="0060391F">
            <w:pPr>
              <w:pStyle w:val="Tabletext"/>
              <w:rPr>
                <w:lang w:val="es-ES_tradnl"/>
              </w:rPr>
            </w:pPr>
            <w:r w:rsidRPr="0072410C">
              <w:rPr>
                <w:lang w:val="es-ES_tradnl"/>
              </w:rPr>
              <w:t>Los límites se satisfacen para un margen habitual de 20 a 30 dB.</w:t>
            </w:r>
          </w:p>
        </w:tc>
      </w:tr>
    </w:tbl>
    <w:p w:rsidR="00505FB1" w:rsidRDefault="00505FB1" w:rsidP="00505FB1">
      <w:pPr>
        <w:pStyle w:val="Tablefin"/>
      </w:pPr>
    </w:p>
    <w:p w:rsidR="002A523D" w:rsidRPr="0072410C" w:rsidRDefault="002A523D" w:rsidP="002A523D">
      <w:pPr>
        <w:pStyle w:val="Heading1"/>
        <w:rPr>
          <w:lang w:val="es-ES_tradnl"/>
        </w:rPr>
      </w:pPr>
      <w:bookmarkStart w:id="196" w:name="_Toc475540058"/>
      <w:bookmarkStart w:id="197" w:name="_Toc476049688"/>
      <w:bookmarkStart w:id="198" w:name="_Toc525820187"/>
      <w:bookmarkStart w:id="199" w:name="_Toc525820367"/>
      <w:r w:rsidRPr="0072410C">
        <w:rPr>
          <w:lang w:val="es-ES_tradnl"/>
        </w:rPr>
        <w:lastRenderedPageBreak/>
        <w:t>11</w:t>
      </w:r>
      <w:r w:rsidRPr="0072410C">
        <w:rPr>
          <w:lang w:val="es-ES_tradnl"/>
        </w:rPr>
        <w:tab/>
        <w:t xml:space="preserve">WIMAX 3.6 GHz </w:t>
      </w:r>
      <w:bookmarkEnd w:id="195"/>
      <w:bookmarkEnd w:id="196"/>
      <w:bookmarkEnd w:id="197"/>
      <w:r>
        <w:rPr>
          <w:lang w:val="es-ES_tradnl"/>
        </w:rPr>
        <w:t>EU</w:t>
      </w:r>
      <w:bookmarkEnd w:id="198"/>
      <w:bookmarkEnd w:id="199"/>
    </w:p>
    <w:p w:rsidR="002A523D" w:rsidRPr="0072410C" w:rsidRDefault="002A523D" w:rsidP="002A523D">
      <w:pPr>
        <w:keepNext/>
        <w:keepLines/>
        <w:rPr>
          <w:lang w:val="es-ES_tradnl"/>
        </w:rPr>
      </w:pPr>
      <w:r w:rsidRPr="0072410C">
        <w:rPr>
          <w:lang w:val="es-ES_tradnl"/>
        </w:rPr>
        <w:t>WiMAX es un sistema de acceso inalámbrico de banda ancha. La banda correspondiente a WiMAX posee las siguientes características RF:</w:t>
      </w:r>
    </w:p>
    <w:p w:rsidR="002A523D" w:rsidRPr="0072410C" w:rsidRDefault="002A523D" w:rsidP="002A523D">
      <w:pPr>
        <w:keepNext/>
        <w:keepLines/>
        <w:tabs>
          <w:tab w:val="clear" w:pos="794"/>
          <w:tab w:val="clear" w:pos="1191"/>
          <w:tab w:val="clear" w:pos="1588"/>
          <w:tab w:val="clear" w:pos="1985"/>
          <w:tab w:val="left" w:pos="1134"/>
          <w:tab w:val="left" w:pos="1871"/>
          <w:tab w:val="left" w:pos="2268"/>
        </w:tabs>
        <w:jc w:val="left"/>
        <w:rPr>
          <w:lang w:val="es-ES_tradnl"/>
        </w:rPr>
      </w:pPr>
      <w:r w:rsidRPr="0072410C">
        <w:rPr>
          <w:lang w:val="es-ES_tradnl"/>
        </w:rPr>
        <w:t>Gama de frecuencias:</w:t>
      </w:r>
      <w:r w:rsidRPr="0072410C">
        <w:rPr>
          <w:lang w:val="es-ES_tradnl"/>
        </w:rPr>
        <w:tab/>
        <w:t>3 600-3 800 MHz</w:t>
      </w:r>
    </w:p>
    <w:p w:rsidR="002A523D" w:rsidRPr="0072410C" w:rsidRDefault="002A523D" w:rsidP="002A523D">
      <w:pPr>
        <w:keepNext/>
        <w:keepLines/>
        <w:tabs>
          <w:tab w:val="clear" w:pos="794"/>
          <w:tab w:val="clear" w:pos="1191"/>
          <w:tab w:val="clear" w:pos="1588"/>
          <w:tab w:val="clear" w:pos="1985"/>
          <w:tab w:val="left" w:pos="1134"/>
          <w:tab w:val="left" w:pos="1871"/>
          <w:tab w:val="left" w:pos="2268"/>
        </w:tabs>
        <w:jc w:val="left"/>
        <w:rPr>
          <w:lang w:val="es-ES_tradnl"/>
        </w:rPr>
      </w:pPr>
      <w:r w:rsidRPr="0072410C">
        <w:rPr>
          <w:lang w:val="es-ES_tradnl"/>
        </w:rPr>
        <w:t>Modulación:</w:t>
      </w:r>
      <w:r w:rsidRPr="0072410C">
        <w:rPr>
          <w:lang w:val="es-ES_tradnl"/>
        </w:rPr>
        <w:tab/>
      </w:r>
      <w:r w:rsidRPr="0072410C">
        <w:rPr>
          <w:lang w:val="es-ES_tradnl"/>
        </w:rPr>
        <w:tab/>
        <w:t>OFDM</w:t>
      </w:r>
    </w:p>
    <w:p w:rsidR="002A523D" w:rsidRPr="0072410C" w:rsidRDefault="002A523D" w:rsidP="002A523D">
      <w:pPr>
        <w:keepNext/>
        <w:keepLines/>
        <w:tabs>
          <w:tab w:val="clear" w:pos="794"/>
          <w:tab w:val="clear" w:pos="1191"/>
          <w:tab w:val="clear" w:pos="1588"/>
          <w:tab w:val="clear" w:pos="1985"/>
          <w:tab w:val="left" w:pos="1134"/>
          <w:tab w:val="left" w:pos="1871"/>
          <w:tab w:val="left" w:pos="2268"/>
        </w:tabs>
        <w:jc w:val="left"/>
        <w:rPr>
          <w:lang w:val="es-ES_tradnl"/>
        </w:rPr>
      </w:pPr>
      <w:r w:rsidRPr="0072410C">
        <w:rPr>
          <w:lang w:val="es-ES_tradnl"/>
        </w:rPr>
        <w:t>Anchura de banda:</w:t>
      </w:r>
      <w:r w:rsidRPr="0072410C">
        <w:rPr>
          <w:lang w:val="es-ES_tradnl"/>
        </w:rPr>
        <w:tab/>
      </w:r>
      <w:r w:rsidRPr="0072410C">
        <w:rPr>
          <w:lang w:val="es-ES_tradnl"/>
        </w:rPr>
        <w:tab/>
        <w:t>10 MHz (canal).</w:t>
      </w:r>
    </w:p>
    <w:p w:rsidR="002A523D" w:rsidRPr="0072410C" w:rsidRDefault="002A523D" w:rsidP="002A523D">
      <w:pPr>
        <w:pStyle w:val="Heading2"/>
        <w:rPr>
          <w:rFonts w:ascii="Arial" w:eastAsia="Calibri" w:hAnsi="Arial"/>
          <w:lang w:val="es-ES_tradnl"/>
        </w:rPr>
      </w:pPr>
      <w:bookmarkStart w:id="200" w:name="_Toc476049689"/>
      <w:r w:rsidRPr="0072410C">
        <w:rPr>
          <w:lang w:val="es-ES_tradnl"/>
        </w:rPr>
        <w:t>11.1</w:t>
      </w:r>
      <w:r w:rsidRPr="0072410C">
        <w:rPr>
          <w:lang w:val="es-ES_tradnl"/>
        </w:rPr>
        <w:tab/>
      </w:r>
      <w:bookmarkEnd w:id="200"/>
      <w:r w:rsidRPr="0072410C">
        <w:rPr>
          <w:lang w:val="es-ES_tradnl"/>
        </w:rPr>
        <w:t>Emisión no esencial</w:t>
      </w:r>
    </w:p>
    <w:p w:rsidR="002A523D" w:rsidRPr="0072410C" w:rsidRDefault="002A523D" w:rsidP="002A523D">
      <w:pPr>
        <w:rPr>
          <w:lang w:val="es-ES_tradnl"/>
        </w:rPr>
      </w:pPr>
      <w:r w:rsidRPr="0072410C">
        <w:rPr>
          <w:lang w:val="es-ES_tradnl"/>
        </w:rPr>
        <w:t xml:space="preserve">El límite de emisión no esencial para </w:t>
      </w:r>
      <w:r>
        <w:rPr>
          <w:lang w:val="es-ES_tradnl"/>
        </w:rPr>
        <w:t>EU</w:t>
      </w:r>
      <w:r w:rsidRPr="0072410C">
        <w:rPr>
          <w:lang w:val="es-ES_tradnl"/>
        </w:rPr>
        <w:t>/</w:t>
      </w:r>
      <w:r>
        <w:rPr>
          <w:lang w:val="es-ES_tradnl"/>
        </w:rPr>
        <w:t>EB</w:t>
      </w:r>
      <w:r w:rsidRPr="0072410C">
        <w:rPr>
          <w:lang w:val="es-ES_tradnl"/>
        </w:rPr>
        <w:t xml:space="preserve"> en el servicio móvil terrestre, de conformidad con lo estipulado en el cuadro 2.1 de ERC/REC. 74 01, es −30 dBm/MHz. Ese límite se define en la Recomendación UIT-R SM.329 para frecuencias superiores a 1 GHz. En el apartado 4.2.4 de la norma EN 301 908-21 se definen los límites de emisión no esencial del transmisor para los equipos de usuario de DDF OFDMA </w:t>
      </w:r>
      <w:r>
        <w:rPr>
          <w:lang w:val="es-ES_tradnl"/>
        </w:rPr>
        <w:t>DDT</w:t>
      </w:r>
      <w:r w:rsidRPr="0072410C">
        <w:rPr>
          <w:lang w:val="es-ES_tradnl"/>
        </w:rPr>
        <w:t xml:space="preserve"> WMAN (WiMAX móvil).</w:t>
      </w:r>
    </w:p>
    <w:p w:rsidR="002A523D" w:rsidRPr="0072410C" w:rsidRDefault="002A523D" w:rsidP="002A523D">
      <w:pPr>
        <w:rPr>
          <w:lang w:val="es-ES_tradnl"/>
        </w:rPr>
      </w:pPr>
      <w:r w:rsidRPr="0072410C">
        <w:rPr>
          <w:lang w:val="es-ES_tradnl"/>
        </w:rPr>
        <w:t xml:space="preserve">En la </w:t>
      </w:r>
      <w:r w:rsidR="00345CCD">
        <w:rPr>
          <w:lang w:val="es-ES_tradnl"/>
        </w:rPr>
        <w:t xml:space="preserve">Fig. </w:t>
      </w:r>
      <w:r w:rsidRPr="0072410C">
        <w:rPr>
          <w:lang w:val="es-ES_tradnl"/>
        </w:rPr>
        <w:t>23 se muestra una medición de emisión no esencial de una línea de producción de terminales WiMAX para la banda de radar adyacente efectuada directamente a la salida del transmisor. Los siguientes parámetros de RF son pertinentes a los efectos de esa medición:</w:t>
      </w:r>
    </w:p>
    <w:p w:rsidR="002A523D" w:rsidRPr="0072410C" w:rsidRDefault="002A523D" w:rsidP="002A523D">
      <w:pPr>
        <w:tabs>
          <w:tab w:val="clear" w:pos="794"/>
          <w:tab w:val="clear" w:pos="1191"/>
          <w:tab w:val="clear" w:pos="1588"/>
          <w:tab w:val="clear" w:pos="1985"/>
          <w:tab w:val="left" w:pos="1134"/>
          <w:tab w:val="left" w:pos="1871"/>
          <w:tab w:val="left" w:pos="2268"/>
        </w:tabs>
        <w:ind w:left="5040" w:hanging="5040"/>
        <w:jc w:val="left"/>
        <w:rPr>
          <w:lang w:val="es-ES_tradnl"/>
        </w:rPr>
      </w:pPr>
      <w:r w:rsidRPr="0072410C">
        <w:rPr>
          <w:lang w:val="es-ES_tradnl"/>
        </w:rPr>
        <w:t>Frecuencia de transmisión:</w:t>
      </w:r>
      <w:r w:rsidRPr="0072410C">
        <w:rPr>
          <w:lang w:val="es-ES_tradnl"/>
        </w:rPr>
        <w:tab/>
      </w:r>
      <w:r w:rsidRPr="0072410C">
        <w:rPr>
          <w:szCs w:val="24"/>
          <w:lang w:val="es-ES_tradnl"/>
        </w:rPr>
        <w:t>3 620</w:t>
      </w:r>
      <w:r w:rsidRPr="0072410C">
        <w:rPr>
          <w:lang w:val="es-ES_tradnl"/>
        </w:rPr>
        <w:t xml:space="preserve"> MHz (canal de enlace ascendente de frecuencia más baja posible)</w:t>
      </w:r>
    </w:p>
    <w:p w:rsidR="002A523D" w:rsidRPr="0072410C" w:rsidRDefault="002A523D" w:rsidP="002A523D">
      <w:pPr>
        <w:tabs>
          <w:tab w:val="clear" w:pos="794"/>
          <w:tab w:val="clear" w:pos="1191"/>
          <w:tab w:val="clear" w:pos="1588"/>
          <w:tab w:val="clear" w:pos="1985"/>
          <w:tab w:val="left" w:pos="1134"/>
          <w:tab w:val="left" w:pos="1871"/>
          <w:tab w:val="left" w:pos="2268"/>
        </w:tabs>
        <w:jc w:val="left"/>
        <w:rPr>
          <w:lang w:val="es-ES_tradnl"/>
        </w:rPr>
      </w:pPr>
      <w:r w:rsidRPr="0072410C">
        <w:rPr>
          <w:lang w:val="es-ES_tradnl"/>
        </w:rPr>
        <w:t>Potencia de transmisión:</w:t>
      </w:r>
      <w:r w:rsidRPr="0072410C">
        <w:rPr>
          <w:lang w:val="es-ES_tradnl"/>
        </w:rPr>
        <w:tab/>
      </w:r>
      <w:r w:rsidRPr="0072410C">
        <w:rPr>
          <w:lang w:val="es-ES_tradnl"/>
        </w:rPr>
        <w:tab/>
      </w:r>
      <w:r w:rsidRPr="0072410C">
        <w:rPr>
          <w:lang w:val="es-ES_tradnl"/>
        </w:rPr>
        <w:tab/>
      </w:r>
      <w:r w:rsidRPr="0072410C">
        <w:rPr>
          <w:lang w:val="es-ES_tradnl"/>
        </w:rPr>
        <w:tab/>
        <w:t>27 dBm / 500 mW (salida del transmisor)</w:t>
      </w:r>
    </w:p>
    <w:p w:rsidR="002A523D" w:rsidRPr="0072410C" w:rsidRDefault="002A523D" w:rsidP="00AA0169">
      <w:pPr>
        <w:tabs>
          <w:tab w:val="clear" w:pos="794"/>
          <w:tab w:val="clear" w:pos="1191"/>
          <w:tab w:val="clear" w:pos="1588"/>
          <w:tab w:val="clear" w:pos="1985"/>
          <w:tab w:val="left" w:pos="1134"/>
          <w:tab w:val="left" w:pos="1871"/>
          <w:tab w:val="left" w:pos="2268"/>
        </w:tabs>
        <w:jc w:val="left"/>
        <w:rPr>
          <w:lang w:val="es-ES_tradnl"/>
        </w:rPr>
      </w:pPr>
      <w:r w:rsidRPr="0072410C">
        <w:rPr>
          <w:lang w:val="es-ES_tradnl"/>
        </w:rPr>
        <w:t xml:space="preserve">Filtro externo del transmisor: </w:t>
      </w:r>
      <w:r w:rsidRPr="0072410C">
        <w:rPr>
          <w:lang w:val="es-ES_tradnl"/>
        </w:rPr>
        <w:tab/>
      </w:r>
      <w:r w:rsidRPr="0072410C">
        <w:rPr>
          <w:lang w:val="es-ES_tradnl"/>
        </w:rPr>
        <w:tab/>
      </w:r>
      <w:r w:rsidRPr="0072410C">
        <w:rPr>
          <w:lang w:val="es-ES_tradnl"/>
        </w:rPr>
        <w:tab/>
      </w:r>
      <w:r w:rsidRPr="0072410C">
        <w:rPr>
          <w:lang w:val="es-ES_tradnl"/>
        </w:rPr>
        <w:tab/>
      </w:r>
      <w:r w:rsidR="00AA0169">
        <w:rPr>
          <w:lang w:val="es-ES_tradnl"/>
        </w:rPr>
        <w:t>N</w:t>
      </w:r>
      <w:r w:rsidRPr="0072410C">
        <w:rPr>
          <w:lang w:val="es-ES_tradnl"/>
        </w:rPr>
        <w:t>inguno</w:t>
      </w:r>
    </w:p>
    <w:p w:rsidR="002A523D" w:rsidRPr="00A821D5" w:rsidRDefault="002A523D" w:rsidP="002A523D">
      <w:pPr>
        <w:tabs>
          <w:tab w:val="clear" w:pos="794"/>
          <w:tab w:val="clear" w:pos="1191"/>
          <w:tab w:val="clear" w:pos="1588"/>
          <w:tab w:val="clear" w:pos="1985"/>
          <w:tab w:val="left" w:pos="1134"/>
          <w:tab w:val="left" w:pos="1871"/>
          <w:tab w:val="left" w:pos="2268"/>
        </w:tabs>
        <w:jc w:val="left"/>
        <w:rPr>
          <w:spacing w:val="-8"/>
          <w:lang w:val="es-ES_tradnl"/>
        </w:rPr>
      </w:pPr>
      <w:r w:rsidRPr="00A821D5">
        <w:rPr>
          <w:spacing w:val="-8"/>
          <w:lang w:val="es-ES_tradnl"/>
        </w:rPr>
        <w:t>Comienzo del domin</w:t>
      </w:r>
      <w:r w:rsidR="00AA0169">
        <w:rPr>
          <w:spacing w:val="-8"/>
          <w:lang w:val="es-ES_tradnl"/>
        </w:rPr>
        <w:t>io de emisiones no esenciales:</w:t>
      </w:r>
      <w:r w:rsidR="00AA0169">
        <w:rPr>
          <w:spacing w:val="-8"/>
          <w:lang w:val="es-ES_tradnl"/>
        </w:rPr>
        <w:tab/>
        <w:t>D</w:t>
      </w:r>
      <w:r w:rsidRPr="00A821D5">
        <w:rPr>
          <w:spacing w:val="-8"/>
          <w:lang w:val="es-ES_tradnl"/>
        </w:rPr>
        <w:t>esplazamiento de 25 MHz offset (regla del 250%)</w:t>
      </w:r>
    </w:p>
    <w:p w:rsidR="002A523D" w:rsidRPr="0072410C" w:rsidRDefault="002A523D" w:rsidP="002A523D">
      <w:pPr>
        <w:tabs>
          <w:tab w:val="clear" w:pos="794"/>
          <w:tab w:val="clear" w:pos="1191"/>
          <w:tab w:val="clear" w:pos="1588"/>
          <w:tab w:val="clear" w:pos="1985"/>
          <w:tab w:val="left" w:pos="1134"/>
          <w:tab w:val="left" w:pos="1871"/>
          <w:tab w:val="left" w:pos="2268"/>
        </w:tabs>
        <w:jc w:val="left"/>
        <w:rPr>
          <w:lang w:val="es-ES_tradnl"/>
        </w:rPr>
      </w:pPr>
      <w:r w:rsidRPr="0072410C">
        <w:rPr>
          <w:lang w:val="es-ES_tradnl"/>
        </w:rPr>
        <w:t>Anchu</w:t>
      </w:r>
      <w:r>
        <w:rPr>
          <w:lang w:val="es-ES_tradnl"/>
        </w:rPr>
        <w:t xml:space="preserve">ra banda de medición: </w:t>
      </w:r>
      <w:r>
        <w:rPr>
          <w:lang w:val="es-ES_tradnl"/>
        </w:rPr>
        <w:tab/>
      </w:r>
      <w:r>
        <w:rPr>
          <w:lang w:val="es-ES_tradnl"/>
        </w:rPr>
        <w:tab/>
      </w:r>
      <w:r>
        <w:rPr>
          <w:lang w:val="es-ES_tradnl"/>
        </w:rPr>
        <w:tab/>
      </w:r>
      <w:r>
        <w:rPr>
          <w:lang w:val="es-ES_tradnl"/>
        </w:rPr>
        <w:tab/>
        <w:t>1 MHz</w:t>
      </w:r>
    </w:p>
    <w:p w:rsidR="002A523D" w:rsidRPr="0072410C" w:rsidRDefault="002A523D" w:rsidP="002A523D">
      <w:pPr>
        <w:rPr>
          <w:lang w:val="es-ES_tradnl"/>
        </w:rPr>
      </w:pPr>
      <w:r w:rsidRPr="0072410C">
        <w:rPr>
          <w:lang w:val="es-ES_tradnl"/>
        </w:rPr>
        <w:t>Si bien no se aplicó ningún filtrado adicional a la salida del transmisor, cabe suponer un cierto filtrado interno para proteger la banda de recepción del enlace descendente y los servicios adyacentes.</w:t>
      </w:r>
    </w:p>
    <w:p w:rsidR="002A523D" w:rsidRPr="0072410C" w:rsidRDefault="002A523D" w:rsidP="002A523D">
      <w:pPr>
        <w:rPr>
          <w:lang w:val="es-ES_tradnl"/>
        </w:rPr>
      </w:pPr>
      <w:r w:rsidRPr="0072410C">
        <w:rPr>
          <w:lang w:val="es-ES_tradnl"/>
        </w:rPr>
        <w:t>Puesto que las anchuras de banda de medición y de referencia son iguales, no se precisa ninguna transformación de la anchura de banda.</w:t>
      </w:r>
    </w:p>
    <w:p w:rsidR="002A523D" w:rsidRPr="0072410C" w:rsidRDefault="002A523D" w:rsidP="002A523D">
      <w:pPr>
        <w:pStyle w:val="FigureNo"/>
        <w:rPr>
          <w:lang w:val="es-ES_tradnl"/>
        </w:rPr>
      </w:pPr>
      <w:bookmarkStart w:id="201" w:name="_Ref447625316"/>
      <w:r w:rsidRPr="0072410C">
        <w:rPr>
          <w:lang w:val="es-ES_tradnl"/>
        </w:rPr>
        <w:lastRenderedPageBreak/>
        <w:t>FigurA 23</w:t>
      </w:r>
      <w:bookmarkEnd w:id="201"/>
    </w:p>
    <w:p w:rsidR="002A523D" w:rsidRDefault="002A523D" w:rsidP="002A523D">
      <w:pPr>
        <w:pStyle w:val="Figuretitle"/>
        <w:rPr>
          <w:lang w:val="es-ES_tradnl"/>
        </w:rPr>
      </w:pPr>
      <w:r>
        <w:rPr>
          <w:lang w:val="es-ES_tradnl"/>
        </w:rPr>
        <w:t>EU</w:t>
      </w:r>
      <w:r w:rsidRPr="0072410C">
        <w:rPr>
          <w:lang w:val="es-ES_tradnl"/>
        </w:rPr>
        <w:t xml:space="preserve"> 3,6 GHz WiMAX – Emisiones en la banda de frecuencias de radar</w:t>
      </w:r>
    </w:p>
    <w:p w:rsidR="00AA0169" w:rsidRPr="00D24BC5" w:rsidRDefault="00F5350E" w:rsidP="00AA0169">
      <w:pPr>
        <w:pStyle w:val="Figure"/>
        <w:rPr>
          <w:lang w:val="en-GB" w:eastAsia="zh-CN"/>
        </w:rPr>
      </w:pPr>
      <w:r>
        <w:object w:dxaOrig="6373" w:dyaOrig="4454">
          <v:shape id="_x0000_i1151" type="#_x0000_t75" style="width:419.65pt;height:292.3pt" o:ole="">
            <v:imagedata r:id="rId76" o:title=""/>
          </v:shape>
          <o:OLEObject Type="Embed" ProgID="CorelDraw.Graphic.16" ShapeID="_x0000_i1151" DrawAspect="Content" ObjectID="_1600519742" r:id="rId77"/>
        </w:object>
      </w:r>
    </w:p>
    <w:p w:rsidR="002A523D" w:rsidRPr="0072410C" w:rsidRDefault="002A523D" w:rsidP="002A523D">
      <w:pPr>
        <w:pStyle w:val="Normalaftertitle"/>
        <w:spacing w:before="240"/>
        <w:rPr>
          <w:lang w:val="es-ES_tradnl"/>
        </w:rPr>
      </w:pPr>
      <w:r w:rsidRPr="0072410C">
        <w:rPr>
          <w:rFonts w:eastAsia="Calibri"/>
          <w:lang w:val="es-ES_tradnl"/>
        </w:rPr>
        <w:t xml:space="preserve">Observaciones relativas a la </w:t>
      </w:r>
      <w:r w:rsidR="00345CCD">
        <w:rPr>
          <w:rFonts w:eastAsia="Calibri"/>
          <w:lang w:val="es-ES_tradnl"/>
        </w:rPr>
        <w:t xml:space="preserve">Fig. </w:t>
      </w:r>
      <w:r w:rsidRPr="0072410C">
        <w:rPr>
          <w:rFonts w:eastAsia="Calibri"/>
          <w:lang w:val="es-ES_tradnl"/>
        </w:rPr>
        <w:t>23:</w:t>
      </w:r>
      <w:r w:rsidRPr="0072410C">
        <w:rPr>
          <w:lang w:val="es-ES_tradnl"/>
        </w:rPr>
        <w:t xml:space="preserve"> </w:t>
      </w:r>
    </w:p>
    <w:p w:rsidR="002A523D" w:rsidRPr="0072410C" w:rsidRDefault="002A523D" w:rsidP="002A523D">
      <w:pPr>
        <w:pStyle w:val="enumlev1"/>
        <w:rPr>
          <w:lang w:val="es-ES_tradnl"/>
        </w:rPr>
      </w:pPr>
      <w:r w:rsidRPr="0072410C">
        <w:rPr>
          <w:lang w:val="es-ES_tradnl"/>
        </w:rPr>
        <w:t>–</w:t>
      </w:r>
      <w:r w:rsidRPr="0072410C">
        <w:rPr>
          <w:lang w:val="es-ES_tradnl"/>
        </w:rPr>
        <w:tab/>
        <w:t>Aunque la medición abarque únicamente una pequeña gama de frecuencias con un gran desplazamiento, cabe observar que los límites se rebasan para un margen de al menos 40 dB.</w:t>
      </w:r>
    </w:p>
    <w:p w:rsidR="002A523D" w:rsidRPr="0072410C" w:rsidRDefault="002A523D" w:rsidP="002A523D">
      <w:pPr>
        <w:pStyle w:val="enumlev1"/>
        <w:spacing w:after="120"/>
        <w:rPr>
          <w:lang w:val="es-ES_tradnl"/>
        </w:rPr>
      </w:pPr>
      <w:r>
        <w:rPr>
          <w:lang w:val="es-ES_tradnl"/>
        </w:rPr>
        <w:t>–</w:t>
      </w:r>
      <w:r w:rsidRPr="0072410C">
        <w:rPr>
          <w:lang w:val="es-ES_tradnl"/>
        </w:rPr>
        <w:tab/>
        <w:t>Aun con desplazamientos de frecuencias muy elevadas, el nivel de las emisiones no esenciales depende de la frecuencia y, por lo general, disminuye para desplazamientos más elevados.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5"/>
        <w:gridCol w:w="1562"/>
        <w:gridCol w:w="2262"/>
        <w:gridCol w:w="2079"/>
        <w:gridCol w:w="2211"/>
      </w:tblGrid>
      <w:tr w:rsidR="002A523D" w:rsidRPr="0072410C" w:rsidTr="0060391F">
        <w:trPr>
          <w:jc w:val="center"/>
        </w:trPr>
        <w:tc>
          <w:tcPr>
            <w:tcW w:w="1409" w:type="dxa"/>
            <w:vMerge w:val="restart"/>
            <w:vAlign w:val="center"/>
          </w:tcPr>
          <w:p w:rsidR="002A523D" w:rsidRPr="0072410C" w:rsidRDefault="002A523D" w:rsidP="0060391F">
            <w:pPr>
              <w:pStyle w:val="Tablehead"/>
              <w:rPr>
                <w:lang w:val="es-ES_tradnl"/>
              </w:rPr>
            </w:pPr>
            <w:bookmarkStart w:id="202" w:name="_Toc415058563"/>
            <w:bookmarkStart w:id="203" w:name="_Ref415898367"/>
            <w:bookmarkStart w:id="204" w:name="_Ref415898374"/>
            <w:bookmarkStart w:id="205" w:name="_Toc449437446"/>
            <w:r w:rsidRPr="0072410C">
              <w:rPr>
                <w:lang w:val="es-ES_tradnl"/>
              </w:rPr>
              <w:t>Sistema</w:t>
            </w:r>
          </w:p>
        </w:tc>
        <w:tc>
          <w:tcPr>
            <w:tcW w:w="1443" w:type="dxa"/>
            <w:vMerge w:val="restart"/>
            <w:vAlign w:val="center"/>
          </w:tcPr>
          <w:p w:rsidR="002A523D" w:rsidRPr="0072410C" w:rsidRDefault="002A523D" w:rsidP="0060391F">
            <w:pPr>
              <w:pStyle w:val="Tablehead"/>
              <w:rPr>
                <w:lang w:val="es-ES_tradnl"/>
              </w:rPr>
            </w:pPr>
            <w:r w:rsidRPr="0072410C">
              <w:rPr>
                <w:lang w:val="es-ES_tradnl"/>
              </w:rPr>
              <w:t>Figura</w:t>
            </w:r>
          </w:p>
        </w:tc>
        <w:tc>
          <w:tcPr>
            <w:tcW w:w="6057" w:type="dxa"/>
            <w:gridSpan w:val="3"/>
            <w:vAlign w:val="center"/>
          </w:tcPr>
          <w:p w:rsidR="002A523D" w:rsidRPr="0072410C" w:rsidRDefault="002A523D" w:rsidP="0060391F">
            <w:pPr>
              <w:pStyle w:val="Tablehead"/>
              <w:rPr>
                <w:lang w:val="es-ES_tradnl"/>
              </w:rPr>
            </w:pPr>
            <w:r w:rsidRPr="0072410C">
              <w:rPr>
                <w:lang w:val="es-ES_tradnl"/>
              </w:rPr>
              <w:t>Comparación con:</w:t>
            </w:r>
          </w:p>
        </w:tc>
      </w:tr>
      <w:tr w:rsidR="002A523D" w:rsidRPr="0072410C" w:rsidTr="0060391F">
        <w:trPr>
          <w:jc w:val="center"/>
        </w:trPr>
        <w:tc>
          <w:tcPr>
            <w:tcW w:w="1409" w:type="dxa"/>
            <w:vMerge/>
            <w:vAlign w:val="center"/>
          </w:tcPr>
          <w:p w:rsidR="002A523D" w:rsidRPr="0072410C" w:rsidRDefault="002A523D" w:rsidP="0060391F">
            <w:pPr>
              <w:pStyle w:val="Tablehead"/>
              <w:rPr>
                <w:lang w:val="es-ES_tradnl"/>
              </w:rPr>
            </w:pPr>
          </w:p>
        </w:tc>
        <w:tc>
          <w:tcPr>
            <w:tcW w:w="1443" w:type="dxa"/>
            <w:vMerge/>
            <w:vAlign w:val="center"/>
          </w:tcPr>
          <w:p w:rsidR="002A523D" w:rsidRPr="0072410C" w:rsidRDefault="002A523D" w:rsidP="0060391F">
            <w:pPr>
              <w:pStyle w:val="Tablehead"/>
              <w:rPr>
                <w:lang w:val="es-ES_tradnl"/>
              </w:rPr>
            </w:pPr>
          </w:p>
        </w:tc>
        <w:tc>
          <w:tcPr>
            <w:tcW w:w="2091" w:type="dxa"/>
            <w:vAlign w:val="center"/>
          </w:tcPr>
          <w:p w:rsidR="002A523D" w:rsidRPr="0072410C" w:rsidRDefault="002A523D" w:rsidP="0060391F">
            <w:pPr>
              <w:pStyle w:val="Tablehead"/>
              <w:rPr>
                <w:lang w:val="es-ES_tradnl"/>
              </w:rPr>
            </w:pPr>
            <w:r w:rsidRPr="0072410C">
              <w:rPr>
                <w:lang w:val="es-ES_tradnl"/>
              </w:rPr>
              <w:t>Rec. UIT-R SM.329</w:t>
            </w:r>
          </w:p>
        </w:tc>
        <w:tc>
          <w:tcPr>
            <w:tcW w:w="1922" w:type="dxa"/>
            <w:vAlign w:val="center"/>
          </w:tcPr>
          <w:p w:rsidR="002A523D" w:rsidRPr="0072410C" w:rsidRDefault="002A523D" w:rsidP="0060391F">
            <w:pPr>
              <w:pStyle w:val="Tablehead"/>
              <w:rPr>
                <w:lang w:val="es-ES_tradnl"/>
              </w:rPr>
            </w:pPr>
            <w:r w:rsidRPr="0072410C">
              <w:rPr>
                <w:lang w:val="es-ES_tradnl"/>
              </w:rPr>
              <w:t>ERC/Rec 74-01</w:t>
            </w:r>
          </w:p>
        </w:tc>
        <w:tc>
          <w:tcPr>
            <w:tcW w:w="2044" w:type="dxa"/>
            <w:vAlign w:val="center"/>
          </w:tcPr>
          <w:p w:rsidR="002A523D" w:rsidRPr="0072410C" w:rsidRDefault="002A523D" w:rsidP="0060391F">
            <w:pPr>
              <w:pStyle w:val="Tablehead"/>
              <w:rPr>
                <w:lang w:val="es-ES_tradnl"/>
              </w:rPr>
            </w:pPr>
            <w:r w:rsidRPr="0072410C">
              <w:rPr>
                <w:lang w:val="es-ES_tradnl"/>
              </w:rPr>
              <w:t>ETSI</w:t>
            </w:r>
          </w:p>
        </w:tc>
      </w:tr>
      <w:tr w:rsidR="002A523D" w:rsidRPr="00EF7B19" w:rsidTr="0060391F">
        <w:trPr>
          <w:jc w:val="center"/>
        </w:trPr>
        <w:tc>
          <w:tcPr>
            <w:tcW w:w="1409" w:type="dxa"/>
          </w:tcPr>
          <w:p w:rsidR="002A523D" w:rsidRPr="0072410C" w:rsidRDefault="002A523D" w:rsidP="0060391F">
            <w:pPr>
              <w:pStyle w:val="Tabletext"/>
              <w:rPr>
                <w:lang w:val="es-ES_tradnl"/>
              </w:rPr>
            </w:pPr>
            <w:r>
              <w:rPr>
                <w:lang w:val="es-ES_tradnl"/>
              </w:rPr>
              <w:t>WiMax 3,</w:t>
            </w:r>
            <w:r w:rsidRPr="0072410C">
              <w:rPr>
                <w:lang w:val="es-ES_tradnl"/>
              </w:rPr>
              <w:t xml:space="preserve">6 GHz </w:t>
            </w:r>
            <w:r>
              <w:rPr>
                <w:lang w:val="es-ES_tradnl"/>
              </w:rPr>
              <w:t>EU</w:t>
            </w:r>
          </w:p>
        </w:tc>
        <w:tc>
          <w:tcPr>
            <w:tcW w:w="1443" w:type="dxa"/>
          </w:tcPr>
          <w:p w:rsidR="002A523D" w:rsidRPr="0072410C" w:rsidRDefault="002A523D" w:rsidP="0060391F">
            <w:pPr>
              <w:pStyle w:val="Tabletext"/>
              <w:rPr>
                <w:lang w:val="es-ES_tradnl"/>
              </w:rPr>
            </w:pPr>
            <w:r w:rsidRPr="0072410C">
              <w:rPr>
                <w:lang w:val="es-ES_tradnl"/>
              </w:rPr>
              <w:t>Figura 23</w:t>
            </w:r>
          </w:p>
        </w:tc>
        <w:tc>
          <w:tcPr>
            <w:tcW w:w="6057" w:type="dxa"/>
            <w:gridSpan w:val="3"/>
          </w:tcPr>
          <w:p w:rsidR="002A523D" w:rsidRPr="0072410C" w:rsidRDefault="002A523D" w:rsidP="0060391F">
            <w:pPr>
              <w:pStyle w:val="Tabletext"/>
              <w:rPr>
                <w:rFonts w:ascii="Calibri" w:hAnsi="Calibri" w:cs="Calibri"/>
                <w:b/>
                <w:color w:val="800000"/>
                <w:lang w:val="es-ES_tradnl"/>
              </w:rPr>
            </w:pPr>
            <w:r w:rsidRPr="0072410C">
              <w:rPr>
                <w:lang w:val="es-ES_tradnl"/>
              </w:rPr>
              <w:t>Aunque la medición abarque únicamente una pequeña gama de frecuencias con un gran desplazamiento, cabe observar que los límites se rebasan para un margen de al menos 40 dB.</w:t>
            </w:r>
          </w:p>
        </w:tc>
      </w:tr>
    </w:tbl>
    <w:p w:rsidR="002A523D" w:rsidRPr="0072410C" w:rsidRDefault="002A523D" w:rsidP="002A523D">
      <w:pPr>
        <w:pStyle w:val="Heading1"/>
        <w:spacing w:before="240"/>
        <w:rPr>
          <w:lang w:val="es-ES_tradnl"/>
        </w:rPr>
      </w:pPr>
      <w:bookmarkStart w:id="206" w:name="_Toc525820188"/>
      <w:bookmarkStart w:id="207" w:name="_Toc525820368"/>
      <w:bookmarkStart w:id="208" w:name="_Toc475540059"/>
      <w:bookmarkStart w:id="209" w:name="_Toc476049690"/>
      <w:r w:rsidRPr="0072410C">
        <w:rPr>
          <w:lang w:val="es-ES_tradnl"/>
        </w:rPr>
        <w:t>12</w:t>
      </w:r>
      <w:r w:rsidRPr="0072410C">
        <w:rPr>
          <w:lang w:val="es-ES_tradnl"/>
        </w:rPr>
        <w:tab/>
        <w:t>Enlaces punto a punto de 25 GHz</w:t>
      </w:r>
      <w:bookmarkEnd w:id="206"/>
      <w:bookmarkEnd w:id="207"/>
      <w:r w:rsidRPr="0072410C">
        <w:rPr>
          <w:lang w:val="es-ES_tradnl"/>
        </w:rPr>
        <w:t xml:space="preserve"> </w:t>
      </w:r>
      <w:bookmarkEnd w:id="202"/>
      <w:bookmarkEnd w:id="203"/>
      <w:bookmarkEnd w:id="204"/>
      <w:bookmarkEnd w:id="205"/>
      <w:bookmarkEnd w:id="208"/>
      <w:bookmarkEnd w:id="209"/>
    </w:p>
    <w:p w:rsidR="002A523D" w:rsidRPr="0072410C" w:rsidRDefault="002A523D" w:rsidP="002A523D">
      <w:pPr>
        <w:rPr>
          <w:lang w:val="es-ES_tradnl"/>
        </w:rPr>
      </w:pPr>
      <w:r w:rsidRPr="0072410C">
        <w:rPr>
          <w:lang w:val="es-ES_tradnl"/>
        </w:rPr>
        <w:t>Estos sistemas punto a punto se utilizan habitualmente para conectar estaciones de base del servicio móvil público (en particular GSM, UMTS, LTE). En función de la velocidad de datos necesaria se asignan anchuras de banda diferentes de hasta 50 MHz. Las características más habituales de ese equipo son las siguientes:</w:t>
      </w:r>
    </w:p>
    <w:p w:rsidR="002A523D" w:rsidRPr="0072410C" w:rsidRDefault="002A523D" w:rsidP="002A523D">
      <w:pPr>
        <w:tabs>
          <w:tab w:val="clear" w:pos="794"/>
          <w:tab w:val="clear" w:pos="1191"/>
          <w:tab w:val="clear" w:pos="1588"/>
          <w:tab w:val="clear" w:pos="1985"/>
          <w:tab w:val="left" w:pos="1134"/>
          <w:tab w:val="left" w:pos="1871"/>
          <w:tab w:val="left" w:pos="2268"/>
        </w:tabs>
        <w:jc w:val="left"/>
        <w:rPr>
          <w:lang w:val="es-ES_tradnl"/>
        </w:rPr>
      </w:pPr>
      <w:r w:rsidRPr="0072410C">
        <w:rPr>
          <w:lang w:val="es-ES_tradnl"/>
        </w:rPr>
        <w:t>Gama de frecuencias:</w:t>
      </w:r>
      <w:r w:rsidRPr="0072410C">
        <w:rPr>
          <w:lang w:val="es-ES_tradnl"/>
        </w:rPr>
        <w:tab/>
      </w:r>
      <w:r w:rsidRPr="0072410C">
        <w:rPr>
          <w:lang w:val="es-ES_tradnl"/>
        </w:rPr>
        <w:tab/>
        <w:t>25,1-26,5 GHz</w:t>
      </w:r>
    </w:p>
    <w:p w:rsidR="002A523D" w:rsidRPr="0072410C" w:rsidRDefault="002A523D" w:rsidP="002A523D">
      <w:pPr>
        <w:tabs>
          <w:tab w:val="clear" w:pos="794"/>
          <w:tab w:val="clear" w:pos="1191"/>
          <w:tab w:val="clear" w:pos="1588"/>
          <w:tab w:val="clear" w:pos="1985"/>
          <w:tab w:val="left" w:pos="1134"/>
          <w:tab w:val="left" w:pos="1871"/>
          <w:tab w:val="left" w:pos="2268"/>
        </w:tabs>
        <w:jc w:val="left"/>
        <w:rPr>
          <w:lang w:val="es-ES_tradnl"/>
        </w:rPr>
      </w:pPr>
      <w:r w:rsidRPr="0072410C">
        <w:rPr>
          <w:lang w:val="es-ES_tradnl"/>
        </w:rPr>
        <w:t>Modulación:</w:t>
      </w:r>
      <w:r w:rsidRPr="0072410C">
        <w:rPr>
          <w:lang w:val="es-ES_tradnl"/>
        </w:rPr>
        <w:tab/>
      </w:r>
      <w:r w:rsidRPr="0072410C">
        <w:rPr>
          <w:lang w:val="es-ES_tradnl"/>
        </w:rPr>
        <w:tab/>
      </w:r>
      <w:r w:rsidRPr="0072410C">
        <w:rPr>
          <w:lang w:val="es-ES_tradnl"/>
        </w:rPr>
        <w:tab/>
        <w:t>MDP-4 o MAC</w:t>
      </w:r>
    </w:p>
    <w:p w:rsidR="002A523D" w:rsidRPr="0072410C" w:rsidRDefault="002A523D" w:rsidP="00704AF9">
      <w:pPr>
        <w:tabs>
          <w:tab w:val="clear" w:pos="794"/>
          <w:tab w:val="clear" w:pos="1191"/>
          <w:tab w:val="clear" w:pos="1588"/>
          <w:tab w:val="clear" w:pos="1985"/>
          <w:tab w:val="left" w:pos="1134"/>
          <w:tab w:val="left" w:pos="1871"/>
          <w:tab w:val="left" w:pos="2268"/>
        </w:tabs>
        <w:jc w:val="left"/>
        <w:rPr>
          <w:lang w:val="es-ES_tradnl"/>
        </w:rPr>
      </w:pPr>
      <w:r>
        <w:rPr>
          <w:lang w:val="es-ES_tradnl"/>
        </w:rPr>
        <w:t>Anchura de banda:</w:t>
      </w:r>
      <w:r>
        <w:rPr>
          <w:lang w:val="es-ES_tradnl"/>
        </w:rPr>
        <w:tab/>
      </w:r>
      <w:r>
        <w:rPr>
          <w:lang w:val="es-ES_tradnl"/>
        </w:rPr>
        <w:tab/>
      </w:r>
      <w:r>
        <w:rPr>
          <w:lang w:val="es-ES_tradnl"/>
        </w:rPr>
        <w:tab/>
        <w:t>3,5 MHz</w:t>
      </w:r>
      <w:r w:rsidR="00704AF9">
        <w:rPr>
          <w:lang w:val="es-ES_tradnl"/>
        </w:rPr>
        <w:t xml:space="preserve"> – </w:t>
      </w:r>
      <w:r w:rsidRPr="0072410C">
        <w:rPr>
          <w:lang w:val="es-ES_tradnl"/>
        </w:rPr>
        <w:t>50 MHz (canal)</w:t>
      </w:r>
    </w:p>
    <w:p w:rsidR="002A523D" w:rsidRPr="0072410C" w:rsidRDefault="002A523D" w:rsidP="002A523D">
      <w:pPr>
        <w:tabs>
          <w:tab w:val="clear" w:pos="794"/>
          <w:tab w:val="clear" w:pos="1191"/>
          <w:tab w:val="clear" w:pos="1588"/>
          <w:tab w:val="clear" w:pos="1985"/>
          <w:tab w:val="left" w:pos="1134"/>
          <w:tab w:val="left" w:pos="1871"/>
          <w:tab w:val="left" w:pos="2268"/>
        </w:tabs>
        <w:jc w:val="left"/>
        <w:rPr>
          <w:lang w:val="es-ES_tradnl"/>
        </w:rPr>
      </w:pPr>
      <w:r w:rsidRPr="0072410C">
        <w:rPr>
          <w:lang w:val="es-ES_tradnl"/>
        </w:rPr>
        <w:t>Potencia de transmisión:</w:t>
      </w:r>
      <w:r w:rsidRPr="0072410C">
        <w:rPr>
          <w:lang w:val="es-ES_tradnl"/>
        </w:rPr>
        <w:tab/>
      </w:r>
      <w:r w:rsidRPr="0072410C">
        <w:rPr>
          <w:szCs w:val="24"/>
          <w:lang w:val="es-ES_tradnl"/>
        </w:rPr>
        <w:t>−</w:t>
      </w:r>
      <w:r w:rsidRPr="0072410C">
        <w:rPr>
          <w:lang w:val="es-ES_tradnl"/>
        </w:rPr>
        <w:t xml:space="preserve">10 dBm </w:t>
      </w:r>
      <w:r w:rsidRPr="0072410C">
        <w:rPr>
          <w:szCs w:val="24"/>
          <w:lang w:val="es-ES_tradnl"/>
        </w:rPr>
        <w:t>−</w:t>
      </w:r>
      <w:r w:rsidRPr="0072410C">
        <w:rPr>
          <w:lang w:val="es-ES_tradnl"/>
        </w:rPr>
        <w:t xml:space="preserve"> 24 dBm (salida del transmisor).</w:t>
      </w:r>
    </w:p>
    <w:p w:rsidR="002A523D" w:rsidRPr="0072410C" w:rsidRDefault="002A523D" w:rsidP="002A523D">
      <w:pPr>
        <w:rPr>
          <w:lang w:val="es-ES_tradnl"/>
        </w:rPr>
      </w:pPr>
      <w:r w:rsidRPr="0072410C">
        <w:rPr>
          <w:lang w:val="es-ES_tradnl"/>
        </w:rPr>
        <w:lastRenderedPageBreak/>
        <w:t>Si bien no se aplica ningún filtro externo, cabe suponer un cierto grado de filtrado interno para proteger el receptor de la señal frente a la estación del enlace opuesto.</w:t>
      </w:r>
    </w:p>
    <w:p w:rsidR="002A523D" w:rsidRPr="0072410C" w:rsidRDefault="002A523D" w:rsidP="002A523D">
      <w:pPr>
        <w:pStyle w:val="Heading2"/>
        <w:rPr>
          <w:lang w:val="es-ES_tradnl"/>
        </w:rPr>
      </w:pPr>
      <w:bookmarkStart w:id="210" w:name="_Toc449437447"/>
      <w:bookmarkStart w:id="211" w:name="_Toc475540060"/>
      <w:bookmarkStart w:id="212" w:name="_Toc476049691"/>
      <w:r w:rsidRPr="0072410C">
        <w:rPr>
          <w:lang w:val="es-ES_tradnl"/>
        </w:rPr>
        <w:t>12.1</w:t>
      </w:r>
      <w:r w:rsidRPr="0072410C">
        <w:rPr>
          <w:lang w:val="es-ES_tradnl"/>
        </w:rPr>
        <w:tab/>
      </w:r>
      <w:bookmarkEnd w:id="210"/>
      <w:bookmarkEnd w:id="211"/>
      <w:bookmarkEnd w:id="212"/>
      <w:r w:rsidRPr="0072410C">
        <w:rPr>
          <w:lang w:val="es-ES_tradnl"/>
        </w:rPr>
        <w:t>Emisión fuera de banda</w:t>
      </w:r>
    </w:p>
    <w:p w:rsidR="002A523D" w:rsidRPr="0072410C" w:rsidRDefault="002A523D" w:rsidP="002A523D">
      <w:pPr>
        <w:rPr>
          <w:lang w:val="es-ES_tradnl"/>
        </w:rPr>
      </w:pPr>
      <w:r w:rsidRPr="0072410C">
        <w:rPr>
          <w:lang w:val="es-ES_tradnl"/>
        </w:rPr>
        <w:t xml:space="preserve">En la </w:t>
      </w:r>
      <w:r w:rsidR="00345CCD">
        <w:rPr>
          <w:lang w:val="es-ES_tradnl"/>
        </w:rPr>
        <w:t xml:space="preserve">Fig. </w:t>
      </w:r>
      <w:r w:rsidRPr="0072410C">
        <w:rPr>
          <w:lang w:val="es-ES_tradnl"/>
        </w:rPr>
        <w:t>24 se muestra la medición de emisiones no deseadas de un dispositivo de enlace punto a punto de 25 GHz. Los parámetros de RF pertinentes son los siguientes:</w:t>
      </w:r>
    </w:p>
    <w:p w:rsidR="002A523D" w:rsidRPr="0072410C" w:rsidRDefault="002A523D" w:rsidP="002A523D">
      <w:pPr>
        <w:tabs>
          <w:tab w:val="clear" w:pos="794"/>
          <w:tab w:val="clear" w:pos="1191"/>
          <w:tab w:val="clear" w:pos="1588"/>
          <w:tab w:val="clear" w:pos="1985"/>
          <w:tab w:val="left" w:pos="1134"/>
          <w:tab w:val="left" w:pos="1871"/>
          <w:tab w:val="left" w:pos="2268"/>
        </w:tabs>
        <w:jc w:val="left"/>
        <w:rPr>
          <w:lang w:val="es-ES_tradnl"/>
        </w:rPr>
      </w:pPr>
      <w:r w:rsidRPr="0072410C">
        <w:rPr>
          <w:lang w:val="es-ES_tradnl"/>
        </w:rPr>
        <w:t>Frecuencia central:</w:t>
      </w:r>
      <w:r w:rsidRPr="0072410C">
        <w:rPr>
          <w:lang w:val="es-ES_tradnl"/>
        </w:rPr>
        <w:tab/>
      </w:r>
      <w:r w:rsidRPr="0072410C">
        <w:rPr>
          <w:lang w:val="es-ES_tradnl"/>
        </w:rPr>
        <w:tab/>
      </w:r>
      <w:r w:rsidRPr="0072410C">
        <w:rPr>
          <w:lang w:val="es-ES_tradnl"/>
        </w:rPr>
        <w:tab/>
      </w:r>
      <w:r w:rsidRPr="0072410C">
        <w:rPr>
          <w:lang w:val="es-ES_tradnl"/>
        </w:rPr>
        <w:tab/>
        <w:t>25,157 GHz</w:t>
      </w:r>
    </w:p>
    <w:p w:rsidR="002A523D" w:rsidRPr="0072410C" w:rsidRDefault="002A523D" w:rsidP="002A523D">
      <w:pPr>
        <w:tabs>
          <w:tab w:val="clear" w:pos="794"/>
          <w:tab w:val="clear" w:pos="1191"/>
          <w:tab w:val="clear" w:pos="1588"/>
          <w:tab w:val="clear" w:pos="1985"/>
          <w:tab w:val="left" w:pos="1134"/>
          <w:tab w:val="left" w:pos="1871"/>
          <w:tab w:val="left" w:pos="2268"/>
        </w:tabs>
        <w:jc w:val="left"/>
        <w:rPr>
          <w:lang w:val="es-ES_tradnl"/>
        </w:rPr>
      </w:pPr>
      <w:r w:rsidRPr="0072410C">
        <w:rPr>
          <w:lang w:val="es-ES_tradnl"/>
        </w:rPr>
        <w:t>Modulación:</w:t>
      </w:r>
      <w:r w:rsidRPr="0072410C">
        <w:rPr>
          <w:lang w:val="es-ES_tradnl"/>
        </w:rPr>
        <w:tab/>
      </w:r>
      <w:r w:rsidRPr="0072410C">
        <w:rPr>
          <w:lang w:val="es-ES_tradnl"/>
        </w:rPr>
        <w:tab/>
      </w:r>
      <w:r w:rsidRPr="0072410C">
        <w:rPr>
          <w:lang w:val="es-ES_tradnl"/>
        </w:rPr>
        <w:tab/>
      </w:r>
      <w:r w:rsidRPr="0072410C">
        <w:rPr>
          <w:lang w:val="es-ES_tradnl"/>
        </w:rPr>
        <w:tab/>
        <w:t>MAC-64</w:t>
      </w:r>
    </w:p>
    <w:p w:rsidR="002A523D" w:rsidRPr="0072410C" w:rsidRDefault="002A523D" w:rsidP="002A523D">
      <w:pPr>
        <w:tabs>
          <w:tab w:val="clear" w:pos="794"/>
          <w:tab w:val="clear" w:pos="1191"/>
          <w:tab w:val="clear" w:pos="1588"/>
          <w:tab w:val="clear" w:pos="1985"/>
          <w:tab w:val="left" w:pos="1134"/>
          <w:tab w:val="left" w:pos="1871"/>
          <w:tab w:val="left" w:pos="2268"/>
        </w:tabs>
        <w:jc w:val="left"/>
        <w:rPr>
          <w:lang w:val="es-ES_tradnl"/>
        </w:rPr>
      </w:pPr>
      <w:r w:rsidRPr="0072410C">
        <w:rPr>
          <w:lang w:val="es-ES_tradnl"/>
        </w:rPr>
        <w:t>Anchura de banda:</w:t>
      </w:r>
      <w:r w:rsidRPr="0072410C">
        <w:rPr>
          <w:lang w:val="es-ES_tradnl"/>
        </w:rPr>
        <w:tab/>
      </w:r>
      <w:r w:rsidRPr="0072410C">
        <w:rPr>
          <w:lang w:val="es-ES_tradnl"/>
        </w:rPr>
        <w:tab/>
      </w:r>
      <w:r w:rsidRPr="0072410C">
        <w:rPr>
          <w:lang w:val="es-ES_tradnl"/>
        </w:rPr>
        <w:tab/>
      </w:r>
      <w:r w:rsidRPr="0072410C">
        <w:rPr>
          <w:lang w:val="es-ES_tradnl"/>
        </w:rPr>
        <w:tab/>
        <w:t>40 MHz (canal)</w:t>
      </w:r>
    </w:p>
    <w:p w:rsidR="002A523D" w:rsidRPr="0072410C" w:rsidRDefault="002A523D" w:rsidP="002A523D">
      <w:pPr>
        <w:tabs>
          <w:tab w:val="clear" w:pos="794"/>
          <w:tab w:val="clear" w:pos="1191"/>
          <w:tab w:val="clear" w:pos="1588"/>
          <w:tab w:val="clear" w:pos="1985"/>
          <w:tab w:val="left" w:pos="1134"/>
          <w:tab w:val="left" w:pos="1871"/>
          <w:tab w:val="left" w:pos="2268"/>
        </w:tabs>
        <w:jc w:val="left"/>
        <w:rPr>
          <w:lang w:val="es-ES_tradnl"/>
        </w:rPr>
      </w:pPr>
      <w:r w:rsidRPr="0072410C">
        <w:rPr>
          <w:lang w:val="es-ES_tradnl"/>
        </w:rPr>
        <w:t>Potencia de transmisión:</w:t>
      </w:r>
      <w:r w:rsidRPr="0072410C">
        <w:rPr>
          <w:lang w:val="es-ES_tradnl"/>
        </w:rPr>
        <w:tab/>
      </w:r>
      <w:r w:rsidRPr="0072410C">
        <w:rPr>
          <w:lang w:val="es-ES_tradnl"/>
        </w:rPr>
        <w:tab/>
        <w:t>17 dBm (salida del transmisor)</w:t>
      </w:r>
    </w:p>
    <w:p w:rsidR="002A523D" w:rsidRPr="0072410C" w:rsidRDefault="002A523D" w:rsidP="002A523D">
      <w:pPr>
        <w:tabs>
          <w:tab w:val="clear" w:pos="794"/>
          <w:tab w:val="clear" w:pos="1191"/>
          <w:tab w:val="clear" w:pos="1588"/>
          <w:tab w:val="clear" w:pos="1985"/>
          <w:tab w:val="left" w:pos="1134"/>
          <w:tab w:val="left" w:pos="1871"/>
          <w:tab w:val="left" w:pos="2268"/>
        </w:tabs>
        <w:jc w:val="left"/>
        <w:rPr>
          <w:lang w:val="es-ES_tradnl"/>
        </w:rPr>
      </w:pPr>
      <w:r w:rsidRPr="0072410C">
        <w:rPr>
          <w:lang w:val="es-ES_tradnl"/>
        </w:rPr>
        <w:t>Filtro externo de transmisión:</w:t>
      </w:r>
      <w:r w:rsidRPr="0072410C">
        <w:rPr>
          <w:lang w:val="es-ES_tradnl"/>
        </w:rPr>
        <w:tab/>
      </w:r>
      <w:r w:rsidRPr="0072410C">
        <w:rPr>
          <w:lang w:val="es-ES_tradnl"/>
        </w:rPr>
        <w:tab/>
        <w:t>Ninguno</w:t>
      </w:r>
    </w:p>
    <w:p w:rsidR="002A523D" w:rsidRPr="0072410C" w:rsidRDefault="002A523D" w:rsidP="002A523D">
      <w:pPr>
        <w:tabs>
          <w:tab w:val="clear" w:pos="794"/>
          <w:tab w:val="clear" w:pos="1191"/>
          <w:tab w:val="clear" w:pos="1588"/>
          <w:tab w:val="clear" w:pos="1985"/>
          <w:tab w:val="left" w:pos="1134"/>
          <w:tab w:val="left" w:pos="1871"/>
          <w:tab w:val="left" w:pos="2268"/>
        </w:tabs>
        <w:jc w:val="left"/>
        <w:rPr>
          <w:lang w:val="es-ES_tradnl"/>
        </w:rPr>
      </w:pPr>
      <w:r w:rsidRPr="0072410C">
        <w:rPr>
          <w:lang w:val="es-ES_tradnl"/>
        </w:rPr>
        <w:t>Anchur</w:t>
      </w:r>
      <w:r>
        <w:rPr>
          <w:lang w:val="es-ES_tradnl"/>
        </w:rPr>
        <w:t>a de banda de medición:</w:t>
      </w:r>
      <w:r>
        <w:rPr>
          <w:lang w:val="es-ES_tradnl"/>
        </w:rPr>
        <w:tab/>
        <w:t>300 kHz</w:t>
      </w:r>
    </w:p>
    <w:p w:rsidR="002A523D" w:rsidRPr="0072410C" w:rsidRDefault="002A523D" w:rsidP="002A523D">
      <w:pPr>
        <w:rPr>
          <w:lang w:val="es-ES_tradnl"/>
        </w:rPr>
      </w:pPr>
      <w:r w:rsidRPr="0072410C">
        <w:rPr>
          <w:lang w:val="es-ES_tradnl"/>
        </w:rPr>
        <w:t xml:space="preserve">Los niveles de la </w:t>
      </w:r>
      <w:r w:rsidR="00345CCD">
        <w:rPr>
          <w:lang w:val="es-ES_tradnl"/>
        </w:rPr>
        <w:t xml:space="preserve">Fig. </w:t>
      </w:r>
      <w:r w:rsidRPr="0072410C">
        <w:rPr>
          <w:lang w:val="es-ES_tradnl"/>
        </w:rPr>
        <w:t>24 se han normalizado con arreglo a la máxima densidad espectral de potencia en el canal para una anchura de banda de 300 kHz. Los límites de emisión fuera de banda genéricos del servicio fijo se basan en la Recomendación UIT-R SM.1541-5, Anexo 12, y los límites específicos de ese sistema</w:t>
      </w:r>
      <w:r>
        <w:rPr>
          <w:lang w:val="es-ES_tradnl"/>
        </w:rPr>
        <w:t xml:space="preserve"> en lo estipulado en la sección </w:t>
      </w:r>
      <w:r w:rsidRPr="0072410C">
        <w:rPr>
          <w:lang w:val="es-ES_tradnl"/>
        </w:rPr>
        <w:t>4.2.4.</w:t>
      </w:r>
      <w:r>
        <w:rPr>
          <w:lang w:val="es-ES_tradnl"/>
        </w:rPr>
        <w:t>2.1 de la norma ETSI EN 302 217</w:t>
      </w:r>
      <w:r>
        <w:rPr>
          <w:lang w:val="es-ES_tradnl"/>
        </w:rPr>
        <w:noBreakHyphen/>
        <w:t>2</w:t>
      </w:r>
      <w:r>
        <w:rPr>
          <w:lang w:val="es-ES_tradnl"/>
        </w:rPr>
        <w:noBreakHyphen/>
        <w:t>2</w:t>
      </w:r>
      <w:r>
        <w:rPr>
          <w:lang w:val="es-ES_tradnl"/>
        </w:rPr>
        <w:noBreakHyphen/>
      </w:r>
      <w:r w:rsidRPr="0072410C">
        <w:rPr>
          <w:lang w:val="es-ES_tradnl"/>
        </w:rPr>
        <w:t>2, y se transforman en niveles relativos en 300 kHz.</w:t>
      </w:r>
    </w:p>
    <w:p w:rsidR="002A523D" w:rsidRPr="0072410C" w:rsidRDefault="002A523D" w:rsidP="002A523D">
      <w:pPr>
        <w:pStyle w:val="FigureNo"/>
        <w:rPr>
          <w:lang w:val="es-ES_tradnl"/>
        </w:rPr>
      </w:pPr>
      <w:bookmarkStart w:id="213" w:name="_Ref415898238"/>
      <w:r w:rsidRPr="0072410C">
        <w:rPr>
          <w:lang w:val="es-ES_tradnl"/>
        </w:rPr>
        <w:t>FigurA 24</w:t>
      </w:r>
      <w:bookmarkEnd w:id="213"/>
    </w:p>
    <w:p w:rsidR="002A523D" w:rsidRDefault="002A523D" w:rsidP="002A523D">
      <w:pPr>
        <w:pStyle w:val="Figuretitle"/>
        <w:rPr>
          <w:lang w:val="es-ES_tradnl"/>
        </w:rPr>
      </w:pPr>
      <w:r w:rsidRPr="0072410C">
        <w:rPr>
          <w:lang w:val="es-ES_tradnl"/>
        </w:rPr>
        <w:t xml:space="preserve">Emisiones no deseadas de enlace punto a punto en 25 GHz </w:t>
      </w:r>
    </w:p>
    <w:p w:rsidR="00704AF9" w:rsidRPr="00D24BC5" w:rsidRDefault="00C15DC8" w:rsidP="00704AF9">
      <w:pPr>
        <w:pStyle w:val="Figure"/>
        <w:rPr>
          <w:lang w:val="en-GB" w:eastAsia="zh-CN"/>
        </w:rPr>
      </w:pPr>
      <w:r>
        <w:object w:dxaOrig="6158" w:dyaOrig="4849">
          <v:shape id="_x0000_i1174" type="#_x0000_t75" style="width:408.35pt;height:329.9pt" o:ole="">
            <v:imagedata r:id="rId78" o:title="" cropbottom="-1796f"/>
          </v:shape>
          <o:OLEObject Type="Embed" ProgID="CorelDraw.Graphic.16" ShapeID="_x0000_i1174" DrawAspect="Content" ObjectID="_1600519743" r:id="rId79"/>
        </w:object>
      </w:r>
    </w:p>
    <w:p w:rsidR="002A523D" w:rsidRPr="0072410C" w:rsidRDefault="002A523D" w:rsidP="002A523D">
      <w:pPr>
        <w:pStyle w:val="Normalaftertitle"/>
        <w:tabs>
          <w:tab w:val="left" w:pos="567"/>
        </w:tabs>
        <w:rPr>
          <w:lang w:val="es-ES_tradnl"/>
        </w:rPr>
      </w:pPr>
      <w:r w:rsidRPr="0072410C">
        <w:rPr>
          <w:lang w:val="es-ES_tradnl"/>
        </w:rPr>
        <w:lastRenderedPageBreak/>
        <w:t>Las mediciones para desplazamientos de más de ±75 MHz vienen limitadas por la sensibilidad del receptor. Las emisiones no deseadas de estas gamas de desplazamientos son aún más elevadas del valor representado.</w:t>
      </w:r>
    </w:p>
    <w:p w:rsidR="002A523D" w:rsidRPr="0072410C" w:rsidRDefault="002A523D" w:rsidP="002A523D">
      <w:pPr>
        <w:rPr>
          <w:rFonts w:eastAsia="Calibri"/>
          <w:lang w:val="es-ES_tradnl"/>
        </w:rPr>
      </w:pPr>
      <w:r w:rsidRPr="0072410C">
        <w:rPr>
          <w:rFonts w:eastAsia="Calibri"/>
          <w:lang w:val="es-ES_tradnl"/>
        </w:rPr>
        <w:t xml:space="preserve">Observaciones relativas a la </w:t>
      </w:r>
      <w:r w:rsidR="00345CCD">
        <w:rPr>
          <w:rFonts w:eastAsia="Calibri"/>
          <w:lang w:val="es-ES_tradnl"/>
        </w:rPr>
        <w:t xml:space="preserve">Fig. </w:t>
      </w:r>
      <w:r w:rsidRPr="0072410C">
        <w:rPr>
          <w:rFonts w:eastAsia="Calibri"/>
          <w:lang w:val="es-ES_tradnl"/>
        </w:rPr>
        <w:t xml:space="preserve">24: </w:t>
      </w:r>
    </w:p>
    <w:p w:rsidR="002A523D" w:rsidRPr="0072410C" w:rsidRDefault="002A523D" w:rsidP="002A523D">
      <w:pPr>
        <w:pStyle w:val="enumlev1"/>
        <w:rPr>
          <w:lang w:val="es-ES_tradnl"/>
        </w:rPr>
      </w:pPr>
      <w:r w:rsidRPr="0072410C">
        <w:rPr>
          <w:lang w:val="es-ES_tradnl"/>
        </w:rPr>
        <w:t>–</w:t>
      </w:r>
      <w:r w:rsidRPr="0072410C">
        <w:rPr>
          <w:lang w:val="es-ES_tradnl"/>
        </w:rPr>
        <w:tab/>
        <w:t>Los límites genéricos de emisión fuera de banda de una red de seguridad del servicio fijo que figuran en el Anexo 12 de la Rec. UIT-R SM.1541 se satisfacen para un margen de alrededor de 20 dB.</w:t>
      </w:r>
    </w:p>
    <w:p w:rsidR="002A523D" w:rsidRPr="0072410C" w:rsidRDefault="002A523D" w:rsidP="002A523D">
      <w:pPr>
        <w:pStyle w:val="enumlev1"/>
        <w:rPr>
          <w:lang w:val="es-ES_tradnl"/>
        </w:rPr>
      </w:pPr>
      <w:r>
        <w:rPr>
          <w:lang w:val="es-ES_tradnl"/>
        </w:rPr>
        <w:t>–</w:t>
      </w:r>
      <w:r w:rsidRPr="0072410C">
        <w:rPr>
          <w:lang w:val="es-ES_tradnl"/>
        </w:rPr>
        <w:tab/>
        <w:t xml:space="preserve">El límite específico del apartado 4.2.4.2.2.1 de la norma ETSI EN 302 217-2-2-2 se satisface para un margen de al menos 10 dB. </w:t>
      </w:r>
    </w:p>
    <w:p w:rsidR="002A523D" w:rsidRPr="0072410C" w:rsidRDefault="002A523D" w:rsidP="002A523D">
      <w:pPr>
        <w:rPr>
          <w:lang w:val="es-ES_tradnl"/>
        </w:rPr>
      </w:pPr>
      <w:r w:rsidRPr="0072410C">
        <w:rPr>
          <w:lang w:val="es-ES_tradnl"/>
        </w:rPr>
        <w:t xml:space="preserve">Con respecto a las características y los niveles de las emisiones fuera de banda, esas mediciones adicionales muestran la misma tendencia que los resultados que se presentan en la </w:t>
      </w:r>
      <w:r w:rsidR="00345CCD">
        <w:rPr>
          <w:lang w:val="es-ES_tradnl"/>
        </w:rPr>
        <w:t xml:space="preserve">Fig. </w:t>
      </w:r>
      <w:r w:rsidRPr="0072410C">
        <w:rPr>
          <w:lang w:val="es-ES_tradnl"/>
        </w:rPr>
        <w:t>24.</w:t>
      </w:r>
    </w:p>
    <w:p w:rsidR="002A523D" w:rsidRPr="0072410C" w:rsidRDefault="002A523D" w:rsidP="002A523D">
      <w:pPr>
        <w:rPr>
          <w:lang w:val="es-ES_tradnl"/>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6"/>
        <w:gridCol w:w="2254"/>
        <w:gridCol w:w="2729"/>
        <w:gridCol w:w="2480"/>
      </w:tblGrid>
      <w:tr w:rsidR="002A523D" w:rsidRPr="0072410C" w:rsidTr="0060391F">
        <w:trPr>
          <w:jc w:val="center"/>
        </w:trPr>
        <w:tc>
          <w:tcPr>
            <w:tcW w:w="2012" w:type="dxa"/>
            <w:vMerge w:val="restart"/>
            <w:vAlign w:val="center"/>
          </w:tcPr>
          <w:p w:rsidR="002A523D" w:rsidRPr="0072410C" w:rsidRDefault="002A523D" w:rsidP="0060391F">
            <w:pPr>
              <w:pStyle w:val="Tablehead"/>
              <w:rPr>
                <w:lang w:val="es-ES_tradnl"/>
              </w:rPr>
            </w:pPr>
            <w:bookmarkStart w:id="214" w:name="_Toc449437448"/>
            <w:r w:rsidRPr="0072410C">
              <w:rPr>
                <w:lang w:val="es-ES_tradnl"/>
              </w:rPr>
              <w:t>Sistema</w:t>
            </w:r>
          </w:p>
        </w:tc>
        <w:tc>
          <w:tcPr>
            <w:tcW w:w="2083" w:type="dxa"/>
            <w:vMerge w:val="restart"/>
            <w:vAlign w:val="center"/>
          </w:tcPr>
          <w:p w:rsidR="002A523D" w:rsidRPr="0072410C" w:rsidRDefault="002A523D" w:rsidP="0060391F">
            <w:pPr>
              <w:pStyle w:val="Tablehead"/>
              <w:rPr>
                <w:lang w:val="es-ES_tradnl"/>
              </w:rPr>
            </w:pPr>
            <w:r w:rsidRPr="0072410C">
              <w:rPr>
                <w:lang w:val="es-ES_tradnl"/>
              </w:rPr>
              <w:t>Figura</w:t>
            </w:r>
          </w:p>
        </w:tc>
        <w:tc>
          <w:tcPr>
            <w:tcW w:w="4814" w:type="dxa"/>
            <w:gridSpan w:val="2"/>
            <w:vAlign w:val="center"/>
          </w:tcPr>
          <w:p w:rsidR="002A523D" w:rsidRPr="0072410C" w:rsidRDefault="002A523D" w:rsidP="0060391F">
            <w:pPr>
              <w:pStyle w:val="Tablehead"/>
              <w:rPr>
                <w:lang w:val="es-ES_tradnl"/>
              </w:rPr>
            </w:pPr>
            <w:r w:rsidRPr="0072410C">
              <w:rPr>
                <w:lang w:val="es-ES_tradnl"/>
              </w:rPr>
              <w:t>Comparación con:</w:t>
            </w:r>
          </w:p>
        </w:tc>
      </w:tr>
      <w:tr w:rsidR="002A523D" w:rsidRPr="0072410C" w:rsidTr="0060391F">
        <w:trPr>
          <w:jc w:val="center"/>
        </w:trPr>
        <w:tc>
          <w:tcPr>
            <w:tcW w:w="2012" w:type="dxa"/>
            <w:vMerge/>
            <w:vAlign w:val="center"/>
          </w:tcPr>
          <w:p w:rsidR="002A523D" w:rsidRPr="0072410C" w:rsidRDefault="002A523D" w:rsidP="0060391F">
            <w:pPr>
              <w:pStyle w:val="Tablehead"/>
              <w:rPr>
                <w:lang w:val="es-ES_tradnl"/>
              </w:rPr>
            </w:pPr>
          </w:p>
        </w:tc>
        <w:tc>
          <w:tcPr>
            <w:tcW w:w="2083" w:type="dxa"/>
            <w:vMerge/>
            <w:vAlign w:val="center"/>
          </w:tcPr>
          <w:p w:rsidR="002A523D" w:rsidRPr="0072410C" w:rsidRDefault="002A523D" w:rsidP="0060391F">
            <w:pPr>
              <w:pStyle w:val="Tablehead"/>
              <w:rPr>
                <w:lang w:val="es-ES_tradnl"/>
              </w:rPr>
            </w:pPr>
          </w:p>
        </w:tc>
        <w:tc>
          <w:tcPr>
            <w:tcW w:w="2522" w:type="dxa"/>
            <w:vAlign w:val="center"/>
          </w:tcPr>
          <w:p w:rsidR="002A523D" w:rsidRPr="0072410C" w:rsidRDefault="002A523D" w:rsidP="0060391F">
            <w:pPr>
              <w:pStyle w:val="Tablehead"/>
              <w:rPr>
                <w:lang w:val="es-ES_tradnl"/>
              </w:rPr>
            </w:pPr>
            <w:r w:rsidRPr="0072410C">
              <w:rPr>
                <w:lang w:val="es-ES_tradnl"/>
              </w:rPr>
              <w:t>Rec. UIT-R SM.1541</w:t>
            </w:r>
          </w:p>
        </w:tc>
        <w:tc>
          <w:tcPr>
            <w:tcW w:w="2292" w:type="dxa"/>
            <w:vAlign w:val="center"/>
          </w:tcPr>
          <w:p w:rsidR="002A523D" w:rsidRPr="0072410C" w:rsidRDefault="002A523D" w:rsidP="0060391F">
            <w:pPr>
              <w:pStyle w:val="Tablehead"/>
              <w:rPr>
                <w:lang w:val="es-ES_tradnl"/>
              </w:rPr>
            </w:pPr>
            <w:r w:rsidRPr="0072410C">
              <w:rPr>
                <w:lang w:val="es-ES_tradnl"/>
              </w:rPr>
              <w:t>ETSI EN 302 217-2-2, apartado 4.2.4.2.1</w:t>
            </w:r>
          </w:p>
        </w:tc>
      </w:tr>
      <w:tr w:rsidR="002A523D" w:rsidRPr="00EF7B19" w:rsidTr="0060391F">
        <w:trPr>
          <w:jc w:val="center"/>
        </w:trPr>
        <w:tc>
          <w:tcPr>
            <w:tcW w:w="2012" w:type="dxa"/>
          </w:tcPr>
          <w:p w:rsidR="002A523D" w:rsidRPr="0072410C" w:rsidRDefault="002A523D" w:rsidP="00345CCD">
            <w:pPr>
              <w:pStyle w:val="Tabletext"/>
              <w:jc w:val="left"/>
              <w:rPr>
                <w:lang w:val="es-ES_tradnl"/>
              </w:rPr>
            </w:pPr>
            <w:r>
              <w:rPr>
                <w:lang w:val="es-ES_tradnl"/>
              </w:rPr>
              <w:t>E</w:t>
            </w:r>
            <w:r w:rsidRPr="006D0B6D">
              <w:rPr>
                <w:lang w:val="es-ES_tradnl"/>
              </w:rPr>
              <w:t xml:space="preserve">nlace punto a punto </w:t>
            </w:r>
            <w:r>
              <w:rPr>
                <w:lang w:val="es-ES_tradnl"/>
              </w:rPr>
              <w:t>de</w:t>
            </w:r>
            <w:r w:rsidRPr="006D0B6D">
              <w:rPr>
                <w:lang w:val="es-ES_tradnl"/>
              </w:rPr>
              <w:t xml:space="preserve"> 25 GHz</w:t>
            </w:r>
          </w:p>
        </w:tc>
        <w:tc>
          <w:tcPr>
            <w:tcW w:w="2083" w:type="dxa"/>
          </w:tcPr>
          <w:p w:rsidR="002A523D" w:rsidRPr="0072410C" w:rsidRDefault="002A523D" w:rsidP="00345CCD">
            <w:pPr>
              <w:pStyle w:val="Tabletext"/>
              <w:jc w:val="left"/>
              <w:rPr>
                <w:lang w:val="es-ES_tradnl"/>
              </w:rPr>
            </w:pPr>
            <w:r>
              <w:rPr>
                <w:lang w:val="es-ES_tradnl"/>
              </w:rPr>
              <w:t>Figura</w:t>
            </w:r>
            <w:r w:rsidRPr="0072410C">
              <w:rPr>
                <w:lang w:val="es-ES_tradnl"/>
              </w:rPr>
              <w:t xml:space="preserve"> 24</w:t>
            </w:r>
          </w:p>
        </w:tc>
        <w:tc>
          <w:tcPr>
            <w:tcW w:w="2522" w:type="dxa"/>
          </w:tcPr>
          <w:p w:rsidR="002A523D" w:rsidRPr="0072410C" w:rsidRDefault="002A523D" w:rsidP="00345CCD">
            <w:pPr>
              <w:pStyle w:val="Tabletext"/>
              <w:jc w:val="left"/>
              <w:rPr>
                <w:rFonts w:ascii="Calibri" w:hAnsi="Calibri" w:cs="Calibri"/>
                <w:b/>
                <w:color w:val="800000"/>
                <w:highlight w:val="lightGray"/>
                <w:lang w:val="es-ES_tradnl"/>
              </w:rPr>
            </w:pPr>
            <w:r w:rsidRPr="0072410C">
              <w:rPr>
                <w:lang w:val="es-ES_tradnl"/>
              </w:rPr>
              <w:t>Los límites genéricos de emisión fuera de banda de una red de seguridad del servicio fijo que figura</w:t>
            </w:r>
            <w:r>
              <w:rPr>
                <w:lang w:val="es-ES_tradnl"/>
              </w:rPr>
              <w:t>n en el Anexo 12 de la Rec. UIT</w:t>
            </w:r>
            <w:r>
              <w:rPr>
                <w:lang w:val="es-ES_tradnl"/>
              </w:rPr>
              <w:noBreakHyphen/>
            </w:r>
            <w:r w:rsidRPr="0072410C">
              <w:rPr>
                <w:lang w:val="es-ES_tradnl"/>
              </w:rPr>
              <w:t>R SM.1541 se satisfacen para un margen de alrededor de 20 dB.</w:t>
            </w:r>
          </w:p>
        </w:tc>
        <w:tc>
          <w:tcPr>
            <w:tcW w:w="2292" w:type="dxa"/>
          </w:tcPr>
          <w:p w:rsidR="002A523D" w:rsidRPr="0072410C" w:rsidRDefault="002A523D" w:rsidP="00345CCD">
            <w:pPr>
              <w:pStyle w:val="Tabletext"/>
              <w:jc w:val="left"/>
              <w:rPr>
                <w:lang w:val="es-ES_tradnl"/>
              </w:rPr>
            </w:pPr>
            <w:r w:rsidRPr="0072410C">
              <w:rPr>
                <w:lang w:val="es-ES_tradnl"/>
              </w:rPr>
              <w:t>El límite específico se satisface para un margen de al menos 10 dB</w:t>
            </w:r>
            <w:r w:rsidRPr="0072410C">
              <w:rPr>
                <w:szCs w:val="24"/>
                <w:lang w:val="es-ES_tradnl"/>
              </w:rPr>
              <w:t xml:space="preserve">. </w:t>
            </w:r>
          </w:p>
        </w:tc>
      </w:tr>
    </w:tbl>
    <w:p w:rsidR="002A523D" w:rsidRPr="0072410C" w:rsidRDefault="002A523D" w:rsidP="002A523D">
      <w:pPr>
        <w:pStyle w:val="Heading2"/>
        <w:rPr>
          <w:lang w:val="es-ES_tradnl"/>
        </w:rPr>
      </w:pPr>
      <w:bookmarkStart w:id="215" w:name="_Toc475540061"/>
      <w:bookmarkStart w:id="216" w:name="_Toc476049692"/>
      <w:r w:rsidRPr="0072410C">
        <w:rPr>
          <w:lang w:val="es-ES_tradnl"/>
        </w:rPr>
        <w:t>12.2</w:t>
      </w:r>
      <w:r w:rsidRPr="0072410C">
        <w:rPr>
          <w:lang w:val="es-ES_tradnl"/>
        </w:rPr>
        <w:tab/>
      </w:r>
      <w:bookmarkEnd w:id="214"/>
      <w:bookmarkEnd w:id="215"/>
      <w:bookmarkEnd w:id="216"/>
      <w:r w:rsidRPr="0072410C">
        <w:rPr>
          <w:lang w:val="es-ES_tradnl"/>
        </w:rPr>
        <w:t>Emisión no esencial</w:t>
      </w:r>
    </w:p>
    <w:p w:rsidR="002A523D" w:rsidRPr="0072410C" w:rsidRDefault="002A523D" w:rsidP="002A523D">
      <w:pPr>
        <w:rPr>
          <w:lang w:val="es-ES_tradnl"/>
        </w:rPr>
      </w:pPr>
      <w:r w:rsidRPr="0072410C">
        <w:rPr>
          <w:lang w:val="es-ES_tradnl"/>
        </w:rPr>
        <w:t>El límite para las emisiones no esenciales que figura en ERC/REC 74-01 y en la Recomendación UIT-R SM.329 (Cat B/Europa) es −30 dBm/MHz.</w:t>
      </w:r>
    </w:p>
    <w:p w:rsidR="002A523D" w:rsidRPr="0072410C" w:rsidRDefault="002A523D" w:rsidP="002A523D">
      <w:pPr>
        <w:rPr>
          <w:lang w:val="es-ES_tradnl"/>
        </w:rPr>
      </w:pPr>
      <w:r w:rsidRPr="0072410C">
        <w:rPr>
          <w:lang w:val="es-ES_tradnl"/>
        </w:rPr>
        <w:t>Con respecto a los límites de emisión no esencial, la norma pertinente, ETSI EN 301 390, también hace referencia en su apartado 4.1.1 a los límites que se proporcionan en ERC/REC 74-01.</w:t>
      </w:r>
    </w:p>
    <w:p w:rsidR="002A523D" w:rsidRPr="0072410C" w:rsidRDefault="002A523D" w:rsidP="002A523D">
      <w:pPr>
        <w:rPr>
          <w:lang w:val="es-ES_tradnl"/>
        </w:rPr>
      </w:pPr>
      <w:r w:rsidRPr="0072410C">
        <w:rPr>
          <w:lang w:val="es-ES_tradnl"/>
        </w:rPr>
        <w:t xml:space="preserve">Se han realizado diversas mediciones de emisiones no esenciales en varios dispositivos punto a punto en la gama de 25 GHz con anchuras de banda de canal diferentes. En la siguiente figura se muestra un ejemplo habitual de emisiones no esenciales al comienzo de la gama de emisiones no esenciales, por lo general el más importante, hasta 40 GHz. Se muestra el mismo dispositivo que el relativo al dominio de emisiones no esenciales anteriormente especificado. La anchura de banda de la medición fue 1 MHz. La referencia de nivel de 0 dB es la densidad espectral de </w:t>
      </w:r>
      <w:r>
        <w:rPr>
          <w:lang w:val="es-ES_tradnl"/>
        </w:rPr>
        <w:t>potencia en el canal para 1 </w:t>
      </w:r>
      <w:r w:rsidRPr="0072410C">
        <w:rPr>
          <w:lang w:val="es-ES_tradnl"/>
        </w:rPr>
        <w:t>MHz.</w:t>
      </w:r>
    </w:p>
    <w:p w:rsidR="002A523D" w:rsidRPr="0072410C" w:rsidRDefault="002A523D" w:rsidP="002A523D">
      <w:pPr>
        <w:pStyle w:val="FigureNo"/>
        <w:rPr>
          <w:lang w:val="es-ES_tradnl"/>
        </w:rPr>
      </w:pPr>
      <w:bookmarkStart w:id="217" w:name="_Ref447625295"/>
      <w:r w:rsidRPr="0072410C">
        <w:rPr>
          <w:lang w:val="es-ES_tradnl"/>
        </w:rPr>
        <w:lastRenderedPageBreak/>
        <w:t>FigurA 25</w:t>
      </w:r>
      <w:bookmarkEnd w:id="217"/>
    </w:p>
    <w:p w:rsidR="002A523D" w:rsidRDefault="002A523D" w:rsidP="002A523D">
      <w:pPr>
        <w:pStyle w:val="Figuretitle"/>
        <w:rPr>
          <w:lang w:val="es-ES_tradnl"/>
        </w:rPr>
      </w:pPr>
      <w:r w:rsidRPr="0072410C">
        <w:rPr>
          <w:lang w:val="es-ES_tradnl"/>
        </w:rPr>
        <w:t xml:space="preserve">Emisiones no esenciales en un enlace punto a punto de 25 GHz </w:t>
      </w:r>
    </w:p>
    <w:p w:rsidR="00C15DC8" w:rsidRPr="00D24BC5" w:rsidRDefault="00C15DC8" w:rsidP="00C15DC8">
      <w:pPr>
        <w:pStyle w:val="Figure"/>
        <w:rPr>
          <w:lang w:val="en-GB" w:eastAsia="zh-CN"/>
        </w:rPr>
      </w:pPr>
      <w:r>
        <w:object w:dxaOrig="6029" w:dyaOrig="4541">
          <v:shape id="_x0000_i1176" type="#_x0000_t75" style="width:396.55pt;height:298.2pt" o:ole="">
            <v:imagedata r:id="rId80" o:title=""/>
          </v:shape>
          <o:OLEObject Type="Embed" ProgID="CorelDraw.Graphic.16" ShapeID="_x0000_i1176" DrawAspect="Content" ObjectID="_1600519744" r:id="rId81"/>
        </w:object>
      </w:r>
    </w:p>
    <w:p w:rsidR="002A523D" w:rsidRPr="0072410C" w:rsidRDefault="002A523D" w:rsidP="002A523D">
      <w:pPr>
        <w:pStyle w:val="Normalaftertitle"/>
        <w:rPr>
          <w:lang w:val="es-ES_tradnl"/>
        </w:rPr>
      </w:pPr>
      <w:r w:rsidRPr="0072410C">
        <w:rPr>
          <w:rFonts w:eastAsia="Calibri"/>
          <w:lang w:val="es-ES_tradnl"/>
        </w:rPr>
        <w:t xml:space="preserve">Observaciones relativas a la </w:t>
      </w:r>
      <w:r w:rsidR="00345CCD">
        <w:rPr>
          <w:rFonts w:eastAsia="Calibri"/>
          <w:lang w:val="es-ES_tradnl"/>
        </w:rPr>
        <w:t xml:space="preserve">Fig. </w:t>
      </w:r>
      <w:r w:rsidRPr="0072410C">
        <w:rPr>
          <w:rFonts w:eastAsia="Calibri"/>
          <w:lang w:val="es-ES_tradnl"/>
        </w:rPr>
        <w:t>25:</w:t>
      </w:r>
      <w:r w:rsidRPr="0072410C">
        <w:rPr>
          <w:lang w:val="es-ES_tradnl"/>
        </w:rPr>
        <w:t xml:space="preserve"> </w:t>
      </w:r>
    </w:p>
    <w:p w:rsidR="002A523D" w:rsidRPr="0072410C" w:rsidRDefault="002A523D" w:rsidP="002A523D">
      <w:pPr>
        <w:pStyle w:val="enumlev1"/>
        <w:rPr>
          <w:lang w:val="es-ES_tradnl"/>
        </w:rPr>
      </w:pPr>
      <w:r w:rsidRPr="0072410C">
        <w:rPr>
          <w:lang w:val="es-ES_tradnl"/>
        </w:rPr>
        <w:t>–</w:t>
      </w:r>
      <w:r w:rsidRPr="0072410C">
        <w:rPr>
          <w:lang w:val="es-ES_tradnl"/>
        </w:rPr>
        <w:tab/>
        <w:t>El límite de emisión no esencial se satisface para un margen de más de 20 dB.</w:t>
      </w:r>
    </w:p>
    <w:p w:rsidR="002A523D" w:rsidRPr="0072410C" w:rsidRDefault="002A523D" w:rsidP="002A523D">
      <w:pPr>
        <w:pStyle w:val="enumlev1"/>
        <w:rPr>
          <w:lang w:val="es-ES_tradnl"/>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5"/>
        <w:gridCol w:w="1562"/>
        <w:gridCol w:w="2262"/>
        <w:gridCol w:w="2079"/>
        <w:gridCol w:w="2211"/>
      </w:tblGrid>
      <w:tr w:rsidR="002A523D" w:rsidRPr="0072410C" w:rsidTr="00C15DC8">
        <w:trPr>
          <w:jc w:val="center"/>
        </w:trPr>
        <w:tc>
          <w:tcPr>
            <w:tcW w:w="1525" w:type="dxa"/>
            <w:vMerge w:val="restart"/>
            <w:vAlign w:val="center"/>
          </w:tcPr>
          <w:p w:rsidR="002A523D" w:rsidRPr="0072410C" w:rsidRDefault="002A523D" w:rsidP="0060391F">
            <w:pPr>
              <w:pStyle w:val="Tablehead"/>
              <w:rPr>
                <w:lang w:val="es-ES_tradnl"/>
              </w:rPr>
            </w:pPr>
            <w:r w:rsidRPr="0072410C">
              <w:rPr>
                <w:lang w:val="es-ES_tradnl"/>
              </w:rPr>
              <w:t>Sistema</w:t>
            </w:r>
          </w:p>
        </w:tc>
        <w:tc>
          <w:tcPr>
            <w:tcW w:w="1562" w:type="dxa"/>
            <w:vMerge w:val="restart"/>
            <w:vAlign w:val="center"/>
          </w:tcPr>
          <w:p w:rsidR="002A523D" w:rsidRPr="0072410C" w:rsidRDefault="002A523D" w:rsidP="0060391F">
            <w:pPr>
              <w:pStyle w:val="Tablehead"/>
              <w:rPr>
                <w:lang w:val="es-ES_tradnl"/>
              </w:rPr>
            </w:pPr>
            <w:r w:rsidRPr="0072410C">
              <w:rPr>
                <w:lang w:val="es-ES_tradnl"/>
              </w:rPr>
              <w:t>Figura</w:t>
            </w:r>
          </w:p>
        </w:tc>
        <w:tc>
          <w:tcPr>
            <w:tcW w:w="6552" w:type="dxa"/>
            <w:gridSpan w:val="3"/>
          </w:tcPr>
          <w:p w:rsidR="002A523D" w:rsidRPr="0072410C" w:rsidRDefault="002A523D" w:rsidP="0060391F">
            <w:pPr>
              <w:pStyle w:val="Tablehead"/>
              <w:rPr>
                <w:lang w:val="es-ES_tradnl"/>
              </w:rPr>
            </w:pPr>
            <w:r w:rsidRPr="0072410C">
              <w:rPr>
                <w:lang w:val="es-ES_tradnl"/>
              </w:rPr>
              <w:t xml:space="preserve">Comparación con: </w:t>
            </w:r>
          </w:p>
        </w:tc>
      </w:tr>
      <w:tr w:rsidR="002A523D" w:rsidRPr="0072410C" w:rsidTr="0060391F">
        <w:trPr>
          <w:jc w:val="center"/>
        </w:trPr>
        <w:tc>
          <w:tcPr>
            <w:tcW w:w="1525" w:type="dxa"/>
            <w:vMerge/>
          </w:tcPr>
          <w:p w:rsidR="002A523D" w:rsidRPr="0072410C" w:rsidRDefault="002A523D" w:rsidP="0060391F">
            <w:pPr>
              <w:pStyle w:val="Tablehead"/>
              <w:rPr>
                <w:lang w:val="es-ES_tradnl"/>
              </w:rPr>
            </w:pPr>
          </w:p>
        </w:tc>
        <w:tc>
          <w:tcPr>
            <w:tcW w:w="1562" w:type="dxa"/>
            <w:vMerge/>
          </w:tcPr>
          <w:p w:rsidR="002A523D" w:rsidRPr="0072410C" w:rsidRDefault="002A523D" w:rsidP="0060391F">
            <w:pPr>
              <w:pStyle w:val="Tablehead"/>
              <w:rPr>
                <w:lang w:val="es-ES_tradnl"/>
              </w:rPr>
            </w:pPr>
          </w:p>
        </w:tc>
        <w:tc>
          <w:tcPr>
            <w:tcW w:w="2262" w:type="dxa"/>
          </w:tcPr>
          <w:p w:rsidR="002A523D" w:rsidRPr="0072410C" w:rsidRDefault="002A523D" w:rsidP="0060391F">
            <w:pPr>
              <w:pStyle w:val="Tablehead"/>
              <w:rPr>
                <w:lang w:val="es-ES_tradnl"/>
              </w:rPr>
            </w:pPr>
            <w:r w:rsidRPr="0072410C">
              <w:rPr>
                <w:lang w:val="es-ES_tradnl"/>
              </w:rPr>
              <w:t>Rec. UIT-R SM.329</w:t>
            </w:r>
          </w:p>
        </w:tc>
        <w:tc>
          <w:tcPr>
            <w:tcW w:w="2079" w:type="dxa"/>
          </w:tcPr>
          <w:p w:rsidR="002A523D" w:rsidRPr="0072410C" w:rsidRDefault="002A523D" w:rsidP="0060391F">
            <w:pPr>
              <w:pStyle w:val="Tablehead"/>
              <w:rPr>
                <w:lang w:val="es-ES_tradnl"/>
              </w:rPr>
            </w:pPr>
            <w:r w:rsidRPr="0072410C">
              <w:rPr>
                <w:lang w:val="es-ES_tradnl"/>
              </w:rPr>
              <w:t>ERC/Rec 74-01</w:t>
            </w:r>
          </w:p>
        </w:tc>
        <w:tc>
          <w:tcPr>
            <w:tcW w:w="2211" w:type="dxa"/>
          </w:tcPr>
          <w:p w:rsidR="002A523D" w:rsidRPr="0072410C" w:rsidRDefault="002A523D" w:rsidP="0060391F">
            <w:pPr>
              <w:pStyle w:val="Tablehead"/>
              <w:rPr>
                <w:lang w:val="es-ES_tradnl"/>
              </w:rPr>
            </w:pPr>
            <w:r w:rsidRPr="0072410C">
              <w:rPr>
                <w:lang w:val="es-ES_tradnl"/>
              </w:rPr>
              <w:t>ETSI</w:t>
            </w:r>
          </w:p>
        </w:tc>
      </w:tr>
      <w:tr w:rsidR="002A523D" w:rsidRPr="00EF7B19" w:rsidTr="0060391F">
        <w:trPr>
          <w:jc w:val="center"/>
        </w:trPr>
        <w:tc>
          <w:tcPr>
            <w:tcW w:w="1525" w:type="dxa"/>
          </w:tcPr>
          <w:p w:rsidR="002A523D" w:rsidRPr="0072410C" w:rsidRDefault="002A523D" w:rsidP="00345CCD">
            <w:pPr>
              <w:pStyle w:val="Tabletext"/>
              <w:jc w:val="left"/>
              <w:rPr>
                <w:lang w:val="es-ES_tradnl"/>
              </w:rPr>
            </w:pPr>
            <w:r w:rsidRPr="0072410C">
              <w:rPr>
                <w:lang w:val="es-ES_tradnl"/>
              </w:rPr>
              <w:t>Enlaces punto a punto de 25</w:t>
            </w:r>
            <w:r>
              <w:rPr>
                <w:lang w:val="es-ES_tradnl"/>
              </w:rPr>
              <w:t> </w:t>
            </w:r>
            <w:r w:rsidRPr="0072410C">
              <w:rPr>
                <w:lang w:val="es-ES_tradnl"/>
              </w:rPr>
              <w:t xml:space="preserve">GHz </w:t>
            </w:r>
          </w:p>
        </w:tc>
        <w:tc>
          <w:tcPr>
            <w:tcW w:w="1562" w:type="dxa"/>
          </w:tcPr>
          <w:p w:rsidR="002A523D" w:rsidRPr="0072410C" w:rsidRDefault="002A523D" w:rsidP="00345CCD">
            <w:pPr>
              <w:pStyle w:val="Tabletext"/>
              <w:jc w:val="left"/>
              <w:rPr>
                <w:lang w:val="es-ES_tradnl"/>
              </w:rPr>
            </w:pPr>
            <w:r w:rsidRPr="0072410C">
              <w:rPr>
                <w:lang w:val="es-ES_tradnl"/>
              </w:rPr>
              <w:t>Figura 25</w:t>
            </w:r>
          </w:p>
        </w:tc>
        <w:tc>
          <w:tcPr>
            <w:tcW w:w="6552" w:type="dxa"/>
            <w:gridSpan w:val="3"/>
          </w:tcPr>
          <w:p w:rsidR="002A523D" w:rsidRPr="0072410C" w:rsidRDefault="002A523D" w:rsidP="00345CCD">
            <w:pPr>
              <w:pStyle w:val="Tabletext"/>
              <w:jc w:val="left"/>
              <w:rPr>
                <w:szCs w:val="24"/>
                <w:lang w:val="es-ES_tradnl"/>
              </w:rPr>
            </w:pPr>
            <w:r w:rsidRPr="0072410C">
              <w:rPr>
                <w:szCs w:val="24"/>
                <w:lang w:val="es-ES_tradnl"/>
              </w:rPr>
              <w:t>El límite de emisión no esencial se satisface para un margen de más de</w:t>
            </w:r>
            <w:r>
              <w:rPr>
                <w:szCs w:val="24"/>
                <w:lang w:val="es-ES_tradnl"/>
              </w:rPr>
              <w:t> </w:t>
            </w:r>
            <w:r w:rsidRPr="0072410C">
              <w:rPr>
                <w:szCs w:val="24"/>
                <w:lang w:val="es-ES_tradnl"/>
              </w:rPr>
              <w:t>20</w:t>
            </w:r>
            <w:r>
              <w:rPr>
                <w:szCs w:val="24"/>
                <w:lang w:val="es-ES_tradnl"/>
              </w:rPr>
              <w:t> </w:t>
            </w:r>
            <w:r w:rsidRPr="0072410C">
              <w:rPr>
                <w:szCs w:val="24"/>
                <w:lang w:val="es-ES_tradnl"/>
              </w:rPr>
              <w:t>dB.</w:t>
            </w:r>
          </w:p>
        </w:tc>
      </w:tr>
    </w:tbl>
    <w:p w:rsidR="002A523D" w:rsidRPr="0072410C" w:rsidRDefault="002A523D" w:rsidP="002A523D">
      <w:pPr>
        <w:rPr>
          <w:lang w:val="es-ES_tradnl"/>
        </w:rPr>
      </w:pPr>
      <w:r w:rsidRPr="0072410C">
        <w:rPr>
          <w:lang w:val="es-ES_tradnl"/>
        </w:rPr>
        <w:t>Por otro lado, las mediciones no esenciales del mismo equipo para otras gamas de frecuencias (por ejemplo, 28 GHz, 32 GHz o 38 GHz en la gama de medición de 25,157 GHz a 40 GHz) han puesto de manifiesto que para desplazamientos de frecuencia más amplios los niveles son inferiores a los previstos desde un punto de vista físico.</w:t>
      </w:r>
    </w:p>
    <w:p w:rsidR="002A523D" w:rsidRPr="0072410C" w:rsidRDefault="002A523D" w:rsidP="002A523D">
      <w:pPr>
        <w:rPr>
          <w:lang w:val="es-ES_tradnl"/>
        </w:rPr>
      </w:pPr>
      <w:r w:rsidRPr="0072410C">
        <w:rPr>
          <w:lang w:val="es-ES_tradnl"/>
        </w:rPr>
        <w:t xml:space="preserve">En cuanto a las características y los niveles de las emisiones fuera de banda, las nuevas mediciones muestran la misma tendencia que el resultado presentado en la </w:t>
      </w:r>
      <w:r w:rsidR="00345CCD">
        <w:rPr>
          <w:lang w:val="es-ES_tradnl"/>
        </w:rPr>
        <w:t xml:space="preserve">Fig. </w:t>
      </w:r>
      <w:r w:rsidRPr="0072410C">
        <w:rPr>
          <w:lang w:val="es-ES_tradnl"/>
        </w:rPr>
        <w:t>25.</w:t>
      </w:r>
    </w:p>
    <w:p w:rsidR="002A523D" w:rsidRPr="0072410C" w:rsidRDefault="002A523D" w:rsidP="002A523D">
      <w:pPr>
        <w:pStyle w:val="Heading1"/>
        <w:rPr>
          <w:lang w:val="es-ES_tradnl"/>
        </w:rPr>
      </w:pPr>
      <w:bookmarkStart w:id="218" w:name="_Toc395724414"/>
      <w:bookmarkStart w:id="219" w:name="_Toc415058519"/>
      <w:bookmarkStart w:id="220" w:name="_Toc449437450"/>
      <w:bookmarkStart w:id="221" w:name="_Toc476049693"/>
      <w:bookmarkStart w:id="222" w:name="_Toc525820189"/>
      <w:bookmarkStart w:id="223" w:name="_Toc525820369"/>
      <w:r w:rsidRPr="0072410C">
        <w:rPr>
          <w:lang w:val="es-ES_tradnl"/>
        </w:rPr>
        <w:t>13</w:t>
      </w:r>
      <w:r w:rsidRPr="0072410C">
        <w:rPr>
          <w:lang w:val="es-ES_tradnl"/>
        </w:rPr>
        <w:tab/>
      </w:r>
      <w:bookmarkEnd w:id="218"/>
      <w:bookmarkEnd w:id="219"/>
      <w:bookmarkEnd w:id="220"/>
      <w:bookmarkEnd w:id="221"/>
      <w:r w:rsidRPr="0072410C">
        <w:rPr>
          <w:lang w:val="es-ES_tradnl"/>
        </w:rPr>
        <w:t>Sistemas con o sin filtrado</w:t>
      </w:r>
      <w:bookmarkEnd w:id="222"/>
      <w:bookmarkEnd w:id="223"/>
      <w:r w:rsidRPr="0072410C">
        <w:rPr>
          <w:lang w:val="es-ES_tradnl"/>
        </w:rPr>
        <w:t xml:space="preserve"> </w:t>
      </w:r>
    </w:p>
    <w:p w:rsidR="002A523D" w:rsidRPr="0072410C" w:rsidRDefault="002A523D" w:rsidP="002A523D">
      <w:pPr>
        <w:rPr>
          <w:lang w:val="es-ES_tradnl"/>
        </w:rPr>
      </w:pPr>
      <w:r w:rsidRPr="0072410C">
        <w:rPr>
          <w:lang w:val="es-ES_tradnl"/>
        </w:rPr>
        <w:t xml:space="preserve">La gestión de frecuencias a escalas nacional e internacional exige a menudo suprimir notablemente las emisiones no deseadas al atribuir una banda de frecuencias a un servicio específico, a fin de evitar interferencia perjudicial a servicios de radiocomunicaciones de bandas adyacentes. En la mayoría de los casos, esos requisitos sólo pueden cumplirse si se aplica algún tipo de filtrado físico adicional en la última etapa del transmisor, o después de esta. En los casos en los que se desplieguen esos filtros, el nivel de las emisiones no deseadas en el dominio de emisiones esenciales dependerá en gran medida </w:t>
      </w:r>
      <w:r w:rsidRPr="0072410C">
        <w:rPr>
          <w:lang w:val="es-ES_tradnl"/>
        </w:rPr>
        <w:lastRenderedPageBreak/>
        <w:t xml:space="preserve">de la frecuencia. Por otro lado, su nivel absoluto suele ser tan bajo que no puede medirse. En ese caso, las emisiones no esenciales no pueden causar interferencia perjudicial a otros servicios de radiocomunicaciones y, en consecuencia, no han de tenerse en cuenta en estudios de compatibilidad/compartición. </w:t>
      </w:r>
    </w:p>
    <w:p w:rsidR="002A523D" w:rsidRPr="0072410C" w:rsidRDefault="002A523D" w:rsidP="002A523D">
      <w:pPr>
        <w:rPr>
          <w:lang w:val="es-ES_tradnl"/>
        </w:rPr>
      </w:pPr>
      <w:r w:rsidRPr="0072410C">
        <w:rPr>
          <w:lang w:val="es-ES_tradnl"/>
        </w:rPr>
        <w:t xml:space="preserve">Entre los sistemas para los que siempre se aplican filtros a la salida del transmisor cabe destacar la DAB, las estaciones de base LTE y la DVB-T. </w:t>
      </w:r>
    </w:p>
    <w:p w:rsidR="002A523D" w:rsidRPr="0072410C" w:rsidRDefault="002A523D" w:rsidP="002A523D">
      <w:pPr>
        <w:pStyle w:val="Heading2"/>
        <w:rPr>
          <w:lang w:val="es-ES_tradnl"/>
        </w:rPr>
      </w:pPr>
      <w:bookmarkStart w:id="224" w:name="_Toc449437451"/>
      <w:bookmarkStart w:id="225" w:name="_Toc476049694"/>
      <w:r w:rsidRPr="0072410C">
        <w:rPr>
          <w:lang w:val="es-ES_tradnl"/>
        </w:rPr>
        <w:t>13.1</w:t>
      </w:r>
      <w:r w:rsidRPr="0072410C">
        <w:rPr>
          <w:lang w:val="es-ES_tradnl"/>
        </w:rPr>
        <w:tab/>
        <w:t>DAB</w:t>
      </w:r>
      <w:bookmarkEnd w:id="224"/>
      <w:bookmarkEnd w:id="225"/>
    </w:p>
    <w:p w:rsidR="002A523D" w:rsidRPr="0072410C" w:rsidRDefault="002A523D" w:rsidP="002A523D">
      <w:pPr>
        <w:rPr>
          <w:lang w:val="es-ES_tradnl"/>
        </w:rPr>
      </w:pPr>
      <w:r w:rsidRPr="0072410C">
        <w:rPr>
          <w:lang w:val="es-ES_tradnl"/>
        </w:rPr>
        <w:t xml:space="preserve">En la </w:t>
      </w:r>
      <w:r w:rsidR="00345CCD">
        <w:rPr>
          <w:lang w:val="es-ES_tradnl"/>
        </w:rPr>
        <w:t xml:space="preserve">Fig. </w:t>
      </w:r>
      <w:r w:rsidRPr="0072410C">
        <w:rPr>
          <w:lang w:val="es-ES_tradnl"/>
        </w:rPr>
        <w:t>26 se muestran las emisiones no deseadas medidas con un transmisor DAB directamente a la salida del transmisor y después del filtro adicional situado en la etapa de alimentación de la antena.</w:t>
      </w:r>
    </w:p>
    <w:p w:rsidR="002A523D" w:rsidRPr="0072410C" w:rsidRDefault="002A523D" w:rsidP="002A523D">
      <w:pPr>
        <w:pStyle w:val="FigureNo"/>
        <w:rPr>
          <w:lang w:val="es-ES_tradnl"/>
        </w:rPr>
      </w:pPr>
      <w:bookmarkStart w:id="226" w:name="_Ref424735794"/>
      <w:bookmarkStart w:id="227" w:name="_Ref476054137"/>
      <w:r w:rsidRPr="0072410C">
        <w:rPr>
          <w:lang w:val="es-ES_tradnl"/>
        </w:rPr>
        <w:t>FigurA 26</w:t>
      </w:r>
      <w:bookmarkEnd w:id="226"/>
    </w:p>
    <w:p w:rsidR="002A523D" w:rsidRDefault="002A523D" w:rsidP="002A523D">
      <w:pPr>
        <w:pStyle w:val="Figuretitle"/>
        <w:rPr>
          <w:lang w:val="es-ES_tradnl"/>
        </w:rPr>
      </w:pPr>
      <w:r w:rsidRPr="0072410C">
        <w:rPr>
          <w:lang w:val="es-ES_tradnl"/>
        </w:rPr>
        <w:t xml:space="preserve">Emisiones DAB no deseadas </w:t>
      </w:r>
      <w:bookmarkEnd w:id="227"/>
      <w:r w:rsidRPr="0072410C">
        <w:rPr>
          <w:lang w:val="es-ES_tradnl"/>
        </w:rPr>
        <w:t>en el dominio de emisiones no esenciales</w:t>
      </w:r>
    </w:p>
    <w:p w:rsidR="00B43528" w:rsidRPr="009847AD" w:rsidRDefault="0015753C" w:rsidP="00B43528">
      <w:pPr>
        <w:pStyle w:val="Figure"/>
        <w:rPr>
          <w:lang w:eastAsia="zh-CN"/>
        </w:rPr>
      </w:pPr>
      <w:r w:rsidRPr="009847AD">
        <w:rPr>
          <w:lang w:eastAsia="zh-CN"/>
        </w:rPr>
        <w:object w:dxaOrig="6424" w:dyaOrig="4215">
          <v:shape id="_x0000_i1185" type="#_x0000_t75" style="width:401.35pt;height:264.9pt" o:ole="">
            <v:imagedata r:id="rId82" o:title=""/>
          </v:shape>
          <o:OLEObject Type="Embed" ProgID="CorelDraw.Graphic.16" ShapeID="_x0000_i1185" DrawAspect="Content" ObjectID="_1600519745" r:id="rId83"/>
        </w:object>
      </w:r>
    </w:p>
    <w:p w:rsidR="002A523D" w:rsidRPr="0072410C" w:rsidRDefault="002A523D" w:rsidP="002A523D">
      <w:pPr>
        <w:pStyle w:val="Normalaftertitle"/>
        <w:rPr>
          <w:lang w:val="es-ES_tradnl"/>
        </w:rPr>
      </w:pPr>
      <w:r w:rsidRPr="0072410C">
        <w:rPr>
          <w:rFonts w:eastAsia="Calibri"/>
          <w:lang w:val="es-ES_tradnl"/>
        </w:rPr>
        <w:t xml:space="preserve">Observaciones relativas a la </w:t>
      </w:r>
      <w:r w:rsidR="00345CCD">
        <w:rPr>
          <w:rFonts w:eastAsia="Calibri"/>
          <w:lang w:val="es-ES_tradnl"/>
        </w:rPr>
        <w:t xml:space="preserve">Fig. </w:t>
      </w:r>
      <w:r w:rsidRPr="0072410C">
        <w:rPr>
          <w:lang w:val="es-ES_tradnl"/>
        </w:rPr>
        <w:t>26:</w:t>
      </w:r>
    </w:p>
    <w:p w:rsidR="002A523D" w:rsidRPr="0072410C" w:rsidRDefault="002A523D" w:rsidP="002A523D">
      <w:pPr>
        <w:pStyle w:val="enumlev1"/>
        <w:rPr>
          <w:lang w:val="es-ES_tradnl"/>
        </w:rPr>
      </w:pPr>
      <w:r w:rsidRPr="0072410C">
        <w:rPr>
          <w:lang w:val="es-ES_tradnl"/>
        </w:rPr>
        <w:t>–</w:t>
      </w:r>
      <w:r w:rsidRPr="0072410C">
        <w:rPr>
          <w:lang w:val="es-ES_tradnl"/>
        </w:rPr>
        <w:tab/>
        <w:t>El espectro no filtrado no puede ajustarse a la Máscara GE-06</w:t>
      </w:r>
      <w:r>
        <w:rPr>
          <w:lang w:val="es-ES_tradnl"/>
        </w:rPr>
        <w:t xml:space="preserve"> 1 (no crítica) y la Máscara GE</w:t>
      </w:r>
      <w:r>
        <w:rPr>
          <w:lang w:val="es-ES_tradnl"/>
        </w:rPr>
        <w:noBreakHyphen/>
      </w:r>
      <w:r w:rsidRPr="0072410C">
        <w:rPr>
          <w:lang w:val="es-ES_tradnl"/>
        </w:rPr>
        <w:t>06 2 (crítica), que son las máscaras de emisión no esencial requeridas en Europa.</w:t>
      </w:r>
    </w:p>
    <w:p w:rsidR="002A523D" w:rsidRPr="0072410C" w:rsidRDefault="002A523D" w:rsidP="002A523D">
      <w:pPr>
        <w:pStyle w:val="enumlev1"/>
        <w:rPr>
          <w:lang w:val="es-ES_tradnl"/>
        </w:rPr>
      </w:pPr>
      <w:r>
        <w:rPr>
          <w:lang w:val="es-ES_tradnl"/>
        </w:rPr>
        <w:t>–</w:t>
      </w:r>
      <w:r w:rsidRPr="0072410C">
        <w:rPr>
          <w:lang w:val="es-ES_tradnl"/>
        </w:rPr>
        <w:tab/>
        <w:t>El espectro filtrado suprime significativamente las emisiones no deseadas, aun en el dominio de emisiones no esenciales.</w:t>
      </w:r>
    </w:p>
    <w:p w:rsidR="002A523D" w:rsidRPr="0072410C" w:rsidRDefault="002A523D" w:rsidP="002A523D">
      <w:pPr>
        <w:pStyle w:val="enumlev1"/>
        <w:rPr>
          <w:szCs w:val="24"/>
          <w:lang w:val="es-ES_tradnl"/>
        </w:rPr>
      </w:pPr>
      <w:r>
        <w:rPr>
          <w:lang w:val="es-ES_tradnl"/>
        </w:rPr>
        <w:t>–</w:t>
      </w:r>
      <w:r w:rsidRPr="0072410C">
        <w:rPr>
          <w:lang w:val="es-ES_tradnl"/>
        </w:rPr>
        <w:tab/>
        <w:t>Las emisiones no deseadas en el dominio de las emisiones no esenciales no pueden medirse y son incluso inferiores al nivel de ruido mostrado en la Fig. 26</w:t>
      </w:r>
      <w:r w:rsidRPr="0072410C">
        <w:rPr>
          <w:szCs w:val="24"/>
          <w:lang w:val="es-ES_tradnl"/>
        </w:rPr>
        <w:t>.</w:t>
      </w:r>
    </w:p>
    <w:p w:rsidR="002A523D" w:rsidRPr="0072410C" w:rsidRDefault="002A523D" w:rsidP="002A523D">
      <w:pPr>
        <w:pStyle w:val="Heading2"/>
        <w:rPr>
          <w:lang w:val="es-ES_tradnl"/>
        </w:rPr>
      </w:pPr>
      <w:bookmarkStart w:id="228" w:name="_Toc449437452"/>
      <w:bookmarkStart w:id="229" w:name="_Toc476049695"/>
      <w:r w:rsidRPr="0072410C">
        <w:rPr>
          <w:lang w:val="es-ES_tradnl"/>
        </w:rPr>
        <w:t>13.2</w:t>
      </w:r>
      <w:r w:rsidRPr="0072410C">
        <w:rPr>
          <w:lang w:val="es-ES_tradnl"/>
        </w:rPr>
        <w:tab/>
        <w:t xml:space="preserve">Estación de base LTE800 </w:t>
      </w:r>
      <w:bookmarkEnd w:id="228"/>
      <w:bookmarkEnd w:id="229"/>
    </w:p>
    <w:p w:rsidR="002A523D" w:rsidRPr="0072410C" w:rsidRDefault="002A523D" w:rsidP="002A523D">
      <w:pPr>
        <w:rPr>
          <w:lang w:val="es-ES_tradnl"/>
        </w:rPr>
      </w:pPr>
      <w:r w:rsidRPr="0072410C">
        <w:rPr>
          <w:lang w:val="es-ES_tradnl"/>
        </w:rPr>
        <w:t xml:space="preserve">Los requisitos de supresión de emisiones en bandas adyacentes pueden dar lugar a emisiones fuera de banda «asimétricas», habida cuenta de la necesidad de aplicar filtros para suprimir las emisiones sólo en la banda de frecuencias adyacentes inferior o superior. </w:t>
      </w:r>
    </w:p>
    <w:p w:rsidR="002A523D" w:rsidRPr="0072410C" w:rsidRDefault="002A523D" w:rsidP="002A523D">
      <w:pPr>
        <w:rPr>
          <w:lang w:val="es-ES_tradnl"/>
        </w:rPr>
      </w:pPr>
      <w:r w:rsidRPr="0072410C">
        <w:rPr>
          <w:lang w:val="es-ES_tradnl"/>
        </w:rPr>
        <w:t xml:space="preserve">En la </w:t>
      </w:r>
      <w:r w:rsidR="00345CCD">
        <w:rPr>
          <w:lang w:val="es-ES_tradnl"/>
        </w:rPr>
        <w:t xml:space="preserve">Fig. </w:t>
      </w:r>
      <w:r w:rsidRPr="0072410C">
        <w:rPr>
          <w:lang w:val="es-ES_tradnl"/>
        </w:rPr>
        <w:t xml:space="preserve">27 se muestran las emisiones fuera de banda de dos estaciones de base LTE800 distintas que operan en el canal LTE de frecuencias más bajas (796 MHz). La mitad superior corresponde a un </w:t>
      </w:r>
      <w:r w:rsidRPr="0072410C">
        <w:rPr>
          <w:lang w:val="es-ES_tradnl"/>
        </w:rPr>
        <w:lastRenderedPageBreak/>
        <w:t xml:space="preserve">transmisor en modo de reposo (Tx1), de ahí que la potencia en la banda de las subportadoras sea inferior a la de Tx2. </w:t>
      </w:r>
    </w:p>
    <w:p w:rsidR="002A523D" w:rsidRPr="0072410C" w:rsidRDefault="002A523D" w:rsidP="002A523D">
      <w:pPr>
        <w:rPr>
          <w:lang w:val="es-ES_tradnl"/>
        </w:rPr>
      </w:pPr>
      <w:r w:rsidRPr="0072410C">
        <w:rPr>
          <w:lang w:val="es-ES_tradnl"/>
        </w:rPr>
        <w:t>Cabe observar que las emisiones fuera de banda situadas cerca del canal deseado son mucho más bajas en la banda lateral inferior debido a la necesidad de aplicar un filtrado abrupto para proteger la banda DVB-T adyacente.</w:t>
      </w:r>
    </w:p>
    <w:p w:rsidR="002A523D" w:rsidRPr="0072410C" w:rsidRDefault="002A523D" w:rsidP="002A523D">
      <w:pPr>
        <w:pStyle w:val="FigureNo"/>
        <w:rPr>
          <w:lang w:val="es-ES_tradnl"/>
        </w:rPr>
      </w:pPr>
      <w:bookmarkStart w:id="230" w:name="_Ref432092382"/>
      <w:r w:rsidRPr="0072410C">
        <w:rPr>
          <w:lang w:val="es-ES_tradnl"/>
        </w:rPr>
        <w:t>FigurA 27</w:t>
      </w:r>
      <w:bookmarkEnd w:id="230"/>
    </w:p>
    <w:p w:rsidR="002A523D" w:rsidRDefault="002A523D" w:rsidP="002A523D">
      <w:pPr>
        <w:pStyle w:val="Figuretitle"/>
        <w:rPr>
          <w:lang w:val="es-ES_tradnl"/>
        </w:rPr>
      </w:pPr>
      <w:r w:rsidRPr="0072410C">
        <w:rPr>
          <w:lang w:val="es-ES_tradnl"/>
        </w:rPr>
        <w:t xml:space="preserve">Espectro de emisiones fuera de banda asimétricas de una estación de base LTE800 </w:t>
      </w:r>
    </w:p>
    <w:p w:rsidR="0015753C" w:rsidRPr="0089779A" w:rsidRDefault="0015753C" w:rsidP="0015753C">
      <w:pPr>
        <w:pStyle w:val="Figure"/>
        <w:rPr>
          <w:lang w:val="en-GB"/>
        </w:rPr>
      </w:pPr>
      <w:r>
        <w:object w:dxaOrig="6701" w:dyaOrig="4537">
          <v:shape id="_x0000_i1191" type="#_x0000_t75" style="width:441.65pt;height:299.3pt" o:ole="">
            <v:imagedata r:id="rId84" o:title=""/>
          </v:shape>
          <o:OLEObject Type="Embed" ProgID="CorelDraw.Graphic.16" ShapeID="_x0000_i1191" DrawAspect="Content" ObjectID="_1600519746" r:id="rId85"/>
        </w:object>
      </w:r>
    </w:p>
    <w:p w:rsidR="002A523D" w:rsidRPr="0072410C" w:rsidRDefault="002A523D" w:rsidP="002A523D">
      <w:pPr>
        <w:pStyle w:val="Heading1"/>
        <w:rPr>
          <w:lang w:val="es-ES_tradnl"/>
        </w:rPr>
      </w:pPr>
      <w:bookmarkStart w:id="231" w:name="_Toc395724416"/>
      <w:bookmarkStart w:id="232" w:name="_Toc415058521"/>
      <w:bookmarkStart w:id="233" w:name="_Toc449437453"/>
      <w:bookmarkStart w:id="234" w:name="_Toc476049696"/>
      <w:bookmarkStart w:id="235" w:name="_Toc525820190"/>
      <w:bookmarkStart w:id="236" w:name="_Toc525820370"/>
      <w:r w:rsidRPr="0072410C">
        <w:rPr>
          <w:lang w:val="es-ES_tradnl"/>
        </w:rPr>
        <w:t>14</w:t>
      </w:r>
      <w:r w:rsidRPr="0072410C">
        <w:rPr>
          <w:lang w:val="es-ES_tradnl"/>
        </w:rPr>
        <w:tab/>
        <w:t>Emisiones transitorias en sistemas digitales por impulsos</w:t>
      </w:r>
      <w:bookmarkEnd w:id="231"/>
      <w:bookmarkEnd w:id="232"/>
      <w:bookmarkEnd w:id="233"/>
      <w:bookmarkEnd w:id="234"/>
      <w:bookmarkEnd w:id="235"/>
      <w:bookmarkEnd w:id="236"/>
    </w:p>
    <w:p w:rsidR="002A523D" w:rsidRPr="0072410C" w:rsidRDefault="002A523D" w:rsidP="002A523D">
      <w:pPr>
        <w:rPr>
          <w:lang w:val="es-ES_tradnl"/>
        </w:rPr>
      </w:pPr>
      <w:r w:rsidRPr="0072410C">
        <w:rPr>
          <w:lang w:val="es-ES_tradnl"/>
        </w:rPr>
        <w:t xml:space="preserve">Muchos sistemas </w:t>
      </w:r>
      <w:r>
        <w:rPr>
          <w:lang w:val="es-ES_tradnl"/>
        </w:rPr>
        <w:t>AMDT</w:t>
      </w:r>
      <w:r w:rsidRPr="0072410C">
        <w:rPr>
          <w:lang w:val="es-ES_tradnl"/>
        </w:rPr>
        <w:t xml:space="preserve"> producen emisiones no deseadas «transitorias». Dichas emisiones tienen lugar únicamente en períodos de tiempo muy breves durante el encendido y el apagado del transmisor al comienzo y al final de cada ráfaga. En determinados sistemas OFDM se produce el mismo efecto durante el cambio de los símbolos transmitidos. El diseño interno de algunos sistemas </w:t>
      </w:r>
      <w:r>
        <w:rPr>
          <w:lang w:val="es-ES_tradnl"/>
        </w:rPr>
        <w:t>AMDT</w:t>
      </w:r>
      <w:r w:rsidRPr="0072410C">
        <w:rPr>
          <w:lang w:val="es-ES_tradnl"/>
        </w:rPr>
        <w:t xml:space="preserve"> también conlleva que la última etapa del transmisor (amplificador de potencia) permanezca activa ininterrumpidamente, al tiempo que las ráfagas, en particular las relativas a la temporización de encendido y apagado, son generadas por el DSP en la banda de base.</w:t>
      </w:r>
    </w:p>
    <w:p w:rsidR="002A523D" w:rsidRPr="0072410C" w:rsidRDefault="002A523D" w:rsidP="002A523D">
      <w:pPr>
        <w:keepNext/>
        <w:keepLines/>
        <w:rPr>
          <w:lang w:val="es-ES_tradnl"/>
        </w:rPr>
      </w:pPr>
      <w:r w:rsidRPr="0072410C">
        <w:rPr>
          <w:lang w:val="es-ES_tradnl"/>
        </w:rPr>
        <w:t>En consecuencia, cabe distinguir tres formas distintas de emisiones no deseadas:</w:t>
      </w:r>
    </w:p>
    <w:p w:rsidR="002A523D" w:rsidRPr="0072410C" w:rsidRDefault="002A523D" w:rsidP="002A523D">
      <w:pPr>
        <w:pStyle w:val="enumlev1"/>
        <w:keepNext/>
        <w:keepLines/>
        <w:rPr>
          <w:lang w:val="es-ES_tradnl"/>
        </w:rPr>
      </w:pPr>
      <w:r w:rsidRPr="006D0B6D">
        <w:rPr>
          <w:lang w:val="es-ES_tradnl"/>
        </w:rPr>
        <w:t>–</w:t>
      </w:r>
      <w:r>
        <w:rPr>
          <w:lang w:val="es-ES_tradnl"/>
        </w:rPr>
        <w:tab/>
      </w:r>
      <w:r w:rsidRPr="0072410C">
        <w:rPr>
          <w:lang w:val="es-ES_tradnl"/>
        </w:rPr>
        <w:t>Ruido de amplificador de banda ancha, que se produce de forma ininterrumpida.</w:t>
      </w:r>
    </w:p>
    <w:p w:rsidR="002A523D" w:rsidRPr="0072410C" w:rsidRDefault="002A523D" w:rsidP="002A523D">
      <w:pPr>
        <w:pStyle w:val="enumlev1"/>
        <w:keepNext/>
        <w:keepLines/>
        <w:rPr>
          <w:lang w:val="es-ES_tradnl"/>
        </w:rPr>
      </w:pPr>
      <w:r w:rsidRPr="006D0B6D">
        <w:rPr>
          <w:lang w:val="es-ES_tradnl"/>
        </w:rPr>
        <w:t>–</w:t>
      </w:r>
      <w:r>
        <w:rPr>
          <w:lang w:val="es-ES_tradnl"/>
        </w:rPr>
        <w:tab/>
      </w:r>
      <w:r w:rsidRPr="0072410C">
        <w:rPr>
          <w:lang w:val="es-ES_tradnl"/>
        </w:rPr>
        <w:t>Emisiones en banda lateral dependientes de la modulación, que se producen únicamente durante la ráfaga.</w:t>
      </w:r>
    </w:p>
    <w:p w:rsidR="002A523D" w:rsidRPr="0072410C" w:rsidRDefault="002A523D" w:rsidP="002A523D">
      <w:pPr>
        <w:pStyle w:val="enumlev1"/>
        <w:rPr>
          <w:lang w:val="es-ES_tradnl"/>
        </w:rPr>
      </w:pPr>
      <w:r w:rsidRPr="006D0B6D">
        <w:rPr>
          <w:lang w:val="es-ES_tradnl"/>
        </w:rPr>
        <w:t>–</w:t>
      </w:r>
      <w:r>
        <w:rPr>
          <w:lang w:val="es-ES_tradnl"/>
        </w:rPr>
        <w:tab/>
      </w:r>
      <w:r w:rsidRPr="0072410C">
        <w:rPr>
          <w:lang w:val="es-ES_tradnl"/>
        </w:rPr>
        <w:t>Emisiones transitorias, que tiene lugar únicamente al producirse un aumento súbito de potencia o cambios de símbolo.</w:t>
      </w:r>
    </w:p>
    <w:p w:rsidR="002A523D" w:rsidRPr="0072410C" w:rsidRDefault="002A523D" w:rsidP="002A523D">
      <w:pPr>
        <w:rPr>
          <w:lang w:val="es-ES_tradnl"/>
        </w:rPr>
      </w:pPr>
      <w:r w:rsidRPr="0072410C">
        <w:rPr>
          <w:lang w:val="es-ES_tradnl"/>
        </w:rPr>
        <w:t xml:space="preserve">En la </w:t>
      </w:r>
      <w:r w:rsidR="00345CCD">
        <w:rPr>
          <w:lang w:val="es-ES_tradnl"/>
        </w:rPr>
        <w:t xml:space="preserve">Fig. </w:t>
      </w:r>
      <w:r w:rsidRPr="0072410C">
        <w:rPr>
          <w:lang w:val="es-ES_tradnl"/>
        </w:rPr>
        <w:t>28 se muestran las emisiones fuera de banda de una estación base LTE800 producidas durante un período de 10 ms en todas las etapas anteriormente mencionadas.</w:t>
      </w:r>
    </w:p>
    <w:p w:rsidR="002A523D" w:rsidRPr="0072410C" w:rsidRDefault="002A523D" w:rsidP="002A523D">
      <w:pPr>
        <w:pStyle w:val="FigureNo"/>
        <w:rPr>
          <w:lang w:val="es-ES_tradnl"/>
        </w:rPr>
      </w:pPr>
      <w:bookmarkStart w:id="237" w:name="_Ref448478458"/>
      <w:r w:rsidRPr="0072410C">
        <w:rPr>
          <w:lang w:val="es-ES_tradnl"/>
        </w:rPr>
        <w:lastRenderedPageBreak/>
        <w:t>FigurA 28</w:t>
      </w:r>
      <w:bookmarkEnd w:id="237"/>
    </w:p>
    <w:p w:rsidR="002A523D" w:rsidRDefault="00B5792D" w:rsidP="002A523D">
      <w:pPr>
        <w:pStyle w:val="Figuretitle"/>
        <w:rPr>
          <w:lang w:val="es-ES_tradnl"/>
        </w:rPr>
      </w:pPr>
      <w:r>
        <w:rPr>
          <w:lang w:val="es-ES_tradnl"/>
        </w:rPr>
        <w:t>Estación de base LTE800: E</w:t>
      </w:r>
      <w:r w:rsidR="002A523D" w:rsidRPr="0072410C">
        <w:rPr>
          <w:lang w:val="es-ES_tradnl"/>
        </w:rPr>
        <w:t xml:space="preserve">tapas de las emisiones fuera de banda producidas </w:t>
      </w:r>
    </w:p>
    <w:p w:rsidR="00B94218" w:rsidRDefault="004E5303" w:rsidP="00B94218">
      <w:pPr>
        <w:pStyle w:val="Figure"/>
        <w:rPr>
          <w:lang w:val="en-GB"/>
        </w:rPr>
      </w:pPr>
      <w:r>
        <w:object w:dxaOrig="6857" w:dyaOrig="4422">
          <v:shape id="_x0000_i1195" type="#_x0000_t75" style="width:453.5pt;height:292.3pt" o:ole="">
            <v:imagedata r:id="rId86" o:title=""/>
          </v:shape>
          <o:OLEObject Type="Embed" ProgID="CorelDraw.Graphic.16" ShapeID="_x0000_i1195" DrawAspect="Content" ObjectID="_1600519747" r:id="rId87"/>
        </w:object>
      </w:r>
    </w:p>
    <w:p w:rsidR="002A523D" w:rsidRPr="0072410C" w:rsidRDefault="002A523D" w:rsidP="002A523D">
      <w:pPr>
        <w:pStyle w:val="Normalaftertitle"/>
        <w:rPr>
          <w:lang w:val="es-ES_tradnl"/>
        </w:rPr>
      </w:pPr>
      <w:r w:rsidRPr="0072410C">
        <w:rPr>
          <w:lang w:val="es-ES_tradnl"/>
        </w:rPr>
        <w:t xml:space="preserve">Este ejemplo suscita el debate sobre la pertinencia de solo límite para representar de forma realista la capacidad de interferencia de un sistema digital por impulsos, en particular en el dominio de las emisiones fuera de banda. </w:t>
      </w:r>
    </w:p>
    <w:p w:rsidR="002A523D" w:rsidRPr="0072410C" w:rsidRDefault="002A523D" w:rsidP="002A523D">
      <w:pPr>
        <w:rPr>
          <w:lang w:val="es-ES_tradnl"/>
        </w:rPr>
      </w:pPr>
      <w:r w:rsidRPr="0072410C">
        <w:rPr>
          <w:lang w:val="es-ES_tradnl"/>
        </w:rPr>
        <w:t xml:space="preserve">En la </w:t>
      </w:r>
      <w:r w:rsidR="00345CCD">
        <w:rPr>
          <w:lang w:val="es-ES_tradnl"/>
        </w:rPr>
        <w:t xml:space="preserve">Fig. </w:t>
      </w:r>
      <w:r w:rsidRPr="0072410C">
        <w:rPr>
          <w:lang w:val="es-ES_tradnl"/>
        </w:rPr>
        <w:t xml:space="preserve">29 se muestra el funcionamiento de un dispositivo LTE800 </w:t>
      </w:r>
      <w:r>
        <w:rPr>
          <w:lang w:val="es-ES_tradnl"/>
        </w:rPr>
        <w:t>EU</w:t>
      </w:r>
      <w:r w:rsidRPr="0072410C">
        <w:rPr>
          <w:lang w:val="es-ES_tradnl"/>
        </w:rPr>
        <w:t xml:space="preserve"> con una elevada resolución temporal. Puesto que únicamente se asigna un bloque de recursos, la anchura de banda utilizada es únicamente 180 kHz. Sin embargo, cada 71 µs el símbolo transmitido y la modulación de todas las subportadoras utilizadas varían.</w:t>
      </w:r>
    </w:p>
    <w:p w:rsidR="002A523D" w:rsidRPr="0072410C" w:rsidRDefault="002A523D" w:rsidP="002A523D">
      <w:pPr>
        <w:pStyle w:val="FigureNo"/>
        <w:rPr>
          <w:lang w:val="es-ES_tradnl"/>
        </w:rPr>
      </w:pPr>
      <w:bookmarkStart w:id="238" w:name="_Ref404874467"/>
      <w:r w:rsidRPr="0072410C">
        <w:rPr>
          <w:lang w:val="es-ES_tradnl"/>
        </w:rPr>
        <w:lastRenderedPageBreak/>
        <w:t>FigurA 29</w:t>
      </w:r>
      <w:bookmarkEnd w:id="238"/>
    </w:p>
    <w:p w:rsidR="002A523D" w:rsidRPr="0072410C" w:rsidRDefault="002A523D" w:rsidP="002A523D">
      <w:pPr>
        <w:pStyle w:val="Figuretitle"/>
        <w:rPr>
          <w:lang w:val="es-ES_tradnl"/>
        </w:rPr>
      </w:pPr>
      <w:r w:rsidRPr="0072410C">
        <w:rPr>
          <w:lang w:val="es-ES_tradnl"/>
        </w:rPr>
        <w:t xml:space="preserve">Representación del espectro, la potencia con respecto al tiempo y espectro transitorio en el instante marcado </w:t>
      </w:r>
      <w:r w:rsidR="006B5E9C">
        <w:rPr>
          <w:lang w:val="es-ES_tradnl"/>
        </w:rPr>
        <w:br/>
      </w:r>
      <w:r w:rsidRPr="0072410C">
        <w:rPr>
          <w:lang w:val="es-ES_tradnl"/>
        </w:rPr>
        <w:t xml:space="preserve">con una línea (mediante los puntos M1 y MR) en el espectrograma de un equipo de usuario LTE800 </w:t>
      </w:r>
      <w:r w:rsidR="006B5E9C">
        <w:rPr>
          <w:lang w:val="es-ES_tradnl"/>
        </w:rPr>
        <w:br/>
      </w:r>
      <w:r w:rsidRPr="0072410C">
        <w:rPr>
          <w:lang w:val="es-ES_tradnl"/>
        </w:rPr>
        <w:t>seleccionado al azar, con una elevada resolución temporal</w:t>
      </w:r>
    </w:p>
    <w:p w:rsidR="002A523D" w:rsidRPr="0072410C" w:rsidRDefault="002A523D" w:rsidP="002A523D">
      <w:pPr>
        <w:pStyle w:val="Figure"/>
        <w:rPr>
          <w:lang w:val="es-ES_tradnl" w:eastAsia="zh-CN"/>
        </w:rPr>
      </w:pPr>
      <w:r w:rsidRPr="0072410C">
        <w:rPr>
          <w:noProof/>
          <w:lang w:val="en-GB" w:eastAsia="zh-CN"/>
        </w:rPr>
        <mc:AlternateContent>
          <mc:Choice Requires="wps">
            <w:drawing>
              <wp:anchor distT="0" distB="0" distL="114300" distR="114300" simplePos="0" relativeHeight="251664384" behindDoc="0" locked="0" layoutInCell="1" allowOverlap="1" wp14:anchorId="08D0AD39" wp14:editId="48921802">
                <wp:simplePos x="0" y="0"/>
                <wp:positionH relativeFrom="column">
                  <wp:posOffset>1250950</wp:posOffset>
                </wp:positionH>
                <wp:positionV relativeFrom="paragraph">
                  <wp:posOffset>2476500</wp:posOffset>
                </wp:positionV>
                <wp:extent cx="1190625" cy="152400"/>
                <wp:effectExtent l="57150" t="19050" r="28575" b="95250"/>
                <wp:wrapNone/>
                <wp:docPr id="235" name="Ellipse 235"/>
                <wp:cNvGraphicFramePr/>
                <a:graphic xmlns:a="http://schemas.openxmlformats.org/drawingml/2006/main">
                  <a:graphicData uri="http://schemas.microsoft.com/office/word/2010/wordprocessingShape">
                    <wps:wsp>
                      <wps:cNvSpPr/>
                      <wps:spPr>
                        <a:xfrm>
                          <a:off x="0" y="0"/>
                          <a:ext cx="1190625" cy="152400"/>
                        </a:xfrm>
                        <a:prstGeom prst="ellipse">
                          <a:avLst/>
                        </a:prstGeom>
                        <a:noFill/>
                        <a:ln w="9525"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32A1AB5D" id="Ellipse 235" o:spid="_x0000_s1026" style="position:absolute;margin-left:98.5pt;margin-top:195pt;width:93.75pt;height:12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" filled="f" strokecolor="red">
                <v:shadow on="t" color="black" opacity="22937f" origin=",.5" offset="0,.63889mm"/>
              </v:oval>
            </w:pict>
          </mc:Fallback>
        </mc:AlternateContent>
      </w:r>
      <w:r w:rsidRPr="0072410C">
        <w:rPr>
          <w:noProof/>
          <w:lang w:val="en-GB" w:eastAsia="zh-CN"/>
        </w:rPr>
        <w:drawing>
          <wp:inline distT="0" distB="0" distL="0" distR="0" wp14:anchorId="27AFD653" wp14:editId="1FBE0093">
            <wp:extent cx="5212910" cy="3769902"/>
            <wp:effectExtent l="0" t="0" r="6985" b="2540"/>
            <wp:docPr id="208" name="Picture 208" descr="realesUE_transienten_beispie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realesUE_transienten_beispiel1"/>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212910" cy="3769902"/>
                    </a:xfrm>
                    <a:prstGeom prst="rect">
                      <a:avLst/>
                    </a:prstGeom>
                    <a:noFill/>
                    <a:ln>
                      <a:noFill/>
                    </a:ln>
                  </pic:spPr>
                </pic:pic>
              </a:graphicData>
            </a:graphic>
          </wp:inline>
        </w:drawing>
      </w:r>
    </w:p>
    <w:p w:rsidR="002A523D" w:rsidRPr="0072410C" w:rsidRDefault="002A523D" w:rsidP="002A523D">
      <w:pPr>
        <w:pStyle w:val="Normalaftertitle"/>
        <w:rPr>
          <w:rFonts w:eastAsia="Calibri"/>
          <w:lang w:val="es-ES_tradnl"/>
        </w:rPr>
      </w:pPr>
      <w:r w:rsidRPr="0072410C">
        <w:rPr>
          <w:rFonts w:eastAsia="Calibri"/>
          <w:lang w:val="es-ES_tradnl"/>
        </w:rPr>
        <w:t xml:space="preserve">Observación relativa a la </w:t>
      </w:r>
      <w:r w:rsidR="00345CCD">
        <w:rPr>
          <w:rFonts w:eastAsia="Calibri"/>
          <w:lang w:val="es-ES_tradnl"/>
        </w:rPr>
        <w:t xml:space="preserve">Fig. </w:t>
      </w:r>
      <w:r w:rsidRPr="0072410C">
        <w:rPr>
          <w:rFonts w:eastAsia="Calibri"/>
          <w:lang w:val="es-ES_tradnl"/>
        </w:rPr>
        <w:t>29:</w:t>
      </w:r>
    </w:p>
    <w:p w:rsidR="002A523D" w:rsidRPr="0072410C" w:rsidRDefault="002A523D" w:rsidP="002A523D">
      <w:pPr>
        <w:pStyle w:val="enumlev1"/>
        <w:rPr>
          <w:lang w:val="es-ES_tradnl"/>
        </w:rPr>
      </w:pPr>
      <w:r w:rsidRPr="0072410C">
        <w:rPr>
          <w:lang w:val="es-ES_tradnl"/>
        </w:rPr>
        <w:t>–</w:t>
      </w:r>
      <w:r w:rsidRPr="0072410C">
        <w:rPr>
          <w:lang w:val="es-ES_tradnl"/>
        </w:rPr>
        <w:tab/>
        <w:t>La emisión fuera de banda aumenta notablemente al producirse los cambios de símbolo (el círculo rojo indica un cambio de símbolo).</w:t>
      </w:r>
    </w:p>
    <w:p w:rsidR="002A523D" w:rsidRPr="0072410C" w:rsidRDefault="002A523D" w:rsidP="002A523D">
      <w:pPr>
        <w:pStyle w:val="enumlev1"/>
        <w:rPr>
          <w:szCs w:val="24"/>
          <w:lang w:val="es-ES_tradnl"/>
        </w:rPr>
      </w:pPr>
      <w:r w:rsidRPr="0072410C">
        <w:rPr>
          <w:lang w:val="es-ES_tradnl"/>
        </w:rPr>
        <w:t>–</w:t>
      </w:r>
      <w:r w:rsidRPr="0072410C">
        <w:rPr>
          <w:lang w:val="es-ES_tradnl"/>
        </w:rPr>
        <w:tab/>
        <w:t>Si las emisiones fuera de banda se miden como niveles de cresta, el espectro de banda lateral resultante tendrá la misma forma que la que se produce al darse un cambio de símbolo. Sin embargo, como muestra el espectrograma, esas emisiones en el caso más desfavorable ocurren únicamente en períodos de tiempo muy breve («transitorios») y probablemente su capacidad de interferencia difiere de la que tendrían si se produjeran de forma ininterrumpida</w:t>
      </w:r>
      <w:r w:rsidRPr="0072410C">
        <w:rPr>
          <w:szCs w:val="24"/>
          <w:lang w:val="es-ES_tradnl"/>
        </w:rPr>
        <w:t xml:space="preserve">. </w:t>
      </w:r>
      <w:bookmarkStart w:id="239" w:name="_Ref441828811"/>
    </w:p>
    <w:p w:rsidR="002A523D" w:rsidRPr="0072410C" w:rsidRDefault="002A523D" w:rsidP="002A523D">
      <w:pPr>
        <w:pStyle w:val="Heading1"/>
        <w:rPr>
          <w:lang w:val="es-ES_tradnl"/>
        </w:rPr>
      </w:pPr>
      <w:bookmarkStart w:id="240" w:name="_Toc449437454"/>
      <w:bookmarkStart w:id="241" w:name="_Toc476049697"/>
      <w:bookmarkStart w:id="242" w:name="_Toc525820191"/>
      <w:bookmarkStart w:id="243" w:name="_Toc525820371"/>
      <w:r w:rsidRPr="0072410C">
        <w:rPr>
          <w:lang w:val="es-ES_tradnl"/>
        </w:rPr>
        <w:t>15</w:t>
      </w:r>
      <w:r w:rsidRPr="0072410C">
        <w:rPr>
          <w:lang w:val="es-ES_tradnl"/>
        </w:rPr>
        <w:tab/>
        <w:t>Emisiones no deseadas de banda estrecha y banda ancha</w:t>
      </w:r>
      <w:bookmarkEnd w:id="239"/>
      <w:bookmarkEnd w:id="240"/>
      <w:bookmarkEnd w:id="241"/>
      <w:bookmarkEnd w:id="242"/>
      <w:bookmarkEnd w:id="243"/>
    </w:p>
    <w:p w:rsidR="002A523D" w:rsidRPr="0072410C" w:rsidRDefault="002A523D" w:rsidP="002A523D">
      <w:pPr>
        <w:rPr>
          <w:lang w:val="es-ES_tradnl"/>
        </w:rPr>
      </w:pPr>
      <w:r w:rsidRPr="0072410C">
        <w:rPr>
          <w:lang w:val="es-ES_tradnl"/>
        </w:rPr>
        <w:t xml:space="preserve">Todas las etapas de salida de los amplificadores del transmisor producen una cierta cantidad de ruido que se manifiesta como emisiones no deseadas de banda ancha, tanto en el dominio de emisiones fuera de banda como en el de emisiones no esenciales. Por otro lado, los transmisores analógicos a menudo producen emisiones de banda estrecha en frecuencias específicas diferentes en el dominio de emisiones no esenciales como consecuencia de la generación de radiofrecuencias en el transmisor, con varias etapas mezcladoras y frecuencias intermedias. Esos valores de «cresta» suelen significativamente más elevados que el del ruido de banda ancha. En la </w:t>
      </w:r>
      <w:r w:rsidR="00345CCD">
        <w:rPr>
          <w:lang w:val="es-ES_tradnl"/>
        </w:rPr>
        <w:t xml:space="preserve">Fig. </w:t>
      </w:r>
      <w:r w:rsidRPr="0072410C">
        <w:rPr>
          <w:lang w:val="es-ES_tradnl"/>
        </w:rPr>
        <w:t xml:space="preserve">30 se muestra un ejemplo habitual de tales características mediante dos transmisores </w:t>
      </w:r>
      <w:r>
        <w:rPr>
          <w:lang w:val="es-ES_tradnl"/>
        </w:rPr>
        <w:t>RMP</w:t>
      </w:r>
      <w:r w:rsidRPr="0072410C">
        <w:rPr>
          <w:lang w:val="es-ES_tradnl"/>
        </w:rPr>
        <w:t xml:space="preserve"> distintos.</w:t>
      </w:r>
    </w:p>
    <w:p w:rsidR="002A523D" w:rsidRPr="0072410C" w:rsidRDefault="002A523D" w:rsidP="002A523D">
      <w:pPr>
        <w:pStyle w:val="FigureNo"/>
        <w:rPr>
          <w:lang w:val="es-ES_tradnl"/>
        </w:rPr>
      </w:pPr>
      <w:bookmarkStart w:id="244" w:name="_Ref430959367"/>
      <w:r w:rsidRPr="0072410C">
        <w:rPr>
          <w:lang w:val="es-ES_tradnl"/>
        </w:rPr>
        <w:lastRenderedPageBreak/>
        <w:t>FigurA 30</w:t>
      </w:r>
      <w:bookmarkEnd w:id="244"/>
    </w:p>
    <w:p w:rsidR="002A523D" w:rsidRDefault="002A523D" w:rsidP="002A523D">
      <w:pPr>
        <w:pStyle w:val="Figuretitle"/>
        <w:rPr>
          <w:lang w:val="es-ES_tradnl"/>
        </w:rPr>
      </w:pPr>
      <w:r w:rsidRPr="0072410C">
        <w:rPr>
          <w:lang w:val="es-ES_tradnl"/>
        </w:rPr>
        <w:t xml:space="preserve">Emisiones no esenciales de un sistema móvil terrestre generadas por dos transmisores </w:t>
      </w:r>
      <w:r>
        <w:rPr>
          <w:lang w:val="es-ES_tradnl"/>
        </w:rPr>
        <w:t>RMP</w:t>
      </w:r>
      <w:r w:rsidRPr="0072410C">
        <w:rPr>
          <w:lang w:val="es-ES_tradnl"/>
        </w:rPr>
        <w:t xml:space="preserve"> diferentes</w:t>
      </w:r>
      <w:r w:rsidRPr="0072410C">
        <w:rPr>
          <w:lang w:val="es-ES_tradnl"/>
        </w:rPr>
        <w:br/>
        <w:t>(gama de frecuencias superior)</w:t>
      </w:r>
    </w:p>
    <w:p w:rsidR="006B5E9C" w:rsidRPr="00EC15FD" w:rsidRDefault="006B5E9C" w:rsidP="006B5E9C">
      <w:pPr>
        <w:pStyle w:val="Figure"/>
        <w:rPr>
          <w:lang w:val="en-GB"/>
        </w:rPr>
      </w:pPr>
      <w:r>
        <w:object w:dxaOrig="6530" w:dyaOrig="3862">
          <v:shape id="_x0000_i1199" type="#_x0000_t75" style="width:430.4pt;height:254.7pt" o:ole="">
            <v:imagedata r:id="rId89" o:title=""/>
          </v:shape>
          <o:OLEObject Type="Embed" ProgID="CorelDraw.Graphic.16" ShapeID="_x0000_i1199" DrawAspect="Content" ObjectID="_1600519748" r:id="rId90"/>
        </w:object>
      </w:r>
    </w:p>
    <w:p w:rsidR="002A523D" w:rsidRPr="0072410C" w:rsidRDefault="002A523D" w:rsidP="002A523D">
      <w:pPr>
        <w:pStyle w:val="Normalaftertitle"/>
        <w:rPr>
          <w:lang w:val="es-ES_tradnl"/>
        </w:rPr>
      </w:pPr>
      <w:r w:rsidRPr="0072410C">
        <w:rPr>
          <w:lang w:val="es-ES_tradnl"/>
        </w:rPr>
        <w:t>Los valores de cresta pueden ser meras portadoras sin modular. Su valor no variará al medirse con arreglo a distintas anchuras de banda. En consecuencia, los niveles no deseados medidos con arreglo a una anchura de banda estrecha no pueden dan lugar a una anchur</w:t>
      </w:r>
      <w:r>
        <w:rPr>
          <w:lang w:val="es-ES_tradnl"/>
        </w:rPr>
        <w:t>a de banda de referencia de 100 </w:t>
      </w:r>
      <w:r w:rsidRPr="0072410C">
        <w:rPr>
          <w:lang w:val="es-ES_tradnl"/>
        </w:rPr>
        <w:t xml:space="preserve">kHz. En la </w:t>
      </w:r>
      <w:r w:rsidR="00345CCD">
        <w:rPr>
          <w:lang w:val="es-ES_tradnl"/>
        </w:rPr>
        <w:t xml:space="preserve">Fig. </w:t>
      </w:r>
      <w:r w:rsidRPr="0072410C">
        <w:rPr>
          <w:lang w:val="es-ES_tradnl"/>
        </w:rPr>
        <w:t xml:space="preserve">30, el espectro no deseado medido con 10 kHz (colores azul y magenta claros) hubo de transformarse en una anchura de banda de referencia de 100 kHz aplicando una gama de valores variables de integración (colores azul oscuro y marrón). </w:t>
      </w:r>
    </w:p>
    <w:p w:rsidR="002A523D" w:rsidRPr="0072410C" w:rsidRDefault="002A523D" w:rsidP="002A523D">
      <w:pPr>
        <w:rPr>
          <w:lang w:val="es-ES_tradnl"/>
        </w:rPr>
      </w:pPr>
      <w:r w:rsidRPr="0072410C">
        <w:rPr>
          <w:lang w:val="es-ES_tradnl"/>
        </w:rPr>
        <w:t>Cabe observar que esa transformación aumenta los niveles de ruido en banda ancha en unos 10 dB, al tiempo que los niveles de cresta se mantienen prácticamente invariables.</w:t>
      </w:r>
    </w:p>
    <w:p w:rsidR="002A523D" w:rsidRDefault="002A523D" w:rsidP="002A523D">
      <w:pPr>
        <w:rPr>
          <w:lang w:val="es-ES_tradnl"/>
        </w:rPr>
      </w:pPr>
      <w:r w:rsidRPr="0072410C">
        <w:rPr>
          <w:lang w:val="es-ES_tradnl"/>
        </w:rPr>
        <w:t>Los modernos transmisores de los sistemas digitales siempre generan el espectro de RF de forma digital en la «banda de base». Después de la conversión digital-analógica, los dos componentes de la banda de base pasan directamente a la gama de frecuencias RF por medio de un proceso de modulación I/Q. En consecuencia, no se producen valores de cresta diferentes en el dominio de emisiones no esenciales. Todas las mediciones presentadas en este documento ponen de manifiesto que las emisiones no esenciales poseen únicamente características de banda ancha. Ese es el principal motivo por el que los niveles de emisiones no esenciales de los sistemas digitales medidos se sitúan con frecuencia muy por debajo de los límites que figuran en la Recomendación UIT-R SM.329 y en ERC/REC 74 01, que constituyen valores de cresta en los sistemas analógicos. Una de las principales ventajas de ello es que, por lo general, las emisiones no esenciales de los sistemas digitales pueden transformarse en anchuras de banda diferentes mediante el proceso de corrección basado en la fórmula siguiente: 10*log</w:t>
      </w:r>
      <w:r w:rsidRPr="0072410C">
        <w:rPr>
          <w:vertAlign w:val="subscript"/>
          <w:lang w:val="es-ES_tradnl"/>
        </w:rPr>
        <w:t>10</w:t>
      </w:r>
      <w:r w:rsidRPr="0072410C">
        <w:rPr>
          <w:lang w:val="es-ES_tradnl"/>
        </w:rPr>
        <w:t>(BW1/BW2).</w:t>
      </w:r>
    </w:p>
    <w:p w:rsidR="002A523D" w:rsidRPr="002A523D" w:rsidRDefault="002A523D" w:rsidP="002A523D">
      <w:pPr>
        <w:pStyle w:val="Reasons"/>
        <w:rPr>
          <w:lang w:val="es-ES_tradnl"/>
        </w:rPr>
      </w:pPr>
    </w:p>
    <w:p w:rsidR="002A523D" w:rsidRDefault="002A523D" w:rsidP="002A523D">
      <w:pPr>
        <w:jc w:val="center"/>
      </w:pPr>
      <w:r>
        <w:t>______________</w:t>
      </w:r>
    </w:p>
    <w:p w:rsidR="002A523D" w:rsidRPr="0072410C" w:rsidRDefault="002A523D" w:rsidP="002A523D">
      <w:pPr>
        <w:rPr>
          <w:lang w:val="es-ES_tradnl"/>
        </w:rPr>
      </w:pPr>
    </w:p>
    <w:p w:rsidR="00BE46FB" w:rsidRPr="00BE46FB" w:rsidRDefault="00BE46FB" w:rsidP="00505B99">
      <w:pPr>
        <w:pStyle w:val="RepNo"/>
        <w:spacing w:before="0"/>
        <w:rPr>
          <w:lang w:val="es-ES_tradnl"/>
        </w:rPr>
      </w:pPr>
    </w:p>
    <w:sectPr w:rsidR="00BE46FB" w:rsidRPr="00BE46FB" w:rsidSect="00570CF8">
      <w:headerReference w:type="even" r:id="rId91"/>
      <w:headerReference w:type="default" r:id="rId92"/>
      <w:pgSz w:w="11907" w:h="16834" w:code="9"/>
      <w:pgMar w:top="1418" w:right="1134" w:bottom="1134" w:left="1134" w:header="720" w:footer="482"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A78D2" w:rsidRDefault="003A78D2">
      <w:r>
        <w:separator/>
      </w:r>
    </w:p>
  </w:endnote>
  <w:endnote w:type="continuationSeparator" w:id="0">
    <w:p w:rsidR="003A78D2" w:rsidRDefault="003A78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CG Times">
    <w:altName w:val="Times New Roman"/>
    <w:panose1 w:val="00000000000000000000"/>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SimHei">
    <w:altName w:val="黑体"/>
    <w:panose1 w:val="02010609060101010101"/>
    <w:charset w:val="86"/>
    <w:family w:val="modern"/>
    <w:pitch w:val="fixed"/>
    <w:sig w:usb0="800002BF" w:usb1="38CF7CFA" w:usb2="00000016" w:usb3="00000000" w:csb0="00040001" w:csb1="00000000"/>
  </w:font>
  <w:font w:name="Simplified Arabic">
    <w:altName w:val="Times New Roman"/>
    <w:panose1 w:val="02020603050405020304"/>
    <w:charset w:val="00"/>
    <w:family w:val="roman"/>
    <w:pitch w:val="variable"/>
    <w:sig w:usb0="00002003" w:usb1="00000000" w:usb2="00000000" w:usb3="00000000" w:csb0="00000041" w:csb1="00000000"/>
  </w:font>
  <w:font w:name="함초롬바탕">
    <w:altName w:val="Malgun Gothic Semilight"/>
    <w:charset w:val="81"/>
    <w:family w:val="roman"/>
    <w:pitch w:val="variable"/>
    <w:sig w:usb0="00000000" w:usb1="19DFFFFF" w:usb2="001BFDD7" w:usb3="00000000" w:csb0="001F01FF" w:csb1="00000000"/>
  </w:font>
  <w:font w:name="Gulim">
    <w:altName w:val="굴림"/>
    <w:panose1 w:val="020B0600000101010101"/>
    <w:charset w:val="81"/>
    <w:family w:val="swiss"/>
    <w:pitch w:val="variable"/>
    <w:sig w:usb0="B00002AF" w:usb1="69D77CFB" w:usb2="00000030" w:usb3="00000000" w:csb0="0008009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78D2" w:rsidRPr="00FF29F5" w:rsidRDefault="003A78D2" w:rsidP="0060391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78D2" w:rsidRPr="00AE5620" w:rsidRDefault="003A78D2" w:rsidP="0060391F">
    <w:pPr>
      <w:pStyle w:val="Footer"/>
      <w:rPr>
        <w:lang w:val="en-US"/>
      </w:rPr>
    </w:pPr>
    <w:r>
      <w:fldChar w:fldCharType="begin"/>
    </w:r>
    <w:r w:rsidRPr="00AE5620">
      <w:rPr>
        <w:lang w:val="en-US"/>
      </w:rPr>
      <w:instrText xml:space="preserve"> FILENAME \p  \* MERGEFORMAT </w:instrText>
    </w:r>
    <w:r>
      <w:fldChar w:fldCharType="separate"/>
    </w:r>
    <w:r w:rsidR="005D44C1">
      <w:rPr>
        <w:lang w:val="en-US"/>
      </w:rPr>
      <w:t>P:\QPUB\BR\RAPPORT\SM\2421-0\SM2421-0S.docx</w:t>
    </w:r>
    <w:r>
      <w:fldChar w:fldCharType="end"/>
    </w:r>
    <w:r w:rsidRPr="00AE5620">
      <w:rPr>
        <w:lang w:val="en-US"/>
      </w:rPr>
      <w:t xml:space="preserve"> </w:t>
    </w:r>
  </w:p>
  <w:p w:rsidR="003A78D2" w:rsidRPr="00891DA2" w:rsidRDefault="003A78D2" w:rsidP="0060391F">
    <w:pPr>
      <w:pStyle w:val="Footer"/>
      <w:rPr>
        <w:lang w:val="en-US"/>
      </w:rPr>
    </w:pPr>
    <w:r w:rsidRPr="00AE5620">
      <w:rPr>
        <w:lang w:val="en-US"/>
      </w:rPr>
      <w:tab/>
    </w:r>
    <w:r w:rsidRPr="00AE5620">
      <w:rPr>
        <w:lang w:val="en-US"/>
      </w:rPr>
      <w:tab/>
    </w:r>
    <w:r w:rsidRPr="00AE5620">
      <w:rPr>
        <w:lang w:val="en-US"/>
      </w:rPr>
      <w:tab/>
    </w:r>
    <w:r w:rsidRPr="00AE5620">
      <w:rPr>
        <w:lang w:val="en-US"/>
      </w:rPr>
      <w:tab/>
    </w:r>
    <w:r w:rsidRPr="00AE5620">
      <w:rPr>
        <w:lang w:val="en-US"/>
      </w:rPr>
      <w:tab/>
    </w:r>
    <w:r w:rsidRPr="00AE5620">
      <w:rPr>
        <w:lang w:val="en-US"/>
      </w:rPr>
      <w:tab/>
    </w:r>
    <w:r w:rsidRPr="00AE5620">
      <w:rPr>
        <w:lang w:val="en-US"/>
      </w:rPr>
      <w:tab/>
    </w:r>
    <w:r w:rsidRPr="00AE5620">
      <w:rPr>
        <w:lang w:val="en-US"/>
      </w:rPr>
      <w:tab/>
    </w:r>
    <w:r w:rsidRPr="00AE5620">
      <w:rPr>
        <w:lang w:val="en-US"/>
      </w:rPr>
      <w:tab/>
    </w:r>
    <w:r w:rsidRPr="00AE5620">
      <w:rPr>
        <w:lang w:val="en-US"/>
      </w:rPr>
      <w:tab/>
    </w:r>
    <w:r w:rsidRPr="00AE5620">
      <w:rPr>
        <w:lang w:val="en-US"/>
      </w:rPr>
      <w:tab/>
    </w:r>
    <w:r w:rsidRPr="00AE5620">
      <w:rPr>
        <w:lang w:val="en-US"/>
      </w:rPr>
      <w:tab/>
    </w:r>
    <w:r w:rsidRPr="00AE5620">
      <w:rPr>
        <w:lang w:val="en-US"/>
      </w:rPr>
      <w:tab/>
    </w:r>
    <w:r w:rsidRPr="00891DA2">
      <w:rPr>
        <w:lang w:val="en-US"/>
      </w:rPr>
      <w:t>AS</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78D2" w:rsidRPr="00FF29F5" w:rsidRDefault="003A78D2" w:rsidP="0060391F">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78D2" w:rsidRPr="00C202D6" w:rsidRDefault="003A78D2" w:rsidP="0060391F">
    <w:pPr>
      <w:pStyle w:val="Footer"/>
      <w:rPr>
        <w:lang w:val="en-US"/>
      </w:rPr>
    </w:pPr>
    <w:r>
      <w:rPr>
        <w:lang w:val="en-US"/>
      </w:rPr>
      <w:fldChar w:fldCharType="begin"/>
    </w:r>
    <w:r>
      <w:rPr>
        <w:lang w:val="en-US"/>
      </w:rPr>
      <w:instrText xml:space="preserve"> FILENAME \p \* MERGEFORMAT </w:instrText>
    </w:r>
    <w:r>
      <w:rPr>
        <w:lang w:val="en-US"/>
      </w:rPr>
      <w:fldChar w:fldCharType="separate"/>
    </w:r>
    <w:r w:rsidR="005D44C1">
      <w:rPr>
        <w:lang w:val="en-US"/>
      </w:rPr>
      <w:t>P:\QPUB\BR\RAPPORT\SM\2421-0\SM2421-0S.docx</w:t>
    </w:r>
    <w:r>
      <w:fldChar w:fldCharType="end"/>
    </w:r>
    <w:r w:rsidRPr="00C202D6">
      <w:rPr>
        <w:lang w:val="en-US"/>
      </w:rPr>
      <w:t xml:space="preserve"> </w:t>
    </w:r>
    <w:r w:rsidRPr="002F7CB3">
      <w:rPr>
        <w:lang w:val="en-US"/>
      </w:rPr>
      <w:tab/>
    </w:r>
    <w:r>
      <w:fldChar w:fldCharType="begin"/>
    </w:r>
    <w:r>
      <w:instrText xml:space="preserve"> savedate \@ dd.MM.yy </w:instrText>
    </w:r>
    <w:r>
      <w:fldChar w:fldCharType="separate"/>
    </w:r>
    <w:r w:rsidR="005D44C1">
      <w:t>08.10.18</w:t>
    </w:r>
    <w:r>
      <w:fldChar w:fldCharType="end"/>
    </w:r>
    <w:r w:rsidRPr="002F7CB3">
      <w:rPr>
        <w:lang w:val="en-US"/>
      </w:rPr>
      <w:tab/>
    </w:r>
    <w:r>
      <w:fldChar w:fldCharType="begin"/>
    </w:r>
    <w:r>
      <w:instrText xml:space="preserve"> printdate \@ dd.MM.yy </w:instrText>
    </w:r>
    <w:r>
      <w:fldChar w:fldCharType="separate"/>
    </w:r>
    <w:r w:rsidR="005D44C1">
      <w:t>08.10.18</w:t>
    </w:r>
    <w: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78D2" w:rsidRPr="00592856" w:rsidRDefault="003A78D2" w:rsidP="00592856">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78D2" w:rsidRPr="00FF29F5" w:rsidRDefault="003A78D2" w:rsidP="0060391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A78D2" w:rsidRDefault="003A78D2">
      <w:r>
        <w:separator/>
      </w:r>
    </w:p>
  </w:footnote>
  <w:footnote w:type="continuationSeparator" w:id="0">
    <w:p w:rsidR="003A78D2" w:rsidRDefault="003A78D2">
      <w:r>
        <w:continuationSeparator/>
      </w:r>
    </w:p>
  </w:footnote>
  <w:footnote w:id="1">
    <w:p w:rsidR="003A78D2" w:rsidRPr="00891DA2" w:rsidRDefault="003A78D2" w:rsidP="002A523D">
      <w:pPr>
        <w:pStyle w:val="FootnoteText"/>
        <w:rPr>
          <w:lang w:val="es-ES"/>
        </w:rPr>
      </w:pPr>
      <w:r>
        <w:rPr>
          <w:rStyle w:val="FootnoteReference"/>
        </w:rPr>
        <w:footnoteRef/>
      </w:r>
      <w:r w:rsidRPr="00891DA2">
        <w:rPr>
          <w:lang w:val="es-ES"/>
        </w:rPr>
        <w:tab/>
        <w:t>Nota: la atribución de bloqu</w:t>
      </w:r>
      <w:r>
        <w:rPr>
          <w:lang w:val="es-ES"/>
        </w:rPr>
        <w:t>es de recursos para LTE en el «</w:t>
      </w:r>
      <w:r w:rsidRPr="00891DA2">
        <w:rPr>
          <w:lang w:val="es-ES"/>
        </w:rPr>
        <w:t>caso más desfavorable</w:t>
      </w:r>
      <w:r>
        <w:rPr>
          <w:lang w:val="es-ES"/>
        </w:rPr>
        <w:t xml:space="preserve">» </w:t>
      </w:r>
      <w:r w:rsidRPr="00891DA2">
        <w:rPr>
          <w:lang w:val="es-ES"/>
        </w:rPr>
        <w:t>en lo que a emisiones no esenciales y fuera de banda se refiere no es fácil de determinar. En la</w:t>
      </w:r>
      <w:r>
        <w:rPr>
          <w:lang w:val="es-ES"/>
        </w:rPr>
        <w:t xml:space="preserve"> práctica, la configuración de «</w:t>
      </w:r>
      <w:r w:rsidRPr="00891DA2">
        <w:rPr>
          <w:lang w:val="es-ES"/>
        </w:rPr>
        <w:t>caso más desfavorable</w:t>
      </w:r>
      <w:r>
        <w:rPr>
          <w:lang w:val="es-ES"/>
        </w:rPr>
        <w:t xml:space="preserve">» </w:t>
      </w:r>
      <w:r w:rsidRPr="00891DA2">
        <w:rPr>
          <w:lang w:val="es-ES"/>
        </w:rPr>
        <w:t>d</w:t>
      </w:r>
      <w:r>
        <w:rPr>
          <w:lang w:val="es-ES"/>
        </w:rPr>
        <w:t>ifiere de una configuración de «</w:t>
      </w:r>
      <w:r w:rsidRPr="00891DA2">
        <w:rPr>
          <w:lang w:val="es-ES"/>
        </w:rPr>
        <w:t>carga total</w:t>
      </w:r>
      <w:r>
        <w:rPr>
          <w:lang w:val="es-ES"/>
        </w:rPr>
        <w:t xml:space="preserve">» </w:t>
      </w:r>
      <w:r w:rsidRPr="00891DA2">
        <w:rPr>
          <w:lang w:val="es-ES"/>
        </w:rPr>
        <w:t>con todos los bloques de recursos disponibles atribuidos en el caso de estación de base y equipo de usuario. Las razones son las siguientes: en LTE son posibles atribuciones de bloques de recursos muy flexibles que varían desde 1 hasta 100 para una portadora única. Las posiciones de estos bloques de recursos también pueden variar de 0 a 99, por lo que hay miles de combinaciones. En caso de agregación de portadora, esas miles de combinaciones para la primera portadora pueden combinarse con las combinaciones de la segunda portadora, lo que da como resultado todavía más combinaciones. Aunque la atribución plena sea, en algunos casos, el caso más desfavorable puesto que da como resultado una señal bastante ancha, hay otros casos en los que un número medio de bloques de recursos pueden dar com</w:t>
      </w:r>
      <w:r>
        <w:rPr>
          <w:lang w:val="es-ES"/>
        </w:rPr>
        <w:t>o resultado mayores omisiones Oo</w:t>
      </w:r>
      <w:r w:rsidRPr="00891DA2">
        <w:rPr>
          <w:lang w:val="es-ES"/>
        </w:rPr>
        <w:t>B. Otro caso son las transmisiones de un solo bloque de recursos ya que tienen una densidad espectral de potencia muy alta. Así, los productos de intermodulación entre el bloque de recursos transmitidos, la frecuencia portadora y la frecuencia de imagen pueden inclui</w:t>
      </w:r>
      <w:r>
        <w:rPr>
          <w:lang w:val="es-ES"/>
        </w:rPr>
        <w:t>rse en la gama de frecuencias Oo</w:t>
      </w:r>
      <w:r w:rsidRPr="00891DA2">
        <w:rPr>
          <w:lang w:val="es-ES"/>
        </w:rPr>
        <w:t>B y tener amplitudes importantes cerca del límite. En la agregación de portadora es posible incluso que haya un único bloque de recurso en cada una de las portadoras. Así, los productos de intermodulación entre las portadoras que están fuera de banda pueden ser bastante altos ya que en ese caso se requiere que la reducción de potencia respete los límites</w:t>
      </w:r>
      <w:r>
        <w:rPr>
          <w:lang w:val="es-ES"/>
        </w:rPr>
        <w:t xml:space="preserve"> de emisiones no esenciales y Oo</w:t>
      </w:r>
      <w:r w:rsidRPr="00891DA2">
        <w:rPr>
          <w:lang w:val="es-ES"/>
        </w:rPr>
        <w:t>B.</w:t>
      </w:r>
    </w:p>
  </w:footnote>
  <w:footnote w:id="2">
    <w:p w:rsidR="003A78D2" w:rsidRPr="005B2AAA" w:rsidRDefault="003A78D2" w:rsidP="002A523D">
      <w:pPr>
        <w:pStyle w:val="FootnoteText"/>
        <w:rPr>
          <w:lang w:val="es-ES"/>
        </w:rPr>
      </w:pPr>
      <w:r>
        <w:rPr>
          <w:rStyle w:val="FootnoteReference"/>
        </w:rPr>
        <w:footnoteRef/>
      </w:r>
      <w:r w:rsidRPr="005B2AAA">
        <w:rPr>
          <w:lang w:val="es-ES"/>
        </w:rPr>
        <w:tab/>
      </w:r>
      <w:r>
        <w:rPr>
          <w:lang w:val="es-ES"/>
        </w:rPr>
        <w:t>Valor obtenido</w:t>
      </w:r>
      <w:r w:rsidRPr="005B2AAA">
        <w:rPr>
          <w:lang w:val="es-ES"/>
        </w:rPr>
        <w:t xml:space="preserve"> empíricamente. </w:t>
      </w:r>
      <w:r>
        <w:rPr>
          <w:lang w:val="es-ES"/>
        </w:rPr>
        <w:t>Es aplicable</w:t>
      </w:r>
      <w:r w:rsidRPr="005B2AAA">
        <w:rPr>
          <w:lang w:val="es-ES"/>
        </w:rPr>
        <w:t xml:space="preserve"> a señales </w:t>
      </w:r>
      <w:r>
        <w:rPr>
          <w:lang w:val="es-ES"/>
        </w:rPr>
        <w:t>de características similares</w:t>
      </w:r>
      <w:r w:rsidRPr="005B2AAA">
        <w:rPr>
          <w:lang w:val="es-ES"/>
        </w:rPr>
        <w:t xml:space="preserve"> al ruido </w:t>
      </w:r>
      <w:r>
        <w:rPr>
          <w:lang w:val="es-ES"/>
        </w:rPr>
        <w:t>al medirse</w:t>
      </w:r>
      <w:r w:rsidRPr="005B2AAA">
        <w:rPr>
          <w:lang w:val="es-ES"/>
        </w:rPr>
        <w:t xml:space="preserve"> </w:t>
      </w:r>
      <w:r>
        <w:rPr>
          <w:lang w:val="es-ES"/>
        </w:rPr>
        <w:t>mediante un detector de valores de cresta o eficaces</w:t>
      </w:r>
      <w:r w:rsidRPr="005B2AAA">
        <w:rPr>
          <w:lang w:val="es-ES"/>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78D2" w:rsidRDefault="003A78D2">
    <w:pPr>
      <w:pStyle w:val="Header"/>
      <w:ind w:right="360" w:firstLine="360"/>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78D2" w:rsidRPr="00E96173" w:rsidRDefault="003A78D2" w:rsidP="0060391F">
    <w:pPr>
      <w:pStyle w:val="Header"/>
      <w:tabs>
        <w:tab w:val="clear" w:pos="4848"/>
        <w:tab w:val="center" w:pos="4820"/>
      </w:tabs>
      <w:jc w:val="both"/>
      <w:rPr>
        <w:lang w:val="en-US"/>
      </w:rPr>
    </w:pPr>
    <w:r w:rsidRPr="00B21000">
      <w:rPr>
        <w:b/>
        <w:bCs/>
      </w:rPr>
      <w:fldChar w:fldCharType="begin"/>
    </w:r>
    <w:r w:rsidRPr="00B21000">
      <w:rPr>
        <w:b/>
        <w:bCs/>
        <w:lang w:val="en-US"/>
      </w:rPr>
      <w:instrText xml:space="preserve"> PAGE </w:instrText>
    </w:r>
    <w:r w:rsidRPr="00B21000">
      <w:rPr>
        <w:b/>
        <w:bCs/>
      </w:rPr>
      <w:fldChar w:fldCharType="separate"/>
    </w:r>
    <w:r>
      <w:rPr>
        <w:b/>
        <w:bCs/>
        <w:noProof/>
        <w:lang w:val="en-US"/>
      </w:rPr>
      <w:t>8</w:t>
    </w:r>
    <w:r w:rsidRPr="00B21000">
      <w:fldChar w:fldCharType="end"/>
    </w:r>
    <w:r w:rsidRPr="00B21000">
      <w:rPr>
        <w:lang w:val="en-US"/>
      </w:rPr>
      <w:tab/>
    </w:r>
    <w:r w:rsidRPr="002A6C31">
      <w:rPr>
        <w:b/>
        <w:bCs/>
      </w:rPr>
      <w:fldChar w:fldCharType="begin"/>
    </w:r>
    <w:r w:rsidRPr="002A6C31">
      <w:rPr>
        <w:b/>
        <w:bCs/>
      </w:rPr>
      <w:instrText xml:space="preserve"> DOCPROPERTY  "Header 3"  \* MERGEFORMAT </w:instrText>
    </w:r>
    <w:r w:rsidRPr="002A6C31">
      <w:rPr>
        <w:b/>
        <w:bCs/>
      </w:rPr>
      <w:fldChar w:fldCharType="separate"/>
    </w:r>
    <w:r w:rsidR="005D44C1">
      <w:rPr>
        <w:b/>
        <w:bCs/>
      </w:rPr>
      <w:t xml:space="preserve">I. </w:t>
    </w:r>
    <w:r w:rsidRPr="002A6C31">
      <w:rPr>
        <w:b/>
        <w:bCs/>
      </w:rPr>
      <w:fldChar w:fldCharType="end"/>
    </w:r>
    <w:r w:rsidRPr="002A6C31">
      <w:rPr>
        <w:b/>
        <w:bCs/>
        <w:lang w:val="en-US"/>
      </w:rPr>
      <w:t xml:space="preserve"> </w:t>
    </w:r>
    <w:r w:rsidRPr="00B21000">
      <w:rPr>
        <w:b/>
        <w:bCs/>
      </w:rPr>
      <w:fldChar w:fldCharType="begin"/>
    </w:r>
    <w:r w:rsidRPr="00B21000">
      <w:rPr>
        <w:b/>
        <w:bCs/>
        <w:lang w:val="en-US"/>
      </w:rPr>
      <w:instrText>styleref href</w:instrText>
    </w:r>
    <w:r w:rsidRPr="00B21000">
      <w:rPr>
        <w:b/>
        <w:bCs/>
      </w:rPr>
      <w:fldChar w:fldCharType="separate"/>
    </w:r>
    <w:r w:rsidR="005D44C1">
      <w:rPr>
        <w:b/>
        <w:bCs/>
        <w:noProof/>
      </w:rPr>
      <w:t>UIT-R  SM.2421-0</w:t>
    </w:r>
    <w:r w:rsidRPr="00B21000">
      <w:fldChar w:fldCharType="end"/>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78D2" w:rsidRPr="00592856" w:rsidRDefault="003A78D2" w:rsidP="00592856">
    <w:pPr>
      <w:pStyle w:val="Header"/>
      <w:jc w:val="both"/>
      <w:rPr>
        <w:rStyle w:val="PageNumber"/>
        <w:lang w:val="en-US"/>
      </w:rPr>
    </w:pPr>
    <w:r w:rsidRPr="00B21000">
      <w:rPr>
        <w:lang w:val="en-US"/>
      </w:rPr>
      <w:tab/>
    </w:r>
    <w:r w:rsidRPr="002A6C31">
      <w:rPr>
        <w:b/>
        <w:bCs/>
      </w:rPr>
      <w:fldChar w:fldCharType="begin"/>
    </w:r>
    <w:r w:rsidRPr="002A6C31">
      <w:rPr>
        <w:b/>
        <w:bCs/>
      </w:rPr>
      <w:instrText xml:space="preserve"> DOCPROPERTY  "Header 3"  \* MERGEFORMAT </w:instrText>
    </w:r>
    <w:r w:rsidRPr="002A6C31">
      <w:rPr>
        <w:b/>
        <w:bCs/>
      </w:rPr>
      <w:fldChar w:fldCharType="separate"/>
    </w:r>
    <w:r w:rsidR="005D44C1">
      <w:rPr>
        <w:b/>
        <w:bCs/>
      </w:rPr>
      <w:t xml:space="preserve">I. </w:t>
    </w:r>
    <w:r w:rsidRPr="002A6C31">
      <w:rPr>
        <w:b/>
        <w:bCs/>
      </w:rPr>
      <w:fldChar w:fldCharType="end"/>
    </w:r>
    <w:r w:rsidRPr="00E96173">
      <w:rPr>
        <w:b/>
        <w:bCs/>
        <w:lang w:val="en-US"/>
      </w:rPr>
      <w:t xml:space="preserve"> </w:t>
    </w:r>
    <w:r w:rsidRPr="00B21000">
      <w:rPr>
        <w:b/>
        <w:bCs/>
      </w:rPr>
      <w:fldChar w:fldCharType="begin"/>
    </w:r>
    <w:r w:rsidRPr="00B21000">
      <w:rPr>
        <w:b/>
        <w:bCs/>
        <w:lang w:val="en-US"/>
      </w:rPr>
      <w:instrText>styleref href</w:instrText>
    </w:r>
    <w:r w:rsidRPr="00B21000">
      <w:rPr>
        <w:b/>
        <w:bCs/>
      </w:rPr>
      <w:fldChar w:fldCharType="separate"/>
    </w:r>
    <w:r w:rsidR="005D44C1">
      <w:rPr>
        <w:b/>
        <w:bCs/>
        <w:noProof/>
      </w:rPr>
      <w:t>UIT-R  SM.2421-0</w:t>
    </w:r>
    <w:r w:rsidRPr="00B21000">
      <w:fldChar w:fldCharType="end"/>
    </w:r>
    <w:r>
      <w:tab/>
    </w:r>
    <w:r w:rsidRPr="00B21000">
      <w:rPr>
        <w:b/>
        <w:bCs/>
      </w:rPr>
      <w:fldChar w:fldCharType="begin"/>
    </w:r>
    <w:r w:rsidRPr="00B21000">
      <w:rPr>
        <w:b/>
        <w:bCs/>
        <w:lang w:val="en-US"/>
      </w:rPr>
      <w:instrText xml:space="preserve"> PAGE </w:instrText>
    </w:r>
    <w:r w:rsidRPr="00B21000">
      <w:rPr>
        <w:b/>
        <w:bCs/>
      </w:rPr>
      <w:fldChar w:fldCharType="separate"/>
    </w:r>
    <w:r w:rsidR="005D44C1">
      <w:rPr>
        <w:b/>
        <w:bCs/>
        <w:noProof/>
        <w:lang w:val="en-US"/>
      </w:rPr>
      <w:t>7</w:t>
    </w:r>
    <w:r w:rsidRPr="00B21000">
      <w:fldChar w:fldCharType="end"/>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78D2" w:rsidRPr="00E96173" w:rsidRDefault="003A78D2" w:rsidP="0060391F">
    <w:pPr>
      <w:pStyle w:val="Header"/>
      <w:tabs>
        <w:tab w:val="clear" w:pos="4848"/>
        <w:tab w:val="center" w:pos="7088"/>
      </w:tabs>
      <w:jc w:val="both"/>
      <w:rPr>
        <w:lang w:val="en-US"/>
      </w:rPr>
    </w:pPr>
    <w:r w:rsidRPr="00B21000">
      <w:rPr>
        <w:b/>
        <w:bCs/>
      </w:rPr>
      <w:fldChar w:fldCharType="begin"/>
    </w:r>
    <w:r w:rsidRPr="00B21000">
      <w:rPr>
        <w:b/>
        <w:bCs/>
        <w:lang w:val="en-US"/>
      </w:rPr>
      <w:instrText xml:space="preserve"> PAGE </w:instrText>
    </w:r>
    <w:r w:rsidRPr="00B21000">
      <w:rPr>
        <w:b/>
        <w:bCs/>
      </w:rPr>
      <w:fldChar w:fldCharType="separate"/>
    </w:r>
    <w:r w:rsidR="005D44C1">
      <w:rPr>
        <w:b/>
        <w:bCs/>
        <w:noProof/>
        <w:lang w:val="en-US"/>
      </w:rPr>
      <w:t>8</w:t>
    </w:r>
    <w:r w:rsidRPr="00B21000">
      <w:fldChar w:fldCharType="end"/>
    </w:r>
    <w:r w:rsidRPr="00B21000">
      <w:rPr>
        <w:lang w:val="en-US"/>
      </w:rPr>
      <w:tab/>
    </w:r>
    <w:r w:rsidRPr="002A6C31">
      <w:rPr>
        <w:b/>
        <w:bCs/>
      </w:rPr>
      <w:fldChar w:fldCharType="begin"/>
    </w:r>
    <w:r w:rsidRPr="002A6C31">
      <w:rPr>
        <w:b/>
        <w:bCs/>
      </w:rPr>
      <w:instrText xml:space="preserve"> DOCPROPERTY  "Header 3"  \* MERGEFORMAT </w:instrText>
    </w:r>
    <w:r w:rsidRPr="002A6C31">
      <w:rPr>
        <w:b/>
        <w:bCs/>
      </w:rPr>
      <w:fldChar w:fldCharType="separate"/>
    </w:r>
    <w:r w:rsidR="005D44C1">
      <w:rPr>
        <w:b/>
        <w:bCs/>
      </w:rPr>
      <w:t xml:space="preserve">I. </w:t>
    </w:r>
    <w:r w:rsidRPr="002A6C31">
      <w:rPr>
        <w:b/>
        <w:bCs/>
      </w:rPr>
      <w:fldChar w:fldCharType="end"/>
    </w:r>
    <w:r w:rsidRPr="002A6C31">
      <w:rPr>
        <w:b/>
        <w:bCs/>
        <w:lang w:val="en-US"/>
      </w:rPr>
      <w:t xml:space="preserve"> </w:t>
    </w:r>
    <w:r w:rsidRPr="00B21000">
      <w:rPr>
        <w:b/>
        <w:bCs/>
      </w:rPr>
      <w:fldChar w:fldCharType="begin"/>
    </w:r>
    <w:r w:rsidRPr="00B21000">
      <w:rPr>
        <w:b/>
        <w:bCs/>
        <w:lang w:val="en-US"/>
      </w:rPr>
      <w:instrText>styleref href</w:instrText>
    </w:r>
    <w:r w:rsidRPr="00B21000">
      <w:rPr>
        <w:b/>
        <w:bCs/>
      </w:rPr>
      <w:fldChar w:fldCharType="separate"/>
    </w:r>
    <w:r w:rsidR="005D44C1">
      <w:rPr>
        <w:b/>
        <w:bCs/>
        <w:noProof/>
      </w:rPr>
      <w:t>UIT-R  SM.2421-0</w:t>
    </w:r>
    <w:r w:rsidRPr="00B21000">
      <w:fldChar w:fldCharType="end"/>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78D2" w:rsidRPr="00022E4D" w:rsidRDefault="003A78D2" w:rsidP="00570CF8">
    <w:pPr>
      <w:pStyle w:val="Header"/>
      <w:tabs>
        <w:tab w:val="clear" w:pos="4848"/>
        <w:tab w:val="clear" w:pos="9696"/>
        <w:tab w:val="center" w:pos="7088"/>
        <w:tab w:val="right" w:pos="14282"/>
      </w:tabs>
      <w:jc w:val="both"/>
      <w:rPr>
        <w:rStyle w:val="PageNumber"/>
        <w:lang w:val="en-US"/>
      </w:rPr>
    </w:pPr>
    <w:r w:rsidRPr="00B21000">
      <w:rPr>
        <w:lang w:val="en-US"/>
      </w:rPr>
      <w:tab/>
    </w:r>
    <w:r w:rsidRPr="002A6C31">
      <w:rPr>
        <w:b/>
        <w:bCs/>
      </w:rPr>
      <w:fldChar w:fldCharType="begin"/>
    </w:r>
    <w:r w:rsidRPr="002A6C31">
      <w:rPr>
        <w:b/>
        <w:bCs/>
      </w:rPr>
      <w:instrText xml:space="preserve"> DOCPROPERTY  "Header 3"  \* MERGEFORMAT </w:instrText>
    </w:r>
    <w:r w:rsidRPr="002A6C31">
      <w:rPr>
        <w:b/>
        <w:bCs/>
      </w:rPr>
      <w:fldChar w:fldCharType="separate"/>
    </w:r>
    <w:r w:rsidR="005D44C1">
      <w:rPr>
        <w:b/>
        <w:bCs/>
      </w:rPr>
      <w:t xml:space="preserve">I. </w:t>
    </w:r>
    <w:r w:rsidRPr="002A6C31">
      <w:rPr>
        <w:b/>
        <w:bCs/>
      </w:rPr>
      <w:fldChar w:fldCharType="end"/>
    </w:r>
    <w:r w:rsidRPr="002A6C31">
      <w:rPr>
        <w:b/>
        <w:bCs/>
        <w:lang w:val="en-US"/>
      </w:rPr>
      <w:t xml:space="preserve"> </w:t>
    </w:r>
    <w:r w:rsidRPr="00B21000">
      <w:rPr>
        <w:b/>
        <w:bCs/>
      </w:rPr>
      <w:fldChar w:fldCharType="begin"/>
    </w:r>
    <w:r w:rsidRPr="00B21000">
      <w:rPr>
        <w:b/>
        <w:bCs/>
        <w:lang w:val="en-US"/>
      </w:rPr>
      <w:instrText>styleref href</w:instrText>
    </w:r>
    <w:r w:rsidRPr="00B21000">
      <w:rPr>
        <w:b/>
        <w:bCs/>
      </w:rPr>
      <w:fldChar w:fldCharType="separate"/>
    </w:r>
    <w:r w:rsidR="005D44C1">
      <w:rPr>
        <w:b/>
        <w:bCs/>
        <w:noProof/>
      </w:rPr>
      <w:t>UIT-R  SM.2421-0</w:t>
    </w:r>
    <w:r w:rsidRPr="00B21000">
      <w:fldChar w:fldCharType="end"/>
    </w:r>
    <w:r>
      <w:tab/>
    </w:r>
    <w:r w:rsidRPr="00B21000">
      <w:rPr>
        <w:b/>
        <w:bCs/>
      </w:rPr>
      <w:fldChar w:fldCharType="begin"/>
    </w:r>
    <w:r w:rsidRPr="00B21000">
      <w:rPr>
        <w:b/>
        <w:bCs/>
        <w:lang w:val="en-US"/>
      </w:rPr>
      <w:instrText xml:space="preserve"> PAGE </w:instrText>
    </w:r>
    <w:r w:rsidRPr="00B21000">
      <w:rPr>
        <w:b/>
        <w:bCs/>
      </w:rPr>
      <w:fldChar w:fldCharType="separate"/>
    </w:r>
    <w:r w:rsidR="005D44C1">
      <w:rPr>
        <w:b/>
        <w:bCs/>
        <w:noProof/>
        <w:lang w:val="en-US"/>
      </w:rPr>
      <w:t>9</w:t>
    </w:r>
    <w:r w:rsidRPr="00B21000">
      <w:fldChar w:fldCharType="end"/>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78D2" w:rsidRDefault="003A78D2" w:rsidP="003710AD">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6163D7">
      <w:rPr>
        <w:rStyle w:val="PageNumber"/>
        <w:b/>
        <w:bCs/>
        <w:noProof/>
        <w:lang w:val="en-US"/>
      </w:rPr>
      <w:t>16</w:t>
    </w:r>
    <w:r>
      <w:rPr>
        <w:rStyle w:val="PageNumber"/>
        <w:b/>
        <w:bCs/>
      </w:rPr>
      <w:fldChar w:fldCharType="end"/>
    </w:r>
    <w:r>
      <w:rPr>
        <w:lang w:val="en-US"/>
      </w:rPr>
      <w:tab/>
    </w:r>
    <w:r w:rsidRPr="003710AD">
      <w:rPr>
        <w:b/>
        <w:bCs/>
        <w:lang w:val="en-US"/>
      </w:rPr>
      <w:t>I</w:t>
    </w:r>
    <w:r w:rsidRPr="007A4F79">
      <w:rPr>
        <w:b/>
        <w:bCs/>
      </w:rPr>
      <w:t>.  U</w:t>
    </w:r>
    <w:r>
      <w:rPr>
        <w:b/>
        <w:bCs/>
      </w:rPr>
      <w:t>IT</w:t>
    </w:r>
    <w:r w:rsidRPr="007A4F79">
      <w:rPr>
        <w:b/>
        <w:bCs/>
      </w:rPr>
      <w:t xml:space="preserve">-R  </w:t>
    </w:r>
    <w:r>
      <w:rPr>
        <w:b/>
        <w:bCs/>
      </w:rPr>
      <w:t>SM</w:t>
    </w:r>
    <w:r w:rsidRPr="007A4F79">
      <w:rPr>
        <w:b/>
        <w:bCs/>
      </w:rPr>
      <w:t>.</w:t>
    </w:r>
    <w:r>
      <w:rPr>
        <w:b/>
        <w:bCs/>
      </w:rPr>
      <w:t>24</w:t>
    </w:r>
    <w:r w:rsidRPr="007A4F79">
      <w:rPr>
        <w:b/>
        <w:bCs/>
      </w:rPr>
      <w:t>21-</w:t>
    </w:r>
    <w:r>
      <w:rPr>
        <w:b/>
        <w:bCs/>
      </w:rPr>
      <w:t>0</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78D2" w:rsidRPr="00A56CDD" w:rsidRDefault="003A78D2" w:rsidP="00A56CDD">
    <w:pPr>
      <w:pStyle w:val="Header"/>
      <w:jc w:val="both"/>
    </w:pPr>
    <w:r w:rsidRPr="00A56CDD">
      <w:tab/>
    </w:r>
    <w:r>
      <w:rPr>
        <w:b/>
        <w:bCs/>
        <w:lang w:val="en-US"/>
      </w:rPr>
      <w:fldChar w:fldCharType="begin"/>
    </w:r>
    <w:r>
      <w:rPr>
        <w:b/>
        <w:bCs/>
        <w:lang w:val="en-US"/>
      </w:rPr>
      <w:instrText xml:space="preserve"> DOCPROPERTY "Header 3" \* MERGEFORMAT </w:instrText>
    </w:r>
    <w:r>
      <w:rPr>
        <w:b/>
        <w:bCs/>
        <w:lang w:val="en-US"/>
      </w:rPr>
      <w:fldChar w:fldCharType="separate"/>
    </w:r>
    <w:r w:rsidR="005D44C1">
      <w:rPr>
        <w:b/>
        <w:bCs/>
        <w:lang w:val="en-US"/>
      </w:rPr>
      <w:t xml:space="preserve">I. </w:t>
    </w:r>
    <w:r>
      <w:rPr>
        <w:b/>
        <w:bCs/>
        <w:lang w:val="en-US"/>
      </w:rPr>
      <w:fldChar w:fldCharType="end"/>
    </w:r>
    <w:r w:rsidRPr="00A56CDD">
      <w:rPr>
        <w:b/>
        <w:bCs/>
      </w:rPr>
      <w:t xml:space="preserve"> </w:t>
    </w:r>
    <w:r w:rsidRPr="00A56CDD">
      <w:rPr>
        <w:b/>
        <w:bCs/>
      </w:rPr>
      <w:fldChar w:fldCharType="begin"/>
    </w:r>
    <w:r w:rsidRPr="00A56CDD">
      <w:rPr>
        <w:b/>
        <w:bCs/>
        <w:lang w:val="en-US"/>
      </w:rPr>
      <w:instrText>styleref href</w:instrText>
    </w:r>
    <w:r w:rsidRPr="00A56CDD">
      <w:rPr>
        <w:b/>
        <w:bCs/>
      </w:rPr>
      <w:fldChar w:fldCharType="separate"/>
    </w:r>
    <w:r w:rsidR="006163D7">
      <w:rPr>
        <w:b/>
        <w:bCs/>
        <w:noProof/>
      </w:rPr>
      <w:t>UIT-R  SM.2421-0</w:t>
    </w:r>
    <w:r w:rsidRPr="00A56CDD">
      <w:fldChar w:fldCharType="end"/>
    </w:r>
    <w:r w:rsidRPr="00A56CDD">
      <w:tab/>
    </w:r>
    <w:r w:rsidRPr="00A56CDD">
      <w:rPr>
        <w:b/>
        <w:bCs/>
      </w:rPr>
      <w:fldChar w:fldCharType="begin"/>
    </w:r>
    <w:r w:rsidRPr="00A56CDD">
      <w:rPr>
        <w:b/>
        <w:bCs/>
      </w:rPr>
      <w:instrText xml:space="preserve"> PAGE </w:instrText>
    </w:r>
    <w:r w:rsidRPr="00A56CDD">
      <w:rPr>
        <w:b/>
        <w:bCs/>
      </w:rPr>
      <w:fldChar w:fldCharType="separate"/>
    </w:r>
    <w:r w:rsidR="006163D7">
      <w:rPr>
        <w:b/>
        <w:bCs/>
        <w:noProof/>
      </w:rPr>
      <w:t>15</w:t>
    </w:r>
    <w:r w:rsidRPr="00A56CDD">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78D2" w:rsidRDefault="003A78D2" w:rsidP="00B033C8">
    <w:pPr>
      <w:pStyle w:val="Header"/>
      <w:ind w:right="360" w:firstLine="360"/>
    </w:pPr>
    <w:r>
      <w:rPr>
        <w:noProof/>
        <w:lang w:val="en-GB" w:eastAsia="zh-CN"/>
      </w:rPr>
      <w:drawing>
        <wp:anchor distT="0" distB="0" distL="114300" distR="114300" simplePos="0" relativeHeight="251656704" behindDoc="1" locked="0" layoutInCell="1" allowOverlap="1" wp14:anchorId="1C4D351F" wp14:editId="58FBB9F5">
          <wp:simplePos x="0" y="0"/>
          <wp:positionH relativeFrom="page">
            <wp:posOffset>0</wp:posOffset>
          </wp:positionH>
          <wp:positionV relativeFrom="page">
            <wp:posOffset>0</wp:posOffset>
          </wp:positionV>
          <wp:extent cx="7592060" cy="10753725"/>
          <wp:effectExtent l="19050" t="0" r="8890" b="0"/>
          <wp:wrapNone/>
          <wp:docPr id="11" name="Picture 11" descr="report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port_S_2009"/>
                  <pic:cNvPicPr>
                    <a:picLocks noChangeAspect="1" noChangeArrowheads="1"/>
                  </pic:cNvPicPr>
                </pic:nvPicPr>
                <pic:blipFill>
                  <a:blip r:embed="rId1"/>
                  <a:srcRect/>
                  <a:stretch>
                    <a:fillRect/>
                  </a:stretch>
                </pic:blipFill>
                <pic:spPr bwMode="auto">
                  <a:xfrm>
                    <a:off x="0" y="0"/>
                    <a:ext cx="7592060" cy="1075372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78D2" w:rsidRPr="00A56CDD" w:rsidRDefault="003A78D2" w:rsidP="00A56CDD">
    <w:pPr>
      <w:pStyle w:val="Header"/>
      <w:jc w:val="both"/>
      <w:rPr>
        <w:lang w:val="en-US"/>
      </w:rPr>
    </w:pPr>
    <w:r w:rsidRPr="00A56CDD">
      <w:rPr>
        <w:b/>
        <w:bCs/>
      </w:rPr>
      <w:fldChar w:fldCharType="begin"/>
    </w:r>
    <w:r w:rsidRPr="00A56CDD">
      <w:rPr>
        <w:b/>
        <w:bCs/>
        <w:lang w:val="en-US"/>
      </w:rPr>
      <w:instrText xml:space="preserve"> PAGE </w:instrText>
    </w:r>
    <w:r w:rsidRPr="00A56CDD">
      <w:rPr>
        <w:b/>
        <w:bCs/>
      </w:rPr>
      <w:fldChar w:fldCharType="separate"/>
    </w:r>
    <w:r w:rsidR="005D44C1">
      <w:rPr>
        <w:b/>
        <w:bCs/>
        <w:noProof/>
        <w:lang w:val="en-US"/>
      </w:rPr>
      <w:t>4</w:t>
    </w:r>
    <w:r w:rsidRPr="00A56CDD">
      <w:fldChar w:fldCharType="end"/>
    </w:r>
    <w:r w:rsidRPr="00A56CDD">
      <w:rPr>
        <w:lang w:val="en-US"/>
      </w:rPr>
      <w:tab/>
    </w:r>
    <w:r>
      <w:fldChar w:fldCharType="begin"/>
    </w:r>
    <w:r w:rsidRPr="00BE46FB">
      <w:rPr>
        <w:lang w:val="en-US"/>
      </w:rPr>
      <w:instrText xml:space="preserve"> DOCPROPERTY "Header 3" \* MERGEFORMAT </w:instrText>
    </w:r>
    <w:r>
      <w:fldChar w:fldCharType="separate"/>
    </w:r>
    <w:r w:rsidR="005D44C1" w:rsidRPr="005D44C1">
      <w:rPr>
        <w:b/>
        <w:bCs/>
        <w:lang w:val="en-US"/>
      </w:rPr>
      <w:t xml:space="preserve">I. </w:t>
    </w:r>
    <w:r>
      <w:rPr>
        <w:b/>
        <w:bCs/>
        <w:lang w:val="en-US"/>
      </w:rPr>
      <w:fldChar w:fldCharType="end"/>
    </w:r>
    <w:r w:rsidRPr="00BE46FB">
      <w:rPr>
        <w:b/>
        <w:bCs/>
        <w:lang w:val="en-US"/>
      </w:rPr>
      <w:t xml:space="preserve"> </w:t>
    </w:r>
    <w:r w:rsidRPr="00A56CDD">
      <w:rPr>
        <w:b/>
        <w:bCs/>
      </w:rPr>
      <w:fldChar w:fldCharType="begin"/>
    </w:r>
    <w:r w:rsidRPr="00A56CDD">
      <w:rPr>
        <w:b/>
        <w:bCs/>
        <w:lang w:val="en-US"/>
      </w:rPr>
      <w:instrText>styleref href</w:instrText>
    </w:r>
    <w:r w:rsidRPr="00A56CDD">
      <w:rPr>
        <w:b/>
        <w:bCs/>
      </w:rPr>
      <w:fldChar w:fldCharType="separate"/>
    </w:r>
    <w:r w:rsidR="005D44C1">
      <w:rPr>
        <w:b/>
        <w:bCs/>
        <w:noProof/>
      </w:rPr>
      <w:t>UIT-R  SM.2421-0</w:t>
    </w:r>
    <w:r w:rsidRPr="00A56CDD">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78D2" w:rsidRDefault="003A78D2">
    <w:pPr>
      <w:pStyle w:val="Header"/>
    </w:pPr>
    <w:r>
      <w:tab/>
    </w:r>
    <w:r>
      <w:rPr>
        <w:b/>
        <w:bCs/>
      </w:rPr>
      <w:fldChar w:fldCharType="begin"/>
    </w:r>
    <w:r>
      <w:rPr>
        <w:b/>
        <w:bCs/>
      </w:rPr>
      <w:instrText xml:space="preserve"> DOCPROPERTY "Header" \* MERGEFORMAT </w:instrText>
    </w:r>
    <w:r>
      <w:rPr>
        <w:b/>
        <w:bCs/>
      </w:rPr>
      <w:fldChar w:fldCharType="separate"/>
    </w:r>
    <w:r w:rsidR="005D44C1">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5D44C1">
      <w:rPr>
        <w:b/>
        <w:bCs/>
        <w:noProof/>
      </w:rPr>
      <w:t>UIT-R  SM.2421-0</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iii</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78D2" w:rsidRPr="00022E4D" w:rsidRDefault="003A78D2" w:rsidP="0060391F">
    <w:pPr>
      <w:pStyle w:val="Header"/>
      <w:jc w:val="both"/>
      <w:rPr>
        <w:rStyle w:val="PageNumber"/>
        <w:lang w:val="en-US"/>
      </w:rPr>
    </w:pPr>
    <w:r w:rsidRPr="00B21000">
      <w:rPr>
        <w:lang w:val="en-US"/>
      </w:rPr>
      <w:tab/>
    </w:r>
    <w:r w:rsidRPr="002A6C31">
      <w:rPr>
        <w:b/>
        <w:bCs/>
      </w:rPr>
      <w:fldChar w:fldCharType="begin"/>
    </w:r>
    <w:r w:rsidRPr="002A6C31">
      <w:rPr>
        <w:b/>
        <w:bCs/>
      </w:rPr>
      <w:instrText xml:space="preserve"> DOCPROPERTY  "Header 3"  \* MERGEFORMAT </w:instrText>
    </w:r>
    <w:r w:rsidRPr="002A6C31">
      <w:rPr>
        <w:b/>
        <w:bCs/>
      </w:rPr>
      <w:fldChar w:fldCharType="separate"/>
    </w:r>
    <w:r w:rsidR="005D44C1">
      <w:rPr>
        <w:b/>
        <w:bCs/>
      </w:rPr>
      <w:t xml:space="preserve">I. </w:t>
    </w:r>
    <w:r w:rsidRPr="002A6C31">
      <w:rPr>
        <w:b/>
        <w:bCs/>
      </w:rPr>
      <w:fldChar w:fldCharType="end"/>
    </w:r>
    <w:r w:rsidRPr="00E96173">
      <w:rPr>
        <w:b/>
        <w:bCs/>
        <w:lang w:val="en-US"/>
      </w:rPr>
      <w:t xml:space="preserve"> </w:t>
    </w:r>
    <w:r w:rsidRPr="00B21000">
      <w:rPr>
        <w:b/>
        <w:bCs/>
      </w:rPr>
      <w:fldChar w:fldCharType="begin"/>
    </w:r>
    <w:r w:rsidRPr="00B21000">
      <w:rPr>
        <w:b/>
        <w:bCs/>
        <w:lang w:val="en-US"/>
      </w:rPr>
      <w:instrText>styleref href</w:instrText>
    </w:r>
    <w:r w:rsidRPr="00B21000">
      <w:rPr>
        <w:b/>
        <w:bCs/>
      </w:rPr>
      <w:fldChar w:fldCharType="separate"/>
    </w:r>
    <w:r w:rsidR="005D44C1">
      <w:rPr>
        <w:b/>
        <w:bCs/>
        <w:noProof/>
      </w:rPr>
      <w:t>UIT-R  SM.2421-0</w:t>
    </w:r>
    <w:r w:rsidRPr="00B21000">
      <w:fldChar w:fldCharType="end"/>
    </w:r>
    <w:r>
      <w:tab/>
    </w:r>
    <w:r w:rsidRPr="00B21000">
      <w:rPr>
        <w:b/>
        <w:bCs/>
      </w:rPr>
      <w:fldChar w:fldCharType="begin"/>
    </w:r>
    <w:r w:rsidRPr="00B21000">
      <w:rPr>
        <w:b/>
        <w:bCs/>
        <w:lang w:val="en-US"/>
      </w:rPr>
      <w:instrText xml:space="preserve"> PAGE </w:instrText>
    </w:r>
    <w:r w:rsidRPr="00B21000">
      <w:rPr>
        <w:b/>
        <w:bCs/>
      </w:rPr>
      <w:fldChar w:fldCharType="separate"/>
    </w:r>
    <w:r w:rsidR="005D44C1">
      <w:rPr>
        <w:b/>
        <w:bCs/>
        <w:noProof/>
        <w:lang w:val="en-US"/>
      </w:rPr>
      <w:t>3</w:t>
    </w:r>
    <w:r w:rsidRPr="00B21000">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78D2" w:rsidRPr="00022E4D" w:rsidRDefault="003A78D2" w:rsidP="0060391F">
    <w:pPr>
      <w:pStyle w:val="Header"/>
      <w:jc w:val="both"/>
      <w:rPr>
        <w:lang w:val="en-US"/>
      </w:rPr>
    </w:pPr>
    <w:r w:rsidRPr="00B21000">
      <w:rPr>
        <w:lang w:val="en-US"/>
      </w:rPr>
      <w:tab/>
    </w:r>
    <w:r>
      <w:fldChar w:fldCharType="begin"/>
    </w:r>
    <w:r w:rsidRPr="00E96173">
      <w:rPr>
        <w:lang w:val="en-US"/>
      </w:rPr>
      <w:instrText xml:space="preserve"> DOCPROPERTY "Header 2" \* MERGEFORMAT </w:instrText>
    </w:r>
    <w:r>
      <w:fldChar w:fldCharType="separate"/>
    </w:r>
    <w:r w:rsidR="005D44C1" w:rsidRPr="005D44C1">
      <w:rPr>
        <w:b/>
        <w:bCs/>
        <w:lang w:val="en-US"/>
      </w:rPr>
      <w:t xml:space="preserve">Rep. </w:t>
    </w:r>
    <w:r>
      <w:rPr>
        <w:b/>
        <w:bCs/>
        <w:lang w:val="en-US"/>
      </w:rPr>
      <w:fldChar w:fldCharType="end"/>
    </w:r>
    <w:r w:rsidRPr="00E96173">
      <w:rPr>
        <w:b/>
        <w:bCs/>
        <w:lang w:val="en-US"/>
      </w:rPr>
      <w:t xml:space="preserve"> </w:t>
    </w:r>
    <w:r w:rsidRPr="00B21000">
      <w:rPr>
        <w:b/>
        <w:bCs/>
      </w:rPr>
      <w:fldChar w:fldCharType="begin"/>
    </w:r>
    <w:r w:rsidRPr="00B21000">
      <w:rPr>
        <w:b/>
        <w:bCs/>
        <w:lang w:val="en-US"/>
      </w:rPr>
      <w:instrText>styleref href</w:instrText>
    </w:r>
    <w:r w:rsidRPr="00B21000">
      <w:rPr>
        <w:b/>
        <w:bCs/>
      </w:rPr>
      <w:fldChar w:fldCharType="separate"/>
    </w:r>
    <w:r w:rsidR="005D44C1">
      <w:rPr>
        <w:b/>
        <w:bCs/>
        <w:noProof/>
      </w:rPr>
      <w:t>UIT-R  SM.2421-0</w:t>
    </w:r>
    <w:r w:rsidRPr="00B21000">
      <w:fldChar w:fldCharType="end"/>
    </w:r>
    <w:r>
      <w:tab/>
    </w:r>
    <w:r w:rsidRPr="00B21000">
      <w:rPr>
        <w:b/>
        <w:bCs/>
      </w:rPr>
      <w:fldChar w:fldCharType="begin"/>
    </w:r>
    <w:r w:rsidRPr="00B21000">
      <w:rPr>
        <w:b/>
        <w:bCs/>
        <w:lang w:val="en-US"/>
      </w:rPr>
      <w:instrText xml:space="preserve"> PAGE </w:instrText>
    </w:r>
    <w:r w:rsidRPr="00B21000">
      <w:rPr>
        <w:b/>
        <w:bCs/>
      </w:rPr>
      <w:fldChar w:fldCharType="separate"/>
    </w:r>
    <w:r>
      <w:rPr>
        <w:b/>
        <w:bCs/>
        <w:noProof/>
        <w:lang w:val="en-US"/>
      </w:rPr>
      <w:t>1</w:t>
    </w:r>
    <w:r w:rsidRPr="00B21000">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78D2" w:rsidRPr="00E96173" w:rsidRDefault="003A78D2" w:rsidP="0060391F">
    <w:pPr>
      <w:pStyle w:val="Header"/>
      <w:tabs>
        <w:tab w:val="clear" w:pos="4848"/>
        <w:tab w:val="center" w:pos="7088"/>
      </w:tabs>
      <w:jc w:val="both"/>
      <w:rPr>
        <w:lang w:val="en-US"/>
      </w:rPr>
    </w:pPr>
    <w:r w:rsidRPr="00B21000">
      <w:rPr>
        <w:b/>
        <w:bCs/>
      </w:rPr>
      <w:fldChar w:fldCharType="begin"/>
    </w:r>
    <w:r w:rsidRPr="00B21000">
      <w:rPr>
        <w:b/>
        <w:bCs/>
        <w:lang w:val="en-US"/>
      </w:rPr>
      <w:instrText xml:space="preserve"> PAGE </w:instrText>
    </w:r>
    <w:r w:rsidRPr="00B21000">
      <w:rPr>
        <w:b/>
        <w:bCs/>
      </w:rPr>
      <w:fldChar w:fldCharType="separate"/>
    </w:r>
    <w:r w:rsidR="005D44C1">
      <w:rPr>
        <w:b/>
        <w:bCs/>
        <w:noProof/>
        <w:lang w:val="en-US"/>
      </w:rPr>
      <w:t>6</w:t>
    </w:r>
    <w:r w:rsidRPr="00B21000">
      <w:fldChar w:fldCharType="end"/>
    </w:r>
    <w:r w:rsidRPr="00B21000">
      <w:rPr>
        <w:lang w:val="en-US"/>
      </w:rPr>
      <w:tab/>
    </w:r>
    <w:r w:rsidRPr="002A6C31">
      <w:rPr>
        <w:b/>
        <w:bCs/>
      </w:rPr>
      <w:fldChar w:fldCharType="begin"/>
    </w:r>
    <w:r w:rsidRPr="002A6C31">
      <w:rPr>
        <w:b/>
        <w:bCs/>
      </w:rPr>
      <w:instrText xml:space="preserve"> DOCPROPERTY  "Header 3"  \* MERGEFORMAT </w:instrText>
    </w:r>
    <w:r w:rsidRPr="002A6C31">
      <w:rPr>
        <w:b/>
        <w:bCs/>
      </w:rPr>
      <w:fldChar w:fldCharType="separate"/>
    </w:r>
    <w:r w:rsidR="005D44C1">
      <w:rPr>
        <w:b/>
        <w:bCs/>
      </w:rPr>
      <w:t xml:space="preserve">I. </w:t>
    </w:r>
    <w:r w:rsidRPr="002A6C31">
      <w:rPr>
        <w:b/>
        <w:bCs/>
      </w:rPr>
      <w:fldChar w:fldCharType="end"/>
    </w:r>
    <w:r w:rsidRPr="002A6C31">
      <w:rPr>
        <w:b/>
        <w:bCs/>
        <w:lang w:val="en-US"/>
      </w:rPr>
      <w:t xml:space="preserve"> </w:t>
    </w:r>
    <w:r w:rsidRPr="00B21000">
      <w:rPr>
        <w:b/>
        <w:bCs/>
      </w:rPr>
      <w:fldChar w:fldCharType="begin"/>
    </w:r>
    <w:r w:rsidRPr="00B21000">
      <w:rPr>
        <w:b/>
        <w:bCs/>
        <w:lang w:val="en-US"/>
      </w:rPr>
      <w:instrText>styleref href</w:instrText>
    </w:r>
    <w:r w:rsidRPr="00B21000">
      <w:rPr>
        <w:b/>
        <w:bCs/>
      </w:rPr>
      <w:fldChar w:fldCharType="separate"/>
    </w:r>
    <w:r w:rsidR="005D44C1">
      <w:rPr>
        <w:b/>
        <w:bCs/>
        <w:noProof/>
      </w:rPr>
      <w:t>UIT-R  SM.2421-0</w:t>
    </w:r>
    <w:r w:rsidRPr="00B21000">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78D2" w:rsidRPr="00022E4D" w:rsidRDefault="003A78D2" w:rsidP="00570CF8">
    <w:pPr>
      <w:pStyle w:val="Header"/>
      <w:tabs>
        <w:tab w:val="clear" w:pos="4848"/>
        <w:tab w:val="clear" w:pos="9696"/>
        <w:tab w:val="center" w:pos="7088"/>
        <w:tab w:val="right" w:pos="14282"/>
      </w:tabs>
      <w:jc w:val="both"/>
      <w:rPr>
        <w:rStyle w:val="PageNumber"/>
        <w:lang w:val="en-US"/>
      </w:rPr>
    </w:pPr>
    <w:r w:rsidRPr="00B21000">
      <w:rPr>
        <w:lang w:val="en-US"/>
      </w:rPr>
      <w:tab/>
    </w:r>
    <w:r w:rsidRPr="002A6C31">
      <w:rPr>
        <w:b/>
        <w:bCs/>
      </w:rPr>
      <w:fldChar w:fldCharType="begin"/>
    </w:r>
    <w:r w:rsidRPr="002A6C31">
      <w:rPr>
        <w:b/>
        <w:bCs/>
      </w:rPr>
      <w:instrText xml:space="preserve"> DOCPROPERTY  "Header 3"  \* MERGEFORMAT </w:instrText>
    </w:r>
    <w:r w:rsidRPr="002A6C31">
      <w:rPr>
        <w:b/>
        <w:bCs/>
      </w:rPr>
      <w:fldChar w:fldCharType="separate"/>
    </w:r>
    <w:r w:rsidR="005D44C1">
      <w:rPr>
        <w:b/>
        <w:bCs/>
      </w:rPr>
      <w:t xml:space="preserve">I. </w:t>
    </w:r>
    <w:r w:rsidRPr="002A6C31">
      <w:rPr>
        <w:b/>
        <w:bCs/>
      </w:rPr>
      <w:fldChar w:fldCharType="end"/>
    </w:r>
    <w:r w:rsidRPr="002A6C31">
      <w:rPr>
        <w:b/>
        <w:bCs/>
        <w:lang w:val="en-US"/>
      </w:rPr>
      <w:t xml:space="preserve"> </w:t>
    </w:r>
    <w:r w:rsidRPr="00B21000">
      <w:rPr>
        <w:b/>
        <w:bCs/>
      </w:rPr>
      <w:fldChar w:fldCharType="begin"/>
    </w:r>
    <w:r w:rsidRPr="00B21000">
      <w:rPr>
        <w:b/>
        <w:bCs/>
        <w:lang w:val="en-US"/>
      </w:rPr>
      <w:instrText>styleref href</w:instrText>
    </w:r>
    <w:r w:rsidRPr="00B21000">
      <w:rPr>
        <w:b/>
        <w:bCs/>
      </w:rPr>
      <w:fldChar w:fldCharType="separate"/>
    </w:r>
    <w:r w:rsidR="005D44C1">
      <w:rPr>
        <w:b/>
        <w:bCs/>
        <w:noProof/>
      </w:rPr>
      <w:t>UIT-R  SM.2421-0</w:t>
    </w:r>
    <w:r w:rsidRPr="00B21000">
      <w:fldChar w:fldCharType="end"/>
    </w:r>
    <w:r>
      <w:tab/>
    </w:r>
    <w:r w:rsidRPr="00B21000">
      <w:rPr>
        <w:b/>
        <w:bCs/>
      </w:rPr>
      <w:fldChar w:fldCharType="begin"/>
    </w:r>
    <w:r w:rsidRPr="00B21000">
      <w:rPr>
        <w:b/>
        <w:bCs/>
        <w:lang w:val="en-US"/>
      </w:rPr>
      <w:instrText xml:space="preserve"> PAGE </w:instrText>
    </w:r>
    <w:r w:rsidRPr="00B21000">
      <w:rPr>
        <w:b/>
        <w:bCs/>
      </w:rPr>
      <w:fldChar w:fldCharType="separate"/>
    </w:r>
    <w:r w:rsidR="005D44C1">
      <w:rPr>
        <w:b/>
        <w:bCs/>
        <w:noProof/>
        <w:lang w:val="en-US"/>
      </w:rPr>
      <w:t>5</w:t>
    </w:r>
    <w:r w:rsidRPr="00B21000">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78D2" w:rsidRPr="00D94F7A" w:rsidRDefault="003A78D2" w:rsidP="0060391F">
    <w:pPr>
      <w:pStyle w:val="Header"/>
      <w:rPr>
        <w:rStyle w:val="PageNumber"/>
        <w:lang w:val="es-ES_tradnl"/>
      </w:rPr>
    </w:pPr>
    <w:r w:rsidRPr="00D94F7A">
      <w:rPr>
        <w:lang w:val="es-ES_tradnl"/>
      </w:rPr>
      <w:t xml:space="preserve">- </w:t>
    </w:r>
    <w:r w:rsidRPr="00D94F7A">
      <w:rPr>
        <w:rStyle w:val="PageNumber"/>
        <w:lang w:val="es-ES_tradnl"/>
      </w:rPr>
      <w:fldChar w:fldCharType="begin"/>
    </w:r>
    <w:r w:rsidRPr="00D94F7A">
      <w:rPr>
        <w:rStyle w:val="PageNumber"/>
        <w:lang w:val="es-ES_tradnl"/>
      </w:rPr>
      <w:instrText xml:space="preserve"> PAGE </w:instrText>
    </w:r>
    <w:r w:rsidRPr="00D94F7A">
      <w:rPr>
        <w:rStyle w:val="PageNumber"/>
        <w:lang w:val="es-ES_tradnl"/>
      </w:rPr>
      <w:fldChar w:fldCharType="separate"/>
    </w:r>
    <w:r w:rsidRPr="00D94F7A">
      <w:rPr>
        <w:rStyle w:val="PageNumber"/>
        <w:noProof/>
        <w:lang w:val="es-ES_tradnl"/>
      </w:rPr>
      <w:t>9</w:t>
    </w:r>
    <w:r w:rsidRPr="00D94F7A">
      <w:rPr>
        <w:rStyle w:val="PageNumber"/>
        <w:lang w:val="es-ES_tradnl"/>
      </w:rPr>
      <w:fldChar w:fldCharType="end"/>
    </w:r>
    <w:r w:rsidRPr="00D94F7A">
      <w:rPr>
        <w:rStyle w:val="PageNumber"/>
        <w:lang w:val="es-ES_tradnl"/>
      </w:rPr>
      <w:t xml:space="preserve"> -</w:t>
    </w:r>
  </w:p>
  <w:p w:rsidR="003A78D2" w:rsidRPr="00D94F7A" w:rsidRDefault="003A78D2" w:rsidP="0060391F">
    <w:pPr>
      <w:pStyle w:val="Header"/>
      <w:rPr>
        <w:lang w:val="es-ES_tradnl"/>
      </w:rPr>
    </w:pPr>
    <w:r w:rsidRPr="00D94F7A">
      <w:rPr>
        <w:lang w:val="es-ES_tradnl"/>
      </w:rPr>
      <w:t>1A/260 (Anexo 9</w:t>
    </w:r>
    <w:r>
      <w:rPr>
        <w:lang w:val="es-ES_tradnl"/>
      </w:rPr>
      <w:t>)-S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A9C2070E"/>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BB86B8B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F9805E6"/>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74C0472A"/>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FBA23482"/>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34BC9746"/>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9F2E54F2"/>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16AC0D2C"/>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A9C2159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796595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00005"/>
    <w:multiLevelType w:val="singleLevel"/>
    <w:tmpl w:val="00000005"/>
    <w:name w:val="WW8Num5"/>
    <w:lvl w:ilvl="0">
      <w:start w:val="1"/>
      <w:numFmt w:val="bullet"/>
      <w:lvlText w:val=""/>
      <w:lvlJc w:val="left"/>
      <w:pPr>
        <w:tabs>
          <w:tab w:val="num" w:pos="0"/>
        </w:tabs>
        <w:ind w:left="1428" w:hanging="360"/>
      </w:pPr>
      <w:rPr>
        <w:rFonts w:ascii="Symbol" w:hAnsi="Symbol" w:cs="Symbol" w:hint="default"/>
      </w:rPr>
    </w:lvl>
  </w:abstractNum>
  <w:abstractNum w:abstractNumId="11" w15:restartNumberingAfterBreak="0">
    <w:nsid w:val="030F02E6"/>
    <w:multiLevelType w:val="hybridMultilevel"/>
    <w:tmpl w:val="B19062BC"/>
    <w:lvl w:ilvl="0" w:tplc="08090001">
      <w:start w:val="1"/>
      <w:numFmt w:val="bullet"/>
      <w:lvlText w:val=""/>
      <w:lvlJc w:val="left"/>
      <w:pPr>
        <w:ind w:left="1060" w:hanging="360"/>
      </w:pPr>
      <w:rPr>
        <w:rFonts w:ascii="Symbol" w:hAnsi="Symbol" w:hint="default"/>
      </w:rPr>
    </w:lvl>
    <w:lvl w:ilvl="1" w:tplc="08090003" w:tentative="1">
      <w:start w:val="1"/>
      <w:numFmt w:val="bullet"/>
      <w:lvlText w:val="o"/>
      <w:lvlJc w:val="left"/>
      <w:pPr>
        <w:ind w:left="1780" w:hanging="360"/>
      </w:pPr>
      <w:rPr>
        <w:rFonts w:ascii="Courier New" w:hAnsi="Courier New" w:cs="Courier New" w:hint="default"/>
      </w:rPr>
    </w:lvl>
    <w:lvl w:ilvl="2" w:tplc="08090005" w:tentative="1">
      <w:start w:val="1"/>
      <w:numFmt w:val="bullet"/>
      <w:lvlText w:val=""/>
      <w:lvlJc w:val="left"/>
      <w:pPr>
        <w:ind w:left="2500" w:hanging="360"/>
      </w:pPr>
      <w:rPr>
        <w:rFonts w:ascii="Wingdings" w:hAnsi="Wingdings" w:hint="default"/>
      </w:rPr>
    </w:lvl>
    <w:lvl w:ilvl="3" w:tplc="08090001" w:tentative="1">
      <w:start w:val="1"/>
      <w:numFmt w:val="bullet"/>
      <w:lvlText w:val=""/>
      <w:lvlJc w:val="left"/>
      <w:pPr>
        <w:ind w:left="3220" w:hanging="360"/>
      </w:pPr>
      <w:rPr>
        <w:rFonts w:ascii="Symbol" w:hAnsi="Symbol" w:hint="default"/>
      </w:rPr>
    </w:lvl>
    <w:lvl w:ilvl="4" w:tplc="08090003" w:tentative="1">
      <w:start w:val="1"/>
      <w:numFmt w:val="bullet"/>
      <w:lvlText w:val="o"/>
      <w:lvlJc w:val="left"/>
      <w:pPr>
        <w:ind w:left="3940" w:hanging="360"/>
      </w:pPr>
      <w:rPr>
        <w:rFonts w:ascii="Courier New" w:hAnsi="Courier New" w:cs="Courier New" w:hint="default"/>
      </w:rPr>
    </w:lvl>
    <w:lvl w:ilvl="5" w:tplc="08090005" w:tentative="1">
      <w:start w:val="1"/>
      <w:numFmt w:val="bullet"/>
      <w:lvlText w:val=""/>
      <w:lvlJc w:val="left"/>
      <w:pPr>
        <w:ind w:left="4660" w:hanging="360"/>
      </w:pPr>
      <w:rPr>
        <w:rFonts w:ascii="Wingdings" w:hAnsi="Wingdings" w:hint="default"/>
      </w:rPr>
    </w:lvl>
    <w:lvl w:ilvl="6" w:tplc="08090001" w:tentative="1">
      <w:start w:val="1"/>
      <w:numFmt w:val="bullet"/>
      <w:lvlText w:val=""/>
      <w:lvlJc w:val="left"/>
      <w:pPr>
        <w:ind w:left="5380" w:hanging="360"/>
      </w:pPr>
      <w:rPr>
        <w:rFonts w:ascii="Symbol" w:hAnsi="Symbol" w:hint="default"/>
      </w:rPr>
    </w:lvl>
    <w:lvl w:ilvl="7" w:tplc="08090003" w:tentative="1">
      <w:start w:val="1"/>
      <w:numFmt w:val="bullet"/>
      <w:lvlText w:val="o"/>
      <w:lvlJc w:val="left"/>
      <w:pPr>
        <w:ind w:left="6100" w:hanging="360"/>
      </w:pPr>
      <w:rPr>
        <w:rFonts w:ascii="Courier New" w:hAnsi="Courier New" w:cs="Courier New" w:hint="default"/>
      </w:rPr>
    </w:lvl>
    <w:lvl w:ilvl="8" w:tplc="08090005" w:tentative="1">
      <w:start w:val="1"/>
      <w:numFmt w:val="bullet"/>
      <w:lvlText w:val=""/>
      <w:lvlJc w:val="left"/>
      <w:pPr>
        <w:ind w:left="6820" w:hanging="360"/>
      </w:pPr>
      <w:rPr>
        <w:rFonts w:ascii="Wingdings" w:hAnsi="Wingdings" w:hint="default"/>
      </w:rPr>
    </w:lvl>
  </w:abstractNum>
  <w:abstractNum w:abstractNumId="12" w15:restartNumberingAfterBreak="0">
    <w:nsid w:val="0431734C"/>
    <w:multiLevelType w:val="hybridMultilevel"/>
    <w:tmpl w:val="EC1441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7225EBD"/>
    <w:multiLevelType w:val="hybridMultilevel"/>
    <w:tmpl w:val="A9A25B90"/>
    <w:lvl w:ilvl="0" w:tplc="DAB62298">
      <w:numFmt w:val="bullet"/>
      <w:lvlText w:val="•"/>
      <w:lvlJc w:val="left"/>
      <w:pPr>
        <w:ind w:left="1500" w:hanging="114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0CDC10EA"/>
    <w:multiLevelType w:val="hybridMultilevel"/>
    <w:tmpl w:val="4DAE69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0FEB4A7C"/>
    <w:multiLevelType w:val="hybridMultilevel"/>
    <w:tmpl w:val="B96CE56A"/>
    <w:lvl w:ilvl="0" w:tplc="91C4760E">
      <w:start w:val="1"/>
      <w:numFmt w:val="bullet"/>
      <w:lvlText w:val=""/>
      <w:lvlJc w:val="left"/>
      <w:pPr>
        <w:ind w:left="3904" w:hanging="360"/>
      </w:pPr>
      <w:rPr>
        <w:rFonts w:ascii="Wingdings" w:hAnsi="Wingdings" w:hint="default"/>
        <w:color w:val="D2232A"/>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117609C6"/>
    <w:multiLevelType w:val="hybridMultilevel"/>
    <w:tmpl w:val="158CFD0C"/>
    <w:lvl w:ilvl="0" w:tplc="74649CE0">
      <w:start w:val="1"/>
      <w:numFmt w:val="decimal"/>
      <w:pStyle w:val="ParaNum"/>
      <w:lvlText w:val="%1."/>
      <w:lvlJc w:val="left"/>
      <w:pPr>
        <w:tabs>
          <w:tab w:val="num" w:pos="1482"/>
        </w:tabs>
        <w:ind w:firstLine="720"/>
      </w:pPr>
      <w:rPr>
        <w:rFonts w:ascii="Times New Roman" w:hAnsi="Times New Roman" w:cs="Times New Roman" w:hint="default"/>
        <w:b w:val="0"/>
        <w:i w:val="0"/>
        <w:dstrike w:val="0"/>
        <w:color w:val="000000"/>
      </w:rPr>
    </w:lvl>
    <w:lvl w:ilvl="1" w:tplc="35904AA4">
      <w:start w:val="1"/>
      <w:numFmt w:val="bullet"/>
      <w:lvlText w:val="o"/>
      <w:lvlJc w:val="left"/>
      <w:pPr>
        <w:tabs>
          <w:tab w:val="num" w:pos="720"/>
        </w:tabs>
        <w:ind w:left="720" w:hanging="360"/>
      </w:pPr>
      <w:rPr>
        <w:rFonts w:ascii="Courier New" w:hAnsi="Courier New" w:hint="default"/>
      </w:rPr>
    </w:lvl>
    <w:lvl w:ilvl="2" w:tplc="04090005">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17" w15:restartNumberingAfterBreak="0">
    <w:nsid w:val="164463F6"/>
    <w:multiLevelType w:val="hybridMultilevel"/>
    <w:tmpl w:val="26109E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95A4AC3"/>
    <w:multiLevelType w:val="hybridMultilevel"/>
    <w:tmpl w:val="D7DE19F2"/>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9" w15:restartNumberingAfterBreak="0">
    <w:nsid w:val="1DFF023B"/>
    <w:multiLevelType w:val="hybridMultilevel"/>
    <w:tmpl w:val="67E08CA4"/>
    <w:lvl w:ilvl="0" w:tplc="FC805A1C">
      <w:numFmt w:val="bullet"/>
      <w:lvlText w:val="–"/>
      <w:lvlJc w:val="left"/>
      <w:pPr>
        <w:ind w:left="360" w:hanging="360"/>
      </w:pPr>
      <w:rPr>
        <w:rFonts w:ascii="Times New Roman" w:eastAsia="Times New Roman"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1ECA64ED"/>
    <w:multiLevelType w:val="hybridMultilevel"/>
    <w:tmpl w:val="52E6C8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1237928"/>
    <w:multiLevelType w:val="hybridMultilevel"/>
    <w:tmpl w:val="9C04F6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12F4188"/>
    <w:multiLevelType w:val="multilevel"/>
    <w:tmpl w:val="169232EE"/>
    <w:lvl w:ilvl="0">
      <w:start w:val="1"/>
      <w:numFmt w:val="decimal"/>
      <w:pStyle w:val="ECCAnnexheading1"/>
      <w:suff w:val="space"/>
      <w:lvlText w:val="ANNEX %1:"/>
      <w:lvlJc w:val="left"/>
      <w:pPr>
        <w:ind w:left="0" w:firstLine="0"/>
      </w:pPr>
      <w:rPr>
        <w:rFonts w:ascii="Arial" w:hAnsi="Arial" w:hint="default"/>
        <w:b/>
        <w:bCs w:val="0"/>
        <w:i w:val="0"/>
        <w:iCs w:val="0"/>
        <w:smallCaps w:val="0"/>
        <w:strike w:val="0"/>
        <w:dstrike w:val="0"/>
        <w:vanish w:val="0"/>
        <w:color w:val="D2232A"/>
        <w:spacing w:val="0"/>
        <w:position w:val="0"/>
        <w:sz w:val="20"/>
        <w:u w:val="none"/>
        <w:vertAlign w:val="baseline"/>
        <w:em w:val="none"/>
      </w:rPr>
    </w:lvl>
    <w:lvl w:ilvl="1">
      <w:start w:val="1"/>
      <w:numFmt w:val="decimal"/>
      <w:pStyle w:val="ECCAnnexheading2"/>
      <w:suff w:val="space"/>
      <w:lvlText w:val="A%1.%2"/>
      <w:lvlJc w:val="left"/>
      <w:pPr>
        <w:ind w:left="576" w:hanging="576"/>
      </w:pPr>
      <w:rPr>
        <w:rFonts w:hint="default"/>
      </w:rPr>
    </w:lvl>
    <w:lvl w:ilvl="2">
      <w:start w:val="1"/>
      <w:numFmt w:val="decimal"/>
      <w:pStyle w:val="ECCAnnexheading3"/>
      <w:lvlText w:val="A%1.%2.%3"/>
      <w:lvlJc w:val="left"/>
      <w:pPr>
        <w:tabs>
          <w:tab w:val="num" w:pos="720"/>
        </w:tabs>
        <w:ind w:left="720" w:hanging="720"/>
      </w:pPr>
      <w:rPr>
        <w:rFonts w:hint="default"/>
      </w:rPr>
    </w:lvl>
    <w:lvl w:ilvl="3">
      <w:start w:val="1"/>
      <w:numFmt w:val="decimal"/>
      <w:pStyle w:val="ECCAnnexheading4"/>
      <w:lvlText w:val="A%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3" w15:restartNumberingAfterBreak="0">
    <w:nsid w:val="26536695"/>
    <w:multiLevelType w:val="hybridMultilevel"/>
    <w:tmpl w:val="5F9AF7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6F54AD3"/>
    <w:multiLevelType w:val="hybridMultilevel"/>
    <w:tmpl w:val="37761DA8"/>
    <w:lvl w:ilvl="0" w:tplc="2E303186">
      <w:numFmt w:val="bullet"/>
      <w:lvlText w:val="•"/>
      <w:lvlJc w:val="left"/>
      <w:pPr>
        <w:ind w:left="1500" w:hanging="114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26F65EB2"/>
    <w:multiLevelType w:val="hybridMultilevel"/>
    <w:tmpl w:val="424499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2E9006B7"/>
    <w:multiLevelType w:val="hybridMultilevel"/>
    <w:tmpl w:val="65D89E22"/>
    <w:lvl w:ilvl="0" w:tplc="04080CC8">
      <w:start w:val="5"/>
      <w:numFmt w:val="bullet"/>
      <w:lvlText w:val="–"/>
      <w:lvlJc w:val="left"/>
      <w:pPr>
        <w:ind w:left="1140" w:hanging="420"/>
      </w:pPr>
      <w:rPr>
        <w:rFonts w:ascii="Times New Roman" w:eastAsia="SimSun" w:hAnsi="Times New Roman" w:cs="Times New Roman" w:hint="default"/>
      </w:rPr>
    </w:lvl>
    <w:lvl w:ilvl="1" w:tplc="04090003" w:tentative="1">
      <w:start w:val="1"/>
      <w:numFmt w:val="bullet"/>
      <w:lvlText w:val=""/>
      <w:lvlJc w:val="left"/>
      <w:pPr>
        <w:ind w:left="1560" w:hanging="420"/>
      </w:pPr>
      <w:rPr>
        <w:rFonts w:ascii="Wingdings" w:hAnsi="Wingdings" w:hint="default"/>
      </w:rPr>
    </w:lvl>
    <w:lvl w:ilvl="2" w:tplc="04090005"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3" w:tentative="1">
      <w:start w:val="1"/>
      <w:numFmt w:val="bullet"/>
      <w:lvlText w:val=""/>
      <w:lvlJc w:val="left"/>
      <w:pPr>
        <w:ind w:left="2820" w:hanging="420"/>
      </w:pPr>
      <w:rPr>
        <w:rFonts w:ascii="Wingdings" w:hAnsi="Wingdings" w:hint="default"/>
      </w:rPr>
    </w:lvl>
    <w:lvl w:ilvl="5" w:tplc="04090005"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3" w:tentative="1">
      <w:start w:val="1"/>
      <w:numFmt w:val="bullet"/>
      <w:lvlText w:val=""/>
      <w:lvlJc w:val="left"/>
      <w:pPr>
        <w:ind w:left="4080" w:hanging="420"/>
      </w:pPr>
      <w:rPr>
        <w:rFonts w:ascii="Wingdings" w:hAnsi="Wingdings" w:hint="default"/>
      </w:rPr>
    </w:lvl>
    <w:lvl w:ilvl="8" w:tplc="04090005" w:tentative="1">
      <w:start w:val="1"/>
      <w:numFmt w:val="bullet"/>
      <w:lvlText w:val=""/>
      <w:lvlJc w:val="left"/>
      <w:pPr>
        <w:ind w:left="4500" w:hanging="420"/>
      </w:pPr>
      <w:rPr>
        <w:rFonts w:ascii="Wingdings" w:hAnsi="Wingdings" w:hint="default"/>
      </w:rPr>
    </w:lvl>
  </w:abstractNum>
  <w:abstractNum w:abstractNumId="27" w15:restartNumberingAfterBreak="0">
    <w:nsid w:val="30E61DE5"/>
    <w:multiLevelType w:val="hybridMultilevel"/>
    <w:tmpl w:val="1AC083EE"/>
    <w:lvl w:ilvl="0" w:tplc="7E724F00">
      <w:numFmt w:val="bullet"/>
      <w:lvlText w:val="–"/>
      <w:lvlJc w:val="left"/>
      <w:pPr>
        <w:ind w:left="-108" w:hanging="360"/>
      </w:pPr>
      <w:rPr>
        <w:rFonts w:ascii="Times New Roman" w:eastAsia="Times New Roman" w:hAnsi="Times New Roman" w:cs="Times New Roman" w:hint="default"/>
      </w:rPr>
    </w:lvl>
    <w:lvl w:ilvl="1" w:tplc="08090003" w:tentative="1">
      <w:start w:val="1"/>
      <w:numFmt w:val="bullet"/>
      <w:lvlText w:val="o"/>
      <w:lvlJc w:val="left"/>
      <w:pPr>
        <w:ind w:left="612" w:hanging="360"/>
      </w:pPr>
      <w:rPr>
        <w:rFonts w:ascii="Courier New" w:hAnsi="Courier New" w:cs="Courier New" w:hint="default"/>
      </w:rPr>
    </w:lvl>
    <w:lvl w:ilvl="2" w:tplc="08090005" w:tentative="1">
      <w:start w:val="1"/>
      <w:numFmt w:val="bullet"/>
      <w:lvlText w:val=""/>
      <w:lvlJc w:val="left"/>
      <w:pPr>
        <w:ind w:left="1332" w:hanging="360"/>
      </w:pPr>
      <w:rPr>
        <w:rFonts w:ascii="Wingdings" w:hAnsi="Wingdings" w:hint="default"/>
      </w:rPr>
    </w:lvl>
    <w:lvl w:ilvl="3" w:tplc="08090001" w:tentative="1">
      <w:start w:val="1"/>
      <w:numFmt w:val="bullet"/>
      <w:lvlText w:val=""/>
      <w:lvlJc w:val="left"/>
      <w:pPr>
        <w:ind w:left="2052" w:hanging="360"/>
      </w:pPr>
      <w:rPr>
        <w:rFonts w:ascii="Symbol" w:hAnsi="Symbol" w:hint="default"/>
      </w:rPr>
    </w:lvl>
    <w:lvl w:ilvl="4" w:tplc="08090003" w:tentative="1">
      <w:start w:val="1"/>
      <w:numFmt w:val="bullet"/>
      <w:lvlText w:val="o"/>
      <w:lvlJc w:val="left"/>
      <w:pPr>
        <w:ind w:left="2772" w:hanging="360"/>
      </w:pPr>
      <w:rPr>
        <w:rFonts w:ascii="Courier New" w:hAnsi="Courier New" w:cs="Courier New" w:hint="default"/>
      </w:rPr>
    </w:lvl>
    <w:lvl w:ilvl="5" w:tplc="08090005" w:tentative="1">
      <w:start w:val="1"/>
      <w:numFmt w:val="bullet"/>
      <w:lvlText w:val=""/>
      <w:lvlJc w:val="left"/>
      <w:pPr>
        <w:ind w:left="3492" w:hanging="360"/>
      </w:pPr>
      <w:rPr>
        <w:rFonts w:ascii="Wingdings" w:hAnsi="Wingdings" w:hint="default"/>
      </w:rPr>
    </w:lvl>
    <w:lvl w:ilvl="6" w:tplc="08090001" w:tentative="1">
      <w:start w:val="1"/>
      <w:numFmt w:val="bullet"/>
      <w:lvlText w:val=""/>
      <w:lvlJc w:val="left"/>
      <w:pPr>
        <w:ind w:left="4212" w:hanging="360"/>
      </w:pPr>
      <w:rPr>
        <w:rFonts w:ascii="Symbol" w:hAnsi="Symbol" w:hint="default"/>
      </w:rPr>
    </w:lvl>
    <w:lvl w:ilvl="7" w:tplc="08090003" w:tentative="1">
      <w:start w:val="1"/>
      <w:numFmt w:val="bullet"/>
      <w:lvlText w:val="o"/>
      <w:lvlJc w:val="left"/>
      <w:pPr>
        <w:ind w:left="4932" w:hanging="360"/>
      </w:pPr>
      <w:rPr>
        <w:rFonts w:ascii="Courier New" w:hAnsi="Courier New" w:cs="Courier New" w:hint="default"/>
      </w:rPr>
    </w:lvl>
    <w:lvl w:ilvl="8" w:tplc="08090005" w:tentative="1">
      <w:start w:val="1"/>
      <w:numFmt w:val="bullet"/>
      <w:lvlText w:val=""/>
      <w:lvlJc w:val="left"/>
      <w:pPr>
        <w:ind w:left="5652" w:hanging="360"/>
      </w:pPr>
      <w:rPr>
        <w:rFonts w:ascii="Wingdings" w:hAnsi="Wingdings" w:hint="default"/>
      </w:rPr>
    </w:lvl>
  </w:abstractNum>
  <w:abstractNum w:abstractNumId="28" w15:restartNumberingAfterBreak="0">
    <w:nsid w:val="37D82840"/>
    <w:multiLevelType w:val="hybridMultilevel"/>
    <w:tmpl w:val="BCDE0A5A"/>
    <w:lvl w:ilvl="0" w:tplc="4B067274">
      <w:start w:val="1"/>
      <w:numFmt w:val="decimal"/>
      <w:lvlText w:val="%1."/>
      <w:lvlJc w:val="left"/>
      <w:pPr>
        <w:ind w:left="720" w:hanging="363"/>
      </w:pPr>
      <w:rPr>
        <w:b/>
        <w:color w:val="4472C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39CF0BDF"/>
    <w:multiLevelType w:val="hybridMultilevel"/>
    <w:tmpl w:val="0CBA83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A4074D0"/>
    <w:multiLevelType w:val="hybridMultilevel"/>
    <w:tmpl w:val="3B103F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DC911A8"/>
    <w:multiLevelType w:val="hybridMultilevel"/>
    <w:tmpl w:val="F94A1C5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46E6242A"/>
    <w:multiLevelType w:val="hybridMultilevel"/>
    <w:tmpl w:val="A59860D8"/>
    <w:lvl w:ilvl="0" w:tplc="C6A63FF2">
      <w:start w:val="1"/>
      <w:numFmt w:val="decimal"/>
      <w:pStyle w:val="ECCReference"/>
      <w:lvlText w:val="[%1]"/>
      <w:lvlJc w:val="left"/>
      <w:pPr>
        <w:tabs>
          <w:tab w:val="num" w:pos="681"/>
        </w:tabs>
        <w:ind w:left="681" w:hanging="397"/>
      </w:pPr>
      <w:rPr>
        <w:rFonts w:ascii="Times New Roman" w:hAnsi="Times New Roman" w:hint="default"/>
        <w:b w:val="0"/>
        <w:i w:val="0"/>
        <w:color w:val="auto"/>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48DC62E8"/>
    <w:multiLevelType w:val="hybridMultilevel"/>
    <w:tmpl w:val="657CD6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BC16B98"/>
    <w:multiLevelType w:val="hybridMultilevel"/>
    <w:tmpl w:val="C4B874A0"/>
    <w:lvl w:ilvl="0" w:tplc="4DC011A8">
      <w:start w:val="8"/>
      <w:numFmt w:val="bullet"/>
      <w:lvlText w:val="–"/>
      <w:lvlJc w:val="left"/>
      <w:pPr>
        <w:ind w:left="1440" w:hanging="360"/>
      </w:pPr>
      <w:rPr>
        <w:rFonts w:ascii="Times New Roman" w:eastAsia="Times New Roman" w:hAnsi="Times New Roman" w:cs="Times New Roman" w:hint="default"/>
        <w:b w:val="0"/>
        <w:color w:val="auto"/>
        <w:sz w:val="24"/>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15:restartNumberingAfterBreak="0">
    <w:nsid w:val="4C201CD7"/>
    <w:multiLevelType w:val="hybridMultilevel"/>
    <w:tmpl w:val="4C32B1A0"/>
    <w:lvl w:ilvl="0" w:tplc="A6E2D588">
      <w:start w:val="6"/>
      <w:numFmt w:val="bullet"/>
      <w:lvlText w:val="-"/>
      <w:lvlJc w:val="left"/>
      <w:pPr>
        <w:ind w:left="150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E554BE1"/>
    <w:multiLevelType w:val="hybridMultilevel"/>
    <w:tmpl w:val="3DDC6E0E"/>
    <w:lvl w:ilvl="0" w:tplc="AA6EC9AA">
      <w:numFmt w:val="bullet"/>
      <w:lvlText w:val="–"/>
      <w:lvlJc w:val="left"/>
      <w:pPr>
        <w:ind w:left="1080" w:hanging="360"/>
      </w:pPr>
      <w:rPr>
        <w:rFonts w:ascii="Times New Roman" w:eastAsia="Times New Roman" w:hAnsi="Times New Roman"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7" w15:restartNumberingAfterBreak="0">
    <w:nsid w:val="5BC432D2"/>
    <w:multiLevelType w:val="hybridMultilevel"/>
    <w:tmpl w:val="A41C6E8C"/>
    <w:lvl w:ilvl="0" w:tplc="A6E2D588">
      <w:start w:val="6"/>
      <w:numFmt w:val="bullet"/>
      <w:lvlText w:val="-"/>
      <w:lvlJc w:val="left"/>
      <w:pPr>
        <w:ind w:left="150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E8E2F75"/>
    <w:multiLevelType w:val="hybridMultilevel"/>
    <w:tmpl w:val="836E76B2"/>
    <w:lvl w:ilvl="0" w:tplc="A6E2D588">
      <w:start w:val="6"/>
      <w:numFmt w:val="bullet"/>
      <w:lvlText w:val="-"/>
      <w:lvlJc w:val="left"/>
      <w:pPr>
        <w:ind w:left="1500" w:hanging="360"/>
      </w:pPr>
      <w:rPr>
        <w:rFonts w:ascii="Times New Roman" w:eastAsia="Times New Roman" w:hAnsi="Times New Roman" w:cs="Times New Roman"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39" w15:restartNumberingAfterBreak="0">
    <w:nsid w:val="60EF771F"/>
    <w:multiLevelType w:val="hybridMultilevel"/>
    <w:tmpl w:val="67348F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2FA4CCF"/>
    <w:multiLevelType w:val="hybridMultilevel"/>
    <w:tmpl w:val="B2D8AE68"/>
    <w:lvl w:ilvl="0" w:tplc="F5EAC98C">
      <w:start w:val="1"/>
      <w:numFmt w:val="bullet"/>
      <w:lvlText w:val="–"/>
      <w:lvlJc w:val="left"/>
      <w:pPr>
        <w:tabs>
          <w:tab w:val="num" w:pos="360"/>
        </w:tabs>
        <w:ind w:left="360" w:hanging="360"/>
      </w:pPr>
      <w:rPr>
        <w:rFonts w:ascii="Times New Roman" w:hAnsi="Times New Roman" w:cs="Times New Roman" w:hint="default"/>
      </w:rPr>
    </w:lvl>
    <w:lvl w:ilvl="1" w:tplc="4D9011D8" w:tentative="1">
      <w:start w:val="1"/>
      <w:numFmt w:val="bullet"/>
      <w:lvlText w:val=""/>
      <w:lvlJc w:val="left"/>
      <w:pPr>
        <w:tabs>
          <w:tab w:val="num" w:pos="1080"/>
        </w:tabs>
        <w:ind w:left="1080" w:hanging="360"/>
      </w:pPr>
      <w:rPr>
        <w:rFonts w:ascii="Wingdings" w:hAnsi="Wingdings" w:hint="default"/>
      </w:rPr>
    </w:lvl>
    <w:lvl w:ilvl="2" w:tplc="08087830" w:tentative="1">
      <w:start w:val="1"/>
      <w:numFmt w:val="bullet"/>
      <w:lvlText w:val=""/>
      <w:lvlJc w:val="left"/>
      <w:pPr>
        <w:tabs>
          <w:tab w:val="num" w:pos="1800"/>
        </w:tabs>
        <w:ind w:left="1800" w:hanging="360"/>
      </w:pPr>
      <w:rPr>
        <w:rFonts w:ascii="Wingdings" w:hAnsi="Wingdings" w:hint="default"/>
      </w:rPr>
    </w:lvl>
    <w:lvl w:ilvl="3" w:tplc="677695AA" w:tentative="1">
      <w:start w:val="1"/>
      <w:numFmt w:val="bullet"/>
      <w:lvlText w:val=""/>
      <w:lvlJc w:val="left"/>
      <w:pPr>
        <w:tabs>
          <w:tab w:val="num" w:pos="2520"/>
        </w:tabs>
        <w:ind w:left="2520" w:hanging="360"/>
      </w:pPr>
      <w:rPr>
        <w:rFonts w:ascii="Wingdings" w:hAnsi="Wingdings" w:hint="default"/>
      </w:rPr>
    </w:lvl>
    <w:lvl w:ilvl="4" w:tplc="1C10F366" w:tentative="1">
      <w:start w:val="1"/>
      <w:numFmt w:val="bullet"/>
      <w:lvlText w:val=""/>
      <w:lvlJc w:val="left"/>
      <w:pPr>
        <w:tabs>
          <w:tab w:val="num" w:pos="3240"/>
        </w:tabs>
        <w:ind w:left="3240" w:hanging="360"/>
      </w:pPr>
      <w:rPr>
        <w:rFonts w:ascii="Wingdings" w:hAnsi="Wingdings" w:hint="default"/>
      </w:rPr>
    </w:lvl>
    <w:lvl w:ilvl="5" w:tplc="18E8F476" w:tentative="1">
      <w:start w:val="1"/>
      <w:numFmt w:val="bullet"/>
      <w:lvlText w:val=""/>
      <w:lvlJc w:val="left"/>
      <w:pPr>
        <w:tabs>
          <w:tab w:val="num" w:pos="3960"/>
        </w:tabs>
        <w:ind w:left="3960" w:hanging="360"/>
      </w:pPr>
      <w:rPr>
        <w:rFonts w:ascii="Wingdings" w:hAnsi="Wingdings" w:hint="default"/>
      </w:rPr>
    </w:lvl>
    <w:lvl w:ilvl="6" w:tplc="D66A1BD4" w:tentative="1">
      <w:start w:val="1"/>
      <w:numFmt w:val="bullet"/>
      <w:lvlText w:val=""/>
      <w:lvlJc w:val="left"/>
      <w:pPr>
        <w:tabs>
          <w:tab w:val="num" w:pos="4680"/>
        </w:tabs>
        <w:ind w:left="4680" w:hanging="360"/>
      </w:pPr>
      <w:rPr>
        <w:rFonts w:ascii="Wingdings" w:hAnsi="Wingdings" w:hint="default"/>
      </w:rPr>
    </w:lvl>
    <w:lvl w:ilvl="7" w:tplc="E8024746" w:tentative="1">
      <w:start w:val="1"/>
      <w:numFmt w:val="bullet"/>
      <w:lvlText w:val=""/>
      <w:lvlJc w:val="left"/>
      <w:pPr>
        <w:tabs>
          <w:tab w:val="num" w:pos="5400"/>
        </w:tabs>
        <w:ind w:left="5400" w:hanging="360"/>
      </w:pPr>
      <w:rPr>
        <w:rFonts w:ascii="Wingdings" w:hAnsi="Wingdings" w:hint="default"/>
      </w:rPr>
    </w:lvl>
    <w:lvl w:ilvl="8" w:tplc="B0CC1670" w:tentative="1">
      <w:start w:val="1"/>
      <w:numFmt w:val="bullet"/>
      <w:lvlText w:val=""/>
      <w:lvlJc w:val="left"/>
      <w:pPr>
        <w:tabs>
          <w:tab w:val="num" w:pos="6120"/>
        </w:tabs>
        <w:ind w:left="6120" w:hanging="360"/>
      </w:pPr>
      <w:rPr>
        <w:rFonts w:ascii="Wingdings" w:hAnsi="Wingdings" w:hint="default"/>
      </w:rPr>
    </w:lvl>
  </w:abstractNum>
  <w:abstractNum w:abstractNumId="41" w15:restartNumberingAfterBreak="0">
    <w:nsid w:val="65F061D3"/>
    <w:multiLevelType w:val="hybridMultilevel"/>
    <w:tmpl w:val="57FAA1D6"/>
    <w:lvl w:ilvl="0" w:tplc="313E9610">
      <w:start w:val="1"/>
      <w:numFmt w:val="bullet"/>
      <w:lvlText w:val=""/>
      <w:lvlJc w:val="left"/>
      <w:pPr>
        <w:tabs>
          <w:tab w:val="num" w:pos="360"/>
        </w:tabs>
        <w:ind w:left="360" w:hanging="360"/>
      </w:pPr>
      <w:rPr>
        <w:rFonts w:ascii="Wingdings" w:hAnsi="Wingdings" w:hint="default"/>
      </w:rPr>
    </w:lvl>
    <w:lvl w:ilvl="1" w:tplc="4D9011D8" w:tentative="1">
      <w:start w:val="1"/>
      <w:numFmt w:val="bullet"/>
      <w:lvlText w:val=""/>
      <w:lvlJc w:val="left"/>
      <w:pPr>
        <w:tabs>
          <w:tab w:val="num" w:pos="1080"/>
        </w:tabs>
        <w:ind w:left="1080" w:hanging="360"/>
      </w:pPr>
      <w:rPr>
        <w:rFonts w:ascii="Wingdings" w:hAnsi="Wingdings" w:hint="default"/>
      </w:rPr>
    </w:lvl>
    <w:lvl w:ilvl="2" w:tplc="08087830" w:tentative="1">
      <w:start w:val="1"/>
      <w:numFmt w:val="bullet"/>
      <w:lvlText w:val=""/>
      <w:lvlJc w:val="left"/>
      <w:pPr>
        <w:tabs>
          <w:tab w:val="num" w:pos="1800"/>
        </w:tabs>
        <w:ind w:left="1800" w:hanging="360"/>
      </w:pPr>
      <w:rPr>
        <w:rFonts w:ascii="Wingdings" w:hAnsi="Wingdings" w:hint="default"/>
      </w:rPr>
    </w:lvl>
    <w:lvl w:ilvl="3" w:tplc="677695AA" w:tentative="1">
      <w:start w:val="1"/>
      <w:numFmt w:val="bullet"/>
      <w:lvlText w:val=""/>
      <w:lvlJc w:val="left"/>
      <w:pPr>
        <w:tabs>
          <w:tab w:val="num" w:pos="2520"/>
        </w:tabs>
        <w:ind w:left="2520" w:hanging="360"/>
      </w:pPr>
      <w:rPr>
        <w:rFonts w:ascii="Wingdings" w:hAnsi="Wingdings" w:hint="default"/>
      </w:rPr>
    </w:lvl>
    <w:lvl w:ilvl="4" w:tplc="1C10F366" w:tentative="1">
      <w:start w:val="1"/>
      <w:numFmt w:val="bullet"/>
      <w:lvlText w:val=""/>
      <w:lvlJc w:val="left"/>
      <w:pPr>
        <w:tabs>
          <w:tab w:val="num" w:pos="3240"/>
        </w:tabs>
        <w:ind w:left="3240" w:hanging="360"/>
      </w:pPr>
      <w:rPr>
        <w:rFonts w:ascii="Wingdings" w:hAnsi="Wingdings" w:hint="default"/>
      </w:rPr>
    </w:lvl>
    <w:lvl w:ilvl="5" w:tplc="18E8F476" w:tentative="1">
      <w:start w:val="1"/>
      <w:numFmt w:val="bullet"/>
      <w:lvlText w:val=""/>
      <w:lvlJc w:val="left"/>
      <w:pPr>
        <w:tabs>
          <w:tab w:val="num" w:pos="3960"/>
        </w:tabs>
        <w:ind w:left="3960" w:hanging="360"/>
      </w:pPr>
      <w:rPr>
        <w:rFonts w:ascii="Wingdings" w:hAnsi="Wingdings" w:hint="default"/>
      </w:rPr>
    </w:lvl>
    <w:lvl w:ilvl="6" w:tplc="D66A1BD4" w:tentative="1">
      <w:start w:val="1"/>
      <w:numFmt w:val="bullet"/>
      <w:lvlText w:val=""/>
      <w:lvlJc w:val="left"/>
      <w:pPr>
        <w:tabs>
          <w:tab w:val="num" w:pos="4680"/>
        </w:tabs>
        <w:ind w:left="4680" w:hanging="360"/>
      </w:pPr>
      <w:rPr>
        <w:rFonts w:ascii="Wingdings" w:hAnsi="Wingdings" w:hint="default"/>
      </w:rPr>
    </w:lvl>
    <w:lvl w:ilvl="7" w:tplc="E8024746" w:tentative="1">
      <w:start w:val="1"/>
      <w:numFmt w:val="bullet"/>
      <w:lvlText w:val=""/>
      <w:lvlJc w:val="left"/>
      <w:pPr>
        <w:tabs>
          <w:tab w:val="num" w:pos="5400"/>
        </w:tabs>
        <w:ind w:left="5400" w:hanging="360"/>
      </w:pPr>
      <w:rPr>
        <w:rFonts w:ascii="Wingdings" w:hAnsi="Wingdings" w:hint="default"/>
      </w:rPr>
    </w:lvl>
    <w:lvl w:ilvl="8" w:tplc="B0CC1670" w:tentative="1">
      <w:start w:val="1"/>
      <w:numFmt w:val="bullet"/>
      <w:lvlText w:val=""/>
      <w:lvlJc w:val="left"/>
      <w:pPr>
        <w:tabs>
          <w:tab w:val="num" w:pos="6120"/>
        </w:tabs>
        <w:ind w:left="6120" w:hanging="360"/>
      </w:pPr>
      <w:rPr>
        <w:rFonts w:ascii="Wingdings" w:hAnsi="Wingdings" w:hint="default"/>
      </w:rPr>
    </w:lvl>
  </w:abstractNum>
  <w:abstractNum w:abstractNumId="42" w15:restartNumberingAfterBreak="0">
    <w:nsid w:val="6BE914ED"/>
    <w:multiLevelType w:val="hybridMultilevel"/>
    <w:tmpl w:val="1A94FA82"/>
    <w:lvl w:ilvl="0" w:tplc="47560D58">
      <w:start w:val="1"/>
      <w:numFmt w:val="bullet"/>
      <w:lvlText w:val="-"/>
      <w:lvlJc w:val="left"/>
      <w:pPr>
        <w:ind w:left="720" w:hanging="360"/>
      </w:pPr>
      <w:rPr>
        <w:rFonts w:ascii="Times New Roman" w:hAnsi="Times New Roman" w:cs="Times New Roman"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3" w15:restartNumberingAfterBreak="0">
    <w:nsid w:val="6D4131F0"/>
    <w:multiLevelType w:val="hybridMultilevel"/>
    <w:tmpl w:val="923C6D96"/>
    <w:lvl w:ilvl="0" w:tplc="F5EAC98C">
      <w:start w:val="1"/>
      <w:numFmt w:val="bullet"/>
      <w:lvlText w:val="–"/>
      <w:lvlJc w:val="left"/>
      <w:pPr>
        <w:tabs>
          <w:tab w:val="num" w:pos="720"/>
        </w:tabs>
        <w:ind w:left="720" w:hanging="360"/>
      </w:pPr>
      <w:rPr>
        <w:rFonts w:ascii="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6F1C4FCE"/>
    <w:multiLevelType w:val="hybridMultilevel"/>
    <w:tmpl w:val="B41AFA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B0B2DC3"/>
    <w:multiLevelType w:val="hybridMultilevel"/>
    <w:tmpl w:val="89B6AD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C483913"/>
    <w:multiLevelType w:val="hybridMultilevel"/>
    <w:tmpl w:val="9C7236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E333FED"/>
    <w:multiLevelType w:val="hybridMultilevel"/>
    <w:tmpl w:val="36F007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2"/>
  </w:num>
  <w:num w:numId="2">
    <w:abstractNumId w:val="26"/>
  </w:num>
  <w:num w:numId="3">
    <w:abstractNumId w:val="16"/>
  </w:num>
  <w:num w:numId="4">
    <w:abstractNumId w:val="41"/>
  </w:num>
  <w:num w:numId="5">
    <w:abstractNumId w:val="43"/>
  </w:num>
  <w:num w:numId="6">
    <w:abstractNumId w:val="38"/>
  </w:num>
  <w:num w:numId="7">
    <w:abstractNumId w:val="35"/>
  </w:num>
  <w:num w:numId="8">
    <w:abstractNumId w:val="37"/>
  </w:num>
  <w:num w:numId="9">
    <w:abstractNumId w:val="10"/>
  </w:num>
  <w:num w:numId="10">
    <w:abstractNumId w:val="31"/>
  </w:num>
  <w:num w:numId="11">
    <w:abstractNumId w:val="1"/>
  </w:num>
  <w:num w:numId="12">
    <w:abstractNumId w:val="40"/>
  </w:num>
  <w:num w:numId="13">
    <w:abstractNumId w:val="21"/>
  </w:num>
  <w:num w:numId="14">
    <w:abstractNumId w:val="39"/>
  </w:num>
  <w:num w:numId="15">
    <w:abstractNumId w:val="29"/>
  </w:num>
  <w:num w:numId="16">
    <w:abstractNumId w:val="12"/>
  </w:num>
  <w:num w:numId="17">
    <w:abstractNumId w:val="23"/>
  </w:num>
  <w:num w:numId="18">
    <w:abstractNumId w:val="30"/>
  </w:num>
  <w:num w:numId="19">
    <w:abstractNumId w:val="18"/>
  </w:num>
  <w:num w:numId="20">
    <w:abstractNumId w:val="13"/>
  </w:num>
  <w:num w:numId="21">
    <w:abstractNumId w:val="42"/>
  </w:num>
  <w:num w:numId="22">
    <w:abstractNumId w:val="24"/>
  </w:num>
  <w:num w:numId="23">
    <w:abstractNumId w:val="15"/>
  </w:num>
  <w:num w:numId="24">
    <w:abstractNumId w:val="25"/>
  </w:num>
  <w:num w:numId="25">
    <w:abstractNumId w:val="20"/>
  </w:num>
  <w:num w:numId="26">
    <w:abstractNumId w:val="44"/>
  </w:num>
  <w:num w:numId="27">
    <w:abstractNumId w:val="11"/>
  </w:num>
  <w:num w:numId="28">
    <w:abstractNumId w:val="47"/>
  </w:num>
  <w:num w:numId="29">
    <w:abstractNumId w:val="17"/>
  </w:num>
  <w:num w:numId="30">
    <w:abstractNumId w:val="45"/>
  </w:num>
  <w:num w:numId="31">
    <w:abstractNumId w:val="14"/>
  </w:num>
  <w:num w:numId="3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7"/>
  </w:num>
  <w:num w:numId="34">
    <w:abstractNumId w:val="19"/>
  </w:num>
  <w:num w:numId="35">
    <w:abstractNumId w:val="36"/>
  </w:num>
  <w:num w:numId="36">
    <w:abstractNumId w:val="32"/>
  </w:num>
  <w:num w:numId="37">
    <w:abstractNumId w:val="33"/>
  </w:num>
  <w:num w:numId="38">
    <w:abstractNumId w:val="46"/>
  </w:num>
  <w:num w:numId="39">
    <w:abstractNumId w:val="28"/>
  </w:num>
  <w:num w:numId="40">
    <w:abstractNumId w:val="34"/>
  </w:num>
  <w:num w:numId="41">
    <w:abstractNumId w:val="9"/>
  </w:num>
  <w:num w:numId="42">
    <w:abstractNumId w:val="7"/>
  </w:num>
  <w:num w:numId="43">
    <w:abstractNumId w:val="6"/>
  </w:num>
  <w:num w:numId="44">
    <w:abstractNumId w:val="5"/>
  </w:num>
  <w:num w:numId="45">
    <w:abstractNumId w:val="4"/>
  </w:num>
  <w:num w:numId="46">
    <w:abstractNumId w:val="8"/>
  </w:num>
  <w:num w:numId="47">
    <w:abstractNumId w:val="3"/>
  </w:num>
  <w:num w:numId="48">
    <w:abstractNumId w:val="2"/>
  </w:num>
  <w:num w:numId="4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ctiveWritingStyle w:appName="MSWord" w:lang="en-AU" w:vendorID="64" w:dllVersion="131078" w:nlCheck="1" w:checkStyle="1"/>
  <w:activeWritingStyle w:appName="MSWord" w:lang="es-ES"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38913">
      <o:colormru v:ext="edit" colors="#d62a47"/>
      <o:colormenu v:ext="edit" strokecolor="#d62a4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4ED7"/>
    <w:rsid w:val="00011B29"/>
    <w:rsid w:val="00013002"/>
    <w:rsid w:val="0001551F"/>
    <w:rsid w:val="00023E30"/>
    <w:rsid w:val="0004250D"/>
    <w:rsid w:val="00045F25"/>
    <w:rsid w:val="00050D41"/>
    <w:rsid w:val="00072484"/>
    <w:rsid w:val="00081C0B"/>
    <w:rsid w:val="0009150E"/>
    <w:rsid w:val="00096612"/>
    <w:rsid w:val="000A1326"/>
    <w:rsid w:val="000B7683"/>
    <w:rsid w:val="000B7B53"/>
    <w:rsid w:val="000C0413"/>
    <w:rsid w:val="000C3624"/>
    <w:rsid w:val="000E4FD1"/>
    <w:rsid w:val="000F3C25"/>
    <w:rsid w:val="000F6FC4"/>
    <w:rsid w:val="00102934"/>
    <w:rsid w:val="001141D1"/>
    <w:rsid w:val="00135F00"/>
    <w:rsid w:val="00147110"/>
    <w:rsid w:val="001565A8"/>
    <w:rsid w:val="0015753C"/>
    <w:rsid w:val="00164940"/>
    <w:rsid w:val="001778F6"/>
    <w:rsid w:val="00183256"/>
    <w:rsid w:val="00191F52"/>
    <w:rsid w:val="00194A9B"/>
    <w:rsid w:val="001950C6"/>
    <w:rsid w:val="001A5259"/>
    <w:rsid w:val="001C2B41"/>
    <w:rsid w:val="001C70F6"/>
    <w:rsid w:val="001E2A43"/>
    <w:rsid w:val="001E2DC1"/>
    <w:rsid w:val="001F136C"/>
    <w:rsid w:val="00201545"/>
    <w:rsid w:val="002058CE"/>
    <w:rsid w:val="00205AEB"/>
    <w:rsid w:val="00205DB5"/>
    <w:rsid w:val="002165F1"/>
    <w:rsid w:val="00247681"/>
    <w:rsid w:val="002558DC"/>
    <w:rsid w:val="002657D9"/>
    <w:rsid w:val="00273EE7"/>
    <w:rsid w:val="00276D21"/>
    <w:rsid w:val="00280CD5"/>
    <w:rsid w:val="0028533D"/>
    <w:rsid w:val="00287193"/>
    <w:rsid w:val="00296D7F"/>
    <w:rsid w:val="00297C87"/>
    <w:rsid w:val="00297D43"/>
    <w:rsid w:val="002A523D"/>
    <w:rsid w:val="002A5406"/>
    <w:rsid w:val="002B32C9"/>
    <w:rsid w:val="002B3CF6"/>
    <w:rsid w:val="002C768A"/>
    <w:rsid w:val="002D1160"/>
    <w:rsid w:val="002D5579"/>
    <w:rsid w:val="002D76C4"/>
    <w:rsid w:val="002E2165"/>
    <w:rsid w:val="002F5424"/>
    <w:rsid w:val="0030076D"/>
    <w:rsid w:val="003346BC"/>
    <w:rsid w:val="00345CCD"/>
    <w:rsid w:val="00351573"/>
    <w:rsid w:val="00354666"/>
    <w:rsid w:val="003571CE"/>
    <w:rsid w:val="00357282"/>
    <w:rsid w:val="00357F79"/>
    <w:rsid w:val="00362ED1"/>
    <w:rsid w:val="003710AD"/>
    <w:rsid w:val="00382E8A"/>
    <w:rsid w:val="003A4A65"/>
    <w:rsid w:val="003A6B2B"/>
    <w:rsid w:val="003A78D2"/>
    <w:rsid w:val="003F6005"/>
    <w:rsid w:val="0040748A"/>
    <w:rsid w:val="00420DFD"/>
    <w:rsid w:val="004319C1"/>
    <w:rsid w:val="00464295"/>
    <w:rsid w:val="00470E28"/>
    <w:rsid w:val="004720FC"/>
    <w:rsid w:val="00474D58"/>
    <w:rsid w:val="00475F62"/>
    <w:rsid w:val="00485A0A"/>
    <w:rsid w:val="004926F7"/>
    <w:rsid w:val="004934C5"/>
    <w:rsid w:val="004A2B9D"/>
    <w:rsid w:val="004B1C7F"/>
    <w:rsid w:val="004B233A"/>
    <w:rsid w:val="004B7B45"/>
    <w:rsid w:val="004E123E"/>
    <w:rsid w:val="004E5303"/>
    <w:rsid w:val="00505B99"/>
    <w:rsid w:val="00505FB1"/>
    <w:rsid w:val="00505FB4"/>
    <w:rsid w:val="00522E85"/>
    <w:rsid w:val="00526063"/>
    <w:rsid w:val="005406C6"/>
    <w:rsid w:val="005439C7"/>
    <w:rsid w:val="00556548"/>
    <w:rsid w:val="005600C9"/>
    <w:rsid w:val="005632C0"/>
    <w:rsid w:val="00570CF8"/>
    <w:rsid w:val="005719E8"/>
    <w:rsid w:val="00586EF8"/>
    <w:rsid w:val="005870B0"/>
    <w:rsid w:val="0059060F"/>
    <w:rsid w:val="00592856"/>
    <w:rsid w:val="005A2989"/>
    <w:rsid w:val="005A791E"/>
    <w:rsid w:val="005B49AB"/>
    <w:rsid w:val="005B50E7"/>
    <w:rsid w:val="005B5AAF"/>
    <w:rsid w:val="005D41C4"/>
    <w:rsid w:val="005D44C1"/>
    <w:rsid w:val="005D58F4"/>
    <w:rsid w:val="005E4FFC"/>
    <w:rsid w:val="005E7B4F"/>
    <w:rsid w:val="005F6A17"/>
    <w:rsid w:val="0060391F"/>
    <w:rsid w:val="00604C17"/>
    <w:rsid w:val="00607D68"/>
    <w:rsid w:val="00612ECF"/>
    <w:rsid w:val="006149B1"/>
    <w:rsid w:val="006163D7"/>
    <w:rsid w:val="00622E84"/>
    <w:rsid w:val="0064346B"/>
    <w:rsid w:val="00654722"/>
    <w:rsid w:val="00654F28"/>
    <w:rsid w:val="00674EE1"/>
    <w:rsid w:val="00676E66"/>
    <w:rsid w:val="00680D2B"/>
    <w:rsid w:val="00681B32"/>
    <w:rsid w:val="006972CE"/>
    <w:rsid w:val="006A1F02"/>
    <w:rsid w:val="006B5E9C"/>
    <w:rsid w:val="006E2037"/>
    <w:rsid w:val="006E3EE7"/>
    <w:rsid w:val="006F75F0"/>
    <w:rsid w:val="00704AF9"/>
    <w:rsid w:val="00712870"/>
    <w:rsid w:val="00716FBC"/>
    <w:rsid w:val="007208E3"/>
    <w:rsid w:val="00720F7B"/>
    <w:rsid w:val="007323B2"/>
    <w:rsid w:val="007323D5"/>
    <w:rsid w:val="00743D85"/>
    <w:rsid w:val="0074518F"/>
    <w:rsid w:val="00752FD3"/>
    <w:rsid w:val="00753CF4"/>
    <w:rsid w:val="007565CC"/>
    <w:rsid w:val="00763B9A"/>
    <w:rsid w:val="0077606A"/>
    <w:rsid w:val="00780DA8"/>
    <w:rsid w:val="00783742"/>
    <w:rsid w:val="0079556C"/>
    <w:rsid w:val="007A4F79"/>
    <w:rsid w:val="007A57F4"/>
    <w:rsid w:val="007A6AA8"/>
    <w:rsid w:val="007B203C"/>
    <w:rsid w:val="007C2459"/>
    <w:rsid w:val="007C5CE9"/>
    <w:rsid w:val="007E1F28"/>
    <w:rsid w:val="007E7899"/>
    <w:rsid w:val="008058E0"/>
    <w:rsid w:val="00811FBD"/>
    <w:rsid w:val="0082057C"/>
    <w:rsid w:val="008211E9"/>
    <w:rsid w:val="008310C9"/>
    <w:rsid w:val="00834C73"/>
    <w:rsid w:val="00836298"/>
    <w:rsid w:val="0086763F"/>
    <w:rsid w:val="00870342"/>
    <w:rsid w:val="0087251C"/>
    <w:rsid w:val="008815AC"/>
    <w:rsid w:val="00882A8B"/>
    <w:rsid w:val="008934F4"/>
    <w:rsid w:val="008B2CC6"/>
    <w:rsid w:val="008B5F1C"/>
    <w:rsid w:val="008C7848"/>
    <w:rsid w:val="008D3D8D"/>
    <w:rsid w:val="008E2F48"/>
    <w:rsid w:val="008F05EE"/>
    <w:rsid w:val="009030CC"/>
    <w:rsid w:val="00917AF2"/>
    <w:rsid w:val="0092418A"/>
    <w:rsid w:val="00931531"/>
    <w:rsid w:val="00934ED7"/>
    <w:rsid w:val="00936035"/>
    <w:rsid w:val="00941CC1"/>
    <w:rsid w:val="009474D9"/>
    <w:rsid w:val="009543C3"/>
    <w:rsid w:val="00966C1E"/>
    <w:rsid w:val="00966E1B"/>
    <w:rsid w:val="009A351D"/>
    <w:rsid w:val="009D2B9A"/>
    <w:rsid w:val="009F2D2C"/>
    <w:rsid w:val="00A10F3A"/>
    <w:rsid w:val="00A4000C"/>
    <w:rsid w:val="00A54559"/>
    <w:rsid w:val="00A56CDD"/>
    <w:rsid w:val="00A6617B"/>
    <w:rsid w:val="00A71FE5"/>
    <w:rsid w:val="00A727E4"/>
    <w:rsid w:val="00A91362"/>
    <w:rsid w:val="00A91C64"/>
    <w:rsid w:val="00AA0169"/>
    <w:rsid w:val="00AA3AD8"/>
    <w:rsid w:val="00AB0DC8"/>
    <w:rsid w:val="00AB17C7"/>
    <w:rsid w:val="00AB5FAB"/>
    <w:rsid w:val="00AC0CF6"/>
    <w:rsid w:val="00AC1323"/>
    <w:rsid w:val="00AC3946"/>
    <w:rsid w:val="00AD26B8"/>
    <w:rsid w:val="00AF3A27"/>
    <w:rsid w:val="00B033C8"/>
    <w:rsid w:val="00B036D9"/>
    <w:rsid w:val="00B066CF"/>
    <w:rsid w:val="00B11D5D"/>
    <w:rsid w:val="00B257C1"/>
    <w:rsid w:val="00B26591"/>
    <w:rsid w:val="00B27711"/>
    <w:rsid w:val="00B33425"/>
    <w:rsid w:val="00B43528"/>
    <w:rsid w:val="00B44E24"/>
    <w:rsid w:val="00B47809"/>
    <w:rsid w:val="00B515F8"/>
    <w:rsid w:val="00B54ECC"/>
    <w:rsid w:val="00B567BC"/>
    <w:rsid w:val="00B5792D"/>
    <w:rsid w:val="00B61918"/>
    <w:rsid w:val="00B714F3"/>
    <w:rsid w:val="00B75A37"/>
    <w:rsid w:val="00B77CA1"/>
    <w:rsid w:val="00B94218"/>
    <w:rsid w:val="00BA1D8B"/>
    <w:rsid w:val="00BA28E1"/>
    <w:rsid w:val="00BA5680"/>
    <w:rsid w:val="00BB0C80"/>
    <w:rsid w:val="00BC5D77"/>
    <w:rsid w:val="00BC6FC2"/>
    <w:rsid w:val="00BD3F5C"/>
    <w:rsid w:val="00BE46FB"/>
    <w:rsid w:val="00BE5B84"/>
    <w:rsid w:val="00BF0AEE"/>
    <w:rsid w:val="00BF15C3"/>
    <w:rsid w:val="00BF487A"/>
    <w:rsid w:val="00C012A6"/>
    <w:rsid w:val="00C153D4"/>
    <w:rsid w:val="00C15DC8"/>
    <w:rsid w:val="00C46BD9"/>
    <w:rsid w:val="00C52E0A"/>
    <w:rsid w:val="00C55258"/>
    <w:rsid w:val="00C728FC"/>
    <w:rsid w:val="00C73560"/>
    <w:rsid w:val="00C7761D"/>
    <w:rsid w:val="00C80338"/>
    <w:rsid w:val="00C93B65"/>
    <w:rsid w:val="00CA109F"/>
    <w:rsid w:val="00CB08E1"/>
    <w:rsid w:val="00CB0F14"/>
    <w:rsid w:val="00CB47A0"/>
    <w:rsid w:val="00CB60A4"/>
    <w:rsid w:val="00CC2403"/>
    <w:rsid w:val="00CD33AF"/>
    <w:rsid w:val="00CD58B5"/>
    <w:rsid w:val="00CD659B"/>
    <w:rsid w:val="00CD7A62"/>
    <w:rsid w:val="00CF0D45"/>
    <w:rsid w:val="00CF34B5"/>
    <w:rsid w:val="00D0034D"/>
    <w:rsid w:val="00D10CF1"/>
    <w:rsid w:val="00D503C9"/>
    <w:rsid w:val="00D50B43"/>
    <w:rsid w:val="00D57367"/>
    <w:rsid w:val="00D722EF"/>
    <w:rsid w:val="00D73486"/>
    <w:rsid w:val="00D73FBE"/>
    <w:rsid w:val="00D8150A"/>
    <w:rsid w:val="00D83331"/>
    <w:rsid w:val="00D866C2"/>
    <w:rsid w:val="00D91F7F"/>
    <w:rsid w:val="00DB4F6A"/>
    <w:rsid w:val="00DC6F5D"/>
    <w:rsid w:val="00DF087C"/>
    <w:rsid w:val="00DF1C4D"/>
    <w:rsid w:val="00DF4176"/>
    <w:rsid w:val="00E01F1A"/>
    <w:rsid w:val="00E05074"/>
    <w:rsid w:val="00E06103"/>
    <w:rsid w:val="00E17240"/>
    <w:rsid w:val="00E1785F"/>
    <w:rsid w:val="00E47446"/>
    <w:rsid w:val="00E520F4"/>
    <w:rsid w:val="00E56D44"/>
    <w:rsid w:val="00E6488C"/>
    <w:rsid w:val="00E66A68"/>
    <w:rsid w:val="00E7610E"/>
    <w:rsid w:val="00E83CDE"/>
    <w:rsid w:val="00E84BB6"/>
    <w:rsid w:val="00E940C2"/>
    <w:rsid w:val="00EB57D0"/>
    <w:rsid w:val="00EC62B0"/>
    <w:rsid w:val="00ED13C2"/>
    <w:rsid w:val="00ED683F"/>
    <w:rsid w:val="00ED7C68"/>
    <w:rsid w:val="00EE5E0F"/>
    <w:rsid w:val="00EF2930"/>
    <w:rsid w:val="00EF3EB8"/>
    <w:rsid w:val="00EF7B19"/>
    <w:rsid w:val="00F103A9"/>
    <w:rsid w:val="00F12544"/>
    <w:rsid w:val="00F20231"/>
    <w:rsid w:val="00F261A0"/>
    <w:rsid w:val="00F27103"/>
    <w:rsid w:val="00F30C9B"/>
    <w:rsid w:val="00F354B1"/>
    <w:rsid w:val="00F35606"/>
    <w:rsid w:val="00F36316"/>
    <w:rsid w:val="00F4111B"/>
    <w:rsid w:val="00F51D9F"/>
    <w:rsid w:val="00F5350E"/>
    <w:rsid w:val="00F545E6"/>
    <w:rsid w:val="00F72869"/>
    <w:rsid w:val="00F77437"/>
    <w:rsid w:val="00F84821"/>
    <w:rsid w:val="00F84F54"/>
    <w:rsid w:val="00F86FB5"/>
    <w:rsid w:val="00F87DDA"/>
    <w:rsid w:val="00F90896"/>
    <w:rsid w:val="00FA170F"/>
    <w:rsid w:val="00FB0E4E"/>
    <w:rsid w:val="00FB3C66"/>
    <w:rsid w:val="00FE79FE"/>
    <w:rsid w:val="00FF3FB2"/>
    <w:rsid w:val="00FF4823"/>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8913">
      <o:colormru v:ext="edit" colors="#d62a47"/>
      <o:colormenu v:ext="edit" strokecolor="#d62a47"/>
    </o:shapedefaults>
    <o:shapelayout v:ext="edit">
      <o:idmap v:ext="edit" data="1"/>
    </o:shapelayout>
  </w:shapeDefaults>
  <w:decimalSymbol w:val="."/>
  <w:listSeparator w:val=","/>
  <w15:docId w15:val="{EE967AD6-40AA-4B2D-AEBE-4309BB97F0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iPriority="99" w:unhideWhenUsed="1"/>
    <w:lsdException w:name="Body Text Indent 2" w:semiHidden="1" w:uiPriority="99"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1"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A523D"/>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2A523D"/>
    <w:pPr>
      <w:keepNext/>
      <w:keepLines/>
      <w:spacing w:before="480"/>
      <w:ind w:left="794" w:hanging="794"/>
      <w:outlineLvl w:val="0"/>
    </w:pPr>
    <w:rPr>
      <w:b/>
    </w:rPr>
  </w:style>
  <w:style w:type="paragraph" w:styleId="Heading2">
    <w:name w:val="heading 2"/>
    <w:basedOn w:val="Heading1"/>
    <w:next w:val="Normal"/>
    <w:link w:val="Heading2Char"/>
    <w:qFormat/>
    <w:rsid w:val="002A523D"/>
    <w:pPr>
      <w:spacing w:before="320"/>
      <w:outlineLvl w:val="1"/>
    </w:pPr>
  </w:style>
  <w:style w:type="paragraph" w:styleId="Heading3">
    <w:name w:val="heading 3"/>
    <w:basedOn w:val="Heading1"/>
    <w:next w:val="Normal"/>
    <w:link w:val="Heading3Char"/>
    <w:qFormat/>
    <w:rsid w:val="002A523D"/>
    <w:pPr>
      <w:spacing w:before="200"/>
      <w:outlineLvl w:val="2"/>
    </w:pPr>
  </w:style>
  <w:style w:type="paragraph" w:styleId="Heading4">
    <w:name w:val="heading 4"/>
    <w:basedOn w:val="Heading3"/>
    <w:next w:val="Normal"/>
    <w:link w:val="Heading4Char"/>
    <w:qFormat/>
    <w:rsid w:val="002A523D"/>
    <w:pPr>
      <w:tabs>
        <w:tab w:val="clear" w:pos="794"/>
        <w:tab w:val="left" w:pos="992"/>
      </w:tabs>
      <w:ind w:left="992" w:hanging="992"/>
      <w:outlineLvl w:val="3"/>
    </w:pPr>
  </w:style>
  <w:style w:type="paragraph" w:styleId="Heading5">
    <w:name w:val="heading 5"/>
    <w:basedOn w:val="Heading4"/>
    <w:next w:val="Normal"/>
    <w:link w:val="Heading5Char"/>
    <w:qFormat/>
    <w:rsid w:val="002A523D"/>
    <w:pPr>
      <w:outlineLvl w:val="4"/>
    </w:pPr>
  </w:style>
  <w:style w:type="paragraph" w:styleId="Heading6">
    <w:name w:val="heading 6"/>
    <w:basedOn w:val="Heading4"/>
    <w:next w:val="Normal"/>
    <w:link w:val="Heading6Char"/>
    <w:qFormat/>
    <w:rsid w:val="002A523D"/>
    <w:pPr>
      <w:tabs>
        <w:tab w:val="clear" w:pos="992"/>
        <w:tab w:val="clear" w:pos="1191"/>
      </w:tabs>
      <w:ind w:left="1588" w:hanging="1588"/>
      <w:outlineLvl w:val="5"/>
    </w:pPr>
  </w:style>
  <w:style w:type="paragraph" w:styleId="Heading7">
    <w:name w:val="heading 7"/>
    <w:basedOn w:val="Heading6"/>
    <w:next w:val="Normal"/>
    <w:link w:val="Heading7Char"/>
    <w:qFormat/>
    <w:rsid w:val="002A523D"/>
    <w:pPr>
      <w:outlineLvl w:val="6"/>
    </w:pPr>
  </w:style>
  <w:style w:type="paragraph" w:styleId="Heading8">
    <w:name w:val="heading 8"/>
    <w:basedOn w:val="Heading6"/>
    <w:next w:val="Normal"/>
    <w:link w:val="Heading8Char"/>
    <w:qFormat/>
    <w:rsid w:val="002A523D"/>
    <w:pPr>
      <w:outlineLvl w:val="7"/>
    </w:pPr>
  </w:style>
  <w:style w:type="paragraph" w:styleId="Heading9">
    <w:name w:val="heading 9"/>
    <w:basedOn w:val="Heading6"/>
    <w:next w:val="Normal"/>
    <w:link w:val="Heading9Char"/>
    <w:qFormat/>
    <w:rsid w:val="002A523D"/>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nnexref">
    <w:name w:val="Annex_ref"/>
    <w:basedOn w:val="Normal"/>
    <w:next w:val="Normalaftertitle"/>
    <w:rsid w:val="002A523D"/>
    <w:pPr>
      <w:keepNext/>
      <w:keepLines/>
      <w:spacing w:after="280"/>
      <w:jc w:val="center"/>
    </w:pPr>
  </w:style>
  <w:style w:type="paragraph" w:customStyle="1" w:styleId="Blanc">
    <w:name w:val="Blanc"/>
    <w:basedOn w:val="Normal"/>
    <w:next w:val="Tabletext"/>
    <w:rsid w:val="002A523D"/>
    <w:pPr>
      <w:keepNext/>
      <w:keepLines/>
      <w:tabs>
        <w:tab w:val="clear" w:pos="794"/>
        <w:tab w:val="clear" w:pos="1191"/>
        <w:tab w:val="clear" w:pos="1588"/>
        <w:tab w:val="clear" w:pos="1985"/>
      </w:tabs>
      <w:spacing w:before="0"/>
    </w:pPr>
    <w:rPr>
      <w:sz w:val="16"/>
      <w:lang w:val="en-GB"/>
    </w:rPr>
  </w:style>
  <w:style w:type="paragraph" w:customStyle="1" w:styleId="Tabletext">
    <w:name w:val="Table_text"/>
    <w:basedOn w:val="Normal"/>
    <w:link w:val="TabletextChar"/>
    <w:rsid w:val="002A523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styleId="Header">
    <w:name w:val="header"/>
    <w:basedOn w:val="Normal"/>
    <w:link w:val="HeaderChar"/>
    <w:rsid w:val="002A523D"/>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2A523D"/>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2A523D"/>
  </w:style>
  <w:style w:type="paragraph" w:customStyle="1" w:styleId="Headingb">
    <w:name w:val="Heading_b"/>
    <w:basedOn w:val="Heading3"/>
    <w:next w:val="Normal"/>
    <w:link w:val="HeadingbChar"/>
    <w:rsid w:val="002A523D"/>
    <w:pPr>
      <w:spacing w:before="160"/>
      <w:ind w:left="0" w:firstLine="0"/>
      <w:outlineLvl w:val="9"/>
    </w:pPr>
  </w:style>
  <w:style w:type="paragraph" w:customStyle="1" w:styleId="Headingi">
    <w:name w:val="Heading_i"/>
    <w:basedOn w:val="Heading3"/>
    <w:next w:val="Normal"/>
    <w:rsid w:val="002A523D"/>
    <w:pPr>
      <w:spacing w:before="160"/>
      <w:ind w:left="0" w:firstLine="0"/>
    </w:pPr>
    <w:rPr>
      <w:b w:val="0"/>
      <w:i/>
    </w:rPr>
  </w:style>
  <w:style w:type="character" w:customStyle="1" w:styleId="href">
    <w:name w:val="href"/>
    <w:basedOn w:val="DefaultParagraphFont"/>
    <w:rsid w:val="002A523D"/>
  </w:style>
  <w:style w:type="paragraph" w:customStyle="1" w:styleId="AnnexNoTitle">
    <w:name w:val="Annex_NoTitle"/>
    <w:basedOn w:val="Normal"/>
    <w:next w:val="Normalaftertitle"/>
    <w:link w:val="AnnexNoTitleChar"/>
    <w:rsid w:val="002A523D"/>
    <w:pPr>
      <w:keepNext/>
      <w:keepLines/>
      <w:spacing w:before="480" w:after="80"/>
      <w:jc w:val="center"/>
    </w:pPr>
    <w:rPr>
      <w:b/>
      <w:sz w:val="28"/>
    </w:rPr>
  </w:style>
  <w:style w:type="paragraph" w:customStyle="1" w:styleId="enumlev1">
    <w:name w:val="enumlev1"/>
    <w:basedOn w:val="Normal"/>
    <w:link w:val="enumlev1Char"/>
    <w:rsid w:val="002A523D"/>
    <w:pPr>
      <w:spacing w:before="80"/>
      <w:ind w:left="794" w:hanging="794"/>
    </w:pPr>
  </w:style>
  <w:style w:type="paragraph" w:customStyle="1" w:styleId="Equation">
    <w:name w:val="Equation"/>
    <w:basedOn w:val="Normal"/>
    <w:link w:val="EquationChar"/>
    <w:rsid w:val="002A523D"/>
    <w:pPr>
      <w:tabs>
        <w:tab w:val="clear" w:pos="1191"/>
        <w:tab w:val="clear" w:pos="1588"/>
        <w:tab w:val="clear" w:pos="1985"/>
        <w:tab w:val="center" w:pos="4820"/>
        <w:tab w:val="right" w:pos="9639"/>
      </w:tabs>
    </w:pPr>
  </w:style>
  <w:style w:type="paragraph" w:customStyle="1" w:styleId="enumlev2">
    <w:name w:val="enumlev2"/>
    <w:basedOn w:val="enumlev1"/>
    <w:rsid w:val="002A523D"/>
    <w:pPr>
      <w:ind w:left="1191" w:hanging="397"/>
    </w:pPr>
  </w:style>
  <w:style w:type="paragraph" w:styleId="FootnoteText">
    <w:name w:val="footnote text"/>
    <w:basedOn w:val="Normal"/>
    <w:link w:val="FootnoteTextChar"/>
    <w:rsid w:val="002A523D"/>
    <w:pPr>
      <w:keepLines/>
      <w:tabs>
        <w:tab w:val="left" w:pos="255"/>
      </w:tabs>
      <w:ind w:left="255" w:hanging="255"/>
    </w:pPr>
    <w:rPr>
      <w:sz w:val="22"/>
    </w:rPr>
  </w:style>
  <w:style w:type="paragraph" w:customStyle="1" w:styleId="Normalaftertitle">
    <w:name w:val="Normal_after_title"/>
    <w:basedOn w:val="Normal"/>
    <w:next w:val="Normal"/>
    <w:link w:val="NormalaftertitleChar"/>
    <w:rsid w:val="002A523D"/>
    <w:pPr>
      <w:spacing w:before="320"/>
    </w:pPr>
  </w:style>
  <w:style w:type="paragraph" w:customStyle="1" w:styleId="enumlev3">
    <w:name w:val="enumlev3"/>
    <w:basedOn w:val="enumlev2"/>
    <w:rsid w:val="002A523D"/>
    <w:pPr>
      <w:ind w:left="1588"/>
    </w:pPr>
  </w:style>
  <w:style w:type="paragraph" w:customStyle="1" w:styleId="Note">
    <w:name w:val="Note"/>
    <w:basedOn w:val="Normal"/>
    <w:link w:val="NoteChar"/>
    <w:rsid w:val="002A523D"/>
    <w:pPr>
      <w:tabs>
        <w:tab w:val="clear" w:pos="794"/>
        <w:tab w:val="clear" w:pos="1191"/>
        <w:tab w:val="clear" w:pos="1588"/>
        <w:tab w:val="clear" w:pos="1985"/>
      </w:tabs>
      <w:spacing w:before="80"/>
    </w:pPr>
    <w:rPr>
      <w:sz w:val="22"/>
    </w:rPr>
  </w:style>
  <w:style w:type="paragraph" w:customStyle="1" w:styleId="RecNo">
    <w:name w:val="Rec_No"/>
    <w:basedOn w:val="Normal"/>
    <w:next w:val="Rectitle"/>
    <w:link w:val="RecNoChar"/>
    <w:rsid w:val="002A523D"/>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link w:val="RectitleChar"/>
    <w:rsid w:val="002A523D"/>
    <w:pPr>
      <w:keepNext/>
      <w:keepLines/>
      <w:spacing w:before="240"/>
      <w:jc w:val="center"/>
    </w:pPr>
    <w:rPr>
      <w:b/>
      <w:sz w:val="28"/>
    </w:rPr>
  </w:style>
  <w:style w:type="paragraph" w:customStyle="1" w:styleId="Recref">
    <w:name w:val="Rec_ref"/>
    <w:basedOn w:val="Normal"/>
    <w:next w:val="Recdate"/>
    <w:rsid w:val="002A523D"/>
    <w:pPr>
      <w:jc w:val="center"/>
    </w:pPr>
  </w:style>
  <w:style w:type="paragraph" w:customStyle="1" w:styleId="Recdate">
    <w:name w:val="Rec_date"/>
    <w:basedOn w:val="Recref"/>
    <w:next w:val="Normalaftertitle"/>
    <w:rsid w:val="002A523D"/>
    <w:pPr>
      <w:jc w:val="right"/>
    </w:pPr>
  </w:style>
  <w:style w:type="paragraph" w:customStyle="1" w:styleId="HeadingSum">
    <w:name w:val="Heading_Sum"/>
    <w:basedOn w:val="Headingb"/>
    <w:next w:val="Normal"/>
    <w:autoRedefine/>
    <w:rsid w:val="002A523D"/>
    <w:pPr>
      <w:spacing w:before="240"/>
    </w:pPr>
    <w:rPr>
      <w:sz w:val="22"/>
      <w:lang w:val="es-ES_tradnl"/>
    </w:rPr>
  </w:style>
  <w:style w:type="paragraph" w:customStyle="1" w:styleId="AppendixNoTitle">
    <w:name w:val="Appendix_NoTitle"/>
    <w:basedOn w:val="AnnexNoTitle"/>
    <w:next w:val="Normal"/>
    <w:rsid w:val="002A523D"/>
  </w:style>
  <w:style w:type="paragraph" w:customStyle="1" w:styleId="Tablefin">
    <w:name w:val="Table_fin"/>
    <w:basedOn w:val="Normal"/>
    <w:next w:val="Normal"/>
    <w:rsid w:val="002A523D"/>
    <w:pPr>
      <w:spacing w:before="0"/>
    </w:pPr>
    <w:rPr>
      <w:sz w:val="20"/>
      <w:lang w:val="en-GB"/>
    </w:rPr>
  </w:style>
  <w:style w:type="paragraph" w:customStyle="1" w:styleId="Tablehead">
    <w:name w:val="Table_head"/>
    <w:basedOn w:val="Normal"/>
    <w:next w:val="Normal"/>
    <w:link w:val="TableheadChar"/>
    <w:rsid w:val="002A523D"/>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rsid w:val="002A523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2A523D"/>
    <w:pPr>
      <w:keepNext/>
      <w:spacing w:before="360" w:after="120"/>
      <w:jc w:val="center"/>
    </w:pPr>
  </w:style>
  <w:style w:type="paragraph" w:customStyle="1" w:styleId="Equationlegend">
    <w:name w:val="Equation_legend"/>
    <w:basedOn w:val="NormalIndent"/>
    <w:link w:val="EquationlegendChar"/>
    <w:rsid w:val="002A523D"/>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2A523D"/>
    <w:pPr>
      <w:ind w:left="794"/>
    </w:pPr>
  </w:style>
  <w:style w:type="paragraph" w:customStyle="1" w:styleId="Figurelegend">
    <w:name w:val="Figure_legend"/>
    <w:basedOn w:val="Normal"/>
    <w:rsid w:val="002A523D"/>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2A523D"/>
    <w:pPr>
      <w:keepNext/>
      <w:keepLines/>
      <w:spacing w:before="480" w:after="80"/>
      <w:jc w:val="center"/>
    </w:pPr>
    <w:rPr>
      <w:caps/>
      <w:sz w:val="18"/>
    </w:rPr>
  </w:style>
  <w:style w:type="paragraph" w:customStyle="1" w:styleId="Figuretitle">
    <w:name w:val="Figure_title"/>
    <w:basedOn w:val="Normal"/>
    <w:next w:val="Figure"/>
    <w:link w:val="FiguretitleChar"/>
    <w:rsid w:val="002A523D"/>
    <w:pPr>
      <w:keepNext/>
      <w:spacing w:before="0" w:after="120"/>
      <w:jc w:val="center"/>
    </w:pPr>
    <w:rPr>
      <w:rFonts w:ascii="Times New Roman Bold" w:hAnsi="Times New Roman Bold"/>
      <w:b/>
      <w:sz w:val="18"/>
    </w:rPr>
  </w:style>
  <w:style w:type="paragraph" w:customStyle="1" w:styleId="Figure">
    <w:name w:val="Figure"/>
    <w:basedOn w:val="FigureNo"/>
    <w:next w:val="Normal"/>
    <w:rsid w:val="002A523D"/>
    <w:pPr>
      <w:keepNext w:val="0"/>
      <w:spacing w:before="0" w:after="240"/>
    </w:pPr>
  </w:style>
  <w:style w:type="paragraph" w:customStyle="1" w:styleId="tocpart">
    <w:name w:val="tocpart"/>
    <w:basedOn w:val="Normal"/>
    <w:rsid w:val="002A523D"/>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link w:val="ArtNoChar"/>
    <w:rsid w:val="002A523D"/>
    <w:pPr>
      <w:keepNext/>
      <w:keepLines/>
      <w:spacing w:before="480"/>
      <w:jc w:val="center"/>
    </w:pPr>
    <w:rPr>
      <w:sz w:val="28"/>
    </w:rPr>
  </w:style>
  <w:style w:type="paragraph" w:customStyle="1" w:styleId="Arttitle">
    <w:name w:val="Art_title"/>
    <w:basedOn w:val="Normal"/>
    <w:next w:val="Normalaftertitle"/>
    <w:link w:val="ArttitleCar"/>
    <w:rsid w:val="002A523D"/>
    <w:pPr>
      <w:keepNext/>
      <w:keepLines/>
      <w:spacing w:before="240"/>
      <w:jc w:val="center"/>
    </w:pPr>
    <w:rPr>
      <w:b/>
      <w:sz w:val="28"/>
    </w:rPr>
  </w:style>
  <w:style w:type="paragraph" w:customStyle="1" w:styleId="ASN1">
    <w:name w:val="ASN.1"/>
    <w:basedOn w:val="Normal"/>
    <w:next w:val="Normal"/>
    <w:rsid w:val="002A523D"/>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2A523D"/>
    <w:pPr>
      <w:keepNext/>
      <w:keepLines/>
      <w:spacing w:before="160"/>
      <w:ind w:left="794"/>
    </w:pPr>
    <w:rPr>
      <w:i/>
    </w:rPr>
  </w:style>
  <w:style w:type="paragraph" w:customStyle="1" w:styleId="ChapNo">
    <w:name w:val="Chap_No"/>
    <w:basedOn w:val="ArtNo"/>
    <w:next w:val="Chaptitle"/>
    <w:rsid w:val="002A523D"/>
    <w:rPr>
      <w:b/>
    </w:rPr>
  </w:style>
  <w:style w:type="character" w:styleId="FootnoteReference">
    <w:name w:val="footnote reference"/>
    <w:basedOn w:val="DefaultParagraphFont"/>
    <w:rsid w:val="002A523D"/>
    <w:rPr>
      <w:position w:val="6"/>
      <w:sz w:val="18"/>
    </w:rPr>
  </w:style>
  <w:style w:type="paragraph" w:styleId="Index1">
    <w:name w:val="index 1"/>
    <w:basedOn w:val="Normal"/>
    <w:next w:val="Normal"/>
    <w:rsid w:val="002A523D"/>
  </w:style>
  <w:style w:type="paragraph" w:styleId="Index2">
    <w:name w:val="index 2"/>
    <w:basedOn w:val="Normal"/>
    <w:next w:val="Normal"/>
    <w:rsid w:val="002A523D"/>
    <w:pPr>
      <w:ind w:left="283"/>
    </w:pPr>
  </w:style>
  <w:style w:type="paragraph" w:styleId="Index3">
    <w:name w:val="index 3"/>
    <w:basedOn w:val="Normal"/>
    <w:next w:val="Normal"/>
    <w:rsid w:val="002A523D"/>
    <w:pPr>
      <w:ind w:left="566"/>
    </w:pPr>
  </w:style>
  <w:style w:type="paragraph" w:styleId="IndexHeading">
    <w:name w:val="index heading"/>
    <w:basedOn w:val="Normal"/>
    <w:next w:val="Index1"/>
    <w:rsid w:val="002A523D"/>
  </w:style>
  <w:style w:type="paragraph" w:customStyle="1" w:styleId="Line">
    <w:name w:val="Line"/>
    <w:basedOn w:val="Normal"/>
    <w:next w:val="Normal"/>
    <w:rsid w:val="002A523D"/>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2A523D"/>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2A523D"/>
  </w:style>
  <w:style w:type="paragraph" w:customStyle="1" w:styleId="Partref">
    <w:name w:val="Part_ref"/>
    <w:basedOn w:val="Normal"/>
    <w:next w:val="Normal"/>
    <w:rsid w:val="002A523D"/>
    <w:pPr>
      <w:keepNext/>
      <w:keepLines/>
      <w:spacing w:after="280"/>
      <w:jc w:val="center"/>
    </w:pPr>
  </w:style>
  <w:style w:type="paragraph" w:customStyle="1" w:styleId="Parttitle">
    <w:name w:val="Part_title"/>
    <w:basedOn w:val="Normal"/>
    <w:next w:val="Normalaftertitle"/>
    <w:rsid w:val="002A523D"/>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2A523D"/>
  </w:style>
  <w:style w:type="paragraph" w:customStyle="1" w:styleId="QuestionNo">
    <w:name w:val="Question_No"/>
    <w:basedOn w:val="RecNo"/>
    <w:next w:val="Normal"/>
    <w:rsid w:val="002A523D"/>
  </w:style>
  <w:style w:type="paragraph" w:customStyle="1" w:styleId="Questionref">
    <w:name w:val="Question_ref"/>
    <w:basedOn w:val="Recref"/>
    <w:next w:val="Questiondate"/>
    <w:rsid w:val="002A523D"/>
  </w:style>
  <w:style w:type="paragraph" w:customStyle="1" w:styleId="Questiontitle">
    <w:name w:val="Question_title"/>
    <w:basedOn w:val="Normal"/>
    <w:next w:val="Questionref"/>
    <w:rsid w:val="002A523D"/>
  </w:style>
  <w:style w:type="paragraph" w:customStyle="1" w:styleId="Reftext">
    <w:name w:val="Ref_text"/>
    <w:basedOn w:val="Normal"/>
    <w:rsid w:val="002A523D"/>
    <w:pPr>
      <w:ind w:left="794" w:hanging="794"/>
    </w:pPr>
    <w:rPr>
      <w:sz w:val="22"/>
    </w:rPr>
  </w:style>
  <w:style w:type="paragraph" w:customStyle="1" w:styleId="Reftitle">
    <w:name w:val="Ref_title"/>
    <w:basedOn w:val="Normal"/>
    <w:next w:val="Reftext"/>
    <w:rsid w:val="002A523D"/>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2A523D"/>
  </w:style>
  <w:style w:type="paragraph" w:customStyle="1" w:styleId="RepNo">
    <w:name w:val="Rep_No"/>
    <w:basedOn w:val="RecNo"/>
    <w:next w:val="Reptitle"/>
    <w:rsid w:val="002A523D"/>
  </w:style>
  <w:style w:type="paragraph" w:customStyle="1" w:styleId="Reptitle">
    <w:name w:val="Rep_title"/>
    <w:basedOn w:val="Rectitle"/>
    <w:next w:val="Repref"/>
    <w:rsid w:val="002A523D"/>
  </w:style>
  <w:style w:type="paragraph" w:customStyle="1" w:styleId="Repref">
    <w:name w:val="Rep_ref"/>
    <w:basedOn w:val="Recref"/>
    <w:next w:val="Repdate"/>
    <w:rsid w:val="002A523D"/>
  </w:style>
  <w:style w:type="paragraph" w:customStyle="1" w:styleId="Resdate">
    <w:name w:val="Res_date"/>
    <w:basedOn w:val="Recdate"/>
    <w:next w:val="Normalaftertitle"/>
    <w:rsid w:val="002A523D"/>
  </w:style>
  <w:style w:type="paragraph" w:customStyle="1" w:styleId="ResNo">
    <w:name w:val="Res_No"/>
    <w:basedOn w:val="RecNo"/>
    <w:next w:val="Restitle"/>
    <w:link w:val="ResNoChar"/>
    <w:rsid w:val="002A523D"/>
  </w:style>
  <w:style w:type="paragraph" w:customStyle="1" w:styleId="Restitle">
    <w:name w:val="Res_title"/>
    <w:basedOn w:val="Normal"/>
    <w:next w:val="Resref"/>
    <w:link w:val="RestitleChar"/>
    <w:rsid w:val="002A523D"/>
    <w:pPr>
      <w:spacing w:before="240"/>
      <w:jc w:val="center"/>
    </w:pPr>
    <w:rPr>
      <w:b/>
      <w:sz w:val="28"/>
    </w:rPr>
  </w:style>
  <w:style w:type="paragraph" w:customStyle="1" w:styleId="Resref">
    <w:name w:val="Res_ref"/>
    <w:basedOn w:val="Recref"/>
    <w:next w:val="Resdate"/>
    <w:rsid w:val="002A523D"/>
  </w:style>
  <w:style w:type="paragraph" w:customStyle="1" w:styleId="SectionNo">
    <w:name w:val="Section_No"/>
    <w:basedOn w:val="Normal"/>
    <w:next w:val="Normal"/>
    <w:rsid w:val="002A523D"/>
  </w:style>
  <w:style w:type="paragraph" w:customStyle="1" w:styleId="Sectiontitle">
    <w:name w:val="Section_title"/>
    <w:basedOn w:val="Normal"/>
    <w:next w:val="Normalaftertitle"/>
    <w:rsid w:val="002A523D"/>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2A523D"/>
    <w:pPr>
      <w:tabs>
        <w:tab w:val="clear" w:pos="794"/>
        <w:tab w:val="clear" w:pos="1191"/>
        <w:tab w:val="clear" w:pos="1588"/>
        <w:tab w:val="clear" w:pos="1985"/>
        <w:tab w:val="right" w:pos="9611"/>
      </w:tabs>
    </w:pPr>
    <w:rPr>
      <w:i/>
    </w:rPr>
  </w:style>
  <w:style w:type="paragraph" w:styleId="TOC1">
    <w:name w:val="toc 1"/>
    <w:basedOn w:val="Normal"/>
    <w:rsid w:val="002A523D"/>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2A523D"/>
    <w:pPr>
      <w:tabs>
        <w:tab w:val="clear" w:pos="567"/>
        <w:tab w:val="left" w:pos="1276"/>
      </w:tabs>
      <w:spacing w:before="160"/>
      <w:ind w:left="1276" w:hanging="709"/>
    </w:pPr>
  </w:style>
  <w:style w:type="paragraph" w:styleId="TOC3">
    <w:name w:val="toc 3"/>
    <w:basedOn w:val="TOC2"/>
    <w:rsid w:val="002A523D"/>
    <w:pPr>
      <w:tabs>
        <w:tab w:val="clear" w:pos="1276"/>
        <w:tab w:val="left" w:pos="2155"/>
      </w:tabs>
      <w:ind w:left="2155" w:hanging="879"/>
    </w:pPr>
  </w:style>
  <w:style w:type="paragraph" w:styleId="TOC4">
    <w:name w:val="toc 4"/>
    <w:basedOn w:val="TOC3"/>
    <w:rsid w:val="002A523D"/>
    <w:pPr>
      <w:tabs>
        <w:tab w:val="left" w:pos="3261"/>
      </w:tabs>
      <w:spacing w:before="80"/>
      <w:ind w:left="3261" w:hanging="993"/>
    </w:pPr>
  </w:style>
  <w:style w:type="paragraph" w:styleId="TOC5">
    <w:name w:val="toc 5"/>
    <w:basedOn w:val="TOC4"/>
    <w:rsid w:val="002A523D"/>
  </w:style>
  <w:style w:type="paragraph" w:styleId="TOC6">
    <w:name w:val="toc 6"/>
    <w:basedOn w:val="TOC4"/>
    <w:rsid w:val="002A523D"/>
  </w:style>
  <w:style w:type="paragraph" w:styleId="TOC7">
    <w:name w:val="toc 7"/>
    <w:basedOn w:val="TOC4"/>
    <w:rsid w:val="002A523D"/>
  </w:style>
  <w:style w:type="paragraph" w:styleId="TOC8">
    <w:name w:val="toc 8"/>
    <w:basedOn w:val="TOC4"/>
    <w:rsid w:val="002A523D"/>
  </w:style>
  <w:style w:type="paragraph" w:customStyle="1" w:styleId="Appendixref">
    <w:name w:val="Appendix_ref"/>
    <w:basedOn w:val="Annexref"/>
    <w:next w:val="Normalaftertitle"/>
    <w:rsid w:val="002A523D"/>
  </w:style>
  <w:style w:type="paragraph" w:customStyle="1" w:styleId="Tabletitle">
    <w:name w:val="Table_title"/>
    <w:basedOn w:val="Normal"/>
    <w:next w:val="Tablehead"/>
    <w:link w:val="TabletitleChar"/>
    <w:rsid w:val="002A523D"/>
    <w:pPr>
      <w:keepNext/>
      <w:spacing w:before="0" w:after="120"/>
      <w:jc w:val="center"/>
    </w:pPr>
    <w:rPr>
      <w:b/>
    </w:rPr>
  </w:style>
  <w:style w:type="paragraph" w:customStyle="1" w:styleId="Summary">
    <w:name w:val="Summary"/>
    <w:basedOn w:val="Normal"/>
    <w:next w:val="Normalaftertitle"/>
    <w:autoRedefine/>
    <w:rsid w:val="002A523D"/>
    <w:pPr>
      <w:spacing w:after="480"/>
    </w:pPr>
    <w:rPr>
      <w:sz w:val="22"/>
      <w:lang w:val="es-ES_tradnl"/>
    </w:rPr>
  </w:style>
  <w:style w:type="character" w:styleId="Hyperlink">
    <w:name w:val="Hyperlink"/>
    <w:aliases w:val="CEO_Hyperlink,ECC Hyperlink"/>
    <w:basedOn w:val="DefaultParagraphFont"/>
    <w:uiPriority w:val="99"/>
    <w:rsid w:val="00934ED7"/>
    <w:rPr>
      <w:color w:val="0000FF"/>
      <w:u w:val="single"/>
    </w:rPr>
  </w:style>
  <w:style w:type="paragraph" w:customStyle="1" w:styleId="Chaptitle">
    <w:name w:val="Chap_title"/>
    <w:basedOn w:val="Arttitle"/>
    <w:next w:val="Normalaftertitle"/>
    <w:rsid w:val="002A523D"/>
  </w:style>
  <w:style w:type="table" w:styleId="TableGrid">
    <w:name w:val="Table Grid"/>
    <w:basedOn w:val="TableNormal"/>
    <w:rsid w:val="005632C0"/>
    <w:pPr>
      <w:tabs>
        <w:tab w:val="left" w:pos="794"/>
        <w:tab w:val="left" w:pos="1191"/>
        <w:tab w:val="left" w:pos="1588"/>
        <w:tab w:val="left" w:pos="1985"/>
      </w:tabs>
      <w:overflowPunct w:val="0"/>
      <w:autoSpaceDE w:val="0"/>
      <w:autoSpaceDN w:val="0"/>
      <w:adjustRightInd w:val="0"/>
      <w:spacing w:before="12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LegendNote">
    <w:name w:val="Table_Legend_Note"/>
    <w:basedOn w:val="Tablelegend"/>
    <w:next w:val="Tablelegend"/>
    <w:rsid w:val="002A523D"/>
    <w:pPr>
      <w:ind w:left="-85" w:firstLine="0"/>
    </w:pPr>
    <w:rPr>
      <w:lang w:val="en-US"/>
    </w:rPr>
  </w:style>
  <w:style w:type="character" w:customStyle="1" w:styleId="FootnoteTextChar">
    <w:name w:val="Footnote Text Char"/>
    <w:basedOn w:val="DefaultParagraphFont"/>
    <w:link w:val="FootnoteText"/>
    <w:rsid w:val="00BE46FB"/>
    <w:rPr>
      <w:sz w:val="22"/>
      <w:lang w:val="fr-FR" w:eastAsia="en-US"/>
    </w:rPr>
  </w:style>
  <w:style w:type="character" w:customStyle="1" w:styleId="Heading1Char">
    <w:name w:val="Heading 1 Char"/>
    <w:basedOn w:val="DefaultParagraphFont"/>
    <w:link w:val="Heading1"/>
    <w:rsid w:val="00BE46FB"/>
    <w:rPr>
      <w:b/>
      <w:sz w:val="24"/>
      <w:lang w:val="fr-FR" w:eastAsia="en-US"/>
    </w:rPr>
  </w:style>
  <w:style w:type="character" w:customStyle="1" w:styleId="HeaderChar">
    <w:name w:val="Header Char"/>
    <w:basedOn w:val="DefaultParagraphFont"/>
    <w:link w:val="Header"/>
    <w:rsid w:val="00BE46FB"/>
    <w:rPr>
      <w:sz w:val="24"/>
      <w:lang w:val="fr-FR" w:eastAsia="en-US"/>
    </w:rPr>
  </w:style>
  <w:style w:type="character" w:customStyle="1" w:styleId="FooterChar">
    <w:name w:val="Footer Char"/>
    <w:basedOn w:val="DefaultParagraphFont"/>
    <w:link w:val="Footer"/>
    <w:rsid w:val="00BE46FB"/>
    <w:rPr>
      <w:noProof/>
      <w:sz w:val="18"/>
      <w:lang w:val="fr-FR" w:eastAsia="en-US"/>
    </w:rPr>
  </w:style>
  <w:style w:type="character" w:customStyle="1" w:styleId="Heading2Char">
    <w:name w:val="Heading 2 Char"/>
    <w:basedOn w:val="DefaultParagraphFont"/>
    <w:link w:val="Heading2"/>
    <w:rsid w:val="00BE46FB"/>
    <w:rPr>
      <w:b/>
      <w:sz w:val="24"/>
      <w:lang w:val="fr-FR" w:eastAsia="en-US"/>
    </w:rPr>
  </w:style>
  <w:style w:type="character" w:customStyle="1" w:styleId="Heading3Char">
    <w:name w:val="Heading 3 Char"/>
    <w:basedOn w:val="DefaultParagraphFont"/>
    <w:link w:val="Heading3"/>
    <w:rsid w:val="00BE46FB"/>
    <w:rPr>
      <w:b/>
      <w:sz w:val="24"/>
      <w:lang w:val="fr-FR" w:eastAsia="en-US"/>
    </w:rPr>
  </w:style>
  <w:style w:type="character" w:customStyle="1" w:styleId="Heading4Char">
    <w:name w:val="Heading 4 Char"/>
    <w:basedOn w:val="DefaultParagraphFont"/>
    <w:link w:val="Heading4"/>
    <w:rsid w:val="00BE46FB"/>
    <w:rPr>
      <w:b/>
      <w:sz w:val="24"/>
      <w:lang w:val="fr-FR" w:eastAsia="en-US"/>
    </w:rPr>
  </w:style>
  <w:style w:type="character" w:customStyle="1" w:styleId="Heading5Char">
    <w:name w:val="Heading 5 Char"/>
    <w:basedOn w:val="DefaultParagraphFont"/>
    <w:link w:val="Heading5"/>
    <w:rsid w:val="00BE46FB"/>
    <w:rPr>
      <w:b/>
      <w:sz w:val="24"/>
      <w:lang w:val="fr-FR" w:eastAsia="en-US"/>
    </w:rPr>
  </w:style>
  <w:style w:type="character" w:customStyle="1" w:styleId="Heading6Char">
    <w:name w:val="Heading 6 Char"/>
    <w:basedOn w:val="DefaultParagraphFont"/>
    <w:link w:val="Heading6"/>
    <w:rsid w:val="00BE46FB"/>
    <w:rPr>
      <w:b/>
      <w:sz w:val="24"/>
      <w:lang w:val="fr-FR" w:eastAsia="en-US"/>
    </w:rPr>
  </w:style>
  <w:style w:type="character" w:customStyle="1" w:styleId="Heading7Char">
    <w:name w:val="Heading 7 Char"/>
    <w:basedOn w:val="DefaultParagraphFont"/>
    <w:link w:val="Heading7"/>
    <w:rsid w:val="00BE46FB"/>
    <w:rPr>
      <w:b/>
      <w:sz w:val="24"/>
      <w:lang w:val="fr-FR" w:eastAsia="en-US"/>
    </w:rPr>
  </w:style>
  <w:style w:type="character" w:customStyle="1" w:styleId="Heading8Char">
    <w:name w:val="Heading 8 Char"/>
    <w:basedOn w:val="DefaultParagraphFont"/>
    <w:link w:val="Heading8"/>
    <w:rsid w:val="00BE46FB"/>
    <w:rPr>
      <w:b/>
      <w:sz w:val="24"/>
      <w:lang w:val="fr-FR" w:eastAsia="en-US"/>
    </w:rPr>
  </w:style>
  <w:style w:type="character" w:customStyle="1" w:styleId="Heading9Char">
    <w:name w:val="Heading 9 Char"/>
    <w:basedOn w:val="DefaultParagraphFont"/>
    <w:link w:val="Heading9"/>
    <w:rsid w:val="00BE46FB"/>
    <w:rPr>
      <w:b/>
      <w:sz w:val="24"/>
      <w:lang w:val="fr-FR" w:eastAsia="en-US"/>
    </w:rPr>
  </w:style>
  <w:style w:type="character" w:customStyle="1" w:styleId="NormalaftertitleChar">
    <w:name w:val="Normal_after_title Char"/>
    <w:basedOn w:val="DefaultParagraphFont"/>
    <w:link w:val="Normalaftertitle"/>
    <w:rsid w:val="00BE46FB"/>
    <w:rPr>
      <w:sz w:val="24"/>
      <w:lang w:val="fr-FR" w:eastAsia="en-US"/>
    </w:rPr>
  </w:style>
  <w:style w:type="character" w:customStyle="1" w:styleId="TabletextChar">
    <w:name w:val="Table_text Char"/>
    <w:basedOn w:val="DefaultParagraphFont"/>
    <w:link w:val="Tabletext"/>
    <w:rsid w:val="00BE46FB"/>
    <w:rPr>
      <w:sz w:val="22"/>
      <w:lang w:val="fr-FR" w:eastAsia="en-US"/>
    </w:rPr>
  </w:style>
  <w:style w:type="character" w:customStyle="1" w:styleId="HeadingbChar">
    <w:name w:val="Heading_b Char"/>
    <w:basedOn w:val="DefaultParagraphFont"/>
    <w:link w:val="Headingb"/>
    <w:locked/>
    <w:rsid w:val="00BE46FB"/>
    <w:rPr>
      <w:b/>
      <w:sz w:val="24"/>
      <w:lang w:val="fr-FR" w:eastAsia="en-US"/>
    </w:rPr>
  </w:style>
  <w:style w:type="character" w:customStyle="1" w:styleId="AnnexNoTitleChar">
    <w:name w:val="Annex_NoTitle Char"/>
    <w:basedOn w:val="DefaultParagraphFont"/>
    <w:link w:val="AnnexNoTitle"/>
    <w:rsid w:val="00BE46FB"/>
    <w:rPr>
      <w:b/>
      <w:sz w:val="28"/>
      <w:lang w:val="fr-FR" w:eastAsia="en-US"/>
    </w:rPr>
  </w:style>
  <w:style w:type="character" w:customStyle="1" w:styleId="enumlev1Char">
    <w:name w:val="enumlev1 Char"/>
    <w:basedOn w:val="DefaultParagraphFont"/>
    <w:link w:val="enumlev1"/>
    <w:rsid w:val="00BE46FB"/>
    <w:rPr>
      <w:sz w:val="24"/>
      <w:lang w:val="fr-FR" w:eastAsia="en-US"/>
    </w:rPr>
  </w:style>
  <w:style w:type="character" w:customStyle="1" w:styleId="EquationChar">
    <w:name w:val="Equation Char"/>
    <w:basedOn w:val="DefaultParagraphFont"/>
    <w:link w:val="Equation"/>
    <w:rsid w:val="00BE46FB"/>
    <w:rPr>
      <w:sz w:val="24"/>
      <w:lang w:val="fr-FR" w:eastAsia="en-US"/>
    </w:rPr>
  </w:style>
  <w:style w:type="character" w:customStyle="1" w:styleId="NoteChar">
    <w:name w:val="Note Char"/>
    <w:basedOn w:val="DefaultParagraphFont"/>
    <w:link w:val="Note"/>
    <w:rsid w:val="00BE46FB"/>
    <w:rPr>
      <w:sz w:val="22"/>
      <w:lang w:val="fr-FR" w:eastAsia="en-US"/>
    </w:rPr>
  </w:style>
  <w:style w:type="character" w:customStyle="1" w:styleId="RectitleChar">
    <w:name w:val="Rec_title Char"/>
    <w:basedOn w:val="DefaultParagraphFont"/>
    <w:link w:val="Rectitle"/>
    <w:locked/>
    <w:rsid w:val="00BE46FB"/>
    <w:rPr>
      <w:b/>
      <w:sz w:val="28"/>
      <w:lang w:val="fr-FR" w:eastAsia="en-US"/>
    </w:rPr>
  </w:style>
  <w:style w:type="character" w:customStyle="1" w:styleId="TableheadChar">
    <w:name w:val="Table_head Char"/>
    <w:basedOn w:val="DefaultParagraphFont"/>
    <w:link w:val="Tablehead"/>
    <w:locked/>
    <w:rsid w:val="00BE46FB"/>
    <w:rPr>
      <w:b/>
      <w:sz w:val="22"/>
      <w:lang w:val="fr-FR" w:eastAsia="en-US"/>
    </w:rPr>
  </w:style>
  <w:style w:type="character" w:customStyle="1" w:styleId="TablelegendChar">
    <w:name w:val="Table_legend Char"/>
    <w:basedOn w:val="DefaultParagraphFont"/>
    <w:link w:val="Tablelegend"/>
    <w:rsid w:val="00BE46FB"/>
    <w:rPr>
      <w:sz w:val="22"/>
      <w:lang w:val="fr-FR" w:eastAsia="en-US"/>
    </w:rPr>
  </w:style>
  <w:style w:type="character" w:customStyle="1" w:styleId="TableNoChar">
    <w:name w:val="Table_No Char"/>
    <w:basedOn w:val="DefaultParagraphFont"/>
    <w:link w:val="TableNo"/>
    <w:rsid w:val="00BE46FB"/>
    <w:rPr>
      <w:sz w:val="24"/>
      <w:lang w:val="fr-FR" w:eastAsia="en-US"/>
    </w:rPr>
  </w:style>
  <w:style w:type="character" w:customStyle="1" w:styleId="FiguretitleChar">
    <w:name w:val="Figure_title Char"/>
    <w:basedOn w:val="TabletitleChar"/>
    <w:link w:val="Figuretitle"/>
    <w:rsid w:val="00BE46FB"/>
    <w:rPr>
      <w:rFonts w:ascii="Times New Roman Bold" w:hAnsi="Times New Roman Bold"/>
      <w:b/>
      <w:sz w:val="18"/>
      <w:lang w:val="fr-FR" w:eastAsia="en-US"/>
    </w:rPr>
  </w:style>
  <w:style w:type="character" w:customStyle="1" w:styleId="TabletitleChar">
    <w:name w:val="Table_title Char"/>
    <w:basedOn w:val="DefaultParagraphFont"/>
    <w:link w:val="Tabletitle"/>
    <w:rsid w:val="00BE46FB"/>
    <w:rPr>
      <w:b/>
      <w:sz w:val="24"/>
      <w:lang w:val="fr-FR" w:eastAsia="en-US"/>
    </w:rPr>
  </w:style>
  <w:style w:type="character" w:customStyle="1" w:styleId="FigureNoChar">
    <w:name w:val="Figure_No Char"/>
    <w:basedOn w:val="DefaultParagraphFont"/>
    <w:link w:val="FigureNo"/>
    <w:rsid w:val="00BE46FB"/>
    <w:rPr>
      <w:caps/>
      <w:sz w:val="18"/>
      <w:lang w:val="fr-FR" w:eastAsia="en-US"/>
    </w:rPr>
  </w:style>
  <w:style w:type="character" w:customStyle="1" w:styleId="ArttitleCar">
    <w:name w:val="Art_title Car"/>
    <w:basedOn w:val="DefaultParagraphFont"/>
    <w:link w:val="Arttitle"/>
    <w:locked/>
    <w:rsid w:val="00BE46FB"/>
    <w:rPr>
      <w:b/>
      <w:sz w:val="28"/>
      <w:lang w:val="fr-FR" w:eastAsia="en-US"/>
    </w:rPr>
  </w:style>
  <w:style w:type="character" w:customStyle="1" w:styleId="CallChar">
    <w:name w:val="Call Char"/>
    <w:basedOn w:val="DefaultParagraphFont"/>
    <w:link w:val="Call"/>
    <w:locked/>
    <w:rsid w:val="00BE46FB"/>
    <w:rPr>
      <w:i/>
      <w:sz w:val="24"/>
      <w:lang w:val="fr-FR" w:eastAsia="en-US"/>
    </w:rPr>
  </w:style>
  <w:style w:type="character" w:customStyle="1" w:styleId="RestitleChar">
    <w:name w:val="Res_title Char"/>
    <w:basedOn w:val="DefaultParagraphFont"/>
    <w:link w:val="Restitle"/>
    <w:locked/>
    <w:rsid w:val="00BE46FB"/>
    <w:rPr>
      <w:b/>
      <w:sz w:val="28"/>
      <w:lang w:val="fr-FR" w:eastAsia="en-US"/>
    </w:rPr>
  </w:style>
  <w:style w:type="character" w:customStyle="1" w:styleId="ResNoChar">
    <w:name w:val="Res_No Char"/>
    <w:basedOn w:val="DefaultParagraphFont"/>
    <w:link w:val="ResNo"/>
    <w:locked/>
    <w:rsid w:val="00BE46FB"/>
    <w:rPr>
      <w:sz w:val="28"/>
      <w:lang w:val="fr-FR" w:eastAsia="en-US"/>
    </w:rPr>
  </w:style>
  <w:style w:type="paragraph" w:styleId="TOC9">
    <w:name w:val="toc 9"/>
    <w:basedOn w:val="Normal"/>
    <w:next w:val="Normal"/>
    <w:autoRedefine/>
    <w:unhideWhenUsed/>
    <w:rsid w:val="00BE46FB"/>
    <w:pPr>
      <w:tabs>
        <w:tab w:val="clear" w:pos="794"/>
        <w:tab w:val="clear" w:pos="1191"/>
        <w:tab w:val="clear" w:pos="1588"/>
        <w:tab w:val="clear" w:pos="1985"/>
      </w:tabs>
      <w:overflowPunct/>
      <w:autoSpaceDE/>
      <w:autoSpaceDN/>
      <w:adjustRightInd/>
      <w:spacing w:before="0" w:after="100" w:line="276" w:lineRule="auto"/>
      <w:ind w:left="1760"/>
      <w:jc w:val="left"/>
      <w:textAlignment w:val="auto"/>
    </w:pPr>
    <w:rPr>
      <w:rFonts w:asciiTheme="minorHAnsi" w:eastAsiaTheme="minorEastAsia" w:hAnsiTheme="minorHAnsi" w:cstheme="minorBidi"/>
      <w:sz w:val="22"/>
      <w:szCs w:val="22"/>
      <w:lang w:val="en-US" w:eastAsia="zh-CN"/>
    </w:rPr>
  </w:style>
  <w:style w:type="character" w:styleId="FollowedHyperlink">
    <w:name w:val="FollowedHyperlink"/>
    <w:basedOn w:val="DefaultParagraphFont"/>
    <w:rsid w:val="00BE46FB"/>
    <w:rPr>
      <w:color w:val="800080" w:themeColor="followedHyperlink"/>
      <w:u w:val="single"/>
    </w:rPr>
  </w:style>
  <w:style w:type="paragraph" w:styleId="BalloonText">
    <w:name w:val="Balloon Text"/>
    <w:basedOn w:val="Normal"/>
    <w:link w:val="BalloonTextChar"/>
    <w:rsid w:val="00BE46FB"/>
    <w:pPr>
      <w:spacing w:before="0"/>
    </w:pPr>
    <w:rPr>
      <w:rFonts w:ascii="Tahoma" w:hAnsi="Tahoma" w:cs="Tahoma"/>
      <w:sz w:val="16"/>
      <w:szCs w:val="16"/>
    </w:rPr>
  </w:style>
  <w:style w:type="character" w:customStyle="1" w:styleId="BalloonTextChar">
    <w:name w:val="Balloon Text Char"/>
    <w:basedOn w:val="DefaultParagraphFont"/>
    <w:link w:val="BalloonText"/>
    <w:rsid w:val="00BE46FB"/>
    <w:rPr>
      <w:rFonts w:ascii="Tahoma" w:hAnsi="Tahoma" w:cs="Tahoma"/>
      <w:sz w:val="16"/>
      <w:szCs w:val="16"/>
      <w:lang w:val="fr-FR" w:eastAsia="en-US"/>
    </w:rPr>
  </w:style>
  <w:style w:type="paragraph" w:customStyle="1" w:styleId="Reasons">
    <w:name w:val="Reasons"/>
    <w:basedOn w:val="Normal"/>
    <w:qFormat/>
    <w:rsid w:val="00BE46FB"/>
    <w:pPr>
      <w:tabs>
        <w:tab w:val="clear" w:pos="794"/>
        <w:tab w:val="clear" w:pos="1191"/>
        <w:tab w:val="clear" w:pos="1588"/>
        <w:tab w:val="clear" w:pos="1985"/>
      </w:tabs>
      <w:overflowPunct/>
      <w:autoSpaceDE/>
      <w:autoSpaceDN/>
      <w:adjustRightInd/>
      <w:spacing w:before="0"/>
      <w:jc w:val="left"/>
      <w:textAlignment w:val="auto"/>
    </w:pPr>
    <w:rPr>
      <w:lang w:val="en-US"/>
    </w:rPr>
  </w:style>
  <w:style w:type="character" w:styleId="PlaceholderText">
    <w:name w:val="Placeholder Text"/>
    <w:basedOn w:val="DefaultParagraphFont"/>
    <w:uiPriority w:val="99"/>
    <w:semiHidden/>
    <w:rsid w:val="00BE46FB"/>
    <w:rPr>
      <w:color w:val="808080"/>
    </w:rPr>
  </w:style>
  <w:style w:type="character" w:styleId="CommentReference">
    <w:name w:val="annotation reference"/>
    <w:basedOn w:val="DefaultParagraphFont"/>
    <w:unhideWhenUsed/>
    <w:rsid w:val="00BE46FB"/>
    <w:rPr>
      <w:sz w:val="16"/>
      <w:szCs w:val="16"/>
    </w:rPr>
  </w:style>
  <w:style w:type="paragraph" w:styleId="CommentText">
    <w:name w:val="annotation text"/>
    <w:basedOn w:val="Normal"/>
    <w:link w:val="CommentTextChar"/>
    <w:unhideWhenUsed/>
    <w:rsid w:val="00BE46FB"/>
    <w:rPr>
      <w:sz w:val="20"/>
    </w:rPr>
  </w:style>
  <w:style w:type="character" w:customStyle="1" w:styleId="CommentTextChar">
    <w:name w:val="Comment Text Char"/>
    <w:basedOn w:val="DefaultParagraphFont"/>
    <w:link w:val="CommentText"/>
    <w:rsid w:val="00BE46FB"/>
    <w:rPr>
      <w:lang w:val="fr-FR" w:eastAsia="en-US"/>
    </w:rPr>
  </w:style>
  <w:style w:type="paragraph" w:styleId="CommentSubject">
    <w:name w:val="annotation subject"/>
    <w:basedOn w:val="CommentText"/>
    <w:next w:val="CommentText"/>
    <w:link w:val="CommentSubjectChar"/>
    <w:unhideWhenUsed/>
    <w:rsid w:val="00BE46FB"/>
    <w:rPr>
      <w:b/>
      <w:bCs/>
    </w:rPr>
  </w:style>
  <w:style w:type="character" w:customStyle="1" w:styleId="CommentSubjectChar">
    <w:name w:val="Comment Subject Char"/>
    <w:basedOn w:val="CommentTextChar"/>
    <w:link w:val="CommentSubject"/>
    <w:rsid w:val="00BE46FB"/>
    <w:rPr>
      <w:b/>
      <w:bCs/>
      <w:lang w:val="fr-FR" w:eastAsia="en-US"/>
    </w:rPr>
  </w:style>
  <w:style w:type="paragraph" w:customStyle="1" w:styleId="Artheading">
    <w:name w:val="Art_heading"/>
    <w:basedOn w:val="Normal"/>
    <w:next w:val="Normal"/>
    <w:rsid w:val="002A523D"/>
    <w:pPr>
      <w:tabs>
        <w:tab w:val="clear" w:pos="794"/>
        <w:tab w:val="clear" w:pos="1191"/>
        <w:tab w:val="clear" w:pos="1588"/>
        <w:tab w:val="clear" w:pos="1985"/>
        <w:tab w:val="left" w:pos="1134"/>
        <w:tab w:val="left" w:pos="1871"/>
        <w:tab w:val="left" w:pos="2268"/>
      </w:tabs>
      <w:spacing w:before="480"/>
      <w:jc w:val="center"/>
    </w:pPr>
    <w:rPr>
      <w:rFonts w:ascii="Times New Roman Bold" w:hAnsi="Times New Roman Bold"/>
      <w:b/>
      <w:sz w:val="28"/>
      <w:lang w:val="en-GB"/>
    </w:rPr>
  </w:style>
  <w:style w:type="character" w:styleId="EndnoteReference">
    <w:name w:val="endnote reference"/>
    <w:basedOn w:val="DefaultParagraphFont"/>
    <w:rsid w:val="002A523D"/>
    <w:rPr>
      <w:vertAlign w:val="superscript"/>
    </w:rPr>
  </w:style>
  <w:style w:type="paragraph" w:customStyle="1" w:styleId="Figurewithouttitle">
    <w:name w:val="Figure_without_title"/>
    <w:basedOn w:val="FigureNo"/>
    <w:next w:val="Normal"/>
    <w:rsid w:val="002A523D"/>
    <w:pPr>
      <w:keepNext w:val="0"/>
      <w:tabs>
        <w:tab w:val="clear" w:pos="794"/>
        <w:tab w:val="clear" w:pos="1191"/>
        <w:tab w:val="clear" w:pos="1588"/>
        <w:tab w:val="clear" w:pos="1985"/>
        <w:tab w:val="left" w:pos="1134"/>
        <w:tab w:val="left" w:pos="1871"/>
        <w:tab w:val="left" w:pos="2268"/>
      </w:tabs>
      <w:spacing w:after="120"/>
    </w:pPr>
    <w:rPr>
      <w:sz w:val="20"/>
      <w:lang w:val="en-GB"/>
    </w:rPr>
  </w:style>
  <w:style w:type="paragraph" w:customStyle="1" w:styleId="FirstFooter">
    <w:name w:val="FirstFooter"/>
    <w:basedOn w:val="Footer"/>
    <w:rsid w:val="002A523D"/>
    <w:pPr>
      <w:overflowPunct/>
      <w:autoSpaceDE/>
      <w:autoSpaceDN/>
      <w:adjustRightInd/>
      <w:spacing w:before="40"/>
      <w:jc w:val="left"/>
      <w:textAlignment w:val="auto"/>
    </w:pPr>
    <w:rPr>
      <w:noProof w:val="0"/>
      <w:sz w:val="16"/>
      <w:lang w:val="en-GB"/>
    </w:rPr>
  </w:style>
  <w:style w:type="paragraph" w:customStyle="1" w:styleId="Source">
    <w:name w:val="Source"/>
    <w:basedOn w:val="Normal"/>
    <w:next w:val="Normal"/>
    <w:link w:val="SourceChar"/>
    <w:rsid w:val="002A523D"/>
    <w:pPr>
      <w:tabs>
        <w:tab w:val="clear" w:pos="794"/>
        <w:tab w:val="clear" w:pos="1191"/>
        <w:tab w:val="clear" w:pos="1588"/>
        <w:tab w:val="clear" w:pos="1985"/>
        <w:tab w:val="left" w:pos="1134"/>
        <w:tab w:val="left" w:pos="1871"/>
        <w:tab w:val="left" w:pos="2268"/>
      </w:tabs>
      <w:spacing w:before="840"/>
      <w:jc w:val="center"/>
    </w:pPr>
    <w:rPr>
      <w:b/>
      <w:sz w:val="28"/>
      <w:lang w:val="en-GB"/>
    </w:rPr>
  </w:style>
  <w:style w:type="paragraph" w:customStyle="1" w:styleId="SpecialFooter">
    <w:name w:val="Special Footer"/>
    <w:basedOn w:val="Footer"/>
    <w:rsid w:val="002A523D"/>
    <w:pPr>
      <w:tabs>
        <w:tab w:val="left" w:pos="567"/>
        <w:tab w:val="left" w:pos="1134"/>
        <w:tab w:val="left" w:pos="1701"/>
        <w:tab w:val="left" w:pos="2268"/>
        <w:tab w:val="left" w:pos="2835"/>
        <w:tab w:val="left" w:pos="5954"/>
        <w:tab w:val="right" w:pos="9639"/>
      </w:tabs>
    </w:pPr>
    <w:rPr>
      <w:noProof w:val="0"/>
      <w:sz w:val="16"/>
      <w:lang w:val="en-GB"/>
    </w:rPr>
  </w:style>
  <w:style w:type="paragraph" w:customStyle="1" w:styleId="Tableref">
    <w:name w:val="Table_ref"/>
    <w:basedOn w:val="Normal"/>
    <w:next w:val="Normal"/>
    <w:rsid w:val="002A523D"/>
    <w:pPr>
      <w:keepNext/>
      <w:tabs>
        <w:tab w:val="clear" w:pos="794"/>
        <w:tab w:val="clear" w:pos="1191"/>
        <w:tab w:val="clear" w:pos="1588"/>
        <w:tab w:val="clear" w:pos="1985"/>
        <w:tab w:val="left" w:pos="1134"/>
        <w:tab w:val="left" w:pos="1871"/>
        <w:tab w:val="left" w:pos="2268"/>
      </w:tabs>
      <w:spacing w:before="560"/>
      <w:jc w:val="center"/>
    </w:pPr>
    <w:rPr>
      <w:sz w:val="20"/>
      <w:lang w:val="en-GB"/>
    </w:rPr>
  </w:style>
  <w:style w:type="paragraph" w:customStyle="1" w:styleId="Title1">
    <w:name w:val="Title 1"/>
    <w:basedOn w:val="Source"/>
    <w:next w:val="Normal"/>
    <w:link w:val="Title1Char"/>
    <w:rsid w:val="002A523D"/>
    <w:pPr>
      <w:tabs>
        <w:tab w:val="left" w:pos="567"/>
        <w:tab w:val="left" w:pos="1701"/>
        <w:tab w:val="left" w:pos="2835"/>
      </w:tabs>
      <w:spacing w:before="240"/>
    </w:pPr>
    <w:rPr>
      <w:b w:val="0"/>
      <w:caps/>
    </w:rPr>
  </w:style>
  <w:style w:type="paragraph" w:customStyle="1" w:styleId="Title2">
    <w:name w:val="Title 2"/>
    <w:basedOn w:val="Source"/>
    <w:next w:val="Normal"/>
    <w:rsid w:val="002A523D"/>
    <w:pPr>
      <w:overflowPunct/>
      <w:autoSpaceDE/>
      <w:autoSpaceDN/>
      <w:adjustRightInd/>
      <w:spacing w:before="480"/>
      <w:textAlignment w:val="auto"/>
    </w:pPr>
    <w:rPr>
      <w:b w:val="0"/>
      <w:caps/>
    </w:rPr>
  </w:style>
  <w:style w:type="paragraph" w:customStyle="1" w:styleId="Title3">
    <w:name w:val="Title 3"/>
    <w:basedOn w:val="Title2"/>
    <w:next w:val="Normal"/>
    <w:link w:val="Title3Char"/>
    <w:rsid w:val="002A523D"/>
    <w:pPr>
      <w:spacing w:before="240"/>
    </w:pPr>
    <w:rPr>
      <w:caps w:val="0"/>
    </w:rPr>
  </w:style>
  <w:style w:type="paragraph" w:customStyle="1" w:styleId="Title4">
    <w:name w:val="Title 4"/>
    <w:basedOn w:val="Title3"/>
    <w:next w:val="Heading1"/>
    <w:rsid w:val="002A523D"/>
    <w:rPr>
      <w:b/>
    </w:rPr>
  </w:style>
  <w:style w:type="character" w:customStyle="1" w:styleId="Appdef">
    <w:name w:val="App_def"/>
    <w:basedOn w:val="DefaultParagraphFont"/>
    <w:rsid w:val="002A523D"/>
    <w:rPr>
      <w:rFonts w:ascii="Times New Roman" w:hAnsi="Times New Roman"/>
      <w:b/>
    </w:rPr>
  </w:style>
  <w:style w:type="character" w:customStyle="1" w:styleId="Appref">
    <w:name w:val="App_ref"/>
    <w:basedOn w:val="DefaultParagraphFont"/>
    <w:rsid w:val="002A523D"/>
  </w:style>
  <w:style w:type="character" w:customStyle="1" w:styleId="Artdef">
    <w:name w:val="Art_def"/>
    <w:basedOn w:val="DefaultParagraphFont"/>
    <w:rsid w:val="002A523D"/>
    <w:rPr>
      <w:rFonts w:ascii="Times New Roman" w:hAnsi="Times New Roman"/>
      <w:b/>
    </w:rPr>
  </w:style>
  <w:style w:type="character" w:customStyle="1" w:styleId="Artref">
    <w:name w:val="Art_ref"/>
    <w:basedOn w:val="DefaultParagraphFont"/>
    <w:rsid w:val="002A523D"/>
  </w:style>
  <w:style w:type="character" w:customStyle="1" w:styleId="Recdef">
    <w:name w:val="Rec_def"/>
    <w:basedOn w:val="DefaultParagraphFont"/>
    <w:rsid w:val="002A523D"/>
    <w:rPr>
      <w:b/>
    </w:rPr>
  </w:style>
  <w:style w:type="character" w:customStyle="1" w:styleId="Resdef">
    <w:name w:val="Res_def"/>
    <w:basedOn w:val="DefaultParagraphFont"/>
    <w:rsid w:val="002A523D"/>
    <w:rPr>
      <w:rFonts w:ascii="Times New Roman" w:hAnsi="Times New Roman"/>
      <w:b/>
    </w:rPr>
  </w:style>
  <w:style w:type="character" w:customStyle="1" w:styleId="Tablefreq">
    <w:name w:val="Table_freq"/>
    <w:basedOn w:val="DefaultParagraphFont"/>
    <w:rsid w:val="002A523D"/>
    <w:rPr>
      <w:b/>
      <w:color w:val="auto"/>
      <w:sz w:val="20"/>
    </w:rPr>
  </w:style>
  <w:style w:type="paragraph" w:customStyle="1" w:styleId="Formal">
    <w:name w:val="Formal"/>
    <w:basedOn w:val="ASN1"/>
    <w:rsid w:val="002A523D"/>
    <w:pPr>
      <w:tabs>
        <w:tab w:val="left" w:pos="1871"/>
      </w:tabs>
      <w:jc w:val="left"/>
    </w:pPr>
    <w:rPr>
      <w:rFonts w:ascii="Times New Roman Bold" w:hAnsi="Times New Roman Bold"/>
      <w:b w:val="0"/>
      <w:lang w:val="en-GB"/>
    </w:rPr>
  </w:style>
  <w:style w:type="paragraph" w:customStyle="1" w:styleId="Section1">
    <w:name w:val="Section_1"/>
    <w:basedOn w:val="Normal"/>
    <w:link w:val="Section1Char"/>
    <w:rsid w:val="002A523D"/>
    <w:pPr>
      <w:tabs>
        <w:tab w:val="clear" w:pos="794"/>
        <w:tab w:val="clear" w:pos="1191"/>
        <w:tab w:val="clear" w:pos="1588"/>
        <w:tab w:val="clear" w:pos="1985"/>
        <w:tab w:val="center" w:pos="4820"/>
      </w:tabs>
      <w:spacing w:before="360"/>
      <w:jc w:val="center"/>
    </w:pPr>
    <w:rPr>
      <w:b/>
      <w:lang w:val="en-GB"/>
    </w:rPr>
  </w:style>
  <w:style w:type="paragraph" w:customStyle="1" w:styleId="Section2">
    <w:name w:val="Section_2"/>
    <w:basedOn w:val="Section1"/>
    <w:rsid w:val="002A523D"/>
    <w:rPr>
      <w:b w:val="0"/>
      <w:i/>
    </w:rPr>
  </w:style>
  <w:style w:type="paragraph" w:customStyle="1" w:styleId="AnnexNo">
    <w:name w:val="Annex_No"/>
    <w:basedOn w:val="Normal"/>
    <w:next w:val="Normal"/>
    <w:link w:val="AnnexNoCar"/>
    <w:rsid w:val="002A523D"/>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paragraph" w:customStyle="1" w:styleId="Annextitle">
    <w:name w:val="Annex_title"/>
    <w:basedOn w:val="Normal"/>
    <w:next w:val="Normal"/>
    <w:link w:val="AnnextitleChar1"/>
    <w:rsid w:val="002A523D"/>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paragraph" w:customStyle="1" w:styleId="AppendixNo">
    <w:name w:val="Appendix_No"/>
    <w:basedOn w:val="AnnexNo"/>
    <w:next w:val="Annexref"/>
    <w:rsid w:val="002A523D"/>
  </w:style>
  <w:style w:type="paragraph" w:customStyle="1" w:styleId="Appendixtitle">
    <w:name w:val="Appendix_title"/>
    <w:basedOn w:val="Annextitle"/>
    <w:next w:val="Normal"/>
    <w:rsid w:val="002A523D"/>
  </w:style>
  <w:style w:type="paragraph" w:customStyle="1" w:styleId="Border">
    <w:name w:val="Border"/>
    <w:basedOn w:val="Normal"/>
    <w:rsid w:val="002A523D"/>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b/>
      <w:noProof/>
      <w:sz w:val="20"/>
      <w:lang w:val="en-GB"/>
    </w:rPr>
  </w:style>
  <w:style w:type="paragraph" w:styleId="Index4">
    <w:name w:val="index 4"/>
    <w:basedOn w:val="Normal"/>
    <w:next w:val="Normal"/>
    <w:rsid w:val="002A523D"/>
    <w:pPr>
      <w:tabs>
        <w:tab w:val="clear" w:pos="794"/>
        <w:tab w:val="clear" w:pos="1191"/>
        <w:tab w:val="clear" w:pos="1588"/>
        <w:tab w:val="clear" w:pos="1985"/>
        <w:tab w:val="left" w:pos="1134"/>
        <w:tab w:val="left" w:pos="1871"/>
        <w:tab w:val="left" w:pos="2268"/>
      </w:tabs>
      <w:ind w:left="849"/>
      <w:jc w:val="left"/>
    </w:pPr>
    <w:rPr>
      <w:lang w:val="en-GB"/>
    </w:rPr>
  </w:style>
  <w:style w:type="paragraph" w:styleId="Index5">
    <w:name w:val="index 5"/>
    <w:basedOn w:val="Normal"/>
    <w:next w:val="Normal"/>
    <w:rsid w:val="002A523D"/>
    <w:pPr>
      <w:tabs>
        <w:tab w:val="clear" w:pos="794"/>
        <w:tab w:val="clear" w:pos="1191"/>
        <w:tab w:val="clear" w:pos="1588"/>
        <w:tab w:val="clear" w:pos="1985"/>
        <w:tab w:val="left" w:pos="1134"/>
        <w:tab w:val="left" w:pos="1871"/>
        <w:tab w:val="left" w:pos="2268"/>
      </w:tabs>
      <w:ind w:left="1132"/>
      <w:jc w:val="left"/>
    </w:pPr>
    <w:rPr>
      <w:lang w:val="en-GB"/>
    </w:rPr>
  </w:style>
  <w:style w:type="paragraph" w:styleId="Index6">
    <w:name w:val="index 6"/>
    <w:basedOn w:val="Normal"/>
    <w:next w:val="Normal"/>
    <w:rsid w:val="002A523D"/>
    <w:pPr>
      <w:tabs>
        <w:tab w:val="clear" w:pos="794"/>
        <w:tab w:val="clear" w:pos="1191"/>
        <w:tab w:val="clear" w:pos="1588"/>
        <w:tab w:val="clear" w:pos="1985"/>
        <w:tab w:val="left" w:pos="1134"/>
        <w:tab w:val="left" w:pos="1871"/>
        <w:tab w:val="left" w:pos="2268"/>
      </w:tabs>
      <w:ind w:left="1415"/>
      <w:jc w:val="left"/>
    </w:pPr>
    <w:rPr>
      <w:lang w:val="en-GB"/>
    </w:rPr>
  </w:style>
  <w:style w:type="paragraph" w:styleId="Index7">
    <w:name w:val="index 7"/>
    <w:basedOn w:val="Normal"/>
    <w:next w:val="Normal"/>
    <w:rsid w:val="002A523D"/>
    <w:pPr>
      <w:tabs>
        <w:tab w:val="clear" w:pos="794"/>
        <w:tab w:val="clear" w:pos="1191"/>
        <w:tab w:val="clear" w:pos="1588"/>
        <w:tab w:val="clear" w:pos="1985"/>
        <w:tab w:val="left" w:pos="1134"/>
        <w:tab w:val="left" w:pos="1871"/>
        <w:tab w:val="left" w:pos="2268"/>
      </w:tabs>
      <w:ind w:left="1698"/>
      <w:jc w:val="left"/>
    </w:pPr>
    <w:rPr>
      <w:lang w:val="en-GB"/>
    </w:rPr>
  </w:style>
  <w:style w:type="character" w:styleId="LineNumber">
    <w:name w:val="line number"/>
    <w:basedOn w:val="DefaultParagraphFont"/>
    <w:rsid w:val="002A523D"/>
  </w:style>
  <w:style w:type="paragraph" w:customStyle="1" w:styleId="Normalaftertitle0">
    <w:name w:val="Normal after title"/>
    <w:basedOn w:val="Normal"/>
    <w:next w:val="Normal"/>
    <w:link w:val="NormalaftertitleChar0"/>
    <w:rsid w:val="002A523D"/>
    <w:pPr>
      <w:tabs>
        <w:tab w:val="clear" w:pos="794"/>
        <w:tab w:val="clear" w:pos="1191"/>
        <w:tab w:val="clear" w:pos="1588"/>
        <w:tab w:val="clear" w:pos="1985"/>
        <w:tab w:val="left" w:pos="1134"/>
        <w:tab w:val="left" w:pos="1871"/>
        <w:tab w:val="left" w:pos="2268"/>
      </w:tabs>
      <w:spacing w:before="280"/>
      <w:jc w:val="left"/>
    </w:pPr>
    <w:rPr>
      <w:lang w:val="en-GB"/>
    </w:rPr>
  </w:style>
  <w:style w:type="paragraph" w:customStyle="1" w:styleId="Proposal">
    <w:name w:val="Proposal"/>
    <w:basedOn w:val="Normal"/>
    <w:next w:val="Normal"/>
    <w:link w:val="ProposalChar"/>
    <w:rsid w:val="002A523D"/>
    <w:pPr>
      <w:keepNext/>
      <w:tabs>
        <w:tab w:val="clear" w:pos="794"/>
        <w:tab w:val="clear" w:pos="1191"/>
        <w:tab w:val="clear" w:pos="1588"/>
        <w:tab w:val="clear" w:pos="1985"/>
        <w:tab w:val="left" w:pos="1134"/>
        <w:tab w:val="left" w:pos="1871"/>
        <w:tab w:val="left" w:pos="2268"/>
      </w:tabs>
      <w:spacing w:before="240"/>
      <w:jc w:val="left"/>
    </w:pPr>
    <w:rPr>
      <w:rFonts w:hAnsi="Times New Roman Bold"/>
      <w:b/>
      <w:lang w:val="en-GB"/>
    </w:rPr>
  </w:style>
  <w:style w:type="paragraph" w:customStyle="1" w:styleId="Section3">
    <w:name w:val="Section_3"/>
    <w:basedOn w:val="Section1"/>
    <w:rsid w:val="002A523D"/>
    <w:rPr>
      <w:b w:val="0"/>
    </w:rPr>
  </w:style>
  <w:style w:type="paragraph" w:customStyle="1" w:styleId="TableTextS5">
    <w:name w:val="Table_TextS5"/>
    <w:basedOn w:val="Normal"/>
    <w:link w:val="TableTextS5Char"/>
    <w:rsid w:val="002A523D"/>
    <w:pPr>
      <w:tabs>
        <w:tab w:val="clear" w:pos="794"/>
        <w:tab w:val="clear" w:pos="1191"/>
        <w:tab w:val="clear" w:pos="1588"/>
        <w:tab w:val="clear" w:pos="1985"/>
        <w:tab w:val="left" w:pos="170"/>
        <w:tab w:val="left" w:pos="567"/>
        <w:tab w:val="left" w:pos="737"/>
        <w:tab w:val="left" w:pos="2977"/>
        <w:tab w:val="left" w:pos="3266"/>
      </w:tabs>
      <w:spacing w:before="40" w:after="40"/>
      <w:jc w:val="left"/>
    </w:pPr>
    <w:rPr>
      <w:sz w:val="20"/>
      <w:lang w:val="en-GB"/>
    </w:rPr>
  </w:style>
  <w:style w:type="paragraph" w:customStyle="1" w:styleId="Agendaitem">
    <w:name w:val="Agenda_item"/>
    <w:basedOn w:val="Normal"/>
    <w:next w:val="Normal"/>
    <w:qFormat/>
    <w:rsid w:val="002A523D"/>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sz w:val="28"/>
      <w:lang w:val="es-ES_tradnl"/>
    </w:rPr>
  </w:style>
  <w:style w:type="paragraph" w:customStyle="1" w:styleId="AppArtNo">
    <w:name w:val="App_Art_No"/>
    <w:basedOn w:val="ArtNo"/>
    <w:qFormat/>
    <w:rsid w:val="002A523D"/>
    <w:pPr>
      <w:tabs>
        <w:tab w:val="clear" w:pos="794"/>
        <w:tab w:val="clear" w:pos="1191"/>
        <w:tab w:val="clear" w:pos="1588"/>
        <w:tab w:val="clear" w:pos="1985"/>
        <w:tab w:val="left" w:pos="1134"/>
        <w:tab w:val="left" w:pos="1871"/>
        <w:tab w:val="left" w:pos="2268"/>
      </w:tabs>
    </w:pPr>
    <w:rPr>
      <w:caps/>
      <w:lang w:val="en-GB"/>
    </w:rPr>
  </w:style>
  <w:style w:type="paragraph" w:customStyle="1" w:styleId="AppArttitle">
    <w:name w:val="App_Art_title"/>
    <w:basedOn w:val="Arttitle"/>
    <w:qFormat/>
    <w:rsid w:val="002A523D"/>
    <w:pPr>
      <w:tabs>
        <w:tab w:val="clear" w:pos="794"/>
        <w:tab w:val="clear" w:pos="1191"/>
        <w:tab w:val="clear" w:pos="1588"/>
        <w:tab w:val="clear" w:pos="1985"/>
        <w:tab w:val="left" w:pos="1134"/>
        <w:tab w:val="left" w:pos="1871"/>
        <w:tab w:val="left" w:pos="2268"/>
      </w:tabs>
    </w:pPr>
    <w:rPr>
      <w:lang w:val="en-GB"/>
    </w:rPr>
  </w:style>
  <w:style w:type="paragraph" w:customStyle="1" w:styleId="ApptoAnnex">
    <w:name w:val="App_to_Annex"/>
    <w:basedOn w:val="AppendixNo"/>
    <w:next w:val="Normal"/>
    <w:qFormat/>
    <w:rsid w:val="002A523D"/>
  </w:style>
  <w:style w:type="paragraph" w:customStyle="1" w:styleId="Committee">
    <w:name w:val="Committee"/>
    <w:basedOn w:val="Normal"/>
    <w:qFormat/>
    <w:rsid w:val="002A523D"/>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hAnsiTheme="minorHAnsi" w:cstheme="minorHAnsi"/>
      <w:b/>
      <w:szCs w:val="24"/>
      <w:lang w:val="en-GB"/>
    </w:rPr>
  </w:style>
  <w:style w:type="paragraph" w:customStyle="1" w:styleId="Normalend">
    <w:name w:val="Normal_end"/>
    <w:basedOn w:val="Normal"/>
    <w:next w:val="Normal"/>
    <w:qFormat/>
    <w:rsid w:val="002A523D"/>
    <w:pPr>
      <w:tabs>
        <w:tab w:val="clear" w:pos="794"/>
        <w:tab w:val="clear" w:pos="1191"/>
        <w:tab w:val="clear" w:pos="1588"/>
        <w:tab w:val="clear" w:pos="1985"/>
        <w:tab w:val="left" w:pos="1134"/>
        <w:tab w:val="left" w:pos="1871"/>
        <w:tab w:val="left" w:pos="2268"/>
      </w:tabs>
      <w:jc w:val="left"/>
    </w:pPr>
    <w:rPr>
      <w:lang w:val="en-US"/>
    </w:rPr>
  </w:style>
  <w:style w:type="paragraph" w:customStyle="1" w:styleId="Part1">
    <w:name w:val="Part_1"/>
    <w:basedOn w:val="Section1"/>
    <w:next w:val="Section1"/>
    <w:qFormat/>
    <w:rsid w:val="002A523D"/>
  </w:style>
  <w:style w:type="paragraph" w:customStyle="1" w:styleId="Subsection1">
    <w:name w:val="Subsection_1"/>
    <w:basedOn w:val="Section1"/>
    <w:next w:val="Normalaftertitle0"/>
    <w:qFormat/>
    <w:rsid w:val="002A523D"/>
  </w:style>
  <w:style w:type="paragraph" w:customStyle="1" w:styleId="Volumetitle">
    <w:name w:val="Volume_title"/>
    <w:basedOn w:val="Normal"/>
    <w:qFormat/>
    <w:rsid w:val="002A523D"/>
    <w:pPr>
      <w:tabs>
        <w:tab w:val="clear" w:pos="794"/>
        <w:tab w:val="clear" w:pos="1191"/>
        <w:tab w:val="clear" w:pos="1588"/>
        <w:tab w:val="clear" w:pos="1985"/>
        <w:tab w:val="left" w:pos="1134"/>
        <w:tab w:val="left" w:pos="1871"/>
        <w:tab w:val="left" w:pos="2268"/>
      </w:tabs>
      <w:jc w:val="center"/>
    </w:pPr>
    <w:rPr>
      <w:b/>
      <w:bCs/>
      <w:sz w:val="28"/>
      <w:szCs w:val="28"/>
      <w:lang w:val="en-GB"/>
    </w:rPr>
  </w:style>
  <w:style w:type="paragraph" w:styleId="Caption">
    <w:name w:val="caption"/>
    <w:aliases w:val="caption-figure,Caption Char,ECC Caption,Ca"/>
    <w:basedOn w:val="Normal"/>
    <w:next w:val="Normal"/>
    <w:uiPriority w:val="35"/>
    <w:qFormat/>
    <w:rsid w:val="002A523D"/>
    <w:pPr>
      <w:tabs>
        <w:tab w:val="clear" w:pos="794"/>
        <w:tab w:val="clear" w:pos="1191"/>
        <w:tab w:val="clear" w:pos="1588"/>
        <w:tab w:val="clear" w:pos="1985"/>
      </w:tabs>
      <w:overflowPunct/>
      <w:autoSpaceDE/>
      <w:autoSpaceDN/>
      <w:adjustRightInd/>
      <w:spacing w:before="0" w:after="200"/>
      <w:textAlignment w:val="auto"/>
    </w:pPr>
    <w:rPr>
      <w:rFonts w:ascii="Arial" w:eastAsia="SimSun" w:hAnsi="Arial" w:cs="Arial"/>
      <w:b/>
      <w:bCs/>
      <w:color w:val="D34817"/>
      <w:sz w:val="18"/>
      <w:szCs w:val="18"/>
      <w:lang w:val="pt-BR" w:eastAsia="zh-CN"/>
    </w:rPr>
  </w:style>
  <w:style w:type="paragraph" w:customStyle="1" w:styleId="SemEspaamento1">
    <w:name w:val="Sem Espaçamento1"/>
    <w:rsid w:val="002A523D"/>
    <w:pPr>
      <w:spacing w:before="120" w:after="120"/>
    </w:pPr>
    <w:rPr>
      <w:lang w:eastAsia="en-US"/>
    </w:rPr>
  </w:style>
  <w:style w:type="character" w:customStyle="1" w:styleId="Title1Char">
    <w:name w:val="Title 1 Char"/>
    <w:link w:val="Title1"/>
    <w:locked/>
    <w:rsid w:val="002A523D"/>
    <w:rPr>
      <w:caps/>
      <w:sz w:val="28"/>
      <w:lang w:val="en-GB" w:eastAsia="en-US"/>
    </w:rPr>
  </w:style>
  <w:style w:type="character" w:customStyle="1" w:styleId="Title3Char">
    <w:name w:val="Title 3 Char"/>
    <w:basedOn w:val="DefaultParagraphFont"/>
    <w:link w:val="Title3"/>
    <w:locked/>
    <w:rsid w:val="002A523D"/>
    <w:rPr>
      <w:sz w:val="28"/>
      <w:lang w:val="en-GB" w:eastAsia="en-US"/>
    </w:rPr>
  </w:style>
  <w:style w:type="character" w:customStyle="1" w:styleId="NormalaftertitleChar0">
    <w:name w:val="Normal after title Char"/>
    <w:basedOn w:val="DefaultParagraphFont"/>
    <w:link w:val="Normalaftertitle0"/>
    <w:locked/>
    <w:rsid w:val="002A523D"/>
    <w:rPr>
      <w:sz w:val="24"/>
      <w:lang w:val="en-GB" w:eastAsia="en-US"/>
    </w:rPr>
  </w:style>
  <w:style w:type="character" w:customStyle="1" w:styleId="ArtNoChar">
    <w:name w:val="Art_No Char"/>
    <w:basedOn w:val="DefaultParagraphFont"/>
    <w:link w:val="ArtNo"/>
    <w:locked/>
    <w:rsid w:val="002A523D"/>
    <w:rPr>
      <w:sz w:val="28"/>
      <w:lang w:val="fr-FR" w:eastAsia="en-US"/>
    </w:rPr>
  </w:style>
  <w:style w:type="character" w:customStyle="1" w:styleId="Section1Char">
    <w:name w:val="Section_1 Char"/>
    <w:basedOn w:val="DefaultParagraphFont"/>
    <w:link w:val="Section1"/>
    <w:locked/>
    <w:rsid w:val="002A523D"/>
    <w:rPr>
      <w:b/>
      <w:sz w:val="24"/>
      <w:lang w:val="en-GB" w:eastAsia="en-US"/>
    </w:rPr>
  </w:style>
  <w:style w:type="character" w:customStyle="1" w:styleId="ProposalChar">
    <w:name w:val="Proposal Char"/>
    <w:basedOn w:val="DefaultParagraphFont"/>
    <w:link w:val="Proposal"/>
    <w:locked/>
    <w:rsid w:val="002A523D"/>
    <w:rPr>
      <w:rFonts w:hAnsi="Times New Roman Bold"/>
      <w:b/>
      <w:sz w:val="24"/>
      <w:lang w:val="en-GB" w:eastAsia="en-US"/>
    </w:rPr>
  </w:style>
  <w:style w:type="character" w:customStyle="1" w:styleId="TableTextS5Char">
    <w:name w:val="Table_TextS5 Char"/>
    <w:basedOn w:val="DefaultParagraphFont"/>
    <w:link w:val="TableTextS5"/>
    <w:rsid w:val="002A523D"/>
    <w:rPr>
      <w:lang w:val="en-GB" w:eastAsia="en-US"/>
    </w:rPr>
  </w:style>
  <w:style w:type="character" w:customStyle="1" w:styleId="SourceChar">
    <w:name w:val="Source Char"/>
    <w:link w:val="Source"/>
    <w:locked/>
    <w:rsid w:val="002A523D"/>
    <w:rPr>
      <w:b/>
      <w:sz w:val="28"/>
      <w:lang w:val="en-GB" w:eastAsia="en-US"/>
    </w:rPr>
  </w:style>
  <w:style w:type="paragraph" w:customStyle="1" w:styleId="Default">
    <w:name w:val="Default"/>
    <w:rsid w:val="002A523D"/>
    <w:pPr>
      <w:autoSpaceDE w:val="0"/>
      <w:autoSpaceDN w:val="0"/>
      <w:adjustRightInd w:val="0"/>
    </w:pPr>
    <w:rPr>
      <w:rFonts w:ascii="Arial" w:eastAsiaTheme="minorHAnsi" w:hAnsi="Arial" w:cs="Arial"/>
      <w:color w:val="000000"/>
      <w:sz w:val="24"/>
      <w:szCs w:val="24"/>
      <w:lang w:eastAsia="en-US" w:bidi="ta-IN"/>
    </w:rPr>
  </w:style>
  <w:style w:type="paragraph" w:styleId="ListParagraph">
    <w:name w:val="List Paragraph"/>
    <w:basedOn w:val="Normal"/>
    <w:link w:val="ListParagraphChar"/>
    <w:uiPriority w:val="34"/>
    <w:qFormat/>
    <w:rsid w:val="002A523D"/>
    <w:pPr>
      <w:tabs>
        <w:tab w:val="clear" w:pos="794"/>
        <w:tab w:val="clear" w:pos="1191"/>
        <w:tab w:val="clear" w:pos="1588"/>
        <w:tab w:val="clear" w:pos="1985"/>
        <w:tab w:val="left" w:pos="1134"/>
        <w:tab w:val="left" w:pos="1871"/>
        <w:tab w:val="left" w:pos="2268"/>
      </w:tabs>
      <w:ind w:left="720"/>
      <w:contextualSpacing/>
      <w:jc w:val="left"/>
    </w:pPr>
    <w:rPr>
      <w:rFonts w:eastAsia="Batang"/>
      <w:lang w:val="en-GB"/>
    </w:rPr>
  </w:style>
  <w:style w:type="character" w:customStyle="1" w:styleId="ListParagraphChar">
    <w:name w:val="List Paragraph Char"/>
    <w:link w:val="ListParagraph"/>
    <w:uiPriority w:val="34"/>
    <w:locked/>
    <w:rsid w:val="002A523D"/>
    <w:rPr>
      <w:rFonts w:eastAsia="Batang"/>
      <w:sz w:val="24"/>
      <w:lang w:val="en-GB" w:eastAsia="en-US"/>
    </w:rPr>
  </w:style>
  <w:style w:type="paragraph" w:styleId="NormalWeb">
    <w:name w:val="Normal (Web)"/>
    <w:basedOn w:val="Normal"/>
    <w:uiPriority w:val="99"/>
    <w:unhideWhenUsed/>
    <w:rsid w:val="002A523D"/>
    <w:pPr>
      <w:tabs>
        <w:tab w:val="clear" w:pos="794"/>
        <w:tab w:val="clear" w:pos="1191"/>
        <w:tab w:val="clear" w:pos="1588"/>
        <w:tab w:val="clear" w:pos="1985"/>
      </w:tabs>
      <w:overflowPunct/>
      <w:autoSpaceDE/>
      <w:autoSpaceDN/>
      <w:adjustRightInd/>
      <w:spacing w:before="0"/>
      <w:jc w:val="left"/>
      <w:textAlignment w:val="auto"/>
    </w:pPr>
    <w:rPr>
      <w:rFonts w:eastAsiaTheme="minorHAnsi"/>
      <w:szCs w:val="24"/>
      <w:lang w:val="en-US" w:bidi="ta-IN"/>
    </w:rPr>
  </w:style>
  <w:style w:type="character" w:customStyle="1" w:styleId="AnnextitleChar1">
    <w:name w:val="Annex_title Char1"/>
    <w:link w:val="Annextitle"/>
    <w:locked/>
    <w:rsid w:val="002A523D"/>
    <w:rPr>
      <w:rFonts w:ascii="Times New Roman Bold" w:hAnsi="Times New Roman Bold"/>
      <w:b/>
      <w:sz w:val="28"/>
      <w:lang w:val="en-GB" w:eastAsia="en-US"/>
    </w:rPr>
  </w:style>
  <w:style w:type="character" w:customStyle="1" w:styleId="CommentTextChar1">
    <w:name w:val="Comment Text Char1"/>
    <w:basedOn w:val="DefaultParagraphFont"/>
    <w:semiHidden/>
    <w:rsid w:val="002A523D"/>
    <w:rPr>
      <w:rFonts w:ascii="Times New Roman" w:hAnsi="Times New Roman"/>
      <w:lang w:val="en-GB" w:eastAsia="en-US"/>
    </w:rPr>
  </w:style>
  <w:style w:type="character" w:customStyle="1" w:styleId="CommentSubjectChar1">
    <w:name w:val="Comment Subject Char1"/>
    <w:basedOn w:val="CommentTextChar1"/>
    <w:semiHidden/>
    <w:rsid w:val="002A523D"/>
    <w:rPr>
      <w:rFonts w:ascii="Times New Roman" w:hAnsi="Times New Roman"/>
      <w:b/>
      <w:bCs/>
      <w:lang w:val="en-GB" w:eastAsia="en-US"/>
    </w:rPr>
  </w:style>
  <w:style w:type="paragraph" w:styleId="Revision">
    <w:name w:val="Revision"/>
    <w:hidden/>
    <w:uiPriority w:val="99"/>
    <w:semiHidden/>
    <w:rsid w:val="002A523D"/>
    <w:rPr>
      <w:rFonts w:eastAsia="Batang"/>
      <w:sz w:val="24"/>
      <w:lang w:val="en-GB" w:eastAsia="en-US"/>
    </w:rPr>
  </w:style>
  <w:style w:type="table" w:customStyle="1" w:styleId="TableGrid1">
    <w:name w:val="Table Grid1"/>
    <w:basedOn w:val="TableNormal"/>
    <w:next w:val="TableGrid"/>
    <w:uiPriority w:val="99"/>
    <w:rsid w:val="002A523D"/>
    <w:rPr>
      <w:rFonts w:ascii="CG Times" w:eastAsia="Batang"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quationlegendChar">
    <w:name w:val="Equation_legend Char"/>
    <w:link w:val="Equationlegend"/>
    <w:locked/>
    <w:rsid w:val="002A523D"/>
    <w:rPr>
      <w:sz w:val="24"/>
      <w:lang w:eastAsia="en-US"/>
    </w:rPr>
  </w:style>
  <w:style w:type="character" w:customStyle="1" w:styleId="AnnexNoCar">
    <w:name w:val="Annex_No Car"/>
    <w:link w:val="AnnexNo"/>
    <w:locked/>
    <w:rsid w:val="002A523D"/>
    <w:rPr>
      <w:caps/>
      <w:sz w:val="28"/>
      <w:lang w:val="en-GB" w:eastAsia="en-US"/>
    </w:rPr>
  </w:style>
  <w:style w:type="character" w:customStyle="1" w:styleId="RecNoChar">
    <w:name w:val="Rec_No Char"/>
    <w:link w:val="RecNo"/>
    <w:locked/>
    <w:rsid w:val="002A523D"/>
    <w:rPr>
      <w:sz w:val="28"/>
      <w:lang w:val="fr-FR" w:eastAsia="en-US"/>
    </w:rPr>
  </w:style>
  <w:style w:type="paragraph" w:styleId="DocumentMap">
    <w:name w:val="Document Map"/>
    <w:basedOn w:val="Normal"/>
    <w:link w:val="DocumentMapChar"/>
    <w:rsid w:val="002A523D"/>
    <w:pPr>
      <w:shd w:val="clear" w:color="auto" w:fill="000080"/>
      <w:tabs>
        <w:tab w:val="clear" w:pos="794"/>
        <w:tab w:val="clear" w:pos="1191"/>
        <w:tab w:val="clear" w:pos="1588"/>
        <w:tab w:val="clear" w:pos="1985"/>
      </w:tabs>
      <w:overflowPunct/>
      <w:autoSpaceDE/>
      <w:autoSpaceDN/>
      <w:adjustRightInd/>
      <w:spacing w:before="0" w:after="120"/>
      <w:textAlignment w:val="auto"/>
    </w:pPr>
    <w:rPr>
      <w:rFonts w:ascii="Tahoma" w:eastAsia="Batang" w:hAnsi="Tahoma"/>
      <w:sz w:val="22"/>
      <w:lang w:val="nb-NO" w:eastAsia="de-DE"/>
    </w:rPr>
  </w:style>
  <w:style w:type="character" w:customStyle="1" w:styleId="DocumentMapChar">
    <w:name w:val="Document Map Char"/>
    <w:basedOn w:val="DefaultParagraphFont"/>
    <w:link w:val="DocumentMap"/>
    <w:rsid w:val="002A523D"/>
    <w:rPr>
      <w:rFonts w:ascii="Tahoma" w:eastAsia="Batang" w:hAnsi="Tahoma"/>
      <w:sz w:val="22"/>
      <w:shd w:val="clear" w:color="auto" w:fill="000080"/>
      <w:lang w:val="nb-NO" w:eastAsia="de-DE"/>
    </w:rPr>
  </w:style>
  <w:style w:type="paragraph" w:styleId="Title">
    <w:name w:val="Title"/>
    <w:basedOn w:val="Normal"/>
    <w:link w:val="TitleChar"/>
    <w:qFormat/>
    <w:rsid w:val="002A523D"/>
    <w:pPr>
      <w:tabs>
        <w:tab w:val="clear" w:pos="794"/>
        <w:tab w:val="clear" w:pos="1191"/>
        <w:tab w:val="clear" w:pos="1588"/>
        <w:tab w:val="clear" w:pos="1985"/>
      </w:tabs>
      <w:overflowPunct/>
      <w:autoSpaceDE/>
      <w:autoSpaceDN/>
      <w:adjustRightInd/>
      <w:spacing w:before="0" w:after="120"/>
      <w:jc w:val="center"/>
      <w:textAlignment w:val="auto"/>
    </w:pPr>
    <w:rPr>
      <w:rFonts w:ascii="Arial" w:eastAsia="Batang" w:hAnsi="Arial"/>
      <w:b/>
      <w:sz w:val="28"/>
      <w:lang w:val="de-DE" w:eastAsia="de-DE"/>
    </w:rPr>
  </w:style>
  <w:style w:type="character" w:customStyle="1" w:styleId="TitleChar">
    <w:name w:val="Title Char"/>
    <w:basedOn w:val="DefaultParagraphFont"/>
    <w:link w:val="Title"/>
    <w:rsid w:val="002A523D"/>
    <w:rPr>
      <w:rFonts w:ascii="Arial" w:eastAsia="Batang" w:hAnsi="Arial"/>
      <w:b/>
      <w:sz w:val="28"/>
      <w:lang w:val="de-DE" w:eastAsia="de-DE"/>
    </w:rPr>
  </w:style>
  <w:style w:type="paragraph" w:customStyle="1" w:styleId="Header1">
    <w:name w:val="Header1"/>
    <w:basedOn w:val="Header"/>
    <w:link w:val="HeaderZchnZchn"/>
    <w:rsid w:val="002A523D"/>
    <w:pPr>
      <w:tabs>
        <w:tab w:val="clear" w:pos="4848"/>
        <w:tab w:val="clear" w:pos="9696"/>
        <w:tab w:val="center" w:pos="4536"/>
        <w:tab w:val="right" w:pos="9072"/>
      </w:tabs>
      <w:overflowPunct/>
      <w:autoSpaceDE/>
      <w:autoSpaceDN/>
      <w:adjustRightInd/>
      <w:spacing w:before="60"/>
      <w:jc w:val="left"/>
      <w:textAlignment w:val="auto"/>
    </w:pPr>
    <w:rPr>
      <w:rFonts w:ascii="Arial" w:eastAsia="Batang" w:hAnsi="Arial"/>
      <w:b/>
      <w:sz w:val="22"/>
      <w:lang w:val="nb-NO" w:eastAsia="de-DE"/>
    </w:rPr>
  </w:style>
  <w:style w:type="character" w:customStyle="1" w:styleId="HeaderZchnZchn">
    <w:name w:val="Header Zchn Zchn"/>
    <w:link w:val="Header1"/>
    <w:rsid w:val="002A523D"/>
    <w:rPr>
      <w:rFonts w:ascii="Arial" w:eastAsia="Batang" w:hAnsi="Arial"/>
      <w:b/>
      <w:sz w:val="22"/>
      <w:lang w:val="nb-NO" w:eastAsia="de-DE"/>
    </w:rPr>
  </w:style>
  <w:style w:type="paragraph" w:customStyle="1" w:styleId="TableHead0">
    <w:name w:val="Table_Head"/>
    <w:basedOn w:val="Tabletext"/>
    <w:uiPriority w:val="99"/>
    <w:rsid w:val="002A523D"/>
    <w:pPr>
      <w:keepNext/>
      <w:overflowPunct/>
      <w:autoSpaceDE/>
      <w:autoSpaceDN/>
      <w:adjustRightInd/>
      <w:spacing w:before="80" w:after="80"/>
      <w:jc w:val="center"/>
      <w:textAlignment w:val="auto"/>
    </w:pPr>
    <w:rPr>
      <w:rFonts w:eastAsia="MS Mincho"/>
      <w:b/>
      <w:lang w:val="en-CA"/>
    </w:rPr>
  </w:style>
  <w:style w:type="paragraph" w:styleId="BodyTextIndent2">
    <w:name w:val="Body Text Indent 2"/>
    <w:basedOn w:val="Normal"/>
    <w:link w:val="BodyTextIndent2Char"/>
    <w:uiPriority w:val="99"/>
    <w:rsid w:val="002A523D"/>
    <w:pPr>
      <w:tabs>
        <w:tab w:val="clear" w:pos="794"/>
        <w:tab w:val="clear" w:pos="1191"/>
        <w:tab w:val="clear" w:pos="1588"/>
        <w:tab w:val="clear" w:pos="1985"/>
      </w:tabs>
      <w:overflowPunct/>
      <w:spacing w:before="0"/>
      <w:ind w:left="180"/>
      <w:jc w:val="left"/>
      <w:textAlignment w:val="auto"/>
    </w:pPr>
    <w:rPr>
      <w:rFonts w:eastAsia="SimSun"/>
      <w:szCs w:val="24"/>
      <w:lang w:val="en-US"/>
    </w:rPr>
  </w:style>
  <w:style w:type="character" w:customStyle="1" w:styleId="BodyTextIndent2Char">
    <w:name w:val="Body Text Indent 2 Char"/>
    <w:basedOn w:val="DefaultParagraphFont"/>
    <w:link w:val="BodyTextIndent2"/>
    <w:uiPriority w:val="99"/>
    <w:rsid w:val="002A523D"/>
    <w:rPr>
      <w:rFonts w:eastAsia="SimSun"/>
      <w:sz w:val="24"/>
      <w:szCs w:val="24"/>
      <w:lang w:eastAsia="en-US"/>
    </w:rPr>
  </w:style>
  <w:style w:type="paragraph" w:styleId="BodyText">
    <w:name w:val="Body Text"/>
    <w:basedOn w:val="Normal"/>
    <w:link w:val="BodyTextChar"/>
    <w:rsid w:val="002A523D"/>
    <w:pPr>
      <w:widowControl w:val="0"/>
      <w:tabs>
        <w:tab w:val="clear" w:pos="794"/>
        <w:tab w:val="clear" w:pos="1191"/>
        <w:tab w:val="clear" w:pos="1588"/>
        <w:tab w:val="clear" w:pos="1985"/>
      </w:tabs>
      <w:overflowPunct/>
      <w:autoSpaceDE/>
      <w:autoSpaceDN/>
      <w:adjustRightInd/>
      <w:spacing w:before="0"/>
      <w:textAlignment w:val="auto"/>
    </w:pPr>
    <w:rPr>
      <w:rFonts w:eastAsia="MS Mincho"/>
      <w:kern w:val="2"/>
      <w:sz w:val="22"/>
      <w:szCs w:val="24"/>
      <w:lang w:val="en-US" w:eastAsia="ja-JP"/>
    </w:rPr>
  </w:style>
  <w:style w:type="character" w:customStyle="1" w:styleId="BodyTextChar">
    <w:name w:val="Body Text Char"/>
    <w:basedOn w:val="DefaultParagraphFont"/>
    <w:link w:val="BodyText"/>
    <w:rsid w:val="002A523D"/>
    <w:rPr>
      <w:rFonts w:eastAsia="MS Mincho"/>
      <w:kern w:val="2"/>
      <w:sz w:val="22"/>
      <w:szCs w:val="24"/>
      <w:lang w:eastAsia="ja-JP"/>
    </w:rPr>
  </w:style>
  <w:style w:type="character" w:customStyle="1" w:styleId="AnnexNoTitleChar1">
    <w:name w:val="Annex_NoTitle Char1"/>
    <w:locked/>
    <w:rsid w:val="002A523D"/>
    <w:rPr>
      <w:b/>
      <w:sz w:val="28"/>
      <w:lang w:val="fr-FR" w:eastAsia="en-US"/>
    </w:rPr>
  </w:style>
  <w:style w:type="paragraph" w:customStyle="1" w:styleId="RecNoBR">
    <w:name w:val="Rec_No_BR"/>
    <w:basedOn w:val="Normal"/>
    <w:next w:val="Normal"/>
    <w:uiPriority w:val="99"/>
    <w:rsid w:val="002A523D"/>
    <w:pPr>
      <w:keepNext/>
      <w:keepLines/>
      <w:spacing w:before="480"/>
      <w:jc w:val="center"/>
    </w:pPr>
    <w:rPr>
      <w:rFonts w:eastAsia="MS Mincho"/>
      <w:caps/>
      <w:sz w:val="28"/>
      <w:lang w:val="en-GB"/>
    </w:rPr>
  </w:style>
  <w:style w:type="paragraph" w:styleId="TOCHeading">
    <w:name w:val="TOC Heading"/>
    <w:basedOn w:val="Heading1"/>
    <w:next w:val="Normal"/>
    <w:uiPriority w:val="39"/>
    <w:qFormat/>
    <w:rsid w:val="002A523D"/>
    <w:pPr>
      <w:tabs>
        <w:tab w:val="clear" w:pos="794"/>
        <w:tab w:val="clear" w:pos="1191"/>
        <w:tab w:val="clear" w:pos="1588"/>
        <w:tab w:val="clear" w:pos="1985"/>
      </w:tabs>
      <w:overflowPunct/>
      <w:autoSpaceDE/>
      <w:autoSpaceDN/>
      <w:adjustRightInd/>
      <w:spacing w:line="276" w:lineRule="auto"/>
      <w:ind w:left="0" w:firstLine="0"/>
      <w:jc w:val="left"/>
      <w:textAlignment w:val="auto"/>
      <w:outlineLvl w:val="9"/>
    </w:pPr>
    <w:rPr>
      <w:rFonts w:ascii="Cambria" w:eastAsia="SimSun" w:hAnsi="Cambria"/>
      <w:bCs/>
      <w:color w:val="365F91"/>
      <w:sz w:val="28"/>
      <w:szCs w:val="28"/>
      <w:lang w:val="en-US" w:eastAsia="ja-JP"/>
    </w:rPr>
  </w:style>
  <w:style w:type="paragraph" w:styleId="BodyText3">
    <w:name w:val="Body Text 3"/>
    <w:basedOn w:val="Normal"/>
    <w:link w:val="BodyText3Char"/>
    <w:uiPriority w:val="99"/>
    <w:rsid w:val="002A523D"/>
    <w:pPr>
      <w:tabs>
        <w:tab w:val="clear" w:pos="794"/>
        <w:tab w:val="clear" w:pos="1191"/>
        <w:tab w:val="clear" w:pos="1588"/>
        <w:tab w:val="clear" w:pos="1985"/>
        <w:tab w:val="left" w:pos="1134"/>
        <w:tab w:val="left" w:pos="1871"/>
        <w:tab w:val="left" w:pos="2268"/>
      </w:tabs>
      <w:spacing w:after="120"/>
      <w:jc w:val="left"/>
      <w:textAlignment w:val="auto"/>
    </w:pPr>
    <w:rPr>
      <w:rFonts w:eastAsia="Batang"/>
      <w:sz w:val="16"/>
      <w:szCs w:val="16"/>
      <w:lang w:val="en-GB"/>
    </w:rPr>
  </w:style>
  <w:style w:type="character" w:customStyle="1" w:styleId="BodyText3Char">
    <w:name w:val="Body Text 3 Char"/>
    <w:basedOn w:val="DefaultParagraphFont"/>
    <w:link w:val="BodyText3"/>
    <w:uiPriority w:val="99"/>
    <w:rsid w:val="002A523D"/>
    <w:rPr>
      <w:rFonts w:eastAsia="Batang"/>
      <w:sz w:val="16"/>
      <w:szCs w:val="16"/>
      <w:lang w:val="en-GB" w:eastAsia="en-US"/>
    </w:rPr>
  </w:style>
  <w:style w:type="paragraph" w:customStyle="1" w:styleId="ECCParagraph">
    <w:name w:val="ECC Paragraph"/>
    <w:basedOn w:val="Normal"/>
    <w:uiPriority w:val="99"/>
    <w:rsid w:val="002A523D"/>
    <w:pPr>
      <w:tabs>
        <w:tab w:val="clear" w:pos="794"/>
        <w:tab w:val="clear" w:pos="1191"/>
        <w:tab w:val="clear" w:pos="1588"/>
        <w:tab w:val="clear" w:pos="1985"/>
      </w:tabs>
      <w:overflowPunct/>
      <w:autoSpaceDE/>
      <w:autoSpaceDN/>
      <w:adjustRightInd/>
      <w:spacing w:before="0" w:after="240"/>
      <w:textAlignment w:val="auto"/>
    </w:pPr>
    <w:rPr>
      <w:rFonts w:ascii="Arial" w:eastAsia="Batang" w:hAnsi="Arial"/>
      <w:sz w:val="20"/>
      <w:szCs w:val="24"/>
      <w:lang w:val="en-GB"/>
    </w:rPr>
  </w:style>
  <w:style w:type="numbering" w:customStyle="1" w:styleId="NoList1">
    <w:name w:val="No List1"/>
    <w:next w:val="NoList"/>
    <w:uiPriority w:val="99"/>
    <w:semiHidden/>
    <w:unhideWhenUsed/>
    <w:rsid w:val="002A523D"/>
  </w:style>
  <w:style w:type="table" w:customStyle="1" w:styleId="TableGrid2">
    <w:name w:val="Table Grid2"/>
    <w:basedOn w:val="TableNormal"/>
    <w:next w:val="TableGrid"/>
    <w:uiPriority w:val="59"/>
    <w:rsid w:val="002A523D"/>
    <w:rPr>
      <w:rFonts w:ascii="CG Times" w:eastAsia="Batang" w:hAnsi="CG Times"/>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uiPriority w:val="99"/>
    <w:rsid w:val="002A523D"/>
    <w:rPr>
      <w:rFonts w:ascii="CG Times" w:eastAsia="Batang" w:hAnsi="CG Times"/>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
    <w:name w:val="Table Grid111"/>
    <w:uiPriority w:val="99"/>
    <w:rsid w:val="002A523D"/>
    <w:rPr>
      <w:rFonts w:ascii="Calibri" w:eastAsia="Batang" w:hAnsi="Calibri"/>
      <w:sz w:val="22"/>
      <w:szCs w:val="22"/>
      <w:lang w:val="en-GB"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lainText">
    <w:name w:val="Plain Text"/>
    <w:basedOn w:val="Normal"/>
    <w:link w:val="PlainTextChar"/>
    <w:uiPriority w:val="99"/>
    <w:unhideWhenUsed/>
    <w:rsid w:val="002A523D"/>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Times" w:eastAsia="Batang" w:hAnsi="Times"/>
      <w:sz w:val="20"/>
      <w:szCs w:val="24"/>
      <w:lang w:val="en-US"/>
    </w:rPr>
  </w:style>
  <w:style w:type="character" w:customStyle="1" w:styleId="PlainTextChar">
    <w:name w:val="Plain Text Char"/>
    <w:basedOn w:val="DefaultParagraphFont"/>
    <w:link w:val="PlainText"/>
    <w:uiPriority w:val="99"/>
    <w:rsid w:val="002A523D"/>
    <w:rPr>
      <w:rFonts w:ascii="Times" w:eastAsia="Batang" w:hAnsi="Times"/>
      <w:szCs w:val="24"/>
      <w:lang w:eastAsia="en-US"/>
    </w:rPr>
  </w:style>
  <w:style w:type="character" w:customStyle="1" w:styleId="apple-style-span">
    <w:name w:val="apple-style-span"/>
    <w:uiPriority w:val="99"/>
    <w:rsid w:val="002A523D"/>
  </w:style>
  <w:style w:type="character" w:customStyle="1" w:styleId="info2">
    <w:name w:val="info2"/>
    <w:basedOn w:val="DefaultParagraphFont"/>
    <w:rsid w:val="002A523D"/>
    <w:rPr>
      <w:rFonts w:ascii="Arial" w:hAnsi="Arial" w:cs="Arial" w:hint="default"/>
      <w:b w:val="0"/>
      <w:bCs w:val="0"/>
      <w:strike w:val="0"/>
      <w:dstrike w:val="0"/>
      <w:color w:val="080000"/>
      <w:sz w:val="20"/>
      <w:szCs w:val="20"/>
      <w:u w:val="none"/>
      <w:effect w:val="none"/>
      <w:bdr w:val="none" w:sz="0" w:space="0" w:color="auto" w:frame="1"/>
    </w:rPr>
  </w:style>
  <w:style w:type="character" w:styleId="Strong">
    <w:name w:val="Strong"/>
    <w:basedOn w:val="DefaultParagraphFont"/>
    <w:qFormat/>
    <w:rsid w:val="002A523D"/>
    <w:rPr>
      <w:rFonts w:cs="Times New Roman"/>
      <w:b/>
    </w:rPr>
  </w:style>
  <w:style w:type="table" w:customStyle="1" w:styleId="GridTable4-Accent11">
    <w:name w:val="Grid Table 4 - Accent 11"/>
    <w:basedOn w:val="TableNormal"/>
    <w:uiPriority w:val="49"/>
    <w:rsid w:val="002A523D"/>
    <w:pPr>
      <w:spacing w:before="200"/>
    </w:pPr>
    <w:rPr>
      <w:rFonts w:asciiTheme="minorHAnsi" w:eastAsiaTheme="minorEastAsia" w:hAnsiTheme="minorHAnsi" w:cstheme="minorBidi"/>
      <w:sz w:val="22"/>
      <w:szCs w:val="22"/>
      <w:lang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29" w:type="dxa"/>
        <w:bottom w:w="29"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HTMLPreformatted">
    <w:name w:val="HTML Preformatted"/>
    <w:basedOn w:val="Normal"/>
    <w:link w:val="HTMLPreformattedChar"/>
    <w:uiPriority w:val="99"/>
    <w:unhideWhenUsed/>
    <w:rsid w:val="002A523D"/>
    <w:pPr>
      <w:tabs>
        <w:tab w:val="clear" w:pos="794"/>
        <w:tab w:val="clear" w:pos="1191"/>
        <w:tab w:val="clear" w:pos="1588"/>
        <w:tab w:val="clear" w:pos="198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jc w:val="left"/>
      <w:textAlignment w:val="auto"/>
    </w:pPr>
    <w:rPr>
      <w:rFonts w:ascii="Courier New" w:hAnsi="Courier New" w:cs="Courier New"/>
      <w:sz w:val="20"/>
      <w:lang w:val="ru-RU" w:eastAsia="ru-RU"/>
    </w:rPr>
  </w:style>
  <w:style w:type="character" w:customStyle="1" w:styleId="HTMLPreformattedChar">
    <w:name w:val="HTML Preformatted Char"/>
    <w:basedOn w:val="DefaultParagraphFont"/>
    <w:link w:val="HTMLPreformatted"/>
    <w:uiPriority w:val="99"/>
    <w:rsid w:val="002A523D"/>
    <w:rPr>
      <w:rFonts w:ascii="Courier New" w:hAnsi="Courier New" w:cs="Courier New"/>
      <w:lang w:val="ru-RU" w:eastAsia="ru-RU"/>
    </w:rPr>
  </w:style>
  <w:style w:type="character" w:customStyle="1" w:styleId="yt-dictionary-meaning">
    <w:name w:val="yt-dictionary-meaning"/>
    <w:basedOn w:val="DefaultParagraphFont"/>
    <w:rsid w:val="002A523D"/>
  </w:style>
  <w:style w:type="character" w:customStyle="1" w:styleId="hps">
    <w:name w:val="hps"/>
    <w:basedOn w:val="DefaultParagraphFont"/>
    <w:rsid w:val="002A523D"/>
  </w:style>
  <w:style w:type="character" w:customStyle="1" w:styleId="1">
    <w:name w:val="Заголовок 1 Знак"/>
    <w:basedOn w:val="DefaultParagraphFont"/>
    <w:rsid w:val="002A523D"/>
    <w:rPr>
      <w:rFonts w:ascii="Times New Roman" w:hAnsi="Times New Roman"/>
      <w:b/>
      <w:sz w:val="28"/>
      <w:lang w:val="en-GB" w:eastAsia="en-US"/>
    </w:rPr>
  </w:style>
  <w:style w:type="character" w:customStyle="1" w:styleId="2">
    <w:name w:val="Заголовок 2 Знак"/>
    <w:basedOn w:val="DefaultParagraphFont"/>
    <w:uiPriority w:val="99"/>
    <w:rsid w:val="002A523D"/>
    <w:rPr>
      <w:rFonts w:ascii="Times New Roman" w:hAnsi="Times New Roman"/>
      <w:b/>
      <w:sz w:val="24"/>
      <w:lang w:val="en-GB" w:eastAsia="en-US"/>
    </w:rPr>
  </w:style>
  <w:style w:type="character" w:customStyle="1" w:styleId="shorttext">
    <w:name w:val="short_text"/>
    <w:basedOn w:val="DefaultParagraphFont"/>
    <w:rsid w:val="002A523D"/>
  </w:style>
  <w:style w:type="paragraph" w:customStyle="1" w:styleId="Headingsplit">
    <w:name w:val="Heading_split"/>
    <w:basedOn w:val="Headingi"/>
    <w:qFormat/>
    <w:rsid w:val="002A523D"/>
    <w:pPr>
      <w:keepNext w:val="0"/>
      <w:keepLines w:val="0"/>
      <w:tabs>
        <w:tab w:val="clear" w:pos="794"/>
        <w:tab w:val="clear" w:pos="1191"/>
        <w:tab w:val="clear" w:pos="1588"/>
        <w:tab w:val="clear" w:pos="1985"/>
        <w:tab w:val="left" w:pos="1134"/>
        <w:tab w:val="left" w:pos="1871"/>
        <w:tab w:val="left" w:pos="2268"/>
      </w:tabs>
      <w:jc w:val="left"/>
      <w:outlineLvl w:val="9"/>
    </w:pPr>
    <w:rPr>
      <w:lang w:val="en-US"/>
    </w:rPr>
  </w:style>
  <w:style w:type="paragraph" w:customStyle="1" w:styleId="Normalsplit">
    <w:name w:val="Normal_split"/>
    <w:basedOn w:val="Normal"/>
    <w:qFormat/>
    <w:rsid w:val="002A523D"/>
    <w:pPr>
      <w:tabs>
        <w:tab w:val="clear" w:pos="794"/>
        <w:tab w:val="clear" w:pos="1191"/>
        <w:tab w:val="clear" w:pos="1588"/>
        <w:tab w:val="clear" w:pos="1985"/>
        <w:tab w:val="left" w:pos="1134"/>
        <w:tab w:val="left" w:pos="1871"/>
        <w:tab w:val="left" w:pos="2268"/>
      </w:tabs>
      <w:jc w:val="left"/>
    </w:pPr>
    <w:rPr>
      <w:lang w:val="en-GB"/>
    </w:rPr>
  </w:style>
  <w:style w:type="character" w:customStyle="1" w:styleId="Provsplit">
    <w:name w:val="Prov_split"/>
    <w:basedOn w:val="DefaultParagraphFont"/>
    <w:qFormat/>
    <w:rsid w:val="002A523D"/>
    <w:rPr>
      <w:rFonts w:ascii="Times New Roman" w:hAnsi="Times New Roman"/>
      <w:b w:val="0"/>
    </w:rPr>
  </w:style>
  <w:style w:type="paragraph" w:customStyle="1" w:styleId="Tablesplit">
    <w:name w:val="Table_split"/>
    <w:basedOn w:val="Tabletext"/>
    <w:qFormat/>
    <w:rsid w:val="002A523D"/>
    <w:pPr>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jc w:val="left"/>
    </w:pPr>
    <w:rPr>
      <w:b/>
      <w:sz w:val="20"/>
      <w:lang w:val="en-GB"/>
    </w:rPr>
  </w:style>
  <w:style w:type="character" w:customStyle="1" w:styleId="Heading1Char1">
    <w:name w:val="Heading 1 Char1"/>
    <w:uiPriority w:val="99"/>
    <w:locked/>
    <w:rsid w:val="002A523D"/>
    <w:rPr>
      <w:rFonts w:ascii="Times New Roman" w:hAnsi="Times New Roman"/>
      <w:b/>
      <w:sz w:val="28"/>
      <w:lang w:val="en-GB" w:eastAsia="en-US"/>
    </w:rPr>
  </w:style>
  <w:style w:type="character" w:customStyle="1" w:styleId="Tabletitle0">
    <w:name w:val="Table_title Знак"/>
    <w:uiPriority w:val="99"/>
    <w:locked/>
    <w:rsid w:val="002A523D"/>
    <w:rPr>
      <w:rFonts w:ascii="Times New Roman Bold" w:hAnsi="Times New Roman Bold"/>
      <w:b/>
      <w:lang w:val="en-GB" w:eastAsia="en-US"/>
    </w:rPr>
  </w:style>
  <w:style w:type="character" w:customStyle="1" w:styleId="BalloonTextChar1">
    <w:name w:val="Balloon Text Char1"/>
    <w:locked/>
    <w:rsid w:val="002A523D"/>
    <w:rPr>
      <w:rFonts w:ascii="Tahoma" w:hAnsi="Tahoma"/>
      <w:sz w:val="16"/>
      <w:szCs w:val="16"/>
      <w:lang w:val="fr-FR" w:eastAsia="en-US"/>
    </w:rPr>
  </w:style>
  <w:style w:type="character" w:customStyle="1" w:styleId="FooterChar1">
    <w:name w:val="Footer Char1"/>
    <w:locked/>
    <w:rsid w:val="002A523D"/>
    <w:rPr>
      <w:rFonts w:ascii="Times New Roman" w:hAnsi="Times New Roman"/>
      <w:caps/>
      <w:noProof/>
      <w:sz w:val="16"/>
      <w:lang w:val="en-GB" w:eastAsia="en-US"/>
    </w:rPr>
  </w:style>
  <w:style w:type="character" w:customStyle="1" w:styleId="HeaderChar1">
    <w:name w:val="Header Char1"/>
    <w:locked/>
    <w:rsid w:val="002A523D"/>
    <w:rPr>
      <w:rFonts w:ascii="Times New Roman" w:hAnsi="Times New Roman"/>
      <w:sz w:val="18"/>
      <w:lang w:val="en-GB" w:eastAsia="en-US"/>
    </w:rPr>
  </w:style>
  <w:style w:type="character" w:styleId="Emphasis">
    <w:name w:val="Emphasis"/>
    <w:aliases w:val="ECC HL italics"/>
    <w:basedOn w:val="DefaultParagraphFont"/>
    <w:uiPriority w:val="1"/>
    <w:qFormat/>
    <w:rsid w:val="002A523D"/>
    <w:rPr>
      <w:i/>
    </w:rPr>
  </w:style>
  <w:style w:type="paragraph" w:customStyle="1" w:styleId="ConsPlusNormal">
    <w:name w:val="ConsPlusNormal"/>
    <w:rsid w:val="002A523D"/>
    <w:pPr>
      <w:widowControl w:val="0"/>
      <w:autoSpaceDE w:val="0"/>
      <w:autoSpaceDN w:val="0"/>
      <w:adjustRightInd w:val="0"/>
      <w:ind w:firstLine="720"/>
    </w:pPr>
    <w:rPr>
      <w:rFonts w:ascii="Arial" w:hAnsi="Arial" w:cs="Arial"/>
      <w:lang w:val="ru-RU" w:eastAsia="ru-RU"/>
    </w:rPr>
  </w:style>
  <w:style w:type="paragraph" w:customStyle="1" w:styleId="ECCAnnexheading1">
    <w:name w:val="ECC Annex heading1"/>
    <w:basedOn w:val="Heading1"/>
    <w:next w:val="Normal"/>
    <w:uiPriority w:val="99"/>
    <w:rsid w:val="002A523D"/>
    <w:pPr>
      <w:keepNext w:val="0"/>
      <w:keepLines w:val="0"/>
      <w:numPr>
        <w:numId w:val="1"/>
      </w:numPr>
      <w:tabs>
        <w:tab w:val="clear" w:pos="794"/>
        <w:tab w:val="clear" w:pos="1191"/>
        <w:tab w:val="clear" w:pos="1588"/>
        <w:tab w:val="clear" w:pos="1985"/>
      </w:tabs>
      <w:overflowPunct/>
      <w:autoSpaceDE/>
      <w:autoSpaceDN/>
      <w:adjustRightInd/>
      <w:spacing w:before="600" w:after="240"/>
      <w:jc w:val="left"/>
      <w:textAlignment w:val="auto"/>
    </w:pPr>
    <w:rPr>
      <w:rFonts w:ascii="Arial" w:eastAsia="SimSun" w:hAnsi="Arial" w:cs="Arial"/>
      <w:bCs/>
      <w:caps/>
      <w:color w:val="D2232A"/>
      <w:kern w:val="32"/>
      <w:sz w:val="20"/>
      <w:szCs w:val="22"/>
      <w:lang w:val="en-US"/>
    </w:rPr>
  </w:style>
  <w:style w:type="paragraph" w:customStyle="1" w:styleId="ECCAnnexheading2">
    <w:name w:val="ECC Annex heading2"/>
    <w:basedOn w:val="Normal"/>
    <w:next w:val="Normal"/>
    <w:uiPriority w:val="99"/>
    <w:rsid w:val="002A523D"/>
    <w:pPr>
      <w:numPr>
        <w:ilvl w:val="1"/>
        <w:numId w:val="1"/>
      </w:numPr>
      <w:tabs>
        <w:tab w:val="clear" w:pos="794"/>
        <w:tab w:val="clear" w:pos="1191"/>
        <w:tab w:val="clear" w:pos="1588"/>
        <w:tab w:val="clear" w:pos="1985"/>
      </w:tabs>
      <w:spacing w:before="480" w:after="240"/>
      <w:jc w:val="left"/>
    </w:pPr>
    <w:rPr>
      <w:rFonts w:ascii="Arial" w:hAnsi="Arial"/>
      <w:b/>
      <w:caps/>
      <w:sz w:val="20"/>
      <w:szCs w:val="24"/>
      <w:lang w:val="en-US"/>
    </w:rPr>
  </w:style>
  <w:style w:type="paragraph" w:customStyle="1" w:styleId="ECCAnnexheading3">
    <w:name w:val="ECC Annex heading3"/>
    <w:basedOn w:val="Normal"/>
    <w:next w:val="Normal"/>
    <w:uiPriority w:val="99"/>
    <w:rsid w:val="002A523D"/>
    <w:pPr>
      <w:numPr>
        <w:ilvl w:val="2"/>
        <w:numId w:val="1"/>
      </w:numPr>
      <w:tabs>
        <w:tab w:val="clear" w:pos="794"/>
        <w:tab w:val="clear" w:pos="1191"/>
        <w:tab w:val="clear" w:pos="1588"/>
        <w:tab w:val="clear" w:pos="1985"/>
      </w:tabs>
      <w:spacing w:before="360" w:after="120"/>
      <w:jc w:val="left"/>
    </w:pPr>
    <w:rPr>
      <w:rFonts w:ascii="Arial" w:hAnsi="Arial"/>
      <w:b/>
      <w:sz w:val="20"/>
      <w:szCs w:val="24"/>
      <w:lang w:val="en-US"/>
    </w:rPr>
  </w:style>
  <w:style w:type="paragraph" w:customStyle="1" w:styleId="ECCAnnexheading4">
    <w:name w:val="ECC Annex heading4"/>
    <w:basedOn w:val="Normal"/>
    <w:next w:val="Normal"/>
    <w:uiPriority w:val="99"/>
    <w:rsid w:val="002A523D"/>
    <w:pPr>
      <w:numPr>
        <w:ilvl w:val="3"/>
        <w:numId w:val="1"/>
      </w:numPr>
      <w:tabs>
        <w:tab w:val="clear" w:pos="794"/>
        <w:tab w:val="clear" w:pos="1191"/>
        <w:tab w:val="clear" w:pos="1588"/>
        <w:tab w:val="clear" w:pos="1985"/>
      </w:tabs>
      <w:spacing w:before="360" w:after="120"/>
      <w:jc w:val="left"/>
    </w:pPr>
    <w:rPr>
      <w:rFonts w:ascii="Arial" w:hAnsi="Arial"/>
      <w:i/>
      <w:color w:val="D2232A"/>
      <w:sz w:val="20"/>
      <w:szCs w:val="24"/>
      <w:lang w:val="en-US"/>
    </w:rPr>
  </w:style>
  <w:style w:type="paragraph" w:customStyle="1" w:styleId="ParaNum">
    <w:name w:val="ParaNum"/>
    <w:basedOn w:val="Normal"/>
    <w:link w:val="ParaNumCharChar1"/>
    <w:rsid w:val="002A523D"/>
    <w:pPr>
      <w:widowControl w:val="0"/>
      <w:numPr>
        <w:numId w:val="3"/>
      </w:numPr>
      <w:tabs>
        <w:tab w:val="clear" w:pos="794"/>
        <w:tab w:val="clear" w:pos="1191"/>
        <w:tab w:val="clear" w:pos="1588"/>
        <w:tab w:val="clear" w:pos="1985"/>
      </w:tabs>
      <w:overflowPunct/>
      <w:autoSpaceDE/>
      <w:autoSpaceDN/>
      <w:adjustRightInd/>
      <w:spacing w:before="0" w:after="120"/>
      <w:jc w:val="left"/>
      <w:textAlignment w:val="auto"/>
    </w:pPr>
    <w:rPr>
      <w:rFonts w:eastAsia="MS Mincho"/>
      <w:kern w:val="28"/>
      <w:sz w:val="20"/>
      <w:lang w:val="en-US"/>
    </w:rPr>
  </w:style>
  <w:style w:type="character" w:customStyle="1" w:styleId="ParaNumCharChar1">
    <w:name w:val="ParaNum Char Char1"/>
    <w:link w:val="ParaNum"/>
    <w:locked/>
    <w:rsid w:val="002A523D"/>
    <w:rPr>
      <w:rFonts w:eastAsia="MS Mincho"/>
      <w:kern w:val="28"/>
      <w:lang w:eastAsia="en-US"/>
    </w:rPr>
  </w:style>
  <w:style w:type="paragraph" w:customStyle="1" w:styleId="CEOcontributionStart">
    <w:name w:val="CEO_contributionStart"/>
    <w:basedOn w:val="Normal"/>
    <w:rsid w:val="002A523D"/>
    <w:pPr>
      <w:tabs>
        <w:tab w:val="clear" w:pos="794"/>
        <w:tab w:val="clear" w:pos="1191"/>
        <w:tab w:val="clear" w:pos="1588"/>
        <w:tab w:val="clear" w:pos="1985"/>
      </w:tabs>
      <w:overflowPunct/>
      <w:autoSpaceDE/>
      <w:autoSpaceDN/>
      <w:adjustRightInd/>
      <w:spacing w:before="360" w:after="120"/>
      <w:jc w:val="left"/>
      <w:textAlignment w:val="auto"/>
    </w:pPr>
    <w:rPr>
      <w:rFonts w:ascii="Verdana" w:eastAsia="SimHei" w:hAnsi="Verdana" w:cs="Simplified Arabic"/>
      <w:sz w:val="19"/>
      <w:szCs w:val="19"/>
      <w:lang w:val="en-GB"/>
    </w:rPr>
  </w:style>
  <w:style w:type="paragraph" w:customStyle="1" w:styleId="10">
    <w:name w:val="Название объекта1"/>
    <w:basedOn w:val="Normal"/>
    <w:next w:val="BodyText"/>
    <w:rsid w:val="002A523D"/>
    <w:pPr>
      <w:keepNext/>
      <w:keepLines/>
      <w:tabs>
        <w:tab w:val="clear" w:pos="794"/>
        <w:tab w:val="clear" w:pos="1191"/>
        <w:tab w:val="clear" w:pos="1588"/>
        <w:tab w:val="clear" w:pos="1985"/>
      </w:tabs>
      <w:suppressAutoHyphens/>
      <w:overflowPunct/>
      <w:autoSpaceDE/>
      <w:autoSpaceDN/>
      <w:adjustRightInd/>
      <w:spacing w:before="240" w:after="120"/>
      <w:jc w:val="center"/>
      <w:textAlignment w:val="auto"/>
    </w:pPr>
    <w:rPr>
      <w:rFonts w:eastAsia="Batang"/>
      <w:b/>
      <w:sz w:val="20"/>
      <w:lang w:val="en-GB" w:eastAsia="zh-CN"/>
    </w:rPr>
  </w:style>
  <w:style w:type="paragraph" w:customStyle="1" w:styleId="a">
    <w:name w:val="Таблица"/>
    <w:basedOn w:val="Normal"/>
    <w:rsid w:val="002A523D"/>
    <w:pPr>
      <w:tabs>
        <w:tab w:val="clear" w:pos="794"/>
        <w:tab w:val="clear" w:pos="1191"/>
        <w:tab w:val="clear" w:pos="1588"/>
        <w:tab w:val="clear" w:pos="1985"/>
        <w:tab w:val="left" w:pos="851"/>
      </w:tabs>
      <w:suppressAutoHyphens/>
      <w:overflowPunct/>
      <w:autoSpaceDE/>
      <w:autoSpaceDN/>
      <w:adjustRightInd/>
      <w:ind w:right="6" w:firstLine="28"/>
      <w:jc w:val="left"/>
      <w:textAlignment w:val="auto"/>
    </w:pPr>
    <w:rPr>
      <w:rFonts w:cs="Calibri"/>
      <w:color w:val="000000"/>
      <w:spacing w:val="-4"/>
      <w:kern w:val="1"/>
      <w:szCs w:val="24"/>
      <w:lang w:val="ar-SA" w:eastAsia="zh-CN"/>
    </w:rPr>
  </w:style>
  <w:style w:type="paragraph" w:customStyle="1" w:styleId="a0">
    <w:name w:val="바탕글"/>
    <w:basedOn w:val="Normal"/>
    <w:rsid w:val="002A523D"/>
    <w:pPr>
      <w:widowControl w:val="0"/>
      <w:tabs>
        <w:tab w:val="clear" w:pos="794"/>
        <w:tab w:val="clear" w:pos="1191"/>
        <w:tab w:val="clear" w:pos="1588"/>
        <w:tab w:val="clear" w:pos="1985"/>
      </w:tabs>
      <w:wordWrap w:val="0"/>
      <w:overflowPunct/>
      <w:adjustRightInd/>
      <w:spacing w:before="0" w:line="384" w:lineRule="auto"/>
    </w:pPr>
    <w:rPr>
      <w:rFonts w:ascii="함초롬바탕" w:eastAsia="Gulim" w:hAnsi="Gulim" w:cs="Gulim"/>
      <w:color w:val="000000"/>
      <w:sz w:val="20"/>
      <w:lang w:val="en-US" w:eastAsia="ko-KR"/>
    </w:rPr>
  </w:style>
  <w:style w:type="paragraph" w:customStyle="1" w:styleId="Methodheading1">
    <w:name w:val="Method_heading1"/>
    <w:basedOn w:val="Heading1"/>
    <w:next w:val="Normal"/>
    <w:qFormat/>
    <w:rsid w:val="002A523D"/>
    <w:pPr>
      <w:tabs>
        <w:tab w:val="clear" w:pos="794"/>
        <w:tab w:val="clear" w:pos="1191"/>
        <w:tab w:val="clear" w:pos="1588"/>
        <w:tab w:val="clear" w:pos="1985"/>
        <w:tab w:val="left" w:pos="1134"/>
        <w:tab w:val="left" w:pos="1871"/>
        <w:tab w:val="left" w:pos="2268"/>
      </w:tabs>
      <w:spacing w:before="280"/>
      <w:ind w:left="1134" w:hanging="1134"/>
      <w:jc w:val="left"/>
    </w:pPr>
    <w:rPr>
      <w:sz w:val="28"/>
      <w:lang w:val="en-GB"/>
    </w:rPr>
  </w:style>
  <w:style w:type="paragraph" w:customStyle="1" w:styleId="Methodheading2">
    <w:name w:val="Method_heading2"/>
    <w:basedOn w:val="Heading2"/>
    <w:next w:val="Normal"/>
    <w:qFormat/>
    <w:rsid w:val="002A523D"/>
    <w:pPr>
      <w:tabs>
        <w:tab w:val="clear" w:pos="794"/>
        <w:tab w:val="clear" w:pos="1191"/>
        <w:tab w:val="clear" w:pos="1588"/>
        <w:tab w:val="clear" w:pos="1985"/>
        <w:tab w:val="left" w:pos="1134"/>
        <w:tab w:val="left" w:pos="1871"/>
        <w:tab w:val="left" w:pos="2268"/>
      </w:tabs>
      <w:spacing w:before="200"/>
      <w:ind w:left="1134" w:hanging="1134"/>
      <w:jc w:val="left"/>
    </w:pPr>
    <w:rPr>
      <w:lang w:val="en-GB"/>
    </w:rPr>
  </w:style>
  <w:style w:type="paragraph" w:customStyle="1" w:styleId="Methodheading3">
    <w:name w:val="Method_heading3"/>
    <w:basedOn w:val="Heading3"/>
    <w:next w:val="Normal"/>
    <w:qFormat/>
    <w:rsid w:val="002A523D"/>
    <w:pPr>
      <w:tabs>
        <w:tab w:val="clear" w:pos="794"/>
        <w:tab w:val="clear" w:pos="1191"/>
        <w:tab w:val="clear" w:pos="1588"/>
        <w:tab w:val="clear" w:pos="1985"/>
        <w:tab w:val="left" w:pos="1871"/>
        <w:tab w:val="left" w:pos="2268"/>
      </w:tabs>
      <w:ind w:left="1134" w:hanging="1134"/>
      <w:jc w:val="left"/>
    </w:pPr>
    <w:rPr>
      <w:lang w:val="en-GB"/>
    </w:rPr>
  </w:style>
  <w:style w:type="paragraph" w:customStyle="1" w:styleId="Methodheading4">
    <w:name w:val="Method_heading4"/>
    <w:basedOn w:val="Heading4"/>
    <w:next w:val="Normal"/>
    <w:qFormat/>
    <w:rsid w:val="002A523D"/>
    <w:pPr>
      <w:tabs>
        <w:tab w:val="clear" w:pos="992"/>
        <w:tab w:val="clear" w:pos="1191"/>
        <w:tab w:val="clear" w:pos="1588"/>
        <w:tab w:val="clear" w:pos="1985"/>
        <w:tab w:val="left" w:pos="1871"/>
        <w:tab w:val="left" w:pos="2268"/>
      </w:tabs>
      <w:ind w:left="1134" w:hanging="1134"/>
      <w:jc w:val="left"/>
    </w:pPr>
    <w:rPr>
      <w:lang w:val="en-GB"/>
    </w:rPr>
  </w:style>
  <w:style w:type="paragraph" w:customStyle="1" w:styleId="MethodHeadingb">
    <w:name w:val="Method_Headingb"/>
    <w:basedOn w:val="Headingb"/>
    <w:qFormat/>
    <w:rsid w:val="002A523D"/>
    <w:pPr>
      <w:tabs>
        <w:tab w:val="clear" w:pos="794"/>
        <w:tab w:val="clear" w:pos="1191"/>
        <w:tab w:val="clear" w:pos="1588"/>
        <w:tab w:val="clear" w:pos="1985"/>
      </w:tabs>
      <w:overflowPunct/>
      <w:autoSpaceDE/>
      <w:autoSpaceDN/>
      <w:adjustRightInd/>
      <w:spacing w:before="0"/>
      <w:jc w:val="left"/>
      <w:textAlignment w:val="auto"/>
    </w:pPr>
    <w:rPr>
      <w:rFonts w:ascii="Times New Roman Bold" w:hAnsi="Times New Roman Bold" w:cs="Times New Roman Bold"/>
      <w:lang w:val="fr-CH"/>
    </w:rPr>
  </w:style>
  <w:style w:type="character" w:customStyle="1" w:styleId="gi">
    <w:name w:val="gi"/>
    <w:basedOn w:val="DefaultParagraphFont"/>
    <w:rsid w:val="002A523D"/>
  </w:style>
  <w:style w:type="paragraph" w:customStyle="1" w:styleId="ECCTabletext">
    <w:name w:val="ECC Table text"/>
    <w:basedOn w:val="Normal"/>
    <w:qFormat/>
    <w:rsid w:val="002A523D"/>
    <w:pPr>
      <w:tabs>
        <w:tab w:val="clear" w:pos="794"/>
        <w:tab w:val="clear" w:pos="1191"/>
        <w:tab w:val="clear" w:pos="1588"/>
        <w:tab w:val="clear" w:pos="1985"/>
      </w:tabs>
      <w:overflowPunct/>
      <w:autoSpaceDE/>
      <w:autoSpaceDN/>
      <w:adjustRightInd/>
      <w:spacing w:before="0" w:after="60"/>
      <w:textAlignment w:val="auto"/>
    </w:pPr>
    <w:rPr>
      <w:rFonts w:ascii="Arial" w:eastAsia="Calibri" w:hAnsi="Arial"/>
      <w:sz w:val="20"/>
      <w:szCs w:val="22"/>
      <w:lang w:val="en-GB"/>
    </w:rPr>
  </w:style>
  <w:style w:type="character" w:customStyle="1" w:styleId="ECCHLbold">
    <w:name w:val="ECC HL bold"/>
    <w:basedOn w:val="Strong"/>
    <w:uiPriority w:val="1"/>
    <w:qFormat/>
    <w:rsid w:val="002A523D"/>
    <w:rPr>
      <w:rFonts w:cs="Times New Roman"/>
      <w:b/>
      <w:bCs/>
    </w:rPr>
  </w:style>
  <w:style w:type="table" w:customStyle="1" w:styleId="ECCTable-clean">
    <w:name w:val="ECC Table - clean"/>
    <w:uiPriority w:val="99"/>
    <w:rsid w:val="002A523D"/>
    <w:pPr>
      <w:spacing w:before="60" w:after="60"/>
      <w:jc w:val="both"/>
    </w:pPr>
    <w:rPr>
      <w:rFonts w:ascii="Arial" w:eastAsia="Calibri" w:hAnsi="Arial"/>
      <w:lang w:val="de-DE" w:eastAsia="de-DE"/>
    </w:rPr>
    <w:tblPr>
      <w:tblStyleRowBandSize w:val="1"/>
      <w:jc w:val="center"/>
      <w:tblCellMar>
        <w:top w:w="57" w:type="dxa"/>
        <w:left w:w="108" w:type="dxa"/>
        <w:bottom w:w="0" w:type="dxa"/>
        <w:right w:w="108" w:type="dxa"/>
      </w:tblCellMar>
    </w:tblPr>
    <w:trPr>
      <w:jc w:val="center"/>
    </w:trPr>
    <w:tcPr>
      <w:vAlign w:val="center"/>
    </w:tcPr>
    <w:tblStylePr w:type="firstRow">
      <w:pPr>
        <w:wordWrap/>
        <w:spacing w:beforeLines="0" w:before="120" w:beforeAutospacing="0" w:afterLines="0" w:after="120" w:afterAutospacing="0" w:line="240" w:lineRule="auto"/>
        <w:jc w:val="left"/>
      </w:pPr>
      <w:rPr>
        <w:b/>
        <w:i w:val="0"/>
      </w:rPr>
      <w:tblPr/>
      <w:trPr>
        <w:tblHeader/>
      </w:trPr>
    </w:tblStylePr>
  </w:style>
  <w:style w:type="character" w:customStyle="1" w:styleId="ECCHLyellow">
    <w:name w:val="ECC HL yellow"/>
    <w:basedOn w:val="DefaultParagraphFont"/>
    <w:uiPriority w:val="1"/>
    <w:qFormat/>
    <w:rsid w:val="002A523D"/>
    <w:rPr>
      <w:rFonts w:eastAsia="Calibri"/>
      <w:i w:val="0"/>
      <w:szCs w:val="22"/>
      <w:bdr w:val="none" w:sz="0" w:space="0" w:color="auto"/>
      <w:shd w:val="solid" w:color="FFFF00" w:fill="auto"/>
      <w:lang w:val="en-GB"/>
    </w:rPr>
  </w:style>
  <w:style w:type="character" w:customStyle="1" w:styleId="ECCHLsubscript">
    <w:name w:val="ECC HL subscript"/>
    <w:uiPriority w:val="1"/>
    <w:rsid w:val="002A523D"/>
    <w:rPr>
      <w:vertAlign w:val="subscript"/>
    </w:rPr>
  </w:style>
  <w:style w:type="paragraph" w:customStyle="1" w:styleId="ECCBulletsLv2">
    <w:name w:val="ECC Bullets Lv2"/>
    <w:basedOn w:val="Normal"/>
    <w:rsid w:val="002A523D"/>
    <w:pPr>
      <w:tabs>
        <w:tab w:val="clear" w:pos="794"/>
        <w:tab w:val="clear" w:pos="1191"/>
        <w:tab w:val="clear" w:pos="1588"/>
        <w:tab w:val="clear" w:pos="1985"/>
        <w:tab w:val="left" w:pos="340"/>
        <w:tab w:val="left" w:pos="680"/>
      </w:tabs>
      <w:overflowPunct/>
      <w:autoSpaceDE/>
      <w:autoSpaceDN/>
      <w:adjustRightInd/>
      <w:spacing w:before="60"/>
      <w:ind w:left="680" w:hanging="340"/>
      <w:textAlignment w:val="auto"/>
    </w:pPr>
    <w:rPr>
      <w:rFonts w:ascii="Arial" w:eastAsia="Calibri" w:hAnsi="Arial"/>
      <w:sz w:val="20"/>
      <w:szCs w:val="22"/>
      <w:lang w:val="en-GB"/>
    </w:rPr>
  </w:style>
  <w:style w:type="character" w:customStyle="1" w:styleId="ECCHLcyan">
    <w:name w:val="ECC HL cyan"/>
    <w:basedOn w:val="DefaultParagraphFont"/>
    <w:uiPriority w:val="1"/>
    <w:qFormat/>
    <w:rsid w:val="002A523D"/>
    <w:rPr>
      <w:iCs w:val="0"/>
      <w:bdr w:val="none" w:sz="0" w:space="0" w:color="auto"/>
      <w:shd w:val="solid" w:color="00FFFF" w:fill="auto"/>
      <w:lang w:val="en-GB"/>
    </w:rPr>
  </w:style>
  <w:style w:type="table" w:customStyle="1" w:styleId="ECCTable-redheader">
    <w:name w:val="ECC Table - red header"/>
    <w:basedOn w:val="TableNormal"/>
    <w:uiPriority w:val="99"/>
    <w:rsid w:val="002A523D"/>
    <w:pPr>
      <w:spacing w:before="60" w:after="60"/>
      <w:jc w:val="both"/>
    </w:pPr>
    <w:rPr>
      <w:rFonts w:ascii="Arial" w:eastAsia="Calibri" w:hAnsi="Arial"/>
      <w:lang w:val="de-DE" w:eastAsia="de-DE"/>
    </w:rPr>
    <w:tblPr>
      <w:tblStyleRowBandSize w:val="1"/>
      <w:jc w:val="cente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CellMar>
        <w:top w:w="57" w:type="dxa"/>
      </w:tblCellMar>
    </w:tblPr>
    <w:trPr>
      <w:jc w:val="center"/>
    </w:trPr>
    <w:tcPr>
      <w:vAlign w:val="center"/>
    </w:tcPr>
    <w:tblStylePr w:type="firstRow">
      <w:pPr>
        <w:wordWrap/>
        <w:spacing w:beforeLines="0" w:before="120" w:beforeAutospacing="0" w:afterLines="0" w:after="120" w:afterAutospacing="0" w:line="240" w:lineRule="auto"/>
        <w:jc w:val="center"/>
      </w:pPr>
      <w:rPr>
        <w:b/>
        <w:i w:val="0"/>
        <w:color w:val="FFFFFF" w:themeColor="background1"/>
      </w:rPr>
      <w:tblPr/>
      <w:trPr>
        <w:tblHeader/>
      </w:trPr>
      <w:tcPr>
        <w:tcBorders>
          <w:top w:val="single" w:sz="4" w:space="0" w:color="D22A23"/>
          <w:left w:val="single" w:sz="4" w:space="0" w:color="D22A23"/>
          <w:bottom w:val="single" w:sz="4" w:space="0" w:color="D22A23"/>
          <w:right w:val="single" w:sz="4" w:space="0" w:color="D22A23"/>
          <w:insideH w:val="nil"/>
          <w:insideV w:val="single" w:sz="4" w:space="0" w:color="FFFFFF" w:themeColor="background1"/>
          <w:tl2br w:val="nil"/>
          <w:tr2bl w:val="nil"/>
        </w:tcBorders>
        <w:shd w:val="clear" w:color="auto" w:fill="D22A23"/>
      </w:tcPr>
    </w:tblStylePr>
  </w:style>
  <w:style w:type="character" w:customStyle="1" w:styleId="ECCHLsuperscript">
    <w:name w:val="ECC HL superscript"/>
    <w:uiPriority w:val="1"/>
    <w:rsid w:val="002A523D"/>
    <w:rPr>
      <w:vertAlign w:val="superscript"/>
    </w:rPr>
  </w:style>
  <w:style w:type="paragraph" w:customStyle="1" w:styleId="ECCTablenote">
    <w:name w:val="ECC Table note"/>
    <w:qFormat/>
    <w:rsid w:val="002A523D"/>
    <w:pPr>
      <w:ind w:left="284" w:hanging="284"/>
      <w:jc w:val="both"/>
    </w:pPr>
    <w:rPr>
      <w:rFonts w:ascii="Arial" w:eastAsia="SimSun" w:hAnsi="Arial"/>
      <w:sz w:val="16"/>
      <w:szCs w:val="16"/>
      <w:lang w:val="en-GB" w:eastAsia="en-US"/>
    </w:rPr>
  </w:style>
  <w:style w:type="paragraph" w:customStyle="1" w:styleId="ECCTableHeaderredfont">
    <w:name w:val="ECC Table Header red font"/>
    <w:qFormat/>
    <w:rsid w:val="002A523D"/>
    <w:pPr>
      <w:spacing w:before="120" w:after="120"/>
    </w:pPr>
    <w:rPr>
      <w:rFonts w:ascii="Arial" w:eastAsia="Calibri" w:hAnsi="Arial"/>
      <w:bCs/>
      <w:color w:val="D2232A"/>
      <w:lang w:val="en-GB" w:eastAsia="de-DE"/>
    </w:rPr>
  </w:style>
  <w:style w:type="paragraph" w:customStyle="1" w:styleId="ECCReference">
    <w:name w:val="ECC Reference"/>
    <w:basedOn w:val="Normal"/>
    <w:rsid w:val="002A523D"/>
    <w:pPr>
      <w:numPr>
        <w:numId w:val="36"/>
      </w:numPr>
      <w:tabs>
        <w:tab w:val="clear" w:pos="794"/>
        <w:tab w:val="clear" w:pos="1191"/>
        <w:tab w:val="clear" w:pos="1588"/>
        <w:tab w:val="clear" w:pos="1985"/>
      </w:tabs>
      <w:overflowPunct/>
      <w:autoSpaceDE/>
      <w:autoSpaceDN/>
      <w:adjustRightInd/>
      <w:spacing w:before="0"/>
      <w:textAlignment w:val="auto"/>
    </w:pPr>
    <w:rPr>
      <w:rFonts w:ascii="Arial" w:eastAsia="Calibri" w:hAnsi="Arial"/>
      <w:sz w:val="20"/>
      <w:szCs w:val="22"/>
      <w:lang w:val="en-GB" w:eastAsia="ja-JP"/>
    </w:rPr>
  </w:style>
  <w:style w:type="table" w:styleId="GridTable1Light-Accent1">
    <w:name w:val="Grid Table 1 Light Accent 1"/>
    <w:basedOn w:val="TableNormal"/>
    <w:uiPriority w:val="46"/>
    <w:rsid w:val="002A523D"/>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8577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header" Target="header7.xml"/><Relationship Id="rId26" Type="http://schemas.openxmlformats.org/officeDocument/2006/relationships/header" Target="header12.xml"/><Relationship Id="rId39" Type="http://schemas.openxmlformats.org/officeDocument/2006/relationships/oleObject" Target="embeddings/oleObject4.bin"/><Relationship Id="rId21" Type="http://schemas.openxmlformats.org/officeDocument/2006/relationships/header" Target="header9.xml"/><Relationship Id="rId34" Type="http://schemas.openxmlformats.org/officeDocument/2006/relationships/oleObject" Target="embeddings/oleObject2.bin"/><Relationship Id="rId42" Type="http://schemas.openxmlformats.org/officeDocument/2006/relationships/image" Target="media/image8.emf"/><Relationship Id="rId47" Type="http://schemas.openxmlformats.org/officeDocument/2006/relationships/oleObject" Target="embeddings/oleObject8.bin"/><Relationship Id="rId50" Type="http://schemas.openxmlformats.org/officeDocument/2006/relationships/image" Target="media/image12.emf"/><Relationship Id="rId55" Type="http://schemas.openxmlformats.org/officeDocument/2006/relationships/oleObject" Target="embeddings/oleObject12.bin"/><Relationship Id="rId63" Type="http://schemas.openxmlformats.org/officeDocument/2006/relationships/oleObject" Target="embeddings/oleObject16.bin"/><Relationship Id="rId68" Type="http://schemas.openxmlformats.org/officeDocument/2006/relationships/image" Target="media/image21.emf"/><Relationship Id="rId76" Type="http://schemas.openxmlformats.org/officeDocument/2006/relationships/image" Target="media/image25.emf"/><Relationship Id="rId84" Type="http://schemas.openxmlformats.org/officeDocument/2006/relationships/image" Target="media/image29.emf"/><Relationship Id="rId89" Type="http://schemas.openxmlformats.org/officeDocument/2006/relationships/image" Target="media/image32.emf"/><Relationship Id="rId7" Type="http://schemas.openxmlformats.org/officeDocument/2006/relationships/endnotes" Target="endnotes.xml"/><Relationship Id="rId71" Type="http://schemas.openxmlformats.org/officeDocument/2006/relationships/oleObject" Target="embeddings/oleObject20.bin"/><Relationship Id="rId92" Type="http://schemas.openxmlformats.org/officeDocument/2006/relationships/header" Target="header15.xml"/><Relationship Id="rId2" Type="http://schemas.openxmlformats.org/officeDocument/2006/relationships/numbering" Target="numbering.xml"/><Relationship Id="rId16" Type="http://schemas.openxmlformats.org/officeDocument/2006/relationships/header" Target="header6.xml"/><Relationship Id="rId29" Type="http://schemas.openxmlformats.org/officeDocument/2006/relationships/hyperlink" Target="https://www.itu.int/pub/R-ACT-RRC.14-2006/es" TargetMode="External"/><Relationship Id="rId11" Type="http://schemas.openxmlformats.org/officeDocument/2006/relationships/hyperlink" Target="http://www.itu.int/publ/R-REP/es" TargetMode="External"/><Relationship Id="rId24" Type="http://schemas.openxmlformats.org/officeDocument/2006/relationships/header" Target="header11.xml"/><Relationship Id="rId32" Type="http://schemas.openxmlformats.org/officeDocument/2006/relationships/oleObject" Target="embeddings/oleObject1.bin"/><Relationship Id="rId37" Type="http://schemas.openxmlformats.org/officeDocument/2006/relationships/image" Target="media/image5.wmf"/><Relationship Id="rId40" Type="http://schemas.openxmlformats.org/officeDocument/2006/relationships/image" Target="media/image7.emf"/><Relationship Id="rId45" Type="http://schemas.openxmlformats.org/officeDocument/2006/relationships/oleObject" Target="embeddings/oleObject7.bin"/><Relationship Id="rId53" Type="http://schemas.openxmlformats.org/officeDocument/2006/relationships/oleObject" Target="embeddings/oleObject11.bin"/><Relationship Id="rId58" Type="http://schemas.openxmlformats.org/officeDocument/2006/relationships/image" Target="media/image16.emf"/><Relationship Id="rId66" Type="http://schemas.openxmlformats.org/officeDocument/2006/relationships/image" Target="media/image20.emf"/><Relationship Id="rId74" Type="http://schemas.openxmlformats.org/officeDocument/2006/relationships/image" Target="media/image24.emf"/><Relationship Id="rId79" Type="http://schemas.openxmlformats.org/officeDocument/2006/relationships/oleObject" Target="embeddings/oleObject24.bin"/><Relationship Id="rId87" Type="http://schemas.openxmlformats.org/officeDocument/2006/relationships/oleObject" Target="embeddings/oleObject28.bin"/><Relationship Id="rId5" Type="http://schemas.openxmlformats.org/officeDocument/2006/relationships/webSettings" Target="webSettings.xml"/><Relationship Id="rId61" Type="http://schemas.openxmlformats.org/officeDocument/2006/relationships/oleObject" Target="embeddings/oleObject15.bin"/><Relationship Id="rId82" Type="http://schemas.openxmlformats.org/officeDocument/2006/relationships/image" Target="media/image28.emf"/><Relationship Id="rId90" Type="http://schemas.openxmlformats.org/officeDocument/2006/relationships/oleObject" Target="embeddings/oleObject29.bin"/><Relationship Id="rId19" Type="http://schemas.openxmlformats.org/officeDocument/2006/relationships/header" Target="header8.xml"/><Relationship Id="rId14" Type="http://schemas.openxmlformats.org/officeDocument/2006/relationships/header" Target="header5.xml"/><Relationship Id="rId22" Type="http://schemas.openxmlformats.org/officeDocument/2006/relationships/footer" Target="footer4.xml"/><Relationship Id="rId27" Type="http://schemas.openxmlformats.org/officeDocument/2006/relationships/header" Target="header13.xml"/><Relationship Id="rId30" Type="http://schemas.openxmlformats.org/officeDocument/2006/relationships/hyperlink" Target="http://stakeholders.ofcom.org.uk/binaries/consultations/award-800mhz/statement/lte-coexistence.pdf" TargetMode="External"/><Relationship Id="rId35" Type="http://schemas.openxmlformats.org/officeDocument/2006/relationships/image" Target="media/image4.emf"/><Relationship Id="rId43" Type="http://schemas.openxmlformats.org/officeDocument/2006/relationships/oleObject" Target="embeddings/oleObject6.bin"/><Relationship Id="rId48" Type="http://schemas.openxmlformats.org/officeDocument/2006/relationships/image" Target="media/image11.emf"/><Relationship Id="rId56" Type="http://schemas.openxmlformats.org/officeDocument/2006/relationships/image" Target="media/image15.emf"/><Relationship Id="rId64" Type="http://schemas.openxmlformats.org/officeDocument/2006/relationships/image" Target="media/image19.emf"/><Relationship Id="rId69" Type="http://schemas.openxmlformats.org/officeDocument/2006/relationships/oleObject" Target="embeddings/oleObject19.bin"/><Relationship Id="rId77" Type="http://schemas.openxmlformats.org/officeDocument/2006/relationships/oleObject" Target="embeddings/oleObject23.bin"/><Relationship Id="rId8" Type="http://schemas.openxmlformats.org/officeDocument/2006/relationships/header" Target="header1.xml"/><Relationship Id="rId51" Type="http://schemas.openxmlformats.org/officeDocument/2006/relationships/oleObject" Target="embeddings/oleObject10.bin"/><Relationship Id="rId72" Type="http://schemas.openxmlformats.org/officeDocument/2006/relationships/image" Target="media/image23.emf"/><Relationship Id="rId80" Type="http://schemas.openxmlformats.org/officeDocument/2006/relationships/image" Target="media/image27.emf"/><Relationship Id="rId85" Type="http://schemas.openxmlformats.org/officeDocument/2006/relationships/oleObject" Target="embeddings/oleObject27.bin"/><Relationship Id="rId93"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footer" Target="footer2.xml"/><Relationship Id="rId25" Type="http://schemas.openxmlformats.org/officeDocument/2006/relationships/footer" Target="footer5.xml"/><Relationship Id="rId33" Type="http://schemas.openxmlformats.org/officeDocument/2006/relationships/image" Target="media/image3.emf"/><Relationship Id="rId38" Type="http://schemas.openxmlformats.org/officeDocument/2006/relationships/image" Target="media/image6.emf"/><Relationship Id="rId46" Type="http://schemas.openxmlformats.org/officeDocument/2006/relationships/image" Target="media/image10.emf"/><Relationship Id="rId59" Type="http://schemas.openxmlformats.org/officeDocument/2006/relationships/oleObject" Target="embeddings/oleObject14.bin"/><Relationship Id="rId67" Type="http://schemas.openxmlformats.org/officeDocument/2006/relationships/oleObject" Target="embeddings/oleObject18.bin"/><Relationship Id="rId20" Type="http://schemas.openxmlformats.org/officeDocument/2006/relationships/footer" Target="footer3.xml"/><Relationship Id="rId41" Type="http://schemas.openxmlformats.org/officeDocument/2006/relationships/oleObject" Target="embeddings/oleObject5.bin"/><Relationship Id="rId54" Type="http://schemas.openxmlformats.org/officeDocument/2006/relationships/image" Target="media/image14.emf"/><Relationship Id="rId62" Type="http://schemas.openxmlformats.org/officeDocument/2006/relationships/image" Target="media/image18.emf"/><Relationship Id="rId70" Type="http://schemas.openxmlformats.org/officeDocument/2006/relationships/image" Target="media/image22.emf"/><Relationship Id="rId75" Type="http://schemas.openxmlformats.org/officeDocument/2006/relationships/oleObject" Target="embeddings/oleObject22.bin"/><Relationship Id="rId83" Type="http://schemas.openxmlformats.org/officeDocument/2006/relationships/oleObject" Target="embeddings/oleObject26.bin"/><Relationship Id="rId88" Type="http://schemas.openxmlformats.org/officeDocument/2006/relationships/image" Target="media/image31.png"/><Relationship Id="rId91" Type="http://schemas.openxmlformats.org/officeDocument/2006/relationships/header" Target="header1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header" Target="header10.xml"/><Relationship Id="rId28" Type="http://schemas.openxmlformats.org/officeDocument/2006/relationships/footer" Target="footer6.xml"/><Relationship Id="rId36" Type="http://schemas.openxmlformats.org/officeDocument/2006/relationships/oleObject" Target="embeddings/oleObject3.bin"/><Relationship Id="rId49" Type="http://schemas.openxmlformats.org/officeDocument/2006/relationships/oleObject" Target="embeddings/oleObject9.bin"/><Relationship Id="rId57" Type="http://schemas.openxmlformats.org/officeDocument/2006/relationships/oleObject" Target="embeddings/oleObject13.bin"/><Relationship Id="rId10" Type="http://schemas.openxmlformats.org/officeDocument/2006/relationships/hyperlink" Target="http://www.itu.int/ITU-R/go/patents/es" TargetMode="External"/><Relationship Id="rId31" Type="http://schemas.openxmlformats.org/officeDocument/2006/relationships/image" Target="media/image2.emf"/><Relationship Id="rId44" Type="http://schemas.openxmlformats.org/officeDocument/2006/relationships/image" Target="media/image9.emf"/><Relationship Id="rId52" Type="http://schemas.openxmlformats.org/officeDocument/2006/relationships/image" Target="media/image13.emf"/><Relationship Id="rId60" Type="http://schemas.openxmlformats.org/officeDocument/2006/relationships/image" Target="media/image17.emf"/><Relationship Id="rId65" Type="http://schemas.openxmlformats.org/officeDocument/2006/relationships/oleObject" Target="embeddings/oleObject17.bin"/><Relationship Id="rId73" Type="http://schemas.openxmlformats.org/officeDocument/2006/relationships/oleObject" Target="embeddings/oleObject21.bin"/><Relationship Id="rId78" Type="http://schemas.openxmlformats.org/officeDocument/2006/relationships/image" Target="media/image26.emf"/><Relationship Id="rId81" Type="http://schemas.openxmlformats.org/officeDocument/2006/relationships/oleObject" Target="embeddings/oleObject25.bin"/><Relationship Id="rId86" Type="http://schemas.openxmlformats.org/officeDocument/2006/relationships/image" Target="media/image30.emf"/><Relationship Id="rId9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talano\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0E1D0C-56AC-46EC-A8A4-5DB7F17068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1138</TotalTime>
  <Pages>61</Pages>
  <Words>18883</Words>
  <Characters>97719</Characters>
  <Application>Microsoft Office Word</Application>
  <DocSecurity>0</DocSecurity>
  <Lines>814</Lines>
  <Paragraphs>232</Paragraphs>
  <ScaleCrop>false</ScaleCrop>
  <HeadingPairs>
    <vt:vector size="2" baseType="variant">
      <vt:variant>
        <vt:lpstr>Title</vt:lpstr>
      </vt:variant>
      <vt:variant>
        <vt:i4>1</vt:i4>
      </vt:variant>
    </vt:vector>
  </HeadingPairs>
  <TitlesOfParts>
    <vt:vector size="1" baseType="lpstr">
      <vt:lpstr>ITU-T Rec.</vt:lpstr>
    </vt:vector>
  </TitlesOfParts>
  <Manager/>
  <Company>ITU</Company>
  <LinksUpToDate>false</LinksUpToDate>
  <CharactersWithSpaces>116370</CharactersWithSpaces>
  <SharedDoc>false</SharedDoc>
  <HLinks>
    <vt:vector size="12" baseType="variant">
      <vt:variant>
        <vt:i4>196679</vt:i4>
      </vt:variant>
      <vt:variant>
        <vt:i4>3</vt:i4>
      </vt:variant>
      <vt:variant>
        <vt:i4>0</vt:i4>
      </vt:variant>
      <vt:variant>
        <vt:i4>5</vt:i4>
      </vt:variant>
      <vt:variant>
        <vt:lpwstr>http://www.itu.int/publ/R-REP/es</vt:lpwstr>
      </vt:variant>
      <vt:variant>
        <vt:lpwstr/>
      </vt:variant>
      <vt:variant>
        <vt:i4>2097198</vt:i4>
      </vt:variant>
      <vt:variant>
        <vt:i4>0</vt:i4>
      </vt:variant>
      <vt:variant>
        <vt:i4>0</vt:i4>
      </vt:variant>
      <vt:variant>
        <vt:i4>5</vt:i4>
      </vt:variant>
      <vt:variant>
        <vt:lpwstr>http://www.itu.int/ITU-R/go/patents/es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ITU-T Rec.</dc:title>
  <dc:subject/>
  <dc:creator>ITU-T Study Group un</dc:creator>
  <cp:keywords/>
  <dc:description>Saved by JK-106306 at 10:34:24 on 03.07.2009</dc:description>
  <cp:lastModifiedBy>Catalano Moreira, Rossana</cp:lastModifiedBy>
  <cp:revision>105</cp:revision>
  <cp:lastPrinted>2018-10-08T13:19:00Z</cp:lastPrinted>
  <dcterms:created xsi:type="dcterms:W3CDTF">2018-10-04T07:21:00Z</dcterms:created>
  <dcterms:modified xsi:type="dcterms:W3CDTF">2018-10-08T13:44:00Z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