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2C0" w:rsidRDefault="005632C0" w:rsidP="005632C0">
      <w:bookmarkStart w:id="0" w:name="irecnoe"/>
      <w:bookmarkEnd w:id="0"/>
    </w:p>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tbl>
      <w:tblPr>
        <w:tblW w:w="10089" w:type="dxa"/>
        <w:tblLook w:val="01E0" w:firstRow="1" w:lastRow="1" w:firstColumn="1" w:lastColumn="1" w:noHBand="0" w:noVBand="0"/>
      </w:tblPr>
      <w:tblGrid>
        <w:gridCol w:w="10089"/>
      </w:tblGrid>
      <w:tr w:rsidR="005632C0" w:rsidRPr="00CA109F" w:rsidTr="00CA109F">
        <w:tc>
          <w:tcPr>
            <w:tcW w:w="10089" w:type="dxa"/>
          </w:tcPr>
          <w:p w:rsidR="005632C0" w:rsidRPr="00CA109F" w:rsidRDefault="005632C0" w:rsidP="00CA109F">
            <w:pPr>
              <w:spacing w:before="380" w:line="280" w:lineRule="exact"/>
              <w:jc w:val="right"/>
              <w:rPr>
                <w:rFonts w:ascii="Tahoma" w:hAnsi="Tahoma" w:cs="Tahoma"/>
                <w:b/>
                <w:bCs/>
                <w:iCs/>
                <w:color w:val="509141"/>
                <w:sz w:val="32"/>
                <w:szCs w:val="32"/>
                <w:lang w:val="en-US"/>
              </w:rPr>
            </w:pPr>
          </w:p>
          <w:p w:rsidR="005632C0" w:rsidRPr="005D41C4" w:rsidRDefault="005632C0" w:rsidP="00A87E27">
            <w:pPr>
              <w:spacing w:before="380" w:line="280" w:lineRule="exact"/>
              <w:jc w:val="right"/>
              <w:rPr>
                <w:rFonts w:ascii="Tahoma" w:hAnsi="Tahoma" w:cs="Tahoma"/>
                <w:b/>
                <w:bCs/>
                <w:iCs/>
                <w:color w:val="509141"/>
                <w:sz w:val="36"/>
                <w:szCs w:val="36"/>
                <w:lang w:val="fr-CH"/>
              </w:rPr>
            </w:pPr>
            <w:r w:rsidRPr="005D41C4">
              <w:rPr>
                <w:rFonts w:ascii="Tahoma" w:hAnsi="Tahoma" w:cs="Tahoma"/>
                <w:b/>
                <w:bCs/>
                <w:iCs/>
                <w:color w:val="509141"/>
                <w:sz w:val="36"/>
                <w:szCs w:val="36"/>
                <w:lang w:val="fr-CH"/>
              </w:rPr>
              <w:t xml:space="preserve">Informe  UIT-R  </w:t>
            </w:r>
            <w:r w:rsidR="00A10F3A" w:rsidRPr="005D41C4">
              <w:rPr>
                <w:rFonts w:ascii="Tahoma" w:hAnsi="Tahoma" w:cs="Tahoma"/>
                <w:b/>
                <w:bCs/>
                <w:iCs/>
                <w:color w:val="509141"/>
                <w:sz w:val="36"/>
                <w:szCs w:val="36"/>
                <w:lang w:val="fr-CH"/>
              </w:rPr>
              <w:t>S</w:t>
            </w:r>
            <w:r w:rsidR="003A6B2B" w:rsidRPr="005D41C4">
              <w:rPr>
                <w:rFonts w:ascii="Tahoma" w:hAnsi="Tahoma" w:cs="Tahoma"/>
                <w:b/>
                <w:bCs/>
                <w:iCs/>
                <w:color w:val="509141"/>
                <w:sz w:val="36"/>
                <w:szCs w:val="36"/>
                <w:lang w:val="fr-CH"/>
              </w:rPr>
              <w:t>M</w:t>
            </w:r>
            <w:r w:rsidRPr="005D41C4">
              <w:rPr>
                <w:rFonts w:ascii="Tahoma" w:hAnsi="Tahoma" w:cs="Tahoma"/>
                <w:b/>
                <w:bCs/>
                <w:iCs/>
                <w:color w:val="509141"/>
                <w:sz w:val="36"/>
                <w:szCs w:val="36"/>
                <w:lang w:val="fr-CH"/>
              </w:rPr>
              <w:t>.</w:t>
            </w:r>
            <w:r w:rsidR="00A87E27">
              <w:rPr>
                <w:rFonts w:ascii="Tahoma" w:hAnsi="Tahoma" w:cs="Tahoma"/>
                <w:b/>
                <w:bCs/>
                <w:iCs/>
                <w:color w:val="509141"/>
                <w:sz w:val="36"/>
                <w:szCs w:val="36"/>
                <w:lang w:val="fr-CH"/>
              </w:rPr>
              <w:t>2351-1</w:t>
            </w:r>
            <w:r w:rsidRPr="005D41C4">
              <w:rPr>
                <w:rFonts w:ascii="Tahoma" w:hAnsi="Tahoma" w:cs="Tahoma"/>
                <w:b/>
                <w:bCs/>
                <w:iCs/>
                <w:color w:val="509141"/>
                <w:sz w:val="36"/>
                <w:szCs w:val="36"/>
                <w:lang w:val="fr-CH"/>
              </w:rPr>
              <w:t xml:space="preserve">  </w:t>
            </w:r>
          </w:p>
          <w:p w:rsidR="005632C0" w:rsidRPr="005D41C4" w:rsidRDefault="005632C0" w:rsidP="00A87E27">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A87E27">
              <w:rPr>
                <w:rFonts w:ascii="Tahoma" w:hAnsi="Tahoma" w:cs="Tahoma"/>
                <w:b/>
                <w:bCs/>
                <w:iCs/>
                <w:color w:val="509141"/>
                <w:szCs w:val="24"/>
                <w:lang w:val="fr-CH"/>
              </w:rPr>
              <w:t>08</w:t>
            </w:r>
            <w:r w:rsidRPr="005D41C4">
              <w:rPr>
                <w:rFonts w:ascii="Tahoma" w:hAnsi="Tahoma" w:cs="Tahoma"/>
                <w:b/>
                <w:bCs/>
                <w:iCs/>
                <w:color w:val="509141"/>
                <w:szCs w:val="24"/>
                <w:lang w:val="fr-CH"/>
              </w:rPr>
              <w:t>/</w:t>
            </w:r>
            <w:r w:rsidR="00A87E27">
              <w:rPr>
                <w:rFonts w:ascii="Tahoma" w:hAnsi="Tahoma" w:cs="Tahoma"/>
                <w:b/>
                <w:bCs/>
                <w:iCs/>
                <w:color w:val="509141"/>
                <w:szCs w:val="24"/>
                <w:lang w:val="fr-CH"/>
              </w:rPr>
              <w:t>2016</w:t>
            </w:r>
            <w:r w:rsidRPr="005D41C4">
              <w:rPr>
                <w:rFonts w:ascii="Tahoma" w:hAnsi="Tahoma" w:cs="Tahoma"/>
                <w:b/>
                <w:bCs/>
                <w:iCs/>
                <w:color w:val="509141"/>
                <w:szCs w:val="24"/>
                <w:lang w:val="fr-CH"/>
              </w:rPr>
              <w:t>)</w:t>
            </w:r>
          </w:p>
        </w:tc>
      </w:tr>
      <w:tr w:rsidR="005632C0" w:rsidRPr="00D30DBF" w:rsidTr="00CA109F">
        <w:tc>
          <w:tcPr>
            <w:tcW w:w="10089" w:type="dxa"/>
          </w:tcPr>
          <w:p w:rsidR="005632C0" w:rsidRPr="00993C9C" w:rsidRDefault="005632C0" w:rsidP="00CA109F">
            <w:pPr>
              <w:spacing w:before="80" w:line="500" w:lineRule="exact"/>
              <w:jc w:val="right"/>
              <w:rPr>
                <w:rFonts w:ascii="Tahoma" w:hAnsi="Tahoma" w:cs="Tahoma"/>
                <w:b/>
                <w:bCs/>
                <w:iCs/>
                <w:color w:val="509141"/>
                <w:sz w:val="44"/>
                <w:szCs w:val="44"/>
                <w:lang w:val="es-ES_tradnl"/>
              </w:rPr>
            </w:pPr>
          </w:p>
          <w:p w:rsidR="005632C0" w:rsidRPr="00CA109F" w:rsidRDefault="00993C9C" w:rsidP="00993C9C">
            <w:pPr>
              <w:spacing w:before="80" w:line="500" w:lineRule="exact"/>
              <w:jc w:val="right"/>
              <w:rPr>
                <w:rFonts w:ascii="Tahoma" w:hAnsi="Tahoma" w:cs="Tahoma"/>
                <w:b/>
                <w:bCs/>
                <w:iCs/>
                <w:color w:val="509141"/>
                <w:sz w:val="44"/>
                <w:szCs w:val="44"/>
                <w:lang w:val="es-ES_tradnl"/>
              </w:rPr>
            </w:pPr>
            <w:r w:rsidRPr="00993C9C">
              <w:rPr>
                <w:rFonts w:ascii="Tahoma" w:hAnsi="Tahoma" w:cs="Tahoma"/>
                <w:b/>
                <w:bCs/>
                <w:iCs/>
                <w:color w:val="509141"/>
                <w:sz w:val="44"/>
                <w:szCs w:val="44"/>
                <w:lang w:val="es-ES_tradnl"/>
              </w:rPr>
              <w:t>Sistemas de gestión de servicios públicos por red inteligente</w:t>
            </w:r>
            <w:r w:rsidR="00BE46FB" w:rsidRPr="00CA109F">
              <w:rPr>
                <w:rFonts w:ascii="Tahoma" w:hAnsi="Tahoma" w:cs="Tahoma"/>
                <w:b/>
                <w:bCs/>
                <w:iCs/>
                <w:color w:val="509141"/>
                <w:sz w:val="44"/>
                <w:szCs w:val="44"/>
                <w:lang w:val="es-ES_tradnl"/>
              </w:rPr>
              <w:t xml:space="preserve"> </w:t>
            </w:r>
          </w:p>
        </w:tc>
      </w:tr>
      <w:tr w:rsidR="005632C0" w:rsidRPr="00D30DBF" w:rsidTr="00CA109F">
        <w:tc>
          <w:tcPr>
            <w:tcW w:w="10089" w:type="dxa"/>
          </w:tcPr>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after="180" w:line="360" w:lineRule="exact"/>
              <w:jc w:val="right"/>
              <w:rPr>
                <w:rFonts w:ascii="Tahoma" w:hAnsi="Tahoma" w:cs="Tahoma"/>
                <w:b/>
                <w:bCs/>
                <w:iCs/>
                <w:color w:val="243285"/>
                <w:sz w:val="36"/>
                <w:szCs w:val="36"/>
                <w:lang w:val="es-ES_tradnl"/>
              </w:rPr>
            </w:pPr>
          </w:p>
          <w:p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7"/>
          <w:headerReference w:type="default" r:id="rId8"/>
          <w:pgSz w:w="11907" w:h="16840" w:code="9"/>
          <w:pgMar w:top="1089" w:right="1089" w:bottom="284" w:left="1089" w:header="567" w:footer="284" w:gutter="0"/>
          <w:pgNumType w:start="1"/>
          <w:cols w:space="720"/>
        </w:sectPr>
      </w:pPr>
    </w:p>
    <w:p w:rsidR="005632C0" w:rsidRPr="006C718C" w:rsidRDefault="005632C0" w:rsidP="005632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632C0" w:rsidRDefault="005632C0" w:rsidP="005632C0">
      <w:pPr>
        <w:spacing w:before="0"/>
        <w:rPr>
          <w:sz w:val="20"/>
          <w:lang w:val="es-ES_tradnl"/>
        </w:rPr>
      </w:pPr>
    </w:p>
    <w:p w:rsidR="005632C0" w:rsidRPr="006C718C" w:rsidRDefault="005632C0" w:rsidP="005632C0">
      <w:pPr>
        <w:spacing w:before="0"/>
        <w:rPr>
          <w:sz w:val="20"/>
          <w:lang w:val="es-ES_tradnl"/>
        </w:rPr>
      </w:pPr>
    </w:p>
    <w:p w:rsidR="005632C0" w:rsidRPr="00021E8A" w:rsidRDefault="005632C0" w:rsidP="005632C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632C0" w:rsidRPr="00021E8A" w:rsidRDefault="005632C0" w:rsidP="005632C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632C0"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632C0" w:rsidRPr="00D30DBF" w:rsidTr="00474D58">
        <w:tc>
          <w:tcPr>
            <w:tcW w:w="9360" w:type="dxa"/>
            <w:gridSpan w:val="2"/>
          </w:tcPr>
          <w:p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rsidTr="00EC62B0">
        <w:tc>
          <w:tcPr>
            <w:tcW w:w="1140" w:type="dxa"/>
            <w:tcBorders>
              <w:bottom w:val="nil"/>
            </w:tcBorders>
          </w:tcPr>
          <w:p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2C0" w:rsidRPr="00EC62B0" w:rsidTr="00F12544">
        <w:tc>
          <w:tcPr>
            <w:tcW w:w="1140" w:type="dxa"/>
            <w:tcBorders>
              <w:top w:val="nil"/>
              <w:bottom w:val="nil"/>
            </w:tcBorders>
            <w:shd w:val="clear" w:color="auto" w:fill="auto"/>
          </w:tcPr>
          <w:p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5632C0" w:rsidRPr="00D30DBF" w:rsidTr="00B11D5D">
        <w:tc>
          <w:tcPr>
            <w:tcW w:w="1140" w:type="dxa"/>
            <w:tcBorders>
              <w:top w:val="nil"/>
              <w:bottom w:val="nil"/>
            </w:tcBorders>
            <w:shd w:val="clear" w:color="auto" w:fill="auto"/>
          </w:tcPr>
          <w:p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rsidTr="00D73486">
        <w:tc>
          <w:tcPr>
            <w:tcW w:w="1140" w:type="dxa"/>
            <w:tcBorders>
              <w:top w:val="nil"/>
              <w:bottom w:val="nil"/>
            </w:tcBorders>
            <w:shd w:val="clear" w:color="auto" w:fill="auto"/>
          </w:tcPr>
          <w:p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5632C0" w:rsidRPr="00D73486" w:rsidTr="0064346B">
        <w:tc>
          <w:tcPr>
            <w:tcW w:w="1140" w:type="dxa"/>
            <w:tcBorders>
              <w:top w:val="nil"/>
              <w:bottom w:val="nil"/>
            </w:tcBorders>
            <w:shd w:val="clear" w:color="auto" w:fill="auto"/>
          </w:tcPr>
          <w:p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5632C0" w:rsidRPr="0064346B" w:rsidTr="00297C87">
        <w:tc>
          <w:tcPr>
            <w:tcW w:w="1140" w:type="dxa"/>
            <w:tcBorders>
              <w:top w:val="nil"/>
              <w:bottom w:val="nil"/>
            </w:tcBorders>
            <w:shd w:val="clear" w:color="auto" w:fill="auto"/>
          </w:tcPr>
          <w:p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5632C0" w:rsidRPr="00D30DBF" w:rsidTr="00F84F54">
        <w:tc>
          <w:tcPr>
            <w:tcW w:w="1140" w:type="dxa"/>
            <w:tcBorders>
              <w:top w:val="nil"/>
              <w:bottom w:val="nil"/>
            </w:tcBorders>
            <w:shd w:val="clear" w:color="auto" w:fill="auto"/>
          </w:tcPr>
          <w:p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D30DBF" w:rsidTr="00A10F3A">
        <w:tc>
          <w:tcPr>
            <w:tcW w:w="1140" w:type="dxa"/>
            <w:tcBorders>
              <w:top w:val="nil"/>
              <w:bottom w:val="nil"/>
            </w:tcBorders>
            <w:shd w:val="clear" w:color="auto" w:fill="auto"/>
          </w:tcPr>
          <w:p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rsidTr="007C5CE9">
        <w:tc>
          <w:tcPr>
            <w:tcW w:w="1140" w:type="dxa"/>
            <w:tcBorders>
              <w:top w:val="nil"/>
              <w:bottom w:val="nil"/>
            </w:tcBorders>
            <w:shd w:val="clear" w:color="auto" w:fill="auto"/>
          </w:tcPr>
          <w:p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5632C0" w:rsidRPr="00D30DBF" w:rsidTr="00AC1323">
        <w:tc>
          <w:tcPr>
            <w:tcW w:w="1140" w:type="dxa"/>
            <w:tcBorders>
              <w:top w:val="nil"/>
              <w:bottom w:val="nil"/>
            </w:tcBorders>
            <w:shd w:val="clear" w:color="auto" w:fill="auto"/>
          </w:tcPr>
          <w:p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rsidTr="00BA28E1">
        <w:tc>
          <w:tcPr>
            <w:tcW w:w="1140" w:type="dxa"/>
            <w:tcBorders>
              <w:top w:val="nil"/>
              <w:bottom w:val="nil"/>
            </w:tcBorders>
            <w:shd w:val="clear" w:color="auto" w:fill="auto"/>
          </w:tcPr>
          <w:p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5632C0" w:rsidRPr="00AC1323" w:rsidRDefault="005632C0" w:rsidP="00474D58">
            <w:pPr>
              <w:spacing w:before="30" w:after="30"/>
              <w:jc w:val="left"/>
              <w:rPr>
                <w:sz w:val="20"/>
              </w:rPr>
            </w:pPr>
            <w:r w:rsidRPr="00AC1323">
              <w:rPr>
                <w:sz w:val="20"/>
              </w:rPr>
              <w:t>Servicio</w:t>
            </w:r>
            <w:r w:rsidR="00936035">
              <w:rPr>
                <w:sz w:val="20"/>
              </w:rPr>
              <w:t xml:space="preserve"> fijo</w:t>
            </w:r>
            <w:r w:rsidRPr="00AC1323">
              <w:rPr>
                <w:sz w:val="20"/>
              </w:rPr>
              <w:t xml:space="preserve"> por satélite</w:t>
            </w:r>
          </w:p>
        </w:tc>
      </w:tr>
      <w:tr w:rsidR="005632C0" w:rsidRPr="00BA28E1" w:rsidTr="003A6B2B">
        <w:tc>
          <w:tcPr>
            <w:tcW w:w="1140" w:type="dxa"/>
            <w:tcBorders>
              <w:top w:val="nil"/>
              <w:bottom w:val="nil"/>
            </w:tcBorders>
            <w:shd w:val="clear" w:color="auto" w:fill="auto"/>
          </w:tcPr>
          <w:p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5632C0" w:rsidRPr="00BA28E1" w:rsidRDefault="005632C0" w:rsidP="00474D58">
            <w:pPr>
              <w:spacing w:before="30" w:after="30"/>
              <w:jc w:val="left"/>
              <w:rPr>
                <w:sz w:val="20"/>
                <w:lang w:val="en-US"/>
              </w:rPr>
            </w:pPr>
            <w:r w:rsidRPr="00BA28E1">
              <w:rPr>
                <w:sz w:val="20"/>
              </w:rPr>
              <w:t>Aplicaciones espaciales y meteorología</w:t>
            </w:r>
          </w:p>
        </w:tc>
      </w:tr>
      <w:tr w:rsidR="005632C0" w:rsidRPr="00D30DBF" w:rsidTr="003A6B2B">
        <w:tc>
          <w:tcPr>
            <w:tcW w:w="1140" w:type="dxa"/>
            <w:tcBorders>
              <w:top w:val="nil"/>
              <w:bottom w:val="nil"/>
            </w:tcBorders>
            <w:shd w:val="clear" w:color="auto" w:fill="auto"/>
          </w:tcPr>
          <w:p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rsidTr="003A6B2B">
        <w:tc>
          <w:tcPr>
            <w:tcW w:w="1140" w:type="dxa"/>
            <w:tcBorders>
              <w:top w:val="nil"/>
              <w:bottom w:val="nil"/>
            </w:tcBorders>
            <w:shd w:val="clear" w:color="auto" w:fill="F3F3F3"/>
          </w:tcPr>
          <w:p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5632C0" w:rsidRPr="003A6B2B" w:rsidRDefault="005632C0" w:rsidP="00474D58">
            <w:pPr>
              <w:spacing w:before="30"/>
              <w:jc w:val="left"/>
              <w:rPr>
                <w:b/>
                <w:bCs/>
                <w:color w:val="000080"/>
                <w:sz w:val="20"/>
                <w:lang w:val="en-US"/>
              </w:rPr>
            </w:pPr>
            <w:r w:rsidRPr="003A6B2B">
              <w:rPr>
                <w:b/>
                <w:bCs/>
                <w:color w:val="000080"/>
                <w:sz w:val="20"/>
              </w:rPr>
              <w:t>Gestión del espectro</w:t>
            </w:r>
          </w:p>
        </w:tc>
      </w:tr>
      <w:tr w:rsidR="005632C0" w:rsidRPr="00036EE3" w:rsidTr="003A6B2B">
        <w:tc>
          <w:tcPr>
            <w:tcW w:w="1140" w:type="dxa"/>
            <w:tcBorders>
              <w:top w:val="nil"/>
            </w:tcBorders>
            <w:shd w:val="clear" w:color="auto" w:fill="auto"/>
          </w:tcPr>
          <w:p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rsidR="005632C0" w:rsidRPr="0041026E" w:rsidRDefault="005632C0" w:rsidP="00474D58">
            <w:pPr>
              <w:spacing w:before="0"/>
              <w:jc w:val="left"/>
              <w:rPr>
                <w:b/>
                <w:bCs/>
                <w:color w:val="000080"/>
                <w:sz w:val="20"/>
              </w:rPr>
            </w:pPr>
          </w:p>
        </w:tc>
      </w:tr>
    </w:tbl>
    <w:p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rsidTr="00474D58">
        <w:tc>
          <w:tcPr>
            <w:tcW w:w="720" w:type="dxa"/>
          </w:tcPr>
          <w:p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632C0" w:rsidRPr="00D30DBF" w:rsidTr="00CA109F">
        <w:tc>
          <w:tcPr>
            <w:tcW w:w="9360" w:type="dxa"/>
          </w:tcPr>
          <w:p w:rsidR="005632C0" w:rsidRPr="00CA109F" w:rsidRDefault="005632C0" w:rsidP="003A4A65">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sidR="003A4A65">
              <w:rPr>
                <w:i/>
                <w:iCs/>
                <w:sz w:val="20"/>
                <w:lang w:val="es-ES_tradnl"/>
              </w:rPr>
              <w:t xml:space="preserve"> procedimiento detallado en la </w:t>
            </w:r>
            <w:r w:rsidRPr="00CA109F">
              <w:rPr>
                <w:i/>
                <w:iCs/>
                <w:sz w:val="20"/>
                <w:lang w:val="es-ES_tradnl"/>
              </w:rPr>
              <w:t>Resolución UIT-R 1.</w:t>
            </w:r>
          </w:p>
        </w:tc>
      </w:tr>
    </w:tbl>
    <w:p w:rsidR="005632C0" w:rsidRPr="00763D08" w:rsidRDefault="005632C0" w:rsidP="005632C0">
      <w:pPr>
        <w:spacing w:before="0"/>
        <w:jc w:val="center"/>
        <w:rPr>
          <w:sz w:val="22"/>
          <w:lang w:val="es-ES_tradnl"/>
        </w:rPr>
      </w:pPr>
    </w:p>
    <w:p w:rsidR="005632C0" w:rsidRPr="00763D08" w:rsidRDefault="005632C0" w:rsidP="005632C0">
      <w:pPr>
        <w:spacing w:before="60"/>
        <w:jc w:val="right"/>
        <w:rPr>
          <w:i/>
          <w:iCs/>
          <w:sz w:val="20"/>
          <w:lang w:val="es-ES_tradnl"/>
        </w:rPr>
      </w:pPr>
      <w:r w:rsidRPr="00763D08">
        <w:rPr>
          <w:i/>
          <w:iCs/>
          <w:sz w:val="20"/>
          <w:lang w:val="es-ES_tradnl"/>
        </w:rPr>
        <w:t>Publicación electrónica</w:t>
      </w:r>
    </w:p>
    <w:p w:rsidR="005632C0" w:rsidRPr="00763D08" w:rsidRDefault="005632C0" w:rsidP="001F136C">
      <w:pPr>
        <w:spacing w:before="0" w:after="40"/>
        <w:jc w:val="right"/>
        <w:rPr>
          <w:sz w:val="20"/>
          <w:lang w:val="es-ES_tradnl"/>
        </w:rPr>
      </w:pPr>
      <w:r w:rsidRPr="00763D08">
        <w:rPr>
          <w:sz w:val="20"/>
          <w:lang w:val="es-ES_tradnl"/>
        </w:rPr>
        <w:t>Ginebra, 20</w:t>
      </w:r>
      <w:r w:rsidR="00CD33AF">
        <w:rPr>
          <w:sz w:val="20"/>
          <w:lang w:val="es-ES_tradnl"/>
        </w:rPr>
        <w:t>1</w:t>
      </w:r>
      <w:r w:rsidR="00A87E27">
        <w:rPr>
          <w:sz w:val="20"/>
          <w:lang w:val="es-ES_tradnl"/>
        </w:rPr>
        <w:t>7</w:t>
      </w:r>
    </w:p>
    <w:p w:rsidR="005632C0" w:rsidRPr="00763D08" w:rsidRDefault="005632C0" w:rsidP="005632C0">
      <w:pPr>
        <w:spacing w:before="0"/>
        <w:jc w:val="center"/>
        <w:rPr>
          <w:sz w:val="22"/>
          <w:lang w:val="es-ES_tradnl"/>
        </w:rPr>
      </w:pPr>
    </w:p>
    <w:p w:rsidR="005632C0" w:rsidRPr="00763D08" w:rsidRDefault="005632C0" w:rsidP="001F136C">
      <w:pPr>
        <w:spacing w:before="0"/>
        <w:jc w:val="center"/>
        <w:rPr>
          <w:sz w:val="20"/>
          <w:lang w:val="es-ES_tradnl"/>
        </w:rPr>
      </w:pPr>
      <w:r w:rsidRPr="00470E28">
        <w:rPr>
          <w:sz w:val="20"/>
          <w:lang w:val="en-US"/>
        </w:rPr>
        <w:sym w:font="Symbol" w:char="F0E3"/>
      </w:r>
      <w:r w:rsidRPr="00763D08">
        <w:rPr>
          <w:sz w:val="20"/>
          <w:lang w:val="es-ES_tradnl"/>
        </w:rPr>
        <w:t xml:space="preserve"> UIT 20</w:t>
      </w:r>
      <w:r w:rsidR="00CD33AF">
        <w:rPr>
          <w:sz w:val="20"/>
          <w:lang w:val="es-ES_tradnl"/>
        </w:rPr>
        <w:t>1</w:t>
      </w:r>
      <w:r w:rsidR="00A87E27">
        <w:rPr>
          <w:sz w:val="20"/>
          <w:lang w:val="es-ES_tradnl"/>
        </w:rPr>
        <w:t>7</w:t>
      </w:r>
    </w:p>
    <w:p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632C0" w:rsidRPr="006C718C" w:rsidRDefault="005632C0" w:rsidP="005632C0">
      <w:pPr>
        <w:spacing w:before="160"/>
        <w:rPr>
          <w:i/>
          <w:sz w:val="20"/>
          <w:highlight w:val="yellow"/>
          <w:lang w:val="es-ES_tradnl"/>
        </w:rPr>
        <w:sectPr w:rsidR="005632C0" w:rsidRPr="006C718C"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A87E27" w:rsidRDefault="00A87E27" w:rsidP="00993C9C">
      <w:pPr>
        <w:pStyle w:val="RepNo"/>
        <w:spacing w:before="0"/>
        <w:rPr>
          <w:lang w:val="es-ES_tradnl"/>
        </w:rPr>
      </w:pPr>
      <w:r w:rsidRPr="00BE46FB">
        <w:rPr>
          <w:lang w:val="es-ES_tradnl"/>
        </w:rPr>
        <w:lastRenderedPageBreak/>
        <w:t xml:space="preserve">INFORME  </w:t>
      </w:r>
      <w:r w:rsidRPr="00BE46FB">
        <w:rPr>
          <w:rStyle w:val="href"/>
          <w:lang w:val="es-ES_tradnl"/>
        </w:rPr>
        <w:t>UIT-R  SM.</w:t>
      </w:r>
      <w:r w:rsidR="00993C9C">
        <w:rPr>
          <w:rStyle w:val="href"/>
          <w:lang w:val="es-ES_tradnl"/>
        </w:rPr>
        <w:t>2351-1</w:t>
      </w:r>
    </w:p>
    <w:p w:rsidR="00A87E27" w:rsidRPr="009D06C9" w:rsidRDefault="00A87E27" w:rsidP="00A87E27">
      <w:pPr>
        <w:pStyle w:val="Reptitle"/>
        <w:rPr>
          <w:rFonts w:eastAsia="Batang"/>
          <w:lang w:val="es-ES_tradnl"/>
        </w:rPr>
      </w:pPr>
      <w:r w:rsidRPr="009D06C9">
        <w:rPr>
          <w:rFonts w:eastAsia="Batang"/>
          <w:lang w:val="es-ES_tradnl"/>
        </w:rPr>
        <w:t>Sistemas de gestión de servicios públicos por red inteligente</w:t>
      </w:r>
    </w:p>
    <w:p w:rsidR="00A87E27" w:rsidRPr="009D06C9" w:rsidRDefault="00A87E27" w:rsidP="00A87E27">
      <w:pPr>
        <w:pStyle w:val="Blanc"/>
        <w:rPr>
          <w:lang w:val="es-ES_tradnl"/>
        </w:rPr>
      </w:pPr>
    </w:p>
    <w:p w:rsidR="00A87E27" w:rsidRPr="009D06C9" w:rsidRDefault="00A87E27" w:rsidP="00A87E27">
      <w:pPr>
        <w:pStyle w:val="Recdate"/>
        <w:rPr>
          <w:lang w:val="es-ES_tradnl"/>
        </w:rPr>
      </w:pPr>
      <w:r w:rsidRPr="009D06C9">
        <w:rPr>
          <w:lang w:val="es-ES_tradnl"/>
        </w:rPr>
        <w:t>(2015)</w:t>
      </w:r>
    </w:p>
    <w:p w:rsidR="00A87E27" w:rsidRPr="009D06C9" w:rsidRDefault="00A87E27" w:rsidP="00A87E27">
      <w:pPr>
        <w:pStyle w:val="Blanc"/>
        <w:rPr>
          <w:lang w:val="es-ES_tradnl"/>
        </w:rPr>
      </w:pPr>
    </w:p>
    <w:p w:rsidR="00A87E27" w:rsidRPr="009D06C9" w:rsidRDefault="00A87E27" w:rsidP="00A87E27">
      <w:pPr>
        <w:jc w:val="center"/>
        <w:rPr>
          <w:sz w:val="22"/>
          <w:szCs w:val="22"/>
          <w:lang w:val="es-ES_tradnl"/>
        </w:rPr>
      </w:pPr>
      <w:r w:rsidRPr="009D06C9">
        <w:rPr>
          <w:sz w:val="22"/>
          <w:szCs w:val="22"/>
          <w:lang w:val="es-ES_tradnl"/>
        </w:rPr>
        <w:t>ÍNDICE</w:t>
      </w:r>
    </w:p>
    <w:p w:rsidR="00A87E27" w:rsidRPr="009D06C9" w:rsidRDefault="00A87E27" w:rsidP="00A87E27">
      <w:pPr>
        <w:pStyle w:val="toc0"/>
        <w:jc w:val="right"/>
        <w:rPr>
          <w:lang w:val="es-ES_tradnl"/>
        </w:rPr>
      </w:pPr>
      <w:r w:rsidRPr="009D06C9">
        <w:rPr>
          <w:lang w:val="es-ES_tradnl"/>
        </w:rPr>
        <w:t>Página</w:t>
      </w:r>
    </w:p>
    <w:p w:rsidR="00A87E27" w:rsidRPr="009D06C9" w:rsidRDefault="00A87E27" w:rsidP="00A87E27">
      <w:pPr>
        <w:pStyle w:val="TOC1"/>
        <w:rPr>
          <w:rFonts w:asciiTheme="minorHAnsi" w:eastAsiaTheme="minorEastAsia" w:hAnsiTheme="minorHAnsi" w:cstheme="minorBidi"/>
          <w:noProof/>
          <w:sz w:val="22"/>
          <w:szCs w:val="22"/>
          <w:lang w:val="es-ES_tradnl" w:eastAsia="zh-CN"/>
        </w:rPr>
      </w:pPr>
      <w:r w:rsidRPr="009D06C9">
        <w:rPr>
          <w:lang w:val="es-ES_tradnl"/>
        </w:rPr>
        <w:fldChar w:fldCharType="begin"/>
      </w:r>
      <w:r w:rsidRPr="009D06C9">
        <w:rPr>
          <w:lang w:val="es-ES_tradnl"/>
        </w:rPr>
        <w:instrText xml:space="preserve"> TOC \o "1-2" \h \z \u </w:instrText>
      </w:r>
      <w:r w:rsidRPr="009D06C9">
        <w:rPr>
          <w:lang w:val="es-ES_tradnl"/>
        </w:rPr>
        <w:fldChar w:fldCharType="separate"/>
      </w:r>
      <w:hyperlink w:anchor="_Toc498004344" w:history="1">
        <w:r w:rsidRPr="009D06C9">
          <w:rPr>
            <w:rStyle w:val="Hyperlink"/>
            <w:rFonts w:eastAsia="Batang"/>
            <w:noProof/>
            <w:lang w:val="es-ES_tradnl"/>
          </w:rPr>
          <w:t>1</w:t>
        </w:r>
        <w:r w:rsidRPr="009D06C9">
          <w:rPr>
            <w:rFonts w:asciiTheme="minorHAnsi" w:eastAsiaTheme="minorEastAsia" w:hAnsiTheme="minorHAnsi" w:cstheme="minorBidi"/>
            <w:noProof/>
            <w:sz w:val="22"/>
            <w:szCs w:val="22"/>
            <w:lang w:val="es-ES_tradnl" w:eastAsia="zh-CN"/>
          </w:rPr>
          <w:tab/>
        </w:r>
        <w:r w:rsidRPr="009D06C9">
          <w:rPr>
            <w:rStyle w:val="Hyperlink"/>
            <w:rFonts w:eastAsia="Batang"/>
            <w:noProof/>
            <w:lang w:val="es-ES_tradnl"/>
          </w:rPr>
          <w:t>Introducción</w:t>
        </w:r>
        <w:r w:rsidRPr="009D06C9">
          <w:rPr>
            <w:noProof/>
            <w:webHidden/>
            <w:lang w:val="es-ES_tradnl"/>
          </w:rPr>
          <w:tab/>
        </w:r>
        <w:r w:rsidRPr="009D06C9">
          <w:rPr>
            <w:noProof/>
            <w:webHidden/>
            <w:lang w:val="es-ES_tradnl"/>
          </w:rPr>
          <w:tab/>
        </w:r>
        <w:r w:rsidRPr="009D06C9">
          <w:rPr>
            <w:noProof/>
            <w:webHidden/>
            <w:lang w:val="es-ES_tradnl"/>
          </w:rPr>
          <w:fldChar w:fldCharType="begin"/>
        </w:r>
        <w:r w:rsidRPr="009D06C9">
          <w:rPr>
            <w:noProof/>
            <w:webHidden/>
            <w:lang w:val="es-ES_tradnl"/>
          </w:rPr>
          <w:instrText xml:space="preserve"> PAGEREF _Toc498004344 \h </w:instrText>
        </w:r>
        <w:r w:rsidRPr="009D06C9">
          <w:rPr>
            <w:noProof/>
            <w:webHidden/>
            <w:lang w:val="es-ES_tradnl"/>
          </w:rPr>
        </w:r>
        <w:r w:rsidRPr="009D06C9">
          <w:rPr>
            <w:noProof/>
            <w:webHidden/>
            <w:lang w:val="es-ES_tradnl"/>
          </w:rPr>
          <w:fldChar w:fldCharType="separate"/>
        </w:r>
        <w:r w:rsidR="002819E8">
          <w:rPr>
            <w:noProof/>
            <w:webHidden/>
            <w:lang w:val="es-ES_tradnl"/>
          </w:rPr>
          <w:t>3</w:t>
        </w:r>
        <w:r w:rsidRPr="009D06C9">
          <w:rPr>
            <w:noProof/>
            <w:webHidden/>
            <w:lang w:val="es-ES_tradnl"/>
          </w:rPr>
          <w:fldChar w:fldCharType="end"/>
        </w:r>
      </w:hyperlink>
    </w:p>
    <w:p w:rsidR="00A87E27" w:rsidRPr="009D06C9" w:rsidRDefault="00090ED8" w:rsidP="00A87E27">
      <w:pPr>
        <w:pStyle w:val="TOC1"/>
        <w:rPr>
          <w:rFonts w:asciiTheme="minorHAnsi" w:eastAsiaTheme="minorEastAsia" w:hAnsiTheme="minorHAnsi" w:cstheme="minorBidi"/>
          <w:noProof/>
          <w:sz w:val="22"/>
          <w:szCs w:val="22"/>
          <w:lang w:val="es-ES_tradnl" w:eastAsia="zh-CN"/>
        </w:rPr>
      </w:pPr>
      <w:hyperlink w:anchor="_Toc498004345" w:history="1">
        <w:r w:rsidR="00A87E27" w:rsidRPr="009D06C9">
          <w:rPr>
            <w:rStyle w:val="Hyperlink"/>
            <w:rFonts w:eastAsia="Batang"/>
            <w:noProof/>
            <w:lang w:val="es-ES_tradnl"/>
          </w:rPr>
          <w:t>2</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 xml:space="preserve">Comunicaciones y </w:t>
        </w:r>
        <w:r w:rsidR="00A87E27" w:rsidRPr="009D06C9">
          <w:rPr>
            <w:rStyle w:val="Hyperlink"/>
            <w:noProof/>
            <w:lang w:val="es-ES_tradnl"/>
          </w:rPr>
          <w:t>particularidades de las redes inteligentes</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_Toc498004345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4</w:t>
        </w:r>
        <w:r w:rsidR="00A87E27" w:rsidRPr="009D06C9">
          <w:rPr>
            <w:noProof/>
            <w:webHidden/>
            <w:lang w:val="es-ES_tradnl"/>
          </w:rPr>
          <w:fldChar w:fldCharType="end"/>
        </w:r>
      </w:hyperlink>
    </w:p>
    <w:p w:rsidR="00A87E27" w:rsidRPr="009D06C9" w:rsidRDefault="00090ED8" w:rsidP="00A87E27">
      <w:pPr>
        <w:pStyle w:val="TOC1"/>
        <w:rPr>
          <w:rFonts w:asciiTheme="minorHAnsi" w:eastAsiaTheme="minorEastAsia" w:hAnsiTheme="minorHAnsi" w:cstheme="minorBidi"/>
          <w:noProof/>
          <w:sz w:val="22"/>
          <w:szCs w:val="22"/>
          <w:lang w:val="es-ES_tradnl" w:eastAsia="zh-CN"/>
        </w:rPr>
      </w:pPr>
      <w:hyperlink w:anchor="_Toc498004346" w:history="1">
        <w:r w:rsidR="00A87E27" w:rsidRPr="009D06C9">
          <w:rPr>
            <w:rStyle w:val="Hyperlink"/>
            <w:rFonts w:eastAsia="Batang"/>
            <w:noProof/>
            <w:lang w:val="es-ES_tradnl"/>
          </w:rPr>
          <w:t>3</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Tecnologías de red inteligente por redes de comunicación</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_Toc498004346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5</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47" w:history="1">
        <w:r w:rsidR="00A87E27" w:rsidRPr="009D06C9">
          <w:rPr>
            <w:rStyle w:val="Hyperlink"/>
            <w:rFonts w:eastAsia="Batang"/>
            <w:noProof/>
            <w:lang w:val="es-ES_tradnl"/>
          </w:rPr>
          <w:t>3.1</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Función de la UIT y de las organizaciones de normalización</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_Toc498004347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5</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48" w:history="1">
        <w:r w:rsidR="00A87E27" w:rsidRPr="009D06C9">
          <w:rPr>
            <w:rStyle w:val="Hyperlink"/>
            <w:rFonts w:eastAsia="Batang"/>
            <w:noProof/>
            <w:lang w:val="es-ES_tradnl"/>
          </w:rPr>
          <w:t>3.2</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Coordinación en la UIT</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_Toc498004348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6</w:t>
        </w:r>
        <w:r w:rsidR="00A87E27" w:rsidRPr="009D06C9">
          <w:rPr>
            <w:noProof/>
            <w:webHidden/>
            <w:lang w:val="es-ES_tradnl"/>
          </w:rPr>
          <w:fldChar w:fldCharType="end"/>
        </w:r>
      </w:hyperlink>
    </w:p>
    <w:p w:rsidR="00A87E27" w:rsidRPr="009D06C9" w:rsidRDefault="00090ED8" w:rsidP="00A87E27">
      <w:pPr>
        <w:pStyle w:val="TOC1"/>
        <w:rPr>
          <w:rFonts w:asciiTheme="minorHAnsi" w:eastAsiaTheme="minorEastAsia" w:hAnsiTheme="minorHAnsi" w:cstheme="minorBidi"/>
          <w:noProof/>
          <w:sz w:val="22"/>
          <w:szCs w:val="22"/>
          <w:lang w:val="es-ES_tradnl" w:eastAsia="zh-CN"/>
        </w:rPr>
      </w:pPr>
      <w:hyperlink w:anchor="_Toc498004349" w:history="1">
        <w:r w:rsidR="00A87E27" w:rsidRPr="009D06C9">
          <w:rPr>
            <w:rStyle w:val="Hyperlink"/>
            <w:rFonts w:eastAsia="Batang"/>
            <w:noProof/>
            <w:lang w:val="es-ES_tradnl"/>
          </w:rPr>
          <w:t>4</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Objetivos y ventajas de las redes inteligentes</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_Toc498004349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7</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50" w:history="1">
        <w:r w:rsidR="00A87E27" w:rsidRPr="009D06C9">
          <w:rPr>
            <w:rStyle w:val="Hyperlink"/>
            <w:rFonts w:eastAsia="Batang"/>
            <w:noProof/>
            <w:lang w:val="es-ES_tradnl"/>
          </w:rPr>
          <w:t>4.1</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Reducción de la demanda global de electricidad mediante la optimización del sistema</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_Toc498004350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7</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51" w:history="1">
        <w:r w:rsidR="00A87E27" w:rsidRPr="009D06C9">
          <w:rPr>
            <w:rStyle w:val="Hyperlink"/>
            <w:noProof/>
            <w:lang w:val="es-ES_tradnl"/>
          </w:rPr>
          <w:t>4.2</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noProof/>
            <w:lang w:val="es-ES_tradnl"/>
          </w:rPr>
          <w:t>Integración de recursos energéticos renovables y distribuidos</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_Toc498004351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7</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52" w:history="1">
        <w:r w:rsidR="00A87E27" w:rsidRPr="009D06C9">
          <w:rPr>
            <w:rStyle w:val="Hyperlink"/>
            <w:noProof/>
            <w:lang w:val="es-ES_tradnl"/>
          </w:rPr>
          <w:t>4.3</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noProof/>
            <w:lang w:val="es-ES_tradnl"/>
          </w:rPr>
          <w:t>Medición inteligente</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_Toc498004352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8</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53" w:history="1">
        <w:r w:rsidR="00A87E27" w:rsidRPr="009D06C9">
          <w:rPr>
            <w:rStyle w:val="Hyperlink"/>
            <w:rFonts w:eastAsia="Batang"/>
            <w:noProof/>
            <w:lang w:val="es-ES_tradnl"/>
          </w:rPr>
          <w:t>4.4</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Obtener una red resistente</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_Toc498004353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10</w:t>
        </w:r>
        <w:r w:rsidR="00A87E27" w:rsidRPr="009D06C9">
          <w:rPr>
            <w:noProof/>
            <w:webHidden/>
            <w:lang w:val="es-ES_tradnl"/>
          </w:rPr>
          <w:fldChar w:fldCharType="end"/>
        </w:r>
      </w:hyperlink>
    </w:p>
    <w:p w:rsidR="00A87E27" w:rsidRPr="009D06C9" w:rsidRDefault="00090ED8" w:rsidP="00A87E27">
      <w:pPr>
        <w:pStyle w:val="TOC1"/>
        <w:rPr>
          <w:rFonts w:asciiTheme="minorHAnsi" w:eastAsiaTheme="minorEastAsia" w:hAnsiTheme="minorHAnsi" w:cstheme="minorBidi"/>
          <w:noProof/>
          <w:sz w:val="22"/>
          <w:szCs w:val="22"/>
          <w:lang w:val="es-ES_tradnl" w:eastAsia="zh-CN"/>
        </w:rPr>
      </w:pPr>
      <w:hyperlink w:anchor="_Toc498004354" w:history="1">
        <w:r w:rsidR="00A87E27" w:rsidRPr="009D06C9">
          <w:rPr>
            <w:rStyle w:val="Hyperlink"/>
            <w:rFonts w:eastAsia="Batang"/>
            <w:noProof/>
            <w:lang w:val="es-ES_tradnl" w:eastAsia="ko-KR"/>
          </w:rPr>
          <w:t>5</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Descripción general de la arquitectura de referencia de la red inteligente</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_Toc498004354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10</w:t>
        </w:r>
        <w:r w:rsidR="00A87E27" w:rsidRPr="009D06C9">
          <w:rPr>
            <w:noProof/>
            <w:webHidden/>
            <w:lang w:val="es-ES_tradnl"/>
          </w:rPr>
          <w:fldChar w:fldCharType="end"/>
        </w:r>
      </w:hyperlink>
    </w:p>
    <w:p w:rsidR="00A87E27" w:rsidRPr="009D06C9" w:rsidRDefault="00090ED8" w:rsidP="00A87E27">
      <w:pPr>
        <w:pStyle w:val="TOC1"/>
        <w:rPr>
          <w:rFonts w:asciiTheme="minorHAnsi" w:eastAsiaTheme="minorEastAsia" w:hAnsiTheme="minorHAnsi" w:cstheme="minorBidi"/>
          <w:noProof/>
          <w:sz w:val="22"/>
          <w:szCs w:val="22"/>
          <w:lang w:val="es-ES_tradnl" w:eastAsia="zh-CN"/>
        </w:rPr>
      </w:pPr>
      <w:hyperlink w:anchor="_Toc498004355" w:history="1">
        <w:r w:rsidR="00A87E27" w:rsidRPr="009D06C9">
          <w:rPr>
            <w:rStyle w:val="Hyperlink"/>
            <w:rFonts w:eastAsia="Batang"/>
            <w:noProof/>
            <w:lang w:val="es-ES_tradnl"/>
          </w:rPr>
          <w:t>6</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Normas sobre cables y líneas eléctricas para telecomunicaciones por la red eléctrica</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_Toc498004355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12</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56" w:history="1">
        <w:r w:rsidR="00A87E27" w:rsidRPr="009D06C9">
          <w:rPr>
            <w:rStyle w:val="Hyperlink"/>
            <w:rFonts w:eastAsia="Batang"/>
            <w:noProof/>
            <w:lang w:val="es-ES_tradnl"/>
          </w:rPr>
          <w:t>6.1</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Comunicaciones de red eléctrica por las líneas eléctricas</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_Toc498004356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12</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57" w:history="1">
        <w:r w:rsidR="00A87E27" w:rsidRPr="009D06C9">
          <w:rPr>
            <w:rStyle w:val="Hyperlink"/>
            <w:rFonts w:eastAsia="Batang"/>
            <w:noProof/>
            <w:lang w:val="es-ES_tradnl"/>
          </w:rPr>
          <w:t>6.2</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Comunicaciones de la red eléctrica inteligente por redes de cable</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_Toc498004357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13</w:t>
        </w:r>
        <w:r w:rsidR="00A87E27" w:rsidRPr="009D06C9">
          <w:rPr>
            <w:noProof/>
            <w:webHidden/>
            <w:lang w:val="es-ES_tradnl"/>
          </w:rPr>
          <w:fldChar w:fldCharType="end"/>
        </w:r>
      </w:hyperlink>
    </w:p>
    <w:p w:rsidR="00A87E27" w:rsidRPr="009D06C9" w:rsidRDefault="00090ED8" w:rsidP="00A87E27">
      <w:pPr>
        <w:pStyle w:val="TOC1"/>
        <w:rPr>
          <w:rFonts w:asciiTheme="minorHAnsi" w:eastAsiaTheme="minorEastAsia" w:hAnsiTheme="minorHAnsi" w:cstheme="minorBidi"/>
          <w:noProof/>
          <w:sz w:val="22"/>
          <w:szCs w:val="22"/>
          <w:lang w:val="es-ES_tradnl" w:eastAsia="zh-CN"/>
        </w:rPr>
      </w:pPr>
      <w:hyperlink w:anchor="_Toc498004358" w:history="1">
        <w:r w:rsidR="00A87E27" w:rsidRPr="009D06C9">
          <w:rPr>
            <w:rStyle w:val="Hyperlink"/>
            <w:noProof/>
            <w:lang w:val="es-ES_tradnl"/>
          </w:rPr>
          <w:t>7</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noProof/>
            <w:lang w:val="es-ES_tradnl"/>
          </w:rPr>
          <w:t>Normas inalámbricas para telecomunicaciones de la red eléctrica inteligente</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_Toc498004358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13</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59" w:history="1">
        <w:r w:rsidR="00A87E27" w:rsidRPr="009D06C9">
          <w:rPr>
            <w:rStyle w:val="Hyperlink"/>
            <w:rFonts w:eastAsia="Batang"/>
            <w:noProof/>
            <w:lang w:val="es-ES_tradnl"/>
          </w:rPr>
          <w:t>7.1</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Red doméstica</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_Toc498004359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13</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60" w:history="1">
        <w:r w:rsidR="00A87E27" w:rsidRPr="009D06C9">
          <w:rPr>
            <w:rStyle w:val="Hyperlink"/>
            <w:rFonts w:eastAsia="Batang"/>
            <w:noProof/>
            <w:lang w:val="es-ES_tradnl"/>
          </w:rPr>
          <w:t>7.2</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WAN/NAN/FAN</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_Toc498004360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15</w:t>
        </w:r>
        <w:r w:rsidR="00A87E27" w:rsidRPr="009D06C9">
          <w:rPr>
            <w:noProof/>
            <w:webHidden/>
            <w:lang w:val="es-ES_tradnl"/>
          </w:rPr>
          <w:fldChar w:fldCharType="end"/>
        </w:r>
      </w:hyperlink>
    </w:p>
    <w:p w:rsidR="00A87E27" w:rsidRPr="009D06C9" w:rsidRDefault="00090ED8" w:rsidP="00A87E27">
      <w:pPr>
        <w:pStyle w:val="TOC1"/>
        <w:rPr>
          <w:rFonts w:asciiTheme="minorHAnsi" w:eastAsiaTheme="minorEastAsia" w:hAnsiTheme="minorHAnsi" w:cstheme="minorBidi"/>
          <w:noProof/>
          <w:sz w:val="22"/>
          <w:szCs w:val="22"/>
          <w:lang w:val="es-ES_tradnl" w:eastAsia="zh-CN"/>
        </w:rPr>
      </w:pPr>
      <w:hyperlink w:anchor="_Toc498004361" w:history="1">
        <w:r w:rsidR="00A87E27" w:rsidRPr="009D06C9">
          <w:rPr>
            <w:rStyle w:val="Hyperlink"/>
            <w:rFonts w:eastAsia="Batang"/>
            <w:noProof/>
            <w:lang w:val="es-ES_tradnl" w:eastAsia="ko-KR"/>
          </w:rPr>
          <w:t>8</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Consideraciones sobre la</w:t>
        </w:r>
        <w:r w:rsidR="00A87E27" w:rsidRPr="009D06C9">
          <w:rPr>
            <w:rStyle w:val="Hyperlink"/>
            <w:noProof/>
            <w:lang w:val="es-ES_tradnl"/>
          </w:rPr>
          <w:t xml:space="preserve"> interferencia asociada con el despliegue de tecnologías alámbricas e inalámbricas de transmisión de datos que se emplean en sistemas de gestión de la red eléctrica</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_Toc498004361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16</w:t>
        </w:r>
        <w:r w:rsidR="00A87E27" w:rsidRPr="009D06C9">
          <w:rPr>
            <w:noProof/>
            <w:webHidden/>
            <w:lang w:val="es-ES_tradnl"/>
          </w:rPr>
          <w:fldChar w:fldCharType="end"/>
        </w:r>
      </w:hyperlink>
    </w:p>
    <w:p w:rsidR="00A87E27" w:rsidRPr="009D06C9" w:rsidRDefault="00090ED8" w:rsidP="00A87E27">
      <w:pPr>
        <w:pStyle w:val="TOC1"/>
        <w:rPr>
          <w:rFonts w:asciiTheme="minorHAnsi" w:eastAsiaTheme="minorEastAsia" w:hAnsiTheme="minorHAnsi" w:cstheme="minorBidi"/>
          <w:noProof/>
          <w:sz w:val="22"/>
          <w:szCs w:val="22"/>
          <w:lang w:val="es-ES_tradnl" w:eastAsia="zh-CN"/>
        </w:rPr>
      </w:pPr>
      <w:hyperlink w:anchor="_Toc498004362" w:history="1">
        <w:r w:rsidR="00A87E27" w:rsidRPr="009D06C9">
          <w:rPr>
            <w:rStyle w:val="Hyperlink"/>
            <w:rFonts w:eastAsia="Batang"/>
            <w:noProof/>
            <w:lang w:val="es-ES_tradnl" w:eastAsia="ko-KR"/>
          </w:rPr>
          <w:t>9</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Impacto del despliegue generalizado de redes alámbricas e inalámbricas utilizadas para sistemas de gestión de redes eléctricas en la disponibilidad del espectro</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_Toc498004362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17</w:t>
        </w:r>
        <w:r w:rsidR="00A87E27" w:rsidRPr="009D06C9">
          <w:rPr>
            <w:noProof/>
            <w:webHidden/>
            <w:lang w:val="es-ES_tradnl"/>
          </w:rPr>
          <w:fldChar w:fldCharType="end"/>
        </w:r>
      </w:hyperlink>
    </w:p>
    <w:p w:rsidR="00A87E27" w:rsidRPr="009D06C9" w:rsidRDefault="00090ED8" w:rsidP="00A87E27">
      <w:pPr>
        <w:pStyle w:val="TOC1"/>
        <w:rPr>
          <w:rFonts w:asciiTheme="minorHAnsi" w:eastAsiaTheme="minorEastAsia" w:hAnsiTheme="minorHAnsi" w:cstheme="minorBidi"/>
          <w:noProof/>
          <w:sz w:val="22"/>
          <w:szCs w:val="22"/>
          <w:lang w:val="es-ES_tradnl" w:eastAsia="zh-CN"/>
        </w:rPr>
      </w:pPr>
      <w:hyperlink w:anchor="_Toc498004363" w:history="1">
        <w:r w:rsidR="00A87E27" w:rsidRPr="009D06C9">
          <w:rPr>
            <w:rStyle w:val="Hyperlink"/>
            <w:rFonts w:eastAsia="Batang"/>
            <w:noProof/>
            <w:lang w:val="es-ES_tradnl" w:eastAsia="ko-KR"/>
          </w:rPr>
          <w:t>10</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Conclusión</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_Toc498004363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18</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64" w:history="1">
        <w:r w:rsidR="00A87E27" w:rsidRPr="009D06C9">
          <w:rPr>
            <w:rStyle w:val="Hyperlink"/>
            <w:rFonts w:eastAsia="Batang"/>
            <w:noProof/>
            <w:lang w:val="es-ES_tradnl"/>
          </w:rPr>
          <w:t>A1.1</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Normas del IEEE</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_Toc498004364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19</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65" w:history="1">
        <w:r w:rsidR="00A87E27" w:rsidRPr="009D06C9">
          <w:rPr>
            <w:rStyle w:val="Hyperlink"/>
            <w:rFonts w:eastAsia="Batang"/>
            <w:noProof/>
            <w:lang w:val="es-ES_tradnl"/>
          </w:rPr>
          <w:t>A1.2</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Normas del UIT-T</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_Toc498004365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25</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66" w:history="1">
        <w:r w:rsidR="00A87E27" w:rsidRPr="009D06C9">
          <w:rPr>
            <w:rStyle w:val="Hyperlink"/>
            <w:rFonts w:eastAsia="Batang"/>
            <w:noProof/>
            <w:lang w:val="es-ES_tradnl"/>
          </w:rPr>
          <w:t>A1.3</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Normas 3GPP</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_Toc498004366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25</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67" w:history="1">
        <w:r w:rsidR="00A87E27" w:rsidRPr="009D06C9">
          <w:rPr>
            <w:rStyle w:val="Hyperlink"/>
            <w:rFonts w:eastAsia="Batang"/>
            <w:noProof/>
            <w:lang w:val="es-ES_tradnl"/>
          </w:rPr>
          <w:t>A1.4</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Normas 3GPP2</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_Toc498004367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34</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68" w:history="1">
        <w:r w:rsidR="00A87E27" w:rsidRPr="009D06C9">
          <w:rPr>
            <w:rStyle w:val="Hyperlink"/>
            <w:rFonts w:eastAsia="Batang"/>
            <w:noProof/>
            <w:lang w:val="es-ES_tradnl"/>
          </w:rPr>
          <w:t>A2.1</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Introducción</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_Toc498004368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37</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69" w:history="1">
        <w:r w:rsidR="00A87E27" w:rsidRPr="009D06C9">
          <w:rPr>
            <w:rStyle w:val="Hyperlink"/>
            <w:rFonts w:eastAsia="Batang"/>
            <w:noProof/>
            <w:lang w:val="es-ES_tradnl"/>
          </w:rPr>
          <w:t>A2.2</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Motivos de la implantación de redes inteligentes</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_Toc498004369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37</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70" w:history="1">
        <w:r w:rsidR="00A87E27" w:rsidRPr="009D06C9">
          <w:rPr>
            <w:rStyle w:val="Hyperlink"/>
            <w:rFonts w:eastAsia="Batang"/>
            <w:noProof/>
            <w:lang w:val="es-ES_tradnl"/>
          </w:rPr>
          <w:t>A3.1</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Introducción</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_Toc498004370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38</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71" w:history="1">
        <w:r w:rsidR="00A87E27" w:rsidRPr="009D06C9">
          <w:rPr>
            <w:rStyle w:val="Hyperlink"/>
            <w:rFonts w:eastAsia="Batang"/>
            <w:noProof/>
            <w:lang w:val="es-ES_tradnl"/>
          </w:rPr>
          <w:t>A3.2</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Actividades europeas en algunos Estados Miembros</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_Toc498004371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39</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72" w:history="1">
        <w:r w:rsidR="00A87E27" w:rsidRPr="009D06C9">
          <w:rPr>
            <w:rStyle w:val="Hyperlink"/>
            <w:rFonts w:eastAsia="Batang"/>
            <w:noProof/>
            <w:lang w:val="es-ES_tradnl"/>
          </w:rPr>
          <w:t>A4.1</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Introducción</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_Toc498004372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42</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73" w:history="1">
        <w:r w:rsidR="00A87E27" w:rsidRPr="009D06C9">
          <w:rPr>
            <w:rStyle w:val="Hyperlink"/>
            <w:rFonts w:eastAsia="Batang"/>
            <w:noProof/>
            <w:lang w:val="es-ES_tradnl"/>
          </w:rPr>
          <w:t>A4.2</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Sector energético brasileño</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_Toc498004373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42</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74" w:history="1">
        <w:r w:rsidR="00A87E27" w:rsidRPr="009D06C9">
          <w:rPr>
            <w:rStyle w:val="Hyperlink"/>
            <w:rFonts w:eastAsia="Batang"/>
            <w:noProof/>
            <w:lang w:val="es-ES_tradnl"/>
          </w:rPr>
          <w:t>A4.3</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Comisión de Estudio sobre la red inteligente brasileña</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_Toc498004374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43</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75" w:history="1">
        <w:r w:rsidR="00A87E27" w:rsidRPr="009D06C9">
          <w:rPr>
            <w:rStyle w:val="Hyperlink"/>
            <w:rFonts w:eastAsia="Batang"/>
            <w:noProof/>
            <w:lang w:val="es-ES_tradnl"/>
          </w:rPr>
          <w:t>A4.4</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Cuestiones de telecomunicaciones</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_Toc498004375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43</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76" w:history="1">
        <w:r w:rsidR="00A87E27" w:rsidRPr="009D06C9">
          <w:rPr>
            <w:rStyle w:val="Hyperlink"/>
            <w:rFonts w:eastAsia="Batang"/>
            <w:noProof/>
            <w:lang w:val="es-ES_tradnl"/>
          </w:rPr>
          <w:t>A4.5</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Datos técnicos</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_Toc498004376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44</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77" w:history="1">
        <w:r w:rsidR="00A87E27" w:rsidRPr="009D06C9">
          <w:rPr>
            <w:rStyle w:val="Hyperlink"/>
            <w:rFonts w:eastAsia="Batang"/>
            <w:noProof/>
            <w:lang w:val="es-ES_tradnl"/>
          </w:rPr>
          <w:t>A4.6</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Mediciones en ondas kilométricas</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_Toc498004377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44</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78" w:history="1">
        <w:r w:rsidR="00A87E27" w:rsidRPr="009D06C9">
          <w:rPr>
            <w:rStyle w:val="Hyperlink"/>
            <w:rFonts w:eastAsia="Batang"/>
            <w:noProof/>
            <w:lang w:val="es-ES_tradnl"/>
          </w:rPr>
          <w:t>A4.7</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rPr>
          <w:t>Conclusión</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_Toc498004378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44</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79" w:history="1">
        <w:r w:rsidR="00A87E27" w:rsidRPr="009D06C9">
          <w:rPr>
            <w:rStyle w:val="Hyperlink"/>
            <w:rFonts w:eastAsia="Batang"/>
            <w:noProof/>
            <w:lang w:val="es-ES_tradnl" w:eastAsia="ko-KR"/>
          </w:rPr>
          <w:t>A5.</w:t>
        </w:r>
        <w:r w:rsidR="00A87E27" w:rsidRPr="009D06C9">
          <w:rPr>
            <w:rStyle w:val="Hyperlink"/>
            <w:rFonts w:eastAsia="Batang"/>
            <w:noProof/>
            <w:lang w:val="es-ES_tradnl"/>
          </w:rPr>
          <w:t>1</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rFonts w:eastAsia="Batang"/>
            <w:noProof/>
            <w:lang w:val="es-ES_tradnl" w:eastAsia="ko-KR"/>
          </w:rPr>
          <w:t>Hoja de ruta de la red inteligente en Corea</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_Toc498004379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46</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80" w:history="1">
        <w:r w:rsidR="00A87E27" w:rsidRPr="009D06C9">
          <w:rPr>
            <w:rStyle w:val="Hyperlink"/>
            <w:noProof/>
            <w:lang w:val="es-ES_tradnl" w:eastAsia="ko-KR"/>
          </w:rPr>
          <w:t>A5</w:t>
        </w:r>
        <w:r w:rsidR="00A87E27" w:rsidRPr="009D06C9">
          <w:rPr>
            <w:rStyle w:val="Hyperlink"/>
            <w:noProof/>
            <w:lang w:val="es-ES_tradnl"/>
          </w:rPr>
          <w:t>.</w:t>
        </w:r>
        <w:r w:rsidR="00A87E27" w:rsidRPr="009D06C9">
          <w:rPr>
            <w:rStyle w:val="Hyperlink"/>
            <w:noProof/>
            <w:lang w:val="es-ES_tradnl" w:eastAsia="ko-KR"/>
          </w:rPr>
          <w:t>2</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noProof/>
            <w:lang w:val="es-ES_tradnl" w:eastAsia="ko-KR"/>
          </w:rPr>
          <w:t>Desarrollo tecnológico</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_Toc498004380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48</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81" w:history="1">
        <w:r w:rsidR="00A87E27" w:rsidRPr="009D06C9">
          <w:rPr>
            <w:rStyle w:val="Hyperlink"/>
            <w:noProof/>
            <w:lang w:val="es-ES_tradnl" w:eastAsia="zh-CN"/>
          </w:rPr>
          <w:t>A6.1</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noProof/>
            <w:lang w:val="es-ES_tradnl" w:eastAsia="zh-CN"/>
          </w:rPr>
          <w:t>Introducción</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_Toc498004381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49</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82" w:history="1">
        <w:r w:rsidR="00A87E27" w:rsidRPr="009D06C9">
          <w:rPr>
            <w:rStyle w:val="Hyperlink"/>
            <w:noProof/>
            <w:lang w:val="es-ES_tradnl" w:eastAsia="zh-CN"/>
          </w:rPr>
          <w:t>A6.2</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noProof/>
            <w:lang w:val="es-ES_tradnl" w:eastAsia="zh-CN"/>
          </w:rPr>
          <w:t>Desarrollo de la red inteligente y sus problemas</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_Toc498004382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49</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83" w:history="1">
        <w:r w:rsidR="00A87E27" w:rsidRPr="009D06C9">
          <w:rPr>
            <w:rStyle w:val="Hyperlink"/>
            <w:noProof/>
            <w:lang w:val="es-ES_tradnl"/>
          </w:rPr>
          <w:t>A7.1</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noProof/>
            <w:lang w:val="es-ES_tradnl"/>
          </w:rPr>
          <w:t>Introducción</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_Toc498004383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51</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84" w:history="1">
        <w:r w:rsidR="00A87E27" w:rsidRPr="009D06C9">
          <w:rPr>
            <w:rStyle w:val="Hyperlink"/>
            <w:noProof/>
            <w:lang w:val="es-ES_tradnl"/>
          </w:rPr>
          <w:t>A7.2</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noProof/>
            <w:lang w:val="es-ES_tradnl"/>
          </w:rPr>
          <w:t>Tecnología de acceso inalámbrico para red inteligente en China</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_Toc498004384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51</w:t>
        </w:r>
        <w:r w:rsidR="00A87E27" w:rsidRPr="009D06C9">
          <w:rPr>
            <w:noProof/>
            <w:webHidden/>
            <w:lang w:val="es-ES_tradnl"/>
          </w:rPr>
          <w:fldChar w:fldCharType="end"/>
        </w:r>
      </w:hyperlink>
    </w:p>
    <w:p w:rsidR="00A87E27" w:rsidRPr="009D06C9" w:rsidRDefault="00090ED8" w:rsidP="00A87E27">
      <w:pPr>
        <w:pStyle w:val="TOC2"/>
        <w:rPr>
          <w:rFonts w:asciiTheme="minorHAnsi" w:eastAsiaTheme="minorEastAsia" w:hAnsiTheme="minorHAnsi" w:cstheme="minorBidi"/>
          <w:noProof/>
          <w:sz w:val="22"/>
          <w:szCs w:val="22"/>
          <w:lang w:val="es-ES_tradnl" w:eastAsia="zh-CN"/>
        </w:rPr>
      </w:pPr>
      <w:hyperlink w:anchor="_Toc498004385" w:history="1">
        <w:r w:rsidR="00A87E27" w:rsidRPr="009D06C9">
          <w:rPr>
            <w:rStyle w:val="Hyperlink"/>
            <w:noProof/>
            <w:lang w:val="es-ES_tradnl"/>
          </w:rPr>
          <w:t>A7.3</w:t>
        </w:r>
        <w:r w:rsidR="00A87E27" w:rsidRPr="009D06C9">
          <w:rPr>
            <w:rFonts w:asciiTheme="minorHAnsi" w:eastAsiaTheme="minorEastAsia" w:hAnsiTheme="minorHAnsi" w:cstheme="minorBidi"/>
            <w:noProof/>
            <w:sz w:val="22"/>
            <w:szCs w:val="22"/>
            <w:lang w:val="es-ES_tradnl" w:eastAsia="zh-CN"/>
          </w:rPr>
          <w:tab/>
        </w:r>
        <w:r w:rsidR="00A87E27" w:rsidRPr="009D06C9">
          <w:rPr>
            <w:rStyle w:val="Hyperlink"/>
            <w:noProof/>
            <w:lang w:val="es-ES_tradnl"/>
          </w:rPr>
          <w:t>Concl</w:t>
        </w:r>
        <w:r w:rsidR="00A87E27" w:rsidRPr="009D06C9">
          <w:rPr>
            <w:rStyle w:val="Hyperlink"/>
            <w:noProof/>
            <w:lang w:val="es-ES_tradnl"/>
          </w:rPr>
          <w:t>u</w:t>
        </w:r>
        <w:r w:rsidR="00A87E27" w:rsidRPr="009D06C9">
          <w:rPr>
            <w:rStyle w:val="Hyperlink"/>
            <w:noProof/>
            <w:lang w:val="es-ES_tradnl"/>
          </w:rPr>
          <w:t>sión</w:t>
        </w:r>
        <w:r w:rsidR="00A87E27" w:rsidRPr="009D06C9">
          <w:rPr>
            <w:noProof/>
            <w:webHidden/>
            <w:lang w:val="es-ES_tradnl"/>
          </w:rPr>
          <w:tab/>
        </w:r>
        <w:r w:rsidR="00A87E27" w:rsidRPr="009D06C9">
          <w:rPr>
            <w:noProof/>
            <w:webHidden/>
            <w:lang w:val="es-ES_tradnl"/>
          </w:rPr>
          <w:tab/>
        </w:r>
        <w:r w:rsidR="00A87E27" w:rsidRPr="009D06C9">
          <w:rPr>
            <w:noProof/>
            <w:webHidden/>
            <w:lang w:val="es-ES_tradnl"/>
          </w:rPr>
          <w:fldChar w:fldCharType="begin"/>
        </w:r>
        <w:r w:rsidR="00A87E27" w:rsidRPr="009D06C9">
          <w:rPr>
            <w:noProof/>
            <w:webHidden/>
            <w:lang w:val="es-ES_tradnl"/>
          </w:rPr>
          <w:instrText xml:space="preserve"> PAGEREF _Toc498004385 \h </w:instrText>
        </w:r>
        <w:r w:rsidR="00A87E27" w:rsidRPr="009D06C9">
          <w:rPr>
            <w:noProof/>
            <w:webHidden/>
            <w:lang w:val="es-ES_tradnl"/>
          </w:rPr>
        </w:r>
        <w:r w:rsidR="00A87E27" w:rsidRPr="009D06C9">
          <w:rPr>
            <w:noProof/>
            <w:webHidden/>
            <w:lang w:val="es-ES_tradnl"/>
          </w:rPr>
          <w:fldChar w:fldCharType="separate"/>
        </w:r>
        <w:r w:rsidR="002819E8">
          <w:rPr>
            <w:noProof/>
            <w:webHidden/>
            <w:lang w:val="es-ES_tradnl"/>
          </w:rPr>
          <w:t>53</w:t>
        </w:r>
        <w:r w:rsidR="00A87E27" w:rsidRPr="009D06C9">
          <w:rPr>
            <w:noProof/>
            <w:webHidden/>
            <w:lang w:val="es-ES_tradnl"/>
          </w:rPr>
          <w:fldChar w:fldCharType="end"/>
        </w:r>
      </w:hyperlink>
    </w:p>
    <w:p w:rsidR="00A87E27" w:rsidRPr="009D06C9" w:rsidRDefault="00A87E27" w:rsidP="00A87E27">
      <w:pPr>
        <w:rPr>
          <w:lang w:val="es-ES_tradnl"/>
        </w:rPr>
      </w:pPr>
      <w:r w:rsidRPr="009D06C9">
        <w:rPr>
          <w:lang w:val="es-ES_tradnl"/>
        </w:rPr>
        <w:fldChar w:fldCharType="end"/>
      </w:r>
      <w:r w:rsidRPr="009D06C9">
        <w:rPr>
          <w:lang w:val="es-ES_tradnl"/>
        </w:rPr>
        <w:br w:type="page"/>
      </w:r>
    </w:p>
    <w:p w:rsidR="00A87E27" w:rsidRPr="009D06C9" w:rsidRDefault="00A87E27" w:rsidP="00A87E27">
      <w:pPr>
        <w:pStyle w:val="Heading1"/>
        <w:rPr>
          <w:rFonts w:eastAsia="Batang"/>
          <w:lang w:val="es-ES_tradnl"/>
        </w:rPr>
      </w:pPr>
      <w:bookmarkStart w:id="2" w:name="_Toc498004344"/>
      <w:r w:rsidRPr="009D06C9">
        <w:rPr>
          <w:rFonts w:eastAsia="Batang"/>
          <w:lang w:val="es-ES_tradnl"/>
        </w:rPr>
        <w:lastRenderedPageBreak/>
        <w:t>1</w:t>
      </w:r>
      <w:r w:rsidRPr="009D06C9">
        <w:rPr>
          <w:rFonts w:eastAsia="Batang"/>
          <w:lang w:val="es-ES_tradnl"/>
        </w:rPr>
        <w:tab/>
        <w:t>Introducción</w:t>
      </w:r>
      <w:bookmarkEnd w:id="2"/>
    </w:p>
    <w:p w:rsidR="00A87E27" w:rsidRPr="009D06C9" w:rsidRDefault="00A87E27" w:rsidP="00A87E27">
      <w:pPr>
        <w:rPr>
          <w:lang w:val="es-ES_tradnl"/>
        </w:rPr>
      </w:pPr>
      <w:r w:rsidRPr="009D06C9">
        <w:rPr>
          <w:lang w:val="es-ES_tradnl"/>
        </w:rPr>
        <w:t>Red inteligente es la expresión que se utiliza para calificar los sistemas avanzados de servicios públicos (electricidad, gas y agua) entre las fuentes de abastecimiento y producción y los puntos de consumo, y comprende todos los sistemas conexos de administración y gestión interna, junto con modernas tecnologías integradas de información digital. Se espera que, a la larga, la mejora de la fiabilidad, seguridad y eficiencia de la infraestructura de distribución por red inteligente reduzca los costes de la prestación de servicios públicos a los usuarios.</w:t>
      </w:r>
    </w:p>
    <w:p w:rsidR="00A87E27" w:rsidRPr="009D06C9" w:rsidRDefault="00A87E27" w:rsidP="00A87E27">
      <w:pPr>
        <w:rPr>
          <w:rFonts w:eastAsia="Batang"/>
          <w:lang w:val="es-ES_tradnl"/>
        </w:rPr>
      </w:pPr>
      <w:r w:rsidRPr="009D06C9">
        <w:rPr>
          <w:rFonts w:eastAsia="Batang"/>
          <w:lang w:val="es-ES_tradnl"/>
        </w:rPr>
        <w:t>Las tecnologías de comunicación se han convertido rápidamente en un elemento fundamental de la infraestructura de red inteligente que muchos servicios públicos están creando. En los últimos años, por ejemplo, administraciones y comisiones nacionales que supervisan la producción, la distribución y el consumo eléctricos se han comprometido a mejorar su eficiencia, impacto en el medio ambiente, seguridad y fiabilidad, tratando de reducir en 40% los gases de efecto invernadero causados en todo el mundo por la producción de electricidad</w:t>
      </w:r>
      <w:r w:rsidRPr="009D06C9">
        <w:rPr>
          <w:rFonts w:eastAsia="Batang"/>
          <w:position w:val="6"/>
          <w:sz w:val="18"/>
          <w:lang w:val="es-ES_tradnl"/>
        </w:rPr>
        <w:footnoteReference w:id="1"/>
      </w:r>
      <w:r w:rsidRPr="009D06C9">
        <w:rPr>
          <w:rFonts w:eastAsia="Batang"/>
          <w:lang w:val="es-ES_tradnl"/>
        </w:rPr>
        <w:t xml:space="preserve">. Los sistemas de redes inteligentes son tecnologías facilitadoras fundamentales a este respecto. </w:t>
      </w:r>
    </w:p>
    <w:p w:rsidR="00A87E27" w:rsidRPr="009D06C9" w:rsidRDefault="00A87E27" w:rsidP="00A87E27">
      <w:pPr>
        <w:rPr>
          <w:rFonts w:eastAsia="Batang"/>
          <w:lang w:val="es-ES_tradnl"/>
        </w:rPr>
      </w:pPr>
      <w:r w:rsidRPr="009D06C9">
        <w:rPr>
          <w:rFonts w:eastAsia="Batang"/>
          <w:lang w:val="es-ES_tradnl"/>
        </w:rPr>
        <w:t>Los objetivos principales del proyecto de red inteligente son los siguientes:</w:t>
      </w:r>
    </w:p>
    <w:p w:rsidR="00A87E27" w:rsidRPr="009D06C9" w:rsidRDefault="00A87E27" w:rsidP="00A87E27">
      <w:pPr>
        <w:pStyle w:val="enumlev1"/>
        <w:rPr>
          <w:rFonts w:eastAsia="Batang"/>
          <w:lang w:val="es-ES_tradnl"/>
        </w:rPr>
      </w:pPr>
      <w:r w:rsidRPr="009D06C9">
        <w:rPr>
          <w:rFonts w:eastAsia="Batang"/>
          <w:lang w:val="es-ES_tradnl"/>
        </w:rPr>
        <w:t>–</w:t>
      </w:r>
      <w:r w:rsidRPr="009D06C9">
        <w:rPr>
          <w:rFonts w:eastAsia="Batang"/>
          <w:lang w:val="es-ES_tradnl"/>
        </w:rPr>
        <w:tab/>
        <w:t>garantizar un abastecimiento seguro;</w:t>
      </w:r>
    </w:p>
    <w:p w:rsidR="00A87E27" w:rsidRPr="009D06C9" w:rsidRDefault="00A87E27" w:rsidP="00A87E27">
      <w:pPr>
        <w:pStyle w:val="enumlev1"/>
        <w:rPr>
          <w:rFonts w:eastAsia="Batang"/>
          <w:lang w:val="es-ES_tradnl"/>
        </w:rPr>
      </w:pPr>
      <w:r w:rsidRPr="009D06C9">
        <w:rPr>
          <w:rFonts w:eastAsia="Batang"/>
          <w:lang w:val="es-ES_tradnl"/>
        </w:rPr>
        <w:t>–</w:t>
      </w:r>
      <w:r w:rsidRPr="009D06C9">
        <w:rPr>
          <w:rFonts w:eastAsia="Batang"/>
          <w:lang w:val="es-ES_tradnl"/>
        </w:rPr>
        <w:tab/>
        <w:t>facilitar el paso hacia una economía con bajas emisiones de carbono;</w:t>
      </w:r>
    </w:p>
    <w:p w:rsidR="00A87E27" w:rsidRPr="009D06C9" w:rsidRDefault="00A87E27" w:rsidP="00A87E27">
      <w:pPr>
        <w:pStyle w:val="enumlev1"/>
        <w:rPr>
          <w:rFonts w:eastAsia="Batang"/>
          <w:lang w:val="es-ES_tradnl"/>
        </w:rPr>
      </w:pPr>
      <w:r w:rsidRPr="009D06C9">
        <w:rPr>
          <w:rFonts w:eastAsia="Batang"/>
          <w:lang w:val="es-ES_tradnl"/>
        </w:rPr>
        <w:t>–</w:t>
      </w:r>
      <w:r w:rsidRPr="009D06C9">
        <w:rPr>
          <w:rFonts w:eastAsia="Batang"/>
          <w:lang w:val="es-ES_tradnl"/>
        </w:rPr>
        <w:tab/>
        <w:t>mantener precios estables y asequibles.</w:t>
      </w:r>
    </w:p>
    <w:p w:rsidR="00A87E27" w:rsidRPr="009D06C9" w:rsidRDefault="00A87E27" w:rsidP="00A87E27">
      <w:pPr>
        <w:rPr>
          <w:rFonts w:eastAsia="Batang"/>
          <w:lang w:val="es-ES_tradnl"/>
        </w:rPr>
      </w:pPr>
      <w:r w:rsidRPr="009D06C9">
        <w:rPr>
          <w:rFonts w:eastAsia="Batang"/>
          <w:lang w:val="es-ES_tradnl"/>
        </w:rPr>
        <w:t>Unas comunicaciones seguras son un componente esencial de una red inteligente, como demuestran algunas de las instalaciones de red inteligentes más grandes y avanzadas que se están desarrollando actualmente. Además, con la superposición de tecnologías de la información, una red inteligente puede ser predictiva y autorregenerable, lo que permite evitar automáticamente los problemas. Una medición inteligente efectiva en el hogar y la empresa es fundamental para el proyecto de red inteligente porque permite supervisar en tiempo real el consumo y comunicar con los centros de control de la red de modo que consumo y producción correspondan y el abastecimiento se pueda efectuar por un nivel de precio apropiado</w:t>
      </w:r>
      <w:r w:rsidRPr="009D06C9">
        <w:rPr>
          <w:lang w:val="es-ES_tradnl"/>
        </w:rPr>
        <w:t>.</w:t>
      </w:r>
    </w:p>
    <w:p w:rsidR="00A87E27" w:rsidRPr="009D06C9" w:rsidRDefault="00A87E27" w:rsidP="00A87E27">
      <w:pPr>
        <w:tabs>
          <w:tab w:val="left" w:pos="7797"/>
        </w:tabs>
        <w:rPr>
          <w:lang w:val="es-ES_tradnl"/>
        </w:rPr>
      </w:pPr>
      <w:r w:rsidRPr="009D06C9">
        <w:rPr>
          <w:lang w:val="es-ES_tradnl"/>
        </w:rPr>
        <w:t>En la UIT, la implementación de redes inteligentes se ha vinculado intrínsecamente con diversas tecnologías alámbricas e inalámbricas desarrolladas para numerosos casos de conexión en red</w:t>
      </w:r>
      <w:r w:rsidRPr="009D06C9">
        <w:rPr>
          <w:rStyle w:val="FootnoteReference"/>
          <w:lang w:val="es-ES_tradnl"/>
        </w:rPr>
        <w:footnoteReference w:id="2"/>
      </w:r>
      <w:r w:rsidRPr="009D06C9">
        <w:rPr>
          <w:lang w:val="es-ES_tradnl"/>
        </w:rPr>
        <w:t>. Los servicios de red inteligente fuera del hogar comprenden infraestructuras de medición avanzada (AMI), gestión de medición automática (AMM), lectura automatizada de medidores (AMR) y automatización del abastecimiento. En el hogar, las aplicaciones de red inteligente servirán sobre todo para medir, supervisar y controlar las comunicaciones entre el servicio público, los medidores inteligentes y aparatos inteligentes como radiadores, acondicionaron desde aire, lavadoras y otros aparatos. Una aplicación importante prevista es la recarga y facturación de las comunicaciones intercambiadas entre vehículos eléctricos y sus estaciones de recarga. Los servicios de red inteligente en el hogar permitirán un control granular de aparatos inteligentes, gestionar la distancia aparatos eléctricos y presentar datos de consumo y costes asociados para informar mejor a los consumidores y motivarlos así a ahorrar energía.</w:t>
      </w:r>
    </w:p>
    <w:p w:rsidR="00A87E27" w:rsidRPr="009D06C9" w:rsidRDefault="00A87E27" w:rsidP="00A87E27">
      <w:pPr>
        <w:pStyle w:val="Heading1"/>
        <w:rPr>
          <w:rFonts w:eastAsia="Batang"/>
          <w:lang w:val="es-ES_tradnl"/>
        </w:rPr>
      </w:pPr>
      <w:bookmarkStart w:id="3" w:name="_Toc214427373"/>
      <w:bookmarkStart w:id="4" w:name="_Toc421882689"/>
      <w:bookmarkStart w:id="5" w:name="_Toc498004345"/>
      <w:r w:rsidRPr="009D06C9">
        <w:rPr>
          <w:rFonts w:eastAsia="Batang"/>
          <w:lang w:val="es-ES_tradnl"/>
        </w:rPr>
        <w:lastRenderedPageBreak/>
        <w:t>2</w:t>
      </w:r>
      <w:r w:rsidRPr="009D06C9">
        <w:rPr>
          <w:rFonts w:eastAsia="Batang"/>
          <w:lang w:val="es-ES_tradnl"/>
        </w:rPr>
        <w:tab/>
      </w:r>
      <w:bookmarkEnd w:id="3"/>
      <w:bookmarkEnd w:id="4"/>
      <w:r w:rsidRPr="009D06C9">
        <w:rPr>
          <w:rFonts w:eastAsia="Batang"/>
          <w:lang w:val="es-ES_tradnl"/>
        </w:rPr>
        <w:t xml:space="preserve">Comunicaciones y </w:t>
      </w:r>
      <w:r w:rsidRPr="009D06C9">
        <w:rPr>
          <w:lang w:val="es-ES_tradnl"/>
        </w:rPr>
        <w:t>particularidades de las redes inteligentes</w:t>
      </w:r>
      <w:bookmarkEnd w:id="5"/>
    </w:p>
    <w:p w:rsidR="00A87E27" w:rsidRPr="009D06C9" w:rsidRDefault="00A87E27" w:rsidP="00A87E27">
      <w:pPr>
        <w:suppressAutoHyphens/>
        <w:autoSpaceDN/>
        <w:adjustRightInd/>
        <w:spacing w:after="120"/>
        <w:rPr>
          <w:rFonts w:cs="Calibri"/>
          <w:szCs w:val="24"/>
          <w:lang w:val="es-ES_tradnl" w:eastAsia="ar-SA"/>
        </w:rPr>
      </w:pPr>
      <w:r w:rsidRPr="009D06C9">
        <w:rPr>
          <w:rFonts w:cs="Calibri"/>
          <w:szCs w:val="24"/>
          <w:lang w:val="es-ES_tradnl" w:eastAsia="ar-SA"/>
        </w:rPr>
        <w:t>El proyecto de red inteligente contempla una conectividad ubicua en todos los puntos de las redes de abastecimiento de servicios públicos, desde las fuentes de abastecimiento, pasando por los centros de gestión de red y hasta instalaciones y aparatos individuales. La red inteligente exigirá enormes caudales de datos bidireccionales</w:t>
      </w:r>
      <w:r w:rsidRPr="009D06C9">
        <w:rPr>
          <w:lang w:val="es-ES_tradnl"/>
        </w:rPr>
        <w:t xml:space="preserve"> y una conectividad compleja equiparable a la de Internet. Más información sobre los flujos de comunicación contemplados por el tendido eléctrico está disponible en el Documento técnico de la UIT</w:t>
      </w:r>
      <w:r w:rsidRPr="009D06C9">
        <w:rPr>
          <w:rFonts w:cs="Calibri"/>
          <w:szCs w:val="24"/>
          <w:lang w:val="es-ES_tradnl" w:eastAsia="ar-SA"/>
        </w:rPr>
        <w:t xml:space="preserve"> «</w:t>
      </w:r>
      <w:r w:rsidRPr="009D06C9">
        <w:rPr>
          <w:rFonts w:cs="Calibri"/>
          <w:i/>
          <w:szCs w:val="24"/>
          <w:lang w:val="es-ES_tradnl" w:eastAsia="ar-SA"/>
        </w:rPr>
        <w:t>Applications of UIT-T G.9960, UIT-T G.9961 transceivers for Smart Grid applications: Advanced metering infrastructure, energy management in the home and electric vehicles</w:t>
      </w:r>
      <w:r w:rsidRPr="009D06C9">
        <w:rPr>
          <w:rFonts w:cs="Calibri"/>
          <w:iCs/>
          <w:szCs w:val="24"/>
          <w:lang w:val="es-ES_tradnl" w:eastAsia="ar-SA"/>
        </w:rPr>
        <w:t>»</w:t>
      </w:r>
      <w:r w:rsidRPr="009D06C9">
        <w:rPr>
          <w:rStyle w:val="FootnoteReference"/>
          <w:rFonts w:cs="Calibri"/>
          <w:szCs w:val="24"/>
          <w:lang w:val="es-ES_tradnl" w:eastAsia="ar-SA"/>
        </w:rPr>
        <w:footnoteReference w:id="3"/>
      </w:r>
      <w:r w:rsidRPr="009D06C9">
        <w:rPr>
          <w:rFonts w:cs="Calibri"/>
          <w:szCs w:val="24"/>
          <w:lang w:val="es-ES_tradnl" w:eastAsia="ar-SA"/>
        </w:rPr>
        <w:t>. A fin de aumentar el interés del UIT T por el proyecto de red inteligente, el trabajo sobre la conectividad por el tendido eléctrico y el diseño de módems PLT específicamente para aplicaciones de red inteligente se ha separado del trabajo más general sobre las redes domésticas en el marco de la Recomendación G.9960 y continúa ahora en la familia de Recomendaciones UIT</w:t>
      </w:r>
      <w:r w:rsidRPr="009D06C9">
        <w:rPr>
          <w:rFonts w:cs="Calibri"/>
          <w:szCs w:val="24"/>
          <w:lang w:val="es-ES_tradnl" w:eastAsia="ar-SA"/>
        </w:rPr>
        <w:noBreakHyphen/>
        <w:t xml:space="preserve">T </w:t>
      </w:r>
      <w:r w:rsidRPr="009D06C9">
        <w:rPr>
          <w:rFonts w:cs="Calibri"/>
          <w:b/>
          <w:szCs w:val="24"/>
          <w:lang w:val="es-ES_tradnl" w:eastAsia="ar-SA"/>
        </w:rPr>
        <w:t>G.990x (ex G.9955)</w:t>
      </w:r>
      <w:r w:rsidRPr="009D06C9">
        <w:rPr>
          <w:rFonts w:cs="Calibri"/>
          <w:szCs w:val="24"/>
          <w:lang w:val="es-ES_tradnl" w:eastAsia="ar-SA"/>
        </w:rPr>
        <w:t xml:space="preserve">, es decir </w:t>
      </w:r>
      <w:r w:rsidRPr="009D06C9">
        <w:rPr>
          <w:rFonts w:cs="Calibri"/>
          <w:bCs/>
          <w:szCs w:val="24"/>
          <w:lang w:val="es-ES_tradnl" w:eastAsia="ar-SA"/>
        </w:rPr>
        <w:t>G.9901</w:t>
      </w:r>
      <w:r w:rsidRPr="009D06C9">
        <w:rPr>
          <w:rFonts w:cs="Calibri"/>
          <w:szCs w:val="24"/>
          <w:lang w:val="es-ES_tradnl" w:eastAsia="ar-SA"/>
        </w:rPr>
        <w:t xml:space="preserve">, </w:t>
      </w:r>
      <w:r w:rsidRPr="009D06C9">
        <w:rPr>
          <w:rFonts w:cs="Calibri"/>
          <w:bCs/>
          <w:szCs w:val="24"/>
          <w:lang w:val="es-ES_tradnl" w:eastAsia="ar-SA"/>
        </w:rPr>
        <w:t>G.9902</w:t>
      </w:r>
      <w:r w:rsidRPr="009D06C9">
        <w:rPr>
          <w:rFonts w:cs="Calibri"/>
          <w:szCs w:val="24"/>
          <w:lang w:val="es-ES_tradnl" w:eastAsia="ar-SA"/>
        </w:rPr>
        <w:t xml:space="preserve">, </w:t>
      </w:r>
      <w:r w:rsidRPr="009D06C9">
        <w:rPr>
          <w:rFonts w:cs="Calibri"/>
          <w:bCs/>
          <w:szCs w:val="24"/>
          <w:lang w:val="es-ES_tradnl" w:eastAsia="ar-SA"/>
        </w:rPr>
        <w:t>G.9903</w:t>
      </w:r>
      <w:r w:rsidRPr="009D06C9">
        <w:rPr>
          <w:rFonts w:cs="Calibri"/>
          <w:szCs w:val="24"/>
          <w:lang w:val="es-ES_tradnl" w:eastAsia="ar-SA"/>
        </w:rPr>
        <w:t xml:space="preserve"> y </w:t>
      </w:r>
      <w:r w:rsidRPr="009D06C9">
        <w:rPr>
          <w:rFonts w:cs="Calibri"/>
          <w:bCs/>
          <w:szCs w:val="24"/>
          <w:lang w:val="es-ES_tradnl" w:eastAsia="ar-SA"/>
        </w:rPr>
        <w:t>G.9904</w:t>
      </w:r>
      <w:r w:rsidRPr="009D06C9">
        <w:rPr>
          <w:rFonts w:cs="Calibri"/>
          <w:szCs w:val="24"/>
          <w:lang w:val="es-ES_tradnl" w:eastAsia="ar-SA"/>
        </w:rPr>
        <w:t>.</w:t>
      </w:r>
    </w:p>
    <w:p w:rsidR="00A87E27" w:rsidRPr="009D06C9" w:rsidRDefault="00A87E27" w:rsidP="00A87E27">
      <w:pPr>
        <w:rPr>
          <w:rFonts w:eastAsia="Batang"/>
          <w:lang w:val="es-ES_tradnl"/>
        </w:rPr>
      </w:pPr>
      <w:r w:rsidRPr="009D06C9">
        <w:rPr>
          <w:rFonts w:eastAsia="Batang"/>
          <w:lang w:val="es-ES_tradnl"/>
        </w:rPr>
        <w:t>Las redes inteligentes proporcionará en la infraestructura de superposición y control de información, creando así una red integrada de comunicación y detección. La red de abastecimiento que permite la red inteligente aumenta el control del proveedor y del cliente sobre la utilización de electricidad, agua y gas. Además, gracias a la red, las redes de distribución de servicios públicos funcionan con una eficacia nunca vista.</w:t>
      </w:r>
    </w:p>
    <w:p w:rsidR="00A87E27" w:rsidRPr="009D06C9" w:rsidRDefault="00A87E27" w:rsidP="00A87E27">
      <w:pPr>
        <w:rPr>
          <w:rFonts w:eastAsia="Batang"/>
          <w:lang w:val="es-ES_tradnl"/>
        </w:rPr>
      </w:pPr>
      <w:r w:rsidRPr="009D06C9">
        <w:rPr>
          <w:rFonts w:eastAsia="Batang"/>
          <w:lang w:val="es-ES_tradnl"/>
        </w:rPr>
        <w:t>Todos los países, institutos de investigación, comisiones, empresas y organizaciones de normalización siguientes han identificado particularidades y características de la red inteligente y la medición inteligente:</w:t>
      </w:r>
    </w:p>
    <w:p w:rsidR="00A87E27" w:rsidRPr="009D06C9" w:rsidRDefault="00A87E27" w:rsidP="00A87E27">
      <w:pPr>
        <w:pStyle w:val="enumlev1"/>
        <w:rPr>
          <w:rFonts w:eastAsia="Batang"/>
          <w:lang w:val="es-ES_tradnl"/>
        </w:rPr>
      </w:pPr>
      <w:r w:rsidRPr="009D06C9">
        <w:rPr>
          <w:rFonts w:eastAsia="Batang"/>
          <w:lang w:val="es-ES_tradnl"/>
        </w:rPr>
        <w:t>–</w:t>
      </w:r>
      <w:r w:rsidRPr="009D06C9">
        <w:rPr>
          <w:rFonts w:eastAsia="Batang"/>
          <w:lang w:val="es-ES_tradnl"/>
        </w:rPr>
        <w:tab/>
        <w:t>Legislación reciente de Estados Unidos</w:t>
      </w:r>
      <w:r w:rsidRPr="009D06C9">
        <w:rPr>
          <w:rFonts w:eastAsia="Batang"/>
          <w:szCs w:val="24"/>
          <w:vertAlign w:val="superscript"/>
          <w:lang w:val="es-ES_tradnl"/>
        </w:rPr>
        <w:footnoteReference w:id="4"/>
      </w:r>
    </w:p>
    <w:p w:rsidR="00A87E27" w:rsidRPr="009D06C9" w:rsidRDefault="00A87E27" w:rsidP="00A87E27">
      <w:pPr>
        <w:pStyle w:val="enumlev1"/>
        <w:rPr>
          <w:lang w:val="es-ES_tradnl"/>
        </w:rPr>
      </w:pPr>
      <w:r w:rsidRPr="009D06C9">
        <w:rPr>
          <w:rFonts w:eastAsia="Batang"/>
          <w:lang w:val="es-ES_tradnl"/>
        </w:rPr>
        <w:t>–</w:t>
      </w:r>
      <w:r w:rsidRPr="009D06C9">
        <w:rPr>
          <w:rFonts w:eastAsia="Batang"/>
          <w:lang w:val="es-ES_tradnl"/>
        </w:rPr>
        <w:tab/>
      </w:r>
      <w:r w:rsidRPr="009D06C9">
        <w:rPr>
          <w:lang w:val="es-ES_tradnl"/>
        </w:rPr>
        <w:t>Grupo sobre interfuncionamiento de redes eléctricas inteligentes (SGIP)</w:t>
      </w:r>
      <w:r w:rsidRPr="009D06C9">
        <w:rPr>
          <w:rStyle w:val="FootnoteReference"/>
          <w:rFonts w:eastAsia="Batang"/>
          <w:lang w:val="es-ES_tradnl"/>
        </w:rPr>
        <w:footnoteReference w:id="5"/>
      </w:r>
    </w:p>
    <w:p w:rsidR="00A87E27" w:rsidRPr="00B55B96" w:rsidRDefault="00A87E27" w:rsidP="00A87E27">
      <w:pPr>
        <w:pStyle w:val="enumlev1"/>
        <w:rPr>
          <w:rFonts w:eastAsia="Batang"/>
          <w:lang w:val="en-US"/>
        </w:rPr>
      </w:pPr>
      <w:r w:rsidRPr="00B55B96">
        <w:rPr>
          <w:rFonts w:eastAsia="Batang"/>
          <w:lang w:val="en-US"/>
        </w:rPr>
        <w:t>–</w:t>
      </w:r>
      <w:r w:rsidRPr="00B55B96">
        <w:rPr>
          <w:rFonts w:eastAsia="Batang"/>
          <w:lang w:val="en-US"/>
        </w:rPr>
        <w:tab/>
        <w:t xml:space="preserve">El </w:t>
      </w:r>
      <w:r w:rsidRPr="00B55B96">
        <w:rPr>
          <w:rFonts w:eastAsia="Batang"/>
          <w:i/>
          <w:iCs/>
          <w:lang w:val="en-US"/>
        </w:rPr>
        <w:t>Electric Power Research Institute</w:t>
      </w:r>
      <w:r w:rsidRPr="00B55B96">
        <w:rPr>
          <w:rFonts w:eastAsia="Batang"/>
          <w:lang w:val="en-US"/>
        </w:rPr>
        <w:t xml:space="preserve"> (EPRI)</w:t>
      </w:r>
      <w:r w:rsidRPr="009D06C9">
        <w:rPr>
          <w:rStyle w:val="FootnoteReference"/>
          <w:rFonts w:eastAsia="Batang"/>
          <w:lang w:val="es-ES_tradnl"/>
        </w:rPr>
        <w:footnoteReference w:id="6"/>
      </w:r>
    </w:p>
    <w:p w:rsidR="00A87E27" w:rsidRPr="009D06C9" w:rsidRDefault="00A87E27" w:rsidP="00A87E27">
      <w:pPr>
        <w:pStyle w:val="enumlev1"/>
        <w:rPr>
          <w:rFonts w:eastAsia="Batang"/>
          <w:lang w:val="es-ES_tradnl"/>
        </w:rPr>
      </w:pPr>
      <w:r w:rsidRPr="009D06C9">
        <w:rPr>
          <w:rFonts w:eastAsia="Batang"/>
          <w:lang w:val="es-ES_tradnl"/>
        </w:rPr>
        <w:t>–</w:t>
      </w:r>
      <w:r w:rsidRPr="009D06C9">
        <w:rPr>
          <w:rFonts w:eastAsia="Batang"/>
          <w:lang w:val="es-ES_tradnl"/>
        </w:rPr>
        <w:tab/>
        <w:t xml:space="preserve">La </w:t>
      </w:r>
      <w:r w:rsidRPr="009D06C9">
        <w:rPr>
          <w:rFonts w:eastAsia="Batang"/>
          <w:i/>
          <w:iCs/>
          <w:lang w:val="es-ES_tradnl"/>
        </w:rPr>
        <w:t>Modern Grid Initiative</w:t>
      </w:r>
      <w:r w:rsidRPr="009D06C9">
        <w:rPr>
          <w:rFonts w:eastAsia="Batang"/>
          <w:lang w:val="es-ES_tradnl"/>
        </w:rPr>
        <w:t xml:space="preserve"> financiada por el Departamento de Energía de Estados Unidos (DOE)</w:t>
      </w:r>
      <w:r w:rsidRPr="009D06C9">
        <w:rPr>
          <w:rFonts w:eastAsia="Batang"/>
          <w:szCs w:val="24"/>
          <w:vertAlign w:val="superscript"/>
          <w:lang w:val="es-ES_tradnl"/>
        </w:rPr>
        <w:footnoteReference w:id="7"/>
      </w:r>
    </w:p>
    <w:p w:rsidR="00A87E27" w:rsidRPr="009D06C9" w:rsidRDefault="00A87E27" w:rsidP="00A87E27">
      <w:pPr>
        <w:pStyle w:val="enumlev1"/>
        <w:rPr>
          <w:rFonts w:eastAsia="Batang"/>
          <w:lang w:val="es-ES_tradnl"/>
        </w:rPr>
      </w:pPr>
      <w:r w:rsidRPr="009D06C9">
        <w:rPr>
          <w:rFonts w:eastAsia="Batang"/>
          <w:lang w:val="es-ES_tradnl"/>
        </w:rPr>
        <w:t>–</w:t>
      </w:r>
      <w:r w:rsidRPr="009D06C9">
        <w:rPr>
          <w:rFonts w:eastAsia="Batang"/>
          <w:lang w:val="es-ES_tradnl"/>
        </w:rPr>
        <w:tab/>
        <w:t xml:space="preserve">La </w:t>
      </w:r>
      <w:r w:rsidRPr="009D06C9">
        <w:rPr>
          <w:rFonts w:eastAsia="Batang"/>
          <w:i/>
          <w:iCs/>
          <w:lang w:val="es-ES_tradnl"/>
        </w:rPr>
        <w:t>European Commission Strategic Research Agenda</w:t>
      </w:r>
      <w:r w:rsidRPr="009D06C9">
        <w:rPr>
          <w:rFonts w:eastAsia="Batang"/>
          <w:szCs w:val="24"/>
          <w:vertAlign w:val="superscript"/>
          <w:lang w:val="es-ES_tradnl"/>
        </w:rPr>
        <w:footnoteReference w:id="8"/>
      </w:r>
    </w:p>
    <w:p w:rsidR="00A87E27" w:rsidRPr="009D06C9" w:rsidRDefault="00A87E27" w:rsidP="00A87E27">
      <w:pPr>
        <w:pStyle w:val="enumlev1"/>
        <w:rPr>
          <w:rFonts w:eastAsia="Batang"/>
          <w:lang w:val="es-ES_tradnl"/>
        </w:rPr>
      </w:pPr>
      <w:r w:rsidRPr="009D06C9">
        <w:rPr>
          <w:rFonts w:eastAsia="Batang"/>
          <w:lang w:val="es-ES_tradnl"/>
        </w:rPr>
        <w:t>–</w:t>
      </w:r>
      <w:r w:rsidRPr="009D06C9">
        <w:rPr>
          <w:rFonts w:eastAsia="Batang"/>
          <w:lang w:val="es-ES_tradnl"/>
        </w:rPr>
        <w:tab/>
        <w:t>Consultas recientes en el Reino Unido sobre implementación de medición inteligente</w:t>
      </w:r>
      <w:r w:rsidRPr="009D06C9">
        <w:rPr>
          <w:rFonts w:eastAsia="Batang"/>
          <w:position w:val="6"/>
          <w:sz w:val="18"/>
          <w:lang w:val="es-ES_tradnl"/>
        </w:rPr>
        <w:footnoteReference w:id="9"/>
      </w:r>
    </w:p>
    <w:p w:rsidR="00A87E27" w:rsidRPr="00B55B96" w:rsidRDefault="00A87E27" w:rsidP="00A87E27">
      <w:pPr>
        <w:pStyle w:val="enumlev1"/>
        <w:rPr>
          <w:rFonts w:eastAsia="Batang"/>
          <w:lang w:val="en-US"/>
        </w:rPr>
      </w:pPr>
      <w:r w:rsidRPr="00B55B96">
        <w:rPr>
          <w:rFonts w:eastAsia="Batang"/>
          <w:lang w:val="en-US"/>
        </w:rPr>
        <w:lastRenderedPageBreak/>
        <w:t>–</w:t>
      </w:r>
      <w:r w:rsidRPr="00B55B96">
        <w:rPr>
          <w:rFonts w:eastAsia="Batang"/>
          <w:lang w:val="en-US"/>
        </w:rPr>
        <w:tab/>
      </w:r>
      <w:r w:rsidRPr="00B55B96">
        <w:rPr>
          <w:rFonts w:eastAsia="Batang"/>
          <w:i/>
          <w:iCs/>
          <w:lang w:val="en-US"/>
        </w:rPr>
        <w:t>Telecommunications Industry Association, Committee TR51, Smart Utility Networks</w:t>
      </w:r>
      <w:r w:rsidRPr="009D06C9">
        <w:rPr>
          <w:rStyle w:val="FootnoteReference"/>
          <w:rFonts w:eastAsia="Batang"/>
          <w:lang w:val="es-ES_tradnl"/>
        </w:rPr>
        <w:footnoteReference w:id="10"/>
      </w:r>
    </w:p>
    <w:p w:rsidR="00A87E27" w:rsidRPr="009D06C9" w:rsidRDefault="00A87E27" w:rsidP="00A87E27">
      <w:pPr>
        <w:pStyle w:val="Heading1"/>
        <w:rPr>
          <w:rFonts w:eastAsia="Batang"/>
          <w:lang w:val="es-ES_tradnl"/>
        </w:rPr>
      </w:pPr>
      <w:bookmarkStart w:id="6" w:name="M441"/>
      <w:bookmarkStart w:id="7" w:name="MoU"/>
      <w:bookmarkStart w:id="8" w:name="_Toc214427374"/>
      <w:bookmarkStart w:id="9" w:name="_Toc421882690"/>
      <w:bookmarkStart w:id="10" w:name="_Toc498004346"/>
      <w:bookmarkEnd w:id="6"/>
      <w:bookmarkEnd w:id="7"/>
      <w:r w:rsidRPr="009D06C9">
        <w:rPr>
          <w:rFonts w:eastAsia="Batang"/>
          <w:lang w:val="es-ES_tradnl"/>
        </w:rPr>
        <w:t>3</w:t>
      </w:r>
      <w:r w:rsidRPr="009D06C9">
        <w:rPr>
          <w:rFonts w:eastAsia="Batang"/>
          <w:lang w:val="es-ES_tradnl"/>
        </w:rPr>
        <w:tab/>
      </w:r>
      <w:bookmarkEnd w:id="8"/>
      <w:bookmarkEnd w:id="9"/>
      <w:r w:rsidRPr="009D06C9">
        <w:rPr>
          <w:rFonts w:eastAsia="Batang"/>
          <w:lang w:val="es-ES_tradnl"/>
        </w:rPr>
        <w:t>Tecnologías de red inteligente por redes de comunicación</w:t>
      </w:r>
      <w:bookmarkEnd w:id="10"/>
    </w:p>
    <w:p w:rsidR="00A87E27" w:rsidRPr="009D06C9" w:rsidRDefault="00A87E27" w:rsidP="00A87E27">
      <w:pPr>
        <w:rPr>
          <w:rFonts w:eastAsia="Batang"/>
          <w:lang w:val="es-ES_tradnl"/>
        </w:rPr>
      </w:pPr>
      <w:r w:rsidRPr="009D06C9">
        <w:rPr>
          <w:rFonts w:eastAsia="Batang"/>
          <w:lang w:val="es-ES_tradnl"/>
        </w:rPr>
        <w:t>Varios tipos de redes de comunicación se pueden utilizar en la implementación de redes inteligentes. Ahora bien, esas redes de comunicación deben ofrecer una capacidad suficiente para las aplicaciones de red inteligente básicas y avanzadas que existen hoy y las que estarán disponibles en un futuro cercano.</w:t>
      </w:r>
    </w:p>
    <w:p w:rsidR="00A87E27" w:rsidRPr="009D06C9" w:rsidRDefault="00A87E27" w:rsidP="00A87E27">
      <w:pPr>
        <w:rPr>
          <w:rFonts w:eastAsia="Batang"/>
          <w:lang w:val="es-ES_tradnl"/>
        </w:rPr>
      </w:pPr>
      <w:r w:rsidRPr="009D06C9">
        <w:rPr>
          <w:rFonts w:eastAsia="Batang"/>
          <w:lang w:val="es-ES_tradnl"/>
        </w:rPr>
        <w:t>La red de distribución eléctrica es un sistema de suministro en el que el producto (energía eléctrica) se caracteriza por un tiempo entre la producción y el consumo prácticamente nulo: la generación, suministro y consumo se produce «todo» casi al mismo tiempo. El problema de equilibrar la producción y la demanda se multiplicará con la integración de nuevas tecnologías destinadas a lograr de manera sostenible la independencia energética y la modernización de la red de distribución avejentada, por ejemplo, fuentes de energía renovable, recursos energéticos distribuidos (RED), vehículos eléctricos recargables, gestión de la demanda y respuesta, almacenamiento y participación del consumidor, etc. A fin de equilibrar la generación y la demanda de un «sistema oportuno perfecto» es necesario integrar tecnologías adicionales de protección y control que garanticen la estabilidad de la red, modificación de la actual red que dista de ser trivial y supone un verdadero reto de diseño, dada la naturaleza estocástica de la generación y de la carga.</w:t>
      </w:r>
    </w:p>
    <w:p w:rsidR="00A87E27" w:rsidRPr="009D06C9" w:rsidRDefault="00A87E27" w:rsidP="00A87E27">
      <w:pPr>
        <w:rPr>
          <w:rFonts w:eastAsia="Batang"/>
          <w:lang w:val="es-ES_tradnl"/>
        </w:rPr>
      </w:pPr>
      <w:r w:rsidRPr="009D06C9">
        <w:rPr>
          <w:rFonts w:eastAsia="Batang"/>
          <w:lang w:val="es-ES_tradnl"/>
        </w:rPr>
        <w:t>Para dar soporte a las tecnologías y aplicaciones anteriormente mencionadas, es necesario garantizar la disponibilidad de una red de comunicaciones moderna, flexible y ampliable que reúna las funciones de «vigilancia» y «control». Las tecnologías de la información y la comunicación permitirán ubicar, aislar y restaurar a distancia, y de una manera más rápida, las interrupciones de energía, mejorando de este modo la estabilidad de la red. Asimismo, las tecnologías de la información y de la comunicación facilitarán la incorporación a la red de fuentes renovables de energía que varían con el tiempo, permitirán controlar mejor y de una manera más dinámica la carga y dotarán a los consumidores de herramientas para optimizar el consumo de energía.</w:t>
      </w:r>
    </w:p>
    <w:p w:rsidR="00A87E27" w:rsidRPr="009D06C9" w:rsidRDefault="00A87E27" w:rsidP="00A87E27">
      <w:pPr>
        <w:rPr>
          <w:rFonts w:eastAsia="Batang"/>
          <w:lang w:val="es-ES_tradnl"/>
        </w:rPr>
      </w:pPr>
      <w:r w:rsidRPr="009D06C9">
        <w:rPr>
          <w:rFonts w:eastAsia="Batang"/>
          <w:lang w:val="es-ES_tradnl"/>
        </w:rPr>
        <w:t>Estos objetivos tendrán que basarse en normas que garanticen que las diversas tecnologías y equipos que dan soporte a las comunicaciones de red inteligente son adecuados para su fin y no interfieren entre sí o con otros sistemas de telecomunicaciones y que los componentes radioeléctricos no causen interferencia a los servicios de radiocomunicaciones.</w:t>
      </w:r>
    </w:p>
    <w:p w:rsidR="00A87E27" w:rsidRPr="009D06C9" w:rsidRDefault="00A87E27" w:rsidP="00A87E27">
      <w:pPr>
        <w:pStyle w:val="Heading2"/>
        <w:rPr>
          <w:rFonts w:eastAsia="Batang"/>
          <w:bCs/>
          <w:lang w:val="es-ES_tradnl"/>
        </w:rPr>
      </w:pPr>
      <w:bookmarkStart w:id="11" w:name="_Toc498004347"/>
      <w:r w:rsidRPr="009D06C9">
        <w:rPr>
          <w:rFonts w:eastAsia="Batang"/>
          <w:lang w:val="es-ES_tradnl"/>
        </w:rPr>
        <w:t>3.1</w:t>
      </w:r>
      <w:r w:rsidRPr="009D06C9">
        <w:rPr>
          <w:rFonts w:eastAsia="Batang"/>
          <w:lang w:val="es-ES_tradnl"/>
        </w:rPr>
        <w:tab/>
        <w:t>Función de la UIT y de las organizaciones de normalización</w:t>
      </w:r>
      <w:bookmarkEnd w:id="11"/>
    </w:p>
    <w:p w:rsidR="00A87E27" w:rsidRPr="009D06C9" w:rsidRDefault="00A87E27" w:rsidP="00A87E27">
      <w:pPr>
        <w:rPr>
          <w:rFonts w:eastAsia="Batang"/>
          <w:lang w:val="es-ES_tradnl"/>
        </w:rPr>
      </w:pPr>
      <w:r w:rsidRPr="009D06C9">
        <w:rPr>
          <w:rFonts w:eastAsia="Batang"/>
          <w:lang w:val="es-ES_tradnl"/>
        </w:rPr>
        <w:t>La industria de las telecomunicaciones desempeña un papel muy importante en las aplicaciones para redes eléctricas inteligentes; por ejemplo, el acceso por banda ancha puede emplearse en la gestión del lado de la demanda y los proveedores de servicios energéticos en la nube también pueden llegar a los hogares a través de las tecnologías ya existentes de acceso por banda ancha.</w:t>
      </w:r>
      <w:r w:rsidRPr="009D06C9">
        <w:rPr>
          <w:lang w:val="es-ES_tradnl"/>
        </w:rPr>
        <w:t xml:space="preserve"> </w:t>
      </w:r>
      <w:r w:rsidRPr="009D06C9">
        <w:rPr>
          <w:rFonts w:eastAsia="Batang"/>
          <w:lang w:val="es-ES_tradnl"/>
        </w:rPr>
        <w:t>Asimismo, la industria de la electrónica de consumo desarrollará unos productos basados en las nuevas normas de eficacia energética que también apoyarán las aplicaciones de las redes eléctricas inteligentes, como la respuesta a la demanda. La convergencia de las industrias de telecomunicaciones, energéticas y de electrónica de consumo en el ámbito de las aplicaciones para redes eléctricas inteligentes servirá de impulso a un nuevo ecosistema de productos.</w:t>
      </w:r>
      <w:r w:rsidRPr="009D06C9">
        <w:rPr>
          <w:lang w:val="es-ES_tradnl"/>
        </w:rPr>
        <w:t xml:space="preserve"> </w:t>
      </w:r>
      <w:r w:rsidRPr="009D06C9">
        <w:rPr>
          <w:rFonts w:eastAsia="Batang"/>
          <w:lang w:val="es-ES_tradnl"/>
        </w:rPr>
        <w:t>Esta convergencia debe producirse bajo los auspicios de las organizaciones internacionales de normalización, que tendrán que trabajar de manera conjunta.</w:t>
      </w:r>
    </w:p>
    <w:p w:rsidR="00A87E27" w:rsidRPr="009D06C9" w:rsidRDefault="00A87E27" w:rsidP="00A87E27">
      <w:pPr>
        <w:rPr>
          <w:lang w:val="es-ES_tradnl"/>
        </w:rPr>
      </w:pPr>
      <w:r w:rsidRPr="009D06C9">
        <w:rPr>
          <w:rFonts w:eastAsia="Batang"/>
          <w:lang w:val="es-ES_tradnl"/>
        </w:rPr>
        <w:t>Para dar soporte a estas aplicaciones, será necesario elaborar nuevas Recomendaciones y mejorar las Recomendaciones ya existentes que abarcan todos los aspectos de las comunicaciones de banda estrecha y banda ancha y su gestión a través de la red eléctrica, desde la generación hasta la carga.</w:t>
      </w:r>
      <w:r w:rsidRPr="009D06C9">
        <w:rPr>
          <w:lang w:val="es-ES_tradnl"/>
        </w:rPr>
        <w:t xml:space="preserve"> </w:t>
      </w:r>
      <w:r w:rsidRPr="009D06C9">
        <w:rPr>
          <w:rFonts w:eastAsia="Batang"/>
          <w:lang w:val="es-ES_tradnl"/>
        </w:rPr>
        <w:lastRenderedPageBreak/>
        <w:t>Estos estudios incluirán cuestiones relacionadas con las comunicaciones desde la capa física hasta el transporte de los protocolos de capa superior a través de redes heterogéneas, así como la definición de los requisitos y la arquitectura de las comunicaciones mediante redes eléctricas inteligentes.</w:t>
      </w:r>
    </w:p>
    <w:p w:rsidR="00A87E27" w:rsidRPr="009D06C9" w:rsidRDefault="00A87E27" w:rsidP="00A87E27">
      <w:pPr>
        <w:rPr>
          <w:rFonts w:eastAsia="Batang"/>
          <w:lang w:val="es-ES_tradnl"/>
        </w:rPr>
      </w:pPr>
      <w:r w:rsidRPr="009D06C9">
        <w:rPr>
          <w:rFonts w:eastAsia="Batang"/>
          <w:lang w:val="es-ES_tradnl"/>
        </w:rPr>
        <w:t>Dada la naturaleza interdisciplinaria de las aplicaciones para redes eléctricas inteligentes, será necesario un alto grado de cooperación entre los Sectores de la UIT, a través de Comisiones de Estudio, Cuestiones, Grupos Temáticos, Actividades mixtas de coordinación (JCA), iniciativas estratégicas mundiales (GSI), así como con otros organismos internacionales, institutos de investigación, consorcios industriales y otros foros que se dedican a las redes eléctricas inteligentes.</w:t>
      </w:r>
    </w:p>
    <w:p w:rsidR="00A87E27" w:rsidRPr="009D06C9" w:rsidRDefault="00A87E27" w:rsidP="00A87E27">
      <w:pPr>
        <w:rPr>
          <w:rFonts w:eastAsia="Batang"/>
          <w:lang w:val="es-ES_tradnl"/>
        </w:rPr>
      </w:pPr>
      <w:r w:rsidRPr="009D06C9">
        <w:rPr>
          <w:rFonts w:eastAsia="Batang"/>
          <w:lang w:val="es-ES_tradnl"/>
        </w:rPr>
        <w:t>El CEI está coordinando a escala mundial normas sobre redes eléctricas inteligentes, y ha desarrollado una hoja de ruta y una perspectiva estratégica para esas actividades</w:t>
      </w:r>
      <w:r w:rsidRPr="009D06C9">
        <w:rPr>
          <w:rStyle w:val="FootnoteReference"/>
          <w:rFonts w:eastAsia="Batang"/>
          <w:lang w:val="es-ES_tradnl"/>
        </w:rPr>
        <w:footnoteReference w:id="11"/>
      </w:r>
      <w:r w:rsidRPr="009D06C9">
        <w:rPr>
          <w:rFonts w:eastAsia="Batang"/>
          <w:lang w:val="es-ES_tradnl"/>
        </w:rPr>
        <w:t>, en particular sobre lagunas en la normalización y recomendaciones.</w:t>
      </w:r>
    </w:p>
    <w:p w:rsidR="00A87E27" w:rsidRPr="00EE026E" w:rsidRDefault="00A87E27" w:rsidP="00A87E27">
      <w:pPr>
        <w:rPr>
          <w:lang w:val="es-ES_tradnl"/>
        </w:rPr>
      </w:pPr>
      <w:r w:rsidRPr="009D06C9">
        <w:rPr>
          <w:rFonts w:eastAsia="Batang"/>
          <w:lang w:val="es-ES_tradnl"/>
        </w:rPr>
        <w:t xml:space="preserve">El UIT-T coopera con el CEI en los aspectos de la red inteligente relacionados con las comunicaciones. La colaboración con </w:t>
      </w:r>
      <w:r w:rsidRPr="00EE026E">
        <w:rPr>
          <w:lang w:val="es-ES_tradnl"/>
        </w:rPr>
        <w:t>TC57 WG</w:t>
      </w:r>
      <w:r w:rsidRPr="009D06C9">
        <w:rPr>
          <w:lang w:val="es-ES_tradnl"/>
        </w:rPr>
        <w:t> </w:t>
      </w:r>
      <w:r w:rsidRPr="00EE026E">
        <w:rPr>
          <w:lang w:val="es-ES_tradnl"/>
        </w:rPr>
        <w:t>20 del CEI ya está consolidada y se ampliará a otros Comités Técnicos del CEI y otras organizaciones externas, según proceda. Sin una estrecha coordinación, existe el peligro de duplicar el trabajo y de que se elaboren normas incompatibles y no interoperables.</w:t>
      </w:r>
    </w:p>
    <w:p w:rsidR="00A87E27" w:rsidRPr="009D06C9" w:rsidRDefault="00A87E27" w:rsidP="00A87E27">
      <w:pPr>
        <w:pStyle w:val="Heading2"/>
        <w:rPr>
          <w:rFonts w:eastAsia="Batang"/>
          <w:bCs/>
          <w:lang w:val="es-ES_tradnl"/>
        </w:rPr>
      </w:pPr>
      <w:bookmarkStart w:id="12" w:name="_Toc498004348"/>
      <w:r w:rsidRPr="009D06C9">
        <w:rPr>
          <w:rFonts w:eastAsia="Batang"/>
          <w:lang w:val="es-ES_tradnl"/>
        </w:rPr>
        <w:t>3.2</w:t>
      </w:r>
      <w:r w:rsidRPr="009D06C9">
        <w:rPr>
          <w:rFonts w:eastAsia="Batang"/>
          <w:lang w:val="es-ES_tradnl"/>
        </w:rPr>
        <w:tab/>
        <w:t>Coordinación en la UIT</w:t>
      </w:r>
      <w:bookmarkEnd w:id="12"/>
    </w:p>
    <w:p w:rsidR="00A87E27" w:rsidRPr="009D06C9" w:rsidRDefault="00A87E27" w:rsidP="00A87E27">
      <w:pPr>
        <w:rPr>
          <w:rFonts w:eastAsia="MS PGothic"/>
          <w:lang w:val="es-ES_tradnl" w:eastAsia="ja-JP"/>
        </w:rPr>
      </w:pPr>
      <w:r w:rsidRPr="009D06C9">
        <w:rPr>
          <w:rFonts w:eastAsia="Batang"/>
          <w:lang w:val="es-ES_tradnl"/>
        </w:rPr>
        <w:t>En el UIT-T, varias Comisiones de Estudio (por ejemplo, las CE 5, 9, 13, 15, 16 y 17) están estudiando y preparando de Recomendaciones relacionadas con el transporte en la red de acceso.</w:t>
      </w:r>
      <w:r w:rsidRPr="009D06C9">
        <w:rPr>
          <w:lang w:val="es-ES_tradnl"/>
        </w:rPr>
        <w:t xml:space="preserve"> </w:t>
      </w:r>
      <w:r w:rsidRPr="009D06C9">
        <w:rPr>
          <w:rFonts w:eastAsia="Batang"/>
          <w:lang w:val="es-ES_tradnl"/>
        </w:rPr>
        <w:t xml:space="preserve">Esas iniciativas de coordinación dentro del UIT-T se basan en información exhaustiva reunida anteriormente a través del Grupo Temático del UIT-T sobre Red inteligente, que fue establecido por el Grupo Asesor de Normalización de las Telecomunicaciones (GANT) del UIT-T en su reunión de febrero de 2010 con el fin de ofrecer a las Comisiones de Estudio del UIT-T un foro común para actividades de normalización de la red inteligente y para colaborar con comunidades de redes inteligentes del mundo entero (por ejemplo, institutos de investigación, foros, instituciones académicas, SDO y grupos industriales). </w:t>
      </w:r>
      <w:r w:rsidRPr="009D06C9">
        <w:rPr>
          <w:rFonts w:eastAsia="MS PGothic"/>
          <w:lang w:val="es-ES_tradnl" w:eastAsia="ja-JP"/>
        </w:rPr>
        <w:t>Se identificaron los objetivos siguientes:</w:t>
      </w:r>
    </w:p>
    <w:p w:rsidR="00A87E27" w:rsidRPr="009D06C9" w:rsidRDefault="00A87E27" w:rsidP="00A87E27">
      <w:pPr>
        <w:pStyle w:val="enumlev1"/>
        <w:rPr>
          <w:rFonts w:eastAsia="Batang"/>
          <w:lang w:val="es-ES_tradnl"/>
        </w:rPr>
      </w:pPr>
      <w:r w:rsidRPr="009D06C9">
        <w:rPr>
          <w:rFonts w:eastAsia="Batang"/>
          <w:lang w:val="es-ES_tradnl"/>
        </w:rPr>
        <w:t>–</w:t>
      </w:r>
      <w:r w:rsidRPr="009D06C9">
        <w:rPr>
          <w:rFonts w:eastAsia="Batang"/>
          <w:lang w:val="es-ES_tradnl"/>
        </w:rPr>
        <w:tab/>
        <w:t>identificar posibles consecuencias para la elaboración de normas;</w:t>
      </w:r>
    </w:p>
    <w:p w:rsidR="00A87E27" w:rsidRPr="009D06C9" w:rsidRDefault="00A87E27" w:rsidP="00A87E27">
      <w:pPr>
        <w:pStyle w:val="enumlev1"/>
        <w:rPr>
          <w:rFonts w:eastAsia="Batang"/>
          <w:lang w:val="es-ES_tradnl"/>
        </w:rPr>
      </w:pPr>
      <w:r w:rsidRPr="009D06C9">
        <w:rPr>
          <w:rFonts w:eastAsia="Batang"/>
          <w:lang w:val="es-ES_tradnl"/>
        </w:rPr>
        <w:t>–</w:t>
      </w:r>
      <w:r w:rsidRPr="009D06C9">
        <w:rPr>
          <w:rFonts w:eastAsia="Batang"/>
          <w:lang w:val="es-ES_tradnl"/>
        </w:rPr>
        <w:tab/>
        <w:t>investigar futuros temas de estudio del UIT-T y acciones conexas;</w:t>
      </w:r>
    </w:p>
    <w:p w:rsidR="00A87E27" w:rsidRPr="009D06C9" w:rsidRDefault="00A87E27" w:rsidP="00A87E27">
      <w:pPr>
        <w:pStyle w:val="enumlev1"/>
        <w:rPr>
          <w:rFonts w:eastAsia="Batang"/>
          <w:lang w:val="es-ES_tradnl"/>
        </w:rPr>
      </w:pPr>
      <w:r w:rsidRPr="009D06C9">
        <w:rPr>
          <w:rFonts w:eastAsia="Batang"/>
          <w:lang w:val="es-ES_tradnl"/>
        </w:rPr>
        <w:t>–</w:t>
      </w:r>
      <w:r w:rsidRPr="009D06C9">
        <w:rPr>
          <w:rFonts w:eastAsia="Batang"/>
          <w:lang w:val="es-ES_tradnl"/>
        </w:rPr>
        <w:tab/>
        <w:t>familiarizar al UIT-T y a las comunidades de la normalización sobre los nuevos atributos de la red inteligente;</w:t>
      </w:r>
    </w:p>
    <w:p w:rsidR="00A87E27" w:rsidRPr="009D06C9" w:rsidRDefault="00A87E27" w:rsidP="00A87E27">
      <w:pPr>
        <w:pStyle w:val="enumlev1"/>
        <w:rPr>
          <w:rFonts w:eastAsia="Batang"/>
          <w:lang w:val="es-ES_tradnl"/>
        </w:rPr>
      </w:pPr>
      <w:r w:rsidRPr="009D06C9">
        <w:rPr>
          <w:rFonts w:eastAsia="Batang"/>
          <w:lang w:val="es-ES_tradnl"/>
        </w:rPr>
        <w:t>–</w:t>
      </w:r>
      <w:r w:rsidRPr="009D06C9">
        <w:rPr>
          <w:rFonts w:eastAsia="Batang"/>
          <w:lang w:val="es-ES_tradnl"/>
        </w:rPr>
        <w:tab/>
        <w:t>fomentar la colaboración entre el UIT-T y comunidades de red inteligente.</w:t>
      </w:r>
    </w:p>
    <w:p w:rsidR="00A87E27" w:rsidRPr="009D06C9" w:rsidRDefault="00A87E27" w:rsidP="00A87E27">
      <w:pPr>
        <w:rPr>
          <w:szCs w:val="24"/>
          <w:lang w:val="es-ES_tradnl" w:eastAsia="en-GB"/>
        </w:rPr>
      </w:pPr>
      <w:r w:rsidRPr="009D06C9">
        <w:rPr>
          <w:lang w:val="es-ES_tradnl"/>
        </w:rPr>
        <w:t>En otra iniciativa, el GANT creó, en su reunión de enero de 2012, un grupo especial denominado Actividad de coordinación conjunta sobre redes inteligentes y redes domésticas</w:t>
      </w:r>
      <w:r w:rsidRPr="009D06C9">
        <w:rPr>
          <w:rFonts w:eastAsia="MS PGothic"/>
          <w:lang w:val="es-ES_tradnl" w:eastAsia="ja-JP"/>
        </w:rPr>
        <w:t xml:space="preserve"> (</w:t>
      </w:r>
      <w:r w:rsidRPr="009D06C9">
        <w:rPr>
          <w:rFonts w:eastAsia="MS PGothic"/>
          <w:lang w:val="es-ES_tradnl"/>
        </w:rPr>
        <w:t>JCA SG&amp;HN</w:t>
      </w:r>
      <w:r w:rsidRPr="009D06C9">
        <w:rPr>
          <w:rFonts w:eastAsia="MS PGothic"/>
          <w:lang w:val="es-ES_tradnl" w:eastAsia="ja-JP"/>
        </w:rPr>
        <w:t>) con el fin de coordinar las actividades dentro del UIT</w:t>
      </w:r>
      <w:r w:rsidRPr="009D06C9">
        <w:rPr>
          <w:rFonts w:eastAsia="MS PGothic"/>
          <w:lang w:val="es-ES_tradnl" w:eastAsia="ja-JP"/>
        </w:rPr>
        <w:noBreakHyphen/>
        <w:t>T. Esta Actividad sustituyó la antigua</w:t>
      </w:r>
      <w:r w:rsidRPr="009D06C9">
        <w:rPr>
          <w:szCs w:val="24"/>
          <w:lang w:val="es-ES_tradnl" w:eastAsia="en-GB"/>
        </w:rPr>
        <w:t xml:space="preserve"> JCA sobre redes domésticas (JCA-HN). </w:t>
      </w:r>
      <w:r w:rsidRPr="009D06C9">
        <w:rPr>
          <w:lang w:val="es-ES_tradnl"/>
        </w:rPr>
        <w:t xml:space="preserve">El mandato de la </w:t>
      </w:r>
      <w:r w:rsidRPr="009D06C9">
        <w:rPr>
          <w:rFonts w:eastAsia="MS PGothic"/>
          <w:lang w:val="es-ES_tradnl"/>
        </w:rPr>
        <w:t>JCA SG&amp;HN</w:t>
      </w:r>
      <w:r w:rsidRPr="009D06C9">
        <w:rPr>
          <w:lang w:val="es-ES_tradnl"/>
        </w:rPr>
        <w:t xml:space="preserve"> es la coordinación, dentro y fuera del UIT-T, de los trabajos de normalización relativos a todos los aspectos de red de la red inteligente y la comunicación conexa, así como las redes domésticas</w:t>
      </w:r>
      <w:r w:rsidRPr="009D06C9">
        <w:rPr>
          <w:szCs w:val="24"/>
          <w:lang w:val="es-ES_tradnl" w:eastAsia="en-GB"/>
        </w:rPr>
        <w:t xml:space="preserve">. La </w:t>
      </w:r>
      <w:r w:rsidRPr="009D06C9">
        <w:rPr>
          <w:rFonts w:eastAsia="MS PGothic"/>
          <w:lang w:val="es-ES_tradnl"/>
        </w:rPr>
        <w:t>JCA SG&amp;HN concluyó satisfactoriamente en junio de 2013 y, desde entonces, la Comisión de Estudio 15 del UIT-T coordina directamente las «redes eléctricas inteligentes y redes domésticas» y actúa de centro de coordinación dentro del UIT-T</w:t>
      </w:r>
      <w:r w:rsidRPr="009D06C9">
        <w:rPr>
          <w:szCs w:val="24"/>
          <w:lang w:val="es-ES_tradnl" w:eastAsia="en-GB"/>
        </w:rPr>
        <w:t>.</w:t>
      </w:r>
    </w:p>
    <w:p w:rsidR="00A87E27" w:rsidRPr="009D06C9" w:rsidRDefault="00A87E27" w:rsidP="00A87E27">
      <w:pPr>
        <w:rPr>
          <w:szCs w:val="24"/>
          <w:lang w:val="es-ES_tradnl" w:eastAsia="en-GB"/>
        </w:rPr>
      </w:pPr>
      <w:r w:rsidRPr="009D06C9">
        <w:rPr>
          <w:szCs w:val="24"/>
          <w:lang w:val="es-ES_tradnl" w:eastAsia="en-GB"/>
        </w:rPr>
        <w:t>Por otra parte, la CE 15 del UIT-T participa actualmente en las siguientes iniciativas encargadas de temas relacionados con la red inteligente:</w:t>
      </w:r>
    </w:p>
    <w:p w:rsidR="00A87E27" w:rsidRPr="009D06C9" w:rsidRDefault="00A87E27" w:rsidP="00806B41">
      <w:pPr>
        <w:pStyle w:val="enumlev1"/>
        <w:keepNext/>
        <w:keepLines/>
        <w:rPr>
          <w:rFonts w:eastAsia="Batang"/>
          <w:lang w:val="es-ES_tradnl"/>
        </w:rPr>
      </w:pPr>
      <w:r w:rsidRPr="009D06C9">
        <w:rPr>
          <w:rFonts w:eastAsia="Batang"/>
          <w:lang w:val="es-ES_tradnl"/>
        </w:rPr>
        <w:lastRenderedPageBreak/>
        <w:t>–</w:t>
      </w:r>
      <w:r w:rsidRPr="009D06C9">
        <w:rPr>
          <w:rFonts w:eastAsia="Batang"/>
          <w:lang w:val="es-ES_tradnl"/>
        </w:rPr>
        <w:tab/>
        <w:t>Actividad Conjunta de Coordinación sobre la Internet de las cosas (JCA-IoT).</w:t>
      </w:r>
    </w:p>
    <w:p w:rsidR="00A87E27" w:rsidRPr="009D06C9" w:rsidRDefault="00A87E27" w:rsidP="00A87E27">
      <w:pPr>
        <w:pStyle w:val="enumlev1"/>
        <w:rPr>
          <w:rFonts w:eastAsia="Batang"/>
          <w:lang w:val="es-ES_tradnl"/>
        </w:rPr>
      </w:pPr>
      <w:r w:rsidRPr="009D06C9">
        <w:rPr>
          <w:rFonts w:eastAsia="Batang"/>
          <w:lang w:val="es-ES_tradnl"/>
        </w:rPr>
        <w:t>–</w:t>
      </w:r>
      <w:r w:rsidRPr="009D06C9">
        <w:rPr>
          <w:rFonts w:eastAsia="Batang"/>
          <w:lang w:val="es-ES_tradnl"/>
        </w:rPr>
        <w:tab/>
        <w:t>Actividad de Coordinación Conjunta sobre las TIC y el Cambio Climático (JCA-TIC-CC).</w:t>
      </w:r>
    </w:p>
    <w:p w:rsidR="00A87E27" w:rsidRPr="009D06C9" w:rsidRDefault="00A87E27" w:rsidP="00A87E27">
      <w:pPr>
        <w:pStyle w:val="enumlev1"/>
        <w:rPr>
          <w:rFonts w:eastAsia="Batang"/>
          <w:lang w:val="es-ES_tradnl"/>
        </w:rPr>
      </w:pPr>
      <w:r w:rsidRPr="009D06C9">
        <w:rPr>
          <w:rFonts w:eastAsia="Batang"/>
          <w:lang w:val="es-ES_tradnl"/>
        </w:rPr>
        <w:t>–</w:t>
      </w:r>
      <w:r w:rsidRPr="009D06C9">
        <w:rPr>
          <w:rFonts w:eastAsia="Batang"/>
          <w:lang w:val="es-ES_tradnl"/>
        </w:rPr>
        <w:tab/>
        <w:t>Grupo Temático sobre M2M (FG-M2M).</w:t>
      </w:r>
    </w:p>
    <w:p w:rsidR="00A87E27" w:rsidRPr="009D06C9" w:rsidRDefault="00A87E27" w:rsidP="00A87E27">
      <w:pPr>
        <w:pStyle w:val="enumlev1"/>
        <w:rPr>
          <w:rFonts w:eastAsia="Batang"/>
          <w:lang w:val="es-ES_tradnl"/>
        </w:rPr>
      </w:pPr>
      <w:r w:rsidRPr="009D06C9">
        <w:rPr>
          <w:rFonts w:eastAsia="Batang"/>
          <w:lang w:val="es-ES_tradnl"/>
        </w:rPr>
        <w:t>–</w:t>
      </w:r>
      <w:r w:rsidRPr="009D06C9">
        <w:rPr>
          <w:rFonts w:eastAsia="Batang"/>
          <w:lang w:val="es-ES_tradnl"/>
        </w:rPr>
        <w:tab/>
        <w:t>Colaboración sobre la normalización de las comunicaciones de Sistemas de Transporte Inteligentes (STI).</w:t>
      </w:r>
    </w:p>
    <w:p w:rsidR="00A87E27" w:rsidRPr="009D06C9" w:rsidRDefault="00A87E27" w:rsidP="00A87E27">
      <w:pPr>
        <w:rPr>
          <w:rFonts w:eastAsia="Batang"/>
          <w:lang w:val="es-ES_tradnl"/>
        </w:rPr>
      </w:pPr>
      <w:r w:rsidRPr="009D06C9">
        <w:rPr>
          <w:rFonts w:eastAsia="Batang"/>
          <w:lang w:val="es-ES_tradnl"/>
        </w:rPr>
        <w:t>La función del UIT-R consiste en supervisar las actividades e intervenir, en caso necesario, para garantizar que las iniciativas sobre utilización de frecuencias y energía RF para las comunicaciones de la red inteligente no deterioren o degraden el funcionamiento de los servicios de radiocomunicaciones, habida cuenta de que la red de distribución de energía eléctrica se corresponde estrechamente con la distribución demográfica y las correspondientes necesidades de servicios de radiocomunicaciones ilimitados.</w:t>
      </w:r>
    </w:p>
    <w:p w:rsidR="00A87E27" w:rsidRPr="009D06C9" w:rsidRDefault="00A87E27" w:rsidP="00A87E27">
      <w:pPr>
        <w:rPr>
          <w:rFonts w:eastAsia="Batang"/>
          <w:lang w:val="es-ES_tradnl"/>
        </w:rPr>
      </w:pPr>
      <w:r w:rsidRPr="009D06C9">
        <w:rPr>
          <w:rFonts w:eastAsia="MS PGothic"/>
          <w:lang w:val="es-ES_tradnl" w:eastAsia="ja-JP"/>
        </w:rPr>
        <w:t>Las actividades paralelas sobre tecnologías de comunicación de red inteligente en el Sector UIT-R se enmarcan en la nueva Cuestión UIT-R 236/1 de la Comisión de Estudio 1 del UIT-R</w:t>
      </w:r>
      <w:r w:rsidRPr="009D06C9">
        <w:rPr>
          <w:lang w:val="es-ES_tradnl"/>
        </w:rPr>
        <w:t xml:space="preserve"> – </w:t>
      </w:r>
      <w:r w:rsidRPr="009D06C9">
        <w:rPr>
          <w:iCs/>
          <w:lang w:val="es-ES_tradnl"/>
        </w:rPr>
        <w:t>Efecto de las tecnologías de transmisión de datos alámbricas e inalámbricas utilizadas en los sistemas de gestión de la red eléctrica sobre los sistemas de radiocomunicaciones</w:t>
      </w:r>
      <w:r w:rsidRPr="009D06C9">
        <w:rPr>
          <w:rFonts w:eastAsia="MS PGothic"/>
          <w:iCs/>
          <w:lang w:val="es-ES_tradnl" w:eastAsia="ja-JP"/>
        </w:rPr>
        <w:t>.</w:t>
      </w:r>
    </w:p>
    <w:p w:rsidR="00A87E27" w:rsidRPr="009D06C9" w:rsidRDefault="00A87E27" w:rsidP="00A87E27">
      <w:pPr>
        <w:pStyle w:val="Heading1"/>
        <w:rPr>
          <w:rFonts w:eastAsia="Batang"/>
          <w:lang w:val="es-ES_tradnl"/>
        </w:rPr>
      </w:pPr>
      <w:bookmarkStart w:id="13" w:name="M2MHyperlink"/>
      <w:bookmarkStart w:id="14" w:name="M2MFRA"/>
      <w:bookmarkStart w:id="15" w:name="M2MUseCases"/>
      <w:bookmarkStart w:id="16" w:name="M2MTR"/>
      <w:bookmarkStart w:id="17" w:name="_Toc214427375"/>
      <w:bookmarkStart w:id="18" w:name="_Toc421882691"/>
      <w:bookmarkStart w:id="19" w:name="_Toc498004349"/>
      <w:bookmarkEnd w:id="13"/>
      <w:bookmarkEnd w:id="14"/>
      <w:bookmarkEnd w:id="15"/>
      <w:bookmarkEnd w:id="16"/>
      <w:r w:rsidRPr="009D06C9">
        <w:rPr>
          <w:rFonts w:eastAsia="Batang"/>
          <w:lang w:val="es-ES_tradnl"/>
        </w:rPr>
        <w:t>4</w:t>
      </w:r>
      <w:r w:rsidRPr="009D06C9">
        <w:rPr>
          <w:rFonts w:eastAsia="Batang"/>
          <w:lang w:val="es-ES_tradnl"/>
        </w:rPr>
        <w:tab/>
      </w:r>
      <w:bookmarkEnd w:id="17"/>
      <w:bookmarkEnd w:id="18"/>
      <w:r w:rsidRPr="009D06C9">
        <w:rPr>
          <w:rFonts w:eastAsia="Batang"/>
          <w:lang w:val="es-ES_tradnl"/>
        </w:rPr>
        <w:t>Objetivos y ventajas de las redes inteligentes</w:t>
      </w:r>
      <w:bookmarkEnd w:id="19"/>
    </w:p>
    <w:p w:rsidR="00A87E27" w:rsidRPr="009D06C9" w:rsidRDefault="00A87E27" w:rsidP="00A87E27">
      <w:pPr>
        <w:pStyle w:val="Heading2"/>
        <w:rPr>
          <w:rFonts w:eastAsia="Batang"/>
          <w:bCs/>
          <w:lang w:val="es-ES_tradnl"/>
        </w:rPr>
      </w:pPr>
      <w:bookmarkStart w:id="20" w:name="_Toc421882692"/>
      <w:bookmarkStart w:id="21" w:name="_Toc498004350"/>
      <w:r w:rsidRPr="009D06C9">
        <w:rPr>
          <w:rFonts w:eastAsia="Batang"/>
          <w:lang w:val="es-ES_tradnl"/>
        </w:rPr>
        <w:t>4.1</w:t>
      </w:r>
      <w:r w:rsidRPr="009D06C9">
        <w:rPr>
          <w:rFonts w:eastAsia="Batang"/>
          <w:lang w:val="es-ES_tradnl"/>
        </w:rPr>
        <w:tab/>
      </w:r>
      <w:bookmarkEnd w:id="20"/>
      <w:r w:rsidRPr="009D06C9">
        <w:rPr>
          <w:rFonts w:eastAsia="Batang"/>
          <w:lang w:val="es-ES_tradnl"/>
        </w:rPr>
        <w:t>Reducción de la demanda global de electricidad mediante la optimización del sistema</w:t>
      </w:r>
      <w:bookmarkEnd w:id="21"/>
    </w:p>
    <w:p w:rsidR="00A87E27" w:rsidRPr="009D06C9" w:rsidRDefault="00A87E27" w:rsidP="00A87E27">
      <w:pPr>
        <w:rPr>
          <w:rFonts w:eastAsia="Batang"/>
          <w:lang w:val="es-ES_tradnl"/>
        </w:rPr>
      </w:pPr>
      <w:r w:rsidRPr="009D06C9">
        <w:rPr>
          <w:rFonts w:eastAsia="Batang"/>
          <w:lang w:val="es-ES_tradnl"/>
        </w:rPr>
        <w:t>Los sistemas locales existentes de distribución de electricidad están concebidos para proporcionar energía y enviarla en una dirección, pero carecen de la inteligencia necesaria para optimizar el abastecimiento. Por consiguiente, los proveedores deben disponer de una capacidad suficiente de generación de electricidad para atender crestas de demanda energética, aunque esas crestas sólo se producen unos pocos días al año y la demanda media es muy inferior. Prácticamente, eso significa que los días en que esperan que la demanda sea superior a la media, los proveedores ponen en marcha generadores poco utilizados, menos eficientes y más onerosos.</w:t>
      </w:r>
    </w:p>
    <w:p w:rsidR="00A87E27" w:rsidRPr="009D06C9" w:rsidRDefault="00A87E27" w:rsidP="00A87E27">
      <w:pPr>
        <w:rPr>
          <w:rFonts w:eastAsia="Batang"/>
          <w:lang w:val="es-ES_tradnl"/>
        </w:rPr>
      </w:pPr>
      <w:r w:rsidRPr="009D06C9">
        <w:rPr>
          <w:rFonts w:eastAsia="Batang"/>
          <w:lang w:val="es-ES_tradnl"/>
        </w:rPr>
        <w:t>Estados Unidos, el Congreso de ese país</w:t>
      </w:r>
      <w:r w:rsidRPr="009D06C9">
        <w:rPr>
          <w:rFonts w:eastAsia="Batang"/>
          <w:position w:val="6"/>
          <w:sz w:val="18"/>
          <w:lang w:val="es-ES_tradnl"/>
        </w:rPr>
        <w:footnoteReference w:id="12"/>
      </w:r>
      <w:r w:rsidRPr="009D06C9">
        <w:rPr>
          <w:rFonts w:eastAsia="Batang"/>
          <w:lang w:val="es-ES_tradnl"/>
        </w:rPr>
        <w:t>, la Agencia de Energía Internacional</w:t>
      </w:r>
      <w:r w:rsidRPr="009D06C9">
        <w:rPr>
          <w:rFonts w:eastAsia="Batang"/>
          <w:position w:val="6"/>
          <w:sz w:val="18"/>
          <w:lang w:val="es-ES_tradnl"/>
        </w:rPr>
        <w:footnoteReference w:id="13"/>
      </w:r>
      <w:r w:rsidRPr="009D06C9">
        <w:rPr>
          <w:rFonts w:eastAsia="Batang"/>
          <w:lang w:val="es-ES_tradnl"/>
        </w:rPr>
        <w:t xml:space="preserve"> y muchos investigadores y empresas de servicios públicos consideran que la red inteligente es una tecnología esencial que mejora la fiabilidad y reduce el impacto medioambiental del consumo eléctrico. El EPRI ha estimado que el abastecimiento eléctrico gestionado por red inteligente podría reducir el consumo de electricidad en 5% a 10% y las emisiones de dióxido de carbono en 13% a 25%</w:t>
      </w:r>
      <w:r w:rsidRPr="009D06C9">
        <w:rPr>
          <w:rFonts w:eastAsia="Batang"/>
          <w:position w:val="6"/>
          <w:sz w:val="18"/>
          <w:lang w:val="es-ES_tradnl"/>
        </w:rPr>
        <w:footnoteReference w:id="14"/>
      </w:r>
      <w:r w:rsidRPr="009D06C9">
        <w:rPr>
          <w:rFonts w:eastAsia="Batang"/>
          <w:lang w:val="es-ES_tradnl"/>
        </w:rPr>
        <w:t>.</w:t>
      </w:r>
    </w:p>
    <w:p w:rsidR="00A87E27" w:rsidRPr="009D06C9" w:rsidRDefault="00A87E27" w:rsidP="00A87E27">
      <w:pPr>
        <w:pStyle w:val="Heading2"/>
        <w:rPr>
          <w:lang w:val="es-ES_tradnl"/>
        </w:rPr>
      </w:pPr>
      <w:bookmarkStart w:id="22" w:name="_Toc421882693"/>
      <w:bookmarkStart w:id="23" w:name="_Toc498004351"/>
      <w:r w:rsidRPr="009D06C9">
        <w:rPr>
          <w:lang w:val="es-ES_tradnl"/>
        </w:rPr>
        <w:t>4.2</w:t>
      </w:r>
      <w:r w:rsidRPr="009D06C9">
        <w:rPr>
          <w:lang w:val="es-ES_tradnl"/>
        </w:rPr>
        <w:tab/>
        <w:t>Integración de recursos energéticos renovables y distribuidos</w:t>
      </w:r>
      <w:bookmarkEnd w:id="22"/>
      <w:bookmarkEnd w:id="23"/>
    </w:p>
    <w:p w:rsidR="00A87E27" w:rsidRPr="009D06C9" w:rsidRDefault="00A87E27" w:rsidP="00A87E27">
      <w:pPr>
        <w:rPr>
          <w:rFonts w:eastAsia="Batang"/>
          <w:color w:val="000000"/>
          <w:lang w:val="es-ES_tradnl"/>
        </w:rPr>
      </w:pPr>
      <w:r w:rsidRPr="009D06C9">
        <w:rPr>
          <w:rFonts w:eastAsia="Batang"/>
          <w:lang w:val="es-ES_tradnl"/>
        </w:rPr>
        <w:t xml:space="preserve">La conectividad y las comunicaciones por red inteligente resuelven el problema del tratamiento de la energía eléctrica autogenerada. Dado el aumento de los costes de la energía y la siempre creciente sensibilidad medioambiental, cada vez más personas y empresas se encargan ellas mismas de generar su propia electricidad a partir de fuentes de energía renovables, como eólicas o solares. En </w:t>
      </w:r>
      <w:r w:rsidRPr="009D06C9">
        <w:rPr>
          <w:rFonts w:eastAsia="Batang"/>
          <w:lang w:val="es-ES_tradnl"/>
        </w:rPr>
        <w:lastRenderedPageBreak/>
        <w:t>consecuencia, a menudo es difícil oneroso o incluso imposible conectar a la red fuentes de energía renovable distribuidas. Además, aun cuando se vuelve a introducir energía renovable en la red, las redes de distribución de todo el mundo no pueden anticipar ni reaccionar a este retorno de electricidad. Las técnicas de medición de la red ayudarán a integrar fuentes de energía renovable dispares en la red. La generación y distribución descentralizada de energía es una de las nuevas capacidades que ofrece la red inteligente.</w:t>
      </w:r>
    </w:p>
    <w:p w:rsidR="00A87E27" w:rsidRPr="009D06C9" w:rsidRDefault="00A87E27" w:rsidP="00A87E27">
      <w:pPr>
        <w:rPr>
          <w:rFonts w:eastAsia="Batang"/>
          <w:lang w:val="es-ES_tradnl"/>
        </w:rPr>
      </w:pPr>
      <w:r w:rsidRPr="009D06C9">
        <w:rPr>
          <w:rFonts w:eastAsia="Batang"/>
          <w:lang w:val="es-ES_tradnl"/>
        </w:rPr>
        <w:t xml:space="preserve">La red inteligente ofrece la solución porque comunica al centro de control cuanta energía se necesita y cuanta se recibe de fuentes autogeneradoras. De este modo, la capacidad de generación principal se puede equilibrar para tener en cuenta el insumo adicional para atender la demanda. Como la red inteligente permite hacerlo en tiempo real, las empresas de servicios públicos pueden evitar los problemas que plantea el carácter impredecible de las fuentes de energía renovable. En un reciente informe sobre el interés de la automatización de la distribución, encargado por la </w:t>
      </w:r>
      <w:r w:rsidRPr="009D06C9">
        <w:rPr>
          <w:rFonts w:eastAsia="MS Mincho"/>
          <w:i/>
          <w:iCs/>
          <w:color w:val="000000"/>
          <w:lang w:val="es-ES_tradnl" w:eastAsia="ja-JP"/>
        </w:rPr>
        <w:t>California Energy Commission</w:t>
      </w:r>
      <w:r w:rsidRPr="009D06C9">
        <w:rPr>
          <w:rFonts w:eastAsia="MS Mincho"/>
          <w:color w:val="000000"/>
          <w:lang w:val="es-ES_tradnl" w:eastAsia="ja-JP"/>
        </w:rPr>
        <w:t xml:space="preserve"> a</w:t>
      </w:r>
      <w:r w:rsidRPr="009D06C9">
        <w:rPr>
          <w:rFonts w:eastAsia="MS Mincho"/>
          <w:lang w:val="es-ES_tradnl" w:eastAsia="ja-JP"/>
        </w:rPr>
        <w:t xml:space="preserve"> </w:t>
      </w:r>
      <w:r w:rsidRPr="009D06C9">
        <w:rPr>
          <w:rFonts w:eastAsia="MS Mincho"/>
          <w:i/>
          <w:iCs/>
          <w:lang w:val="es-ES_tradnl" w:eastAsia="ja-JP"/>
        </w:rPr>
        <w:t>Energy and Environmental Economics, Inc. (E3)</w:t>
      </w:r>
      <w:r w:rsidRPr="009D06C9">
        <w:rPr>
          <w:rFonts w:eastAsia="MS Mincho"/>
          <w:lang w:val="es-ES_tradnl" w:eastAsia="ja-JP"/>
        </w:rPr>
        <w:t xml:space="preserve"> y </w:t>
      </w:r>
      <w:r w:rsidRPr="009D06C9">
        <w:rPr>
          <w:rFonts w:eastAsia="MS Mincho"/>
          <w:i/>
          <w:iCs/>
          <w:lang w:val="es-ES_tradnl" w:eastAsia="ja-JP"/>
        </w:rPr>
        <w:t>EPRI Solutions, Inc.</w:t>
      </w:r>
      <w:r w:rsidRPr="009D06C9">
        <w:rPr>
          <w:rFonts w:eastAsia="MS Mincho"/>
          <w:lang w:val="es-ES_tradnl" w:eastAsia="ja-JP"/>
        </w:rPr>
        <w:t>, se indica que ese tipo de almacenamiento distribuido de electricidad que se puede gestionar en tiempo real (como baterías o vehículos eléctricos con enchufe de alimentación) representaría un interés hasta 90% superior con respecto a un activo similar que no estuviera conectado a una red inteligente</w:t>
      </w:r>
      <w:r w:rsidRPr="009D06C9">
        <w:rPr>
          <w:rFonts w:eastAsia="MS Mincho"/>
          <w:color w:val="000000"/>
          <w:position w:val="6"/>
          <w:sz w:val="18"/>
          <w:lang w:val="es-ES_tradnl" w:eastAsia="ja-JP"/>
        </w:rPr>
        <w:footnoteReference w:id="15"/>
      </w:r>
      <w:r w:rsidRPr="009D06C9">
        <w:rPr>
          <w:rFonts w:eastAsia="MS Mincho"/>
          <w:color w:val="000000"/>
          <w:lang w:val="es-ES_tradnl" w:eastAsia="ja-JP"/>
        </w:rPr>
        <w:t>.</w:t>
      </w:r>
    </w:p>
    <w:p w:rsidR="00A87E27" w:rsidRPr="009D06C9" w:rsidRDefault="00A87E27" w:rsidP="00A87E27">
      <w:pPr>
        <w:pStyle w:val="Heading2"/>
        <w:rPr>
          <w:lang w:val="es-ES_tradnl"/>
        </w:rPr>
      </w:pPr>
      <w:bookmarkStart w:id="24" w:name="_Toc421882694"/>
      <w:bookmarkStart w:id="25" w:name="_Toc498004352"/>
      <w:r w:rsidRPr="009D06C9">
        <w:rPr>
          <w:lang w:val="es-ES_tradnl"/>
        </w:rPr>
        <w:t>4.3</w:t>
      </w:r>
      <w:r w:rsidRPr="009D06C9">
        <w:rPr>
          <w:lang w:val="es-ES_tradnl"/>
        </w:rPr>
        <w:tab/>
      </w:r>
      <w:bookmarkEnd w:id="24"/>
      <w:r w:rsidRPr="009D06C9">
        <w:rPr>
          <w:lang w:val="es-ES_tradnl"/>
        </w:rPr>
        <w:t>Medición inteligente</w:t>
      </w:r>
      <w:bookmarkEnd w:id="25"/>
    </w:p>
    <w:p w:rsidR="00A87E27" w:rsidRPr="009D06C9" w:rsidRDefault="00A87E27" w:rsidP="00A87E27">
      <w:pPr>
        <w:keepNext/>
        <w:keepLines/>
        <w:rPr>
          <w:lang w:val="es-ES_tradnl"/>
        </w:rPr>
      </w:pPr>
      <w:r w:rsidRPr="009D06C9">
        <w:rPr>
          <w:rFonts w:eastAsia="Batang"/>
          <w:lang w:val="es-ES_tradnl"/>
        </w:rPr>
        <w:t>Una aplicación de los sistemas de gestión de red eléctrica es la medición inteligente. Las funciones de medición inteligente son, entre otras</w:t>
      </w:r>
      <w:r w:rsidRPr="009D06C9">
        <w:rPr>
          <w:lang w:val="es-ES_tradnl"/>
        </w:rPr>
        <w:t>:</w:t>
      </w:r>
    </w:p>
    <w:p w:rsidR="00A87E27" w:rsidRPr="009D06C9" w:rsidRDefault="00A87E27" w:rsidP="00A87E27">
      <w:pPr>
        <w:pStyle w:val="enumlev1"/>
        <w:rPr>
          <w:lang w:val="es-ES_tradnl"/>
        </w:rPr>
      </w:pPr>
      <w:r w:rsidRPr="009D06C9">
        <w:rPr>
          <w:rFonts w:eastAsia="Batang"/>
          <w:lang w:val="es-ES_tradnl"/>
        </w:rPr>
        <w:t>–</w:t>
      </w:r>
      <w:r w:rsidRPr="009D06C9">
        <w:rPr>
          <w:rFonts w:eastAsia="Batang"/>
          <w:lang w:val="es-ES_tradnl"/>
        </w:rPr>
        <w:tab/>
      </w:r>
      <w:r w:rsidRPr="009D06C9">
        <w:rPr>
          <w:lang w:val="es-ES_tradnl"/>
        </w:rPr>
        <w:t>Infraestructura de medición avanzada (AMI).</w:t>
      </w:r>
    </w:p>
    <w:p w:rsidR="00A87E27" w:rsidRPr="009D06C9" w:rsidRDefault="00A87E27" w:rsidP="00A87E27">
      <w:pPr>
        <w:pStyle w:val="enumlev1"/>
        <w:rPr>
          <w:lang w:val="es-ES_tradnl"/>
        </w:rPr>
      </w:pPr>
      <w:r w:rsidRPr="009D06C9">
        <w:rPr>
          <w:rFonts w:eastAsia="Batang"/>
          <w:lang w:val="es-ES_tradnl"/>
        </w:rPr>
        <w:t>–</w:t>
      </w:r>
      <w:r w:rsidRPr="009D06C9">
        <w:rPr>
          <w:rFonts w:eastAsia="Batang"/>
          <w:lang w:val="es-ES_tradnl"/>
        </w:rPr>
        <w:tab/>
      </w:r>
      <w:r w:rsidRPr="009D06C9">
        <w:rPr>
          <w:lang w:val="es-ES_tradnl"/>
        </w:rPr>
        <w:t>Gestión de medición automática (AMM</w:t>
      </w:r>
      <w:r w:rsidRPr="009D06C9">
        <w:rPr>
          <w:i/>
          <w:iCs/>
          <w:lang w:val="es-ES_tradnl"/>
        </w:rPr>
        <w:t>, automated meter management</w:t>
      </w:r>
      <w:r w:rsidRPr="009D06C9">
        <w:rPr>
          <w:lang w:val="es-ES_tradnl"/>
        </w:rPr>
        <w:t>).</w:t>
      </w:r>
    </w:p>
    <w:p w:rsidR="00A87E27" w:rsidRPr="009D06C9" w:rsidRDefault="00A87E27" w:rsidP="00A87E27">
      <w:pPr>
        <w:pStyle w:val="enumlev1"/>
        <w:rPr>
          <w:lang w:val="es-ES_tradnl"/>
        </w:rPr>
      </w:pPr>
      <w:r w:rsidRPr="009D06C9">
        <w:rPr>
          <w:rFonts w:eastAsia="Batang"/>
          <w:lang w:val="es-ES_tradnl"/>
        </w:rPr>
        <w:t>–</w:t>
      </w:r>
      <w:r w:rsidRPr="009D06C9">
        <w:rPr>
          <w:rFonts w:eastAsia="Batang"/>
          <w:lang w:val="es-ES_tradnl"/>
        </w:rPr>
        <w:tab/>
      </w:r>
      <w:r w:rsidRPr="009D06C9">
        <w:rPr>
          <w:lang w:val="es-ES_tradnl"/>
        </w:rPr>
        <w:t>Lectura de medición automática (AMR</w:t>
      </w:r>
      <w:r w:rsidRPr="009D06C9">
        <w:rPr>
          <w:i/>
          <w:iCs/>
          <w:lang w:val="es-ES_tradnl"/>
        </w:rPr>
        <w:t>, automated meter reading</w:t>
      </w:r>
      <w:r w:rsidRPr="009D06C9">
        <w:rPr>
          <w:lang w:val="es-ES_tradnl"/>
        </w:rPr>
        <w:t>).</w:t>
      </w:r>
    </w:p>
    <w:p w:rsidR="00A87E27" w:rsidRPr="009D06C9" w:rsidRDefault="00A87E27" w:rsidP="00A87E27">
      <w:pPr>
        <w:rPr>
          <w:rFonts w:eastAsia="Batang"/>
          <w:lang w:val="es-ES_tradnl"/>
        </w:rPr>
      </w:pPr>
      <w:r w:rsidRPr="009D06C9">
        <w:rPr>
          <w:rFonts w:eastAsia="Batang"/>
          <w:lang w:val="es-ES_tradnl"/>
        </w:rPr>
        <w:t>A continuación se da un ejemplo de una lista de bandas utilizadas para sistemas inalámbricos de gestión de red eléctrica en algunas partes del mundo.</w:t>
      </w:r>
    </w:p>
    <w:p w:rsidR="00A87E27" w:rsidRPr="009D06C9" w:rsidRDefault="00A87E27" w:rsidP="00A87E27">
      <w:pPr>
        <w:pStyle w:val="TableNo"/>
        <w:keepLines/>
        <w:rPr>
          <w:rFonts w:eastAsia="Batang"/>
          <w:lang w:val="es-ES_tradnl"/>
        </w:rPr>
      </w:pPr>
      <w:r w:rsidRPr="009D06C9">
        <w:rPr>
          <w:rFonts w:eastAsia="Batang"/>
          <w:lang w:val="es-ES_tradnl"/>
        </w:rPr>
        <w:t>CUADRO 1</w:t>
      </w:r>
    </w:p>
    <w:p w:rsidR="00A87E27" w:rsidRPr="009D06C9" w:rsidRDefault="00A87E27" w:rsidP="00A87E27">
      <w:pPr>
        <w:pStyle w:val="Tabletitle"/>
        <w:keepLines/>
        <w:rPr>
          <w:rFonts w:eastAsia="Batang"/>
          <w:szCs w:val="24"/>
          <w:lang w:val="es-ES_tradnl"/>
        </w:rPr>
      </w:pPr>
      <w:r w:rsidRPr="009D06C9">
        <w:rPr>
          <w:rFonts w:eastAsia="Batang"/>
          <w:szCs w:val="24"/>
          <w:lang w:val="es-ES_tradnl"/>
        </w:rPr>
        <w:t xml:space="preserve">Ejemplo de bandas de frecuencias utilizadas para sistemas </w:t>
      </w:r>
      <w:r w:rsidRPr="009D06C9">
        <w:rPr>
          <w:rFonts w:eastAsia="Batang"/>
          <w:szCs w:val="24"/>
          <w:lang w:val="es-ES_tradnl"/>
        </w:rPr>
        <w:br/>
        <w:t>inalámbricos de gestión de red inteligente</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2721"/>
        <w:gridCol w:w="4876"/>
      </w:tblGrid>
      <w:tr w:rsidR="00A87E27" w:rsidRPr="00D30DBF" w:rsidTr="00090ED8">
        <w:trPr>
          <w:cantSplit/>
          <w:tblHeader/>
          <w:jc w:val="center"/>
        </w:trPr>
        <w:tc>
          <w:tcPr>
            <w:tcW w:w="2041" w:type="dxa"/>
          </w:tcPr>
          <w:p w:rsidR="00A87E27" w:rsidRPr="009D06C9" w:rsidRDefault="00A87E27" w:rsidP="00090ED8">
            <w:pPr>
              <w:pStyle w:val="Tablehead"/>
              <w:keepLines/>
              <w:rPr>
                <w:rFonts w:eastAsia="Batang"/>
                <w:lang w:val="es-ES_tradnl"/>
              </w:rPr>
            </w:pPr>
            <w:r w:rsidRPr="009D06C9">
              <w:rPr>
                <w:rFonts w:eastAsia="Batang"/>
                <w:lang w:val="es-ES_tradnl"/>
              </w:rPr>
              <w:t>Frecuencia</w:t>
            </w:r>
            <w:r w:rsidRPr="009D06C9">
              <w:rPr>
                <w:rFonts w:eastAsia="Batang"/>
                <w:lang w:val="es-ES_tradnl"/>
              </w:rPr>
              <w:br/>
              <w:t>(MHz)</w:t>
            </w:r>
          </w:p>
        </w:tc>
        <w:tc>
          <w:tcPr>
            <w:tcW w:w="2721" w:type="dxa"/>
            <w:vAlign w:val="center"/>
          </w:tcPr>
          <w:p w:rsidR="00A87E27" w:rsidRPr="009D06C9" w:rsidRDefault="00A87E27" w:rsidP="00090ED8">
            <w:pPr>
              <w:pStyle w:val="Tablehead"/>
              <w:keepLines/>
              <w:rPr>
                <w:rFonts w:eastAsia="Batang"/>
                <w:lang w:val="es-ES_tradnl"/>
              </w:rPr>
            </w:pPr>
            <w:r w:rsidRPr="009D06C9">
              <w:rPr>
                <w:rFonts w:eastAsia="Batang"/>
                <w:lang w:val="es-ES_tradnl"/>
              </w:rPr>
              <w:t>Zona/región</w:t>
            </w:r>
          </w:p>
        </w:tc>
        <w:tc>
          <w:tcPr>
            <w:tcW w:w="4876" w:type="dxa"/>
            <w:vAlign w:val="center"/>
          </w:tcPr>
          <w:p w:rsidR="00A87E27" w:rsidRPr="009D06C9" w:rsidRDefault="00A87E27" w:rsidP="00090ED8">
            <w:pPr>
              <w:pStyle w:val="Tablehead"/>
              <w:keepLines/>
              <w:rPr>
                <w:rFonts w:eastAsia="Batang"/>
                <w:lang w:val="es-ES_tradnl"/>
              </w:rPr>
            </w:pPr>
            <w:r w:rsidRPr="009D06C9">
              <w:rPr>
                <w:rFonts w:eastAsia="Batang"/>
                <w:lang w:val="es-ES_tradnl"/>
              </w:rPr>
              <w:t>Comentarios sobre la utilización real</w:t>
            </w:r>
          </w:p>
        </w:tc>
      </w:tr>
      <w:tr w:rsidR="00A87E27" w:rsidRPr="009D06C9" w:rsidTr="00090ED8">
        <w:trPr>
          <w:cantSplit/>
          <w:jc w:val="center"/>
        </w:trPr>
        <w:tc>
          <w:tcPr>
            <w:tcW w:w="2041" w:type="dxa"/>
            <w:tcBorders>
              <w:top w:val="single" w:sz="4" w:space="0" w:color="auto"/>
              <w:left w:val="single" w:sz="4" w:space="0" w:color="auto"/>
              <w:bottom w:val="single" w:sz="4" w:space="0" w:color="auto"/>
              <w:right w:val="single" w:sz="4" w:space="0" w:color="auto"/>
            </w:tcBorders>
          </w:tcPr>
          <w:p w:rsidR="00A87E27" w:rsidRPr="009D06C9" w:rsidRDefault="00A87E27" w:rsidP="00090ED8">
            <w:pPr>
              <w:pStyle w:val="Tabletext"/>
              <w:keepNext/>
              <w:keepLines/>
              <w:jc w:val="left"/>
              <w:rPr>
                <w:rFonts w:eastAsia="Batang"/>
                <w:lang w:val="es-ES_tradnl"/>
              </w:rPr>
            </w:pPr>
            <w:r w:rsidRPr="009D06C9">
              <w:rPr>
                <w:rFonts w:eastAsia="Batang"/>
                <w:lang w:val="es-ES_tradnl"/>
              </w:rPr>
              <w:t xml:space="preserve">40-230 (parte de), </w:t>
            </w:r>
            <w:r w:rsidRPr="009D06C9">
              <w:rPr>
                <w:rFonts w:eastAsia="Batang"/>
                <w:lang w:val="es-ES_tradnl"/>
              </w:rPr>
              <w:br/>
              <w:t>470-694/698</w:t>
            </w:r>
          </w:p>
        </w:tc>
        <w:tc>
          <w:tcPr>
            <w:tcW w:w="2721" w:type="dxa"/>
            <w:tcBorders>
              <w:top w:val="single" w:sz="4" w:space="0" w:color="auto"/>
              <w:left w:val="single" w:sz="4" w:space="0" w:color="auto"/>
              <w:bottom w:val="single" w:sz="4" w:space="0" w:color="auto"/>
              <w:right w:val="single" w:sz="4" w:space="0" w:color="auto"/>
            </w:tcBorders>
          </w:tcPr>
          <w:p w:rsidR="00A87E27" w:rsidRPr="009D06C9" w:rsidRDefault="00A87E27" w:rsidP="00090ED8">
            <w:pPr>
              <w:pStyle w:val="Tabletext"/>
              <w:keepNext/>
              <w:keepLines/>
              <w:jc w:val="left"/>
              <w:rPr>
                <w:rFonts w:eastAsia="Batang"/>
                <w:lang w:val="es-ES_tradnl"/>
              </w:rPr>
            </w:pPr>
            <w:r w:rsidRPr="009D06C9">
              <w:rPr>
                <w:rFonts w:eastAsia="Batang"/>
                <w:lang w:val="es-ES_tradnl"/>
              </w:rPr>
              <w:t>Norteamérica, Reino Unido, Europa, África y Japón</w:t>
            </w:r>
          </w:p>
        </w:tc>
        <w:tc>
          <w:tcPr>
            <w:tcW w:w="4876" w:type="dxa"/>
            <w:tcBorders>
              <w:top w:val="single" w:sz="4" w:space="0" w:color="auto"/>
              <w:left w:val="single" w:sz="4" w:space="0" w:color="auto"/>
              <w:bottom w:val="single" w:sz="4" w:space="0" w:color="auto"/>
              <w:right w:val="single" w:sz="4" w:space="0" w:color="auto"/>
            </w:tcBorders>
          </w:tcPr>
          <w:p w:rsidR="00A87E27" w:rsidRPr="009D06C9" w:rsidRDefault="00A87E27" w:rsidP="00090ED8">
            <w:pPr>
              <w:pStyle w:val="Tabletext"/>
              <w:keepNext/>
              <w:keepLines/>
              <w:jc w:val="left"/>
              <w:rPr>
                <w:rFonts w:eastAsia="Batang"/>
                <w:lang w:val="es-ES_tradnl"/>
              </w:rPr>
            </w:pPr>
            <w:r w:rsidRPr="009D06C9">
              <w:rPr>
                <w:rFonts w:eastAsia="Batang"/>
                <w:lang w:val="es-ES_tradnl"/>
              </w:rPr>
              <w:t>Espacios en blanco de TV, legislación terminada en EEUU y el Reino Unido. Legislación en curso en Europa</w:t>
            </w:r>
          </w:p>
        </w:tc>
      </w:tr>
      <w:tr w:rsidR="00A87E27" w:rsidRPr="009D06C9" w:rsidTr="00090ED8">
        <w:trPr>
          <w:cantSplit/>
          <w:jc w:val="center"/>
        </w:trPr>
        <w:tc>
          <w:tcPr>
            <w:tcW w:w="2041" w:type="dxa"/>
          </w:tcPr>
          <w:p w:rsidR="00A87E27" w:rsidRPr="009D06C9" w:rsidRDefault="00A87E27" w:rsidP="00090ED8">
            <w:pPr>
              <w:pStyle w:val="Tabletext"/>
              <w:keepNext/>
              <w:keepLines/>
              <w:jc w:val="left"/>
              <w:rPr>
                <w:rFonts w:eastAsia="Batang"/>
                <w:lang w:val="es-ES_tradnl"/>
              </w:rPr>
            </w:pPr>
            <w:r w:rsidRPr="009D06C9">
              <w:rPr>
                <w:rFonts w:eastAsia="Batang"/>
                <w:lang w:val="es-ES_tradnl"/>
              </w:rPr>
              <w:t>169,4-169,8125</w:t>
            </w:r>
          </w:p>
        </w:tc>
        <w:tc>
          <w:tcPr>
            <w:tcW w:w="2721" w:type="dxa"/>
          </w:tcPr>
          <w:p w:rsidR="00A87E27" w:rsidRPr="009D06C9" w:rsidRDefault="00A87E27" w:rsidP="00090ED8">
            <w:pPr>
              <w:pStyle w:val="Tabletext"/>
              <w:keepNext/>
              <w:keepLines/>
              <w:jc w:val="left"/>
              <w:rPr>
                <w:rFonts w:eastAsia="Batang"/>
                <w:lang w:val="es-ES_tradnl"/>
              </w:rPr>
            </w:pPr>
            <w:r w:rsidRPr="009D06C9">
              <w:rPr>
                <w:rFonts w:eastAsia="Batang"/>
                <w:lang w:val="es-ES_tradnl"/>
              </w:rPr>
              <w:t>Europa</w:t>
            </w:r>
          </w:p>
        </w:tc>
        <w:tc>
          <w:tcPr>
            <w:tcW w:w="4876" w:type="dxa"/>
          </w:tcPr>
          <w:p w:rsidR="00A87E27" w:rsidRPr="009D06C9" w:rsidRDefault="00A87E27" w:rsidP="00090ED8">
            <w:pPr>
              <w:pStyle w:val="Tabletext"/>
              <w:keepNext/>
              <w:keepLines/>
              <w:jc w:val="left"/>
              <w:rPr>
                <w:rFonts w:eastAsia="Batang"/>
                <w:caps/>
                <w:lang w:val="es-ES_tradnl"/>
              </w:rPr>
            </w:pPr>
            <w:r w:rsidRPr="009D06C9">
              <w:rPr>
                <w:rFonts w:eastAsia="Batang"/>
                <w:lang w:val="es-ES_tradnl"/>
              </w:rPr>
              <w:t>MBus inalámbrico</w:t>
            </w:r>
          </w:p>
        </w:tc>
      </w:tr>
      <w:tr w:rsidR="00A87E27" w:rsidRPr="00D30DBF" w:rsidTr="00090ED8">
        <w:trPr>
          <w:cantSplit/>
          <w:jc w:val="center"/>
        </w:trPr>
        <w:tc>
          <w:tcPr>
            <w:tcW w:w="2041" w:type="dxa"/>
          </w:tcPr>
          <w:p w:rsidR="00A87E27" w:rsidRPr="009D06C9" w:rsidRDefault="00A87E27" w:rsidP="00090ED8">
            <w:pPr>
              <w:pStyle w:val="Tabletext"/>
              <w:keepNext/>
              <w:keepLines/>
              <w:jc w:val="left"/>
              <w:rPr>
                <w:rFonts w:eastAsia="Batang"/>
                <w:lang w:val="es-ES_tradnl"/>
              </w:rPr>
            </w:pPr>
            <w:r w:rsidRPr="009D06C9">
              <w:rPr>
                <w:rFonts w:eastAsia="Batang"/>
                <w:lang w:val="es-ES_tradnl"/>
              </w:rPr>
              <w:t>220-222</w:t>
            </w:r>
          </w:p>
        </w:tc>
        <w:tc>
          <w:tcPr>
            <w:tcW w:w="2721" w:type="dxa"/>
          </w:tcPr>
          <w:p w:rsidR="00A87E27" w:rsidRPr="009D06C9" w:rsidRDefault="00A87E27" w:rsidP="00090ED8">
            <w:pPr>
              <w:pStyle w:val="Tabletext"/>
              <w:keepNext/>
              <w:keepLines/>
              <w:jc w:val="left"/>
              <w:rPr>
                <w:rFonts w:eastAsia="Batang"/>
                <w:lang w:val="es-ES_tradnl"/>
              </w:rPr>
            </w:pPr>
            <w:r w:rsidRPr="009D06C9">
              <w:rPr>
                <w:rFonts w:eastAsia="Batang"/>
                <w:lang w:val="es-ES_tradnl"/>
              </w:rPr>
              <w:t>Algunas partes de la Región 2 de la UIT</w:t>
            </w:r>
          </w:p>
        </w:tc>
        <w:tc>
          <w:tcPr>
            <w:tcW w:w="4876" w:type="dxa"/>
          </w:tcPr>
          <w:p w:rsidR="00A87E27" w:rsidRPr="009D06C9" w:rsidRDefault="00A87E27" w:rsidP="00090ED8">
            <w:pPr>
              <w:pStyle w:val="Tabletext"/>
              <w:keepNext/>
              <w:keepLines/>
              <w:jc w:val="left"/>
              <w:rPr>
                <w:rFonts w:eastAsia="Batang"/>
                <w:lang w:val="es-ES_tradnl"/>
              </w:rPr>
            </w:pPr>
            <w:r w:rsidRPr="009D06C9">
              <w:rPr>
                <w:rFonts w:eastAsia="Batang"/>
                <w:lang w:val="es-ES_tradnl"/>
              </w:rPr>
              <w:t>En la Región 1 de la UIT + Irán, esta gama forma parte de la banda utilizada para radiodifusión terrenal conforme al Acuerdo GE06, no utilizada para AMR/AMI</w:t>
            </w:r>
          </w:p>
        </w:tc>
      </w:tr>
      <w:tr w:rsidR="00A87E27" w:rsidRPr="009D06C9" w:rsidTr="00090ED8">
        <w:trPr>
          <w:cantSplit/>
          <w:jc w:val="center"/>
        </w:trPr>
        <w:tc>
          <w:tcPr>
            <w:tcW w:w="2041" w:type="dxa"/>
          </w:tcPr>
          <w:p w:rsidR="00A87E27" w:rsidRPr="009D06C9" w:rsidRDefault="00A87E27" w:rsidP="00090ED8">
            <w:pPr>
              <w:pStyle w:val="Tabletext"/>
              <w:keepNext/>
              <w:keepLines/>
              <w:jc w:val="left"/>
              <w:rPr>
                <w:rFonts w:eastAsia="Batang"/>
                <w:lang w:val="es-ES_tradnl"/>
              </w:rPr>
            </w:pPr>
            <w:r w:rsidRPr="009D06C9">
              <w:rPr>
                <w:rFonts w:eastAsia="Batang"/>
                <w:lang w:val="es-ES_tradnl"/>
              </w:rPr>
              <w:t>223-235</w:t>
            </w:r>
          </w:p>
        </w:tc>
        <w:tc>
          <w:tcPr>
            <w:tcW w:w="2721" w:type="dxa"/>
          </w:tcPr>
          <w:p w:rsidR="00A87E27" w:rsidRPr="009D06C9" w:rsidRDefault="00A87E27" w:rsidP="00090ED8">
            <w:pPr>
              <w:pStyle w:val="Tabletext"/>
              <w:keepNext/>
              <w:keepLines/>
              <w:jc w:val="left"/>
              <w:rPr>
                <w:rFonts w:eastAsia="Batang"/>
                <w:lang w:val="es-ES_tradnl"/>
              </w:rPr>
            </w:pPr>
            <w:r w:rsidRPr="009D06C9">
              <w:rPr>
                <w:rFonts w:eastAsia="Batang"/>
                <w:lang w:val="es-ES_tradnl"/>
              </w:rPr>
              <w:t>China</w:t>
            </w:r>
          </w:p>
        </w:tc>
        <w:tc>
          <w:tcPr>
            <w:tcW w:w="4876" w:type="dxa"/>
          </w:tcPr>
          <w:p w:rsidR="00A87E27" w:rsidRPr="009D06C9" w:rsidRDefault="00A87E27" w:rsidP="00090ED8">
            <w:pPr>
              <w:pStyle w:val="Tabletext"/>
              <w:keepNext/>
              <w:keepLines/>
              <w:jc w:val="left"/>
              <w:rPr>
                <w:lang w:val="es-ES_tradnl" w:eastAsia="zh-CN"/>
              </w:rPr>
            </w:pPr>
            <w:r w:rsidRPr="009D06C9">
              <w:rPr>
                <w:rFonts w:eastAsia="Batang"/>
                <w:lang w:val="es-ES_tradnl"/>
              </w:rPr>
              <w:t>Banda con licencia</w:t>
            </w:r>
          </w:p>
        </w:tc>
      </w:tr>
      <w:tr w:rsidR="00A87E27" w:rsidRPr="009D06C9" w:rsidTr="00090ED8">
        <w:trPr>
          <w:cantSplit/>
          <w:jc w:val="center"/>
        </w:trPr>
        <w:tc>
          <w:tcPr>
            <w:tcW w:w="2041" w:type="dxa"/>
          </w:tcPr>
          <w:p w:rsidR="00A87E27" w:rsidRPr="009D06C9" w:rsidRDefault="00A87E27" w:rsidP="00090ED8">
            <w:pPr>
              <w:pStyle w:val="Tabletext"/>
              <w:jc w:val="left"/>
              <w:rPr>
                <w:rFonts w:eastAsia="Batang"/>
                <w:lang w:val="es-ES_tradnl"/>
              </w:rPr>
            </w:pPr>
            <w:r w:rsidRPr="009D06C9">
              <w:rPr>
                <w:rFonts w:eastAsia="Batang"/>
                <w:lang w:val="es-ES_tradnl"/>
              </w:rPr>
              <w:t>410-430</w:t>
            </w:r>
          </w:p>
        </w:tc>
        <w:tc>
          <w:tcPr>
            <w:tcW w:w="2721" w:type="dxa"/>
          </w:tcPr>
          <w:p w:rsidR="00A87E27" w:rsidRPr="009D06C9" w:rsidRDefault="00A87E27" w:rsidP="00090ED8">
            <w:pPr>
              <w:pStyle w:val="Tabletext"/>
              <w:jc w:val="left"/>
              <w:rPr>
                <w:rFonts w:eastAsia="Batang"/>
                <w:lang w:val="es-ES_tradnl"/>
              </w:rPr>
            </w:pPr>
            <w:r w:rsidRPr="009D06C9">
              <w:rPr>
                <w:rFonts w:eastAsia="Batang"/>
                <w:lang w:val="es-ES_tradnl"/>
              </w:rPr>
              <w:t>Partes de Europa</w:t>
            </w:r>
          </w:p>
        </w:tc>
        <w:tc>
          <w:tcPr>
            <w:tcW w:w="4876" w:type="dxa"/>
          </w:tcPr>
          <w:p w:rsidR="00A87E27" w:rsidRPr="009D06C9" w:rsidRDefault="00A87E27" w:rsidP="00090ED8">
            <w:pPr>
              <w:pStyle w:val="Tabletext"/>
              <w:jc w:val="left"/>
              <w:rPr>
                <w:rFonts w:eastAsia="Batang"/>
                <w:lang w:val="es-ES_tradnl"/>
              </w:rPr>
            </w:pPr>
          </w:p>
        </w:tc>
      </w:tr>
      <w:tr w:rsidR="00A87E27" w:rsidRPr="009D06C9" w:rsidTr="00090ED8">
        <w:trPr>
          <w:cantSplit/>
          <w:jc w:val="center"/>
        </w:trPr>
        <w:tc>
          <w:tcPr>
            <w:tcW w:w="2041" w:type="dxa"/>
          </w:tcPr>
          <w:p w:rsidR="00A87E27" w:rsidRPr="009D06C9" w:rsidRDefault="00A87E27" w:rsidP="00090ED8">
            <w:pPr>
              <w:pStyle w:val="Tabletext"/>
              <w:jc w:val="left"/>
              <w:rPr>
                <w:rFonts w:eastAsia="Batang"/>
                <w:lang w:val="es-ES_tradnl"/>
              </w:rPr>
            </w:pPr>
            <w:r w:rsidRPr="009D06C9">
              <w:rPr>
                <w:rFonts w:eastAsia="Batang"/>
                <w:lang w:val="es-ES_tradnl"/>
              </w:rPr>
              <w:t>450-470</w:t>
            </w:r>
          </w:p>
        </w:tc>
        <w:tc>
          <w:tcPr>
            <w:tcW w:w="2721" w:type="dxa"/>
          </w:tcPr>
          <w:p w:rsidR="00A87E27" w:rsidRPr="009D06C9" w:rsidRDefault="00A87E27" w:rsidP="00090ED8">
            <w:pPr>
              <w:pStyle w:val="Tabletext"/>
              <w:jc w:val="left"/>
              <w:rPr>
                <w:rFonts w:eastAsia="Batang"/>
                <w:lang w:val="es-ES_tradnl"/>
              </w:rPr>
            </w:pPr>
            <w:r w:rsidRPr="009D06C9">
              <w:rPr>
                <w:rFonts w:eastAsia="Batang"/>
                <w:lang w:val="es-ES_tradnl"/>
              </w:rPr>
              <w:t>Norteamérica, partes de Europa</w:t>
            </w:r>
          </w:p>
        </w:tc>
        <w:tc>
          <w:tcPr>
            <w:tcW w:w="4876" w:type="dxa"/>
          </w:tcPr>
          <w:p w:rsidR="00A87E27" w:rsidRPr="009D06C9" w:rsidRDefault="00A87E27" w:rsidP="00090ED8">
            <w:pPr>
              <w:pStyle w:val="Tabletext"/>
              <w:jc w:val="left"/>
              <w:rPr>
                <w:rFonts w:eastAsia="Batang"/>
                <w:lang w:val="es-ES_tradnl"/>
              </w:rPr>
            </w:pPr>
          </w:p>
        </w:tc>
      </w:tr>
    </w:tbl>
    <w:p w:rsidR="00A87E27" w:rsidRPr="009D06C9" w:rsidRDefault="00A87E27" w:rsidP="00A87E27">
      <w:pPr>
        <w:pStyle w:val="TableNo"/>
        <w:rPr>
          <w:rFonts w:eastAsia="Batang"/>
          <w:lang w:val="es-ES_tradnl"/>
        </w:rPr>
      </w:pPr>
      <w:r w:rsidRPr="009D06C9">
        <w:rPr>
          <w:rFonts w:eastAsia="Batang"/>
          <w:lang w:val="es-ES_tradnl"/>
        </w:rPr>
        <w:lastRenderedPageBreak/>
        <w:t>CUADRO 1 (</w:t>
      </w:r>
      <w:r w:rsidRPr="009D06C9">
        <w:rPr>
          <w:rFonts w:eastAsia="Batang"/>
          <w:i/>
          <w:iCs/>
          <w:lang w:val="es-ES_tradnl"/>
        </w:rPr>
        <w:t>fin</w:t>
      </w:r>
      <w:r w:rsidRPr="009D06C9">
        <w:rPr>
          <w:rFonts w:eastAsia="Batang"/>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2721"/>
        <w:gridCol w:w="4876"/>
      </w:tblGrid>
      <w:tr w:rsidR="00A87E27" w:rsidRPr="00D30DBF" w:rsidTr="00090ED8">
        <w:trPr>
          <w:cantSplit/>
          <w:tblHeader/>
          <w:jc w:val="center"/>
        </w:trPr>
        <w:tc>
          <w:tcPr>
            <w:tcW w:w="2041" w:type="dxa"/>
          </w:tcPr>
          <w:p w:rsidR="00A87E27" w:rsidRPr="009D06C9" w:rsidRDefault="00A87E27" w:rsidP="00090ED8">
            <w:pPr>
              <w:pStyle w:val="Tablehead"/>
              <w:keepLines/>
              <w:rPr>
                <w:rFonts w:eastAsia="Batang"/>
                <w:lang w:val="es-ES_tradnl"/>
              </w:rPr>
            </w:pPr>
            <w:r w:rsidRPr="009D06C9">
              <w:rPr>
                <w:rFonts w:eastAsia="Batang"/>
                <w:lang w:val="es-ES_tradnl"/>
              </w:rPr>
              <w:t>Frecuencia</w:t>
            </w:r>
            <w:r w:rsidRPr="009D06C9">
              <w:rPr>
                <w:rFonts w:eastAsia="Batang"/>
                <w:lang w:val="es-ES_tradnl"/>
              </w:rPr>
              <w:br/>
              <w:t>(MHz)</w:t>
            </w:r>
          </w:p>
        </w:tc>
        <w:tc>
          <w:tcPr>
            <w:tcW w:w="2721" w:type="dxa"/>
            <w:vAlign w:val="center"/>
          </w:tcPr>
          <w:p w:rsidR="00A87E27" w:rsidRPr="009D06C9" w:rsidRDefault="00A87E27" w:rsidP="00090ED8">
            <w:pPr>
              <w:pStyle w:val="Tablehead"/>
              <w:keepLines/>
              <w:rPr>
                <w:rFonts w:eastAsia="Batang"/>
                <w:lang w:val="es-ES_tradnl"/>
              </w:rPr>
            </w:pPr>
            <w:r w:rsidRPr="009D06C9">
              <w:rPr>
                <w:rFonts w:eastAsia="Batang"/>
                <w:lang w:val="es-ES_tradnl"/>
              </w:rPr>
              <w:t>Zona/región</w:t>
            </w:r>
          </w:p>
        </w:tc>
        <w:tc>
          <w:tcPr>
            <w:tcW w:w="4876" w:type="dxa"/>
            <w:vAlign w:val="center"/>
          </w:tcPr>
          <w:p w:rsidR="00A87E27" w:rsidRPr="009D06C9" w:rsidRDefault="00A87E27" w:rsidP="00090ED8">
            <w:pPr>
              <w:pStyle w:val="Tablehead"/>
              <w:keepLines/>
              <w:rPr>
                <w:rFonts w:eastAsia="Batang"/>
                <w:lang w:val="es-ES_tradnl"/>
              </w:rPr>
            </w:pPr>
            <w:r w:rsidRPr="009D06C9">
              <w:rPr>
                <w:rFonts w:eastAsia="Batang"/>
                <w:lang w:val="es-ES_tradnl"/>
              </w:rPr>
              <w:t>Comentarios sobre la utilización real</w:t>
            </w:r>
          </w:p>
        </w:tc>
      </w:tr>
      <w:tr w:rsidR="00A87E27" w:rsidRPr="009D06C9" w:rsidTr="00090ED8">
        <w:trPr>
          <w:cantSplit/>
          <w:jc w:val="center"/>
        </w:trPr>
        <w:tc>
          <w:tcPr>
            <w:tcW w:w="2041" w:type="dxa"/>
          </w:tcPr>
          <w:p w:rsidR="00A87E27" w:rsidRPr="009D06C9" w:rsidRDefault="00A87E27" w:rsidP="00090ED8">
            <w:pPr>
              <w:pStyle w:val="Tabletext"/>
              <w:jc w:val="left"/>
              <w:rPr>
                <w:rFonts w:eastAsia="Batang"/>
                <w:lang w:val="es-ES_tradnl"/>
              </w:rPr>
            </w:pPr>
            <w:r w:rsidRPr="009D06C9">
              <w:rPr>
                <w:rFonts w:eastAsia="Batang"/>
                <w:lang w:val="es-ES_tradnl"/>
              </w:rPr>
              <w:t>470-510</w:t>
            </w:r>
          </w:p>
        </w:tc>
        <w:tc>
          <w:tcPr>
            <w:tcW w:w="2721" w:type="dxa"/>
          </w:tcPr>
          <w:p w:rsidR="00A87E27" w:rsidRPr="009D06C9" w:rsidRDefault="00A87E27" w:rsidP="00090ED8">
            <w:pPr>
              <w:pStyle w:val="Tabletext"/>
              <w:jc w:val="left"/>
              <w:rPr>
                <w:rFonts w:eastAsia="Batang"/>
                <w:lang w:val="es-ES_tradnl"/>
              </w:rPr>
            </w:pPr>
            <w:r w:rsidRPr="009D06C9">
              <w:rPr>
                <w:rFonts w:eastAsia="Batang"/>
                <w:lang w:val="es-ES_tradnl"/>
              </w:rPr>
              <w:t>China</w:t>
            </w:r>
          </w:p>
        </w:tc>
        <w:tc>
          <w:tcPr>
            <w:tcW w:w="4876" w:type="dxa"/>
          </w:tcPr>
          <w:p w:rsidR="00A87E27" w:rsidRPr="009D06C9" w:rsidRDefault="00A87E27" w:rsidP="00090ED8">
            <w:pPr>
              <w:pStyle w:val="Tabletext"/>
              <w:jc w:val="left"/>
              <w:rPr>
                <w:rFonts w:eastAsia="Batang"/>
                <w:lang w:val="es-ES_tradnl"/>
              </w:rPr>
            </w:pPr>
            <w:r w:rsidRPr="009D06C9">
              <w:rPr>
                <w:rFonts w:eastAsia="Batang"/>
                <w:lang w:val="es-ES_tradnl"/>
              </w:rPr>
              <w:t>Banda de dispositivos de corto alcance (SRD,</w:t>
            </w:r>
            <w:r w:rsidRPr="009D06C9">
              <w:rPr>
                <w:rFonts w:eastAsia="Batang"/>
                <w:i/>
                <w:iCs/>
                <w:lang w:val="es-ES_tradnl"/>
              </w:rPr>
              <w:t xml:space="preserve"> short range device</w:t>
            </w:r>
            <w:r w:rsidRPr="009D06C9">
              <w:rPr>
                <w:rFonts w:eastAsia="Batang"/>
                <w:lang w:val="es-ES_tradnl"/>
              </w:rPr>
              <w:t>)</w:t>
            </w:r>
          </w:p>
        </w:tc>
      </w:tr>
      <w:tr w:rsidR="00A87E27" w:rsidRPr="00D30DBF" w:rsidTr="00090ED8">
        <w:trPr>
          <w:cantSplit/>
          <w:jc w:val="center"/>
        </w:trPr>
        <w:tc>
          <w:tcPr>
            <w:tcW w:w="2041" w:type="dxa"/>
          </w:tcPr>
          <w:p w:rsidR="00A87E27" w:rsidRPr="009D06C9" w:rsidRDefault="00A87E27" w:rsidP="00090ED8">
            <w:pPr>
              <w:pStyle w:val="Tabletext"/>
              <w:jc w:val="left"/>
              <w:rPr>
                <w:rFonts w:eastAsia="Batang"/>
                <w:lang w:val="es-ES_tradnl"/>
              </w:rPr>
            </w:pPr>
            <w:r w:rsidRPr="009D06C9">
              <w:rPr>
                <w:rFonts w:eastAsia="Batang"/>
                <w:lang w:val="es-ES_tradnl"/>
              </w:rPr>
              <w:t>470-698</w:t>
            </w:r>
          </w:p>
        </w:tc>
        <w:tc>
          <w:tcPr>
            <w:tcW w:w="2721" w:type="dxa"/>
          </w:tcPr>
          <w:p w:rsidR="00A87E27" w:rsidRPr="009D06C9" w:rsidRDefault="00A87E27" w:rsidP="00090ED8">
            <w:pPr>
              <w:pStyle w:val="Tabletext"/>
              <w:jc w:val="left"/>
              <w:rPr>
                <w:rFonts w:eastAsia="Batang"/>
                <w:lang w:val="es-ES_tradnl"/>
              </w:rPr>
            </w:pPr>
            <w:r w:rsidRPr="009D06C9">
              <w:rPr>
                <w:rFonts w:eastAsia="Batang"/>
                <w:lang w:val="es-ES_tradnl"/>
              </w:rPr>
              <w:t>Norteamérica y Europa</w:t>
            </w:r>
          </w:p>
        </w:tc>
        <w:tc>
          <w:tcPr>
            <w:tcW w:w="4876" w:type="dxa"/>
          </w:tcPr>
          <w:p w:rsidR="00A87E27" w:rsidRPr="009D06C9" w:rsidRDefault="00A87E27" w:rsidP="00090ED8">
            <w:pPr>
              <w:pStyle w:val="Tabletext"/>
              <w:jc w:val="left"/>
              <w:rPr>
                <w:rFonts w:eastAsia="Batang"/>
                <w:lang w:val="es-ES_tradnl"/>
              </w:rPr>
            </w:pPr>
            <w:r w:rsidRPr="009D06C9">
              <w:rPr>
                <w:rFonts w:eastAsia="Batang"/>
                <w:lang w:val="es-ES_tradnl"/>
              </w:rPr>
              <w:t>En la Región 1 de la UIT + Irán, esta gama forma parte de la banda utilizada para radiodifusión terrenal conforme al Acuerdo GE06, no utilizada para AMR/AMI</w:t>
            </w:r>
          </w:p>
        </w:tc>
      </w:tr>
      <w:tr w:rsidR="00A87E27" w:rsidRPr="009D06C9" w:rsidTr="00090ED8">
        <w:trPr>
          <w:cantSplit/>
          <w:jc w:val="center"/>
        </w:trPr>
        <w:tc>
          <w:tcPr>
            <w:tcW w:w="2041" w:type="dxa"/>
          </w:tcPr>
          <w:p w:rsidR="00A87E27" w:rsidRPr="009D06C9" w:rsidRDefault="00A87E27" w:rsidP="00090ED8">
            <w:pPr>
              <w:pStyle w:val="Tabletext"/>
              <w:jc w:val="left"/>
              <w:rPr>
                <w:rFonts w:eastAsia="Batang"/>
                <w:lang w:val="es-ES_tradnl"/>
              </w:rPr>
            </w:pPr>
            <w:r w:rsidRPr="009D06C9">
              <w:rPr>
                <w:rFonts w:eastAsia="Batang"/>
                <w:lang w:val="es-ES_tradnl"/>
              </w:rPr>
              <w:t>779-787</w:t>
            </w:r>
          </w:p>
        </w:tc>
        <w:tc>
          <w:tcPr>
            <w:tcW w:w="2721" w:type="dxa"/>
          </w:tcPr>
          <w:p w:rsidR="00A87E27" w:rsidRPr="009D06C9" w:rsidDel="002B1A3D" w:rsidRDefault="00A87E27" w:rsidP="00090ED8">
            <w:pPr>
              <w:pStyle w:val="Tabletext"/>
              <w:jc w:val="left"/>
              <w:rPr>
                <w:rFonts w:eastAsia="Batang"/>
                <w:lang w:val="es-ES_tradnl"/>
              </w:rPr>
            </w:pPr>
            <w:r w:rsidRPr="009D06C9">
              <w:rPr>
                <w:rFonts w:eastAsia="Batang"/>
                <w:lang w:val="es-ES_tradnl"/>
              </w:rPr>
              <w:t>China</w:t>
            </w:r>
          </w:p>
        </w:tc>
        <w:tc>
          <w:tcPr>
            <w:tcW w:w="4876" w:type="dxa"/>
          </w:tcPr>
          <w:p w:rsidR="00A87E27" w:rsidRPr="009D06C9" w:rsidRDefault="00A87E27" w:rsidP="00090ED8">
            <w:pPr>
              <w:pStyle w:val="Tabletext"/>
              <w:jc w:val="left"/>
              <w:rPr>
                <w:rFonts w:eastAsia="Batang"/>
                <w:lang w:val="es-ES_tradnl"/>
              </w:rPr>
            </w:pPr>
          </w:p>
        </w:tc>
      </w:tr>
      <w:tr w:rsidR="00A87E27" w:rsidRPr="00D30DBF" w:rsidTr="00090ED8">
        <w:trPr>
          <w:cantSplit/>
          <w:jc w:val="center"/>
        </w:trPr>
        <w:tc>
          <w:tcPr>
            <w:tcW w:w="2041" w:type="dxa"/>
          </w:tcPr>
          <w:p w:rsidR="00A87E27" w:rsidRPr="009D06C9" w:rsidRDefault="00A87E27" w:rsidP="00090ED8">
            <w:pPr>
              <w:pStyle w:val="Tabletext"/>
              <w:jc w:val="left"/>
              <w:rPr>
                <w:rFonts w:eastAsia="Batang"/>
                <w:lang w:val="es-ES_tradnl"/>
              </w:rPr>
            </w:pPr>
            <w:r w:rsidRPr="009D06C9">
              <w:rPr>
                <w:rFonts w:eastAsia="Batang"/>
                <w:lang w:val="es-ES_tradnl"/>
              </w:rPr>
              <w:t>868-870</w:t>
            </w:r>
          </w:p>
        </w:tc>
        <w:tc>
          <w:tcPr>
            <w:tcW w:w="2721" w:type="dxa"/>
          </w:tcPr>
          <w:p w:rsidR="00A87E27" w:rsidRPr="009D06C9" w:rsidRDefault="00A87E27" w:rsidP="00090ED8">
            <w:pPr>
              <w:pStyle w:val="Tabletext"/>
              <w:jc w:val="left"/>
              <w:rPr>
                <w:rFonts w:eastAsia="Batang"/>
                <w:lang w:val="es-ES_tradnl"/>
              </w:rPr>
            </w:pPr>
            <w:r w:rsidRPr="009D06C9">
              <w:rPr>
                <w:rFonts w:eastAsia="Batang"/>
                <w:lang w:val="es-ES_tradnl"/>
              </w:rPr>
              <w:t>Europa</w:t>
            </w:r>
          </w:p>
        </w:tc>
        <w:tc>
          <w:tcPr>
            <w:tcW w:w="4876" w:type="dxa"/>
          </w:tcPr>
          <w:p w:rsidR="00A87E27" w:rsidRPr="009D06C9" w:rsidRDefault="00A87E27" w:rsidP="00090ED8">
            <w:pPr>
              <w:pStyle w:val="Tabletext"/>
              <w:jc w:val="left"/>
              <w:rPr>
                <w:rFonts w:eastAsia="Batang"/>
                <w:lang w:val="es-ES_tradnl"/>
              </w:rPr>
            </w:pPr>
            <w:r w:rsidRPr="009D06C9">
              <w:rPr>
                <w:rFonts w:eastAsia="Batang"/>
                <w:lang w:val="es-ES_tradnl"/>
              </w:rPr>
              <w:t xml:space="preserve">Recomendación 70-03 del Comité Europeo de Radiocomunicaciones (ERC) </w:t>
            </w:r>
          </w:p>
        </w:tc>
      </w:tr>
      <w:tr w:rsidR="00A87E27" w:rsidRPr="009D06C9" w:rsidTr="00090ED8">
        <w:trPr>
          <w:cantSplit/>
          <w:jc w:val="center"/>
        </w:trPr>
        <w:tc>
          <w:tcPr>
            <w:tcW w:w="2041" w:type="dxa"/>
          </w:tcPr>
          <w:p w:rsidR="00A87E27" w:rsidRPr="009D06C9" w:rsidRDefault="00A87E27" w:rsidP="00090ED8">
            <w:pPr>
              <w:pStyle w:val="Tabletext"/>
              <w:jc w:val="left"/>
              <w:rPr>
                <w:rFonts w:eastAsia="Batang"/>
                <w:lang w:val="es-ES_tradnl"/>
              </w:rPr>
            </w:pPr>
            <w:r w:rsidRPr="009D06C9">
              <w:rPr>
                <w:rFonts w:eastAsia="Batang"/>
                <w:lang w:val="es-ES_tradnl"/>
              </w:rPr>
              <w:t>873-876</w:t>
            </w:r>
          </w:p>
        </w:tc>
        <w:tc>
          <w:tcPr>
            <w:tcW w:w="2721" w:type="dxa"/>
          </w:tcPr>
          <w:p w:rsidR="00A87E27" w:rsidRPr="009D06C9" w:rsidRDefault="00A87E27" w:rsidP="00090ED8">
            <w:pPr>
              <w:pStyle w:val="Tabletext"/>
              <w:jc w:val="left"/>
              <w:rPr>
                <w:rFonts w:eastAsia="Batang"/>
                <w:lang w:val="es-ES_tradnl"/>
              </w:rPr>
            </w:pPr>
            <w:r w:rsidRPr="009D06C9">
              <w:rPr>
                <w:rFonts w:eastAsia="Batang"/>
                <w:lang w:val="es-ES_tradnl"/>
              </w:rPr>
              <w:t>Partes de Europa</w:t>
            </w:r>
          </w:p>
        </w:tc>
        <w:tc>
          <w:tcPr>
            <w:tcW w:w="4876" w:type="dxa"/>
          </w:tcPr>
          <w:p w:rsidR="00A87E27" w:rsidRPr="009D06C9" w:rsidRDefault="00A87E27" w:rsidP="00090ED8">
            <w:pPr>
              <w:pStyle w:val="Tabletext"/>
              <w:jc w:val="left"/>
              <w:rPr>
                <w:rFonts w:eastAsia="Batang"/>
                <w:lang w:val="es-ES_tradnl"/>
              </w:rPr>
            </w:pPr>
            <w:r w:rsidRPr="009D06C9">
              <w:rPr>
                <w:rFonts w:eastAsia="Batang"/>
                <w:lang w:val="es-ES_tradnl"/>
              </w:rPr>
              <w:t>Recomendación 70-03 del ERC</w:t>
            </w:r>
          </w:p>
        </w:tc>
      </w:tr>
      <w:tr w:rsidR="00A87E27" w:rsidRPr="00D30DBF" w:rsidTr="00090ED8">
        <w:trPr>
          <w:cantSplit/>
          <w:jc w:val="center"/>
        </w:trPr>
        <w:tc>
          <w:tcPr>
            <w:tcW w:w="2041" w:type="dxa"/>
          </w:tcPr>
          <w:p w:rsidR="00A87E27" w:rsidRPr="009D06C9" w:rsidRDefault="00A87E27" w:rsidP="00090ED8">
            <w:pPr>
              <w:pStyle w:val="Tabletext"/>
              <w:jc w:val="left"/>
              <w:rPr>
                <w:rFonts w:eastAsia="Batang"/>
                <w:lang w:val="es-ES_tradnl"/>
              </w:rPr>
            </w:pPr>
            <w:r w:rsidRPr="009D06C9">
              <w:rPr>
                <w:rFonts w:eastAsia="Batang"/>
                <w:lang w:val="es-ES_tradnl"/>
              </w:rPr>
              <w:t>896-901</w:t>
            </w:r>
          </w:p>
        </w:tc>
        <w:tc>
          <w:tcPr>
            <w:tcW w:w="2721" w:type="dxa"/>
          </w:tcPr>
          <w:p w:rsidR="00A87E27" w:rsidRPr="009D06C9" w:rsidRDefault="00A87E27" w:rsidP="00090ED8">
            <w:pPr>
              <w:pStyle w:val="Tabletext"/>
              <w:jc w:val="left"/>
              <w:rPr>
                <w:rFonts w:eastAsia="Batang"/>
                <w:lang w:val="es-ES_tradnl"/>
              </w:rPr>
            </w:pPr>
            <w:r w:rsidRPr="009D06C9">
              <w:rPr>
                <w:rFonts w:eastAsia="Batang"/>
                <w:lang w:val="es-ES_tradnl"/>
              </w:rPr>
              <w:t>Norteamérica</w:t>
            </w:r>
          </w:p>
        </w:tc>
        <w:tc>
          <w:tcPr>
            <w:tcW w:w="4876" w:type="dxa"/>
          </w:tcPr>
          <w:p w:rsidR="00A87E27" w:rsidRPr="009D06C9" w:rsidRDefault="00A87E27" w:rsidP="00090ED8">
            <w:pPr>
              <w:pStyle w:val="Tabletext"/>
              <w:jc w:val="left"/>
              <w:rPr>
                <w:rFonts w:eastAsia="Batang"/>
                <w:caps/>
                <w:lang w:val="es-ES_tradnl"/>
              </w:rPr>
            </w:pPr>
            <w:r w:rsidRPr="009D06C9">
              <w:rPr>
                <w:rFonts w:eastAsia="Batang"/>
                <w:lang w:val="es-ES_tradnl"/>
              </w:rPr>
              <w:t>Banda con licencia, Parte 90 en EE.UU.</w:t>
            </w:r>
          </w:p>
        </w:tc>
      </w:tr>
      <w:tr w:rsidR="00A87E27" w:rsidRPr="00D30DBF" w:rsidTr="00090ED8">
        <w:trPr>
          <w:cantSplit/>
          <w:jc w:val="center"/>
        </w:trPr>
        <w:tc>
          <w:tcPr>
            <w:tcW w:w="2041" w:type="dxa"/>
          </w:tcPr>
          <w:p w:rsidR="00A87E27" w:rsidRPr="009D06C9" w:rsidRDefault="00A87E27" w:rsidP="00090ED8">
            <w:pPr>
              <w:pStyle w:val="Tabletext"/>
              <w:jc w:val="left"/>
              <w:rPr>
                <w:rFonts w:eastAsia="Batang"/>
                <w:lang w:val="es-ES_tradnl"/>
              </w:rPr>
            </w:pPr>
            <w:r w:rsidRPr="009D06C9">
              <w:rPr>
                <w:rFonts w:eastAsia="Batang"/>
                <w:lang w:val="es-ES_tradnl"/>
              </w:rPr>
              <w:t>901-902</w:t>
            </w:r>
          </w:p>
        </w:tc>
        <w:tc>
          <w:tcPr>
            <w:tcW w:w="2721" w:type="dxa"/>
          </w:tcPr>
          <w:p w:rsidR="00A87E27" w:rsidRPr="009D06C9" w:rsidRDefault="00A87E27" w:rsidP="00090ED8">
            <w:pPr>
              <w:pStyle w:val="Tabletext"/>
              <w:jc w:val="left"/>
              <w:rPr>
                <w:rFonts w:eastAsia="Batang"/>
                <w:lang w:val="es-ES_tradnl"/>
              </w:rPr>
            </w:pPr>
            <w:r w:rsidRPr="009D06C9">
              <w:rPr>
                <w:rFonts w:eastAsia="Batang"/>
                <w:lang w:val="es-ES_tradnl"/>
              </w:rPr>
              <w:t>Norteamérica</w:t>
            </w:r>
          </w:p>
        </w:tc>
        <w:tc>
          <w:tcPr>
            <w:tcW w:w="4876" w:type="dxa"/>
          </w:tcPr>
          <w:p w:rsidR="00A87E27" w:rsidRPr="009D06C9" w:rsidRDefault="00A87E27" w:rsidP="00090ED8">
            <w:pPr>
              <w:pStyle w:val="Tabletext"/>
              <w:jc w:val="left"/>
              <w:rPr>
                <w:rFonts w:eastAsia="Batang"/>
                <w:caps/>
                <w:lang w:val="es-ES_tradnl"/>
              </w:rPr>
            </w:pPr>
            <w:r w:rsidRPr="009D06C9">
              <w:rPr>
                <w:rFonts w:eastAsia="Batang"/>
                <w:lang w:val="es-ES_tradnl"/>
              </w:rPr>
              <w:t>Banda con licencia, Parte 24 en EE.UU.</w:t>
            </w:r>
          </w:p>
        </w:tc>
      </w:tr>
      <w:tr w:rsidR="00A87E27" w:rsidRPr="00D30DBF" w:rsidTr="00090ED8">
        <w:trPr>
          <w:cantSplit/>
          <w:jc w:val="center"/>
        </w:trPr>
        <w:tc>
          <w:tcPr>
            <w:tcW w:w="2041" w:type="dxa"/>
          </w:tcPr>
          <w:p w:rsidR="00A87E27" w:rsidRPr="009D06C9" w:rsidRDefault="00A87E27" w:rsidP="00090ED8">
            <w:pPr>
              <w:pStyle w:val="Tabletext"/>
              <w:jc w:val="left"/>
              <w:rPr>
                <w:rFonts w:eastAsia="Batang"/>
                <w:lang w:val="es-ES_tradnl"/>
              </w:rPr>
            </w:pPr>
            <w:r w:rsidRPr="009D06C9">
              <w:rPr>
                <w:rFonts w:eastAsia="Batang"/>
                <w:lang w:val="es-ES_tradnl"/>
              </w:rPr>
              <w:t>902-928</w:t>
            </w:r>
          </w:p>
        </w:tc>
        <w:tc>
          <w:tcPr>
            <w:tcW w:w="2721" w:type="dxa"/>
          </w:tcPr>
          <w:p w:rsidR="00A87E27" w:rsidRPr="009D06C9" w:rsidRDefault="00A87E27" w:rsidP="00090ED8">
            <w:pPr>
              <w:pStyle w:val="Tabletext"/>
              <w:jc w:val="left"/>
              <w:rPr>
                <w:rFonts w:eastAsia="Batang"/>
                <w:lang w:val="es-ES_tradnl"/>
              </w:rPr>
            </w:pPr>
            <w:r w:rsidRPr="009D06C9">
              <w:rPr>
                <w:rFonts w:eastAsia="Batang"/>
                <w:lang w:val="es-ES_tradnl"/>
              </w:rPr>
              <w:t>Norteamérica, Sudamérica, Australia</w:t>
            </w:r>
          </w:p>
        </w:tc>
        <w:tc>
          <w:tcPr>
            <w:tcW w:w="4876" w:type="dxa"/>
          </w:tcPr>
          <w:p w:rsidR="00A87E27" w:rsidRPr="009D06C9" w:rsidRDefault="00A87E27" w:rsidP="00090ED8">
            <w:pPr>
              <w:pStyle w:val="Tabletext"/>
              <w:jc w:val="left"/>
              <w:rPr>
                <w:rFonts w:eastAsia="Batang"/>
                <w:caps/>
                <w:lang w:val="es-ES_tradnl"/>
              </w:rPr>
            </w:pPr>
            <w:r w:rsidRPr="009D06C9">
              <w:rPr>
                <w:rFonts w:eastAsia="Batang"/>
                <w:lang w:val="es-ES_tradnl"/>
              </w:rPr>
              <w:t>ISM exento de licencia. En Australia sólo está atribuida la mitad superior de la banda</w:t>
            </w:r>
          </w:p>
        </w:tc>
      </w:tr>
      <w:tr w:rsidR="00A87E27" w:rsidRPr="009D06C9" w:rsidTr="00090ED8">
        <w:trPr>
          <w:cantSplit/>
          <w:jc w:val="center"/>
        </w:trPr>
        <w:tc>
          <w:tcPr>
            <w:tcW w:w="2041" w:type="dxa"/>
          </w:tcPr>
          <w:p w:rsidR="00A87E27" w:rsidRPr="009D06C9" w:rsidRDefault="00A87E27" w:rsidP="00090ED8">
            <w:pPr>
              <w:pStyle w:val="Tabletext"/>
              <w:jc w:val="left"/>
              <w:rPr>
                <w:rFonts w:eastAsia="Batang"/>
                <w:lang w:val="es-ES_tradnl"/>
              </w:rPr>
            </w:pPr>
            <w:r w:rsidRPr="009D06C9">
              <w:rPr>
                <w:rFonts w:eastAsia="Batang"/>
                <w:lang w:val="es-ES_tradnl"/>
              </w:rPr>
              <w:t>915-921</w:t>
            </w:r>
          </w:p>
        </w:tc>
        <w:tc>
          <w:tcPr>
            <w:tcW w:w="2721" w:type="dxa"/>
          </w:tcPr>
          <w:p w:rsidR="00A87E27" w:rsidRPr="009D06C9" w:rsidRDefault="00A87E27" w:rsidP="00090ED8">
            <w:pPr>
              <w:pStyle w:val="Tabletext"/>
              <w:jc w:val="left"/>
              <w:rPr>
                <w:rFonts w:eastAsia="Batang"/>
                <w:lang w:val="es-ES_tradnl"/>
              </w:rPr>
            </w:pPr>
            <w:r w:rsidRPr="009D06C9">
              <w:rPr>
                <w:rFonts w:eastAsia="Batang"/>
                <w:lang w:val="es-ES_tradnl"/>
              </w:rPr>
              <w:t>Partes de Europa</w:t>
            </w:r>
          </w:p>
        </w:tc>
        <w:tc>
          <w:tcPr>
            <w:tcW w:w="4876" w:type="dxa"/>
          </w:tcPr>
          <w:p w:rsidR="00A87E27" w:rsidRPr="009D06C9" w:rsidRDefault="00A87E27" w:rsidP="00090ED8">
            <w:pPr>
              <w:pStyle w:val="Tabletext"/>
              <w:jc w:val="left"/>
              <w:rPr>
                <w:rFonts w:eastAsia="Batang"/>
                <w:lang w:val="es-ES_tradnl"/>
              </w:rPr>
            </w:pPr>
            <w:r w:rsidRPr="009D06C9">
              <w:rPr>
                <w:rFonts w:eastAsia="Batang"/>
                <w:lang w:val="es-ES_tradnl"/>
              </w:rPr>
              <w:t>Recomendación 70-03 del ERC</w:t>
            </w:r>
          </w:p>
        </w:tc>
      </w:tr>
      <w:tr w:rsidR="00A87E27" w:rsidRPr="009D06C9" w:rsidTr="00090ED8">
        <w:trPr>
          <w:cantSplit/>
          <w:jc w:val="center"/>
        </w:trPr>
        <w:tc>
          <w:tcPr>
            <w:tcW w:w="2041" w:type="dxa"/>
          </w:tcPr>
          <w:p w:rsidR="00A87E27" w:rsidRPr="009D06C9" w:rsidRDefault="00A87E27" w:rsidP="00090ED8">
            <w:pPr>
              <w:pStyle w:val="Tabletext"/>
              <w:jc w:val="left"/>
              <w:rPr>
                <w:rFonts w:eastAsia="Batang"/>
                <w:lang w:val="es-ES_tradnl"/>
              </w:rPr>
            </w:pPr>
            <w:r w:rsidRPr="009D06C9">
              <w:rPr>
                <w:rFonts w:eastAsia="Batang"/>
                <w:lang w:val="es-ES_tradnl"/>
              </w:rPr>
              <w:t>917-923,5</w:t>
            </w:r>
          </w:p>
        </w:tc>
        <w:tc>
          <w:tcPr>
            <w:tcW w:w="2721" w:type="dxa"/>
          </w:tcPr>
          <w:p w:rsidR="00A87E27" w:rsidRPr="009D06C9" w:rsidRDefault="00A87E27" w:rsidP="00090ED8">
            <w:pPr>
              <w:pStyle w:val="Tabletext"/>
              <w:jc w:val="left"/>
              <w:rPr>
                <w:rFonts w:eastAsia="Batang"/>
                <w:lang w:val="es-ES_tradnl"/>
              </w:rPr>
            </w:pPr>
            <w:r w:rsidRPr="009D06C9">
              <w:rPr>
                <w:rFonts w:eastAsia="Batang"/>
                <w:lang w:val="es-ES_tradnl"/>
              </w:rPr>
              <w:t>Corea</w:t>
            </w:r>
          </w:p>
        </w:tc>
        <w:tc>
          <w:tcPr>
            <w:tcW w:w="4876" w:type="dxa"/>
          </w:tcPr>
          <w:p w:rsidR="00A87E27" w:rsidRPr="009D06C9" w:rsidRDefault="00A87E27" w:rsidP="00090ED8">
            <w:pPr>
              <w:pStyle w:val="Tabletext"/>
              <w:jc w:val="left"/>
              <w:rPr>
                <w:rFonts w:eastAsia="Batang"/>
                <w:lang w:val="es-ES_tradnl"/>
              </w:rPr>
            </w:pPr>
          </w:p>
        </w:tc>
      </w:tr>
      <w:tr w:rsidR="00A87E27" w:rsidRPr="009D06C9" w:rsidTr="00090ED8">
        <w:trPr>
          <w:cantSplit/>
          <w:jc w:val="center"/>
        </w:trPr>
        <w:tc>
          <w:tcPr>
            <w:tcW w:w="2041" w:type="dxa"/>
          </w:tcPr>
          <w:p w:rsidR="00A87E27" w:rsidRPr="009D06C9" w:rsidRDefault="00A87E27" w:rsidP="00090ED8">
            <w:pPr>
              <w:pStyle w:val="Tabletext"/>
              <w:jc w:val="left"/>
              <w:rPr>
                <w:rFonts w:eastAsia="Batang"/>
                <w:lang w:val="es-ES_tradnl"/>
              </w:rPr>
            </w:pPr>
            <w:r w:rsidRPr="009D06C9">
              <w:rPr>
                <w:rFonts w:eastAsia="Batang"/>
                <w:lang w:val="es-ES_tradnl"/>
              </w:rPr>
              <w:t>920-928</w:t>
            </w:r>
          </w:p>
        </w:tc>
        <w:tc>
          <w:tcPr>
            <w:tcW w:w="2721" w:type="dxa"/>
          </w:tcPr>
          <w:p w:rsidR="00A87E27" w:rsidRPr="009D06C9" w:rsidRDefault="00A87E27" w:rsidP="00090ED8">
            <w:pPr>
              <w:pStyle w:val="Tabletext"/>
              <w:jc w:val="left"/>
              <w:rPr>
                <w:rFonts w:eastAsia="Batang"/>
                <w:lang w:val="es-ES_tradnl"/>
              </w:rPr>
            </w:pPr>
            <w:r w:rsidRPr="009D06C9">
              <w:rPr>
                <w:rFonts w:eastAsia="Batang"/>
                <w:lang w:val="es-ES_tradnl"/>
              </w:rPr>
              <w:t>Japón</w:t>
            </w:r>
          </w:p>
        </w:tc>
        <w:tc>
          <w:tcPr>
            <w:tcW w:w="4876" w:type="dxa"/>
          </w:tcPr>
          <w:p w:rsidR="00A87E27" w:rsidRPr="009D06C9" w:rsidRDefault="00A87E27" w:rsidP="00090ED8">
            <w:pPr>
              <w:pStyle w:val="Tabletext"/>
              <w:jc w:val="left"/>
              <w:rPr>
                <w:rFonts w:eastAsia="Batang"/>
                <w:lang w:val="es-ES_tradnl"/>
              </w:rPr>
            </w:pPr>
          </w:p>
        </w:tc>
      </w:tr>
      <w:tr w:rsidR="00A87E27" w:rsidRPr="00D30DBF" w:rsidTr="00090ED8">
        <w:trPr>
          <w:cantSplit/>
          <w:jc w:val="center"/>
        </w:trPr>
        <w:tc>
          <w:tcPr>
            <w:tcW w:w="2041" w:type="dxa"/>
          </w:tcPr>
          <w:p w:rsidR="00A87E27" w:rsidRPr="009D06C9" w:rsidRDefault="00A87E27" w:rsidP="00090ED8">
            <w:pPr>
              <w:pStyle w:val="Tabletext"/>
              <w:jc w:val="left"/>
              <w:rPr>
                <w:rFonts w:eastAsia="Batang"/>
                <w:lang w:val="es-ES_tradnl"/>
              </w:rPr>
            </w:pPr>
            <w:r w:rsidRPr="009D06C9">
              <w:rPr>
                <w:rFonts w:eastAsia="Batang"/>
                <w:lang w:val="es-ES_tradnl"/>
              </w:rPr>
              <w:t>928-960</w:t>
            </w:r>
          </w:p>
        </w:tc>
        <w:tc>
          <w:tcPr>
            <w:tcW w:w="2721" w:type="dxa"/>
          </w:tcPr>
          <w:p w:rsidR="00A87E27" w:rsidRPr="009D06C9" w:rsidRDefault="00A87E27" w:rsidP="00090ED8">
            <w:pPr>
              <w:pStyle w:val="Tabletext"/>
              <w:jc w:val="left"/>
              <w:rPr>
                <w:rFonts w:eastAsia="Batang"/>
                <w:lang w:val="es-ES_tradnl"/>
              </w:rPr>
            </w:pPr>
            <w:r w:rsidRPr="009D06C9">
              <w:rPr>
                <w:rFonts w:eastAsia="Batang"/>
                <w:lang w:val="es-ES_tradnl"/>
              </w:rPr>
              <w:t>Norteamérica</w:t>
            </w:r>
          </w:p>
        </w:tc>
        <w:tc>
          <w:tcPr>
            <w:tcW w:w="4876" w:type="dxa"/>
          </w:tcPr>
          <w:p w:rsidR="00A87E27" w:rsidRPr="009D06C9" w:rsidRDefault="00A87E27" w:rsidP="00090ED8">
            <w:pPr>
              <w:pStyle w:val="Tabletext"/>
              <w:jc w:val="left"/>
              <w:rPr>
                <w:rFonts w:eastAsia="Batang"/>
                <w:caps/>
                <w:lang w:val="es-ES_tradnl"/>
              </w:rPr>
            </w:pPr>
            <w:r w:rsidRPr="009D06C9">
              <w:rPr>
                <w:rFonts w:eastAsia="Batang"/>
                <w:lang w:val="es-ES_tradnl"/>
              </w:rPr>
              <w:t>Banda con licencia, Partes 22, 24, 90 y 101 en EE.UU.</w:t>
            </w:r>
          </w:p>
        </w:tc>
      </w:tr>
      <w:tr w:rsidR="00A87E27" w:rsidRPr="009D06C9" w:rsidTr="00090ED8">
        <w:trPr>
          <w:cantSplit/>
          <w:jc w:val="center"/>
        </w:trPr>
        <w:tc>
          <w:tcPr>
            <w:tcW w:w="2041" w:type="dxa"/>
          </w:tcPr>
          <w:p w:rsidR="00A87E27" w:rsidRPr="009D06C9" w:rsidRDefault="00A87E27" w:rsidP="00090ED8">
            <w:pPr>
              <w:pStyle w:val="Tabletext"/>
              <w:jc w:val="left"/>
              <w:rPr>
                <w:rFonts w:eastAsia="Batang"/>
                <w:lang w:val="es-ES_tradnl"/>
              </w:rPr>
            </w:pPr>
            <w:r w:rsidRPr="009D06C9">
              <w:rPr>
                <w:rFonts w:eastAsia="Batang"/>
                <w:lang w:val="es-ES_tradnl"/>
              </w:rPr>
              <w:t>950-958</w:t>
            </w:r>
          </w:p>
        </w:tc>
        <w:tc>
          <w:tcPr>
            <w:tcW w:w="2721" w:type="dxa"/>
          </w:tcPr>
          <w:p w:rsidR="00A87E27" w:rsidRPr="009D06C9" w:rsidRDefault="00A87E27" w:rsidP="00090ED8">
            <w:pPr>
              <w:pStyle w:val="Tabletext"/>
              <w:jc w:val="left"/>
              <w:rPr>
                <w:rFonts w:eastAsia="Batang"/>
                <w:lang w:val="es-ES_tradnl"/>
              </w:rPr>
            </w:pPr>
            <w:r w:rsidRPr="009D06C9">
              <w:rPr>
                <w:rFonts w:eastAsia="Batang"/>
                <w:lang w:val="es-ES_tradnl"/>
              </w:rPr>
              <w:t>Japón</w:t>
            </w:r>
          </w:p>
        </w:tc>
        <w:tc>
          <w:tcPr>
            <w:tcW w:w="4876" w:type="dxa"/>
          </w:tcPr>
          <w:p w:rsidR="00A87E27" w:rsidRPr="009D06C9" w:rsidRDefault="00A87E27" w:rsidP="00090ED8">
            <w:pPr>
              <w:pStyle w:val="Tabletext"/>
              <w:jc w:val="left"/>
              <w:rPr>
                <w:rFonts w:eastAsia="Batang"/>
                <w:lang w:val="es-ES_tradnl"/>
              </w:rPr>
            </w:pPr>
            <w:r w:rsidRPr="009D06C9">
              <w:rPr>
                <w:rFonts w:eastAsia="Batang"/>
                <w:lang w:val="es-ES_tradnl"/>
              </w:rPr>
              <w:t>Compartida con RFID pasivos</w:t>
            </w:r>
          </w:p>
        </w:tc>
      </w:tr>
      <w:tr w:rsidR="00A87E27" w:rsidRPr="00D30DBF" w:rsidTr="00090ED8">
        <w:trPr>
          <w:cantSplit/>
          <w:jc w:val="center"/>
        </w:trPr>
        <w:tc>
          <w:tcPr>
            <w:tcW w:w="2041" w:type="dxa"/>
          </w:tcPr>
          <w:p w:rsidR="00A87E27" w:rsidRPr="009D06C9" w:rsidRDefault="00A87E27" w:rsidP="00090ED8">
            <w:pPr>
              <w:pStyle w:val="Tabletext"/>
              <w:jc w:val="left"/>
              <w:rPr>
                <w:rFonts w:eastAsia="Batang"/>
                <w:lang w:val="es-ES_tradnl"/>
              </w:rPr>
            </w:pPr>
            <w:r w:rsidRPr="009D06C9">
              <w:rPr>
                <w:rFonts w:eastAsia="Batang"/>
                <w:lang w:val="es-ES_tradnl"/>
              </w:rPr>
              <w:t>1 427-1 518</w:t>
            </w:r>
          </w:p>
        </w:tc>
        <w:tc>
          <w:tcPr>
            <w:tcW w:w="2721" w:type="dxa"/>
          </w:tcPr>
          <w:p w:rsidR="00A87E27" w:rsidRPr="009D06C9" w:rsidRDefault="00A87E27" w:rsidP="00090ED8">
            <w:pPr>
              <w:pStyle w:val="Tabletext"/>
              <w:jc w:val="left"/>
              <w:rPr>
                <w:rFonts w:eastAsia="Batang"/>
                <w:lang w:val="es-ES_tradnl"/>
              </w:rPr>
            </w:pPr>
            <w:r w:rsidRPr="009D06C9">
              <w:rPr>
                <w:rFonts w:eastAsia="Batang"/>
                <w:lang w:val="es-ES_tradnl"/>
              </w:rPr>
              <w:t>Estados Unidos de América y Canadá</w:t>
            </w:r>
          </w:p>
        </w:tc>
        <w:tc>
          <w:tcPr>
            <w:tcW w:w="4876" w:type="dxa"/>
          </w:tcPr>
          <w:p w:rsidR="00A87E27" w:rsidRPr="009D06C9" w:rsidRDefault="00A87E27" w:rsidP="00090ED8">
            <w:pPr>
              <w:pStyle w:val="Tabletext"/>
              <w:jc w:val="left"/>
              <w:rPr>
                <w:rFonts w:eastAsia="Batang"/>
                <w:lang w:val="es-ES_tradnl"/>
              </w:rPr>
            </w:pPr>
            <w:r w:rsidRPr="009D06C9">
              <w:rPr>
                <w:rFonts w:eastAsia="Batang"/>
                <w:lang w:val="es-ES_tradnl"/>
              </w:rPr>
              <w:t>En partes de la Región 1, a saber, en Europa:</w:t>
            </w:r>
          </w:p>
          <w:p w:rsidR="00A87E27" w:rsidRPr="009D06C9" w:rsidRDefault="00A87E27" w:rsidP="00090ED8">
            <w:pPr>
              <w:pStyle w:val="Tabletext"/>
              <w:ind w:left="284" w:hanging="284"/>
              <w:jc w:val="left"/>
              <w:rPr>
                <w:rFonts w:eastAsia="Batang"/>
                <w:lang w:val="es-ES_tradnl"/>
              </w:rPr>
            </w:pPr>
            <w:r w:rsidRPr="009D06C9">
              <w:rPr>
                <w:rFonts w:eastAsia="Batang"/>
                <w:lang w:val="es-ES_tradnl"/>
              </w:rPr>
              <w:t>–</w:t>
            </w:r>
            <w:r w:rsidRPr="009D06C9">
              <w:rPr>
                <w:rFonts w:eastAsia="Batang"/>
                <w:lang w:val="es-ES_tradnl"/>
              </w:rPr>
              <w:tab/>
              <w:t>La gama 1 452</w:t>
            </w:r>
            <w:r w:rsidRPr="009D06C9">
              <w:rPr>
                <w:rFonts w:eastAsia="Batang"/>
                <w:lang w:val="es-ES_tradnl"/>
              </w:rPr>
              <w:noBreakHyphen/>
              <w:t>1 479,2 MHz está planificada para uso por la radiodifusión terrenal conforme al Acuerdo Ma02revCO07 (registrado en la UIT como acuerdo regional) y por el servicio móvil para enlace descendente suplementario únicamente con arreglo a una decisión pertinente de la CE.</w:t>
            </w:r>
          </w:p>
          <w:p w:rsidR="00A87E27" w:rsidRPr="009D06C9" w:rsidRDefault="00A87E27" w:rsidP="00090ED8">
            <w:pPr>
              <w:pStyle w:val="Tabletext"/>
              <w:ind w:left="284" w:hanging="284"/>
              <w:jc w:val="left"/>
              <w:rPr>
                <w:rFonts w:eastAsia="Batang"/>
                <w:lang w:val="es-ES_tradnl"/>
              </w:rPr>
            </w:pPr>
            <w:r w:rsidRPr="009D06C9">
              <w:rPr>
                <w:rFonts w:eastAsia="Batang"/>
                <w:lang w:val="es-ES_tradnl"/>
              </w:rPr>
              <w:t>–</w:t>
            </w:r>
            <w:r w:rsidRPr="009D06C9">
              <w:rPr>
                <w:rFonts w:eastAsia="Batang"/>
                <w:lang w:val="es-ES_tradnl"/>
              </w:rPr>
              <w:tab/>
              <w:t>La gama 1 492</w:t>
            </w:r>
            <w:r w:rsidRPr="009D06C9">
              <w:rPr>
                <w:rFonts w:eastAsia="Batang"/>
                <w:lang w:val="es-ES_tradnl"/>
              </w:rPr>
              <w:noBreakHyphen/>
              <w:t>1 518 MHz es utilizada para micrófonos inalámbricos conforme al Anexo 10 a la Recomendación 70-03 del ERC.</w:t>
            </w:r>
          </w:p>
          <w:p w:rsidR="00A87E27" w:rsidRPr="009D06C9" w:rsidRDefault="00A87E27" w:rsidP="00090ED8">
            <w:pPr>
              <w:pStyle w:val="Tabletext"/>
              <w:ind w:left="284" w:hanging="284"/>
              <w:jc w:val="left"/>
              <w:rPr>
                <w:rFonts w:eastAsia="Batang"/>
                <w:lang w:val="es-ES_tradnl"/>
              </w:rPr>
            </w:pPr>
            <w:r w:rsidRPr="009D06C9">
              <w:rPr>
                <w:rFonts w:eastAsia="Batang"/>
                <w:lang w:val="es-ES_tradnl"/>
              </w:rPr>
              <w:t>–</w:t>
            </w:r>
            <w:r w:rsidRPr="009D06C9">
              <w:rPr>
                <w:rFonts w:eastAsia="Batang"/>
                <w:lang w:val="es-ES_tradnl"/>
              </w:rPr>
              <w:tab/>
              <w:t>No utilizada para AMR/AMI</w:t>
            </w:r>
          </w:p>
        </w:tc>
      </w:tr>
      <w:tr w:rsidR="00A87E27" w:rsidRPr="009D06C9" w:rsidTr="00090ED8">
        <w:trPr>
          <w:cantSplit/>
          <w:jc w:val="center"/>
        </w:trPr>
        <w:tc>
          <w:tcPr>
            <w:tcW w:w="2041" w:type="dxa"/>
          </w:tcPr>
          <w:p w:rsidR="00A87E27" w:rsidRPr="009D06C9" w:rsidRDefault="00A87E27" w:rsidP="00090ED8">
            <w:pPr>
              <w:pStyle w:val="Tabletext"/>
              <w:jc w:val="left"/>
              <w:rPr>
                <w:rFonts w:eastAsia="Batang"/>
                <w:lang w:val="es-ES_tradnl"/>
              </w:rPr>
            </w:pPr>
            <w:r w:rsidRPr="009D06C9">
              <w:rPr>
                <w:rFonts w:eastAsia="Batang"/>
                <w:lang w:val="es-ES_tradnl"/>
              </w:rPr>
              <w:t>2 400-2 483,5</w:t>
            </w:r>
          </w:p>
        </w:tc>
        <w:tc>
          <w:tcPr>
            <w:tcW w:w="2721" w:type="dxa"/>
          </w:tcPr>
          <w:p w:rsidR="00A87E27" w:rsidRPr="009D06C9" w:rsidRDefault="00A87E27" w:rsidP="00090ED8">
            <w:pPr>
              <w:pStyle w:val="Tabletext"/>
              <w:jc w:val="left"/>
              <w:rPr>
                <w:rFonts w:eastAsia="Batang"/>
                <w:lang w:val="es-ES_tradnl"/>
              </w:rPr>
            </w:pPr>
            <w:r w:rsidRPr="009D06C9">
              <w:rPr>
                <w:rFonts w:eastAsia="Batang"/>
                <w:lang w:val="es-ES_tradnl"/>
              </w:rPr>
              <w:t>Mundial</w:t>
            </w:r>
          </w:p>
        </w:tc>
        <w:tc>
          <w:tcPr>
            <w:tcW w:w="4876" w:type="dxa"/>
          </w:tcPr>
          <w:p w:rsidR="00A87E27" w:rsidRPr="009D06C9" w:rsidRDefault="00A87E27" w:rsidP="00090ED8">
            <w:pPr>
              <w:pStyle w:val="Tabletext"/>
              <w:jc w:val="left"/>
              <w:rPr>
                <w:rFonts w:eastAsia="Batang"/>
                <w:lang w:val="es-ES_tradnl"/>
              </w:rPr>
            </w:pPr>
          </w:p>
        </w:tc>
      </w:tr>
      <w:tr w:rsidR="00A87E27" w:rsidRPr="009D06C9" w:rsidTr="00090ED8">
        <w:trPr>
          <w:cantSplit/>
          <w:jc w:val="center"/>
        </w:trPr>
        <w:tc>
          <w:tcPr>
            <w:tcW w:w="2041" w:type="dxa"/>
          </w:tcPr>
          <w:p w:rsidR="00A87E27" w:rsidRPr="009D06C9" w:rsidRDefault="00A87E27" w:rsidP="00090ED8">
            <w:pPr>
              <w:pStyle w:val="Tabletext"/>
              <w:jc w:val="left"/>
              <w:rPr>
                <w:rFonts w:eastAsia="Batang"/>
                <w:lang w:val="es-ES_tradnl"/>
              </w:rPr>
            </w:pPr>
            <w:r w:rsidRPr="009D06C9">
              <w:rPr>
                <w:rFonts w:eastAsia="Batang"/>
                <w:lang w:val="es-ES_tradnl"/>
              </w:rPr>
              <w:t>3 550-3 700</w:t>
            </w:r>
          </w:p>
        </w:tc>
        <w:tc>
          <w:tcPr>
            <w:tcW w:w="2721" w:type="dxa"/>
          </w:tcPr>
          <w:p w:rsidR="00A87E27" w:rsidRPr="009D06C9" w:rsidRDefault="00A87E27" w:rsidP="00090ED8">
            <w:pPr>
              <w:pStyle w:val="Tabletext"/>
              <w:jc w:val="left"/>
              <w:rPr>
                <w:rFonts w:eastAsia="Batang"/>
                <w:lang w:val="es-ES_tradnl"/>
              </w:rPr>
            </w:pPr>
            <w:r w:rsidRPr="009D06C9">
              <w:rPr>
                <w:rFonts w:eastAsia="Batang"/>
                <w:lang w:val="es-ES_tradnl"/>
              </w:rPr>
              <w:t>Estados Unidos de América</w:t>
            </w:r>
          </w:p>
        </w:tc>
        <w:tc>
          <w:tcPr>
            <w:tcW w:w="4876" w:type="dxa"/>
          </w:tcPr>
          <w:p w:rsidR="00A87E27" w:rsidRPr="009D06C9" w:rsidRDefault="00A87E27" w:rsidP="00090ED8">
            <w:pPr>
              <w:pStyle w:val="Tabletext"/>
              <w:jc w:val="left"/>
              <w:rPr>
                <w:rFonts w:eastAsia="Batang"/>
                <w:caps/>
                <w:lang w:val="es-ES_tradnl"/>
              </w:rPr>
            </w:pPr>
            <w:r w:rsidRPr="009D06C9">
              <w:rPr>
                <w:rFonts w:eastAsia="Batang"/>
                <w:lang w:val="es-ES_tradnl"/>
              </w:rPr>
              <w:t>Con licencia regional</w:t>
            </w:r>
          </w:p>
        </w:tc>
      </w:tr>
      <w:tr w:rsidR="00A87E27" w:rsidRPr="009D06C9" w:rsidTr="00090ED8">
        <w:trPr>
          <w:cantSplit/>
          <w:jc w:val="center"/>
        </w:trPr>
        <w:tc>
          <w:tcPr>
            <w:tcW w:w="2041" w:type="dxa"/>
          </w:tcPr>
          <w:p w:rsidR="00A87E27" w:rsidRPr="009D06C9" w:rsidRDefault="00A87E27" w:rsidP="00090ED8">
            <w:pPr>
              <w:pStyle w:val="Tabletext"/>
              <w:jc w:val="left"/>
              <w:rPr>
                <w:rFonts w:eastAsia="Batang"/>
                <w:lang w:val="es-ES_tradnl"/>
              </w:rPr>
            </w:pPr>
          </w:p>
        </w:tc>
        <w:tc>
          <w:tcPr>
            <w:tcW w:w="2721" w:type="dxa"/>
          </w:tcPr>
          <w:p w:rsidR="00A87E27" w:rsidRPr="009D06C9" w:rsidRDefault="00A87E27" w:rsidP="00090ED8">
            <w:pPr>
              <w:pStyle w:val="Tabletext"/>
              <w:jc w:val="left"/>
              <w:rPr>
                <w:rFonts w:eastAsia="Batang"/>
                <w:lang w:val="es-ES_tradnl"/>
              </w:rPr>
            </w:pPr>
          </w:p>
        </w:tc>
        <w:tc>
          <w:tcPr>
            <w:tcW w:w="4876" w:type="dxa"/>
          </w:tcPr>
          <w:p w:rsidR="00A87E27" w:rsidRPr="009D06C9" w:rsidRDefault="00A87E27" w:rsidP="00090ED8">
            <w:pPr>
              <w:pStyle w:val="Tabletext"/>
              <w:jc w:val="left"/>
              <w:rPr>
                <w:rFonts w:eastAsia="Batang"/>
                <w:lang w:val="es-ES_tradnl"/>
              </w:rPr>
            </w:pPr>
          </w:p>
        </w:tc>
      </w:tr>
      <w:tr w:rsidR="00A87E27" w:rsidRPr="009D06C9" w:rsidTr="00090ED8">
        <w:trPr>
          <w:cantSplit/>
          <w:jc w:val="center"/>
        </w:trPr>
        <w:tc>
          <w:tcPr>
            <w:tcW w:w="2041" w:type="dxa"/>
          </w:tcPr>
          <w:p w:rsidR="00A87E27" w:rsidRPr="009D06C9" w:rsidRDefault="00A87E27" w:rsidP="00090ED8">
            <w:pPr>
              <w:pStyle w:val="Tabletext"/>
              <w:jc w:val="left"/>
              <w:rPr>
                <w:rFonts w:eastAsia="Batang"/>
                <w:lang w:val="es-ES_tradnl"/>
              </w:rPr>
            </w:pPr>
            <w:r w:rsidRPr="009D06C9">
              <w:rPr>
                <w:rFonts w:eastAsia="Batang"/>
                <w:lang w:val="es-ES_tradnl"/>
              </w:rPr>
              <w:t>5 250-5 350</w:t>
            </w:r>
          </w:p>
        </w:tc>
        <w:tc>
          <w:tcPr>
            <w:tcW w:w="2721" w:type="dxa"/>
          </w:tcPr>
          <w:p w:rsidR="00A87E27" w:rsidRPr="009D06C9" w:rsidRDefault="00A87E27" w:rsidP="00090ED8">
            <w:pPr>
              <w:pStyle w:val="Tabletext"/>
              <w:jc w:val="left"/>
              <w:rPr>
                <w:rFonts w:eastAsia="Batang"/>
                <w:lang w:val="es-ES_tradnl"/>
              </w:rPr>
            </w:pPr>
            <w:r w:rsidRPr="009D06C9">
              <w:rPr>
                <w:rFonts w:eastAsia="Batang"/>
                <w:lang w:val="es-ES_tradnl"/>
              </w:rPr>
              <w:t>Norteamérica, Europa, Japón</w:t>
            </w:r>
          </w:p>
        </w:tc>
        <w:tc>
          <w:tcPr>
            <w:tcW w:w="4876" w:type="dxa"/>
          </w:tcPr>
          <w:p w:rsidR="00A87E27" w:rsidRPr="009D06C9" w:rsidRDefault="00A87E27" w:rsidP="00090ED8">
            <w:pPr>
              <w:pStyle w:val="Tabletext"/>
              <w:jc w:val="left"/>
              <w:rPr>
                <w:rFonts w:eastAsia="Batang"/>
                <w:lang w:val="es-ES_tradnl"/>
              </w:rPr>
            </w:pPr>
          </w:p>
        </w:tc>
      </w:tr>
      <w:tr w:rsidR="00A87E27" w:rsidRPr="009D06C9" w:rsidTr="00090ED8">
        <w:trPr>
          <w:cantSplit/>
          <w:jc w:val="center"/>
        </w:trPr>
        <w:tc>
          <w:tcPr>
            <w:tcW w:w="2041" w:type="dxa"/>
          </w:tcPr>
          <w:p w:rsidR="00A87E27" w:rsidRPr="009D06C9" w:rsidRDefault="00A87E27" w:rsidP="00090ED8">
            <w:pPr>
              <w:pStyle w:val="Tabletext"/>
              <w:jc w:val="left"/>
              <w:rPr>
                <w:rFonts w:eastAsia="Batang"/>
                <w:lang w:val="es-ES_tradnl"/>
              </w:rPr>
            </w:pPr>
            <w:r w:rsidRPr="009D06C9">
              <w:rPr>
                <w:rFonts w:eastAsia="Batang"/>
                <w:lang w:val="es-ES_tradnl"/>
              </w:rPr>
              <w:t>5 470-5 725</w:t>
            </w:r>
          </w:p>
        </w:tc>
        <w:tc>
          <w:tcPr>
            <w:tcW w:w="2721" w:type="dxa"/>
          </w:tcPr>
          <w:p w:rsidR="00A87E27" w:rsidRPr="009D06C9" w:rsidRDefault="00A87E27" w:rsidP="00090ED8">
            <w:pPr>
              <w:pStyle w:val="Tabletext"/>
              <w:jc w:val="left"/>
              <w:rPr>
                <w:rFonts w:eastAsia="Batang"/>
                <w:lang w:val="es-ES_tradnl"/>
              </w:rPr>
            </w:pPr>
            <w:r w:rsidRPr="009D06C9">
              <w:rPr>
                <w:rFonts w:eastAsia="Batang"/>
                <w:lang w:val="es-ES_tradnl"/>
              </w:rPr>
              <w:t>Norteamérica, Europa, Japón</w:t>
            </w:r>
          </w:p>
        </w:tc>
        <w:tc>
          <w:tcPr>
            <w:tcW w:w="4876" w:type="dxa"/>
          </w:tcPr>
          <w:p w:rsidR="00A87E27" w:rsidRPr="009D06C9" w:rsidRDefault="00A87E27" w:rsidP="00090ED8">
            <w:pPr>
              <w:pStyle w:val="Tabletext"/>
              <w:jc w:val="left"/>
              <w:rPr>
                <w:rFonts w:eastAsia="Batang"/>
                <w:lang w:val="es-ES_tradnl"/>
              </w:rPr>
            </w:pPr>
          </w:p>
        </w:tc>
      </w:tr>
      <w:tr w:rsidR="00A87E27" w:rsidRPr="00D30DBF" w:rsidTr="00090ED8">
        <w:trPr>
          <w:cantSplit/>
          <w:jc w:val="center"/>
        </w:trPr>
        <w:tc>
          <w:tcPr>
            <w:tcW w:w="2041" w:type="dxa"/>
          </w:tcPr>
          <w:p w:rsidR="00A87E27" w:rsidRPr="009D06C9" w:rsidRDefault="00A87E27" w:rsidP="00090ED8">
            <w:pPr>
              <w:pStyle w:val="Tabletext"/>
              <w:jc w:val="left"/>
              <w:rPr>
                <w:rFonts w:eastAsia="Batang"/>
                <w:lang w:val="es-ES_tradnl"/>
              </w:rPr>
            </w:pPr>
            <w:r w:rsidRPr="009D06C9">
              <w:rPr>
                <w:rFonts w:eastAsia="Batang"/>
                <w:lang w:val="es-ES_tradnl"/>
              </w:rPr>
              <w:t>5 725-5 850</w:t>
            </w:r>
          </w:p>
        </w:tc>
        <w:tc>
          <w:tcPr>
            <w:tcW w:w="2721" w:type="dxa"/>
          </w:tcPr>
          <w:p w:rsidR="00A87E27" w:rsidRPr="009D06C9" w:rsidRDefault="00A87E27" w:rsidP="00090ED8">
            <w:pPr>
              <w:pStyle w:val="Tabletext"/>
              <w:jc w:val="left"/>
              <w:rPr>
                <w:rFonts w:eastAsia="Batang"/>
                <w:lang w:val="es-ES_tradnl"/>
              </w:rPr>
            </w:pPr>
            <w:r w:rsidRPr="009D06C9">
              <w:rPr>
                <w:rFonts w:eastAsia="Batang"/>
                <w:lang w:val="es-ES_tradnl"/>
              </w:rPr>
              <w:t>Norteamérica</w:t>
            </w:r>
          </w:p>
        </w:tc>
        <w:tc>
          <w:tcPr>
            <w:tcW w:w="4876" w:type="dxa"/>
          </w:tcPr>
          <w:p w:rsidR="00A87E27" w:rsidRPr="009D06C9" w:rsidRDefault="00A87E27" w:rsidP="00090ED8">
            <w:pPr>
              <w:pStyle w:val="Tabletext"/>
              <w:jc w:val="left"/>
              <w:rPr>
                <w:rFonts w:eastAsia="Batang"/>
                <w:caps/>
                <w:lang w:val="es-ES_tradnl"/>
              </w:rPr>
            </w:pPr>
            <w:r w:rsidRPr="009D06C9">
              <w:rPr>
                <w:rFonts w:eastAsia="Batang"/>
                <w:lang w:val="es-ES_tradnl"/>
              </w:rPr>
              <w:t>Exento de licencia, banda ISM</w:t>
            </w:r>
          </w:p>
        </w:tc>
      </w:tr>
    </w:tbl>
    <w:p w:rsidR="00A87E27" w:rsidRPr="009D06C9" w:rsidRDefault="00A87E27" w:rsidP="00A87E27">
      <w:pPr>
        <w:pStyle w:val="Tablefin"/>
        <w:rPr>
          <w:rFonts w:eastAsia="Batang"/>
          <w:lang w:val="es-ES_tradnl"/>
        </w:rPr>
      </w:pPr>
    </w:p>
    <w:p w:rsidR="00A87E27" w:rsidRPr="009D06C9" w:rsidRDefault="00A87E27" w:rsidP="00A87E27">
      <w:pPr>
        <w:rPr>
          <w:rFonts w:eastAsia="Batang"/>
          <w:lang w:val="es-ES_tradnl"/>
        </w:rPr>
      </w:pPr>
      <w:r w:rsidRPr="009D06C9">
        <w:rPr>
          <w:rFonts w:eastAsia="Batang"/>
          <w:lang w:val="es-ES_tradnl"/>
        </w:rPr>
        <w:lastRenderedPageBreak/>
        <w:t>La familia de tecnologías 3GPP2 cdma2000 Multiportadoras también se puede utilizar para aplicaciones de gestión de red eléctrica. Las bandas aplicables se definen en la especificación de clase de banda 3GPP2 C.S0057-E v1.0 para sistemas de espectro ensanchado cdma2000.</w:t>
      </w:r>
    </w:p>
    <w:p w:rsidR="00A87E27" w:rsidRPr="009D06C9" w:rsidRDefault="00A87E27" w:rsidP="00A87E27">
      <w:pPr>
        <w:pStyle w:val="Heading2"/>
        <w:rPr>
          <w:rFonts w:eastAsia="Batang"/>
          <w:lang w:val="es-ES_tradnl"/>
        </w:rPr>
      </w:pPr>
      <w:bookmarkStart w:id="26" w:name="_Toc498004353"/>
      <w:r w:rsidRPr="009D06C9">
        <w:rPr>
          <w:rFonts w:eastAsia="Batang"/>
          <w:lang w:val="es-ES_tradnl"/>
        </w:rPr>
        <w:t>4.4</w:t>
      </w:r>
      <w:r w:rsidRPr="009D06C9">
        <w:rPr>
          <w:rFonts w:eastAsia="Batang"/>
          <w:lang w:val="es-ES_tradnl"/>
        </w:rPr>
        <w:tab/>
        <w:t>Obtener una red resistente</w:t>
      </w:r>
      <w:bookmarkEnd w:id="26"/>
    </w:p>
    <w:p w:rsidR="00A87E27" w:rsidRPr="009D06C9" w:rsidRDefault="00A87E27" w:rsidP="00A87E27">
      <w:pPr>
        <w:rPr>
          <w:rFonts w:eastAsia="Batang"/>
          <w:lang w:val="es-ES_tradnl"/>
        </w:rPr>
      </w:pPr>
      <w:r w:rsidRPr="009D06C9">
        <w:rPr>
          <w:rFonts w:eastAsia="Batang"/>
          <w:lang w:val="es-ES_tradnl"/>
        </w:rPr>
        <w:t>Los operadores de redes utilizan tecnologías de teledetección en las líneas del tendido eléctrico para reunir información en tiempo real sobre la situación de la red. De este modo, los proveedores de infraestructuras nacionales esenciales pueden impedir interrupciones antes de que se produzcan y, si se producen, localizar rápidamente su emplazamiento. Para ello, la red inteligente utiliza diversas herramientas informáticas que reúnen y analizan datos de sensores repartidos en toda la red eléctrica que indican donde se producen bajas de rendimiento. Las empresas de distribución pueden maximizar sus programas de mantenimiento para impedir averías, y enviar rápidamente ingenieros al lugar del incidente, sin necesidad de recibir información del consumidor. En estos últimos años, cortes de corriente muy comentados en redes norteamericanas y europeas han convertido la seguridad del tendido eléctrico en una cuestión política, y con el envejecimiento de las redes, el número de interrupciones y de las consiguientes perturbaciones para los usuarios no harán más que aumentar. La red inteligente será una auténtica arma en esta lucha constante por el control.</w:t>
      </w:r>
    </w:p>
    <w:p w:rsidR="00A87E27" w:rsidRPr="009D06C9" w:rsidRDefault="00A87E27" w:rsidP="00A87E27">
      <w:pPr>
        <w:pStyle w:val="Heading1"/>
        <w:rPr>
          <w:rFonts w:eastAsia="Batang"/>
          <w:lang w:val="es-ES_tradnl"/>
        </w:rPr>
      </w:pPr>
      <w:bookmarkStart w:id="27" w:name="_Toc498004354"/>
      <w:r w:rsidRPr="009D06C9">
        <w:rPr>
          <w:rFonts w:eastAsia="Batang"/>
          <w:lang w:val="es-ES_tradnl" w:eastAsia="ko-KR"/>
        </w:rPr>
        <w:t>5</w:t>
      </w:r>
      <w:r w:rsidRPr="009D06C9">
        <w:rPr>
          <w:rFonts w:eastAsia="Batang"/>
          <w:lang w:val="es-ES_tradnl"/>
        </w:rPr>
        <w:tab/>
        <w:t>Descripción general de la arquitectura de referencia de la red inteligente</w:t>
      </w:r>
      <w:bookmarkEnd w:id="27"/>
    </w:p>
    <w:p w:rsidR="00A87E27" w:rsidRPr="009D06C9" w:rsidRDefault="00A87E27" w:rsidP="00A87E27">
      <w:pPr>
        <w:rPr>
          <w:rFonts w:eastAsia="Batang"/>
          <w:lang w:val="es-ES_tradnl"/>
        </w:rPr>
      </w:pPr>
      <w:r w:rsidRPr="009D06C9">
        <w:rPr>
          <w:rFonts w:eastAsia="Batang"/>
          <w:lang w:val="es-ES_tradnl"/>
        </w:rPr>
        <w:t>A continuación se muestra un ejemplo de arquitectura de referencia de red inteligente. Se ilustran los elementos siguientes</w:t>
      </w:r>
      <w:r w:rsidRPr="009D06C9">
        <w:rPr>
          <w:rStyle w:val="FootnoteReference"/>
          <w:rFonts w:eastAsia="Batang"/>
          <w:lang w:val="es-ES_tradnl"/>
        </w:rPr>
        <w:footnoteReference w:id="16"/>
      </w:r>
      <w:r w:rsidRPr="009D06C9">
        <w:rPr>
          <w:rFonts w:eastAsia="Batang"/>
          <w:lang w:val="es-ES_tradnl"/>
        </w:rPr>
        <w:t>:</w:t>
      </w:r>
    </w:p>
    <w:p w:rsidR="00A87E27" w:rsidRPr="009D06C9" w:rsidRDefault="00A87E27" w:rsidP="00A87E27">
      <w:pPr>
        <w:pStyle w:val="enumlev1"/>
        <w:rPr>
          <w:rFonts w:eastAsia="Batang"/>
          <w:lang w:val="es-ES_tradnl"/>
        </w:rPr>
      </w:pPr>
      <w:r w:rsidRPr="009D06C9">
        <w:rPr>
          <w:lang w:val="es-ES_tradnl" w:eastAsia="ja-JP"/>
        </w:rPr>
        <w:t>•</w:t>
      </w:r>
      <w:r w:rsidRPr="009D06C9">
        <w:rPr>
          <w:lang w:val="es-ES_tradnl" w:eastAsia="ja-JP"/>
        </w:rPr>
        <w:tab/>
      </w:r>
      <w:r w:rsidRPr="009D06C9">
        <w:rPr>
          <w:rFonts w:eastAsia="Batang"/>
          <w:lang w:val="es-ES_tradnl"/>
        </w:rPr>
        <w:t>Red doméstica (HAN</w:t>
      </w:r>
      <w:r w:rsidRPr="009D06C9">
        <w:rPr>
          <w:rFonts w:eastAsia="Batang"/>
          <w:i/>
          <w:iCs/>
          <w:lang w:val="es-ES_tradnl"/>
        </w:rPr>
        <w:t>, home area network</w:t>
      </w:r>
      <w:r w:rsidRPr="009D06C9">
        <w:rPr>
          <w:rFonts w:eastAsia="Batang"/>
          <w:lang w:val="es-ES_tradnl"/>
        </w:rPr>
        <w:t>) – Red de dispositivos de gestión de energía, dispositivos digitales de consumo, aparatos controlados o permitidos por señal y aplicaciones en un entorno doméstico que se encuentra en el lado doméstico del medidor eléctrico.</w:t>
      </w:r>
    </w:p>
    <w:p w:rsidR="00A87E27" w:rsidRPr="009D06C9" w:rsidRDefault="00A87E27" w:rsidP="00A87E27">
      <w:pPr>
        <w:pStyle w:val="enumlev1"/>
        <w:rPr>
          <w:rFonts w:eastAsia="Batang"/>
          <w:lang w:val="es-ES_tradnl"/>
        </w:rPr>
      </w:pPr>
      <w:r w:rsidRPr="009D06C9">
        <w:rPr>
          <w:lang w:val="es-ES_tradnl" w:eastAsia="ja-JP"/>
        </w:rPr>
        <w:t>•</w:t>
      </w:r>
      <w:r w:rsidRPr="009D06C9">
        <w:rPr>
          <w:lang w:val="es-ES_tradnl" w:eastAsia="ja-JP"/>
        </w:rPr>
        <w:tab/>
        <w:t xml:space="preserve">Red de campo </w:t>
      </w:r>
      <w:r w:rsidRPr="009D06C9">
        <w:rPr>
          <w:rFonts w:eastAsia="Batang"/>
          <w:lang w:val="es-ES_tradnl"/>
        </w:rPr>
        <w:t>(FAN</w:t>
      </w:r>
      <w:r w:rsidRPr="009D06C9">
        <w:rPr>
          <w:rFonts w:eastAsia="Batang"/>
          <w:i/>
          <w:iCs/>
          <w:lang w:val="es-ES_tradnl"/>
        </w:rPr>
        <w:t>, field area network</w:t>
      </w:r>
      <w:r w:rsidRPr="009D06C9">
        <w:rPr>
          <w:rFonts w:eastAsia="Batang"/>
          <w:lang w:val="es-ES_tradnl"/>
        </w:rPr>
        <w:t>) – Red concebida para proporcionar conectividad a dispositivos DA en el terreno. La FAN puede proporcionar un trayecto de conectividad de retorno a la subestación que se encuentra antes de los dispositivos DA en el terreno o conectividad que contorna las subestaciones y enlaza los dispositivos DA en el terreno en un sistema centralizado de gestión y control (comúnmente llamado sistema SCADA).</w:t>
      </w:r>
    </w:p>
    <w:p w:rsidR="00A87E27" w:rsidRPr="009D06C9" w:rsidRDefault="00A87E27" w:rsidP="00A87E27">
      <w:pPr>
        <w:pStyle w:val="enumlev1"/>
        <w:rPr>
          <w:rFonts w:eastAsia="Batang"/>
          <w:lang w:val="es-ES_tradnl"/>
        </w:rPr>
      </w:pPr>
      <w:r w:rsidRPr="009D06C9">
        <w:rPr>
          <w:lang w:val="es-ES_tradnl" w:eastAsia="ja-JP"/>
        </w:rPr>
        <w:t>•</w:t>
      </w:r>
      <w:r w:rsidRPr="009D06C9">
        <w:rPr>
          <w:lang w:val="es-ES_tradnl" w:eastAsia="ja-JP"/>
        </w:rPr>
        <w:tab/>
      </w:r>
      <w:r w:rsidRPr="009D06C9">
        <w:rPr>
          <w:rFonts w:eastAsia="Batang"/>
          <w:lang w:val="es-ES_tradnl"/>
        </w:rPr>
        <w:t>Red de barrio (NAN,</w:t>
      </w:r>
      <w:r w:rsidRPr="009D06C9">
        <w:rPr>
          <w:rFonts w:eastAsia="Batang"/>
          <w:i/>
          <w:iCs/>
          <w:lang w:val="es-ES_tradnl"/>
        </w:rPr>
        <w:t xml:space="preserve"> neighborhood area network</w:t>
      </w:r>
      <w:r w:rsidRPr="009D06C9">
        <w:rPr>
          <w:rFonts w:eastAsia="Batang"/>
          <w:lang w:val="es-ES_tradnl"/>
        </w:rPr>
        <w:t>) – Sistema de red destinado a proporcionar conectividad directa con dispositivos finales de red inteligente en una zona geográfica relativamente pequeña. En la práctica, una NAN puede abarcar una zona de varias manzanas en un entorno urbano, o zonas de varios kilómetros de lado en un entorno rural.</w:t>
      </w:r>
    </w:p>
    <w:p w:rsidR="00A87E27" w:rsidRPr="009D06C9" w:rsidRDefault="00A87E27" w:rsidP="00A87E27">
      <w:pPr>
        <w:pStyle w:val="enumlev1"/>
        <w:rPr>
          <w:rFonts w:eastAsia="Batang"/>
          <w:lang w:val="es-ES_tradnl"/>
        </w:rPr>
      </w:pPr>
      <w:r w:rsidRPr="009D06C9">
        <w:rPr>
          <w:lang w:val="es-ES_tradnl" w:eastAsia="ja-JP"/>
        </w:rPr>
        <w:t>•</w:t>
      </w:r>
      <w:r w:rsidRPr="009D06C9">
        <w:rPr>
          <w:lang w:val="es-ES_tradnl" w:eastAsia="ja-JP"/>
        </w:rPr>
        <w:tab/>
      </w:r>
      <w:r w:rsidRPr="009D06C9">
        <w:rPr>
          <w:rFonts w:eastAsia="Batang"/>
          <w:lang w:val="es-ES_tradnl"/>
        </w:rPr>
        <w:t>Red de área extensa (WAN,</w:t>
      </w:r>
      <w:r w:rsidRPr="009D06C9">
        <w:rPr>
          <w:rFonts w:eastAsia="Batang"/>
          <w:i/>
          <w:lang w:val="es-ES_tradnl"/>
        </w:rPr>
        <w:t xml:space="preserve"> wide area network</w:t>
      </w:r>
      <w:r w:rsidRPr="009D06C9">
        <w:rPr>
          <w:rFonts w:eastAsia="Batang"/>
          <w:lang w:val="es-ES_tradnl"/>
        </w:rPr>
        <w:t>)</w:t>
      </w:r>
      <w:r w:rsidRPr="009D06C9">
        <w:rPr>
          <w:lang w:val="es-ES_tradnl"/>
        </w:rPr>
        <w:t>.</w:t>
      </w:r>
    </w:p>
    <w:p w:rsidR="00A87E27" w:rsidRPr="009D06C9" w:rsidRDefault="00A87E27" w:rsidP="00A87E27">
      <w:pPr>
        <w:pStyle w:val="enumlev1"/>
        <w:rPr>
          <w:rFonts w:eastAsia="Batang"/>
          <w:lang w:val="es-ES_tradnl"/>
        </w:rPr>
      </w:pPr>
      <w:r w:rsidRPr="009D06C9">
        <w:rPr>
          <w:lang w:val="es-ES_tradnl" w:eastAsia="ja-JP"/>
        </w:rPr>
        <w:t>•</w:t>
      </w:r>
      <w:r w:rsidRPr="009D06C9">
        <w:rPr>
          <w:lang w:val="es-ES_tradnl" w:eastAsia="ja-JP"/>
        </w:rPr>
        <w:tab/>
      </w:r>
      <w:r w:rsidRPr="009D06C9">
        <w:rPr>
          <w:rFonts w:eastAsia="Batang"/>
          <w:lang w:val="es-ES_tradnl"/>
        </w:rPr>
        <w:t>Punto de agregación de datos (DAP,</w:t>
      </w:r>
      <w:r w:rsidRPr="009D06C9">
        <w:rPr>
          <w:rFonts w:eastAsia="Batang"/>
          <w:i/>
          <w:iCs/>
          <w:lang w:val="es-ES_tradnl"/>
        </w:rPr>
        <w:t xml:space="preserve"> data aggregation point</w:t>
      </w:r>
      <w:r w:rsidRPr="009D06C9">
        <w:rPr>
          <w:rFonts w:eastAsia="Batang"/>
          <w:lang w:val="es-ES_tradnl"/>
        </w:rPr>
        <w:t>) – Este dispositivo es un actor lógico que representa una transición en la mayoría de las redes AMI entre redes de área local y redes de barrio (</w:t>
      </w:r>
      <w:r w:rsidRPr="009D06C9">
        <w:rPr>
          <w:rFonts w:eastAsia="MS PGothic"/>
          <w:lang w:val="es-ES_tradnl" w:eastAsia="ja-JP"/>
        </w:rPr>
        <w:t>por ejemplo:</w:t>
      </w:r>
      <w:r w:rsidRPr="009D06C9">
        <w:rPr>
          <w:rFonts w:eastAsia="Batang"/>
          <w:lang w:val="es-ES_tradnl"/>
        </w:rPr>
        <w:t xml:space="preserve"> colector, retransmisión de célula, estación de base, punto de acceso, etc.).</w:t>
      </w:r>
    </w:p>
    <w:p w:rsidR="00A87E27" w:rsidRPr="009D06C9" w:rsidRDefault="00A87E27" w:rsidP="00A87E27">
      <w:pPr>
        <w:pStyle w:val="enumlev1"/>
        <w:rPr>
          <w:rFonts w:eastAsia="Batang"/>
          <w:lang w:val="es-ES_tradnl"/>
        </w:rPr>
      </w:pPr>
      <w:r w:rsidRPr="009D06C9">
        <w:rPr>
          <w:lang w:val="es-ES_tradnl" w:eastAsia="ja-JP"/>
        </w:rPr>
        <w:t>•</w:t>
      </w:r>
      <w:r w:rsidRPr="009D06C9">
        <w:rPr>
          <w:lang w:val="es-ES_tradnl" w:eastAsia="ja-JP"/>
        </w:rPr>
        <w:tab/>
      </w:r>
      <w:r w:rsidRPr="009D06C9">
        <w:rPr>
          <w:rFonts w:eastAsia="Batang"/>
          <w:lang w:val="es-ES_tradnl"/>
        </w:rPr>
        <w:t>Infraestructura de medición avanzada (AMI</w:t>
      </w:r>
      <w:r w:rsidRPr="009D06C9">
        <w:rPr>
          <w:rFonts w:eastAsia="Batang"/>
          <w:i/>
          <w:iCs/>
          <w:lang w:val="es-ES_tradnl"/>
        </w:rPr>
        <w:t>, advanced metering infrastructure</w:t>
      </w:r>
      <w:r w:rsidRPr="009D06C9">
        <w:rPr>
          <w:rFonts w:eastAsia="Batang"/>
          <w:lang w:val="es-ES_tradnl"/>
        </w:rPr>
        <w:t>) – Sistema de red concebido específicamente para soportar conectividad bidireccional con medidores eléctricos, de gas y agua, o más concretamente para medidores AMI y, potencialmente, la interfaz de servicio energético para el servicio público.</w:t>
      </w:r>
    </w:p>
    <w:p w:rsidR="00A87E27" w:rsidRPr="009D06C9" w:rsidRDefault="00A87E27" w:rsidP="00A87E27">
      <w:pPr>
        <w:pStyle w:val="enumlev1"/>
        <w:rPr>
          <w:rFonts w:eastAsia="Batang"/>
          <w:lang w:val="es-ES_tradnl"/>
        </w:rPr>
      </w:pPr>
      <w:r w:rsidRPr="009D06C9">
        <w:rPr>
          <w:lang w:val="es-ES_tradnl" w:eastAsia="ja-JP"/>
        </w:rPr>
        <w:t>•</w:t>
      </w:r>
      <w:r w:rsidRPr="009D06C9">
        <w:rPr>
          <w:lang w:val="es-ES_tradnl" w:eastAsia="ja-JP"/>
        </w:rPr>
        <w:tab/>
      </w:r>
      <w:r w:rsidRPr="009D06C9">
        <w:rPr>
          <w:rFonts w:eastAsia="Batang"/>
          <w:lang w:val="es-ES_tradnl"/>
        </w:rPr>
        <w:t>Control de supervisión y adquisición de datos (SCADA</w:t>
      </w:r>
      <w:r w:rsidRPr="009D06C9">
        <w:rPr>
          <w:rFonts w:eastAsia="Batang"/>
          <w:i/>
          <w:iCs/>
          <w:lang w:val="es-ES_tradnl"/>
        </w:rPr>
        <w:t>, supervisory control and data acquisition</w:t>
      </w:r>
      <w:r w:rsidRPr="009D06C9">
        <w:rPr>
          <w:rFonts w:eastAsia="Batang"/>
          <w:lang w:val="es-ES_tradnl"/>
        </w:rPr>
        <w:t>) – Sistema utilizado para supervisar rutinariamente operaciones de red de distribución eléctrica y realizar controles supervisados, en su caso.</w:t>
      </w:r>
    </w:p>
    <w:p w:rsidR="00A87E27" w:rsidRPr="009D06C9" w:rsidRDefault="00A87E27" w:rsidP="00A87E27">
      <w:pPr>
        <w:pStyle w:val="enumlev1"/>
        <w:rPr>
          <w:rFonts w:eastAsia="Batang"/>
          <w:lang w:val="es-ES_tradnl"/>
        </w:rPr>
      </w:pPr>
      <w:r w:rsidRPr="009D06C9">
        <w:rPr>
          <w:lang w:val="es-ES_tradnl" w:eastAsia="ja-JP"/>
        </w:rPr>
        <w:lastRenderedPageBreak/>
        <w:t>•</w:t>
      </w:r>
      <w:r w:rsidRPr="009D06C9">
        <w:rPr>
          <w:lang w:val="es-ES_tradnl" w:eastAsia="ja-JP"/>
        </w:rPr>
        <w:tab/>
      </w:r>
      <w:r w:rsidRPr="009D06C9">
        <w:rPr>
          <w:rFonts w:eastAsia="Batang"/>
          <w:lang w:val="es-ES_tradnl"/>
        </w:rPr>
        <w:t>Procesador frontal (FEP</w:t>
      </w:r>
      <w:r w:rsidRPr="009D06C9">
        <w:rPr>
          <w:rFonts w:eastAsia="Batang"/>
          <w:i/>
          <w:iCs/>
          <w:lang w:val="es-ES_tradnl"/>
        </w:rPr>
        <w:t>, front-end processor</w:t>
      </w:r>
      <w:r w:rsidRPr="009D06C9">
        <w:rPr>
          <w:rFonts w:eastAsia="Batang"/>
          <w:lang w:val="es-ES_tradnl"/>
        </w:rPr>
        <w:t>) – Este dispositivo sirve de conducto primario para enviar comandos desde DMS/SCADA y recibir información desde dispositivos en el terreno desplegados en la red de distribución.</w:t>
      </w:r>
    </w:p>
    <w:p w:rsidR="00A87E27" w:rsidRPr="009D06C9" w:rsidRDefault="00A87E27" w:rsidP="00A87E27">
      <w:pPr>
        <w:pStyle w:val="FigureNo"/>
        <w:rPr>
          <w:lang w:val="es-ES_tradnl"/>
        </w:rPr>
      </w:pPr>
      <w:r w:rsidRPr="009D06C9">
        <w:rPr>
          <w:lang w:val="es-ES_tradnl"/>
        </w:rPr>
        <w:t>Figura 1</w:t>
      </w:r>
    </w:p>
    <w:p w:rsidR="00A87E27" w:rsidRPr="009D06C9" w:rsidRDefault="00A87E27" w:rsidP="00A87E27">
      <w:pPr>
        <w:pStyle w:val="Figuretitle"/>
        <w:rPr>
          <w:rFonts w:eastAsia="Batang"/>
          <w:lang w:val="es-ES_tradnl"/>
        </w:rPr>
      </w:pPr>
      <w:r w:rsidRPr="009D06C9">
        <w:rPr>
          <w:lang w:val="es-ES_tradnl"/>
        </w:rPr>
        <w:t>Ejemplo de red inteligente</w:t>
      </w:r>
    </w:p>
    <w:p w:rsidR="00A87E27" w:rsidRPr="009D06C9" w:rsidRDefault="00A87E27" w:rsidP="00A87E27">
      <w:pPr>
        <w:pStyle w:val="Figure"/>
        <w:rPr>
          <w:lang w:val="es-ES_tradnl"/>
        </w:rPr>
      </w:pPr>
      <w:r w:rsidRPr="009D06C9">
        <w:rPr>
          <w:lang w:val="es-ES_tradnl"/>
        </w:rPr>
        <w:object w:dxaOrig="5823" w:dyaOrig="4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345.6pt" o:ole="">
            <v:imagedata r:id="rId13" o:title=""/>
          </v:shape>
          <o:OLEObject Type="Embed" ProgID="CorelDRAW.Graphic.14" ShapeID="_x0000_i1025" DrawAspect="Content" ObjectID="_1572074329" r:id="rId14"/>
        </w:object>
      </w:r>
    </w:p>
    <w:p w:rsidR="00A87E27" w:rsidRPr="009D06C9" w:rsidRDefault="00A87E27" w:rsidP="00A87E27">
      <w:pPr>
        <w:rPr>
          <w:rFonts w:eastAsia="Batang"/>
          <w:lang w:val="es-ES_tradnl"/>
        </w:rPr>
      </w:pPr>
      <w:r w:rsidRPr="009D06C9">
        <w:rPr>
          <w:rFonts w:eastAsia="Batang"/>
          <w:lang w:val="es-ES_tradnl"/>
        </w:rPr>
        <w:t>Una norma inalámbrica determinada puede aplicarse en más de uno de esos ámbitos. Además, en algunas aplicaciones se puede obtener un cierto número de enlaces con soluciones alámbricas.</w:t>
      </w:r>
    </w:p>
    <w:p w:rsidR="00A87E27" w:rsidRPr="009D06C9" w:rsidRDefault="00A87E27" w:rsidP="00A87E27">
      <w:pPr>
        <w:rPr>
          <w:lang w:val="es-ES_tradnl"/>
        </w:rPr>
      </w:pPr>
      <w:r w:rsidRPr="009D06C9">
        <w:rPr>
          <w:lang w:val="es-ES_tradnl"/>
        </w:rPr>
        <w:t>Se han formulado diversas opiniones (por ejemplo durante las consultas del Departamento de Energía y Cambio Climático del Reino Unido</w:t>
      </w:r>
      <w:r w:rsidRPr="009D06C9">
        <w:rPr>
          <w:rStyle w:val="FootnoteReference"/>
          <w:lang w:val="es-ES_tradnl"/>
        </w:rPr>
        <w:footnoteReference w:id="17"/>
      </w:r>
      <w:r w:rsidRPr="009D06C9">
        <w:rPr>
          <w:lang w:val="es-ES_tradnl"/>
        </w:rPr>
        <w:t>) sobre si las frecuencias utilizadas para las componentes inalámbricas de las comunicaciones de red inteligente deberían encontrarse en bandas atribuidas y protegidas a tal efecto o en bandas no reglamentadas (por ejemplo, bandas exentas de licencia). Debe tenerse en cuenta que los datos de facturación y tarificación se consideran datos personales en varios países y, por consiguiente, están estrictamente protegidos por legislaciones de protección de datos.</w:t>
      </w:r>
    </w:p>
    <w:p w:rsidR="00A87E27" w:rsidRPr="009D06C9" w:rsidRDefault="00A87E27" w:rsidP="00A87E27">
      <w:pPr>
        <w:rPr>
          <w:lang w:val="es-ES_tradnl"/>
        </w:rPr>
      </w:pPr>
      <w:r w:rsidRPr="009D06C9">
        <w:rPr>
          <w:lang w:val="es-ES_tradnl"/>
        </w:rPr>
        <w:t>Muchas tecnologías inalámbricas ofrecen una fuerte seguridad y privacidad para proteger los datos de usuario en aplicaciones de red inteligente. Por ejemplo, las normas IEEE 802 proporcionan privacidad y seguridad robustas a nivel de enlace, apropiada para proteger datos personales en redes alámbricas e inalámbricas (en bandas con licencia y sin licencia), y las tecnologías 3GPP ofrecen medios para autorización, autenticación, privacidad y seguridad a escala de la red.</w:t>
      </w:r>
    </w:p>
    <w:p w:rsidR="00A87E27" w:rsidRPr="009D06C9" w:rsidRDefault="00A87E27" w:rsidP="00A87E27">
      <w:pPr>
        <w:pStyle w:val="Heading1"/>
        <w:rPr>
          <w:rFonts w:eastAsia="Batang"/>
          <w:lang w:val="es-ES_tradnl"/>
        </w:rPr>
      </w:pPr>
      <w:bookmarkStart w:id="28" w:name="_Toc498004355"/>
      <w:r w:rsidRPr="009D06C9">
        <w:rPr>
          <w:rFonts w:eastAsia="Batang"/>
          <w:lang w:val="es-ES_tradnl"/>
        </w:rPr>
        <w:lastRenderedPageBreak/>
        <w:t>6</w:t>
      </w:r>
      <w:r w:rsidRPr="009D06C9">
        <w:rPr>
          <w:rFonts w:eastAsia="Batang"/>
          <w:lang w:val="es-ES_tradnl"/>
        </w:rPr>
        <w:tab/>
        <w:t>Normas sobre cables y líneas eléctricas para telecomunicaciones por la red eléctrica</w:t>
      </w:r>
      <w:bookmarkEnd w:id="28"/>
    </w:p>
    <w:p w:rsidR="00A87E27" w:rsidRPr="009D06C9" w:rsidRDefault="00A87E27" w:rsidP="00A87E27">
      <w:pPr>
        <w:rPr>
          <w:rFonts w:eastAsia="Batang"/>
          <w:lang w:val="es-ES_tradnl"/>
        </w:rPr>
      </w:pPr>
      <w:r w:rsidRPr="009D06C9">
        <w:rPr>
          <w:rFonts w:eastAsia="Batang"/>
          <w:lang w:val="es-ES_tradnl"/>
        </w:rPr>
        <w:t>Las redes inteligentes recurrirán a tecnologías alámbricas e inalámbricas para proporcionar los trayectos de conectividad y comunicación necesarios para tratar los ingentes flujos de datos que generan las redes de distribución de servicios públicos.</w:t>
      </w:r>
    </w:p>
    <w:p w:rsidR="00A87E27" w:rsidRPr="00EE026E" w:rsidRDefault="00A87E27" w:rsidP="00A87E27">
      <w:pPr>
        <w:pStyle w:val="Heading2"/>
        <w:rPr>
          <w:rFonts w:eastAsia="Batang"/>
          <w:lang w:val="es-ES_tradnl"/>
        </w:rPr>
      </w:pPr>
      <w:bookmarkStart w:id="29" w:name="_Toc459300291"/>
      <w:bookmarkStart w:id="30" w:name="_Toc498004356"/>
      <w:r w:rsidRPr="00EE026E">
        <w:rPr>
          <w:rFonts w:eastAsia="Batang"/>
          <w:lang w:val="es-ES_tradnl"/>
        </w:rPr>
        <w:t>6.1</w:t>
      </w:r>
      <w:r w:rsidRPr="00EE026E">
        <w:rPr>
          <w:rFonts w:eastAsia="Batang"/>
          <w:lang w:val="es-ES_tradnl"/>
        </w:rPr>
        <w:tab/>
        <w:t>Comunicaciones de red eléctrica por las líneas eléctricas</w:t>
      </w:r>
      <w:bookmarkEnd w:id="29"/>
      <w:bookmarkEnd w:id="30"/>
    </w:p>
    <w:p w:rsidR="00A87E27" w:rsidRPr="009D06C9" w:rsidRDefault="00A87E27" w:rsidP="00A87E27">
      <w:pPr>
        <w:rPr>
          <w:lang w:val="es-ES_tradnl"/>
        </w:rPr>
      </w:pPr>
      <w:r w:rsidRPr="009D06C9">
        <w:rPr>
          <w:rFonts w:eastAsia="Batang"/>
          <w:lang w:val="es-ES_tradnl"/>
        </w:rPr>
        <w:t>Al principio se contemplaron las comunicaciones/telecomunicaciones por línea eléctrica (PLC), partiendo de la hipótesis simplista de que el propio tendido eléctrico ofrecía una conectividad ubicua en todos los puntos de la red de abastecimiento eléctrico y que los datos necesarios se podían enviar de un extremo a otro de las propias líneas eléctricas, pero se ignoraron algunos puntos importantes como la atenuación y el ruido en las líneas eléctricas, el encaminamiento de las señales por la red y, sobre todo la integridad de los datos</w:t>
      </w:r>
      <w:r w:rsidRPr="009D06C9">
        <w:rPr>
          <w:lang w:val="es-ES_tradnl"/>
        </w:rPr>
        <w:t>.</w:t>
      </w:r>
    </w:p>
    <w:p w:rsidR="00A87E27" w:rsidRPr="009D06C9" w:rsidRDefault="00A87E27" w:rsidP="00A87E27">
      <w:pPr>
        <w:rPr>
          <w:lang w:val="es-ES_tradnl"/>
        </w:rPr>
      </w:pPr>
      <w:r w:rsidRPr="009D06C9">
        <w:rPr>
          <w:lang w:val="es-ES_tradnl"/>
        </w:rPr>
        <w:t>La intervención del UIT</w:t>
      </w:r>
      <w:r w:rsidRPr="009D06C9">
        <w:rPr>
          <w:lang w:val="es-ES_tradnl"/>
        </w:rPr>
        <w:noBreakHyphen/>
        <w:t>T en las PLC se debió a que se pensaba que, si bien el tendido eléctrico se utilizaba cada vez más para transmitir datos, las líneas eléctricas no estaban diseñadas ni concebidas para las comunicaciones. En particular, el UIT T tenía inquietudes con respecto a los cables no blindados y sin trenzar utilizados para transportar electricidad, que están sujetos a fuertes interferencias de todo tipo</w:t>
      </w:r>
      <w:r w:rsidRPr="009D06C9">
        <w:rPr>
          <w:position w:val="6"/>
          <w:sz w:val="18"/>
          <w:lang w:val="es-ES_tradnl"/>
        </w:rPr>
        <w:footnoteReference w:id="18"/>
      </w:r>
      <w:r w:rsidRPr="009D06C9">
        <w:rPr>
          <w:lang w:val="es-ES_tradnl"/>
        </w:rPr>
        <w:t>; muchos dispositivos eléctricos también son fuentes de ruido en los cables.</w:t>
      </w:r>
    </w:p>
    <w:p w:rsidR="00A87E27" w:rsidRPr="009D06C9" w:rsidRDefault="00A87E27" w:rsidP="00A87E27">
      <w:pPr>
        <w:rPr>
          <w:lang w:val="es-ES_tradnl"/>
        </w:rPr>
      </w:pPr>
      <w:r w:rsidRPr="009D06C9">
        <w:rPr>
          <w:lang w:val="es-ES_tradnl"/>
        </w:rPr>
        <w:t>Dada la sensibilidad de la comunicación por línea eléctrica a las interferencias, desde 2010 la Comisión de Estudio 15 del UIT-T ha desarrollado tecnologías avanzadas de comunicaciones y mitigación del ruido para aplicaciones PLC de uso general en la familia de Recomendaciones UIT</w:t>
      </w:r>
      <w:r w:rsidRPr="009D06C9">
        <w:rPr>
          <w:lang w:val="es-ES_tradnl"/>
        </w:rPr>
        <w:noBreakHyphen/>
        <w:t>T G.9960. Más recientemente, el UIT</w:t>
      </w:r>
      <w:r w:rsidRPr="009D06C9">
        <w:rPr>
          <w:lang w:val="es-ES_tradnl"/>
        </w:rPr>
        <w:noBreakHyphen/>
        <w:t>T ha desarrollado un conjunto de tecnologías de comunicaciones de banda estrecha por línea eléctrica (</w:t>
      </w:r>
      <w:r w:rsidRPr="009D06C9">
        <w:rPr>
          <w:i/>
          <w:iCs/>
          <w:lang w:val="es-ES_tradnl"/>
        </w:rPr>
        <w:t>narrow band power line communications</w:t>
      </w:r>
      <w:r w:rsidRPr="009D06C9">
        <w:rPr>
          <w:lang w:val="es-ES_tradnl"/>
        </w:rPr>
        <w:t>, NB</w:t>
      </w:r>
      <w:r w:rsidRPr="009D06C9">
        <w:rPr>
          <w:lang w:val="es-ES_tradnl"/>
        </w:rPr>
        <w:noBreakHyphen/>
        <w:t>PLC) en la familia de Recomendaciones UIT</w:t>
      </w:r>
      <w:r w:rsidRPr="009D06C9">
        <w:rPr>
          <w:lang w:val="es-ES_tradnl"/>
        </w:rPr>
        <w:noBreakHyphen/>
        <w:t>T G.990x (G.9901, G.9902, G.9903, G.9904) (ex G.9955</w:t>
      </w:r>
      <w:r w:rsidRPr="009D06C9">
        <w:rPr>
          <w:szCs w:val="24"/>
          <w:lang w:val="es-ES_tradnl"/>
        </w:rPr>
        <w:t>) que han sido concebidas específicamente para conectividad y comunicaciones por red inteligente. Se ha demostrado que dos de esas Recomendaciones (G.9903 y G.9904) cumplen su cometido en instalaciones efectuadas en varios países de Europa, Asia y las Américas. La Asociación de normas IEEE tiene normas que utilizan PLC para aplicaciones de red inteligente, como por ejemplo la norma IEEE 1901.2-2013</w:t>
      </w:r>
      <w:r w:rsidRPr="009D06C9">
        <w:rPr>
          <w:lang w:val="es-ES_tradnl"/>
        </w:rPr>
        <w:t>.</w:t>
      </w:r>
    </w:p>
    <w:p w:rsidR="00A87E27" w:rsidRPr="009D06C9" w:rsidRDefault="00A87E27" w:rsidP="00A87E27">
      <w:pPr>
        <w:rPr>
          <w:lang w:val="es-ES_tradnl"/>
        </w:rPr>
      </w:pPr>
      <w:r w:rsidRPr="009D06C9">
        <w:rPr>
          <w:lang w:val="es-ES_tradnl"/>
        </w:rPr>
        <w:t>Las gamas de frecuencias definidas para NB-PLC en la familia de Recomendaciones UIT-T G.990x (ex. G.9955) (Véase el Cuadro 2 de G.9901, G.9902, G.9903, G.9904) (ex G.9955</w:t>
      </w:r>
      <w:r w:rsidRPr="009D06C9">
        <w:rPr>
          <w:szCs w:val="24"/>
          <w:lang w:val="es-ES_tradnl"/>
        </w:rPr>
        <w:t>)</w:t>
      </w:r>
      <w:r w:rsidRPr="009D06C9">
        <w:rPr>
          <w:lang w:val="es-ES_tradnl"/>
        </w:rPr>
        <w:t xml:space="preserve"> son las que ya están designadas para uso por PLT, en Europa por el CENELEC</w:t>
      </w:r>
      <w:r w:rsidRPr="009D06C9">
        <w:rPr>
          <w:rStyle w:val="FootnoteReference"/>
          <w:lang w:val="es-ES_tradnl"/>
        </w:rPr>
        <w:footnoteReference w:id="19"/>
      </w:r>
      <w:r w:rsidRPr="009D06C9">
        <w:rPr>
          <w:lang w:val="es-ES_tradnl"/>
        </w:rPr>
        <w:t xml:space="preserve"> y la CEPT</w:t>
      </w:r>
      <w:r w:rsidRPr="009D06C9">
        <w:rPr>
          <w:rStyle w:val="FootnoteReference"/>
          <w:lang w:val="es-ES_tradnl"/>
        </w:rPr>
        <w:footnoteReference w:id="20"/>
      </w:r>
      <w:r w:rsidRPr="009D06C9">
        <w:rPr>
          <w:lang w:val="es-ES_tradnl"/>
        </w:rPr>
        <w:t>, para EE.UU. por la FCC, y para Japón por ARIB. Además, los límites de interferencia conducida y radiada fijados en la familia de Recomendaciones UIT-T G.990x cumplen la norma CEI CISPR 22, «</w:t>
      </w:r>
      <w:r w:rsidRPr="009D06C9">
        <w:rPr>
          <w:i/>
          <w:lang w:val="es-ES_tradnl"/>
        </w:rPr>
        <w:t>Information technology equipment – Radio disturbance characteristics – Limits and methods of measurement»</w:t>
      </w:r>
      <w:r w:rsidRPr="009D06C9">
        <w:rPr>
          <w:lang w:val="es-ES_tradnl"/>
        </w:rPr>
        <w:t>, y también la norma CENELEC EN 50065-1 (2011) para frecuencias por debajo de 148,5 kHz.</w:t>
      </w:r>
    </w:p>
    <w:p w:rsidR="00A87E27" w:rsidRPr="00EE026E" w:rsidRDefault="00A87E27" w:rsidP="00A87E27">
      <w:pPr>
        <w:pStyle w:val="TableNo"/>
        <w:rPr>
          <w:lang w:val="es-ES_tradnl" w:eastAsia="ar-SA"/>
        </w:rPr>
      </w:pPr>
      <w:r w:rsidRPr="00EE026E">
        <w:rPr>
          <w:lang w:val="es-ES_tradnl"/>
        </w:rPr>
        <w:lastRenderedPageBreak/>
        <w:t xml:space="preserve">CUADRO </w:t>
      </w:r>
      <w:r w:rsidRPr="00EE026E">
        <w:rPr>
          <w:lang w:val="es-ES_tradnl" w:eastAsia="ar-SA"/>
        </w:rPr>
        <w:t>2</w:t>
      </w:r>
    </w:p>
    <w:p w:rsidR="00A87E27" w:rsidRPr="00EE026E" w:rsidRDefault="00A87E27" w:rsidP="00A87E27">
      <w:pPr>
        <w:pStyle w:val="Tabletitle"/>
        <w:tabs>
          <w:tab w:val="left" w:pos="1075"/>
          <w:tab w:val="center" w:pos="4819"/>
        </w:tabs>
        <w:rPr>
          <w:lang w:val="es-ES_tradnl"/>
        </w:rPr>
      </w:pPr>
      <w:r w:rsidRPr="00EE026E">
        <w:rPr>
          <w:lang w:val="es-ES_tradnl"/>
        </w:rPr>
        <w:t>Recomendaciones UIT-T relacionadas con las comunicaciones</w:t>
      </w:r>
      <w:r w:rsidRPr="009D06C9">
        <w:rPr>
          <w:lang w:val="es-ES_tradnl"/>
        </w:rPr>
        <w:t xml:space="preserve"> de la red eléctrica inteligente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394"/>
      </w:tblGrid>
      <w:tr w:rsidR="00A87E27" w:rsidRPr="009D06C9" w:rsidTr="00090ED8">
        <w:trPr>
          <w:tblHeader/>
          <w:jc w:val="center"/>
        </w:trPr>
        <w:tc>
          <w:tcPr>
            <w:tcW w:w="2161" w:type="dxa"/>
            <w:shd w:val="clear" w:color="auto" w:fill="auto"/>
            <w:hideMark/>
          </w:tcPr>
          <w:p w:rsidR="00A87E27" w:rsidRPr="00EE026E" w:rsidRDefault="00A87E27" w:rsidP="00090ED8">
            <w:pPr>
              <w:pStyle w:val="Tablehead"/>
              <w:rPr>
                <w:lang w:val="es-ES_tradnl"/>
              </w:rPr>
            </w:pPr>
            <w:r w:rsidRPr="00EE026E">
              <w:rPr>
                <w:lang w:val="es-ES_tradnl"/>
              </w:rPr>
              <w:t>Recomendación Nº</w:t>
            </w:r>
          </w:p>
        </w:tc>
        <w:tc>
          <w:tcPr>
            <w:tcW w:w="7119" w:type="dxa"/>
            <w:shd w:val="clear" w:color="auto" w:fill="auto"/>
            <w:hideMark/>
          </w:tcPr>
          <w:p w:rsidR="00A87E27" w:rsidRPr="00EE026E" w:rsidRDefault="00A87E27" w:rsidP="00090ED8">
            <w:pPr>
              <w:pStyle w:val="Tablehead"/>
              <w:rPr>
                <w:szCs w:val="22"/>
                <w:lang w:val="es-ES_tradnl"/>
              </w:rPr>
            </w:pPr>
            <w:r w:rsidRPr="00EE026E">
              <w:rPr>
                <w:szCs w:val="22"/>
                <w:lang w:val="es-ES_tradnl"/>
              </w:rPr>
              <w:t>Título de la Recomendación</w:t>
            </w:r>
          </w:p>
        </w:tc>
      </w:tr>
      <w:tr w:rsidR="00A87E27" w:rsidRPr="00D30DBF" w:rsidTr="00090ED8">
        <w:trPr>
          <w:jc w:val="center"/>
        </w:trPr>
        <w:tc>
          <w:tcPr>
            <w:tcW w:w="2161" w:type="dxa"/>
            <w:shd w:val="clear" w:color="auto" w:fill="auto"/>
            <w:hideMark/>
          </w:tcPr>
          <w:p w:rsidR="00A87E27" w:rsidRPr="009B40A2" w:rsidRDefault="00090ED8" w:rsidP="00090ED8">
            <w:pPr>
              <w:pStyle w:val="Tabletext"/>
              <w:jc w:val="center"/>
              <w:rPr>
                <w:lang w:val="es-ES_tradnl"/>
              </w:rPr>
            </w:pPr>
            <w:hyperlink r:id="rId15" w:history="1">
              <w:r w:rsidR="00A87E27" w:rsidRPr="009B40A2">
                <w:rPr>
                  <w:rStyle w:val="Hyperlink"/>
                  <w:u w:val="none"/>
                  <w:lang w:val="es-ES_tradnl"/>
                </w:rPr>
                <w:t>G.9901</w:t>
              </w:r>
            </w:hyperlink>
          </w:p>
        </w:tc>
        <w:tc>
          <w:tcPr>
            <w:tcW w:w="7119" w:type="dxa"/>
            <w:shd w:val="clear" w:color="auto" w:fill="auto"/>
            <w:hideMark/>
          </w:tcPr>
          <w:p w:rsidR="00A87E27" w:rsidRPr="00EE026E" w:rsidRDefault="00A87E27" w:rsidP="00090ED8">
            <w:pPr>
              <w:pStyle w:val="Tabletext"/>
              <w:rPr>
                <w:rStyle w:val="Hyperlink"/>
                <w:lang w:val="es-ES_tradnl"/>
              </w:rPr>
            </w:pPr>
            <w:r w:rsidRPr="009B40A2">
              <w:rPr>
                <w:lang w:val="es-ES_tradnl"/>
              </w:rPr>
              <w:t>Transceptores de comunicación por líneas de alimentación de energía eléctrica OFDM de banda estrecha – Especificación de densidad espectral de potencia (PSD)</w:t>
            </w:r>
          </w:p>
        </w:tc>
      </w:tr>
      <w:tr w:rsidR="00A87E27" w:rsidRPr="00D30DBF" w:rsidTr="00090ED8">
        <w:trPr>
          <w:jc w:val="center"/>
        </w:trPr>
        <w:tc>
          <w:tcPr>
            <w:tcW w:w="2161" w:type="dxa"/>
            <w:shd w:val="clear" w:color="auto" w:fill="auto"/>
            <w:hideMark/>
          </w:tcPr>
          <w:p w:rsidR="00A87E27" w:rsidRPr="009B40A2" w:rsidRDefault="00090ED8" w:rsidP="00090ED8">
            <w:pPr>
              <w:pStyle w:val="Tabletext"/>
              <w:jc w:val="center"/>
              <w:rPr>
                <w:lang w:val="es-ES_tradnl"/>
              </w:rPr>
            </w:pPr>
            <w:hyperlink r:id="rId16" w:history="1">
              <w:r w:rsidR="00A87E27" w:rsidRPr="009B40A2">
                <w:rPr>
                  <w:rStyle w:val="Hyperlink"/>
                  <w:u w:val="none"/>
                  <w:lang w:val="es-ES_tradnl"/>
                </w:rPr>
                <w:t>G.9902</w:t>
              </w:r>
            </w:hyperlink>
          </w:p>
        </w:tc>
        <w:tc>
          <w:tcPr>
            <w:tcW w:w="7119" w:type="dxa"/>
            <w:shd w:val="clear" w:color="auto" w:fill="auto"/>
            <w:hideMark/>
          </w:tcPr>
          <w:p w:rsidR="00A87E27" w:rsidRPr="00A61321" w:rsidRDefault="00A87E27" w:rsidP="00090ED8">
            <w:pPr>
              <w:pStyle w:val="Tabletext"/>
              <w:rPr>
                <w:rStyle w:val="Hyperlink"/>
                <w:lang w:val="en-US"/>
              </w:rPr>
            </w:pPr>
            <w:r w:rsidRPr="009B40A2">
              <w:rPr>
                <w:szCs w:val="22"/>
                <w:lang w:val="en-US"/>
              </w:rPr>
              <w:t>Narrow-band OFDM power line communication transceivers for ITU-T G.hnem networks</w:t>
            </w:r>
          </w:p>
        </w:tc>
      </w:tr>
      <w:tr w:rsidR="00A87E27" w:rsidRPr="00D30DBF" w:rsidTr="00090ED8">
        <w:trPr>
          <w:jc w:val="center"/>
        </w:trPr>
        <w:tc>
          <w:tcPr>
            <w:tcW w:w="2161" w:type="dxa"/>
            <w:shd w:val="clear" w:color="auto" w:fill="auto"/>
            <w:hideMark/>
          </w:tcPr>
          <w:p w:rsidR="00A87E27" w:rsidRPr="009B40A2" w:rsidRDefault="00090ED8" w:rsidP="00090ED8">
            <w:pPr>
              <w:pStyle w:val="Tabletext"/>
              <w:jc w:val="center"/>
              <w:rPr>
                <w:lang w:val="es-ES_tradnl"/>
              </w:rPr>
            </w:pPr>
            <w:hyperlink r:id="rId17" w:history="1">
              <w:r w:rsidR="00A87E27" w:rsidRPr="009B40A2">
                <w:rPr>
                  <w:rStyle w:val="Hyperlink"/>
                  <w:u w:val="none"/>
                  <w:lang w:val="es-ES_tradnl"/>
                </w:rPr>
                <w:t>G.9903</w:t>
              </w:r>
            </w:hyperlink>
          </w:p>
        </w:tc>
        <w:tc>
          <w:tcPr>
            <w:tcW w:w="7119" w:type="dxa"/>
            <w:shd w:val="clear" w:color="auto" w:fill="auto"/>
            <w:hideMark/>
          </w:tcPr>
          <w:p w:rsidR="00A87E27" w:rsidRPr="00A61321" w:rsidRDefault="00A87E27" w:rsidP="00090ED8">
            <w:pPr>
              <w:pStyle w:val="Tabletext"/>
              <w:rPr>
                <w:szCs w:val="22"/>
                <w:lang w:val="en-US"/>
              </w:rPr>
            </w:pPr>
            <w:r w:rsidRPr="009B40A2">
              <w:rPr>
                <w:szCs w:val="22"/>
                <w:lang w:val="en-US"/>
              </w:rPr>
              <w:t>Narrow-band OFDM power line communication transceivers for G3-PLC networks</w:t>
            </w:r>
          </w:p>
        </w:tc>
      </w:tr>
      <w:tr w:rsidR="00A87E27" w:rsidRPr="00D30DBF" w:rsidTr="00090ED8">
        <w:trPr>
          <w:jc w:val="center"/>
        </w:trPr>
        <w:tc>
          <w:tcPr>
            <w:tcW w:w="2161" w:type="dxa"/>
            <w:shd w:val="clear" w:color="auto" w:fill="auto"/>
            <w:hideMark/>
          </w:tcPr>
          <w:p w:rsidR="00A87E27" w:rsidRPr="009B40A2" w:rsidRDefault="00090ED8" w:rsidP="00090ED8">
            <w:pPr>
              <w:pStyle w:val="Tabletext"/>
              <w:jc w:val="center"/>
              <w:rPr>
                <w:lang w:val="es-ES_tradnl"/>
              </w:rPr>
            </w:pPr>
            <w:hyperlink r:id="rId18" w:history="1">
              <w:r w:rsidR="00A87E27" w:rsidRPr="009B40A2">
                <w:rPr>
                  <w:rStyle w:val="Hyperlink"/>
                  <w:u w:val="none"/>
                  <w:lang w:val="es-ES_tradnl"/>
                </w:rPr>
                <w:t>G.9904</w:t>
              </w:r>
            </w:hyperlink>
          </w:p>
        </w:tc>
        <w:tc>
          <w:tcPr>
            <w:tcW w:w="7119" w:type="dxa"/>
            <w:shd w:val="clear" w:color="auto" w:fill="auto"/>
            <w:hideMark/>
          </w:tcPr>
          <w:p w:rsidR="00A87E27" w:rsidRPr="00A61321" w:rsidRDefault="00A87E27" w:rsidP="00090ED8">
            <w:pPr>
              <w:pStyle w:val="Tabletext"/>
              <w:rPr>
                <w:szCs w:val="22"/>
                <w:lang w:val="en-US"/>
              </w:rPr>
            </w:pPr>
            <w:r w:rsidRPr="009B40A2">
              <w:rPr>
                <w:szCs w:val="22"/>
                <w:lang w:val="en-US"/>
              </w:rPr>
              <w:t>Narrow-band OFDM power line communication transceivers for PRIME networks</w:t>
            </w:r>
          </w:p>
        </w:tc>
      </w:tr>
      <w:tr w:rsidR="00A87E27" w:rsidRPr="00D30DBF" w:rsidTr="00090ED8">
        <w:trPr>
          <w:jc w:val="center"/>
        </w:trPr>
        <w:tc>
          <w:tcPr>
            <w:tcW w:w="2161" w:type="dxa"/>
            <w:shd w:val="clear" w:color="auto" w:fill="auto"/>
            <w:vAlign w:val="center"/>
          </w:tcPr>
          <w:p w:rsidR="00A87E27" w:rsidRPr="009B40A2" w:rsidRDefault="00090ED8" w:rsidP="00090ED8">
            <w:pPr>
              <w:pStyle w:val="Tabletext"/>
              <w:jc w:val="center"/>
              <w:rPr>
                <w:lang w:val="es-ES_tradnl"/>
              </w:rPr>
            </w:pPr>
            <w:hyperlink r:id="rId19" w:history="1">
              <w:r w:rsidR="00A87E27" w:rsidRPr="009B40A2">
                <w:rPr>
                  <w:rStyle w:val="Hyperlink"/>
                  <w:u w:val="none"/>
                  <w:lang w:val="es-ES_tradnl"/>
                </w:rPr>
                <w:t>G.9905</w:t>
              </w:r>
            </w:hyperlink>
          </w:p>
        </w:tc>
        <w:tc>
          <w:tcPr>
            <w:tcW w:w="7119" w:type="dxa"/>
            <w:shd w:val="clear" w:color="auto" w:fill="auto"/>
            <w:vAlign w:val="center"/>
          </w:tcPr>
          <w:p w:rsidR="00A87E27" w:rsidRPr="00A61321" w:rsidRDefault="00A87E27" w:rsidP="00090ED8">
            <w:pPr>
              <w:pStyle w:val="Tabletext"/>
              <w:rPr>
                <w:szCs w:val="22"/>
                <w:lang w:val="en-US"/>
              </w:rPr>
            </w:pPr>
            <w:r w:rsidRPr="009B40A2">
              <w:rPr>
                <w:szCs w:val="22"/>
                <w:lang w:val="en-US"/>
              </w:rPr>
              <w:t>Centralized metric based source routing</w:t>
            </w:r>
          </w:p>
        </w:tc>
      </w:tr>
      <w:tr w:rsidR="00A87E27" w:rsidRPr="00D30DBF" w:rsidTr="00090ED8">
        <w:trPr>
          <w:jc w:val="center"/>
        </w:trPr>
        <w:tc>
          <w:tcPr>
            <w:tcW w:w="2161" w:type="dxa"/>
            <w:shd w:val="clear" w:color="auto" w:fill="auto"/>
            <w:hideMark/>
          </w:tcPr>
          <w:p w:rsidR="00A87E27" w:rsidRPr="009B40A2" w:rsidRDefault="00090ED8" w:rsidP="00090ED8">
            <w:pPr>
              <w:pStyle w:val="Tabletext"/>
              <w:jc w:val="center"/>
              <w:rPr>
                <w:lang w:val="es-ES_tradnl"/>
              </w:rPr>
            </w:pPr>
            <w:hyperlink r:id="rId20" w:history="1">
              <w:r w:rsidR="00A87E27" w:rsidRPr="009B40A2">
                <w:rPr>
                  <w:rStyle w:val="Hyperlink"/>
                  <w:u w:val="none"/>
                  <w:lang w:val="es-ES_tradnl"/>
                </w:rPr>
                <w:t>G.9959</w:t>
              </w:r>
            </w:hyperlink>
          </w:p>
        </w:tc>
        <w:tc>
          <w:tcPr>
            <w:tcW w:w="7119" w:type="dxa"/>
            <w:shd w:val="clear" w:color="auto" w:fill="auto"/>
            <w:hideMark/>
          </w:tcPr>
          <w:p w:rsidR="00A87E27" w:rsidRPr="00A61321" w:rsidRDefault="00A87E27" w:rsidP="00090ED8">
            <w:pPr>
              <w:pStyle w:val="Tabletext"/>
              <w:rPr>
                <w:szCs w:val="22"/>
                <w:lang w:val="en-US"/>
              </w:rPr>
            </w:pPr>
            <w:r w:rsidRPr="009B40A2">
              <w:rPr>
                <w:szCs w:val="22"/>
                <w:lang w:val="en-US"/>
              </w:rPr>
              <w:t>Short range narrowband digital radiocommunication transceivers – PHY &amp; MAC layer specifications</w:t>
            </w:r>
          </w:p>
        </w:tc>
      </w:tr>
    </w:tbl>
    <w:p w:rsidR="00A87E27" w:rsidRPr="00A61321" w:rsidRDefault="00A87E27" w:rsidP="00A87E27">
      <w:pPr>
        <w:pStyle w:val="Tablefin"/>
        <w:rPr>
          <w:lang w:val="en-US"/>
        </w:rPr>
      </w:pPr>
    </w:p>
    <w:p w:rsidR="00A87E27" w:rsidRPr="009D06C9" w:rsidRDefault="00A87E27" w:rsidP="00A87E27">
      <w:pPr>
        <w:rPr>
          <w:szCs w:val="24"/>
          <w:lang w:val="es-ES_tradnl" w:eastAsia="en-GB"/>
        </w:rPr>
      </w:pPr>
      <w:r w:rsidRPr="009D06C9">
        <w:rPr>
          <w:lang w:val="es-ES_tradnl"/>
        </w:rPr>
        <w:t>Las gamas de frecuencias utilizadas en la familia de Recom</w:t>
      </w:r>
      <w:r w:rsidR="00A1055B">
        <w:rPr>
          <w:lang w:val="es-ES_tradnl"/>
        </w:rPr>
        <w:t>endaciones UIT-T G.990x para NB</w:t>
      </w:r>
      <w:r w:rsidR="00A1055B">
        <w:rPr>
          <w:lang w:val="es-ES_tradnl"/>
        </w:rPr>
        <w:noBreakHyphen/>
      </w:r>
      <w:r w:rsidRPr="009D06C9">
        <w:rPr>
          <w:lang w:val="es-ES_tradnl"/>
        </w:rPr>
        <w:t>PLC/redes inteligentes utilizan por consiguiente prácticas idóneas para evitar incompatibilidades con servicios de radiocomunicaciones que podrían aparecer con el despliegue ubicuo de PLT para comunicaciones de red inteligente. Ahora bien, otras organizaciones de normalización (SDO) y grupos industriales ajenos a la UIT se interesan por elaborar productos PLT para aplicaciones de red inteligente, y podrían necesitar tener debidamente en cuenta requisitos de compatibilidad.</w:t>
      </w:r>
    </w:p>
    <w:p w:rsidR="00A87E27" w:rsidRPr="00EE026E" w:rsidRDefault="00A87E27" w:rsidP="00A87E27">
      <w:pPr>
        <w:pStyle w:val="Heading2"/>
        <w:rPr>
          <w:rFonts w:eastAsia="Batang"/>
          <w:lang w:val="es-ES_tradnl"/>
        </w:rPr>
      </w:pPr>
      <w:bookmarkStart w:id="31" w:name="_Toc498004357"/>
      <w:r w:rsidRPr="00EE026E">
        <w:rPr>
          <w:rFonts w:eastAsia="Batang"/>
          <w:lang w:val="es-ES_tradnl"/>
        </w:rPr>
        <w:t>6.2</w:t>
      </w:r>
      <w:r w:rsidRPr="00EE026E">
        <w:rPr>
          <w:rFonts w:eastAsia="Batang"/>
          <w:lang w:val="es-ES_tradnl"/>
        </w:rPr>
        <w:tab/>
        <w:t>Comunicaciones de la red eléctrica inteligente por redes de cable</w:t>
      </w:r>
      <w:bookmarkEnd w:id="31"/>
    </w:p>
    <w:p w:rsidR="00A87E27" w:rsidRPr="00EE026E" w:rsidRDefault="00A87E27" w:rsidP="00A87E27">
      <w:pPr>
        <w:rPr>
          <w:rFonts w:eastAsia="Batang"/>
          <w:lang w:val="es-ES_tradnl"/>
        </w:rPr>
      </w:pPr>
      <w:r w:rsidRPr="00EE026E">
        <w:rPr>
          <w:rFonts w:eastAsia="Batang"/>
          <w:lang w:val="es-ES_tradnl"/>
        </w:rPr>
        <w:t xml:space="preserve">Además de las telecomunicaciones por la línea eléctrica, se utilizan frecuentemente soluciones por cable </w:t>
      </w:r>
      <w:r w:rsidRPr="00EE026E">
        <w:rPr>
          <w:lang w:val="es-ES_tradnl"/>
        </w:rPr>
        <w:t>tradicionales</w:t>
      </w:r>
      <w:r w:rsidRPr="00EE026E">
        <w:rPr>
          <w:rFonts w:eastAsia="Batang"/>
          <w:lang w:val="es-ES_tradnl"/>
        </w:rPr>
        <w:t>, como fibra óptica y cobre, para redes de área extensa cuando se dispone de derechos de paso.</w:t>
      </w:r>
    </w:p>
    <w:p w:rsidR="00A87E27" w:rsidRPr="009D06C9" w:rsidRDefault="00A87E27" w:rsidP="00A87E27">
      <w:pPr>
        <w:rPr>
          <w:rFonts w:eastAsia="Batang"/>
          <w:lang w:val="es-ES_tradnl"/>
        </w:rPr>
      </w:pPr>
      <w:r w:rsidRPr="00EE026E">
        <w:rPr>
          <w:rFonts w:eastAsia="Batang"/>
          <w:lang w:val="es-ES_tradnl"/>
        </w:rPr>
        <w:t xml:space="preserve">Estos enlaces se pueden desplegar directamente por el proveedor de servicio público sobre los activos de </w:t>
      </w:r>
      <w:r w:rsidRPr="00EE026E">
        <w:rPr>
          <w:lang w:val="es-ES_tradnl"/>
        </w:rPr>
        <w:t>transmisión</w:t>
      </w:r>
      <w:r w:rsidRPr="00EE026E">
        <w:rPr>
          <w:rFonts w:eastAsia="Batang"/>
          <w:lang w:val="es-ES_tradnl"/>
        </w:rPr>
        <w:t xml:space="preserve"> y distribución, enterrados en zanjas o canalizaciones en el derecho de paso, o el operador puede arrendarlas. El funcionamiento </w:t>
      </w:r>
      <w:r w:rsidRPr="009D06C9">
        <w:rPr>
          <w:rFonts w:eastAsia="Batang"/>
          <w:lang w:val="es-ES_tradnl"/>
        </w:rPr>
        <w:t>de la red de área local para velocidades de funcionamiento seleccionadas de 1 Mbit/s a 100 Gbit/s por diversos medios ópticos y de cobre especializado para uso separado en diversas distancias:</w:t>
      </w:r>
    </w:p>
    <w:p w:rsidR="00A87E27" w:rsidRPr="00D30DBF" w:rsidRDefault="00A87E27" w:rsidP="00712733">
      <w:pPr>
        <w:pStyle w:val="enumlev1"/>
        <w:rPr>
          <w:rFonts w:eastAsia="Batang"/>
          <w:lang w:val="es-ES_tradnl"/>
        </w:rPr>
      </w:pPr>
      <w:r w:rsidRPr="00D30DBF">
        <w:rPr>
          <w:lang w:val="es-ES_tradnl"/>
        </w:rPr>
        <w:t>•</w:t>
      </w:r>
      <w:r w:rsidRPr="00D30DBF">
        <w:rPr>
          <w:lang w:val="es-ES_tradnl"/>
        </w:rPr>
        <w:tab/>
      </w:r>
      <w:r w:rsidRPr="00D30DBF">
        <w:rPr>
          <w:rFonts w:eastAsia="Batang"/>
          <w:lang w:val="es-ES_tradnl"/>
        </w:rPr>
        <w:t>IEEE 802.3 EPON.</w:t>
      </w:r>
    </w:p>
    <w:p w:rsidR="00A87E27" w:rsidRPr="007C2C3D" w:rsidRDefault="00A87E27" w:rsidP="00712733">
      <w:pPr>
        <w:pStyle w:val="enumlev1"/>
        <w:rPr>
          <w:rFonts w:eastAsia="Batang"/>
          <w:lang w:val="es-ES_tradnl"/>
        </w:rPr>
      </w:pPr>
      <w:r w:rsidRPr="007C2C3D">
        <w:rPr>
          <w:lang w:val="es-ES_tradnl"/>
        </w:rPr>
        <w:t>•</w:t>
      </w:r>
      <w:r w:rsidRPr="007C2C3D">
        <w:rPr>
          <w:lang w:val="es-ES_tradnl"/>
        </w:rPr>
        <w:tab/>
      </w:r>
      <w:r w:rsidRPr="007C2C3D">
        <w:rPr>
          <w:rFonts w:eastAsia="Batang"/>
          <w:lang w:val="es-ES_tradnl"/>
        </w:rPr>
        <w:t>IEEE 802.3 Ethernet en el primer kilómetro.</w:t>
      </w:r>
    </w:p>
    <w:p w:rsidR="00A87E27" w:rsidRPr="00EE026E" w:rsidRDefault="00A87E27" w:rsidP="00A87E27">
      <w:pPr>
        <w:rPr>
          <w:rFonts w:eastAsia="Batang"/>
          <w:lang w:val="es-ES_tradnl"/>
        </w:rPr>
      </w:pPr>
      <w:r w:rsidRPr="00EE026E">
        <w:rPr>
          <w:rFonts w:eastAsia="Batang"/>
          <w:lang w:val="es-ES_tradnl"/>
        </w:rPr>
        <w:t>Los enlaces Ethernet alámbricos suelen estar concebidos para cumplir los códigos locales y nacionales para la limitación de las interferencias electromagnéticas de sistemas no transmisores.</w:t>
      </w:r>
    </w:p>
    <w:p w:rsidR="00A87E27" w:rsidRPr="009D06C9" w:rsidRDefault="00A87E27" w:rsidP="00A87E27">
      <w:pPr>
        <w:pStyle w:val="Heading1"/>
        <w:rPr>
          <w:lang w:val="es-ES_tradnl"/>
        </w:rPr>
      </w:pPr>
      <w:bookmarkStart w:id="32" w:name="_Toc498004358"/>
      <w:r w:rsidRPr="009D06C9">
        <w:rPr>
          <w:lang w:val="es-ES_tradnl"/>
        </w:rPr>
        <w:t>7</w:t>
      </w:r>
      <w:r w:rsidRPr="009D06C9">
        <w:rPr>
          <w:lang w:val="es-ES_tradnl"/>
        </w:rPr>
        <w:tab/>
        <w:t>Normas inalámbricas para telecomunicaciones de la red eléctrica inteligente</w:t>
      </w:r>
      <w:bookmarkEnd w:id="32"/>
    </w:p>
    <w:p w:rsidR="00A87E27" w:rsidRPr="009D06C9" w:rsidRDefault="00A87E27" w:rsidP="00A87E27">
      <w:pPr>
        <w:pStyle w:val="Heading2"/>
        <w:rPr>
          <w:rFonts w:eastAsia="Batang"/>
          <w:lang w:val="es-ES_tradnl"/>
        </w:rPr>
      </w:pPr>
      <w:bookmarkStart w:id="33" w:name="_Toc498004359"/>
      <w:r w:rsidRPr="009D06C9">
        <w:rPr>
          <w:rFonts w:eastAsia="Batang"/>
          <w:lang w:val="es-ES_tradnl"/>
        </w:rPr>
        <w:t>7.1</w:t>
      </w:r>
      <w:r w:rsidRPr="009D06C9">
        <w:rPr>
          <w:rFonts w:eastAsia="Batang"/>
          <w:lang w:val="es-ES_tradnl"/>
        </w:rPr>
        <w:tab/>
        <w:t>Red doméstica</w:t>
      </w:r>
      <w:bookmarkEnd w:id="33"/>
    </w:p>
    <w:p w:rsidR="00A87E27" w:rsidRPr="009D06C9" w:rsidRDefault="00A87E27" w:rsidP="00A87E27">
      <w:pPr>
        <w:rPr>
          <w:rFonts w:eastAsia="Batang"/>
          <w:lang w:val="es-ES_tradnl"/>
        </w:rPr>
      </w:pPr>
      <w:r w:rsidRPr="009D06C9">
        <w:rPr>
          <w:rFonts w:eastAsia="Batang"/>
          <w:lang w:val="es-ES_tradnl"/>
        </w:rPr>
        <w:t>Existen diversas soluciones de conexión en red que ya se utilizan para HAN, dependiendo de las necesidades energéticas, la velocidad de datos, la movilidad y los costes de instalación. Las HAN más comunes que utilizan soluciones por cable son IEEE 802.3 (Ethernet); para soluciones inalámbricas las más utilizadas son la IEEE 802.11 (WiFi), IEEE 802.15.4 (ZigBee, Thread, Wi-SUN EchoNet HAN), UIT-T G.9959 (Z-Wave).</w:t>
      </w:r>
    </w:p>
    <w:p w:rsidR="00A87E27" w:rsidRPr="009D06C9" w:rsidRDefault="00A87E27" w:rsidP="00A87E27">
      <w:pPr>
        <w:rPr>
          <w:rFonts w:eastAsia="MS PGothic"/>
          <w:highlight w:val="cyan"/>
          <w:lang w:val="es-ES_tradnl" w:eastAsia="ja-JP"/>
        </w:rPr>
      </w:pPr>
      <w:r w:rsidRPr="009D06C9">
        <w:rPr>
          <w:rFonts w:eastAsia="MS PGothic"/>
          <w:lang w:val="es-ES_tradnl" w:eastAsia="ja-JP"/>
        </w:rPr>
        <w:lastRenderedPageBreak/>
        <w:t>Las tecnologías inalámbricas permiten crear una red inteligente para todos los servicios públicos y conectarlos fácil y directamente a una infraestructura basada en IP cuando consideraciones de seguridad eléctrica o jurídicas impiden conexiones alámbricas directas, como por ejemplo cuando se trata de medidores de gas o de agua.</w:t>
      </w:r>
    </w:p>
    <w:p w:rsidR="00A87E27" w:rsidRPr="009D06C9" w:rsidRDefault="00A87E27" w:rsidP="00A87E27">
      <w:pPr>
        <w:rPr>
          <w:lang w:val="es-ES_tradnl"/>
        </w:rPr>
      </w:pPr>
      <w:r w:rsidRPr="009D06C9">
        <w:rPr>
          <w:rFonts w:eastAsia="MS PGothic"/>
          <w:lang w:val="es-ES_tradnl" w:eastAsia="ja-JP"/>
        </w:rPr>
        <w:t>El UIT-T ha elaborado la Recomendación UIT-T G.9959</w:t>
      </w:r>
      <w:r w:rsidRPr="009D06C9">
        <w:rPr>
          <w:lang w:val="es-ES_tradnl"/>
        </w:rPr>
        <w:t>, Transceptores de radiocomunicación digital de corto alcance y banda estrecha, sobre funcionalidad LAN inalámbrica de banda estrecha adecuada para aplicaciones de red inteligente. Durante las primeras etapas de ese trabajo hubo algunos debates entre el UIT-R y el UIT-T sobre las bandas de frecuencias adecuadas para esas aplicaciones. Se trataba de las ventajas y los inconvenientes que entrañaría la identificación de frecuencias en bandas sujetas a ciertas formas de control normativo de las administraciones o en bandas designadas para ISM, o designadas a escala regional o nacional para uso libre, es decir sin necesidad de licencia individual. Gran parte del debate giró en torno a inquietudes de seguridad y fiabilidad con respecto a redes que están libremente disponibles para diversos usos no reglamentados, ya que las comunicaciones de red inteligente pueden contener datos de facturación y personales.</w:t>
      </w:r>
    </w:p>
    <w:p w:rsidR="00A87E27" w:rsidRPr="009D06C9" w:rsidRDefault="00A87E27" w:rsidP="00A87E27">
      <w:pPr>
        <w:rPr>
          <w:lang w:val="es-ES_tradnl"/>
        </w:rPr>
      </w:pPr>
      <w:r w:rsidRPr="009D06C9">
        <w:rPr>
          <w:lang w:val="es-ES_tradnl"/>
        </w:rPr>
        <w:t>Se ha determinado que varias frecuencias en bandas alrededor de 900 MHz, según designaciones nacionales y regionales para uso no reglamentado, son adecuadas para uso con arreglo a la Recomendación UIT-T G.9959, de las cuales sólo dos, en la Región 2, están en una banda designada para uso por aplicaciones ISM. Uno de los criterios de diseño de los transceptores conformes a G.9959 es que deberían soportar 1, 2 ó 3 canales (estando cada canal asociado con una frecuencia central), dependiendo de la disponibilidad de canales en el país/región de que se trate.</w:t>
      </w:r>
    </w:p>
    <w:p w:rsidR="00A87E27" w:rsidRPr="009D06C9" w:rsidRDefault="00A87E27" w:rsidP="00A87E27">
      <w:pPr>
        <w:rPr>
          <w:lang w:val="es-ES_tradnl"/>
        </w:rPr>
      </w:pPr>
      <w:r w:rsidRPr="009D06C9">
        <w:rPr>
          <w:lang w:val="es-ES_tradnl"/>
        </w:rPr>
        <w:t>En lo que respecta a la elección e idoneidad de frecuencias mundiales para G.9959, el requisito básico para G.9959 es que sea retrocompatible con la tecnología Z-Wave</w:t>
      </w:r>
      <w:r w:rsidRPr="009D06C9">
        <w:rPr>
          <w:rStyle w:val="FootnoteReference"/>
          <w:lang w:val="es-ES_tradnl"/>
        </w:rPr>
        <w:footnoteReference w:id="21"/>
      </w:r>
      <w:r w:rsidRPr="009D06C9">
        <w:rPr>
          <w:lang w:val="es-ES_tradnl"/>
        </w:rPr>
        <w:t xml:space="preserve"> que funciona en el terreno desde hace más de 10 años. Cuando se contemple la asignación de nuevas frecuencias para uso por G.9959, deberá tenerse en cuenta que eso puede volver futuros productos basados en G.9959 incompatibles con dispositivos Z-Wave existentes y, por consiguiente, impedir que nuevos dispositivos G.9959 aprovechen el extenso ecosistema interoperable que ya existe. Las necesidades de espectro futuras de la G.9959 y tecnologías similares para la red eléctrica inteligente podría convertirse en un tema de la CMR-23 en el marco del punto 2.5 del orden del día.</w:t>
      </w:r>
    </w:p>
    <w:p w:rsidR="00A87E27" w:rsidRPr="009D06C9" w:rsidRDefault="00A87E27" w:rsidP="00A87E27">
      <w:pPr>
        <w:rPr>
          <w:lang w:val="es-ES_tradnl"/>
        </w:rPr>
      </w:pPr>
      <w:r w:rsidRPr="009D06C9">
        <w:rPr>
          <w:lang w:val="es-ES_tradnl"/>
        </w:rPr>
        <w:t>También debe señalarse que IEEE 802.11 e IEEE 802.15.4 se utilizan ampliamente para aplicaciones HAN y que tanto los sistemas basados en G.9959 como los basados en la IEEE 802.15.4 pueden emplear saltos de frecuencia y enrutamiento en malla si la transmisión directa no es posible a causa de largas distancias, atenuación, distorsión o interferencias temporales. Esto aumenta la robustez del sistema cuando funciona en bandas sin licencia.</w:t>
      </w:r>
    </w:p>
    <w:p w:rsidR="00A87E27" w:rsidRPr="009D06C9" w:rsidRDefault="00A87E27" w:rsidP="00A87E27">
      <w:pPr>
        <w:rPr>
          <w:lang w:val="es-ES_tradnl"/>
        </w:rPr>
      </w:pPr>
      <w:r w:rsidRPr="009D06C9">
        <w:rPr>
          <w:lang w:val="es-ES_tradnl"/>
        </w:rPr>
        <w:t>Además de las consideraciones de gestión del espectro y compatibilidad que incumben al UIT-R, también habrá que considerar cuestiones legislativas, de privacidad y seguridad en los foros apropiados sobre la integridad de los dispositivos inalámbricos utilizados en redes inteligentes. Esas consideraciones podrían tener consecuencias en la identificación de frecuencias para uso en comunicaciones inalámbricas de red inteligente, y en particular la necesidad de evitar intercepciones, robos de identidad, corrupción o pérdida de datos en relación con datos de tarificación y facturación.</w:t>
      </w:r>
    </w:p>
    <w:p w:rsidR="00A87E27" w:rsidRPr="009D06C9" w:rsidRDefault="00A87E27" w:rsidP="00A87E27">
      <w:pPr>
        <w:rPr>
          <w:lang w:val="es-ES_tradnl"/>
        </w:rPr>
      </w:pPr>
      <w:r w:rsidRPr="009D06C9">
        <w:rPr>
          <w:lang w:val="es-ES_tradnl"/>
        </w:rPr>
        <w:t xml:space="preserve">Todas las normas inalámbricas mencionadas en esta sección incluyen encriptación para ofrecer privacidad y seguridad. La posibilidad de interferencia es una consecuencia inevitable de la utilización del espectro no sujeto a reglamentación, como las licencias individuales. Por regla general, </w:t>
      </w:r>
      <w:r w:rsidRPr="009D06C9">
        <w:rPr>
          <w:lang w:val="es-ES_tradnl"/>
        </w:rPr>
        <w:lastRenderedPageBreak/>
        <w:t>las aplicaciones HAN no requieren una gran fiabilidad. Las aplicaciones WAN y FAN que utilizan conexiones inalámbricas que requieren gran fiabilidad y disponibilidad resultan más adecuadas en partes del espectro sujetas a licencia individual, normas obligatorias u otras formas de reglamentación.</w:t>
      </w:r>
    </w:p>
    <w:p w:rsidR="00A87E27" w:rsidRPr="009D06C9" w:rsidRDefault="00A87E27" w:rsidP="00A87E27">
      <w:pPr>
        <w:pStyle w:val="Heading2"/>
        <w:rPr>
          <w:rFonts w:eastAsia="Batang"/>
          <w:lang w:val="es-ES_tradnl"/>
        </w:rPr>
      </w:pPr>
      <w:bookmarkStart w:id="34" w:name="_Toc498004360"/>
      <w:r w:rsidRPr="009D06C9">
        <w:rPr>
          <w:rFonts w:eastAsia="Batang"/>
          <w:lang w:val="es-ES_tradnl"/>
        </w:rPr>
        <w:t>7.2</w:t>
      </w:r>
      <w:r w:rsidRPr="009D06C9">
        <w:rPr>
          <w:rFonts w:eastAsia="Batang"/>
          <w:lang w:val="es-ES_tradnl"/>
        </w:rPr>
        <w:tab/>
        <w:t>WAN/NAN/FAN</w:t>
      </w:r>
      <w:bookmarkEnd w:id="34"/>
    </w:p>
    <w:p w:rsidR="00A87E27" w:rsidRPr="009D06C9" w:rsidRDefault="00A87E27" w:rsidP="00A87E27">
      <w:pPr>
        <w:rPr>
          <w:rFonts w:eastAsia="Batang"/>
          <w:lang w:val="es-ES_tradnl"/>
        </w:rPr>
      </w:pPr>
      <w:r w:rsidRPr="009D06C9">
        <w:rPr>
          <w:rFonts w:eastAsia="Batang"/>
          <w:lang w:val="es-ES_tradnl"/>
        </w:rPr>
        <w:t>Las redes de comunicación WAN/NAN/FAN tienen en común la necesidad de transmitir datos desde distancias relativamente grandes (vecindarios, ciudades) hasta centros de operaciones. Esas redes pueden prestar servicio directamente al nodo final o servir de retroceso. El tipo de solución seleccionado depende de numerosas consideraciones como, entre otras:</w:t>
      </w:r>
    </w:p>
    <w:p w:rsidR="00A87E27" w:rsidRPr="009D06C9" w:rsidRDefault="00A87E27" w:rsidP="00A87E27">
      <w:pPr>
        <w:pStyle w:val="enumlev1"/>
        <w:rPr>
          <w:rFonts w:eastAsia="Batang"/>
          <w:lang w:val="es-ES_tradnl"/>
        </w:rPr>
      </w:pPr>
      <w:r w:rsidRPr="009D06C9">
        <w:rPr>
          <w:lang w:val="es-ES_tradnl" w:eastAsia="ja-JP"/>
        </w:rPr>
        <w:t>–</w:t>
      </w:r>
      <w:r w:rsidRPr="009D06C9">
        <w:rPr>
          <w:lang w:val="es-ES_tradnl" w:eastAsia="ja-JP"/>
        </w:rPr>
        <w:tab/>
      </w:r>
      <w:r w:rsidRPr="009D06C9">
        <w:rPr>
          <w:rFonts w:eastAsia="Batang"/>
          <w:lang w:val="es-ES_tradnl"/>
        </w:rPr>
        <w:t>Longitud del enlace.</w:t>
      </w:r>
    </w:p>
    <w:p w:rsidR="00A87E27" w:rsidRPr="009D06C9" w:rsidRDefault="00A87E27" w:rsidP="00A87E27">
      <w:pPr>
        <w:pStyle w:val="enumlev1"/>
        <w:rPr>
          <w:rFonts w:eastAsia="Batang"/>
          <w:lang w:val="es-ES_tradnl"/>
        </w:rPr>
      </w:pPr>
      <w:r w:rsidRPr="009D06C9">
        <w:rPr>
          <w:lang w:val="es-ES_tradnl" w:eastAsia="ja-JP"/>
        </w:rPr>
        <w:t>–</w:t>
      </w:r>
      <w:r w:rsidRPr="009D06C9">
        <w:rPr>
          <w:lang w:val="es-ES_tradnl" w:eastAsia="ja-JP"/>
        </w:rPr>
        <w:tab/>
        <w:t>Disponibilidad de derecho de paso (para soluciones cableadas).</w:t>
      </w:r>
    </w:p>
    <w:p w:rsidR="00A87E27" w:rsidRPr="009D06C9" w:rsidRDefault="00A87E27" w:rsidP="00A87E27">
      <w:pPr>
        <w:pStyle w:val="enumlev1"/>
        <w:rPr>
          <w:rFonts w:eastAsia="Batang"/>
          <w:lang w:val="es-ES_tradnl"/>
        </w:rPr>
      </w:pPr>
      <w:r w:rsidRPr="009D06C9">
        <w:rPr>
          <w:lang w:val="es-ES_tradnl" w:eastAsia="ja-JP"/>
        </w:rPr>
        <w:t>–</w:t>
      </w:r>
      <w:r w:rsidRPr="009D06C9">
        <w:rPr>
          <w:lang w:val="es-ES_tradnl" w:eastAsia="ja-JP"/>
        </w:rPr>
        <w:tab/>
      </w:r>
      <w:r w:rsidRPr="009D06C9">
        <w:rPr>
          <w:rFonts w:eastAsia="Batang"/>
          <w:lang w:val="es-ES_tradnl"/>
        </w:rPr>
        <w:t>Capacidad del enlace.</w:t>
      </w:r>
    </w:p>
    <w:p w:rsidR="00A87E27" w:rsidRPr="009D06C9" w:rsidRDefault="00A87E27" w:rsidP="00A87E27">
      <w:pPr>
        <w:pStyle w:val="enumlev1"/>
        <w:rPr>
          <w:rFonts w:eastAsia="Batang"/>
          <w:lang w:val="es-ES_tradnl"/>
        </w:rPr>
      </w:pPr>
      <w:r w:rsidRPr="009D06C9">
        <w:rPr>
          <w:lang w:val="es-ES_tradnl" w:eastAsia="ja-JP"/>
        </w:rPr>
        <w:t>–</w:t>
      </w:r>
      <w:r w:rsidRPr="009D06C9">
        <w:rPr>
          <w:lang w:val="es-ES_tradnl" w:eastAsia="ja-JP"/>
        </w:rPr>
        <w:tab/>
        <w:t>Dispositivos no conectados a la red eléctrica.</w:t>
      </w:r>
    </w:p>
    <w:p w:rsidR="00A87E27" w:rsidRPr="009D06C9" w:rsidRDefault="00A87E27" w:rsidP="00A87E27">
      <w:pPr>
        <w:pStyle w:val="enumlev1"/>
        <w:rPr>
          <w:rFonts w:eastAsia="Batang"/>
          <w:lang w:val="es-ES_tradnl"/>
        </w:rPr>
      </w:pPr>
      <w:r w:rsidRPr="009D06C9">
        <w:rPr>
          <w:lang w:val="es-ES_tradnl" w:eastAsia="ja-JP"/>
        </w:rPr>
        <w:t>–</w:t>
      </w:r>
      <w:r w:rsidRPr="009D06C9">
        <w:rPr>
          <w:lang w:val="es-ES_tradnl" w:eastAsia="ja-JP"/>
        </w:rPr>
        <w:tab/>
      </w:r>
      <w:r w:rsidRPr="009D06C9">
        <w:rPr>
          <w:rFonts w:eastAsia="Batang"/>
          <w:lang w:val="es-ES_tradnl"/>
        </w:rPr>
        <w:t>Disponibilidad.</w:t>
      </w:r>
    </w:p>
    <w:p w:rsidR="00A87E27" w:rsidRPr="009D06C9" w:rsidRDefault="00A87E27" w:rsidP="00A87E27">
      <w:pPr>
        <w:pStyle w:val="enumlev1"/>
        <w:rPr>
          <w:rFonts w:eastAsia="Batang"/>
          <w:lang w:val="es-ES_tradnl"/>
        </w:rPr>
      </w:pPr>
      <w:r w:rsidRPr="009D06C9">
        <w:rPr>
          <w:lang w:val="es-ES_tradnl" w:eastAsia="ja-JP"/>
        </w:rPr>
        <w:t>–</w:t>
      </w:r>
      <w:r w:rsidRPr="009D06C9">
        <w:rPr>
          <w:lang w:val="es-ES_tradnl" w:eastAsia="ja-JP"/>
        </w:rPr>
        <w:tab/>
      </w:r>
      <w:r w:rsidRPr="009D06C9">
        <w:rPr>
          <w:rFonts w:eastAsia="Batang"/>
          <w:lang w:val="es-ES_tradnl"/>
        </w:rPr>
        <w:t>Fiabilidad.</w:t>
      </w:r>
    </w:p>
    <w:p w:rsidR="00A87E27" w:rsidRPr="009D06C9" w:rsidRDefault="00A87E27" w:rsidP="00A87E27">
      <w:pPr>
        <w:pStyle w:val="enumlev1"/>
        <w:rPr>
          <w:rFonts w:eastAsia="Batang"/>
          <w:lang w:val="es-ES_tradnl"/>
        </w:rPr>
      </w:pPr>
      <w:r w:rsidRPr="009D06C9">
        <w:rPr>
          <w:lang w:val="es-ES_tradnl" w:eastAsia="ja-JP"/>
        </w:rPr>
        <w:t>–</w:t>
      </w:r>
      <w:r w:rsidRPr="009D06C9">
        <w:rPr>
          <w:lang w:val="es-ES_tradnl" w:eastAsia="ja-JP"/>
        </w:rPr>
        <w:tab/>
        <w:t>Espectro regulado (por ejemplo, con licencia) o no regulado (exento de licencia)</w:t>
      </w:r>
      <w:r w:rsidRPr="009D06C9">
        <w:rPr>
          <w:rFonts w:eastAsia="Batang"/>
          <w:lang w:val="es-ES_tradnl"/>
        </w:rPr>
        <w:t>.</w:t>
      </w:r>
    </w:p>
    <w:p w:rsidR="00A87E27" w:rsidRPr="009D06C9" w:rsidRDefault="00A87E27" w:rsidP="00A87E27">
      <w:pPr>
        <w:rPr>
          <w:rFonts w:eastAsia="Batang"/>
          <w:lang w:val="es-ES_tradnl"/>
        </w:rPr>
      </w:pPr>
      <w:r w:rsidRPr="009D06C9">
        <w:rPr>
          <w:lang w:val="es-ES_tradnl"/>
        </w:rPr>
        <w:t>El Comité de normas LAN/MAN IEEE 802 ha elaborado varias normas que se utilizan para soportar aplicaciones de red inteligente</w:t>
      </w:r>
      <w:r w:rsidRPr="009D06C9">
        <w:rPr>
          <w:rFonts w:eastAsia="Batang"/>
          <w:lang w:val="es-ES_tradnl"/>
        </w:rPr>
        <w:t>.</w:t>
      </w:r>
    </w:p>
    <w:p w:rsidR="00A87E27" w:rsidRPr="009D06C9" w:rsidRDefault="00A87E27" w:rsidP="00A87E27">
      <w:pPr>
        <w:rPr>
          <w:rFonts w:eastAsia="Batang"/>
          <w:lang w:val="es-ES_tradnl"/>
        </w:rPr>
      </w:pPr>
      <w:r w:rsidRPr="009D06C9">
        <w:rPr>
          <w:rFonts w:eastAsia="Batang"/>
          <w:lang w:val="es-ES_tradnl"/>
        </w:rPr>
        <w:t>Estas soluciones comprenden:</w:t>
      </w:r>
    </w:p>
    <w:p w:rsidR="00A87E27" w:rsidRPr="009D06C9" w:rsidRDefault="00A87E27" w:rsidP="00A87E27">
      <w:pPr>
        <w:pStyle w:val="enumlev1"/>
        <w:rPr>
          <w:rFonts w:eastAsia="Batang"/>
          <w:lang w:val="es-ES_tradnl"/>
        </w:rPr>
      </w:pPr>
      <w:r w:rsidRPr="009D06C9">
        <w:rPr>
          <w:lang w:val="es-ES_tradnl" w:eastAsia="ja-JP"/>
        </w:rPr>
        <w:t>–</w:t>
      </w:r>
      <w:r w:rsidRPr="009D06C9">
        <w:rPr>
          <w:lang w:val="es-ES_tradnl" w:eastAsia="ja-JP"/>
        </w:rPr>
        <w:tab/>
        <w:t>Normas inalámbricas que soportan transmisiones inalámbricas de punto a multipunto:</w:t>
      </w:r>
    </w:p>
    <w:p w:rsidR="00A87E27" w:rsidRPr="009D06C9" w:rsidRDefault="00A87E27" w:rsidP="00A87E27">
      <w:pPr>
        <w:pStyle w:val="enumlev2"/>
        <w:rPr>
          <w:rFonts w:eastAsia="Batang"/>
          <w:lang w:val="es-ES_tradnl"/>
        </w:rPr>
      </w:pPr>
      <w:r w:rsidRPr="009D06C9">
        <w:rPr>
          <w:lang w:val="es-ES_tradnl" w:eastAsia="ja-JP"/>
        </w:rPr>
        <w:t>•</w:t>
      </w:r>
      <w:r w:rsidRPr="009D06C9">
        <w:rPr>
          <w:lang w:val="es-ES_tradnl" w:eastAsia="ja-JP"/>
        </w:rPr>
        <w:tab/>
      </w:r>
      <w:r w:rsidRPr="009D06C9">
        <w:rPr>
          <w:rFonts w:eastAsia="Batang"/>
          <w:lang w:val="es-ES_tradnl"/>
        </w:rPr>
        <w:t>IEEE 802.11</w:t>
      </w:r>
    </w:p>
    <w:p w:rsidR="00A87E27" w:rsidRPr="009D06C9" w:rsidRDefault="00A87E27" w:rsidP="00A87E27">
      <w:pPr>
        <w:pStyle w:val="enumlev2"/>
        <w:rPr>
          <w:rFonts w:eastAsia="Batang"/>
          <w:lang w:val="es-ES_tradnl"/>
        </w:rPr>
      </w:pPr>
      <w:r w:rsidRPr="009D06C9">
        <w:rPr>
          <w:lang w:val="es-ES_tradnl" w:eastAsia="ja-JP"/>
        </w:rPr>
        <w:t>•</w:t>
      </w:r>
      <w:r w:rsidRPr="009D06C9">
        <w:rPr>
          <w:lang w:val="es-ES_tradnl" w:eastAsia="ja-JP"/>
        </w:rPr>
        <w:tab/>
      </w:r>
      <w:r w:rsidRPr="009D06C9">
        <w:rPr>
          <w:rFonts w:eastAsia="Batang"/>
          <w:lang w:val="es-ES_tradnl"/>
        </w:rPr>
        <w:t>IEEE 802.16</w:t>
      </w:r>
    </w:p>
    <w:p w:rsidR="00A87E27" w:rsidRPr="009D06C9" w:rsidRDefault="00A87E27" w:rsidP="00A87E27">
      <w:pPr>
        <w:pStyle w:val="enumlev2"/>
        <w:rPr>
          <w:rFonts w:eastAsia="Batang"/>
          <w:lang w:val="es-ES_tradnl"/>
        </w:rPr>
      </w:pPr>
      <w:r w:rsidRPr="009D06C9">
        <w:rPr>
          <w:lang w:val="es-ES_tradnl" w:eastAsia="ja-JP"/>
        </w:rPr>
        <w:t>•</w:t>
      </w:r>
      <w:r w:rsidRPr="009D06C9">
        <w:rPr>
          <w:lang w:val="es-ES_tradnl" w:eastAsia="ja-JP"/>
        </w:rPr>
        <w:tab/>
      </w:r>
      <w:r w:rsidRPr="009D06C9">
        <w:rPr>
          <w:rFonts w:eastAsia="Batang"/>
          <w:lang w:val="es-ES_tradnl"/>
        </w:rPr>
        <w:t>IEEE 802.20</w:t>
      </w:r>
    </w:p>
    <w:p w:rsidR="00A87E27" w:rsidRPr="009D06C9" w:rsidRDefault="00A87E27" w:rsidP="00A87E27">
      <w:pPr>
        <w:pStyle w:val="enumlev2"/>
        <w:rPr>
          <w:rFonts w:eastAsia="Batang"/>
          <w:lang w:val="es-ES_tradnl"/>
        </w:rPr>
      </w:pPr>
      <w:r w:rsidRPr="009D06C9">
        <w:rPr>
          <w:lang w:val="es-ES_tradnl" w:eastAsia="ja-JP"/>
        </w:rPr>
        <w:t>•</w:t>
      </w:r>
      <w:r w:rsidRPr="009D06C9">
        <w:rPr>
          <w:lang w:val="es-ES_tradnl" w:eastAsia="ja-JP"/>
        </w:rPr>
        <w:tab/>
      </w:r>
      <w:r w:rsidRPr="009D06C9">
        <w:rPr>
          <w:rFonts w:eastAsia="Batang"/>
          <w:lang w:val="es-ES_tradnl"/>
        </w:rPr>
        <w:t>IEEE 802.22</w:t>
      </w:r>
    </w:p>
    <w:p w:rsidR="00A87E27" w:rsidRPr="009D06C9" w:rsidRDefault="00A87E27" w:rsidP="00A87E27">
      <w:pPr>
        <w:pStyle w:val="enumlev1"/>
        <w:rPr>
          <w:rFonts w:eastAsia="Batang"/>
          <w:lang w:val="es-ES_tradnl"/>
        </w:rPr>
      </w:pPr>
      <w:r w:rsidRPr="009D06C9">
        <w:rPr>
          <w:lang w:val="es-ES_tradnl" w:eastAsia="ja-JP"/>
        </w:rPr>
        <w:t>–</w:t>
      </w:r>
      <w:r w:rsidRPr="009D06C9">
        <w:rPr>
          <w:lang w:val="es-ES_tradnl" w:eastAsia="ja-JP"/>
        </w:rPr>
        <w:tab/>
        <w:t>Normas inalámbricas que soportan</w:t>
      </w:r>
      <w:r w:rsidRPr="009D06C9">
        <w:rPr>
          <w:color w:val="000000"/>
          <w:lang w:val="es-ES_tradnl"/>
        </w:rPr>
        <w:t xml:space="preserve"> </w:t>
      </w:r>
      <w:r w:rsidRPr="009D06C9">
        <w:rPr>
          <w:rFonts w:eastAsia="Batang"/>
          <w:lang w:val="es-ES_tradnl"/>
        </w:rPr>
        <w:t>redes inalámbricas en malla:</w:t>
      </w:r>
    </w:p>
    <w:p w:rsidR="00A87E27" w:rsidRPr="009D06C9" w:rsidRDefault="00A87E27" w:rsidP="00A87E27">
      <w:pPr>
        <w:pStyle w:val="enumlev2"/>
        <w:rPr>
          <w:rFonts w:eastAsia="Batang"/>
          <w:lang w:val="es-ES_tradnl"/>
        </w:rPr>
      </w:pPr>
      <w:r w:rsidRPr="009D06C9">
        <w:rPr>
          <w:lang w:val="es-ES_tradnl" w:eastAsia="ja-JP"/>
        </w:rPr>
        <w:t>•</w:t>
      </w:r>
      <w:r w:rsidRPr="009D06C9">
        <w:rPr>
          <w:lang w:val="es-ES_tradnl" w:eastAsia="ja-JP"/>
        </w:rPr>
        <w:tab/>
      </w:r>
      <w:r w:rsidRPr="009D06C9">
        <w:rPr>
          <w:rFonts w:eastAsia="Batang"/>
          <w:lang w:val="es-ES_tradnl"/>
        </w:rPr>
        <w:t>IEEE 802.15.4</w:t>
      </w:r>
    </w:p>
    <w:p w:rsidR="00A87E27" w:rsidRPr="009D06C9" w:rsidRDefault="00A87E27" w:rsidP="00A87E27">
      <w:pPr>
        <w:pStyle w:val="enumlev2"/>
        <w:rPr>
          <w:rFonts w:eastAsia="Batang"/>
          <w:lang w:val="es-ES_tradnl"/>
        </w:rPr>
      </w:pPr>
      <w:r w:rsidRPr="009D06C9">
        <w:rPr>
          <w:lang w:val="es-ES_tradnl" w:eastAsia="ja-JP"/>
        </w:rPr>
        <w:t>•</w:t>
      </w:r>
      <w:r w:rsidRPr="009D06C9">
        <w:rPr>
          <w:lang w:val="es-ES_tradnl" w:eastAsia="ja-JP"/>
        </w:rPr>
        <w:tab/>
      </w:r>
      <w:r w:rsidRPr="009D06C9">
        <w:rPr>
          <w:rFonts w:eastAsia="Batang"/>
          <w:lang w:val="es-ES_tradnl"/>
        </w:rPr>
        <w:t>IEEE 802.11</w:t>
      </w:r>
    </w:p>
    <w:p w:rsidR="00A87E27" w:rsidRPr="009D06C9" w:rsidRDefault="00A87E27" w:rsidP="00A87E27">
      <w:pPr>
        <w:rPr>
          <w:lang w:val="es-ES_tradnl"/>
        </w:rPr>
      </w:pPr>
      <w:r w:rsidRPr="009D06C9">
        <w:rPr>
          <w:lang w:val="es-ES_tradnl"/>
        </w:rPr>
        <w:t>También pueden contribuir a requisitos de red inteligente otras tecnologías de comunicaciones inalámbricas tales como tecnologías celulares y radiodifusión sonora. Redes celulares bajo responsabilidad 3GPP (es decir, GSM/EDGE, WCDMA/HSPA y LTE) han pasado de proporcionar servicios telefónicos a soportar numerosas aplicaciones de datos, con seguridad incorporada y apoyo de calidad de servicio. En versiones recientes de 3GPP, también se han introducido mejoras de normalización para comunicación de tipo máquina (MTC), incluido soporte para control de congestión, vida útil mejorada de las baterías y soporte de dispositivos de baja complejidad. Medidores inteligentes están disponibles con funciones individuales de supervisión y control proporcionadas utilizando tecnología GSM. Por otra parte, se llevan utilizando desde hace decenios subportadoras inaudibles para conmutación simple de área extensa entre medidores de tarificación utilizando redes de radiodifusión FM en EEUU y el servicio de radiodifusión de cobertura nacional LF en 198 kHz en el Reino Unido.</w:t>
      </w:r>
    </w:p>
    <w:p w:rsidR="00A87E27" w:rsidRPr="009D06C9" w:rsidRDefault="00A87E27" w:rsidP="00A87E27">
      <w:pPr>
        <w:pStyle w:val="Heading1"/>
        <w:rPr>
          <w:rFonts w:eastAsia="Batang"/>
          <w:lang w:val="es-ES_tradnl"/>
        </w:rPr>
      </w:pPr>
      <w:bookmarkStart w:id="35" w:name="_Toc421882701"/>
      <w:bookmarkStart w:id="36" w:name="_Toc498004361"/>
      <w:r w:rsidRPr="009D06C9">
        <w:rPr>
          <w:rFonts w:eastAsia="Batang"/>
          <w:lang w:val="es-ES_tradnl" w:eastAsia="ko-KR"/>
        </w:rPr>
        <w:lastRenderedPageBreak/>
        <w:t>8</w:t>
      </w:r>
      <w:r w:rsidRPr="009D06C9">
        <w:rPr>
          <w:rFonts w:eastAsia="Batang"/>
          <w:lang w:val="es-ES_tradnl"/>
        </w:rPr>
        <w:tab/>
      </w:r>
      <w:bookmarkEnd w:id="35"/>
      <w:r w:rsidRPr="009D06C9">
        <w:rPr>
          <w:rFonts w:eastAsia="Batang"/>
          <w:lang w:val="es-ES_tradnl"/>
        </w:rPr>
        <w:t>Consideraciones sobre la</w:t>
      </w:r>
      <w:r w:rsidRPr="009D06C9">
        <w:rPr>
          <w:szCs w:val="24"/>
          <w:lang w:val="es-ES_tradnl"/>
        </w:rPr>
        <w:t xml:space="preserve"> interferencia asociada con el despliegue de tecnologías alámbricas e inalámbricas de transmisión de datos que se emplean en sistemas de gestión de la red eléctrica</w:t>
      </w:r>
      <w:bookmarkEnd w:id="36"/>
    </w:p>
    <w:p w:rsidR="00A87E27" w:rsidRPr="009D06C9" w:rsidRDefault="00A87E27" w:rsidP="00A87E27">
      <w:pPr>
        <w:rPr>
          <w:lang w:val="es-ES_tradnl" w:eastAsia="ja-JP"/>
        </w:rPr>
      </w:pPr>
      <w:r w:rsidRPr="009D06C9">
        <w:rPr>
          <w:lang w:val="es-ES_tradnl" w:eastAsia="ja-JP"/>
        </w:rPr>
        <w:t>El Comité de normas LAN/MAN IEEE 802 ha desarrollado numerosas tecnologías inalámbricas que han demostrado ser resistentes a las interferencias y permiten una gestión de la red eléctrica sin causar interferencias a otras.</w:t>
      </w:r>
    </w:p>
    <w:p w:rsidR="00A87E27" w:rsidRPr="009D06C9" w:rsidRDefault="00A87E27" w:rsidP="00A87E27">
      <w:pPr>
        <w:rPr>
          <w:lang w:val="es-ES_tradnl" w:eastAsia="ja-JP"/>
        </w:rPr>
      </w:pPr>
      <w:r w:rsidRPr="009D06C9">
        <w:rPr>
          <w:lang w:val="es-ES_tradnl" w:eastAsia="ja-JP"/>
        </w:rPr>
        <w:t>Características típicas de la familia de normas IEEE 802:</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Por ejemplo, IEEE 802.11 (Wi-Fi™) e IEEE 802.15.1 (Bluetooth™) demuestran desde hace años que pueden coexistir funcionando en la misma banda.</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Aunque se desplegarán miles de dispositivos de red inteligente, sus necesidades de velocidad de datos pueden ser limitadas y es muy probable que todos los dispositivos no transmitan al mismo tiempo. Por consiguiente, pueden compartir eficazmente el mismo espectro.</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 xml:space="preserve">Reguladores como la </w:t>
      </w:r>
      <w:r w:rsidRPr="009D06C9">
        <w:rPr>
          <w:i/>
          <w:iCs/>
          <w:lang w:val="es-ES_tradnl" w:eastAsia="ja-JP"/>
        </w:rPr>
        <w:t>Federal Communications Commission</w:t>
      </w:r>
      <w:r w:rsidRPr="009D06C9">
        <w:rPr>
          <w:lang w:val="es-ES_tradnl" w:eastAsia="ja-JP"/>
        </w:rPr>
        <w:t xml:space="preserve"> y Ofcom (Reino Unido) han propuesto límites de emisión estrictos para varias bandas, que deben ser respetados escrupulosamente para que se puedan utilizar esas bandas.</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Nuevas tecnologías cognitivas de compartición radioeléctrica desarrolladas en las normas IEEE 802 (por ejemplo, IEEE 802.22-2011™, también llamada Wi-FAR™) pueden utilizar eficazmente el espectro sin perjudicar a otros usuarios primarios que funcionan en esas bandas o en bandas adyacentes.</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Las características incorporadas en las normas IEEE 802, tales como</w:t>
      </w:r>
      <w:r w:rsidRPr="009D06C9">
        <w:rPr>
          <w:color w:val="000000"/>
          <w:lang w:val="es-ES_tradnl"/>
        </w:rPr>
        <w:t xml:space="preserve"> </w:t>
      </w:r>
      <w:r w:rsidRPr="009D06C9">
        <w:rPr>
          <w:lang w:val="es-ES_tradnl" w:eastAsia="ja-JP"/>
        </w:rPr>
        <w:t>detección del espectro, etiqueta del espectro, gestión de disposición de canales y coexistencia garantizarán interferencias mínimas entre ellas y con otras.</w:t>
      </w:r>
    </w:p>
    <w:p w:rsidR="00A87E27" w:rsidRPr="009D06C9" w:rsidRDefault="00A87E27" w:rsidP="00A87E27">
      <w:pPr>
        <w:rPr>
          <w:rFonts w:eastAsia="Batang"/>
          <w:lang w:val="es-ES_tradnl"/>
        </w:rPr>
      </w:pPr>
      <w:r w:rsidRPr="009D06C9">
        <w:rPr>
          <w:rFonts w:eastAsia="Batang"/>
          <w:lang w:val="es-ES_tradnl"/>
        </w:rPr>
        <w:t>Las tecnologías 3GPP celulares utilizan bandas de espectro con licencia y, por lo tanto, tienen una interferencia controlada. Además, se utilizan técnicas avanzadas de gestión de la interferencia para múltiples dispositivos, tales como la cancelación mejorada de interferencias.</w:t>
      </w:r>
    </w:p>
    <w:p w:rsidR="00A87E27" w:rsidRPr="009D06C9" w:rsidRDefault="00A87E27" w:rsidP="00A87E27">
      <w:pPr>
        <w:rPr>
          <w:lang w:val="es-ES_tradnl" w:eastAsia="ja-JP"/>
        </w:rPr>
      </w:pPr>
      <w:r w:rsidRPr="009D06C9">
        <w:rPr>
          <w:lang w:val="es-ES_tradnl" w:eastAsia="ja-JP"/>
        </w:rPr>
        <w:t>Las soluciones 3GPP proporcionan tecnologías celulares de redes de telecomunicaciones, incluidos acceso radioeléctrico, red de transporte central y capacidades de servicio, incluidos trabajos sobre códecs, seguridad, calidad de servicio, y por lo tanto proporcionan especificaciones de sistema completas. Las especificaciones también proporcionan conexiones para acceso no radioeléctrico a la red central, y para interfuncionamiento con redes Wi-Fi.</w:t>
      </w:r>
    </w:p>
    <w:p w:rsidR="00A87E27" w:rsidRPr="009D06C9" w:rsidRDefault="00A87E27" w:rsidP="00A87E27">
      <w:pPr>
        <w:rPr>
          <w:lang w:val="es-ES_tradnl" w:eastAsia="ja-JP"/>
        </w:rPr>
      </w:pPr>
      <w:r w:rsidRPr="009D06C9">
        <w:rPr>
          <w:lang w:val="es-ES_tradnl" w:eastAsia="ja-JP"/>
        </w:rPr>
        <w:t>Finalidad principal de todas las versiones de 3GPP:</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Lograr que el sistema sea compatible con versiones anteriores y futuras siempre que sea posible, para garantizar un funcionamiento ininterrumpido de los equipos de usuario.</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Realizar estudios exhaustivos de coexistencia y desarrollar especificaciones para garantizar la compartición de bandas de frecuencias por sistemas que utilizan tecnologías de acceso 3GPP diferentes, con un impacto mínimo en la calidad de funcionamiento.</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Cumplir requisitos globales de reglamentación de las emisiones.</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Proporcionar y mantener tecnologías de acceso que soportan numerosas velocidades y capacidades de datos.</w:t>
      </w:r>
    </w:p>
    <w:p w:rsidR="00A87E27" w:rsidRPr="009D06C9" w:rsidRDefault="00A87E27" w:rsidP="00A87E27">
      <w:pPr>
        <w:rPr>
          <w:rFonts w:eastAsia="Batang"/>
          <w:lang w:val="es-ES_tradnl"/>
        </w:rPr>
      </w:pPr>
      <w:r w:rsidRPr="009D06C9">
        <w:rPr>
          <w:lang w:val="es-ES_tradnl" w:eastAsia="ja-JP"/>
        </w:rPr>
        <w:t>Además, las tecnologías 3GPP pueden recurrir a diversas técnicas, tales como el salto de frecuencias, para aumentar la protección contra interferencias y reducir la interferencia causada a otros sistemas que funcionan en la misma banda. Las tecnologías también utilizan técnicas de planificación y coordinación de interferencias, tales como la planificación de frecuencias a escala de todo el sistema, y la coordinación de interferencias intercelulares para garantizar una utilización eficiente del espectro. También se utiliza la supresión avanzada de interferencias en los receptores, lo cual aumenta la protección contra las interferencias.</w:t>
      </w:r>
    </w:p>
    <w:p w:rsidR="00A87E27" w:rsidRPr="009D06C9" w:rsidRDefault="00A87E27" w:rsidP="00A87E27">
      <w:pPr>
        <w:rPr>
          <w:lang w:val="es-ES_tradnl" w:eastAsia="ja-JP"/>
        </w:rPr>
      </w:pPr>
      <w:r w:rsidRPr="009D06C9">
        <w:rPr>
          <w:lang w:val="es-ES_tradnl" w:eastAsia="ja-JP"/>
        </w:rPr>
        <w:lastRenderedPageBreak/>
        <w:t>3GPP2 ha desarrollado numerosas tecnologías inalámbricas que han demostrado ser resistentes a las interferencias y permiten una gestión de la red eléctrica sin causar interferencias a otras. La familia de normas 3GPP2 cdma2000 multiportadoras comprende:</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cdma2000 1x.</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 xml:space="preserve">cdma2000 </w:t>
      </w:r>
      <w:r w:rsidRPr="009D06C9">
        <w:rPr>
          <w:lang w:val="es-ES_tradnl"/>
        </w:rPr>
        <w:t>datos en modo paquete de alta velocidad (HRPD/EV-DO).</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Paquetes de datos de alta velocidad extendida (xHRPD).</w:t>
      </w:r>
    </w:p>
    <w:p w:rsidR="00A87E27" w:rsidRPr="009D06C9" w:rsidRDefault="00A87E27" w:rsidP="00A87E27">
      <w:pPr>
        <w:rPr>
          <w:lang w:val="es-ES_tradnl" w:eastAsia="ja-JP"/>
        </w:rPr>
      </w:pPr>
      <w:r w:rsidRPr="009D06C9">
        <w:rPr>
          <w:lang w:val="es-ES_tradnl" w:eastAsia="ja-JP"/>
        </w:rPr>
        <w:t>La UIT reconoce que la familia de normas 3GPP2 cdma2000 multiportadoras es una tecnología IMT documentada en la Recomendación UIT-R M.1457. Características típicas de la familia de normas 3GPP2 cdma2000 multiportadoras:</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Tecnología comprobada con control de acceso avanzado para soportar un gran número de usuarios en modos de acceso aleatorio y de tráfico con interferencias mínimas.</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Desplegada ya en todo el mundo para proporcionar conectividad a zonas geográficas extensas.</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Cada estación de base está concebida para una gran zona de cobertura.</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Un conjunto completo de especificaciones, incluidas especificaciones de red, seguridad, prueba y calidad de funcionamiento.</w:t>
      </w:r>
    </w:p>
    <w:p w:rsidR="00A87E27" w:rsidRPr="009D06C9" w:rsidRDefault="00A87E27" w:rsidP="00A87E27">
      <w:pPr>
        <w:pStyle w:val="Heading1"/>
        <w:rPr>
          <w:rFonts w:eastAsia="Batang"/>
          <w:lang w:val="es-ES_tradnl"/>
        </w:rPr>
      </w:pPr>
      <w:bookmarkStart w:id="37" w:name="_Toc421882702"/>
      <w:bookmarkStart w:id="38" w:name="_Toc498004362"/>
      <w:r w:rsidRPr="009D06C9">
        <w:rPr>
          <w:rFonts w:eastAsia="Batang"/>
          <w:lang w:val="es-ES_tradnl" w:eastAsia="ko-KR"/>
        </w:rPr>
        <w:t>9</w:t>
      </w:r>
      <w:r w:rsidRPr="009D06C9">
        <w:rPr>
          <w:rFonts w:eastAsia="Batang"/>
          <w:lang w:val="es-ES_tradnl"/>
        </w:rPr>
        <w:tab/>
        <w:t>Impacto del despliegue generalizado de redes alámbricas e inalámbricas utilizadas para sistemas de gestión de redes eléctricas en la disponibilidad del espectro</w:t>
      </w:r>
      <w:bookmarkEnd w:id="37"/>
      <w:bookmarkEnd w:id="38"/>
    </w:p>
    <w:p w:rsidR="00A87E27" w:rsidRPr="009D06C9" w:rsidRDefault="00A87E27" w:rsidP="00A87E27">
      <w:pPr>
        <w:rPr>
          <w:lang w:val="es-ES_tradnl" w:eastAsia="ja-JP"/>
        </w:rPr>
      </w:pPr>
      <w:r w:rsidRPr="009D06C9">
        <w:rPr>
          <w:lang w:val="es-ES_tradnl" w:eastAsia="ja-JP"/>
        </w:rPr>
        <w:t>Uno de los objetivos de las tecnologías inalámbricas celulares 3GPP y de la familia de normas IEEE 802 es que la interferencia asociada con el despliegue generalizado de esos dispositivos y tecnologías no afecte a la disponibilidad del espectro.</w:t>
      </w:r>
    </w:p>
    <w:p w:rsidR="00A87E27" w:rsidRPr="009D06C9" w:rsidRDefault="00A87E27" w:rsidP="00A87E27">
      <w:pPr>
        <w:rPr>
          <w:lang w:val="es-ES_tradnl" w:eastAsia="ja-JP"/>
        </w:rPr>
      </w:pPr>
      <w:r w:rsidRPr="009D06C9">
        <w:rPr>
          <w:lang w:val="es-ES_tradnl" w:eastAsia="ja-JP"/>
        </w:rPr>
        <w:t>Se trata de una consideración vital, dado que:</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Están instalados actualmente en diversos países y regiones, como Europa, Australia y Norteamérica, millones de dispositivos inalámbricos de red inteligente que funcionan en el mismo espectro compartido. El número de esas instalaciones aumenta, y hay más planificadas en esas regiones geográficas porque han tenido éxito y son eficaces.</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La utilización de dispositivos inalámbricos móviles de consumo general se ha generalizado en todo el mundo. Cada dispositivo puede transferir gigabytes de datos cada mes. La utilización de datos por dispositivos inalámbricos de red inteligente es muchas veces más reducida. El espectro con licencia, que es gestionado por empresas inalámbricas, puede admitir fácilmente ese aumento de tráfico.</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 xml:space="preserve">Normativas existentes de Reguladores como la </w:t>
      </w:r>
      <w:r w:rsidRPr="009D06C9">
        <w:rPr>
          <w:i/>
          <w:iCs/>
          <w:lang w:val="es-ES_tradnl" w:eastAsia="ja-JP"/>
        </w:rPr>
        <w:t>Federal Communications Commission</w:t>
      </w:r>
      <w:r w:rsidRPr="009D06C9">
        <w:rPr>
          <w:lang w:val="es-ES_tradnl" w:eastAsia="ja-JP"/>
        </w:rPr>
        <w:t xml:space="preserve"> y Ofcom (Reino Unido) permiten que millones de dispositivos inalámbricos de red inteligente funcionen satisfactoriamente sin perjudicarse unos a otros.</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 xml:space="preserve">Las normas inalámbricas IEEE 802 recurren a diversas tecnologías como, por ejemplo, </w:t>
      </w:r>
      <w:r w:rsidRPr="009D06C9">
        <w:rPr>
          <w:lang w:val="es-ES_tradnl"/>
        </w:rPr>
        <w:t>saltos de frecuencia, enrutamiento en malla, fragmentación, codificación y alta velocidad de ráfagas, que permite crear redes inalámbricas de red inteligente fiables. Además, las redes inalámbricas de red inteligente son resistentes a roturas de enlaces y cortes de corriente</w:t>
      </w:r>
      <w:r w:rsidRPr="009D06C9">
        <w:rPr>
          <w:lang w:val="es-ES_tradnl" w:eastAsia="ja-JP"/>
        </w:rPr>
        <w:t>.</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Las tecnologías inalámbricas celulares 3GPP recurren a diversas técnicas tales como modulación y codificación de alto nivel, atribución de bloques de recursos, cancelación y mitigación de interferencias, y MIMO para utilizar eficazmente el espectro atribuido. Además, multipunto coordinado ofrece una robustez adicional.</w:t>
      </w:r>
    </w:p>
    <w:p w:rsidR="00A87E27" w:rsidRPr="009D06C9" w:rsidRDefault="00A87E27" w:rsidP="00A87E27">
      <w:pPr>
        <w:pStyle w:val="enumlev1"/>
        <w:rPr>
          <w:lang w:val="es-ES_tradnl" w:eastAsia="ja-JP"/>
        </w:rPr>
      </w:pPr>
      <w:r w:rsidRPr="009D06C9">
        <w:rPr>
          <w:lang w:val="es-ES_tradnl" w:eastAsia="ja-JP"/>
        </w:rPr>
        <w:lastRenderedPageBreak/>
        <w:t>–</w:t>
      </w:r>
      <w:r w:rsidRPr="009D06C9">
        <w:rPr>
          <w:lang w:val="es-ES_tradnl" w:eastAsia="ja-JP"/>
        </w:rPr>
        <w:tab/>
        <w:t>Nuevas tecnologías cognitivas de compartición radioeléctrica desarrolladas en las normas IEEE 802 pueden utilizar eficazmente el espectro sin perjudicar a otros usuarios primarios que funcionan en esas bandas o en bandas adyacentes.</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Las características incorporadas en las normas IEEE 802, tales como</w:t>
      </w:r>
      <w:r w:rsidRPr="009D06C9">
        <w:rPr>
          <w:color w:val="000000"/>
          <w:lang w:val="es-ES_tradnl"/>
        </w:rPr>
        <w:t xml:space="preserve"> </w:t>
      </w:r>
      <w:r w:rsidRPr="009D06C9">
        <w:rPr>
          <w:lang w:val="es-ES_tradnl" w:eastAsia="ja-JP"/>
        </w:rPr>
        <w:t>detección del espectro, etiqueta del espectro, gestión de disposición de canales y coexistencia garantizarán interferencias mínimas entre ellas y con otras.</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Las tecnologías inalámbricas celulares 3GPP evolucionan constantemente y en la versión 13 de 3GPP se introducirán nuevas características pertinentes para redes inteligentes.</w:t>
      </w:r>
    </w:p>
    <w:p w:rsidR="00A87E27" w:rsidRPr="009D06C9" w:rsidRDefault="00A87E27" w:rsidP="00A87E27">
      <w:pPr>
        <w:pStyle w:val="enumlev1"/>
        <w:keepNext/>
        <w:keepLines/>
        <w:rPr>
          <w:lang w:val="es-ES_tradnl" w:eastAsia="ja-JP"/>
        </w:rPr>
      </w:pPr>
      <w:r w:rsidRPr="009D06C9">
        <w:rPr>
          <w:lang w:val="es-ES_tradnl" w:eastAsia="ja-JP"/>
        </w:rPr>
        <w:t>–</w:t>
      </w:r>
      <w:r w:rsidRPr="009D06C9">
        <w:rPr>
          <w:lang w:val="es-ES_tradnl" w:eastAsia="ja-JP"/>
        </w:rPr>
        <w:tab/>
        <w:t xml:space="preserve">Los </w:t>
      </w:r>
      <w:r w:rsidRPr="009D06C9">
        <w:rPr>
          <w:lang w:val="es-ES_tradnl"/>
        </w:rPr>
        <w:t xml:space="preserve">enlaces Ethernet alámbricos no utilizan espectro inalámbrico y suelen estar concebidos para cumplir los códigos locales y nacionales aplicables para la limitación de las interferencias electromagnéticas </w:t>
      </w:r>
      <w:r w:rsidRPr="009D06C9">
        <w:rPr>
          <w:lang w:val="es-ES_tradnl" w:eastAsia="ja-JP"/>
        </w:rPr>
        <w:t>de sistemas no transmisores. Por consiguiente, la utilización de Ethernet no debería dar lugar a consideraciones adicionales sobre la interferencia causada a las radiocomunicaciones en la implementación de tecnologías y dispositivos alámbricos e inalámbricos utilizados en apoyo de sistemas de gestión de red eléctrica.</w:t>
      </w:r>
    </w:p>
    <w:p w:rsidR="00A87E27" w:rsidRPr="009D06C9" w:rsidRDefault="00A87E27" w:rsidP="00A87E27">
      <w:pPr>
        <w:rPr>
          <w:lang w:val="es-ES_tradnl" w:eastAsia="ja-JP"/>
        </w:rPr>
      </w:pPr>
      <w:r w:rsidRPr="009D06C9">
        <w:rPr>
          <w:lang w:val="es-ES_tradnl" w:eastAsia="ja-JP"/>
        </w:rPr>
        <w:t>Uno de los objetivos de la familia de normas 3GPP es que la interferencia asociada con el despliegue generalizado de esos dispositivos y tecnologías no afecte a la disponibilidad del espectro, considerando:</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el despliegue mundial generalizado de sistemas que proporcionan itinerancia mundial a millones de equipos de usuario;</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la cobertura fiable de las redes celulares prácticamente en el mundo entero.</w:t>
      </w:r>
    </w:p>
    <w:p w:rsidR="00A87E27" w:rsidRPr="009D06C9" w:rsidRDefault="00A87E27" w:rsidP="00A87E27">
      <w:pPr>
        <w:pStyle w:val="Heading1"/>
        <w:rPr>
          <w:rFonts w:eastAsia="Batang"/>
          <w:lang w:val="es-ES_tradnl"/>
        </w:rPr>
      </w:pPr>
      <w:bookmarkStart w:id="39" w:name="_Toc421882703"/>
      <w:bookmarkStart w:id="40" w:name="_Toc498004363"/>
      <w:r w:rsidRPr="009D06C9">
        <w:rPr>
          <w:rFonts w:eastAsia="Batang"/>
          <w:lang w:val="es-ES_tradnl" w:eastAsia="ko-KR"/>
        </w:rPr>
        <w:t>10</w:t>
      </w:r>
      <w:r w:rsidRPr="009D06C9">
        <w:rPr>
          <w:rFonts w:eastAsia="Batang"/>
          <w:lang w:val="es-ES_tradnl"/>
        </w:rPr>
        <w:tab/>
        <w:t>Conclusión</w:t>
      </w:r>
      <w:bookmarkEnd w:id="39"/>
      <w:bookmarkEnd w:id="40"/>
    </w:p>
    <w:p w:rsidR="00A87E27" w:rsidRPr="009D06C9" w:rsidRDefault="00A87E27" w:rsidP="00A87E27">
      <w:pPr>
        <w:rPr>
          <w:rFonts w:eastAsia="Batang"/>
          <w:lang w:val="es-ES_tradnl"/>
        </w:rPr>
      </w:pPr>
      <w:r w:rsidRPr="009D06C9">
        <w:rPr>
          <w:rFonts w:eastAsia="Batang"/>
          <w:lang w:val="es-ES_tradnl"/>
        </w:rPr>
        <w:t>Las redes de comunicación bidireccional de alta capacidad que emplean tecnologías de telecomunicaciones inalámbricas, PLT o de otro tipo que acoplan sensores y medidores inteligentes pueden transformar redes existentes de distribución de servicios públicos en redes inteligentes.</w:t>
      </w:r>
    </w:p>
    <w:p w:rsidR="00A87E27" w:rsidRPr="009D06C9" w:rsidRDefault="00A87E27" w:rsidP="00A87E27">
      <w:pPr>
        <w:rPr>
          <w:rFonts w:eastAsia="Batang"/>
          <w:lang w:val="es-ES_tradnl"/>
        </w:rPr>
      </w:pPr>
      <w:r w:rsidRPr="009D06C9">
        <w:rPr>
          <w:rFonts w:eastAsia="Batang"/>
          <w:lang w:val="es-ES_tradnl"/>
        </w:rPr>
        <w:t>En principio, gracias a la medición inteligente y a las comunicaciones por redes inteligentes, los consumidores podrán controlar y cambiar sus costumbres de consumo en beneficio propio. Los servicios públicos también podrán introducir en tiempo real medidas de tarificación en las que las tasas se puedan ajustar continuamente para tener en cuenta consideraciones de demanda total y de integridad de las redes de distribución. También será posible, en principio, regular la demanda de clases particulares de aparatos domésticos y equipos industriales muy utilizados.</w:t>
      </w:r>
    </w:p>
    <w:p w:rsidR="00A87E27" w:rsidRPr="009D06C9" w:rsidRDefault="00A87E27" w:rsidP="00A87E27">
      <w:pPr>
        <w:rPr>
          <w:rFonts w:eastAsia="Batang"/>
          <w:lang w:val="es-ES_tradnl"/>
        </w:rPr>
      </w:pPr>
      <w:r w:rsidRPr="009D06C9">
        <w:rPr>
          <w:rFonts w:eastAsia="Batang"/>
          <w:lang w:val="es-ES_tradnl"/>
        </w:rPr>
        <w:t>El objetivo global es que se puedan supervisar y controlar esas redes interactivas de red inteligente para aumentar la eficiencia, fiabilidad y seguridad de las redes de distribución de electricidad, gas y agua, garantizando a los consumidores un abastecimiento continuo.</w:t>
      </w:r>
    </w:p>
    <w:p w:rsidR="00A87E27" w:rsidRPr="009D06C9" w:rsidRDefault="00A87E27" w:rsidP="00A87E27">
      <w:pPr>
        <w:pStyle w:val="AnnexNoTitle"/>
        <w:rPr>
          <w:lang w:val="es-ES_tradnl"/>
        </w:rPr>
      </w:pPr>
      <w:r w:rsidRPr="009D06C9">
        <w:rPr>
          <w:lang w:val="es-ES_tradnl" w:eastAsia="zh-CN"/>
        </w:rPr>
        <w:lastRenderedPageBreak/>
        <w:t>Anexo 1</w:t>
      </w:r>
      <w:r w:rsidRPr="009D06C9">
        <w:rPr>
          <w:lang w:val="es-ES_tradnl" w:eastAsia="zh-CN"/>
        </w:rPr>
        <w:br/>
      </w:r>
      <w:r w:rsidRPr="009D06C9">
        <w:rPr>
          <w:lang w:val="es-ES_tradnl" w:eastAsia="zh-CN"/>
        </w:rPr>
        <w:br/>
      </w:r>
      <w:bookmarkStart w:id="41" w:name="_Toc421880927"/>
      <w:bookmarkStart w:id="42" w:name="_Toc421882705"/>
      <w:r w:rsidRPr="009D06C9">
        <w:rPr>
          <w:lang w:val="es-ES_tradnl"/>
        </w:rPr>
        <w:t>Ejemplos de normas existentes relativas a sistemas</w:t>
      </w:r>
      <w:r w:rsidRPr="009D06C9">
        <w:rPr>
          <w:lang w:val="es-ES_tradnl"/>
        </w:rPr>
        <w:br/>
        <w:t>de gestión de redes eléctricas</w:t>
      </w:r>
      <w:bookmarkEnd w:id="41"/>
      <w:bookmarkEnd w:id="42"/>
    </w:p>
    <w:p w:rsidR="00A87E27" w:rsidRPr="009D06C9" w:rsidRDefault="00A87E27" w:rsidP="00A87E27">
      <w:pPr>
        <w:pStyle w:val="Heading2"/>
        <w:rPr>
          <w:rFonts w:eastAsia="Batang"/>
          <w:lang w:val="es-ES_tradnl"/>
        </w:rPr>
      </w:pPr>
      <w:bookmarkStart w:id="43" w:name="_Toc421882706"/>
      <w:bookmarkStart w:id="44" w:name="_Toc498004364"/>
      <w:r w:rsidRPr="009D06C9">
        <w:rPr>
          <w:rFonts w:eastAsia="Batang"/>
          <w:lang w:val="es-ES_tradnl"/>
        </w:rPr>
        <w:t>A1.1</w:t>
      </w:r>
      <w:r w:rsidRPr="009D06C9">
        <w:rPr>
          <w:rFonts w:eastAsia="Batang"/>
          <w:lang w:val="es-ES_tradnl"/>
        </w:rPr>
        <w:tab/>
        <w:t>Normas del IEEE</w:t>
      </w:r>
      <w:bookmarkEnd w:id="43"/>
      <w:bookmarkEnd w:id="44"/>
    </w:p>
    <w:p w:rsidR="00A87E27" w:rsidRPr="009D06C9" w:rsidRDefault="00A87E27" w:rsidP="00A87E27">
      <w:pPr>
        <w:keepNext/>
        <w:keepLines/>
        <w:rPr>
          <w:rFonts w:eastAsia="Batang"/>
          <w:lang w:val="es-ES_tradnl"/>
        </w:rPr>
      </w:pPr>
      <w:r w:rsidRPr="009D06C9">
        <w:rPr>
          <w:rFonts w:eastAsia="Batang"/>
          <w:lang w:val="es-ES_tradnl"/>
        </w:rPr>
        <w:t>La norma IEEE 802 contiene varias normas inalámbricas aplicables a aplicaciones del primer kilómetro para sistemas de gestión de redes eléctricas. En los cuadros siguientes se resumen las características técnicas y operacionales de las normas inalámbricas IEEE 802 pertinentes.</w:t>
      </w:r>
    </w:p>
    <w:p w:rsidR="00A87E27" w:rsidRPr="00EE026E" w:rsidRDefault="00A87E27" w:rsidP="00990C17">
      <w:pPr>
        <w:pStyle w:val="Note"/>
        <w:rPr>
          <w:lang w:val="es-ES_tradnl"/>
        </w:rPr>
      </w:pPr>
      <w:r w:rsidRPr="00EE026E">
        <w:rPr>
          <w:lang w:val="es-ES_tradnl"/>
        </w:rPr>
        <w:t>NOTA – Véase el Cuadro 2 de la Recomendación UIT-R M.1450, donde figuran los parámetros técnicos relacionados con la norma IEEE 802.11.</w:t>
      </w:r>
    </w:p>
    <w:p w:rsidR="00A87E27" w:rsidRPr="009D06C9" w:rsidRDefault="00A87E27" w:rsidP="00A87E27">
      <w:pPr>
        <w:pStyle w:val="TableNo"/>
        <w:rPr>
          <w:lang w:val="es-ES_tradnl"/>
        </w:rPr>
      </w:pPr>
      <w:r w:rsidRPr="009D06C9">
        <w:rPr>
          <w:lang w:val="es-ES_tradnl"/>
        </w:rPr>
        <w:t>CUADRO A1.1</w:t>
      </w:r>
    </w:p>
    <w:p w:rsidR="00A87E27" w:rsidRPr="009D06C9" w:rsidRDefault="00A87E27" w:rsidP="00A87E27">
      <w:pPr>
        <w:pStyle w:val="Tabletitle"/>
        <w:rPr>
          <w:lang w:val="es-ES_tradnl"/>
        </w:rPr>
      </w:pPr>
      <w:r w:rsidRPr="009D06C9">
        <w:rPr>
          <w:lang w:val="es-ES_tradnl"/>
        </w:rPr>
        <w:t>Características técnicas y operacionales de la norma IEEE 802.11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94"/>
        <w:gridCol w:w="1020"/>
        <w:gridCol w:w="1871"/>
        <w:gridCol w:w="1871"/>
        <w:gridCol w:w="1134"/>
        <w:gridCol w:w="1247"/>
      </w:tblGrid>
      <w:tr w:rsidR="00A87E27" w:rsidRPr="009D06C9" w:rsidTr="00090ED8">
        <w:trPr>
          <w:cantSplit/>
          <w:jc w:val="center"/>
        </w:trPr>
        <w:tc>
          <w:tcPr>
            <w:tcW w:w="2494" w:type="dxa"/>
            <w:vMerge w:val="restart"/>
            <w:vAlign w:val="center"/>
          </w:tcPr>
          <w:p w:rsidR="00A87E27" w:rsidRPr="009D06C9" w:rsidRDefault="00A87E27" w:rsidP="00090ED8">
            <w:pPr>
              <w:pStyle w:val="Tablehead"/>
              <w:rPr>
                <w:lang w:val="es-ES_tradnl"/>
              </w:rPr>
            </w:pPr>
            <w:r w:rsidRPr="009D06C9">
              <w:rPr>
                <w:lang w:val="es-ES_tradnl"/>
              </w:rPr>
              <w:t>Ítem</w:t>
            </w:r>
          </w:p>
        </w:tc>
        <w:tc>
          <w:tcPr>
            <w:tcW w:w="1020" w:type="dxa"/>
            <w:vMerge w:val="restart"/>
            <w:vAlign w:val="center"/>
          </w:tcPr>
          <w:p w:rsidR="00A87E27" w:rsidRPr="009D06C9" w:rsidRDefault="00A87E27" w:rsidP="00090ED8">
            <w:pPr>
              <w:pStyle w:val="Tablehead"/>
              <w:rPr>
                <w:lang w:val="es-ES_tradnl"/>
              </w:rPr>
            </w:pPr>
            <w:r w:rsidRPr="009D06C9">
              <w:rPr>
                <w:lang w:val="es-ES_tradnl"/>
              </w:rPr>
              <w:t>802.11</w:t>
            </w:r>
          </w:p>
        </w:tc>
        <w:tc>
          <w:tcPr>
            <w:tcW w:w="3742" w:type="dxa"/>
            <w:gridSpan w:val="2"/>
            <w:vAlign w:val="center"/>
          </w:tcPr>
          <w:p w:rsidR="00A87E27" w:rsidRPr="009D06C9" w:rsidRDefault="00A87E27" w:rsidP="00090ED8">
            <w:pPr>
              <w:pStyle w:val="Tablehead"/>
              <w:rPr>
                <w:lang w:val="es-ES_tradnl"/>
              </w:rPr>
            </w:pPr>
            <w:r w:rsidRPr="009D06C9">
              <w:rPr>
                <w:lang w:val="es-ES_tradnl"/>
              </w:rPr>
              <w:t>802.11ah</w:t>
            </w:r>
            <w:r w:rsidRPr="00EE026E">
              <w:rPr>
                <w:rStyle w:val="FootnoteReference"/>
                <w:spacing w:val="-2"/>
                <w:sz w:val="14"/>
                <w:szCs w:val="14"/>
                <w:lang w:val="es-ES_tradnl"/>
              </w:rPr>
              <w:footnoteReference w:id="22"/>
            </w:r>
          </w:p>
        </w:tc>
        <w:tc>
          <w:tcPr>
            <w:tcW w:w="1134" w:type="dxa"/>
            <w:vMerge w:val="restart"/>
            <w:vAlign w:val="center"/>
          </w:tcPr>
          <w:p w:rsidR="00A87E27" w:rsidRPr="009D06C9" w:rsidRDefault="00A87E27" w:rsidP="00090ED8">
            <w:pPr>
              <w:pStyle w:val="Tablehead"/>
              <w:rPr>
                <w:lang w:val="es-ES_tradnl"/>
              </w:rPr>
            </w:pPr>
            <w:r w:rsidRPr="009D06C9">
              <w:rPr>
                <w:lang w:val="es-ES_tradnl"/>
              </w:rPr>
              <w:t>802.11n</w:t>
            </w:r>
          </w:p>
        </w:tc>
        <w:tc>
          <w:tcPr>
            <w:tcW w:w="1247" w:type="dxa"/>
            <w:vMerge w:val="restart"/>
            <w:vAlign w:val="center"/>
          </w:tcPr>
          <w:p w:rsidR="00A87E27" w:rsidRPr="009D06C9" w:rsidRDefault="00A87E27" w:rsidP="00090ED8">
            <w:pPr>
              <w:pStyle w:val="Tablehead"/>
              <w:rPr>
                <w:lang w:val="es-ES_tradnl"/>
              </w:rPr>
            </w:pPr>
            <w:r w:rsidRPr="009D06C9">
              <w:rPr>
                <w:lang w:val="es-ES_tradnl"/>
              </w:rPr>
              <w:t>802.11ac</w:t>
            </w:r>
          </w:p>
        </w:tc>
      </w:tr>
      <w:tr w:rsidR="00A87E27" w:rsidRPr="009D06C9" w:rsidTr="00090ED8">
        <w:trPr>
          <w:cantSplit/>
          <w:jc w:val="center"/>
        </w:trPr>
        <w:tc>
          <w:tcPr>
            <w:tcW w:w="2494" w:type="dxa"/>
            <w:vMerge/>
            <w:vAlign w:val="center"/>
          </w:tcPr>
          <w:p w:rsidR="00A87E27" w:rsidRPr="009D06C9" w:rsidRDefault="00A87E27" w:rsidP="00090ED8">
            <w:pPr>
              <w:pStyle w:val="Tablehead"/>
              <w:rPr>
                <w:lang w:val="es-ES_tradnl"/>
              </w:rPr>
            </w:pPr>
          </w:p>
        </w:tc>
        <w:tc>
          <w:tcPr>
            <w:tcW w:w="1020" w:type="dxa"/>
            <w:vMerge/>
            <w:vAlign w:val="center"/>
          </w:tcPr>
          <w:p w:rsidR="00A87E27" w:rsidRPr="009D06C9" w:rsidRDefault="00A87E27" w:rsidP="00090ED8">
            <w:pPr>
              <w:pStyle w:val="Tablehead"/>
              <w:rPr>
                <w:lang w:val="es-ES_tradnl"/>
              </w:rPr>
            </w:pPr>
          </w:p>
        </w:tc>
        <w:tc>
          <w:tcPr>
            <w:tcW w:w="1871" w:type="dxa"/>
            <w:vAlign w:val="center"/>
          </w:tcPr>
          <w:p w:rsidR="00A87E27" w:rsidRPr="009D06C9" w:rsidRDefault="00A87E27" w:rsidP="00090ED8">
            <w:pPr>
              <w:pStyle w:val="Tablehead"/>
              <w:rPr>
                <w:lang w:val="es-ES_tradnl"/>
              </w:rPr>
            </w:pPr>
            <w:r w:rsidRPr="009D06C9">
              <w:rPr>
                <w:lang w:val="es-ES_tradnl"/>
              </w:rPr>
              <w:t>Modelo 1</w:t>
            </w:r>
            <w:bookmarkStart w:id="45" w:name="_Ref426016040"/>
            <w:r w:rsidRPr="00EE026E">
              <w:rPr>
                <w:rStyle w:val="FootnoteReference"/>
                <w:spacing w:val="-2"/>
                <w:sz w:val="14"/>
                <w:szCs w:val="14"/>
                <w:lang w:val="es-ES_tradnl"/>
              </w:rPr>
              <w:footnoteReference w:id="23"/>
            </w:r>
            <w:bookmarkEnd w:id="45"/>
          </w:p>
        </w:tc>
        <w:tc>
          <w:tcPr>
            <w:tcW w:w="1871" w:type="dxa"/>
            <w:vAlign w:val="center"/>
          </w:tcPr>
          <w:p w:rsidR="00A87E27" w:rsidRPr="009D06C9" w:rsidRDefault="00A87E27" w:rsidP="00090ED8">
            <w:pPr>
              <w:pStyle w:val="Tablehead"/>
              <w:rPr>
                <w:lang w:val="es-ES_tradnl"/>
              </w:rPr>
            </w:pPr>
            <w:r w:rsidRPr="009D06C9">
              <w:rPr>
                <w:lang w:val="es-ES_tradnl"/>
              </w:rPr>
              <w:t>Modelo 2</w:t>
            </w:r>
            <w:bookmarkStart w:id="46" w:name="_Ref426016051"/>
            <w:r w:rsidRPr="00EE026E">
              <w:rPr>
                <w:rStyle w:val="FootnoteReference"/>
                <w:spacing w:val="-2"/>
                <w:sz w:val="14"/>
                <w:szCs w:val="14"/>
                <w:lang w:val="es-ES_tradnl"/>
              </w:rPr>
              <w:footnoteReference w:id="24"/>
            </w:r>
            <w:bookmarkEnd w:id="46"/>
          </w:p>
        </w:tc>
        <w:tc>
          <w:tcPr>
            <w:tcW w:w="1134" w:type="dxa"/>
            <w:vMerge/>
          </w:tcPr>
          <w:p w:rsidR="00A87E27" w:rsidRPr="009D06C9" w:rsidRDefault="00A87E27" w:rsidP="00090ED8">
            <w:pPr>
              <w:pStyle w:val="Tablehead"/>
              <w:rPr>
                <w:lang w:val="es-ES_tradnl"/>
              </w:rPr>
            </w:pPr>
          </w:p>
        </w:tc>
        <w:tc>
          <w:tcPr>
            <w:tcW w:w="1247" w:type="dxa"/>
            <w:vMerge/>
          </w:tcPr>
          <w:p w:rsidR="00A87E27" w:rsidRPr="009D06C9" w:rsidRDefault="00A87E27" w:rsidP="00090ED8">
            <w:pPr>
              <w:pStyle w:val="Tablehead"/>
              <w:rPr>
                <w:lang w:val="es-ES_tradnl"/>
              </w:rPr>
            </w:pPr>
          </w:p>
        </w:tc>
      </w:tr>
      <w:tr w:rsidR="00A87E27" w:rsidRPr="009D06C9"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Bandas de frecuencias soportadas (con o sin licencia)</w:t>
            </w:r>
          </w:p>
        </w:tc>
        <w:tc>
          <w:tcPr>
            <w:tcW w:w="1020" w:type="dxa"/>
          </w:tcPr>
          <w:p w:rsidR="00A87E27" w:rsidRPr="009D06C9" w:rsidRDefault="00A87E27" w:rsidP="00090ED8">
            <w:pPr>
              <w:pStyle w:val="Tabletext"/>
              <w:jc w:val="center"/>
              <w:rPr>
                <w:lang w:val="es-ES_tradnl"/>
              </w:rPr>
            </w:pPr>
            <w:r w:rsidRPr="009D06C9">
              <w:rPr>
                <w:lang w:val="es-ES_tradnl"/>
              </w:rPr>
              <w:t>2,4 GHz</w:t>
            </w:r>
          </w:p>
        </w:tc>
        <w:tc>
          <w:tcPr>
            <w:tcW w:w="1871" w:type="dxa"/>
          </w:tcPr>
          <w:p w:rsidR="00A87E27" w:rsidRPr="009D06C9" w:rsidRDefault="00A87E27" w:rsidP="00090ED8">
            <w:pPr>
              <w:pStyle w:val="Tabletext"/>
              <w:jc w:val="center"/>
              <w:rPr>
                <w:lang w:val="es-ES_tradnl"/>
              </w:rPr>
            </w:pPr>
            <w:r w:rsidRPr="009D06C9">
              <w:rPr>
                <w:lang w:val="es-ES_tradnl"/>
              </w:rPr>
              <w:t>900 MHz</w:t>
            </w:r>
          </w:p>
        </w:tc>
        <w:tc>
          <w:tcPr>
            <w:tcW w:w="1871" w:type="dxa"/>
          </w:tcPr>
          <w:p w:rsidR="00A87E27" w:rsidRPr="009D06C9" w:rsidRDefault="00A87E27" w:rsidP="00090ED8">
            <w:pPr>
              <w:pStyle w:val="Tabletext"/>
              <w:jc w:val="center"/>
              <w:rPr>
                <w:lang w:val="es-ES_tradnl"/>
              </w:rPr>
            </w:pPr>
            <w:r w:rsidRPr="009D06C9">
              <w:rPr>
                <w:lang w:val="es-ES_tradnl"/>
              </w:rPr>
              <w:t>900 MHz</w:t>
            </w:r>
          </w:p>
        </w:tc>
        <w:tc>
          <w:tcPr>
            <w:tcW w:w="1134" w:type="dxa"/>
          </w:tcPr>
          <w:p w:rsidR="00A87E27" w:rsidRPr="009D06C9" w:rsidRDefault="00A87E27" w:rsidP="00090ED8">
            <w:pPr>
              <w:pStyle w:val="Tabletext"/>
              <w:jc w:val="center"/>
              <w:rPr>
                <w:lang w:val="es-ES_tradnl"/>
              </w:rPr>
            </w:pPr>
            <w:r w:rsidRPr="009D06C9">
              <w:rPr>
                <w:lang w:val="es-ES_tradnl"/>
              </w:rPr>
              <w:t>2.4 GHz</w:t>
            </w:r>
          </w:p>
        </w:tc>
        <w:tc>
          <w:tcPr>
            <w:tcW w:w="1247" w:type="dxa"/>
          </w:tcPr>
          <w:p w:rsidR="00A87E27" w:rsidRPr="009D06C9" w:rsidRDefault="00A87E27" w:rsidP="00090ED8">
            <w:pPr>
              <w:pStyle w:val="Tabletext"/>
              <w:jc w:val="center"/>
              <w:rPr>
                <w:lang w:val="es-ES_tradnl"/>
              </w:rPr>
            </w:pPr>
            <w:r w:rsidRPr="009D06C9">
              <w:rPr>
                <w:lang w:val="es-ES_tradnl"/>
              </w:rPr>
              <w:t>5 GHz</w:t>
            </w:r>
          </w:p>
        </w:tc>
      </w:tr>
      <w:tr w:rsidR="00A87E27" w:rsidRPr="009D06C9"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Gama de funcionamiento nominal</w:t>
            </w:r>
          </w:p>
        </w:tc>
        <w:tc>
          <w:tcPr>
            <w:tcW w:w="1020" w:type="dxa"/>
          </w:tcPr>
          <w:p w:rsidR="00A87E27" w:rsidRPr="009D06C9" w:rsidRDefault="00A87E27" w:rsidP="00090ED8">
            <w:pPr>
              <w:pStyle w:val="Tabletext"/>
              <w:jc w:val="center"/>
              <w:rPr>
                <w:lang w:val="es-ES_tradnl"/>
              </w:rPr>
            </w:pPr>
            <w:r w:rsidRPr="009D06C9">
              <w:rPr>
                <w:lang w:val="es-ES_tradnl"/>
              </w:rPr>
              <w:t>1,5 km</w:t>
            </w:r>
          </w:p>
        </w:tc>
        <w:tc>
          <w:tcPr>
            <w:tcW w:w="1871" w:type="dxa"/>
          </w:tcPr>
          <w:p w:rsidR="00A87E27" w:rsidRPr="009D06C9" w:rsidRDefault="00A87E27" w:rsidP="00090ED8">
            <w:pPr>
              <w:pStyle w:val="Tabletext"/>
              <w:jc w:val="center"/>
              <w:rPr>
                <w:lang w:val="es-ES_tradnl"/>
              </w:rPr>
            </w:pPr>
            <w:r w:rsidRPr="009D06C9">
              <w:rPr>
                <w:lang w:val="es-ES_tradnl"/>
              </w:rPr>
              <w:t>2 km</w:t>
            </w:r>
          </w:p>
        </w:tc>
        <w:tc>
          <w:tcPr>
            <w:tcW w:w="1871" w:type="dxa"/>
          </w:tcPr>
          <w:p w:rsidR="00A87E27" w:rsidRPr="009D06C9" w:rsidRDefault="00A87E27" w:rsidP="00090ED8">
            <w:pPr>
              <w:pStyle w:val="Tabletext"/>
              <w:jc w:val="center"/>
              <w:rPr>
                <w:lang w:val="es-ES_tradnl"/>
              </w:rPr>
            </w:pPr>
            <w:r w:rsidRPr="009D06C9">
              <w:rPr>
                <w:lang w:val="es-ES_tradnl"/>
              </w:rPr>
              <w:t>2 km</w:t>
            </w:r>
          </w:p>
        </w:tc>
        <w:tc>
          <w:tcPr>
            <w:tcW w:w="1134" w:type="dxa"/>
          </w:tcPr>
          <w:p w:rsidR="00A87E27" w:rsidRPr="009D06C9" w:rsidRDefault="00A87E27" w:rsidP="00090ED8">
            <w:pPr>
              <w:pStyle w:val="Tabletext"/>
              <w:jc w:val="center"/>
              <w:rPr>
                <w:lang w:val="es-ES_tradnl"/>
              </w:rPr>
            </w:pPr>
            <w:r w:rsidRPr="009D06C9">
              <w:rPr>
                <w:lang w:val="es-ES_tradnl"/>
              </w:rPr>
              <w:t>0,25 km</w:t>
            </w:r>
          </w:p>
        </w:tc>
        <w:tc>
          <w:tcPr>
            <w:tcW w:w="1247" w:type="dxa"/>
          </w:tcPr>
          <w:p w:rsidR="00A87E27" w:rsidRPr="009D06C9" w:rsidRDefault="00A87E27" w:rsidP="00090ED8">
            <w:pPr>
              <w:pStyle w:val="Tabletext"/>
              <w:jc w:val="center"/>
              <w:rPr>
                <w:lang w:val="es-ES_tradnl"/>
              </w:rPr>
            </w:pPr>
            <w:r w:rsidRPr="009D06C9">
              <w:rPr>
                <w:lang w:val="es-ES_tradnl"/>
              </w:rPr>
              <w:t>0,14 km</w:t>
            </w:r>
          </w:p>
        </w:tc>
      </w:tr>
      <w:tr w:rsidR="00A87E27" w:rsidRPr="009D06C9"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Capacidad de movilidad (nómada/móvil)</w:t>
            </w:r>
          </w:p>
        </w:tc>
        <w:tc>
          <w:tcPr>
            <w:tcW w:w="1020" w:type="dxa"/>
          </w:tcPr>
          <w:p w:rsidR="00A87E27" w:rsidRPr="009D06C9" w:rsidRDefault="00A87E27" w:rsidP="00090ED8">
            <w:pPr>
              <w:pStyle w:val="Tabletext"/>
              <w:jc w:val="center"/>
              <w:rPr>
                <w:lang w:val="es-ES_tradnl"/>
              </w:rPr>
            </w:pPr>
            <w:r w:rsidRPr="009D06C9">
              <w:rPr>
                <w:lang w:val="es-ES_tradnl"/>
              </w:rPr>
              <w:t>Nómada y móvil</w:t>
            </w:r>
          </w:p>
        </w:tc>
        <w:tc>
          <w:tcPr>
            <w:tcW w:w="1871" w:type="dxa"/>
          </w:tcPr>
          <w:p w:rsidR="00A87E27" w:rsidRPr="009D06C9" w:rsidRDefault="00A87E27" w:rsidP="00090ED8">
            <w:pPr>
              <w:pStyle w:val="Tabletext"/>
              <w:jc w:val="center"/>
              <w:rPr>
                <w:lang w:val="es-ES_tradnl"/>
              </w:rPr>
            </w:pPr>
            <w:r w:rsidRPr="009D06C9">
              <w:rPr>
                <w:lang w:val="es-ES_tradnl"/>
              </w:rPr>
              <w:t>Nómada</w:t>
            </w:r>
          </w:p>
        </w:tc>
        <w:tc>
          <w:tcPr>
            <w:tcW w:w="1871" w:type="dxa"/>
          </w:tcPr>
          <w:p w:rsidR="00A87E27" w:rsidRPr="009D06C9" w:rsidRDefault="00A87E27" w:rsidP="00090ED8">
            <w:pPr>
              <w:pStyle w:val="Tabletext"/>
              <w:jc w:val="center"/>
              <w:rPr>
                <w:lang w:val="es-ES_tradnl"/>
              </w:rPr>
            </w:pPr>
            <w:r w:rsidRPr="009D06C9">
              <w:rPr>
                <w:lang w:val="es-ES_tradnl"/>
              </w:rPr>
              <w:t>Nómada</w:t>
            </w:r>
          </w:p>
        </w:tc>
        <w:tc>
          <w:tcPr>
            <w:tcW w:w="1134" w:type="dxa"/>
          </w:tcPr>
          <w:p w:rsidR="00A87E27" w:rsidRPr="009D06C9" w:rsidRDefault="00A87E27" w:rsidP="00090ED8">
            <w:pPr>
              <w:pStyle w:val="Tabletext"/>
              <w:jc w:val="center"/>
              <w:rPr>
                <w:lang w:val="es-ES_tradnl"/>
              </w:rPr>
            </w:pPr>
            <w:r w:rsidRPr="009D06C9">
              <w:rPr>
                <w:lang w:val="es-ES_tradnl"/>
              </w:rPr>
              <w:t>Nómada y móvil</w:t>
            </w:r>
          </w:p>
        </w:tc>
        <w:tc>
          <w:tcPr>
            <w:tcW w:w="1247" w:type="dxa"/>
          </w:tcPr>
          <w:p w:rsidR="00A87E27" w:rsidRPr="009D06C9" w:rsidRDefault="00A87E27" w:rsidP="00090ED8">
            <w:pPr>
              <w:pStyle w:val="Tabletext"/>
              <w:jc w:val="center"/>
              <w:rPr>
                <w:lang w:val="es-ES_tradnl"/>
              </w:rPr>
            </w:pPr>
            <w:r w:rsidRPr="009D06C9">
              <w:rPr>
                <w:lang w:val="es-ES_tradnl"/>
              </w:rPr>
              <w:t>Nómada y móvil</w:t>
            </w:r>
          </w:p>
        </w:tc>
      </w:tr>
      <w:tr w:rsidR="00A87E27" w:rsidRPr="009D06C9"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Velocidad de datos de cresta (enlace ascendente/descendente si es diferente)</w:t>
            </w:r>
          </w:p>
        </w:tc>
        <w:tc>
          <w:tcPr>
            <w:tcW w:w="1020" w:type="dxa"/>
          </w:tcPr>
          <w:p w:rsidR="00A87E27" w:rsidRPr="009D06C9" w:rsidRDefault="00A87E27" w:rsidP="00090ED8">
            <w:pPr>
              <w:pStyle w:val="Tabletext"/>
              <w:jc w:val="center"/>
              <w:rPr>
                <w:lang w:val="es-ES_tradnl"/>
              </w:rPr>
            </w:pPr>
            <w:r w:rsidRPr="009D06C9">
              <w:rPr>
                <w:lang w:val="es-ES_tradnl"/>
              </w:rPr>
              <w:t>2 Mb/s</w:t>
            </w:r>
          </w:p>
        </w:tc>
        <w:tc>
          <w:tcPr>
            <w:tcW w:w="1871" w:type="dxa"/>
          </w:tcPr>
          <w:p w:rsidR="00A87E27" w:rsidRPr="009D06C9" w:rsidRDefault="00A87E27" w:rsidP="00090ED8">
            <w:pPr>
              <w:pStyle w:val="Tabletext"/>
              <w:jc w:val="center"/>
              <w:rPr>
                <w:lang w:val="es-ES_tradnl"/>
              </w:rPr>
            </w:pPr>
            <w:r w:rsidRPr="009D06C9">
              <w:rPr>
                <w:lang w:val="es-ES_tradnl"/>
              </w:rPr>
              <w:t>156 Mb/s</w:t>
            </w:r>
          </w:p>
        </w:tc>
        <w:tc>
          <w:tcPr>
            <w:tcW w:w="1871" w:type="dxa"/>
          </w:tcPr>
          <w:p w:rsidR="00A87E27" w:rsidRPr="009D06C9" w:rsidRDefault="00A87E27" w:rsidP="00090ED8">
            <w:pPr>
              <w:pStyle w:val="Tabletext"/>
              <w:jc w:val="center"/>
              <w:rPr>
                <w:lang w:val="es-ES_tradnl"/>
              </w:rPr>
            </w:pPr>
            <w:r w:rsidRPr="009D06C9">
              <w:rPr>
                <w:lang w:val="es-ES_tradnl"/>
              </w:rPr>
              <w:t>1,3 Mb/s</w:t>
            </w:r>
          </w:p>
        </w:tc>
        <w:tc>
          <w:tcPr>
            <w:tcW w:w="1134" w:type="dxa"/>
          </w:tcPr>
          <w:p w:rsidR="00A87E27" w:rsidRPr="009D06C9" w:rsidRDefault="00A87E27" w:rsidP="00090ED8">
            <w:pPr>
              <w:pStyle w:val="Tabletext"/>
              <w:jc w:val="center"/>
              <w:rPr>
                <w:lang w:val="es-ES_tradnl"/>
              </w:rPr>
            </w:pPr>
            <w:r w:rsidRPr="009D06C9">
              <w:rPr>
                <w:lang w:val="es-ES_tradnl"/>
              </w:rPr>
              <w:t>600 Mb/s</w:t>
            </w:r>
          </w:p>
        </w:tc>
        <w:tc>
          <w:tcPr>
            <w:tcW w:w="1247" w:type="dxa"/>
          </w:tcPr>
          <w:p w:rsidR="00A87E27" w:rsidRPr="009D06C9" w:rsidRDefault="00A87E27" w:rsidP="00090ED8">
            <w:pPr>
              <w:pStyle w:val="Tabletext"/>
              <w:jc w:val="center"/>
              <w:rPr>
                <w:lang w:val="es-ES_tradnl"/>
              </w:rPr>
            </w:pPr>
            <w:r w:rsidRPr="009D06C9">
              <w:rPr>
                <w:lang w:val="es-ES_tradnl"/>
              </w:rPr>
              <w:t>6 934 Mb/s</w:t>
            </w:r>
          </w:p>
        </w:tc>
      </w:tr>
      <w:tr w:rsidR="00A87E27" w:rsidRPr="009D06C9"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Método dúplex (FDD, TDD, etc.)</w:t>
            </w:r>
          </w:p>
        </w:tc>
        <w:tc>
          <w:tcPr>
            <w:tcW w:w="7143" w:type="dxa"/>
            <w:gridSpan w:val="5"/>
          </w:tcPr>
          <w:p w:rsidR="00A87E27" w:rsidRPr="009D06C9" w:rsidRDefault="00A87E27" w:rsidP="00090ED8">
            <w:pPr>
              <w:pStyle w:val="Tabletext"/>
              <w:jc w:val="center"/>
              <w:rPr>
                <w:lang w:val="es-ES_tradnl"/>
              </w:rPr>
            </w:pPr>
            <w:r w:rsidRPr="009D06C9">
              <w:rPr>
                <w:lang w:val="es-ES_tradnl"/>
              </w:rPr>
              <w:t>TDD</w:t>
            </w:r>
          </w:p>
        </w:tc>
      </w:tr>
      <w:tr w:rsidR="00A87E27" w:rsidRPr="009D06C9"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Anchura de banda del canal RF nominal</w:t>
            </w:r>
          </w:p>
        </w:tc>
        <w:tc>
          <w:tcPr>
            <w:tcW w:w="1020" w:type="dxa"/>
          </w:tcPr>
          <w:p w:rsidR="00A87E27" w:rsidRPr="009D06C9" w:rsidRDefault="00A87E27" w:rsidP="00090ED8">
            <w:pPr>
              <w:pStyle w:val="Tabletext"/>
              <w:jc w:val="center"/>
              <w:rPr>
                <w:lang w:val="es-ES_tradnl"/>
              </w:rPr>
            </w:pPr>
            <w:r w:rsidRPr="009D06C9">
              <w:rPr>
                <w:lang w:val="es-ES_tradnl"/>
              </w:rPr>
              <w:t>20 MHz</w:t>
            </w:r>
          </w:p>
        </w:tc>
        <w:tc>
          <w:tcPr>
            <w:tcW w:w="1871" w:type="dxa"/>
          </w:tcPr>
          <w:p w:rsidR="00A87E27" w:rsidRPr="009D06C9" w:rsidRDefault="00A87E27" w:rsidP="00090ED8">
            <w:pPr>
              <w:pStyle w:val="Tabletext"/>
              <w:jc w:val="center"/>
              <w:rPr>
                <w:lang w:val="es-ES_tradnl"/>
              </w:rPr>
            </w:pPr>
            <w:r w:rsidRPr="009D06C9">
              <w:rPr>
                <w:lang w:val="es-ES_tradnl"/>
              </w:rPr>
              <w:t>1, 2, 4, 8, 16 MHz</w:t>
            </w:r>
          </w:p>
        </w:tc>
        <w:tc>
          <w:tcPr>
            <w:tcW w:w="1871" w:type="dxa"/>
          </w:tcPr>
          <w:p w:rsidR="00A87E27" w:rsidRPr="009D06C9" w:rsidRDefault="00A87E27" w:rsidP="00090ED8">
            <w:pPr>
              <w:pStyle w:val="Tabletext"/>
              <w:jc w:val="center"/>
              <w:rPr>
                <w:lang w:val="es-ES_tradnl"/>
              </w:rPr>
            </w:pPr>
            <w:r w:rsidRPr="009D06C9">
              <w:rPr>
                <w:lang w:val="es-ES_tradnl"/>
              </w:rPr>
              <w:t>2 MHz</w:t>
            </w:r>
          </w:p>
        </w:tc>
        <w:tc>
          <w:tcPr>
            <w:tcW w:w="1134" w:type="dxa"/>
          </w:tcPr>
          <w:p w:rsidR="00A87E27" w:rsidRPr="009D06C9" w:rsidRDefault="00A87E27" w:rsidP="00090ED8">
            <w:pPr>
              <w:pStyle w:val="Tabletext"/>
              <w:jc w:val="center"/>
              <w:rPr>
                <w:lang w:val="es-ES_tradnl"/>
              </w:rPr>
            </w:pPr>
            <w:r w:rsidRPr="009D06C9">
              <w:rPr>
                <w:lang w:val="es-ES_tradnl"/>
              </w:rPr>
              <w:t>20, 40 MHz</w:t>
            </w:r>
          </w:p>
        </w:tc>
        <w:tc>
          <w:tcPr>
            <w:tcW w:w="1247" w:type="dxa"/>
          </w:tcPr>
          <w:p w:rsidR="00A87E27" w:rsidRPr="009D06C9" w:rsidRDefault="00A87E27" w:rsidP="00090ED8">
            <w:pPr>
              <w:pStyle w:val="Tabletext"/>
              <w:jc w:val="center"/>
              <w:rPr>
                <w:lang w:val="es-ES_tradnl"/>
              </w:rPr>
            </w:pPr>
            <w:r w:rsidRPr="009D06C9">
              <w:rPr>
                <w:lang w:val="es-ES_tradnl"/>
              </w:rPr>
              <w:t>20, 40, 80, 160 MHz</w:t>
            </w:r>
          </w:p>
        </w:tc>
      </w:tr>
      <w:tr w:rsidR="00A87E27" w:rsidRPr="009D06C9"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Técnicas de diversidad</w:t>
            </w:r>
          </w:p>
        </w:tc>
        <w:tc>
          <w:tcPr>
            <w:tcW w:w="7143" w:type="dxa"/>
            <w:gridSpan w:val="5"/>
          </w:tcPr>
          <w:p w:rsidR="00A87E27" w:rsidRPr="009D06C9" w:rsidRDefault="00A87E27" w:rsidP="00090ED8">
            <w:pPr>
              <w:pStyle w:val="Tabletext"/>
              <w:jc w:val="center"/>
              <w:rPr>
                <w:lang w:val="es-ES_tradnl"/>
              </w:rPr>
            </w:pPr>
            <w:r w:rsidRPr="009D06C9">
              <w:rPr>
                <w:lang w:val="es-ES_tradnl"/>
              </w:rPr>
              <w:t>Espacio temporal</w:t>
            </w:r>
          </w:p>
        </w:tc>
      </w:tr>
      <w:tr w:rsidR="00A87E27" w:rsidRPr="009D06C9"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Soporta MIMO (sí/no)</w:t>
            </w:r>
          </w:p>
        </w:tc>
        <w:tc>
          <w:tcPr>
            <w:tcW w:w="1020" w:type="dxa"/>
          </w:tcPr>
          <w:p w:rsidR="00A87E27" w:rsidRPr="009D06C9" w:rsidRDefault="00A87E27" w:rsidP="00090ED8">
            <w:pPr>
              <w:pStyle w:val="Tabletext"/>
              <w:jc w:val="center"/>
              <w:rPr>
                <w:lang w:val="es-ES_tradnl"/>
              </w:rPr>
            </w:pPr>
            <w:r w:rsidRPr="009D06C9">
              <w:rPr>
                <w:lang w:val="es-ES_tradnl"/>
              </w:rPr>
              <w:t>No</w:t>
            </w:r>
          </w:p>
        </w:tc>
        <w:tc>
          <w:tcPr>
            <w:tcW w:w="1871" w:type="dxa"/>
          </w:tcPr>
          <w:p w:rsidR="00A87E27" w:rsidRPr="009D06C9" w:rsidRDefault="00A87E27" w:rsidP="00090ED8">
            <w:pPr>
              <w:pStyle w:val="Tabletext"/>
              <w:jc w:val="center"/>
              <w:rPr>
                <w:lang w:val="es-ES_tradnl"/>
              </w:rPr>
            </w:pPr>
            <w:r w:rsidRPr="009D06C9">
              <w:rPr>
                <w:lang w:val="es-ES_tradnl"/>
              </w:rPr>
              <w:t>Sí</w:t>
            </w:r>
          </w:p>
        </w:tc>
        <w:tc>
          <w:tcPr>
            <w:tcW w:w="1871" w:type="dxa"/>
          </w:tcPr>
          <w:p w:rsidR="00A87E27" w:rsidRPr="009D06C9" w:rsidRDefault="00A87E27" w:rsidP="00090ED8">
            <w:pPr>
              <w:pStyle w:val="Tabletext"/>
              <w:jc w:val="center"/>
              <w:rPr>
                <w:lang w:val="es-ES_tradnl"/>
              </w:rPr>
            </w:pPr>
            <w:r w:rsidRPr="009D06C9">
              <w:rPr>
                <w:lang w:val="es-ES_tradnl"/>
              </w:rPr>
              <w:t>No</w:t>
            </w:r>
          </w:p>
        </w:tc>
        <w:tc>
          <w:tcPr>
            <w:tcW w:w="1134" w:type="dxa"/>
          </w:tcPr>
          <w:p w:rsidR="00A87E27" w:rsidRPr="009D06C9" w:rsidRDefault="00A87E27" w:rsidP="00090ED8">
            <w:pPr>
              <w:pStyle w:val="Tabletext"/>
              <w:jc w:val="center"/>
              <w:rPr>
                <w:lang w:val="es-ES_tradnl"/>
              </w:rPr>
            </w:pPr>
            <w:r w:rsidRPr="009D06C9">
              <w:rPr>
                <w:lang w:val="es-ES_tradnl"/>
              </w:rPr>
              <w:t>Sí</w:t>
            </w:r>
          </w:p>
        </w:tc>
        <w:tc>
          <w:tcPr>
            <w:tcW w:w="1247" w:type="dxa"/>
          </w:tcPr>
          <w:p w:rsidR="00A87E27" w:rsidRPr="009D06C9" w:rsidRDefault="00A87E27" w:rsidP="00090ED8">
            <w:pPr>
              <w:pStyle w:val="Tabletext"/>
              <w:jc w:val="center"/>
              <w:rPr>
                <w:lang w:val="es-ES_tradnl"/>
              </w:rPr>
            </w:pPr>
            <w:r w:rsidRPr="009D06C9">
              <w:rPr>
                <w:lang w:val="es-ES_tradnl"/>
              </w:rPr>
              <w:t>Sí</w:t>
            </w:r>
          </w:p>
        </w:tc>
      </w:tr>
      <w:tr w:rsidR="00A87E27" w:rsidRPr="009D06C9"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Soporta formación de haz</w:t>
            </w:r>
          </w:p>
        </w:tc>
        <w:tc>
          <w:tcPr>
            <w:tcW w:w="1020" w:type="dxa"/>
          </w:tcPr>
          <w:p w:rsidR="00A87E27" w:rsidRPr="009D06C9" w:rsidRDefault="00A87E27" w:rsidP="00090ED8">
            <w:pPr>
              <w:pStyle w:val="Tabletext"/>
              <w:jc w:val="center"/>
              <w:rPr>
                <w:lang w:val="es-ES_tradnl"/>
              </w:rPr>
            </w:pPr>
            <w:r w:rsidRPr="009D06C9">
              <w:rPr>
                <w:lang w:val="es-ES_tradnl"/>
              </w:rPr>
              <w:t>No</w:t>
            </w:r>
          </w:p>
        </w:tc>
        <w:tc>
          <w:tcPr>
            <w:tcW w:w="1871" w:type="dxa"/>
          </w:tcPr>
          <w:p w:rsidR="00A87E27" w:rsidRPr="009D06C9" w:rsidRDefault="00A87E27" w:rsidP="00090ED8">
            <w:pPr>
              <w:pStyle w:val="Tabletext"/>
              <w:jc w:val="center"/>
              <w:rPr>
                <w:lang w:val="es-ES_tradnl"/>
              </w:rPr>
            </w:pPr>
            <w:r w:rsidRPr="009D06C9">
              <w:rPr>
                <w:lang w:val="es-ES_tradnl"/>
              </w:rPr>
              <w:t>Sí</w:t>
            </w:r>
          </w:p>
        </w:tc>
        <w:tc>
          <w:tcPr>
            <w:tcW w:w="1871" w:type="dxa"/>
          </w:tcPr>
          <w:p w:rsidR="00A87E27" w:rsidRPr="009D06C9" w:rsidRDefault="00A87E27" w:rsidP="00090ED8">
            <w:pPr>
              <w:pStyle w:val="Tabletext"/>
              <w:jc w:val="center"/>
              <w:rPr>
                <w:lang w:val="es-ES_tradnl"/>
              </w:rPr>
            </w:pPr>
            <w:r w:rsidRPr="009D06C9">
              <w:rPr>
                <w:lang w:val="es-ES_tradnl"/>
              </w:rPr>
              <w:t>Sí</w:t>
            </w:r>
          </w:p>
        </w:tc>
        <w:tc>
          <w:tcPr>
            <w:tcW w:w="1134" w:type="dxa"/>
          </w:tcPr>
          <w:p w:rsidR="00A87E27" w:rsidRPr="009D06C9" w:rsidRDefault="00A87E27" w:rsidP="00090ED8">
            <w:pPr>
              <w:pStyle w:val="Tabletext"/>
              <w:jc w:val="center"/>
              <w:rPr>
                <w:lang w:val="es-ES_tradnl"/>
              </w:rPr>
            </w:pPr>
            <w:r w:rsidRPr="009D06C9">
              <w:rPr>
                <w:lang w:val="es-ES_tradnl"/>
              </w:rPr>
              <w:t>Sí</w:t>
            </w:r>
          </w:p>
        </w:tc>
        <w:tc>
          <w:tcPr>
            <w:tcW w:w="1247" w:type="dxa"/>
          </w:tcPr>
          <w:p w:rsidR="00A87E27" w:rsidRPr="009D06C9" w:rsidRDefault="00A87E27" w:rsidP="00090ED8">
            <w:pPr>
              <w:pStyle w:val="Tabletext"/>
              <w:jc w:val="center"/>
              <w:rPr>
                <w:lang w:val="es-ES_tradnl"/>
              </w:rPr>
            </w:pPr>
            <w:r w:rsidRPr="009D06C9">
              <w:rPr>
                <w:lang w:val="es-ES_tradnl"/>
              </w:rPr>
              <w:t>Sí</w:t>
            </w:r>
          </w:p>
        </w:tc>
      </w:tr>
      <w:tr w:rsidR="00A87E27" w:rsidRPr="00D30DBF"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Retransmisión</w:t>
            </w:r>
          </w:p>
        </w:tc>
        <w:tc>
          <w:tcPr>
            <w:tcW w:w="7143" w:type="dxa"/>
            <w:gridSpan w:val="5"/>
          </w:tcPr>
          <w:p w:rsidR="00A87E27" w:rsidRPr="009D06C9" w:rsidRDefault="00A87E27" w:rsidP="00090ED8">
            <w:pPr>
              <w:pStyle w:val="Tabletext"/>
              <w:jc w:val="center"/>
              <w:rPr>
                <w:lang w:val="es-ES_tradnl"/>
              </w:rPr>
            </w:pPr>
            <w:r w:rsidRPr="009D06C9">
              <w:rPr>
                <w:lang w:val="es-ES_tradnl"/>
              </w:rPr>
              <w:t>Petición automática de repetición (ARQ)</w:t>
            </w:r>
          </w:p>
        </w:tc>
      </w:tr>
    </w:tbl>
    <w:p w:rsidR="00A87E27" w:rsidRPr="009D06C9" w:rsidRDefault="00A87E27" w:rsidP="00A87E27">
      <w:pPr>
        <w:pStyle w:val="Tablefin"/>
        <w:rPr>
          <w:lang w:val="es-ES_tradnl"/>
        </w:rPr>
      </w:pPr>
    </w:p>
    <w:p w:rsidR="00A87E27" w:rsidRPr="009D06C9" w:rsidRDefault="00A87E27" w:rsidP="00A87E27">
      <w:pPr>
        <w:pStyle w:val="TableNo"/>
        <w:rPr>
          <w:lang w:val="es-ES_tradnl"/>
        </w:rPr>
      </w:pPr>
      <w:r w:rsidRPr="009D06C9">
        <w:rPr>
          <w:lang w:val="es-ES_tradnl"/>
        </w:rPr>
        <w:lastRenderedPageBreak/>
        <w:t>CUADRO A1.1 (</w:t>
      </w:r>
      <w:r w:rsidR="00990C17" w:rsidRPr="009D06C9">
        <w:rPr>
          <w:i/>
          <w:iCs/>
          <w:lang w:val="es-ES_tradnl"/>
        </w:rPr>
        <w:t>f</w:t>
      </w:r>
      <w:r w:rsidRPr="009D06C9">
        <w:rPr>
          <w:i/>
          <w:iCs/>
          <w:lang w:val="es-ES_tradnl"/>
        </w:rPr>
        <w:t>in</w:t>
      </w:r>
      <w:r w:rsidRPr="009D06C9">
        <w:rPr>
          <w:lang w:val="es-ES_tradnl"/>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94"/>
        <w:gridCol w:w="1020"/>
        <w:gridCol w:w="1871"/>
        <w:gridCol w:w="1871"/>
        <w:gridCol w:w="1134"/>
        <w:gridCol w:w="1247"/>
      </w:tblGrid>
      <w:tr w:rsidR="00A87E27" w:rsidRPr="009D06C9" w:rsidTr="00090ED8">
        <w:trPr>
          <w:cantSplit/>
          <w:jc w:val="center"/>
        </w:trPr>
        <w:tc>
          <w:tcPr>
            <w:tcW w:w="2494" w:type="dxa"/>
            <w:vMerge w:val="restart"/>
            <w:vAlign w:val="center"/>
          </w:tcPr>
          <w:p w:rsidR="00A87E27" w:rsidRPr="009D06C9" w:rsidRDefault="00A87E27" w:rsidP="00090ED8">
            <w:pPr>
              <w:pStyle w:val="Tablehead"/>
              <w:rPr>
                <w:lang w:val="es-ES_tradnl"/>
              </w:rPr>
            </w:pPr>
            <w:r w:rsidRPr="009D06C9">
              <w:rPr>
                <w:lang w:val="es-ES_tradnl"/>
              </w:rPr>
              <w:t>Ítem</w:t>
            </w:r>
          </w:p>
        </w:tc>
        <w:tc>
          <w:tcPr>
            <w:tcW w:w="1020" w:type="dxa"/>
            <w:vMerge w:val="restart"/>
            <w:vAlign w:val="center"/>
          </w:tcPr>
          <w:p w:rsidR="00A87E27" w:rsidRPr="009D06C9" w:rsidRDefault="00A87E27" w:rsidP="00090ED8">
            <w:pPr>
              <w:pStyle w:val="Tablehead"/>
              <w:rPr>
                <w:lang w:val="es-ES_tradnl"/>
              </w:rPr>
            </w:pPr>
            <w:r w:rsidRPr="009D06C9">
              <w:rPr>
                <w:lang w:val="es-ES_tradnl"/>
              </w:rPr>
              <w:t>802.11</w:t>
            </w:r>
          </w:p>
        </w:tc>
        <w:tc>
          <w:tcPr>
            <w:tcW w:w="3742" w:type="dxa"/>
            <w:gridSpan w:val="2"/>
            <w:vAlign w:val="center"/>
          </w:tcPr>
          <w:p w:rsidR="00A87E27" w:rsidRPr="009D06C9" w:rsidRDefault="00A87E27" w:rsidP="00090ED8">
            <w:pPr>
              <w:pStyle w:val="Tablehead"/>
              <w:rPr>
                <w:lang w:val="es-ES_tradnl"/>
              </w:rPr>
            </w:pPr>
            <w:r w:rsidRPr="009D06C9">
              <w:rPr>
                <w:lang w:val="es-ES_tradnl"/>
              </w:rPr>
              <w:t>802.11ah</w:t>
            </w:r>
            <w:r w:rsidRPr="009D06C9">
              <w:rPr>
                <w:rStyle w:val="FootnoteReference"/>
                <w:spacing w:val="-2"/>
                <w:sz w:val="14"/>
                <w:szCs w:val="14"/>
                <w:lang w:val="es-ES_tradnl"/>
              </w:rPr>
              <w:footnoteReference w:id="25"/>
            </w:r>
          </w:p>
        </w:tc>
        <w:tc>
          <w:tcPr>
            <w:tcW w:w="1134" w:type="dxa"/>
            <w:vMerge w:val="restart"/>
            <w:vAlign w:val="center"/>
          </w:tcPr>
          <w:p w:rsidR="00A87E27" w:rsidRPr="009D06C9" w:rsidRDefault="00A87E27" w:rsidP="00090ED8">
            <w:pPr>
              <w:pStyle w:val="Tablehead"/>
              <w:rPr>
                <w:lang w:val="es-ES_tradnl"/>
              </w:rPr>
            </w:pPr>
            <w:r w:rsidRPr="009D06C9">
              <w:rPr>
                <w:lang w:val="es-ES_tradnl"/>
              </w:rPr>
              <w:t>802.11n</w:t>
            </w:r>
          </w:p>
        </w:tc>
        <w:tc>
          <w:tcPr>
            <w:tcW w:w="1247" w:type="dxa"/>
            <w:vMerge w:val="restart"/>
            <w:vAlign w:val="center"/>
          </w:tcPr>
          <w:p w:rsidR="00A87E27" w:rsidRPr="009D06C9" w:rsidRDefault="00A87E27" w:rsidP="00090ED8">
            <w:pPr>
              <w:pStyle w:val="Tablehead"/>
              <w:rPr>
                <w:lang w:val="es-ES_tradnl"/>
              </w:rPr>
            </w:pPr>
            <w:r w:rsidRPr="009D06C9">
              <w:rPr>
                <w:lang w:val="es-ES_tradnl"/>
              </w:rPr>
              <w:t>802.11ac</w:t>
            </w:r>
          </w:p>
        </w:tc>
      </w:tr>
      <w:tr w:rsidR="00A87E27" w:rsidRPr="009D06C9" w:rsidTr="00090ED8">
        <w:trPr>
          <w:cantSplit/>
          <w:jc w:val="center"/>
        </w:trPr>
        <w:tc>
          <w:tcPr>
            <w:tcW w:w="2494" w:type="dxa"/>
            <w:vMerge/>
            <w:vAlign w:val="center"/>
          </w:tcPr>
          <w:p w:rsidR="00A87E27" w:rsidRPr="009D06C9" w:rsidRDefault="00A87E27" w:rsidP="00090ED8">
            <w:pPr>
              <w:pStyle w:val="Tablehead"/>
              <w:rPr>
                <w:lang w:val="es-ES_tradnl"/>
              </w:rPr>
            </w:pPr>
          </w:p>
        </w:tc>
        <w:tc>
          <w:tcPr>
            <w:tcW w:w="1020" w:type="dxa"/>
            <w:vMerge/>
            <w:vAlign w:val="center"/>
          </w:tcPr>
          <w:p w:rsidR="00A87E27" w:rsidRPr="009D06C9" w:rsidRDefault="00A87E27" w:rsidP="00090ED8">
            <w:pPr>
              <w:pStyle w:val="Tablehead"/>
              <w:rPr>
                <w:lang w:val="es-ES_tradnl"/>
              </w:rPr>
            </w:pPr>
          </w:p>
        </w:tc>
        <w:tc>
          <w:tcPr>
            <w:tcW w:w="1871" w:type="dxa"/>
            <w:vAlign w:val="center"/>
          </w:tcPr>
          <w:p w:rsidR="00A87E27" w:rsidRPr="009D06C9" w:rsidRDefault="00A87E27" w:rsidP="00090ED8">
            <w:pPr>
              <w:pStyle w:val="Tablehead"/>
              <w:rPr>
                <w:lang w:val="es-ES_tradnl"/>
              </w:rPr>
            </w:pPr>
            <w:r w:rsidRPr="009D06C9">
              <w:rPr>
                <w:lang w:val="es-ES_tradnl"/>
              </w:rPr>
              <w:t>Modelo 1</w:t>
            </w:r>
            <w:r w:rsidRPr="009D06C9">
              <w:rPr>
                <w:rStyle w:val="FootnoteReference"/>
                <w:spacing w:val="-2"/>
                <w:sz w:val="14"/>
                <w:szCs w:val="14"/>
                <w:lang w:val="es-ES_tradnl"/>
              </w:rPr>
              <w:footnoteReference w:id="26"/>
            </w:r>
          </w:p>
        </w:tc>
        <w:tc>
          <w:tcPr>
            <w:tcW w:w="1871" w:type="dxa"/>
            <w:vAlign w:val="center"/>
          </w:tcPr>
          <w:p w:rsidR="00A87E27" w:rsidRPr="009D06C9" w:rsidRDefault="00A87E27" w:rsidP="00090ED8">
            <w:pPr>
              <w:pStyle w:val="Tablehead"/>
              <w:rPr>
                <w:lang w:val="es-ES_tradnl"/>
              </w:rPr>
            </w:pPr>
            <w:r w:rsidRPr="009D06C9">
              <w:rPr>
                <w:lang w:val="es-ES_tradnl"/>
              </w:rPr>
              <w:t>Modelo 2</w:t>
            </w:r>
            <w:r w:rsidRPr="009D06C9">
              <w:rPr>
                <w:rStyle w:val="FootnoteReference"/>
                <w:spacing w:val="-2"/>
                <w:sz w:val="14"/>
                <w:szCs w:val="14"/>
                <w:lang w:val="es-ES_tradnl"/>
              </w:rPr>
              <w:footnoteReference w:id="27"/>
            </w:r>
          </w:p>
        </w:tc>
        <w:tc>
          <w:tcPr>
            <w:tcW w:w="1134" w:type="dxa"/>
            <w:vMerge/>
          </w:tcPr>
          <w:p w:rsidR="00A87E27" w:rsidRPr="009D06C9" w:rsidRDefault="00A87E27" w:rsidP="00090ED8">
            <w:pPr>
              <w:pStyle w:val="Tablehead"/>
              <w:rPr>
                <w:lang w:val="es-ES_tradnl"/>
              </w:rPr>
            </w:pPr>
          </w:p>
        </w:tc>
        <w:tc>
          <w:tcPr>
            <w:tcW w:w="1247" w:type="dxa"/>
            <w:vMerge/>
          </w:tcPr>
          <w:p w:rsidR="00A87E27" w:rsidRPr="009D06C9" w:rsidRDefault="00A87E27" w:rsidP="00090ED8">
            <w:pPr>
              <w:pStyle w:val="Tablehead"/>
              <w:rPr>
                <w:lang w:val="es-ES_tradnl"/>
              </w:rPr>
            </w:pPr>
          </w:p>
        </w:tc>
      </w:tr>
      <w:tr w:rsidR="00A87E27" w:rsidRPr="009D06C9" w:rsidTr="00090ED8">
        <w:trPr>
          <w:cantSplit/>
          <w:jc w:val="center"/>
        </w:trPr>
        <w:tc>
          <w:tcPr>
            <w:tcW w:w="2494" w:type="dxa"/>
          </w:tcPr>
          <w:p w:rsidR="00A87E27" w:rsidRPr="009D06C9" w:rsidRDefault="00A87E27" w:rsidP="00090ED8">
            <w:pPr>
              <w:pStyle w:val="Tabletext"/>
              <w:keepNext/>
              <w:keepLines/>
              <w:jc w:val="left"/>
              <w:rPr>
                <w:lang w:val="es-ES_tradnl"/>
              </w:rPr>
            </w:pPr>
            <w:r w:rsidRPr="009D06C9">
              <w:rPr>
                <w:lang w:val="es-ES_tradnl"/>
              </w:rPr>
              <w:t>Corrección de errores en recepción</w:t>
            </w:r>
          </w:p>
        </w:tc>
        <w:tc>
          <w:tcPr>
            <w:tcW w:w="1020" w:type="dxa"/>
          </w:tcPr>
          <w:p w:rsidR="00A87E27" w:rsidRPr="009D06C9" w:rsidRDefault="00A87E27" w:rsidP="00090ED8">
            <w:pPr>
              <w:pStyle w:val="Tabletext"/>
              <w:keepNext/>
              <w:keepLines/>
              <w:jc w:val="center"/>
              <w:rPr>
                <w:lang w:val="es-ES_tradnl"/>
              </w:rPr>
            </w:pPr>
            <w:r w:rsidRPr="009D06C9">
              <w:rPr>
                <w:lang w:val="es-ES_tradnl"/>
              </w:rPr>
              <w:t>Sí</w:t>
            </w:r>
          </w:p>
        </w:tc>
        <w:tc>
          <w:tcPr>
            <w:tcW w:w="1871" w:type="dxa"/>
          </w:tcPr>
          <w:p w:rsidR="00A87E27" w:rsidRPr="009D06C9" w:rsidRDefault="00A87E27" w:rsidP="00090ED8">
            <w:pPr>
              <w:pStyle w:val="Tabletext"/>
              <w:keepNext/>
              <w:keepLines/>
              <w:jc w:val="left"/>
              <w:rPr>
                <w:lang w:val="es-ES_tradnl"/>
              </w:rPr>
            </w:pPr>
            <w:r w:rsidRPr="009D06C9">
              <w:rPr>
                <w:lang w:val="es-ES_tradnl"/>
              </w:rPr>
              <w:t>Convolucional y LDPC</w:t>
            </w:r>
          </w:p>
        </w:tc>
        <w:tc>
          <w:tcPr>
            <w:tcW w:w="1871" w:type="dxa"/>
          </w:tcPr>
          <w:p w:rsidR="00A87E27" w:rsidRPr="009D06C9" w:rsidRDefault="00A87E27" w:rsidP="00090ED8">
            <w:pPr>
              <w:pStyle w:val="Tabletext"/>
              <w:keepNext/>
              <w:keepLines/>
              <w:jc w:val="left"/>
              <w:rPr>
                <w:lang w:val="es-ES_tradnl"/>
              </w:rPr>
            </w:pPr>
            <w:r w:rsidRPr="009D06C9">
              <w:rPr>
                <w:lang w:val="es-ES_tradnl"/>
              </w:rPr>
              <w:t>Convolucional y LDPC</w:t>
            </w:r>
          </w:p>
        </w:tc>
        <w:tc>
          <w:tcPr>
            <w:tcW w:w="1134" w:type="dxa"/>
          </w:tcPr>
          <w:p w:rsidR="00A87E27" w:rsidRPr="009D06C9" w:rsidRDefault="00A87E27" w:rsidP="00090ED8">
            <w:pPr>
              <w:pStyle w:val="Tabletext"/>
              <w:keepNext/>
              <w:keepLines/>
              <w:jc w:val="center"/>
              <w:rPr>
                <w:lang w:val="es-ES_tradnl"/>
              </w:rPr>
            </w:pPr>
            <w:r w:rsidRPr="009D06C9">
              <w:rPr>
                <w:lang w:val="es-ES_tradnl"/>
              </w:rPr>
              <w:t>Sí</w:t>
            </w:r>
          </w:p>
        </w:tc>
        <w:tc>
          <w:tcPr>
            <w:tcW w:w="1247" w:type="dxa"/>
          </w:tcPr>
          <w:p w:rsidR="00A87E27" w:rsidRPr="009D06C9" w:rsidRDefault="00A87E27" w:rsidP="00090ED8">
            <w:pPr>
              <w:pStyle w:val="Tabletext"/>
              <w:keepNext/>
              <w:keepLines/>
              <w:jc w:val="center"/>
              <w:rPr>
                <w:lang w:val="es-ES_tradnl"/>
              </w:rPr>
            </w:pPr>
            <w:r w:rsidRPr="009D06C9">
              <w:rPr>
                <w:lang w:val="es-ES_tradnl"/>
              </w:rPr>
              <w:t>Sí</w:t>
            </w:r>
          </w:p>
        </w:tc>
      </w:tr>
      <w:tr w:rsidR="00A87E27" w:rsidRPr="009D06C9"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Gestión de interferencias</w:t>
            </w:r>
          </w:p>
        </w:tc>
        <w:tc>
          <w:tcPr>
            <w:tcW w:w="1020" w:type="dxa"/>
          </w:tcPr>
          <w:p w:rsidR="00A87E27" w:rsidRPr="009D06C9" w:rsidRDefault="00A87E27" w:rsidP="00090ED8">
            <w:pPr>
              <w:pStyle w:val="Tabletext"/>
              <w:ind w:right="-57"/>
              <w:jc w:val="left"/>
              <w:rPr>
                <w:lang w:val="es-ES_tradnl"/>
              </w:rPr>
            </w:pPr>
            <w:r w:rsidRPr="009D06C9">
              <w:rPr>
                <w:lang w:val="es-ES_tradnl"/>
              </w:rPr>
              <w:t>Escuchar antes de hablar</w:t>
            </w:r>
          </w:p>
        </w:tc>
        <w:tc>
          <w:tcPr>
            <w:tcW w:w="1871" w:type="dxa"/>
          </w:tcPr>
          <w:p w:rsidR="00A87E27" w:rsidRPr="009D06C9" w:rsidRDefault="00A87E27" w:rsidP="00090ED8">
            <w:pPr>
              <w:pStyle w:val="Tabletext"/>
              <w:jc w:val="left"/>
              <w:rPr>
                <w:lang w:val="es-ES_tradnl"/>
              </w:rPr>
            </w:pPr>
            <w:r w:rsidRPr="009D06C9">
              <w:rPr>
                <w:lang w:val="es-ES_tradnl"/>
              </w:rPr>
              <w:t>Escuchar antes de hablar y selección de canal de frecuencias</w:t>
            </w:r>
          </w:p>
        </w:tc>
        <w:tc>
          <w:tcPr>
            <w:tcW w:w="1871" w:type="dxa"/>
          </w:tcPr>
          <w:p w:rsidR="00A87E27" w:rsidRPr="009D06C9" w:rsidRDefault="00A87E27" w:rsidP="00090ED8">
            <w:pPr>
              <w:pStyle w:val="Tabletext"/>
              <w:jc w:val="left"/>
              <w:rPr>
                <w:lang w:val="es-ES_tradnl"/>
              </w:rPr>
            </w:pPr>
            <w:r w:rsidRPr="009D06C9">
              <w:rPr>
                <w:lang w:val="es-ES_tradnl"/>
              </w:rPr>
              <w:t>Escuchar antes de hablar y selección de canal de frecuencias</w:t>
            </w:r>
          </w:p>
        </w:tc>
        <w:tc>
          <w:tcPr>
            <w:tcW w:w="1134" w:type="dxa"/>
          </w:tcPr>
          <w:p w:rsidR="00A87E27" w:rsidRPr="009D06C9" w:rsidRDefault="00A87E27" w:rsidP="00090ED8">
            <w:pPr>
              <w:pStyle w:val="Tabletext"/>
              <w:jc w:val="left"/>
              <w:rPr>
                <w:lang w:val="es-ES_tradnl"/>
              </w:rPr>
            </w:pPr>
            <w:r w:rsidRPr="009D06C9">
              <w:rPr>
                <w:lang w:val="es-ES_tradnl"/>
              </w:rPr>
              <w:t>Escuchar antes de hablar</w:t>
            </w:r>
          </w:p>
        </w:tc>
        <w:tc>
          <w:tcPr>
            <w:tcW w:w="1247" w:type="dxa"/>
          </w:tcPr>
          <w:p w:rsidR="00A87E27" w:rsidRPr="009D06C9" w:rsidRDefault="00A87E27" w:rsidP="00090ED8">
            <w:pPr>
              <w:pStyle w:val="Tabletext"/>
              <w:jc w:val="left"/>
              <w:rPr>
                <w:lang w:val="es-ES_tradnl"/>
              </w:rPr>
            </w:pPr>
            <w:r w:rsidRPr="009D06C9">
              <w:rPr>
                <w:lang w:val="es-ES_tradnl"/>
              </w:rPr>
              <w:t>Escuchar antes de hablar</w:t>
            </w:r>
          </w:p>
        </w:tc>
      </w:tr>
      <w:tr w:rsidR="00A87E27" w:rsidRPr="009D06C9"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Gestión de potencia</w:t>
            </w:r>
          </w:p>
        </w:tc>
        <w:tc>
          <w:tcPr>
            <w:tcW w:w="7143" w:type="dxa"/>
            <w:gridSpan w:val="5"/>
          </w:tcPr>
          <w:p w:rsidR="00A87E27" w:rsidRPr="009D06C9" w:rsidRDefault="00A87E27" w:rsidP="00090ED8">
            <w:pPr>
              <w:pStyle w:val="Tabletext"/>
              <w:ind w:left="567" w:hanging="567"/>
              <w:jc w:val="center"/>
              <w:rPr>
                <w:lang w:val="es-ES_tradnl"/>
              </w:rPr>
            </w:pPr>
            <w:r w:rsidRPr="009D06C9">
              <w:rPr>
                <w:lang w:val="es-ES_tradnl"/>
              </w:rPr>
              <w:t>Sí</w:t>
            </w:r>
          </w:p>
        </w:tc>
      </w:tr>
      <w:tr w:rsidR="00A87E27" w:rsidRPr="00D30DBF"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Topología de conexión</w:t>
            </w:r>
          </w:p>
        </w:tc>
        <w:tc>
          <w:tcPr>
            <w:tcW w:w="7143" w:type="dxa"/>
            <w:gridSpan w:val="5"/>
          </w:tcPr>
          <w:p w:rsidR="00A87E27" w:rsidRPr="009D06C9" w:rsidRDefault="00A87E27" w:rsidP="00090ED8">
            <w:pPr>
              <w:pStyle w:val="Tabletext"/>
              <w:jc w:val="center"/>
              <w:rPr>
                <w:lang w:val="es-ES_tradnl"/>
              </w:rPr>
            </w:pPr>
            <w:r w:rsidRPr="009D06C9">
              <w:rPr>
                <w:lang w:val="es-ES_tradnl"/>
              </w:rPr>
              <w:t>Punto a punto, multisaltos, estrella</w:t>
            </w:r>
          </w:p>
        </w:tc>
      </w:tr>
      <w:tr w:rsidR="00A87E27" w:rsidRPr="009D06C9"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Métodos de acceso a medios</w:t>
            </w:r>
          </w:p>
        </w:tc>
        <w:tc>
          <w:tcPr>
            <w:tcW w:w="7143" w:type="dxa"/>
            <w:gridSpan w:val="5"/>
          </w:tcPr>
          <w:p w:rsidR="00A87E27" w:rsidRPr="009D06C9" w:rsidRDefault="00A87E27" w:rsidP="00090ED8">
            <w:pPr>
              <w:pStyle w:val="Tabletext"/>
              <w:jc w:val="center"/>
              <w:rPr>
                <w:lang w:val="es-ES_tradnl"/>
              </w:rPr>
            </w:pPr>
            <w:r w:rsidRPr="009D06C9">
              <w:rPr>
                <w:lang w:val="es-ES_tradnl"/>
              </w:rPr>
              <w:t>CSMA/CA</w:t>
            </w:r>
          </w:p>
        </w:tc>
      </w:tr>
      <w:tr w:rsidR="00A87E27" w:rsidRPr="009D06C9"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Múltiples métodos de acceso</w:t>
            </w:r>
          </w:p>
        </w:tc>
        <w:tc>
          <w:tcPr>
            <w:tcW w:w="1020" w:type="dxa"/>
          </w:tcPr>
          <w:p w:rsidR="00A87E27" w:rsidRPr="009D06C9" w:rsidRDefault="00A87E27" w:rsidP="00090ED8">
            <w:pPr>
              <w:pStyle w:val="Tabletext"/>
              <w:jc w:val="center"/>
              <w:rPr>
                <w:lang w:val="es-ES_tradnl"/>
              </w:rPr>
            </w:pPr>
            <w:r w:rsidRPr="009D06C9">
              <w:rPr>
                <w:lang w:val="es-ES_tradnl"/>
              </w:rPr>
              <w:t>CSMA</w:t>
            </w:r>
          </w:p>
        </w:tc>
        <w:tc>
          <w:tcPr>
            <w:tcW w:w="1871" w:type="dxa"/>
          </w:tcPr>
          <w:p w:rsidR="00A87E27" w:rsidRPr="009D06C9" w:rsidRDefault="00A87E27" w:rsidP="00090ED8">
            <w:pPr>
              <w:pStyle w:val="Tabletext"/>
              <w:jc w:val="center"/>
              <w:rPr>
                <w:lang w:val="es-ES_tradnl"/>
              </w:rPr>
            </w:pPr>
            <w:r w:rsidRPr="009D06C9">
              <w:rPr>
                <w:lang w:val="es-ES_tradnl"/>
              </w:rPr>
              <w:t>CSMA/TDMA</w:t>
            </w:r>
          </w:p>
        </w:tc>
        <w:tc>
          <w:tcPr>
            <w:tcW w:w="1871" w:type="dxa"/>
          </w:tcPr>
          <w:p w:rsidR="00A87E27" w:rsidRPr="009D06C9" w:rsidRDefault="00A87E27" w:rsidP="00090ED8">
            <w:pPr>
              <w:pStyle w:val="Tabletext"/>
              <w:jc w:val="center"/>
              <w:rPr>
                <w:lang w:val="es-ES_tradnl"/>
              </w:rPr>
            </w:pPr>
            <w:r w:rsidRPr="009D06C9">
              <w:rPr>
                <w:lang w:val="es-ES_tradnl"/>
              </w:rPr>
              <w:t>CSMA/TDMA</w:t>
            </w:r>
          </w:p>
        </w:tc>
        <w:tc>
          <w:tcPr>
            <w:tcW w:w="1134" w:type="dxa"/>
          </w:tcPr>
          <w:p w:rsidR="00A87E27" w:rsidRPr="009D06C9" w:rsidRDefault="00A87E27" w:rsidP="00090ED8">
            <w:pPr>
              <w:pStyle w:val="Tabletext"/>
              <w:jc w:val="center"/>
              <w:rPr>
                <w:lang w:val="es-ES_tradnl"/>
              </w:rPr>
            </w:pPr>
            <w:r w:rsidRPr="009D06C9">
              <w:rPr>
                <w:lang w:val="es-ES_tradnl"/>
              </w:rPr>
              <w:t>CSMA</w:t>
            </w:r>
          </w:p>
        </w:tc>
        <w:tc>
          <w:tcPr>
            <w:tcW w:w="1247" w:type="dxa"/>
          </w:tcPr>
          <w:p w:rsidR="00A87E27" w:rsidRPr="009D06C9" w:rsidRDefault="00A87E27" w:rsidP="00090ED8">
            <w:pPr>
              <w:pStyle w:val="Tabletext"/>
              <w:jc w:val="center"/>
              <w:rPr>
                <w:lang w:val="es-ES_tradnl"/>
              </w:rPr>
            </w:pPr>
            <w:r w:rsidRPr="009D06C9">
              <w:rPr>
                <w:lang w:val="es-ES_tradnl"/>
              </w:rPr>
              <w:t>CSMA</w:t>
            </w:r>
          </w:p>
        </w:tc>
      </w:tr>
      <w:tr w:rsidR="00A87E27" w:rsidRPr="009D06C9"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Método de descubrimiento y asociación</w:t>
            </w:r>
          </w:p>
        </w:tc>
        <w:tc>
          <w:tcPr>
            <w:tcW w:w="7143" w:type="dxa"/>
            <w:gridSpan w:val="5"/>
          </w:tcPr>
          <w:p w:rsidR="00A87E27" w:rsidRPr="009D06C9" w:rsidRDefault="00A87E27" w:rsidP="00090ED8">
            <w:pPr>
              <w:pStyle w:val="Tabletext"/>
              <w:jc w:val="center"/>
              <w:rPr>
                <w:lang w:val="es-ES_tradnl"/>
              </w:rPr>
            </w:pPr>
            <w:r w:rsidRPr="009D06C9">
              <w:rPr>
                <w:lang w:val="es-ES_tradnl"/>
              </w:rPr>
              <w:t>Exploración pasiva y activa</w:t>
            </w:r>
          </w:p>
        </w:tc>
      </w:tr>
      <w:tr w:rsidR="00A87E27" w:rsidRPr="00D30DBF"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Métodos QoS</w:t>
            </w:r>
          </w:p>
        </w:tc>
        <w:tc>
          <w:tcPr>
            <w:tcW w:w="7143" w:type="dxa"/>
            <w:gridSpan w:val="5"/>
          </w:tcPr>
          <w:p w:rsidR="00A87E27" w:rsidRPr="009D06C9" w:rsidRDefault="00A87E27" w:rsidP="00090ED8">
            <w:pPr>
              <w:pStyle w:val="Tabletext"/>
              <w:jc w:val="center"/>
              <w:rPr>
                <w:lang w:val="es-ES_tradnl"/>
              </w:rPr>
            </w:pPr>
            <w:r w:rsidRPr="009D06C9">
              <w:rPr>
                <w:lang w:val="es-ES_tradnl"/>
              </w:rPr>
              <w:t>Prioridad de cola radioeléctrica, etiquetado de datos de paso</w:t>
            </w:r>
            <w:r w:rsidRPr="009D06C9">
              <w:rPr>
                <w:lang w:val="es-ES_tradnl"/>
              </w:rPr>
              <w:br/>
              <w:t>y prioridad de tráfico</w:t>
            </w:r>
          </w:p>
        </w:tc>
      </w:tr>
      <w:tr w:rsidR="00A87E27" w:rsidRPr="009D06C9"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Conocimiento de la ubicación</w:t>
            </w:r>
          </w:p>
        </w:tc>
        <w:tc>
          <w:tcPr>
            <w:tcW w:w="7143" w:type="dxa"/>
            <w:gridSpan w:val="5"/>
          </w:tcPr>
          <w:p w:rsidR="00A87E27" w:rsidRPr="009D06C9" w:rsidRDefault="00A87E27" w:rsidP="00090ED8">
            <w:pPr>
              <w:pStyle w:val="Tabletext"/>
              <w:jc w:val="center"/>
              <w:rPr>
                <w:lang w:val="es-ES_tradnl"/>
              </w:rPr>
            </w:pPr>
            <w:r w:rsidRPr="009D06C9">
              <w:rPr>
                <w:lang w:val="es-ES_tradnl"/>
              </w:rPr>
              <w:t>Sí</w:t>
            </w:r>
          </w:p>
        </w:tc>
      </w:tr>
      <w:tr w:rsidR="00A87E27" w:rsidRPr="009D06C9"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Determinación de la distancia</w:t>
            </w:r>
          </w:p>
        </w:tc>
        <w:tc>
          <w:tcPr>
            <w:tcW w:w="7143" w:type="dxa"/>
            <w:gridSpan w:val="5"/>
          </w:tcPr>
          <w:p w:rsidR="00A87E27" w:rsidRPr="009D06C9" w:rsidRDefault="00A87E27" w:rsidP="00090ED8">
            <w:pPr>
              <w:pStyle w:val="Tabletext"/>
              <w:jc w:val="center"/>
              <w:rPr>
                <w:lang w:val="es-ES_tradnl"/>
              </w:rPr>
            </w:pPr>
            <w:r w:rsidRPr="009D06C9">
              <w:rPr>
                <w:lang w:val="es-ES_tradnl"/>
              </w:rPr>
              <w:t>Sí</w:t>
            </w:r>
          </w:p>
        </w:tc>
      </w:tr>
      <w:tr w:rsidR="00A87E27" w:rsidRPr="009D06C9"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Criptación</w:t>
            </w:r>
          </w:p>
        </w:tc>
        <w:tc>
          <w:tcPr>
            <w:tcW w:w="7143" w:type="dxa"/>
            <w:gridSpan w:val="5"/>
          </w:tcPr>
          <w:p w:rsidR="00A87E27" w:rsidRPr="009D06C9" w:rsidRDefault="00A87E27" w:rsidP="00090ED8">
            <w:pPr>
              <w:pStyle w:val="Tabletext"/>
              <w:jc w:val="center"/>
              <w:rPr>
                <w:lang w:val="es-ES_tradnl"/>
              </w:rPr>
            </w:pPr>
            <w:r w:rsidRPr="009D06C9">
              <w:rPr>
                <w:lang w:val="es-ES_tradnl"/>
              </w:rPr>
              <w:t>AES-128, AES-256</w:t>
            </w:r>
          </w:p>
        </w:tc>
      </w:tr>
      <w:tr w:rsidR="00A87E27" w:rsidRPr="009D06C9"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Autenticación/protección contra reproducción</w:t>
            </w:r>
          </w:p>
        </w:tc>
        <w:tc>
          <w:tcPr>
            <w:tcW w:w="7143" w:type="dxa"/>
            <w:gridSpan w:val="5"/>
          </w:tcPr>
          <w:p w:rsidR="00A87E27" w:rsidRPr="009D06C9" w:rsidRDefault="00A87E27" w:rsidP="00090ED8">
            <w:pPr>
              <w:pStyle w:val="Tabletext"/>
              <w:jc w:val="center"/>
              <w:rPr>
                <w:lang w:val="es-ES_tradnl"/>
              </w:rPr>
            </w:pPr>
            <w:r w:rsidRPr="009D06C9">
              <w:rPr>
                <w:lang w:val="es-ES_tradnl"/>
              </w:rPr>
              <w:t>Sí</w:t>
            </w:r>
          </w:p>
        </w:tc>
      </w:tr>
      <w:tr w:rsidR="00A87E27" w:rsidRPr="009D06C9"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Intercambio de claves</w:t>
            </w:r>
          </w:p>
        </w:tc>
        <w:tc>
          <w:tcPr>
            <w:tcW w:w="7143" w:type="dxa"/>
            <w:gridSpan w:val="5"/>
          </w:tcPr>
          <w:p w:rsidR="00A87E27" w:rsidRPr="009D06C9" w:rsidRDefault="00A87E27" w:rsidP="00090ED8">
            <w:pPr>
              <w:pStyle w:val="Tabletext"/>
              <w:jc w:val="center"/>
              <w:rPr>
                <w:lang w:val="es-ES_tradnl"/>
              </w:rPr>
            </w:pPr>
            <w:r w:rsidRPr="009D06C9">
              <w:rPr>
                <w:lang w:val="es-ES_tradnl"/>
              </w:rPr>
              <w:t>Sí</w:t>
            </w:r>
          </w:p>
        </w:tc>
      </w:tr>
      <w:tr w:rsidR="00A87E27" w:rsidRPr="009D06C9"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Detección de nodos falseados</w:t>
            </w:r>
          </w:p>
        </w:tc>
        <w:tc>
          <w:tcPr>
            <w:tcW w:w="7143" w:type="dxa"/>
            <w:gridSpan w:val="5"/>
          </w:tcPr>
          <w:p w:rsidR="00A87E27" w:rsidRPr="009D06C9" w:rsidRDefault="00A87E27" w:rsidP="00090ED8">
            <w:pPr>
              <w:pStyle w:val="Tabletext"/>
              <w:jc w:val="center"/>
              <w:rPr>
                <w:lang w:val="es-ES_tradnl"/>
              </w:rPr>
            </w:pPr>
            <w:r w:rsidRPr="009D06C9">
              <w:rPr>
                <w:lang w:val="es-ES_tradnl"/>
              </w:rPr>
              <w:t>Sí</w:t>
            </w:r>
          </w:p>
        </w:tc>
      </w:tr>
      <w:tr w:rsidR="00A87E27" w:rsidRPr="009D06C9" w:rsidTr="00090ED8">
        <w:trPr>
          <w:cantSplit/>
          <w:jc w:val="center"/>
        </w:trPr>
        <w:tc>
          <w:tcPr>
            <w:tcW w:w="2494" w:type="dxa"/>
          </w:tcPr>
          <w:p w:rsidR="00A87E27" w:rsidRPr="009D06C9" w:rsidRDefault="00A87E27" w:rsidP="00090ED8">
            <w:pPr>
              <w:pStyle w:val="Tabletext"/>
              <w:jc w:val="left"/>
              <w:rPr>
                <w:lang w:val="es-ES_tradnl"/>
              </w:rPr>
            </w:pPr>
            <w:r w:rsidRPr="009D06C9">
              <w:rPr>
                <w:lang w:val="es-ES_tradnl"/>
              </w:rPr>
              <w:t xml:space="preserve">Identificación unívoca de dispositivo </w:t>
            </w:r>
          </w:p>
        </w:tc>
        <w:tc>
          <w:tcPr>
            <w:tcW w:w="7143" w:type="dxa"/>
            <w:gridSpan w:val="5"/>
          </w:tcPr>
          <w:p w:rsidR="00A87E27" w:rsidRPr="009D06C9" w:rsidRDefault="00A87E27" w:rsidP="00090ED8">
            <w:pPr>
              <w:pStyle w:val="Tabletext"/>
              <w:jc w:val="center"/>
              <w:rPr>
                <w:lang w:val="es-ES_tradnl"/>
              </w:rPr>
            </w:pPr>
            <w:r w:rsidRPr="009D06C9">
              <w:rPr>
                <w:lang w:val="es-ES_tradnl"/>
              </w:rPr>
              <w:t>Identificador único de 48 bits</w:t>
            </w:r>
          </w:p>
        </w:tc>
      </w:tr>
    </w:tbl>
    <w:p w:rsidR="00A87E27" w:rsidRPr="009D06C9" w:rsidRDefault="00A87E27" w:rsidP="00A87E27">
      <w:pPr>
        <w:pStyle w:val="Tablefin"/>
        <w:rPr>
          <w:lang w:val="es-ES_tradnl"/>
        </w:rPr>
      </w:pPr>
    </w:p>
    <w:p w:rsidR="00A87E27" w:rsidRPr="009D06C9" w:rsidRDefault="00A87E27" w:rsidP="00A87E27">
      <w:pPr>
        <w:pStyle w:val="TableNo"/>
        <w:rPr>
          <w:lang w:val="es-ES_tradnl"/>
        </w:rPr>
      </w:pPr>
      <w:r w:rsidRPr="009D06C9">
        <w:rPr>
          <w:lang w:val="es-ES_tradnl"/>
        </w:rPr>
        <w:lastRenderedPageBreak/>
        <w:t>CUADRO A1.2</w:t>
      </w:r>
    </w:p>
    <w:p w:rsidR="00A87E27" w:rsidRPr="009D06C9" w:rsidRDefault="00A87E27" w:rsidP="00A87E27">
      <w:pPr>
        <w:pStyle w:val="Tabletitle"/>
        <w:rPr>
          <w:lang w:val="es-ES_tradnl"/>
        </w:rPr>
      </w:pPr>
      <w:r w:rsidRPr="009D06C9">
        <w:rPr>
          <w:lang w:val="es-ES_tradnl"/>
        </w:rPr>
        <w:t>Características técnicas y operacionales de la norma IEEE 802.15.4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6"/>
        <w:gridCol w:w="5493"/>
      </w:tblGrid>
      <w:tr w:rsidR="00A87E27" w:rsidRPr="009D06C9" w:rsidTr="00090ED8">
        <w:trPr>
          <w:cantSplit/>
          <w:jc w:val="center"/>
        </w:trPr>
        <w:tc>
          <w:tcPr>
            <w:tcW w:w="4139" w:type="dxa"/>
          </w:tcPr>
          <w:p w:rsidR="00A87E27" w:rsidRPr="009D06C9" w:rsidRDefault="00A87E27" w:rsidP="00090ED8">
            <w:pPr>
              <w:pStyle w:val="Tablehead"/>
              <w:rPr>
                <w:lang w:val="es-ES_tradnl"/>
              </w:rPr>
            </w:pPr>
            <w:r w:rsidRPr="009D06C9">
              <w:rPr>
                <w:lang w:val="es-ES_tradnl"/>
              </w:rPr>
              <w:t>Ítem</w:t>
            </w:r>
          </w:p>
        </w:tc>
        <w:tc>
          <w:tcPr>
            <w:tcW w:w="5499" w:type="dxa"/>
          </w:tcPr>
          <w:p w:rsidR="00A87E27" w:rsidRPr="009D06C9" w:rsidRDefault="00A87E27" w:rsidP="00090ED8">
            <w:pPr>
              <w:pStyle w:val="Tablehead"/>
              <w:rPr>
                <w:lang w:val="es-ES_tradnl"/>
              </w:rPr>
            </w:pPr>
            <w:r w:rsidRPr="009D06C9">
              <w:rPr>
                <w:lang w:val="es-ES_tradnl"/>
              </w:rPr>
              <w:t>Valor</w:t>
            </w:r>
          </w:p>
        </w:tc>
      </w:tr>
      <w:tr w:rsidR="00A87E27" w:rsidRPr="009D06C9" w:rsidTr="00090ED8">
        <w:trPr>
          <w:cantSplit/>
          <w:jc w:val="center"/>
        </w:trPr>
        <w:tc>
          <w:tcPr>
            <w:tcW w:w="4139" w:type="dxa"/>
          </w:tcPr>
          <w:p w:rsidR="00A87E27" w:rsidRPr="009D06C9" w:rsidRDefault="00A87E27" w:rsidP="00090ED8">
            <w:pPr>
              <w:pStyle w:val="Tabletext"/>
              <w:keepNext/>
              <w:keepLines/>
              <w:jc w:val="left"/>
              <w:rPr>
                <w:lang w:val="es-ES_tradnl"/>
              </w:rPr>
            </w:pPr>
            <w:r w:rsidRPr="009D06C9">
              <w:rPr>
                <w:lang w:val="es-ES_tradnl"/>
              </w:rPr>
              <w:t>Bandas de frecuencias soportadas, con o sin licencia (MHz)</w:t>
            </w:r>
          </w:p>
        </w:tc>
        <w:tc>
          <w:tcPr>
            <w:tcW w:w="5499" w:type="dxa"/>
          </w:tcPr>
          <w:p w:rsidR="00A87E27" w:rsidRPr="009D06C9" w:rsidRDefault="00A87E27" w:rsidP="00090ED8">
            <w:pPr>
              <w:pStyle w:val="Tabletext"/>
              <w:keepNext/>
              <w:keepLines/>
              <w:jc w:val="left"/>
              <w:rPr>
                <w:lang w:val="es-ES_tradnl"/>
              </w:rPr>
            </w:pPr>
            <w:r w:rsidRPr="009D06C9">
              <w:rPr>
                <w:lang w:val="es-ES_tradnl"/>
              </w:rPr>
              <w:t>Sin licencia: 169, 450-510, 779-787, 863-870, 902</w:t>
            </w:r>
            <w:r w:rsidRPr="009D06C9">
              <w:rPr>
                <w:lang w:val="es-ES_tradnl"/>
              </w:rPr>
              <w:noBreakHyphen/>
              <w:t>928, 950</w:t>
            </w:r>
            <w:r w:rsidRPr="009D06C9">
              <w:rPr>
                <w:lang w:val="es-ES_tradnl"/>
              </w:rPr>
              <w:noBreakHyphen/>
              <w:t>958, 2 400</w:t>
            </w:r>
            <w:r w:rsidRPr="009D06C9">
              <w:rPr>
                <w:lang w:val="es-ES_tradnl"/>
              </w:rPr>
              <w:noBreakHyphen/>
              <w:t xml:space="preserve">2 483,5 </w:t>
            </w:r>
            <w:r w:rsidRPr="009D06C9">
              <w:rPr>
                <w:lang w:val="es-ES_tradnl"/>
              </w:rPr>
              <w:br/>
              <w:t>Con licencia: 220, 400-1000, 1427</w:t>
            </w:r>
          </w:p>
        </w:tc>
      </w:tr>
      <w:tr w:rsidR="00A87E27" w:rsidRPr="00D30DBF" w:rsidTr="00090ED8">
        <w:trPr>
          <w:cantSplit/>
          <w:jc w:val="center"/>
        </w:trPr>
        <w:tc>
          <w:tcPr>
            <w:tcW w:w="4139" w:type="dxa"/>
          </w:tcPr>
          <w:p w:rsidR="00A87E27" w:rsidRPr="009D06C9" w:rsidRDefault="00A87E27" w:rsidP="00090ED8">
            <w:pPr>
              <w:pStyle w:val="Tabletext"/>
              <w:keepNext/>
              <w:keepLines/>
              <w:jc w:val="left"/>
              <w:rPr>
                <w:lang w:val="es-ES_tradnl"/>
              </w:rPr>
            </w:pPr>
            <w:r w:rsidRPr="009D06C9">
              <w:rPr>
                <w:lang w:val="es-ES_tradnl"/>
              </w:rPr>
              <w:t>Gama de funcionamiento nominal</w:t>
            </w:r>
          </w:p>
        </w:tc>
        <w:tc>
          <w:tcPr>
            <w:tcW w:w="5499" w:type="dxa"/>
          </w:tcPr>
          <w:p w:rsidR="00A87E27" w:rsidRPr="00A61321" w:rsidRDefault="00A87E27" w:rsidP="00090ED8">
            <w:pPr>
              <w:pStyle w:val="Tabletext"/>
              <w:keepNext/>
              <w:keepLines/>
              <w:jc w:val="left"/>
              <w:rPr>
                <w:lang w:val="en-US"/>
              </w:rPr>
            </w:pPr>
            <w:r w:rsidRPr="00A61321">
              <w:rPr>
                <w:lang w:val="en-US"/>
              </w:rPr>
              <w:t>OFDM – 2 km</w:t>
            </w:r>
            <w:r w:rsidRPr="00A61321">
              <w:rPr>
                <w:lang w:val="en-US"/>
              </w:rPr>
              <w:br/>
              <w:t>MR-FSK – 5 km</w:t>
            </w:r>
            <w:r w:rsidRPr="00A61321">
              <w:rPr>
                <w:lang w:val="en-US"/>
              </w:rPr>
              <w:br/>
              <w:t>DSSS – 0,1 km</w:t>
            </w:r>
          </w:p>
        </w:tc>
      </w:tr>
      <w:tr w:rsidR="00A87E27" w:rsidRPr="009D06C9" w:rsidTr="00090ED8">
        <w:trPr>
          <w:cantSplit/>
          <w:jc w:val="center"/>
        </w:trPr>
        <w:tc>
          <w:tcPr>
            <w:tcW w:w="4139" w:type="dxa"/>
          </w:tcPr>
          <w:p w:rsidR="00A87E27" w:rsidRPr="009D06C9" w:rsidRDefault="00A87E27" w:rsidP="00090ED8">
            <w:pPr>
              <w:pStyle w:val="Tabletext"/>
              <w:keepNext/>
              <w:keepLines/>
              <w:jc w:val="left"/>
              <w:rPr>
                <w:lang w:val="es-ES_tradnl"/>
              </w:rPr>
            </w:pPr>
            <w:r w:rsidRPr="009D06C9">
              <w:rPr>
                <w:lang w:val="es-ES_tradnl"/>
              </w:rPr>
              <w:t>Capacidades de movilidad (nómada/móvil)</w:t>
            </w:r>
          </w:p>
        </w:tc>
        <w:tc>
          <w:tcPr>
            <w:tcW w:w="5499" w:type="dxa"/>
          </w:tcPr>
          <w:p w:rsidR="00A87E27" w:rsidRPr="009D06C9" w:rsidRDefault="00A87E27" w:rsidP="00090ED8">
            <w:pPr>
              <w:pStyle w:val="Tabletext"/>
              <w:keepNext/>
              <w:keepLines/>
              <w:jc w:val="left"/>
              <w:rPr>
                <w:lang w:val="es-ES_tradnl"/>
              </w:rPr>
            </w:pPr>
            <w:r w:rsidRPr="009D06C9">
              <w:rPr>
                <w:lang w:val="es-ES_tradnl"/>
              </w:rPr>
              <w:t>Nómada y móvil</w:t>
            </w:r>
          </w:p>
        </w:tc>
      </w:tr>
      <w:tr w:rsidR="00A87E27" w:rsidRPr="00D30DBF" w:rsidTr="00090ED8">
        <w:trPr>
          <w:cantSplit/>
          <w:jc w:val="center"/>
        </w:trPr>
        <w:tc>
          <w:tcPr>
            <w:tcW w:w="4139" w:type="dxa"/>
          </w:tcPr>
          <w:p w:rsidR="00A87E27" w:rsidRPr="009D06C9" w:rsidRDefault="00A87E27" w:rsidP="00090ED8">
            <w:pPr>
              <w:pStyle w:val="Tabletext"/>
              <w:keepNext/>
              <w:keepLines/>
              <w:jc w:val="left"/>
              <w:rPr>
                <w:lang w:val="es-ES_tradnl"/>
              </w:rPr>
            </w:pPr>
            <w:r w:rsidRPr="009D06C9">
              <w:rPr>
                <w:lang w:val="es-ES_tradnl"/>
              </w:rPr>
              <w:t>Velocidad de datos de cresta (enlace ascendente/descendente si es diferente)</w:t>
            </w:r>
          </w:p>
        </w:tc>
        <w:tc>
          <w:tcPr>
            <w:tcW w:w="5499" w:type="dxa"/>
          </w:tcPr>
          <w:p w:rsidR="00A87E27" w:rsidRPr="00A61321" w:rsidRDefault="00A87E27" w:rsidP="00090ED8">
            <w:pPr>
              <w:pStyle w:val="Tabletext"/>
              <w:keepNext/>
              <w:keepLines/>
              <w:jc w:val="left"/>
              <w:rPr>
                <w:lang w:val="en-US"/>
              </w:rPr>
            </w:pPr>
            <w:r w:rsidRPr="00A61321">
              <w:rPr>
                <w:lang w:val="en-US"/>
              </w:rPr>
              <w:t>OFDM – 860 kb/s</w:t>
            </w:r>
            <w:r w:rsidRPr="00A61321">
              <w:rPr>
                <w:lang w:val="en-US"/>
              </w:rPr>
              <w:br/>
              <w:t>MR-FSK – 400 kb/s</w:t>
            </w:r>
            <w:r w:rsidRPr="00A61321">
              <w:rPr>
                <w:lang w:val="en-US"/>
              </w:rPr>
              <w:br/>
              <w:t>DSSS – 250 kb/s</w:t>
            </w:r>
          </w:p>
        </w:tc>
      </w:tr>
      <w:tr w:rsidR="00A87E27" w:rsidRPr="009D06C9" w:rsidTr="00090ED8">
        <w:trPr>
          <w:cantSplit/>
          <w:jc w:val="center"/>
        </w:trPr>
        <w:tc>
          <w:tcPr>
            <w:tcW w:w="4139" w:type="dxa"/>
          </w:tcPr>
          <w:p w:rsidR="00A87E27" w:rsidRPr="009D06C9" w:rsidRDefault="00A87E27" w:rsidP="00090ED8">
            <w:pPr>
              <w:pStyle w:val="Tabletext"/>
              <w:keepNext/>
              <w:keepLines/>
              <w:jc w:val="left"/>
              <w:rPr>
                <w:lang w:val="es-ES_tradnl"/>
              </w:rPr>
            </w:pPr>
            <w:r w:rsidRPr="009D06C9">
              <w:rPr>
                <w:lang w:val="es-ES_tradnl"/>
              </w:rPr>
              <w:t>Método dúplex (FDD, TDD, etc.)</w:t>
            </w:r>
          </w:p>
        </w:tc>
        <w:tc>
          <w:tcPr>
            <w:tcW w:w="5499" w:type="dxa"/>
          </w:tcPr>
          <w:p w:rsidR="00A87E27" w:rsidRPr="009D06C9" w:rsidRDefault="00A87E27" w:rsidP="00090ED8">
            <w:pPr>
              <w:pStyle w:val="Tabletext"/>
              <w:keepNext/>
              <w:keepLines/>
              <w:jc w:val="left"/>
              <w:rPr>
                <w:lang w:val="es-ES_tradnl"/>
              </w:rPr>
            </w:pPr>
            <w:r w:rsidRPr="009D06C9">
              <w:rPr>
                <w:lang w:val="es-ES_tradnl"/>
              </w:rPr>
              <w:t>TDD</w:t>
            </w:r>
          </w:p>
        </w:tc>
      </w:tr>
      <w:tr w:rsidR="00A87E27" w:rsidRPr="009D06C9" w:rsidTr="00090ED8">
        <w:trPr>
          <w:cantSplit/>
          <w:jc w:val="center"/>
        </w:trPr>
        <w:tc>
          <w:tcPr>
            <w:tcW w:w="4139" w:type="dxa"/>
          </w:tcPr>
          <w:p w:rsidR="00A87E27" w:rsidRPr="009D06C9" w:rsidRDefault="00A87E27" w:rsidP="00090ED8">
            <w:pPr>
              <w:pStyle w:val="Tabletext"/>
              <w:keepNext/>
              <w:keepLines/>
              <w:jc w:val="left"/>
              <w:rPr>
                <w:lang w:val="es-ES_tradnl"/>
              </w:rPr>
            </w:pPr>
            <w:r w:rsidRPr="009D06C9">
              <w:rPr>
                <w:lang w:val="es-ES_tradnl"/>
              </w:rPr>
              <w:t>Ancho de banda RF nominal</w:t>
            </w:r>
          </w:p>
        </w:tc>
        <w:tc>
          <w:tcPr>
            <w:tcW w:w="5499" w:type="dxa"/>
          </w:tcPr>
          <w:p w:rsidR="00A87E27" w:rsidRPr="009D06C9" w:rsidRDefault="00A87E27" w:rsidP="00090ED8">
            <w:pPr>
              <w:pStyle w:val="Tabletext"/>
              <w:keepNext/>
              <w:keepLines/>
              <w:jc w:val="left"/>
              <w:rPr>
                <w:lang w:val="es-ES_tradnl"/>
              </w:rPr>
            </w:pPr>
            <w:r w:rsidRPr="009D06C9">
              <w:rPr>
                <w:lang w:val="es-ES_tradnl"/>
              </w:rPr>
              <w:t>OFDM – Gamas de 200 kHz a 1,2 MHz</w:t>
            </w:r>
          </w:p>
          <w:p w:rsidR="00A87E27" w:rsidRPr="009D06C9" w:rsidRDefault="00A87E27" w:rsidP="00090ED8">
            <w:pPr>
              <w:pStyle w:val="Tabletext"/>
              <w:keepNext/>
              <w:keepLines/>
              <w:jc w:val="left"/>
              <w:rPr>
                <w:lang w:val="es-ES_tradnl"/>
              </w:rPr>
            </w:pPr>
            <w:r w:rsidRPr="009D06C9">
              <w:rPr>
                <w:lang w:val="es-ES_tradnl"/>
              </w:rPr>
              <w:t>MR-FSK – Gamas de 12 kHz a 400 kHz</w:t>
            </w:r>
          </w:p>
          <w:p w:rsidR="00A87E27" w:rsidRPr="009D06C9" w:rsidRDefault="00A87E27" w:rsidP="00090ED8">
            <w:pPr>
              <w:pStyle w:val="Tabletext"/>
              <w:keepNext/>
              <w:keepLines/>
              <w:jc w:val="left"/>
              <w:rPr>
                <w:lang w:val="es-ES_tradnl"/>
              </w:rPr>
            </w:pPr>
            <w:r w:rsidRPr="009D06C9">
              <w:rPr>
                <w:lang w:val="es-ES_tradnl"/>
              </w:rPr>
              <w:t>DSSS – 5 MHz</w:t>
            </w:r>
          </w:p>
        </w:tc>
      </w:tr>
      <w:tr w:rsidR="00A87E27" w:rsidRPr="009D06C9" w:rsidTr="00090ED8">
        <w:trPr>
          <w:cantSplit/>
          <w:jc w:val="center"/>
        </w:trPr>
        <w:tc>
          <w:tcPr>
            <w:tcW w:w="4139" w:type="dxa"/>
          </w:tcPr>
          <w:p w:rsidR="00A87E27" w:rsidRPr="009D06C9" w:rsidRDefault="00A87E27" w:rsidP="00090ED8">
            <w:pPr>
              <w:pStyle w:val="Tabletext"/>
              <w:jc w:val="left"/>
              <w:rPr>
                <w:lang w:val="es-ES_tradnl"/>
              </w:rPr>
            </w:pPr>
            <w:r w:rsidRPr="009D06C9">
              <w:rPr>
                <w:lang w:val="es-ES_tradnl"/>
              </w:rPr>
              <w:t xml:space="preserve">Técnicas de diversidad </w:t>
            </w:r>
          </w:p>
        </w:tc>
        <w:tc>
          <w:tcPr>
            <w:tcW w:w="5499" w:type="dxa"/>
          </w:tcPr>
          <w:p w:rsidR="00A87E27" w:rsidRPr="009D06C9" w:rsidRDefault="00A87E27" w:rsidP="00090ED8">
            <w:pPr>
              <w:pStyle w:val="Tabletext"/>
              <w:jc w:val="left"/>
              <w:rPr>
                <w:lang w:val="es-ES_tradnl"/>
              </w:rPr>
            </w:pPr>
            <w:r w:rsidRPr="009D06C9">
              <w:rPr>
                <w:lang w:val="es-ES_tradnl"/>
              </w:rPr>
              <w:t>Espacio temporal</w:t>
            </w:r>
          </w:p>
        </w:tc>
      </w:tr>
      <w:tr w:rsidR="00A87E27" w:rsidRPr="009D06C9" w:rsidTr="00090ED8">
        <w:trPr>
          <w:cantSplit/>
          <w:jc w:val="center"/>
        </w:trPr>
        <w:tc>
          <w:tcPr>
            <w:tcW w:w="4139" w:type="dxa"/>
          </w:tcPr>
          <w:p w:rsidR="00A87E27" w:rsidRPr="009D06C9" w:rsidRDefault="00A87E27" w:rsidP="00090ED8">
            <w:pPr>
              <w:pStyle w:val="Tabletext"/>
              <w:jc w:val="left"/>
              <w:rPr>
                <w:lang w:val="es-ES_tradnl"/>
              </w:rPr>
            </w:pPr>
            <w:r w:rsidRPr="009D06C9">
              <w:rPr>
                <w:lang w:val="es-ES_tradnl"/>
              </w:rPr>
              <w:t>Soporte para MIMO (sí/no)</w:t>
            </w:r>
          </w:p>
        </w:tc>
        <w:tc>
          <w:tcPr>
            <w:tcW w:w="5499" w:type="dxa"/>
          </w:tcPr>
          <w:p w:rsidR="00A87E27" w:rsidRPr="009D06C9" w:rsidRDefault="00A87E27" w:rsidP="00090ED8">
            <w:pPr>
              <w:pStyle w:val="Tabletext"/>
              <w:jc w:val="left"/>
              <w:rPr>
                <w:lang w:val="es-ES_tradnl"/>
              </w:rPr>
            </w:pPr>
            <w:r w:rsidRPr="009D06C9">
              <w:rPr>
                <w:lang w:val="es-ES_tradnl"/>
              </w:rPr>
              <w:t>No</w:t>
            </w:r>
          </w:p>
        </w:tc>
      </w:tr>
      <w:tr w:rsidR="00A87E27" w:rsidRPr="009D06C9" w:rsidTr="00090ED8">
        <w:trPr>
          <w:cantSplit/>
          <w:jc w:val="center"/>
        </w:trPr>
        <w:tc>
          <w:tcPr>
            <w:tcW w:w="4139" w:type="dxa"/>
          </w:tcPr>
          <w:p w:rsidR="00A87E27" w:rsidRPr="009D06C9" w:rsidRDefault="00A87E27" w:rsidP="00090ED8">
            <w:pPr>
              <w:pStyle w:val="Tabletext"/>
              <w:jc w:val="left"/>
              <w:rPr>
                <w:lang w:val="es-ES_tradnl"/>
              </w:rPr>
            </w:pPr>
            <w:r w:rsidRPr="009D06C9">
              <w:rPr>
                <w:lang w:val="es-ES_tradnl"/>
              </w:rPr>
              <w:t>Orientación/conformación de haz</w:t>
            </w:r>
          </w:p>
        </w:tc>
        <w:tc>
          <w:tcPr>
            <w:tcW w:w="5499" w:type="dxa"/>
          </w:tcPr>
          <w:p w:rsidR="00A87E27" w:rsidRPr="009D06C9" w:rsidRDefault="00A87E27" w:rsidP="00090ED8">
            <w:pPr>
              <w:pStyle w:val="Tabletext"/>
              <w:jc w:val="left"/>
              <w:rPr>
                <w:lang w:val="es-ES_tradnl"/>
              </w:rPr>
            </w:pPr>
            <w:r w:rsidRPr="009D06C9">
              <w:rPr>
                <w:lang w:val="es-ES_tradnl"/>
              </w:rPr>
              <w:t>No</w:t>
            </w:r>
          </w:p>
        </w:tc>
      </w:tr>
      <w:tr w:rsidR="00A87E27" w:rsidRPr="009D06C9" w:rsidTr="00090ED8">
        <w:trPr>
          <w:cantSplit/>
          <w:jc w:val="center"/>
        </w:trPr>
        <w:tc>
          <w:tcPr>
            <w:tcW w:w="4139" w:type="dxa"/>
          </w:tcPr>
          <w:p w:rsidR="00A87E27" w:rsidRPr="009D06C9" w:rsidRDefault="00A87E27" w:rsidP="00090ED8">
            <w:pPr>
              <w:pStyle w:val="Tabletext"/>
              <w:jc w:val="left"/>
              <w:rPr>
                <w:lang w:val="es-ES_tradnl"/>
              </w:rPr>
            </w:pPr>
            <w:r w:rsidRPr="009D06C9">
              <w:rPr>
                <w:lang w:val="es-ES_tradnl"/>
              </w:rPr>
              <w:t>Retransmisión</w:t>
            </w:r>
          </w:p>
        </w:tc>
        <w:tc>
          <w:tcPr>
            <w:tcW w:w="5499" w:type="dxa"/>
          </w:tcPr>
          <w:p w:rsidR="00A87E27" w:rsidRPr="009D06C9" w:rsidRDefault="00A87E27" w:rsidP="00090ED8">
            <w:pPr>
              <w:pStyle w:val="Tabletext"/>
              <w:jc w:val="left"/>
              <w:rPr>
                <w:lang w:val="es-ES_tradnl"/>
              </w:rPr>
            </w:pPr>
            <w:r w:rsidRPr="009D06C9">
              <w:rPr>
                <w:lang w:val="es-ES_tradnl"/>
              </w:rPr>
              <w:t>ARQ</w:t>
            </w:r>
          </w:p>
        </w:tc>
      </w:tr>
      <w:tr w:rsidR="00A87E27" w:rsidRPr="009D06C9" w:rsidTr="00090ED8">
        <w:trPr>
          <w:cantSplit/>
          <w:jc w:val="center"/>
        </w:trPr>
        <w:tc>
          <w:tcPr>
            <w:tcW w:w="4139" w:type="dxa"/>
          </w:tcPr>
          <w:p w:rsidR="00A87E27" w:rsidRPr="009D06C9" w:rsidRDefault="00A87E27" w:rsidP="00090ED8">
            <w:pPr>
              <w:pStyle w:val="Tabletext"/>
              <w:jc w:val="left"/>
              <w:rPr>
                <w:lang w:val="es-ES_tradnl"/>
              </w:rPr>
            </w:pPr>
            <w:r w:rsidRPr="009D06C9">
              <w:rPr>
                <w:lang w:val="es-ES_tradnl"/>
              </w:rPr>
              <w:t>Corrección de errores en recepción</w:t>
            </w:r>
          </w:p>
        </w:tc>
        <w:tc>
          <w:tcPr>
            <w:tcW w:w="5499" w:type="dxa"/>
          </w:tcPr>
          <w:p w:rsidR="00A87E27" w:rsidRPr="009D06C9" w:rsidRDefault="00A87E27" w:rsidP="00090ED8">
            <w:pPr>
              <w:pStyle w:val="Tabletext"/>
              <w:rPr>
                <w:lang w:val="es-ES_tradnl"/>
              </w:rPr>
            </w:pPr>
            <w:r w:rsidRPr="009D06C9">
              <w:rPr>
                <w:lang w:val="es-ES_tradnl"/>
              </w:rPr>
              <w:t>Convolucional</w:t>
            </w:r>
          </w:p>
        </w:tc>
      </w:tr>
      <w:tr w:rsidR="00A87E27" w:rsidRPr="00D30DBF" w:rsidTr="00090ED8">
        <w:trPr>
          <w:cantSplit/>
          <w:jc w:val="center"/>
        </w:trPr>
        <w:tc>
          <w:tcPr>
            <w:tcW w:w="4139" w:type="dxa"/>
          </w:tcPr>
          <w:p w:rsidR="00A87E27" w:rsidRPr="009D06C9" w:rsidRDefault="00A87E27" w:rsidP="00090ED8">
            <w:pPr>
              <w:pStyle w:val="Tabletext"/>
              <w:jc w:val="left"/>
              <w:rPr>
                <w:lang w:val="es-ES_tradnl"/>
              </w:rPr>
            </w:pPr>
            <w:r w:rsidRPr="009D06C9">
              <w:rPr>
                <w:lang w:val="es-ES_tradnl"/>
              </w:rPr>
              <w:t>Gestión de interferencias</w:t>
            </w:r>
          </w:p>
        </w:tc>
        <w:tc>
          <w:tcPr>
            <w:tcW w:w="5499" w:type="dxa"/>
          </w:tcPr>
          <w:p w:rsidR="00A87E27" w:rsidRPr="009D06C9" w:rsidRDefault="00A87E27" w:rsidP="00090ED8">
            <w:pPr>
              <w:pStyle w:val="Tabletext"/>
              <w:jc w:val="left"/>
              <w:rPr>
                <w:lang w:val="es-ES_tradnl"/>
              </w:rPr>
            </w:pPr>
            <w:r w:rsidRPr="009D06C9">
              <w:rPr>
                <w:lang w:val="es-ES_tradnl"/>
              </w:rPr>
              <w:t>Escuchar antes de hablar, selección de canal de frecuencias, espectro ensanchado con saltos de frecuencia, agilidad de frecuencia</w:t>
            </w:r>
          </w:p>
        </w:tc>
      </w:tr>
      <w:tr w:rsidR="00A87E27" w:rsidRPr="009D06C9" w:rsidTr="00090ED8">
        <w:trPr>
          <w:cantSplit/>
          <w:jc w:val="center"/>
        </w:trPr>
        <w:tc>
          <w:tcPr>
            <w:tcW w:w="4139" w:type="dxa"/>
          </w:tcPr>
          <w:p w:rsidR="00A87E27" w:rsidRPr="009D06C9" w:rsidRDefault="00A87E27" w:rsidP="00090ED8">
            <w:pPr>
              <w:pStyle w:val="Tabletext"/>
              <w:jc w:val="left"/>
              <w:rPr>
                <w:lang w:val="es-ES_tradnl"/>
              </w:rPr>
            </w:pPr>
            <w:r w:rsidRPr="009D06C9">
              <w:rPr>
                <w:lang w:val="es-ES_tradnl"/>
              </w:rPr>
              <w:t>Gestión de potencia</w:t>
            </w:r>
          </w:p>
        </w:tc>
        <w:tc>
          <w:tcPr>
            <w:tcW w:w="5499" w:type="dxa"/>
          </w:tcPr>
          <w:p w:rsidR="00A87E27" w:rsidRPr="009D06C9" w:rsidRDefault="00A87E27" w:rsidP="00090ED8">
            <w:pPr>
              <w:pStyle w:val="Tabletext"/>
              <w:rPr>
                <w:lang w:val="es-ES_tradnl"/>
              </w:rPr>
            </w:pPr>
            <w:r w:rsidRPr="009D06C9">
              <w:rPr>
                <w:lang w:val="es-ES_tradnl"/>
              </w:rPr>
              <w:t>Sí</w:t>
            </w:r>
          </w:p>
        </w:tc>
      </w:tr>
      <w:tr w:rsidR="00A87E27" w:rsidRPr="00D30DBF" w:rsidTr="00090ED8">
        <w:trPr>
          <w:cantSplit/>
          <w:jc w:val="center"/>
        </w:trPr>
        <w:tc>
          <w:tcPr>
            <w:tcW w:w="4139" w:type="dxa"/>
          </w:tcPr>
          <w:p w:rsidR="00A87E27" w:rsidRPr="009D06C9" w:rsidRDefault="00A87E27" w:rsidP="00090ED8">
            <w:pPr>
              <w:pStyle w:val="Tabletext"/>
              <w:jc w:val="left"/>
              <w:rPr>
                <w:lang w:val="es-ES_tradnl"/>
              </w:rPr>
            </w:pPr>
            <w:r w:rsidRPr="009D06C9">
              <w:rPr>
                <w:lang w:val="es-ES_tradnl"/>
              </w:rPr>
              <w:t>Topología de conexión</w:t>
            </w:r>
          </w:p>
        </w:tc>
        <w:tc>
          <w:tcPr>
            <w:tcW w:w="5499" w:type="dxa"/>
          </w:tcPr>
          <w:p w:rsidR="00A87E27" w:rsidRPr="009D06C9" w:rsidRDefault="00A87E27" w:rsidP="00090ED8">
            <w:pPr>
              <w:pStyle w:val="Tabletext"/>
              <w:rPr>
                <w:lang w:val="es-ES_tradnl"/>
              </w:rPr>
            </w:pPr>
            <w:r w:rsidRPr="009D06C9">
              <w:rPr>
                <w:lang w:val="es-ES_tradnl"/>
              </w:rPr>
              <w:t>Punto a punto, multisaltos, estrella</w:t>
            </w:r>
          </w:p>
        </w:tc>
      </w:tr>
      <w:tr w:rsidR="00A87E27" w:rsidRPr="009D06C9" w:rsidTr="00090ED8">
        <w:trPr>
          <w:cantSplit/>
          <w:jc w:val="center"/>
        </w:trPr>
        <w:tc>
          <w:tcPr>
            <w:tcW w:w="4139" w:type="dxa"/>
          </w:tcPr>
          <w:p w:rsidR="00A87E27" w:rsidRPr="009D06C9" w:rsidRDefault="00A87E27" w:rsidP="00090ED8">
            <w:pPr>
              <w:pStyle w:val="Tabletext"/>
              <w:jc w:val="left"/>
              <w:rPr>
                <w:lang w:val="es-ES_tradnl"/>
              </w:rPr>
            </w:pPr>
            <w:r w:rsidRPr="009D06C9">
              <w:rPr>
                <w:lang w:val="es-ES_tradnl"/>
              </w:rPr>
              <w:t>Métodos de acceso a medios</w:t>
            </w:r>
          </w:p>
        </w:tc>
        <w:tc>
          <w:tcPr>
            <w:tcW w:w="5499" w:type="dxa"/>
          </w:tcPr>
          <w:p w:rsidR="00A87E27" w:rsidRPr="009D06C9" w:rsidRDefault="00A87E27" w:rsidP="00090ED8">
            <w:pPr>
              <w:pStyle w:val="Tabletext"/>
              <w:rPr>
                <w:lang w:val="es-ES_tradnl"/>
              </w:rPr>
            </w:pPr>
            <w:r w:rsidRPr="009D06C9">
              <w:rPr>
                <w:lang w:val="es-ES_tradnl"/>
              </w:rPr>
              <w:t>CSMA/CA</w:t>
            </w:r>
          </w:p>
        </w:tc>
      </w:tr>
      <w:tr w:rsidR="00A87E27" w:rsidRPr="00D30DBF" w:rsidTr="00090ED8">
        <w:trPr>
          <w:cantSplit/>
          <w:jc w:val="center"/>
        </w:trPr>
        <w:tc>
          <w:tcPr>
            <w:tcW w:w="4139" w:type="dxa"/>
          </w:tcPr>
          <w:p w:rsidR="00A87E27" w:rsidRPr="009D06C9" w:rsidRDefault="00A87E27" w:rsidP="00090ED8">
            <w:pPr>
              <w:pStyle w:val="Tabletext"/>
              <w:jc w:val="left"/>
              <w:rPr>
                <w:lang w:val="es-ES_tradnl"/>
              </w:rPr>
            </w:pPr>
            <w:r w:rsidRPr="009D06C9">
              <w:rPr>
                <w:lang w:val="es-ES_tradnl"/>
              </w:rPr>
              <w:t>Múltiples métodos de acceso</w:t>
            </w:r>
          </w:p>
        </w:tc>
        <w:tc>
          <w:tcPr>
            <w:tcW w:w="5499" w:type="dxa"/>
          </w:tcPr>
          <w:p w:rsidR="00A87E27" w:rsidRPr="009D06C9" w:rsidRDefault="00A87E27" w:rsidP="00090ED8">
            <w:pPr>
              <w:pStyle w:val="Tabletext"/>
              <w:rPr>
                <w:lang w:val="es-ES_tradnl"/>
              </w:rPr>
            </w:pPr>
            <w:r w:rsidRPr="009D06C9">
              <w:rPr>
                <w:lang w:val="es-ES_tradnl"/>
              </w:rPr>
              <w:t>CSMA/TDMA/FDMA (en sistemas de saltos)</w:t>
            </w:r>
          </w:p>
        </w:tc>
      </w:tr>
      <w:tr w:rsidR="00A87E27" w:rsidRPr="009D06C9" w:rsidTr="00090ED8">
        <w:trPr>
          <w:cantSplit/>
          <w:jc w:val="center"/>
        </w:trPr>
        <w:tc>
          <w:tcPr>
            <w:tcW w:w="4139" w:type="dxa"/>
          </w:tcPr>
          <w:p w:rsidR="00A87E27" w:rsidRPr="009D06C9" w:rsidRDefault="00A87E27" w:rsidP="00090ED8">
            <w:pPr>
              <w:pStyle w:val="Tabletext"/>
              <w:jc w:val="left"/>
              <w:rPr>
                <w:lang w:val="es-ES_tradnl"/>
              </w:rPr>
            </w:pPr>
            <w:r w:rsidRPr="009D06C9">
              <w:rPr>
                <w:lang w:val="es-ES_tradnl"/>
              </w:rPr>
              <w:t>Método de descubrimiento y asociación</w:t>
            </w:r>
          </w:p>
        </w:tc>
        <w:tc>
          <w:tcPr>
            <w:tcW w:w="5499" w:type="dxa"/>
          </w:tcPr>
          <w:p w:rsidR="00A87E27" w:rsidRPr="009D06C9" w:rsidRDefault="00A87E27" w:rsidP="00090ED8">
            <w:pPr>
              <w:pStyle w:val="Tabletext"/>
              <w:rPr>
                <w:lang w:val="es-ES_tradnl"/>
              </w:rPr>
            </w:pPr>
            <w:r w:rsidRPr="009D06C9">
              <w:rPr>
                <w:lang w:val="es-ES_tradnl"/>
              </w:rPr>
              <w:t>Exploración activa y pasiva</w:t>
            </w:r>
          </w:p>
        </w:tc>
      </w:tr>
      <w:tr w:rsidR="00A87E27" w:rsidRPr="00D30DBF" w:rsidTr="00090ED8">
        <w:trPr>
          <w:cantSplit/>
          <w:jc w:val="center"/>
        </w:trPr>
        <w:tc>
          <w:tcPr>
            <w:tcW w:w="4139" w:type="dxa"/>
          </w:tcPr>
          <w:p w:rsidR="00A87E27" w:rsidRPr="009D06C9" w:rsidRDefault="00A87E27" w:rsidP="00090ED8">
            <w:pPr>
              <w:pStyle w:val="Tabletext"/>
              <w:jc w:val="left"/>
              <w:rPr>
                <w:lang w:val="es-ES_tradnl"/>
              </w:rPr>
            </w:pPr>
            <w:r w:rsidRPr="009D06C9">
              <w:rPr>
                <w:lang w:val="es-ES_tradnl"/>
              </w:rPr>
              <w:t>Métodos QoS</w:t>
            </w:r>
          </w:p>
        </w:tc>
        <w:tc>
          <w:tcPr>
            <w:tcW w:w="5499" w:type="dxa"/>
          </w:tcPr>
          <w:p w:rsidR="00A87E27" w:rsidRPr="009D06C9" w:rsidRDefault="00A87E27" w:rsidP="00090ED8">
            <w:pPr>
              <w:pStyle w:val="Tabletext"/>
              <w:rPr>
                <w:lang w:val="es-ES_tradnl"/>
              </w:rPr>
            </w:pPr>
            <w:r w:rsidRPr="009D06C9">
              <w:rPr>
                <w:lang w:val="es-ES_tradnl"/>
              </w:rPr>
              <w:t>Etiquetado de datos de paso y prioridad de tráfico</w:t>
            </w:r>
          </w:p>
        </w:tc>
      </w:tr>
      <w:tr w:rsidR="00A87E27" w:rsidRPr="009D06C9" w:rsidTr="00090ED8">
        <w:trPr>
          <w:cantSplit/>
          <w:jc w:val="center"/>
        </w:trPr>
        <w:tc>
          <w:tcPr>
            <w:tcW w:w="4139" w:type="dxa"/>
          </w:tcPr>
          <w:p w:rsidR="00A87E27" w:rsidRPr="009D06C9" w:rsidRDefault="00A87E27" w:rsidP="00090ED8">
            <w:pPr>
              <w:pStyle w:val="Tabletext"/>
              <w:jc w:val="left"/>
              <w:rPr>
                <w:lang w:val="es-ES_tradnl"/>
              </w:rPr>
            </w:pPr>
            <w:r w:rsidRPr="009D06C9">
              <w:rPr>
                <w:lang w:val="es-ES_tradnl"/>
              </w:rPr>
              <w:t>Conocimiento de la ubicación</w:t>
            </w:r>
          </w:p>
        </w:tc>
        <w:tc>
          <w:tcPr>
            <w:tcW w:w="5499" w:type="dxa"/>
          </w:tcPr>
          <w:p w:rsidR="00A87E27" w:rsidRPr="009D06C9" w:rsidRDefault="00A87E27" w:rsidP="00090ED8">
            <w:pPr>
              <w:pStyle w:val="Tabletext"/>
              <w:rPr>
                <w:lang w:val="es-ES_tradnl"/>
              </w:rPr>
            </w:pPr>
            <w:r w:rsidRPr="009D06C9">
              <w:rPr>
                <w:lang w:val="es-ES_tradnl"/>
              </w:rPr>
              <w:t>Sí</w:t>
            </w:r>
          </w:p>
        </w:tc>
      </w:tr>
      <w:tr w:rsidR="00A87E27" w:rsidRPr="009D06C9" w:rsidTr="00090ED8">
        <w:trPr>
          <w:cantSplit/>
          <w:jc w:val="center"/>
        </w:trPr>
        <w:tc>
          <w:tcPr>
            <w:tcW w:w="4139" w:type="dxa"/>
          </w:tcPr>
          <w:p w:rsidR="00A87E27" w:rsidRPr="009D06C9" w:rsidRDefault="00A87E27" w:rsidP="00090ED8">
            <w:pPr>
              <w:pStyle w:val="Tabletext"/>
              <w:jc w:val="left"/>
              <w:rPr>
                <w:lang w:val="es-ES_tradnl"/>
              </w:rPr>
            </w:pPr>
            <w:r w:rsidRPr="009D06C9">
              <w:rPr>
                <w:lang w:val="es-ES_tradnl"/>
              </w:rPr>
              <w:t>Determinación de la distancia</w:t>
            </w:r>
          </w:p>
        </w:tc>
        <w:tc>
          <w:tcPr>
            <w:tcW w:w="5499" w:type="dxa"/>
          </w:tcPr>
          <w:p w:rsidR="00A87E27" w:rsidRPr="009D06C9" w:rsidRDefault="00A87E27" w:rsidP="00090ED8">
            <w:pPr>
              <w:pStyle w:val="Tabletext"/>
              <w:rPr>
                <w:lang w:val="es-ES_tradnl"/>
              </w:rPr>
            </w:pPr>
            <w:r w:rsidRPr="009D06C9">
              <w:rPr>
                <w:lang w:val="es-ES_tradnl"/>
              </w:rPr>
              <w:t>Sí</w:t>
            </w:r>
          </w:p>
        </w:tc>
      </w:tr>
      <w:tr w:rsidR="00A87E27" w:rsidRPr="009D06C9" w:rsidTr="00090ED8">
        <w:trPr>
          <w:cantSplit/>
          <w:jc w:val="center"/>
        </w:trPr>
        <w:tc>
          <w:tcPr>
            <w:tcW w:w="4139" w:type="dxa"/>
          </w:tcPr>
          <w:p w:rsidR="00A87E27" w:rsidRPr="009D06C9" w:rsidRDefault="00A87E27" w:rsidP="00090ED8">
            <w:pPr>
              <w:pStyle w:val="Tabletext"/>
              <w:jc w:val="left"/>
              <w:rPr>
                <w:lang w:val="es-ES_tradnl"/>
              </w:rPr>
            </w:pPr>
            <w:r w:rsidRPr="009D06C9">
              <w:rPr>
                <w:lang w:val="es-ES_tradnl"/>
              </w:rPr>
              <w:t>Criptación</w:t>
            </w:r>
          </w:p>
        </w:tc>
        <w:tc>
          <w:tcPr>
            <w:tcW w:w="5499" w:type="dxa"/>
          </w:tcPr>
          <w:p w:rsidR="00A87E27" w:rsidRPr="009D06C9" w:rsidRDefault="00A87E27" w:rsidP="00090ED8">
            <w:pPr>
              <w:pStyle w:val="Tabletext"/>
              <w:rPr>
                <w:lang w:val="es-ES_tradnl"/>
              </w:rPr>
            </w:pPr>
            <w:r w:rsidRPr="009D06C9">
              <w:rPr>
                <w:lang w:val="es-ES_tradnl"/>
              </w:rPr>
              <w:t>AES-128</w:t>
            </w:r>
          </w:p>
        </w:tc>
      </w:tr>
      <w:tr w:rsidR="00A87E27" w:rsidRPr="009D06C9" w:rsidTr="00090ED8">
        <w:trPr>
          <w:cantSplit/>
          <w:jc w:val="center"/>
        </w:trPr>
        <w:tc>
          <w:tcPr>
            <w:tcW w:w="4139" w:type="dxa"/>
          </w:tcPr>
          <w:p w:rsidR="00A87E27" w:rsidRPr="009D06C9" w:rsidRDefault="00A87E27" w:rsidP="00090ED8">
            <w:pPr>
              <w:pStyle w:val="Tabletext"/>
              <w:jc w:val="left"/>
              <w:rPr>
                <w:lang w:val="es-ES_tradnl"/>
              </w:rPr>
            </w:pPr>
            <w:r w:rsidRPr="009D06C9">
              <w:rPr>
                <w:lang w:val="es-ES_tradnl"/>
              </w:rPr>
              <w:t>Autenticación/protección contra reproducción</w:t>
            </w:r>
          </w:p>
        </w:tc>
        <w:tc>
          <w:tcPr>
            <w:tcW w:w="5499" w:type="dxa"/>
          </w:tcPr>
          <w:p w:rsidR="00A87E27" w:rsidRPr="009D06C9" w:rsidRDefault="00A87E27" w:rsidP="00090ED8">
            <w:pPr>
              <w:pStyle w:val="Tabletext"/>
              <w:rPr>
                <w:lang w:val="es-ES_tradnl"/>
              </w:rPr>
            </w:pPr>
            <w:r w:rsidRPr="009D06C9">
              <w:rPr>
                <w:lang w:val="es-ES_tradnl"/>
              </w:rPr>
              <w:t>Sí</w:t>
            </w:r>
          </w:p>
        </w:tc>
      </w:tr>
      <w:tr w:rsidR="00A87E27" w:rsidRPr="009D06C9" w:rsidTr="00090ED8">
        <w:trPr>
          <w:cantSplit/>
          <w:jc w:val="center"/>
        </w:trPr>
        <w:tc>
          <w:tcPr>
            <w:tcW w:w="4139" w:type="dxa"/>
          </w:tcPr>
          <w:p w:rsidR="00A87E27" w:rsidRPr="009D06C9" w:rsidRDefault="00A87E27" w:rsidP="00090ED8">
            <w:pPr>
              <w:pStyle w:val="Tabletext"/>
              <w:jc w:val="left"/>
              <w:rPr>
                <w:lang w:val="es-ES_tradnl"/>
              </w:rPr>
            </w:pPr>
            <w:r w:rsidRPr="009D06C9">
              <w:rPr>
                <w:lang w:val="es-ES_tradnl"/>
              </w:rPr>
              <w:t>Intercambio de claves</w:t>
            </w:r>
          </w:p>
        </w:tc>
        <w:tc>
          <w:tcPr>
            <w:tcW w:w="5499" w:type="dxa"/>
          </w:tcPr>
          <w:p w:rsidR="00A87E27" w:rsidRPr="009D06C9" w:rsidRDefault="00A87E27" w:rsidP="00090ED8">
            <w:pPr>
              <w:pStyle w:val="Tabletext"/>
              <w:jc w:val="left"/>
              <w:rPr>
                <w:lang w:val="es-ES_tradnl"/>
              </w:rPr>
            </w:pPr>
            <w:r w:rsidRPr="009D06C9">
              <w:rPr>
                <w:lang w:val="es-ES_tradnl"/>
              </w:rPr>
              <w:t>Sí</w:t>
            </w:r>
          </w:p>
        </w:tc>
      </w:tr>
      <w:tr w:rsidR="00A87E27" w:rsidRPr="009D06C9" w:rsidTr="00090ED8">
        <w:trPr>
          <w:cantSplit/>
          <w:jc w:val="center"/>
        </w:trPr>
        <w:tc>
          <w:tcPr>
            <w:tcW w:w="4139" w:type="dxa"/>
          </w:tcPr>
          <w:p w:rsidR="00A87E27" w:rsidRPr="009D06C9" w:rsidRDefault="00A87E27" w:rsidP="00090ED8">
            <w:pPr>
              <w:pStyle w:val="Tabletext"/>
              <w:jc w:val="left"/>
              <w:rPr>
                <w:lang w:val="es-ES_tradnl"/>
              </w:rPr>
            </w:pPr>
            <w:r w:rsidRPr="009D06C9">
              <w:rPr>
                <w:lang w:val="es-ES_tradnl"/>
              </w:rPr>
              <w:t>Detección de nodos falseados</w:t>
            </w:r>
          </w:p>
        </w:tc>
        <w:tc>
          <w:tcPr>
            <w:tcW w:w="5499" w:type="dxa"/>
          </w:tcPr>
          <w:p w:rsidR="00A87E27" w:rsidRPr="009D06C9" w:rsidRDefault="00A87E27" w:rsidP="00090ED8">
            <w:pPr>
              <w:pStyle w:val="Tabletext"/>
              <w:jc w:val="left"/>
              <w:rPr>
                <w:lang w:val="es-ES_tradnl"/>
              </w:rPr>
            </w:pPr>
            <w:r w:rsidRPr="009D06C9">
              <w:rPr>
                <w:lang w:val="es-ES_tradnl"/>
              </w:rPr>
              <w:t>Sí</w:t>
            </w:r>
          </w:p>
        </w:tc>
      </w:tr>
      <w:tr w:rsidR="00A87E27" w:rsidRPr="009D06C9" w:rsidTr="00090ED8">
        <w:trPr>
          <w:cantSplit/>
          <w:jc w:val="center"/>
        </w:trPr>
        <w:tc>
          <w:tcPr>
            <w:tcW w:w="4139" w:type="dxa"/>
          </w:tcPr>
          <w:p w:rsidR="00A87E27" w:rsidRPr="009D06C9" w:rsidRDefault="00A87E27" w:rsidP="00090ED8">
            <w:pPr>
              <w:pStyle w:val="Tabletext"/>
              <w:jc w:val="left"/>
              <w:rPr>
                <w:lang w:val="es-ES_tradnl"/>
              </w:rPr>
            </w:pPr>
            <w:r w:rsidRPr="009D06C9">
              <w:rPr>
                <w:lang w:val="es-ES_tradnl"/>
              </w:rPr>
              <w:t xml:space="preserve">Identificación unívoca de dispositivo </w:t>
            </w:r>
          </w:p>
        </w:tc>
        <w:tc>
          <w:tcPr>
            <w:tcW w:w="5499" w:type="dxa"/>
          </w:tcPr>
          <w:p w:rsidR="00A87E27" w:rsidRPr="009D06C9" w:rsidRDefault="00A87E27" w:rsidP="00090ED8">
            <w:pPr>
              <w:pStyle w:val="Tabletext"/>
              <w:jc w:val="left"/>
              <w:rPr>
                <w:lang w:val="es-ES_tradnl"/>
              </w:rPr>
            </w:pPr>
            <w:r w:rsidRPr="009D06C9">
              <w:rPr>
                <w:lang w:val="es-ES_tradnl"/>
              </w:rPr>
              <w:t>Identificador único de 48 bits</w:t>
            </w:r>
          </w:p>
        </w:tc>
      </w:tr>
    </w:tbl>
    <w:p w:rsidR="00A87E27" w:rsidRPr="009D06C9" w:rsidRDefault="00A87E27" w:rsidP="00A87E27">
      <w:pPr>
        <w:pStyle w:val="Tablefin"/>
        <w:rPr>
          <w:lang w:val="es-ES_tradnl"/>
        </w:rPr>
      </w:pPr>
    </w:p>
    <w:p w:rsidR="00A87E27" w:rsidRPr="009D06C9" w:rsidRDefault="00A87E27" w:rsidP="00A87E27">
      <w:pPr>
        <w:pStyle w:val="TableNo"/>
        <w:rPr>
          <w:lang w:val="es-ES_tradnl"/>
        </w:rPr>
      </w:pPr>
      <w:r w:rsidRPr="009D06C9">
        <w:rPr>
          <w:lang w:val="es-ES_tradnl"/>
        </w:rPr>
        <w:lastRenderedPageBreak/>
        <w:t>CUADRO A1.3</w:t>
      </w:r>
    </w:p>
    <w:p w:rsidR="00A87E27" w:rsidRPr="009D06C9" w:rsidRDefault="00A87E27" w:rsidP="00A87E27">
      <w:pPr>
        <w:pStyle w:val="Tabletitle"/>
        <w:rPr>
          <w:lang w:val="es-ES_tradnl"/>
        </w:rPr>
      </w:pPr>
      <w:r w:rsidRPr="009D06C9">
        <w:rPr>
          <w:lang w:val="es-ES_tradnl"/>
        </w:rPr>
        <w:t>Características de la norma IEEE 802.16</w:t>
      </w:r>
    </w:p>
    <w:tbl>
      <w:tblPr>
        <w:tblW w:w="96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75"/>
        <w:gridCol w:w="6520"/>
      </w:tblGrid>
      <w:tr w:rsidR="00A87E27" w:rsidRPr="009D06C9" w:rsidTr="00090ED8">
        <w:trPr>
          <w:cantSplit/>
          <w:tblHeader/>
          <w:jc w:val="center"/>
        </w:trPr>
        <w:tc>
          <w:tcPr>
            <w:tcW w:w="3175" w:type="dxa"/>
          </w:tcPr>
          <w:p w:rsidR="00A87E27" w:rsidRPr="009D06C9" w:rsidRDefault="00A87E27" w:rsidP="00090ED8">
            <w:pPr>
              <w:pStyle w:val="Tablehead"/>
              <w:rPr>
                <w:lang w:val="es-ES_tradnl"/>
              </w:rPr>
            </w:pPr>
            <w:r w:rsidRPr="009D06C9">
              <w:rPr>
                <w:lang w:val="es-ES_tradnl"/>
              </w:rPr>
              <w:t>Ítem</w:t>
            </w:r>
          </w:p>
        </w:tc>
        <w:tc>
          <w:tcPr>
            <w:tcW w:w="6520" w:type="dxa"/>
          </w:tcPr>
          <w:p w:rsidR="00A87E27" w:rsidRPr="009D06C9" w:rsidRDefault="00A87E27" w:rsidP="00090ED8">
            <w:pPr>
              <w:pStyle w:val="Tablehead"/>
              <w:rPr>
                <w:lang w:val="es-ES_tradnl"/>
              </w:rPr>
            </w:pPr>
            <w:r w:rsidRPr="009D06C9">
              <w:rPr>
                <w:lang w:val="es-ES_tradnl"/>
              </w:rPr>
              <w:t>Valor</w:t>
            </w:r>
          </w:p>
        </w:tc>
      </w:tr>
      <w:tr w:rsidR="00A87E27" w:rsidRPr="00D30DBF"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Bandas de frecuencias soportadas (con o sin licencia)</w:t>
            </w:r>
          </w:p>
        </w:tc>
        <w:tc>
          <w:tcPr>
            <w:tcW w:w="6520" w:type="dxa"/>
          </w:tcPr>
          <w:p w:rsidR="00A87E27" w:rsidRPr="009D06C9" w:rsidRDefault="00A87E27" w:rsidP="00090ED8">
            <w:pPr>
              <w:pStyle w:val="Tabletext"/>
              <w:jc w:val="left"/>
              <w:rPr>
                <w:lang w:val="es-ES_tradnl"/>
              </w:rPr>
            </w:pPr>
            <w:r w:rsidRPr="009D06C9">
              <w:rPr>
                <w:lang w:val="es-ES_tradnl"/>
              </w:rPr>
              <w:t>Bandas de frecuencias con licencia entre 200 MHz y 6 GHz</w:t>
            </w:r>
          </w:p>
        </w:tc>
      </w:tr>
      <w:tr w:rsidR="00A87E27" w:rsidRPr="00D30DBF"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Gama de funcionamiento nominal</w:t>
            </w:r>
          </w:p>
        </w:tc>
        <w:tc>
          <w:tcPr>
            <w:tcW w:w="6520" w:type="dxa"/>
          </w:tcPr>
          <w:p w:rsidR="00A87E27" w:rsidRPr="009D06C9" w:rsidRDefault="00A87E27" w:rsidP="00090ED8">
            <w:pPr>
              <w:pStyle w:val="Tabletext"/>
              <w:jc w:val="left"/>
              <w:rPr>
                <w:lang w:val="es-ES_tradnl"/>
              </w:rPr>
            </w:pPr>
            <w:r w:rsidRPr="009D06C9">
              <w:rPr>
                <w:lang w:val="es-ES_tradnl"/>
              </w:rPr>
              <w:t>Optimizado para un alcance de hasta 5 km en un entorno PMP típico, funcional hasta 100 km</w:t>
            </w:r>
          </w:p>
        </w:tc>
      </w:tr>
      <w:tr w:rsidR="00A87E27" w:rsidRPr="009D06C9"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Capacidades de movilidad (nómada/móvil)</w:t>
            </w:r>
          </w:p>
        </w:tc>
        <w:tc>
          <w:tcPr>
            <w:tcW w:w="6520" w:type="dxa"/>
          </w:tcPr>
          <w:p w:rsidR="00A87E27" w:rsidRPr="009D06C9" w:rsidRDefault="00A87E27" w:rsidP="00090ED8">
            <w:pPr>
              <w:pStyle w:val="Tabletext"/>
              <w:jc w:val="left"/>
              <w:rPr>
                <w:lang w:val="es-ES_tradnl"/>
              </w:rPr>
            </w:pPr>
            <w:r w:rsidRPr="009D06C9">
              <w:rPr>
                <w:lang w:val="es-ES_tradnl"/>
              </w:rPr>
              <w:t>Nómada y móvil</w:t>
            </w:r>
          </w:p>
        </w:tc>
      </w:tr>
      <w:tr w:rsidR="00A87E27" w:rsidRPr="00D30DBF"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Velocidad de datos de cresta (enlace ascendente/descendente si es diferente)</w:t>
            </w:r>
          </w:p>
        </w:tc>
        <w:tc>
          <w:tcPr>
            <w:tcW w:w="6520" w:type="dxa"/>
          </w:tcPr>
          <w:p w:rsidR="00A87E27" w:rsidRPr="009D06C9" w:rsidRDefault="00A87E27" w:rsidP="00090ED8">
            <w:pPr>
              <w:pStyle w:val="Tabletext"/>
              <w:jc w:val="left"/>
              <w:rPr>
                <w:lang w:val="es-ES_tradnl"/>
              </w:rPr>
            </w:pPr>
            <w:r w:rsidRPr="009D06C9">
              <w:rPr>
                <w:lang w:val="es-ES_tradnl"/>
              </w:rPr>
              <w:t>802.16-2012: 34,6UL/60DL Mbit/s con 1 antena Tx BS (10 MHz BW), 69,2 UL/120DL Mbit/s con 2 antenas Tx BS (10 MHz BW).</w:t>
            </w:r>
          </w:p>
          <w:p w:rsidR="00A87E27" w:rsidRPr="009D06C9" w:rsidRDefault="00A87E27" w:rsidP="00090ED8">
            <w:pPr>
              <w:pStyle w:val="Tabletext"/>
              <w:jc w:val="left"/>
              <w:rPr>
                <w:lang w:val="es-ES_tradnl"/>
              </w:rPr>
            </w:pPr>
            <w:r w:rsidRPr="009D06C9">
              <w:rPr>
                <w:lang w:val="es-ES_tradnl"/>
              </w:rPr>
              <w:t>802.16.1-2012: 66,7UL/120DL Mbit/s con 2 antenas Tx BS (10 MHz BW), 137UL/240DL Mbit/s con 4 antenas Tx BS (10 MHz BW)</w:t>
            </w:r>
          </w:p>
        </w:tc>
      </w:tr>
      <w:tr w:rsidR="00A87E27" w:rsidRPr="00D30DBF"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Método dúplex (FDD, TDD, etc.)</w:t>
            </w:r>
          </w:p>
        </w:tc>
        <w:tc>
          <w:tcPr>
            <w:tcW w:w="6520" w:type="dxa"/>
          </w:tcPr>
          <w:p w:rsidR="00A87E27" w:rsidRPr="009D06C9" w:rsidRDefault="00A87E27" w:rsidP="00090ED8">
            <w:pPr>
              <w:pStyle w:val="Tabletext"/>
              <w:jc w:val="left"/>
              <w:rPr>
                <w:lang w:val="es-ES_tradnl"/>
              </w:rPr>
            </w:pPr>
            <w:r w:rsidRPr="009D06C9">
              <w:rPr>
                <w:lang w:val="es-ES_tradnl"/>
              </w:rPr>
              <w:t>Definido por TDD y FDD, TDD utilizado más comúnmente, TDD adaptativo para tráfico asimétrico</w:t>
            </w:r>
          </w:p>
        </w:tc>
      </w:tr>
      <w:tr w:rsidR="00A87E27" w:rsidRPr="009D06C9"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Ancho de banda RF nominal</w:t>
            </w:r>
          </w:p>
        </w:tc>
        <w:tc>
          <w:tcPr>
            <w:tcW w:w="6520" w:type="dxa"/>
          </w:tcPr>
          <w:p w:rsidR="00A87E27" w:rsidRPr="009D06C9" w:rsidRDefault="00A87E27" w:rsidP="00090ED8">
            <w:pPr>
              <w:pStyle w:val="Tabletext"/>
              <w:jc w:val="left"/>
              <w:rPr>
                <w:lang w:val="es-ES_tradnl"/>
              </w:rPr>
            </w:pPr>
            <w:r w:rsidRPr="009D06C9">
              <w:rPr>
                <w:lang w:val="es-ES_tradnl"/>
              </w:rPr>
              <w:t>Seleccionable: 1,25 MHz a 10 MHz</w:t>
            </w:r>
          </w:p>
        </w:tc>
      </w:tr>
      <w:tr w:rsidR="00A87E27" w:rsidRPr="009D06C9"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 xml:space="preserve">Técnicas de diversidad </w:t>
            </w:r>
          </w:p>
        </w:tc>
        <w:tc>
          <w:tcPr>
            <w:tcW w:w="6520" w:type="dxa"/>
          </w:tcPr>
          <w:p w:rsidR="00A87E27" w:rsidRPr="009D06C9" w:rsidRDefault="00A87E27" w:rsidP="00090ED8">
            <w:pPr>
              <w:pStyle w:val="Tabletext"/>
              <w:jc w:val="left"/>
              <w:rPr>
                <w:lang w:val="es-ES_tradnl"/>
              </w:rPr>
            </w:pPr>
            <w:r w:rsidRPr="009D06C9">
              <w:rPr>
                <w:lang w:val="es-ES_tradnl"/>
              </w:rPr>
              <w:t>Espacio-temporal</w:t>
            </w:r>
          </w:p>
        </w:tc>
      </w:tr>
      <w:tr w:rsidR="00A87E27" w:rsidRPr="009D06C9"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Soporte para MIMO (sí/no)</w:t>
            </w:r>
          </w:p>
        </w:tc>
        <w:tc>
          <w:tcPr>
            <w:tcW w:w="6520" w:type="dxa"/>
          </w:tcPr>
          <w:p w:rsidR="00A87E27" w:rsidRPr="009D06C9" w:rsidRDefault="00A87E27" w:rsidP="00090ED8">
            <w:pPr>
              <w:pStyle w:val="Tabletext"/>
              <w:jc w:val="left"/>
              <w:rPr>
                <w:lang w:val="es-ES_tradnl"/>
              </w:rPr>
            </w:pPr>
            <w:r w:rsidRPr="009D06C9">
              <w:rPr>
                <w:lang w:val="es-ES_tradnl"/>
              </w:rPr>
              <w:t>Sí</w:t>
            </w:r>
          </w:p>
        </w:tc>
      </w:tr>
      <w:tr w:rsidR="00A87E27" w:rsidRPr="009D06C9"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Orientación/conformación de haz</w:t>
            </w:r>
          </w:p>
        </w:tc>
        <w:tc>
          <w:tcPr>
            <w:tcW w:w="6520" w:type="dxa"/>
          </w:tcPr>
          <w:p w:rsidR="00A87E27" w:rsidRPr="009D06C9" w:rsidRDefault="00A87E27" w:rsidP="00090ED8">
            <w:pPr>
              <w:pStyle w:val="Tabletext"/>
              <w:jc w:val="left"/>
              <w:rPr>
                <w:lang w:val="es-ES_tradnl"/>
              </w:rPr>
            </w:pPr>
            <w:r w:rsidRPr="009D06C9">
              <w:rPr>
                <w:lang w:val="es-ES_tradnl"/>
              </w:rPr>
              <w:t>Sí</w:t>
            </w:r>
          </w:p>
        </w:tc>
      </w:tr>
      <w:tr w:rsidR="00A87E27" w:rsidRPr="00D30DBF"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Retransmisión</w:t>
            </w:r>
          </w:p>
        </w:tc>
        <w:tc>
          <w:tcPr>
            <w:tcW w:w="6520" w:type="dxa"/>
          </w:tcPr>
          <w:p w:rsidR="00A87E27" w:rsidRPr="009D06C9" w:rsidRDefault="00A87E27" w:rsidP="00090ED8">
            <w:pPr>
              <w:pStyle w:val="Tabletext"/>
              <w:jc w:val="left"/>
              <w:rPr>
                <w:lang w:val="es-ES_tradnl"/>
              </w:rPr>
            </w:pPr>
            <w:r w:rsidRPr="009D06C9">
              <w:rPr>
                <w:lang w:val="es-ES_tradnl"/>
              </w:rPr>
              <w:t>Sí (ARQ y ARQ híbrida (HARQ))</w:t>
            </w:r>
          </w:p>
        </w:tc>
      </w:tr>
      <w:tr w:rsidR="00A87E27" w:rsidRPr="009D06C9"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Corrección de errores en recepción</w:t>
            </w:r>
          </w:p>
        </w:tc>
        <w:tc>
          <w:tcPr>
            <w:tcW w:w="6520" w:type="dxa"/>
          </w:tcPr>
          <w:p w:rsidR="00A87E27" w:rsidRPr="009D06C9" w:rsidRDefault="00A87E27" w:rsidP="00090ED8">
            <w:pPr>
              <w:pStyle w:val="Tabletext"/>
              <w:jc w:val="left"/>
              <w:rPr>
                <w:lang w:val="es-ES_tradnl"/>
              </w:rPr>
            </w:pPr>
            <w:r w:rsidRPr="009D06C9">
              <w:rPr>
                <w:lang w:val="es-ES_tradnl"/>
              </w:rPr>
              <w:t>Sí (Codificación convolucional)</w:t>
            </w:r>
          </w:p>
        </w:tc>
      </w:tr>
      <w:tr w:rsidR="00A87E27" w:rsidRPr="00D30DBF"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Gestión de interferencias</w:t>
            </w:r>
          </w:p>
        </w:tc>
        <w:tc>
          <w:tcPr>
            <w:tcW w:w="6520" w:type="dxa"/>
          </w:tcPr>
          <w:p w:rsidR="00A87E27" w:rsidRPr="009D06C9" w:rsidRDefault="00A87E27" w:rsidP="00090ED8">
            <w:pPr>
              <w:pStyle w:val="Tabletext"/>
              <w:jc w:val="left"/>
              <w:rPr>
                <w:lang w:val="es-ES_tradnl"/>
              </w:rPr>
            </w:pPr>
            <w:r w:rsidRPr="009D06C9">
              <w:rPr>
                <w:lang w:val="es-ES_tradnl"/>
              </w:rPr>
              <w:t>Sí (reutilización fraccional de frecuencias)</w:t>
            </w:r>
          </w:p>
        </w:tc>
      </w:tr>
      <w:tr w:rsidR="00A87E27" w:rsidRPr="009D06C9"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Gestión de potencia</w:t>
            </w:r>
          </w:p>
        </w:tc>
        <w:tc>
          <w:tcPr>
            <w:tcW w:w="6520" w:type="dxa"/>
          </w:tcPr>
          <w:p w:rsidR="00A87E27" w:rsidRPr="009D06C9" w:rsidRDefault="00A87E27" w:rsidP="00090ED8">
            <w:pPr>
              <w:pStyle w:val="Tabletext"/>
              <w:jc w:val="left"/>
              <w:rPr>
                <w:lang w:val="es-ES_tradnl"/>
              </w:rPr>
            </w:pPr>
            <w:r w:rsidRPr="009D06C9">
              <w:rPr>
                <w:lang w:val="es-ES_tradnl"/>
              </w:rPr>
              <w:t>Sí</w:t>
            </w:r>
          </w:p>
        </w:tc>
      </w:tr>
      <w:tr w:rsidR="00A87E27" w:rsidRPr="00D30DBF"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Topología de conexión</w:t>
            </w:r>
          </w:p>
        </w:tc>
        <w:tc>
          <w:tcPr>
            <w:tcW w:w="6520" w:type="dxa"/>
          </w:tcPr>
          <w:p w:rsidR="00A87E27" w:rsidRPr="009D06C9" w:rsidRDefault="00A87E27" w:rsidP="00090ED8">
            <w:pPr>
              <w:pStyle w:val="Tabletext"/>
              <w:jc w:val="left"/>
              <w:rPr>
                <w:lang w:val="es-ES_tradnl"/>
              </w:rPr>
            </w:pPr>
            <w:r w:rsidRPr="009D06C9">
              <w:rPr>
                <w:lang w:val="es-ES_tradnl"/>
              </w:rPr>
              <w:t>Punto a multipunto, punto a punto, retransmisión multisaltos</w:t>
            </w:r>
          </w:p>
        </w:tc>
      </w:tr>
      <w:tr w:rsidR="00A87E27" w:rsidRPr="00D30DBF"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Métodos de acceso a medios</w:t>
            </w:r>
          </w:p>
        </w:tc>
        <w:tc>
          <w:tcPr>
            <w:tcW w:w="6520" w:type="dxa"/>
          </w:tcPr>
          <w:p w:rsidR="00A87E27" w:rsidRPr="009D06C9" w:rsidRDefault="00A87E27" w:rsidP="00090ED8">
            <w:pPr>
              <w:pStyle w:val="Tabletext"/>
              <w:jc w:val="left"/>
              <w:rPr>
                <w:lang w:val="es-ES_tradnl"/>
              </w:rPr>
            </w:pPr>
            <w:r w:rsidRPr="009D06C9">
              <w:rPr>
                <w:lang w:val="es-ES_tradnl"/>
              </w:rPr>
              <w:t>Contienda coordinada seguida por QoS orientada a conexión es soportada mediante la utilización de 5 disciplinas de servicio</w:t>
            </w:r>
          </w:p>
        </w:tc>
      </w:tr>
      <w:tr w:rsidR="00A87E27" w:rsidRPr="009D06C9"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Múltiples métodos de acceso</w:t>
            </w:r>
          </w:p>
        </w:tc>
        <w:tc>
          <w:tcPr>
            <w:tcW w:w="6520" w:type="dxa"/>
          </w:tcPr>
          <w:p w:rsidR="00A87E27" w:rsidRPr="009D06C9" w:rsidRDefault="00A87E27" w:rsidP="00090ED8">
            <w:pPr>
              <w:pStyle w:val="Tabletext"/>
              <w:jc w:val="left"/>
              <w:rPr>
                <w:lang w:val="es-ES_tradnl"/>
              </w:rPr>
            </w:pPr>
            <w:r w:rsidRPr="009D06C9">
              <w:rPr>
                <w:lang w:val="es-ES_tradnl"/>
              </w:rPr>
              <w:t>OFDMA</w:t>
            </w:r>
          </w:p>
        </w:tc>
      </w:tr>
      <w:tr w:rsidR="00A87E27" w:rsidRPr="00D30DBF"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Método de descubrimiento y asociación</w:t>
            </w:r>
          </w:p>
        </w:tc>
        <w:tc>
          <w:tcPr>
            <w:tcW w:w="6520" w:type="dxa"/>
          </w:tcPr>
          <w:p w:rsidR="00A87E27" w:rsidRPr="009D06C9" w:rsidRDefault="00A87E27" w:rsidP="00090ED8">
            <w:pPr>
              <w:pStyle w:val="Tabletext"/>
              <w:jc w:val="left"/>
              <w:rPr>
                <w:lang w:val="es-ES_tradnl"/>
              </w:rPr>
            </w:pPr>
            <w:r w:rsidRPr="009D06C9">
              <w:rPr>
                <w:lang w:val="es-ES_tradnl"/>
              </w:rPr>
              <w:t>Descubrimiento autónomo, asociación a través de CID/SFID</w:t>
            </w:r>
          </w:p>
        </w:tc>
      </w:tr>
      <w:tr w:rsidR="00A87E27" w:rsidRPr="00D30DBF"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Métodos QoS</w:t>
            </w:r>
          </w:p>
        </w:tc>
        <w:tc>
          <w:tcPr>
            <w:tcW w:w="6520" w:type="dxa"/>
          </w:tcPr>
          <w:p w:rsidR="00A87E27" w:rsidRPr="009D06C9" w:rsidRDefault="00A87E27" w:rsidP="00090ED8">
            <w:pPr>
              <w:pStyle w:val="Tabletext"/>
              <w:jc w:val="left"/>
              <w:rPr>
                <w:lang w:val="es-ES_tradnl"/>
              </w:rPr>
            </w:pPr>
            <w:r w:rsidRPr="009D06C9">
              <w:rPr>
                <w:lang w:val="es-ES_tradnl"/>
              </w:rPr>
              <w:t>Diferenciación QoS (5 clases soportadas), y soporte QoS orientado a conexión</w:t>
            </w:r>
          </w:p>
        </w:tc>
      </w:tr>
      <w:tr w:rsidR="00A87E27" w:rsidRPr="009D06C9"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Conocimiento de la ubicación</w:t>
            </w:r>
          </w:p>
        </w:tc>
        <w:tc>
          <w:tcPr>
            <w:tcW w:w="6520" w:type="dxa"/>
          </w:tcPr>
          <w:p w:rsidR="00A87E27" w:rsidRPr="009D06C9" w:rsidRDefault="00A87E27" w:rsidP="00090ED8">
            <w:pPr>
              <w:pStyle w:val="Tabletext"/>
              <w:jc w:val="left"/>
              <w:rPr>
                <w:rFonts w:asciiTheme="majorBidi" w:hAnsiTheme="majorBidi" w:cstheme="majorBidi"/>
                <w:lang w:val="es-ES_tradnl"/>
              </w:rPr>
            </w:pPr>
            <w:r w:rsidRPr="009D06C9">
              <w:rPr>
                <w:rFonts w:asciiTheme="majorBidi" w:hAnsiTheme="majorBidi" w:cstheme="majorBidi"/>
                <w:color w:val="000000"/>
                <w:lang w:val="es-ES_tradnl"/>
              </w:rPr>
              <w:t>Sí</w:t>
            </w:r>
          </w:p>
        </w:tc>
      </w:tr>
      <w:tr w:rsidR="00A87E27" w:rsidRPr="009D06C9"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Determinación de la distancia</w:t>
            </w:r>
          </w:p>
        </w:tc>
        <w:tc>
          <w:tcPr>
            <w:tcW w:w="6520" w:type="dxa"/>
          </w:tcPr>
          <w:p w:rsidR="00A87E27" w:rsidRPr="009D06C9" w:rsidRDefault="00A87E27" w:rsidP="00090ED8">
            <w:pPr>
              <w:pStyle w:val="Tabletext"/>
              <w:jc w:val="left"/>
              <w:rPr>
                <w:lang w:val="es-ES_tradnl"/>
              </w:rPr>
            </w:pPr>
            <w:r w:rsidRPr="009D06C9">
              <w:rPr>
                <w:lang w:val="es-ES_tradnl"/>
              </w:rPr>
              <w:t>Opcional</w:t>
            </w:r>
          </w:p>
        </w:tc>
      </w:tr>
      <w:tr w:rsidR="00A87E27" w:rsidRPr="009D06C9"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Criptación</w:t>
            </w:r>
          </w:p>
        </w:tc>
        <w:tc>
          <w:tcPr>
            <w:tcW w:w="6520" w:type="dxa"/>
          </w:tcPr>
          <w:p w:rsidR="00A87E27" w:rsidRPr="009D06C9" w:rsidRDefault="00A87E27" w:rsidP="00090ED8">
            <w:pPr>
              <w:pStyle w:val="Tabletext"/>
              <w:jc w:val="left"/>
              <w:rPr>
                <w:lang w:val="es-ES_tradnl"/>
              </w:rPr>
            </w:pPr>
            <w:r w:rsidRPr="009D06C9">
              <w:rPr>
                <w:lang w:val="es-ES_tradnl"/>
              </w:rPr>
              <w:t>AES128 – CCM y CTR</w:t>
            </w:r>
          </w:p>
        </w:tc>
      </w:tr>
      <w:tr w:rsidR="00A87E27" w:rsidRPr="009D06C9"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Autenticación/protección contra reproducción</w:t>
            </w:r>
          </w:p>
        </w:tc>
        <w:tc>
          <w:tcPr>
            <w:tcW w:w="6520" w:type="dxa"/>
          </w:tcPr>
          <w:p w:rsidR="00A87E27" w:rsidRPr="009D06C9" w:rsidRDefault="00A87E27" w:rsidP="00090ED8">
            <w:pPr>
              <w:pStyle w:val="Tabletext"/>
              <w:jc w:val="left"/>
              <w:rPr>
                <w:lang w:val="es-ES_tradnl"/>
              </w:rPr>
            </w:pPr>
            <w:r w:rsidRPr="009D06C9">
              <w:rPr>
                <w:lang w:val="es-ES_tradnl"/>
              </w:rPr>
              <w:t>Sí</w:t>
            </w:r>
          </w:p>
        </w:tc>
      </w:tr>
      <w:tr w:rsidR="00A87E27" w:rsidRPr="009D06C9"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Intercambio de claves</w:t>
            </w:r>
          </w:p>
        </w:tc>
        <w:tc>
          <w:tcPr>
            <w:tcW w:w="6520" w:type="dxa"/>
          </w:tcPr>
          <w:p w:rsidR="00A87E27" w:rsidRPr="009D06C9" w:rsidRDefault="00A87E27" w:rsidP="00090ED8">
            <w:pPr>
              <w:pStyle w:val="Tabletext"/>
              <w:jc w:val="left"/>
              <w:rPr>
                <w:lang w:val="es-ES_tradnl"/>
              </w:rPr>
            </w:pPr>
            <w:r w:rsidRPr="009D06C9">
              <w:rPr>
                <w:lang w:val="es-ES_tradnl"/>
              </w:rPr>
              <w:t>PKMv2 (Sección 7.2.2)</w:t>
            </w:r>
          </w:p>
        </w:tc>
      </w:tr>
      <w:tr w:rsidR="00A87E27" w:rsidRPr="00D30DBF"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Nodos fraudulentos</w:t>
            </w:r>
          </w:p>
        </w:tc>
        <w:tc>
          <w:tcPr>
            <w:tcW w:w="6520" w:type="dxa"/>
          </w:tcPr>
          <w:p w:rsidR="00A87E27" w:rsidRPr="009D06C9" w:rsidRDefault="00A87E27" w:rsidP="00090ED8">
            <w:pPr>
              <w:pStyle w:val="Tabletext"/>
              <w:jc w:val="left"/>
              <w:rPr>
                <w:lang w:val="es-ES_tradnl"/>
              </w:rPr>
            </w:pPr>
            <w:r w:rsidRPr="009D06C9">
              <w:rPr>
                <w:lang w:val="es-ES_tradnl"/>
              </w:rPr>
              <w:t>Sí, código cifrado de autenticación de mensaje (CMAC)/código de autentificación de mensaje troceado (HMAC), derivación de clave para protección de integridad de mensajes de control. Además ICV de AES</w:t>
            </w:r>
            <w:r w:rsidRPr="009D06C9">
              <w:rPr>
                <w:lang w:val="es-ES_tradnl"/>
              </w:rPr>
              <w:noBreakHyphen/>
              <w:t>CCM para protección de integridad de MPDU</w:t>
            </w:r>
          </w:p>
        </w:tc>
      </w:tr>
      <w:tr w:rsidR="00A87E27" w:rsidRPr="00D30DBF" w:rsidTr="00090ED8">
        <w:trPr>
          <w:cantSplit/>
          <w:jc w:val="center"/>
        </w:trPr>
        <w:tc>
          <w:tcPr>
            <w:tcW w:w="3175" w:type="dxa"/>
          </w:tcPr>
          <w:p w:rsidR="00A87E27" w:rsidRPr="009D06C9" w:rsidRDefault="00A87E27" w:rsidP="00090ED8">
            <w:pPr>
              <w:pStyle w:val="Tabletext"/>
              <w:jc w:val="left"/>
              <w:rPr>
                <w:lang w:val="es-ES_tradnl"/>
              </w:rPr>
            </w:pPr>
            <w:r w:rsidRPr="009D06C9">
              <w:rPr>
                <w:lang w:val="es-ES_tradnl"/>
              </w:rPr>
              <w:t>Identificación unívoca de dispositivo</w:t>
            </w:r>
          </w:p>
        </w:tc>
        <w:tc>
          <w:tcPr>
            <w:tcW w:w="6520" w:type="dxa"/>
          </w:tcPr>
          <w:p w:rsidR="00A87E27" w:rsidRPr="009D06C9" w:rsidRDefault="00A87E27" w:rsidP="00090ED8">
            <w:pPr>
              <w:pStyle w:val="Tabletext"/>
              <w:jc w:val="left"/>
              <w:rPr>
                <w:lang w:val="es-ES_tradnl"/>
              </w:rPr>
            </w:pPr>
            <w:r w:rsidRPr="009D06C9">
              <w:rPr>
                <w:lang w:val="es-ES_tradnl"/>
              </w:rPr>
              <w:t>Dirección MAC, certificados X.509, tarjeta SIM opcional</w:t>
            </w:r>
          </w:p>
        </w:tc>
      </w:tr>
    </w:tbl>
    <w:p w:rsidR="00A87E27" w:rsidRPr="009D06C9" w:rsidRDefault="00A87E27" w:rsidP="00A87E27">
      <w:pPr>
        <w:pStyle w:val="Tablefin"/>
        <w:rPr>
          <w:lang w:val="es-ES_tradnl"/>
        </w:rPr>
      </w:pPr>
    </w:p>
    <w:p w:rsidR="00A87E27" w:rsidRPr="009D06C9" w:rsidRDefault="00A87E27" w:rsidP="00A87E27">
      <w:pPr>
        <w:pStyle w:val="TableNo"/>
        <w:rPr>
          <w:lang w:val="es-ES_tradnl"/>
        </w:rPr>
      </w:pPr>
      <w:r w:rsidRPr="009D06C9">
        <w:rPr>
          <w:lang w:val="es-ES_tradnl"/>
        </w:rPr>
        <w:lastRenderedPageBreak/>
        <w:t>CUADRO A1.4</w:t>
      </w:r>
    </w:p>
    <w:p w:rsidR="00A87E27" w:rsidRPr="009D06C9" w:rsidRDefault="00A87E27" w:rsidP="00A87E27">
      <w:pPr>
        <w:pStyle w:val="Tabletitle"/>
        <w:rPr>
          <w:lang w:val="es-ES_tradnl"/>
        </w:rPr>
      </w:pPr>
      <w:r w:rsidRPr="009D06C9">
        <w:rPr>
          <w:lang w:val="es-ES_tradnl"/>
        </w:rPr>
        <w:t>Características técnicas y operacionales de la norma IEEE 802.20 625k-MC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28"/>
        <w:gridCol w:w="6009"/>
      </w:tblGrid>
      <w:tr w:rsidR="00A87E27" w:rsidRPr="009D06C9" w:rsidTr="00090ED8">
        <w:trPr>
          <w:cantSplit/>
          <w:jc w:val="center"/>
        </w:trPr>
        <w:tc>
          <w:tcPr>
            <w:tcW w:w="3628" w:type="dxa"/>
          </w:tcPr>
          <w:p w:rsidR="00A87E27" w:rsidRPr="009D06C9" w:rsidRDefault="00A87E27" w:rsidP="00090ED8">
            <w:pPr>
              <w:pStyle w:val="Tablehead"/>
              <w:rPr>
                <w:lang w:val="es-ES_tradnl"/>
              </w:rPr>
            </w:pPr>
            <w:r w:rsidRPr="009D06C9">
              <w:rPr>
                <w:lang w:val="es-ES_tradnl"/>
              </w:rPr>
              <w:t>Ítem</w:t>
            </w:r>
          </w:p>
        </w:tc>
        <w:tc>
          <w:tcPr>
            <w:tcW w:w="6009" w:type="dxa"/>
          </w:tcPr>
          <w:p w:rsidR="00A87E27" w:rsidRPr="009D06C9" w:rsidRDefault="00A87E27" w:rsidP="00090ED8">
            <w:pPr>
              <w:pStyle w:val="Tablehead"/>
              <w:rPr>
                <w:lang w:val="es-ES_tradnl"/>
              </w:rPr>
            </w:pPr>
            <w:r w:rsidRPr="009D06C9">
              <w:rPr>
                <w:lang w:val="es-ES_tradnl"/>
              </w:rPr>
              <w:t>Valor</w:t>
            </w:r>
          </w:p>
        </w:tc>
      </w:tr>
      <w:tr w:rsidR="00A87E27" w:rsidRPr="00D30DBF"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Bandas de frecuencias soportadas (con o sin licencia)</w:t>
            </w:r>
          </w:p>
        </w:tc>
        <w:tc>
          <w:tcPr>
            <w:tcW w:w="6009" w:type="dxa"/>
          </w:tcPr>
          <w:p w:rsidR="00A87E27" w:rsidRPr="009D06C9" w:rsidRDefault="00A87E27" w:rsidP="00090ED8">
            <w:pPr>
              <w:pStyle w:val="Tabletext"/>
              <w:jc w:val="left"/>
              <w:rPr>
                <w:lang w:val="es-ES_tradnl"/>
              </w:rPr>
            </w:pPr>
            <w:r w:rsidRPr="009D06C9">
              <w:rPr>
                <w:lang w:val="es-ES_tradnl"/>
              </w:rPr>
              <w:t>Bandas con licencia por debajo de 3,5 GHz</w:t>
            </w:r>
          </w:p>
        </w:tc>
      </w:tr>
      <w:tr w:rsidR="00A87E27" w:rsidRPr="009D06C9"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Gama de funcionamiento nominal</w:t>
            </w:r>
          </w:p>
        </w:tc>
        <w:tc>
          <w:tcPr>
            <w:tcW w:w="6009" w:type="dxa"/>
          </w:tcPr>
          <w:p w:rsidR="00A87E27" w:rsidRPr="009D06C9" w:rsidRDefault="00A87E27" w:rsidP="00090ED8">
            <w:pPr>
              <w:pStyle w:val="Tabletext"/>
              <w:jc w:val="left"/>
              <w:rPr>
                <w:lang w:val="es-ES_tradnl"/>
              </w:rPr>
            </w:pPr>
            <w:r w:rsidRPr="009D06C9">
              <w:rPr>
                <w:lang w:val="es-ES_tradnl"/>
              </w:rPr>
              <w:t>12,7 km (máx.)</w:t>
            </w:r>
          </w:p>
        </w:tc>
      </w:tr>
      <w:tr w:rsidR="00A87E27" w:rsidRPr="009D06C9"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 xml:space="preserve">Capacidades de movilidad (nómada/móvil) </w:t>
            </w:r>
          </w:p>
        </w:tc>
        <w:tc>
          <w:tcPr>
            <w:tcW w:w="6009" w:type="dxa"/>
          </w:tcPr>
          <w:p w:rsidR="00A87E27" w:rsidRPr="009D06C9" w:rsidRDefault="00A87E27" w:rsidP="00090ED8">
            <w:pPr>
              <w:pStyle w:val="Tabletext"/>
              <w:jc w:val="left"/>
              <w:rPr>
                <w:lang w:val="es-ES_tradnl"/>
              </w:rPr>
            </w:pPr>
            <w:r w:rsidRPr="009D06C9">
              <w:rPr>
                <w:lang w:val="es-ES_tradnl"/>
              </w:rPr>
              <w:t>Móvil</w:t>
            </w:r>
          </w:p>
        </w:tc>
      </w:tr>
      <w:tr w:rsidR="00A87E27" w:rsidRPr="00D30DBF"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Velocidad de datos de cresta (enlace ascendente/descendente si es diferente)</w:t>
            </w:r>
          </w:p>
        </w:tc>
        <w:tc>
          <w:tcPr>
            <w:tcW w:w="6009" w:type="dxa"/>
          </w:tcPr>
          <w:p w:rsidR="00A87E27" w:rsidRPr="009D06C9" w:rsidRDefault="00A87E27" w:rsidP="00090ED8">
            <w:pPr>
              <w:pStyle w:val="Tabletext"/>
              <w:jc w:val="left"/>
              <w:rPr>
                <w:lang w:val="es-ES_tradnl"/>
              </w:rPr>
            </w:pPr>
            <w:r w:rsidRPr="009D06C9">
              <w:rPr>
                <w:lang w:val="es-ES_tradnl"/>
              </w:rPr>
              <w:t>Velocidades de cresta de datos de usuario de enlace descendente de 1 493 Mbit/s y velocidades de cresta de datos de usuario de enlace ascendente de 571 Kbps en un ancho de banda de portadora de 625 kHz.</w:t>
            </w:r>
          </w:p>
        </w:tc>
      </w:tr>
      <w:tr w:rsidR="00A87E27" w:rsidRPr="009D06C9"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Método dúplex (FDD, TDD, etc.)</w:t>
            </w:r>
          </w:p>
        </w:tc>
        <w:tc>
          <w:tcPr>
            <w:tcW w:w="6009" w:type="dxa"/>
          </w:tcPr>
          <w:p w:rsidR="00A87E27" w:rsidRPr="009D06C9" w:rsidRDefault="00A87E27" w:rsidP="00090ED8">
            <w:pPr>
              <w:pStyle w:val="Tabletext"/>
              <w:jc w:val="left"/>
              <w:rPr>
                <w:lang w:val="es-ES_tradnl"/>
              </w:rPr>
            </w:pPr>
            <w:r w:rsidRPr="009D06C9">
              <w:rPr>
                <w:lang w:val="es-ES_tradnl"/>
              </w:rPr>
              <w:t>TDD</w:t>
            </w:r>
          </w:p>
        </w:tc>
      </w:tr>
      <w:tr w:rsidR="00A87E27" w:rsidRPr="00D30DBF"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Ancho de banda RF nominal</w:t>
            </w:r>
          </w:p>
        </w:tc>
        <w:tc>
          <w:tcPr>
            <w:tcW w:w="6009" w:type="dxa"/>
          </w:tcPr>
          <w:p w:rsidR="00A87E27" w:rsidRPr="009D06C9" w:rsidRDefault="00A87E27" w:rsidP="00090ED8">
            <w:pPr>
              <w:pStyle w:val="Tabletext"/>
              <w:jc w:val="left"/>
              <w:rPr>
                <w:lang w:val="es-ES_tradnl"/>
              </w:rPr>
            </w:pPr>
            <w:r w:rsidRPr="009D06C9">
              <w:rPr>
                <w:lang w:val="es-ES_tradnl"/>
              </w:rPr>
              <w:t>2,5 MHz (acomoda cuatro portadoras separadas 625 kHz), 5 MHz (acomoda ocho portadoras separadas 625 kHz)</w:t>
            </w:r>
          </w:p>
        </w:tc>
      </w:tr>
      <w:tr w:rsidR="00A87E27" w:rsidRPr="00D30DBF"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Velocidad de modulación/codificación – ascendente y descendente</w:t>
            </w:r>
          </w:p>
        </w:tc>
        <w:tc>
          <w:tcPr>
            <w:tcW w:w="6009" w:type="dxa"/>
          </w:tcPr>
          <w:p w:rsidR="00A87E27" w:rsidRPr="009D06C9" w:rsidRDefault="00A87E27" w:rsidP="00090ED8">
            <w:pPr>
              <w:pStyle w:val="Tabletext"/>
              <w:jc w:val="left"/>
              <w:rPr>
                <w:lang w:val="es-ES_tradnl"/>
              </w:rPr>
            </w:pPr>
            <w:r w:rsidRPr="009D06C9">
              <w:rPr>
                <w:lang w:val="es-ES_tradnl"/>
              </w:rPr>
              <w:t>Modulación y codificación adaptativas, BPSK, QPSK, 8-PSK, 12</w:t>
            </w:r>
            <w:r w:rsidRPr="009D06C9">
              <w:rPr>
                <w:lang w:val="es-ES_tradnl"/>
              </w:rPr>
              <w:noBreakHyphen/>
              <w:t>PSK, 16QAM, 24QAM, 32QAM y 64QAM</w:t>
            </w:r>
          </w:p>
        </w:tc>
      </w:tr>
      <w:tr w:rsidR="00A87E27" w:rsidRPr="009D06C9"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 xml:space="preserve">Técnicas de diversidad </w:t>
            </w:r>
          </w:p>
        </w:tc>
        <w:tc>
          <w:tcPr>
            <w:tcW w:w="6009" w:type="dxa"/>
          </w:tcPr>
          <w:p w:rsidR="00A87E27" w:rsidRPr="009D06C9" w:rsidRDefault="00A87E27" w:rsidP="00090ED8">
            <w:pPr>
              <w:pStyle w:val="Tabletext"/>
              <w:jc w:val="left"/>
              <w:rPr>
                <w:lang w:val="es-ES_tradnl"/>
              </w:rPr>
            </w:pPr>
            <w:r w:rsidRPr="009D06C9">
              <w:rPr>
                <w:lang w:val="es-ES_tradnl"/>
              </w:rPr>
              <w:t>Diversidad espacial</w:t>
            </w:r>
          </w:p>
        </w:tc>
      </w:tr>
      <w:tr w:rsidR="00A87E27" w:rsidRPr="009D06C9"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Soporte para MIMO (sí/no)</w:t>
            </w:r>
          </w:p>
        </w:tc>
        <w:tc>
          <w:tcPr>
            <w:tcW w:w="6009" w:type="dxa"/>
          </w:tcPr>
          <w:p w:rsidR="00A87E27" w:rsidRPr="009D06C9" w:rsidRDefault="00A87E27" w:rsidP="00090ED8">
            <w:pPr>
              <w:pStyle w:val="Tabletext"/>
              <w:jc w:val="left"/>
              <w:rPr>
                <w:lang w:val="es-ES_tradnl"/>
              </w:rPr>
            </w:pPr>
            <w:r w:rsidRPr="009D06C9">
              <w:rPr>
                <w:lang w:val="es-ES_tradnl"/>
              </w:rPr>
              <w:t>Sí</w:t>
            </w:r>
          </w:p>
        </w:tc>
      </w:tr>
      <w:tr w:rsidR="00A87E27" w:rsidRPr="00D30DBF"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Orientación/conformación de haz</w:t>
            </w:r>
          </w:p>
        </w:tc>
        <w:tc>
          <w:tcPr>
            <w:tcW w:w="6009" w:type="dxa"/>
          </w:tcPr>
          <w:p w:rsidR="00A87E27" w:rsidRPr="009D06C9" w:rsidRDefault="00A87E27" w:rsidP="00090ED8">
            <w:pPr>
              <w:pStyle w:val="Tabletext"/>
              <w:jc w:val="left"/>
              <w:rPr>
                <w:lang w:val="es-ES_tradnl"/>
              </w:rPr>
            </w:pPr>
            <w:r w:rsidRPr="009D06C9">
              <w:rPr>
                <w:lang w:val="es-ES_tradnl"/>
              </w:rPr>
              <w:t>Selectividad de canal espacial y procesamiento adaptativo</w:t>
            </w:r>
          </w:p>
        </w:tc>
      </w:tr>
      <w:tr w:rsidR="00A87E27" w:rsidRPr="009D06C9"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Retransmisión</w:t>
            </w:r>
          </w:p>
        </w:tc>
        <w:tc>
          <w:tcPr>
            <w:tcW w:w="6009" w:type="dxa"/>
          </w:tcPr>
          <w:p w:rsidR="00A87E27" w:rsidRPr="009D06C9" w:rsidRDefault="00A87E27" w:rsidP="00090ED8">
            <w:pPr>
              <w:pStyle w:val="Tabletext"/>
              <w:jc w:val="left"/>
              <w:rPr>
                <w:lang w:val="es-ES_tradnl"/>
              </w:rPr>
            </w:pPr>
            <w:r w:rsidRPr="009D06C9">
              <w:rPr>
                <w:lang w:val="es-ES_tradnl"/>
              </w:rPr>
              <w:t>ARQ rápida</w:t>
            </w:r>
          </w:p>
        </w:tc>
      </w:tr>
      <w:tr w:rsidR="00A87E27" w:rsidRPr="00D30DBF"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Corrección de errores en recepción</w:t>
            </w:r>
          </w:p>
        </w:tc>
        <w:tc>
          <w:tcPr>
            <w:tcW w:w="6009" w:type="dxa"/>
          </w:tcPr>
          <w:p w:rsidR="00A87E27" w:rsidRPr="009D06C9" w:rsidRDefault="00A87E27" w:rsidP="00090ED8">
            <w:pPr>
              <w:pStyle w:val="Tabletext"/>
              <w:jc w:val="left"/>
              <w:rPr>
                <w:lang w:val="es-ES_tradnl"/>
              </w:rPr>
            </w:pPr>
            <w:r w:rsidRPr="009D06C9">
              <w:rPr>
                <w:lang w:val="es-ES_tradnl"/>
              </w:rPr>
              <w:t>Bloqueo y codificación convolucional/decodificación Viterbi</w:t>
            </w:r>
          </w:p>
        </w:tc>
      </w:tr>
      <w:tr w:rsidR="00A87E27" w:rsidRPr="00D30DBF"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Gestión de interferencias</w:t>
            </w:r>
          </w:p>
        </w:tc>
        <w:tc>
          <w:tcPr>
            <w:tcW w:w="6009" w:type="dxa"/>
          </w:tcPr>
          <w:p w:rsidR="00A87E27" w:rsidRPr="009D06C9" w:rsidRDefault="00A87E27" w:rsidP="00090ED8">
            <w:pPr>
              <w:pStyle w:val="Tabletext"/>
              <w:jc w:val="left"/>
              <w:rPr>
                <w:lang w:val="es-ES_tradnl"/>
              </w:rPr>
            </w:pPr>
            <w:r w:rsidRPr="009D06C9">
              <w:rPr>
                <w:lang w:val="es-ES_tradnl"/>
              </w:rPr>
              <w:t>Procesamiento adaptativo de señal de antena</w:t>
            </w:r>
          </w:p>
        </w:tc>
      </w:tr>
      <w:tr w:rsidR="00A87E27" w:rsidRPr="00D30DBF"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Gestión de potencia</w:t>
            </w:r>
          </w:p>
        </w:tc>
        <w:tc>
          <w:tcPr>
            <w:tcW w:w="6009" w:type="dxa"/>
          </w:tcPr>
          <w:p w:rsidR="00A87E27" w:rsidRPr="009D06C9" w:rsidRDefault="00A87E27" w:rsidP="00090ED8">
            <w:pPr>
              <w:pStyle w:val="Tabletext"/>
              <w:jc w:val="left"/>
              <w:rPr>
                <w:lang w:val="es-ES_tradnl"/>
              </w:rPr>
            </w:pPr>
            <w:r w:rsidRPr="009D06C9">
              <w:rPr>
                <w:lang w:val="es-ES_tradnl"/>
              </w:rPr>
              <w:t>Sistema adaptativo de control de potencia (bucle abierto y cerrado). El control de potencia mejorará la capacidad de la red y reducirá el consumo de potencia en los enlaces ascendente y descendente</w:t>
            </w:r>
          </w:p>
        </w:tc>
      </w:tr>
      <w:tr w:rsidR="00A87E27" w:rsidRPr="009D06C9"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Topología de conexión</w:t>
            </w:r>
          </w:p>
        </w:tc>
        <w:tc>
          <w:tcPr>
            <w:tcW w:w="6009" w:type="dxa"/>
          </w:tcPr>
          <w:p w:rsidR="00A87E27" w:rsidRPr="009D06C9" w:rsidRDefault="00A87E27" w:rsidP="00090ED8">
            <w:pPr>
              <w:pStyle w:val="Tabletext"/>
              <w:jc w:val="left"/>
              <w:rPr>
                <w:lang w:val="es-ES_tradnl"/>
              </w:rPr>
            </w:pPr>
            <w:r w:rsidRPr="009D06C9">
              <w:rPr>
                <w:lang w:val="es-ES_tradnl"/>
              </w:rPr>
              <w:t>Punto a multipunto</w:t>
            </w:r>
          </w:p>
        </w:tc>
      </w:tr>
      <w:tr w:rsidR="00A87E27" w:rsidRPr="009D06C9"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Métodos de acceso a medios</w:t>
            </w:r>
          </w:p>
        </w:tc>
        <w:tc>
          <w:tcPr>
            <w:tcW w:w="6009" w:type="dxa"/>
          </w:tcPr>
          <w:p w:rsidR="00A87E27" w:rsidRPr="009D06C9" w:rsidRDefault="00A87E27" w:rsidP="00090ED8">
            <w:pPr>
              <w:pStyle w:val="Tabletext"/>
              <w:jc w:val="left"/>
              <w:rPr>
                <w:lang w:val="es-ES_tradnl"/>
              </w:rPr>
            </w:pPr>
            <w:r w:rsidRPr="009D06C9">
              <w:rPr>
                <w:lang w:val="es-ES_tradnl"/>
              </w:rPr>
              <w:t>Acceso aleatorio, TDMA-TDD</w:t>
            </w:r>
          </w:p>
        </w:tc>
      </w:tr>
      <w:tr w:rsidR="00A87E27" w:rsidRPr="009D06C9"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Múltiples métodos de acceso</w:t>
            </w:r>
          </w:p>
        </w:tc>
        <w:tc>
          <w:tcPr>
            <w:tcW w:w="6009" w:type="dxa"/>
          </w:tcPr>
          <w:p w:rsidR="00A87E27" w:rsidRPr="009D06C9" w:rsidRDefault="00A87E27" w:rsidP="00090ED8">
            <w:pPr>
              <w:pStyle w:val="Tabletext"/>
              <w:jc w:val="left"/>
              <w:rPr>
                <w:lang w:val="es-ES_tradnl"/>
              </w:rPr>
            </w:pPr>
            <w:r w:rsidRPr="009D06C9">
              <w:rPr>
                <w:lang w:val="es-ES_tradnl"/>
              </w:rPr>
              <w:t>FDMA-TDMA-SDMA</w:t>
            </w:r>
          </w:p>
        </w:tc>
      </w:tr>
      <w:tr w:rsidR="00A87E27" w:rsidRPr="00D30DBF"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Método de descubrimiento y asociación</w:t>
            </w:r>
          </w:p>
        </w:tc>
        <w:tc>
          <w:tcPr>
            <w:tcW w:w="6009" w:type="dxa"/>
          </w:tcPr>
          <w:p w:rsidR="00A87E27" w:rsidRPr="009D06C9" w:rsidRDefault="00A87E27" w:rsidP="00090ED8">
            <w:pPr>
              <w:pStyle w:val="Tabletext"/>
              <w:jc w:val="left"/>
              <w:rPr>
                <w:lang w:val="es-ES_tradnl"/>
              </w:rPr>
            </w:pPr>
            <w:r w:rsidRPr="009D06C9">
              <w:rPr>
                <w:lang w:val="es-ES_tradnl"/>
              </w:rPr>
              <w:t>Por autenticación mutua BS-UT</w:t>
            </w:r>
          </w:p>
        </w:tc>
      </w:tr>
      <w:tr w:rsidR="00A87E27" w:rsidRPr="00D30DBF"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Métodos QoS</w:t>
            </w:r>
          </w:p>
        </w:tc>
        <w:tc>
          <w:tcPr>
            <w:tcW w:w="6009" w:type="dxa"/>
          </w:tcPr>
          <w:p w:rsidR="00A87E27" w:rsidRPr="009D06C9" w:rsidRDefault="00A87E27" w:rsidP="00090ED8">
            <w:pPr>
              <w:pStyle w:val="Tabletext"/>
              <w:ind w:right="-57"/>
              <w:jc w:val="left"/>
              <w:rPr>
                <w:lang w:val="es-ES_tradnl"/>
              </w:rPr>
            </w:pPr>
            <w:r w:rsidRPr="009D06C9">
              <w:rPr>
                <w:lang w:val="es-ES_tradnl"/>
              </w:rPr>
              <w:t>El modo 625k-MC define las tres clases de QoS que implementan el modelo Diffserv del IETF: reenvío acelerado (EF), reenvío asegurado (AF) y encaminamiento sin garantías (BE). Comportamientos por salto basados en los puntos de código Diffserv (DSCP)</w:t>
            </w:r>
          </w:p>
        </w:tc>
      </w:tr>
      <w:tr w:rsidR="00A87E27" w:rsidRPr="009D06C9"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Conocimiento de la ubicación</w:t>
            </w:r>
          </w:p>
        </w:tc>
        <w:tc>
          <w:tcPr>
            <w:tcW w:w="6009" w:type="dxa"/>
          </w:tcPr>
          <w:p w:rsidR="00A87E27" w:rsidRPr="009D06C9" w:rsidRDefault="00A87E27" w:rsidP="00090ED8">
            <w:pPr>
              <w:pStyle w:val="Tabletext"/>
              <w:jc w:val="left"/>
              <w:rPr>
                <w:lang w:val="es-ES_tradnl"/>
              </w:rPr>
            </w:pPr>
            <w:r w:rsidRPr="009D06C9">
              <w:rPr>
                <w:lang w:val="es-ES_tradnl"/>
              </w:rPr>
              <w:t>Sí</w:t>
            </w:r>
          </w:p>
        </w:tc>
      </w:tr>
      <w:tr w:rsidR="00A87E27" w:rsidRPr="009D06C9"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Determinación de la distancia</w:t>
            </w:r>
          </w:p>
        </w:tc>
        <w:tc>
          <w:tcPr>
            <w:tcW w:w="6009" w:type="dxa"/>
          </w:tcPr>
          <w:p w:rsidR="00A87E27" w:rsidRPr="009D06C9" w:rsidRDefault="00A87E27" w:rsidP="00090ED8">
            <w:pPr>
              <w:pStyle w:val="Tabletext"/>
              <w:jc w:val="left"/>
              <w:rPr>
                <w:lang w:val="es-ES_tradnl"/>
              </w:rPr>
            </w:pPr>
            <w:r w:rsidRPr="009D06C9">
              <w:rPr>
                <w:lang w:val="es-ES_tradnl"/>
              </w:rPr>
              <w:t>Sí</w:t>
            </w:r>
          </w:p>
        </w:tc>
      </w:tr>
      <w:tr w:rsidR="00A87E27" w:rsidRPr="00D30DBF"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Criptación</w:t>
            </w:r>
          </w:p>
        </w:tc>
        <w:tc>
          <w:tcPr>
            <w:tcW w:w="6009" w:type="dxa"/>
          </w:tcPr>
          <w:p w:rsidR="00A87E27" w:rsidRPr="009D06C9" w:rsidRDefault="00A87E27" w:rsidP="00090ED8">
            <w:pPr>
              <w:pStyle w:val="Tabletext"/>
              <w:jc w:val="left"/>
              <w:rPr>
                <w:lang w:val="es-ES_tradnl"/>
              </w:rPr>
            </w:pPr>
            <w:r w:rsidRPr="009D06C9">
              <w:rPr>
                <w:lang w:val="es-ES_tradnl"/>
              </w:rPr>
              <w:t>Criptación de tren RC4 y AES</w:t>
            </w:r>
          </w:p>
        </w:tc>
      </w:tr>
      <w:tr w:rsidR="00A87E27" w:rsidRPr="00D30DBF"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Autenticación/protección contra reproducción</w:t>
            </w:r>
          </w:p>
        </w:tc>
        <w:tc>
          <w:tcPr>
            <w:tcW w:w="6009" w:type="dxa"/>
          </w:tcPr>
          <w:p w:rsidR="00A87E27" w:rsidRPr="009D06C9" w:rsidRDefault="00A87E27" w:rsidP="00090ED8">
            <w:pPr>
              <w:pStyle w:val="Tabletext"/>
              <w:jc w:val="left"/>
              <w:rPr>
                <w:lang w:val="es-ES_tradnl"/>
              </w:rPr>
            </w:pPr>
            <w:r w:rsidRPr="009D06C9">
              <w:rPr>
                <w:lang w:val="es-ES_tradnl"/>
              </w:rPr>
              <w:t>Autenticación BS y autenticación UT basadas en la utilización de certificados digitales firmados conforme a la norma ISO/CEI 9796 utilizando el algoritmo Rivest, Shamir and Adleman (RSA)</w:t>
            </w:r>
          </w:p>
        </w:tc>
      </w:tr>
      <w:tr w:rsidR="00A87E27" w:rsidRPr="00D30DBF" w:rsidTr="00090ED8">
        <w:trPr>
          <w:cantSplit/>
          <w:jc w:val="center"/>
        </w:trPr>
        <w:tc>
          <w:tcPr>
            <w:tcW w:w="3628" w:type="dxa"/>
          </w:tcPr>
          <w:p w:rsidR="00A87E27" w:rsidRPr="009D06C9" w:rsidRDefault="00A87E27" w:rsidP="00090ED8">
            <w:pPr>
              <w:pStyle w:val="Tabletext"/>
              <w:jc w:val="left"/>
              <w:rPr>
                <w:lang w:val="es-ES_tradnl"/>
              </w:rPr>
            </w:pPr>
            <w:r w:rsidRPr="009D06C9">
              <w:rPr>
                <w:lang w:val="es-ES_tradnl"/>
              </w:rPr>
              <w:t>Intercambio de claves</w:t>
            </w:r>
          </w:p>
        </w:tc>
        <w:tc>
          <w:tcPr>
            <w:tcW w:w="6009" w:type="dxa"/>
          </w:tcPr>
          <w:p w:rsidR="00A87E27" w:rsidRPr="009D06C9" w:rsidRDefault="00A87E27" w:rsidP="00090ED8">
            <w:pPr>
              <w:pStyle w:val="Tabletext"/>
              <w:jc w:val="left"/>
              <w:rPr>
                <w:lang w:val="es-ES_tradnl"/>
              </w:rPr>
            </w:pPr>
            <w:r w:rsidRPr="009D06C9">
              <w:rPr>
                <w:lang w:val="es-ES_tradnl"/>
              </w:rPr>
              <w:t>Criptografía de curva elíptica (utilizando las curvas K-163 y K</w:t>
            </w:r>
            <w:r w:rsidRPr="009D06C9">
              <w:rPr>
                <w:lang w:val="es-ES_tradnl"/>
              </w:rPr>
              <w:noBreakHyphen/>
              <w:t>233 en la norma FIPS-186-2)</w:t>
            </w:r>
          </w:p>
        </w:tc>
      </w:tr>
    </w:tbl>
    <w:p w:rsidR="00A87E27" w:rsidRPr="009D06C9" w:rsidRDefault="00A87E27" w:rsidP="00A87E27">
      <w:pPr>
        <w:pStyle w:val="TableNo"/>
        <w:rPr>
          <w:lang w:val="es-ES_tradnl"/>
        </w:rPr>
      </w:pPr>
      <w:r w:rsidRPr="009D06C9">
        <w:rPr>
          <w:lang w:val="es-ES_tradnl"/>
        </w:rPr>
        <w:lastRenderedPageBreak/>
        <w:t xml:space="preserve">CUADRO A1.4 </w:t>
      </w:r>
      <w:r w:rsidRPr="009D06C9">
        <w:rPr>
          <w:i/>
          <w:iCs/>
          <w:lang w:val="es-ES_tradnl"/>
        </w:rPr>
        <w:t>(</w:t>
      </w:r>
      <w:r w:rsidR="00C36F8A" w:rsidRPr="009D06C9">
        <w:rPr>
          <w:i/>
          <w:iCs/>
          <w:lang w:val="es-ES_tradnl"/>
        </w:rPr>
        <w:t>fin</w:t>
      </w:r>
      <w:r w:rsidRPr="009D06C9">
        <w:rPr>
          <w:i/>
          <w:iCs/>
          <w:lang w:val="es-ES_tradnl"/>
        </w:rPr>
        <w:t>)</w:t>
      </w:r>
    </w:p>
    <w:p w:rsidR="00A87E27" w:rsidRPr="009D06C9" w:rsidRDefault="00A87E27" w:rsidP="00A87E27">
      <w:pPr>
        <w:pStyle w:val="Tabletitle"/>
        <w:rPr>
          <w:lang w:val="es-ES_tradnl"/>
        </w:rPr>
      </w:pPr>
      <w:r w:rsidRPr="009D06C9">
        <w:rPr>
          <w:lang w:val="es-ES_tradnl"/>
        </w:rPr>
        <w:t>Características técnicas y operacionales de la norma IEEE 802.20 625k-MC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85"/>
        <w:gridCol w:w="5953"/>
      </w:tblGrid>
      <w:tr w:rsidR="00A87E27" w:rsidRPr="009D06C9" w:rsidTr="00090ED8">
        <w:trPr>
          <w:cantSplit/>
          <w:tblHeader/>
          <w:jc w:val="center"/>
        </w:trPr>
        <w:tc>
          <w:tcPr>
            <w:tcW w:w="3685" w:type="dxa"/>
          </w:tcPr>
          <w:p w:rsidR="00A87E27" w:rsidRPr="009D06C9" w:rsidRDefault="00A87E27" w:rsidP="00090ED8">
            <w:pPr>
              <w:pStyle w:val="Tablehead"/>
              <w:rPr>
                <w:lang w:val="es-ES_tradnl"/>
              </w:rPr>
            </w:pPr>
            <w:r w:rsidRPr="009D06C9">
              <w:rPr>
                <w:lang w:val="es-ES_tradnl"/>
              </w:rPr>
              <w:t>Ítem</w:t>
            </w:r>
          </w:p>
        </w:tc>
        <w:tc>
          <w:tcPr>
            <w:tcW w:w="5953" w:type="dxa"/>
          </w:tcPr>
          <w:p w:rsidR="00A87E27" w:rsidRPr="009D06C9" w:rsidRDefault="00A87E27" w:rsidP="00090ED8">
            <w:pPr>
              <w:pStyle w:val="Tablehead"/>
              <w:rPr>
                <w:lang w:val="es-ES_tradnl"/>
              </w:rPr>
            </w:pPr>
            <w:r w:rsidRPr="009D06C9">
              <w:rPr>
                <w:lang w:val="es-ES_tradnl"/>
              </w:rPr>
              <w:t>Valor</w:t>
            </w:r>
          </w:p>
        </w:tc>
      </w:tr>
      <w:tr w:rsidR="00A87E27" w:rsidRPr="009D06C9" w:rsidTr="00090ED8">
        <w:trPr>
          <w:cantSplit/>
          <w:jc w:val="center"/>
        </w:trPr>
        <w:tc>
          <w:tcPr>
            <w:tcW w:w="3685" w:type="dxa"/>
          </w:tcPr>
          <w:p w:rsidR="00A87E27" w:rsidRPr="009D06C9" w:rsidRDefault="00A87E27" w:rsidP="00090ED8">
            <w:pPr>
              <w:pStyle w:val="Tabletext"/>
              <w:jc w:val="left"/>
              <w:rPr>
                <w:lang w:val="es-ES_tradnl"/>
              </w:rPr>
            </w:pPr>
            <w:r w:rsidRPr="009D06C9">
              <w:rPr>
                <w:lang w:val="es-ES_tradnl"/>
              </w:rPr>
              <w:t>Detección de nodos falseados</w:t>
            </w:r>
          </w:p>
        </w:tc>
        <w:tc>
          <w:tcPr>
            <w:tcW w:w="5953" w:type="dxa"/>
          </w:tcPr>
          <w:p w:rsidR="00A87E27" w:rsidRPr="009D06C9" w:rsidRDefault="00A87E27" w:rsidP="00090ED8">
            <w:pPr>
              <w:pStyle w:val="Tabletext"/>
              <w:jc w:val="left"/>
              <w:rPr>
                <w:lang w:val="es-ES_tradnl"/>
              </w:rPr>
            </w:pPr>
            <w:r w:rsidRPr="009D06C9">
              <w:rPr>
                <w:lang w:val="es-ES_tradnl"/>
              </w:rPr>
              <w:t>Protegido contra nodos fraudulentos</w:t>
            </w:r>
          </w:p>
        </w:tc>
      </w:tr>
      <w:tr w:rsidR="00A87E27" w:rsidRPr="009D06C9" w:rsidTr="00090ED8">
        <w:trPr>
          <w:cantSplit/>
          <w:jc w:val="center"/>
        </w:trPr>
        <w:tc>
          <w:tcPr>
            <w:tcW w:w="3685" w:type="dxa"/>
          </w:tcPr>
          <w:p w:rsidR="00A87E27" w:rsidRPr="009D06C9" w:rsidRDefault="00A87E27" w:rsidP="00090ED8">
            <w:pPr>
              <w:pStyle w:val="Tabletext"/>
              <w:jc w:val="left"/>
              <w:rPr>
                <w:lang w:val="es-ES_tradnl"/>
              </w:rPr>
            </w:pPr>
            <w:r w:rsidRPr="009D06C9">
              <w:rPr>
                <w:lang w:val="es-ES_tradnl"/>
              </w:rPr>
              <w:t xml:space="preserve">Identificación unívoca de dispositivo </w:t>
            </w:r>
          </w:p>
        </w:tc>
        <w:tc>
          <w:tcPr>
            <w:tcW w:w="5953" w:type="dxa"/>
          </w:tcPr>
          <w:p w:rsidR="00A87E27" w:rsidRPr="009D06C9" w:rsidRDefault="00A87E27" w:rsidP="00090ED8">
            <w:pPr>
              <w:pStyle w:val="Tabletext"/>
              <w:jc w:val="left"/>
              <w:rPr>
                <w:lang w:val="es-ES_tradnl"/>
              </w:rPr>
            </w:pPr>
            <w:r w:rsidRPr="009D06C9">
              <w:rPr>
                <w:lang w:val="es-ES_tradnl"/>
              </w:rPr>
              <w:t>Sí</w:t>
            </w:r>
          </w:p>
        </w:tc>
      </w:tr>
    </w:tbl>
    <w:p w:rsidR="00A87E27" w:rsidRPr="009D06C9" w:rsidRDefault="00A87E27" w:rsidP="00A87E27">
      <w:pPr>
        <w:pStyle w:val="Tablefin"/>
        <w:rPr>
          <w:lang w:val="es-ES_tradnl"/>
        </w:rPr>
      </w:pPr>
    </w:p>
    <w:p w:rsidR="00A87E27" w:rsidRPr="009D06C9" w:rsidRDefault="00A87E27" w:rsidP="00A87E27">
      <w:pPr>
        <w:pStyle w:val="TableNo"/>
        <w:rPr>
          <w:lang w:val="es-ES_tradnl"/>
        </w:rPr>
      </w:pPr>
      <w:r w:rsidRPr="009D06C9">
        <w:rPr>
          <w:lang w:val="es-ES_tradnl"/>
        </w:rPr>
        <w:t>CUADRO A1.5</w:t>
      </w:r>
    </w:p>
    <w:p w:rsidR="00A87E27" w:rsidRPr="009D06C9" w:rsidRDefault="00A87E27" w:rsidP="00A87E27">
      <w:pPr>
        <w:pStyle w:val="Tabletitle"/>
        <w:rPr>
          <w:lang w:val="es-ES_tradnl"/>
        </w:rPr>
      </w:pPr>
      <w:r w:rsidRPr="009D06C9">
        <w:rPr>
          <w:lang w:val="es-ES_tradnl"/>
        </w:rPr>
        <w:t>Características técnicas y operacionales de la norma IEEE 802.22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6"/>
        <w:gridCol w:w="5833"/>
      </w:tblGrid>
      <w:tr w:rsidR="00A87E27" w:rsidRPr="009D06C9" w:rsidTr="00090ED8">
        <w:trPr>
          <w:cantSplit/>
          <w:tblHeader/>
          <w:jc w:val="center"/>
        </w:trPr>
        <w:tc>
          <w:tcPr>
            <w:tcW w:w="3798" w:type="dxa"/>
          </w:tcPr>
          <w:p w:rsidR="00A87E27" w:rsidRPr="009D06C9" w:rsidRDefault="00A87E27" w:rsidP="00090ED8">
            <w:pPr>
              <w:pStyle w:val="Tablehead"/>
              <w:rPr>
                <w:lang w:val="es-ES_tradnl"/>
              </w:rPr>
            </w:pPr>
            <w:r w:rsidRPr="009D06C9">
              <w:rPr>
                <w:lang w:val="es-ES_tradnl"/>
              </w:rPr>
              <w:t>Ítem</w:t>
            </w:r>
          </w:p>
        </w:tc>
        <w:tc>
          <w:tcPr>
            <w:tcW w:w="5839" w:type="dxa"/>
          </w:tcPr>
          <w:p w:rsidR="00A87E27" w:rsidRPr="009D06C9" w:rsidRDefault="00A87E27" w:rsidP="00090ED8">
            <w:pPr>
              <w:pStyle w:val="Tablehead"/>
              <w:rPr>
                <w:lang w:val="es-ES_tradnl"/>
              </w:rPr>
            </w:pPr>
            <w:r w:rsidRPr="009D06C9">
              <w:rPr>
                <w:lang w:val="es-ES_tradnl"/>
              </w:rPr>
              <w:t>Valor</w:t>
            </w:r>
          </w:p>
        </w:tc>
      </w:tr>
      <w:tr w:rsidR="00A87E27" w:rsidRPr="009D06C9"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Bandas de frecuencias soportadas (con o sin licencia)</w:t>
            </w:r>
          </w:p>
        </w:tc>
        <w:tc>
          <w:tcPr>
            <w:tcW w:w="5839" w:type="dxa"/>
          </w:tcPr>
          <w:p w:rsidR="00A87E27" w:rsidRPr="009D06C9" w:rsidRDefault="00A87E27" w:rsidP="00090ED8">
            <w:pPr>
              <w:pStyle w:val="Tabletext"/>
              <w:jc w:val="left"/>
              <w:rPr>
                <w:lang w:val="es-ES_tradnl"/>
              </w:rPr>
            </w:pPr>
            <w:r w:rsidRPr="009D06C9">
              <w:rPr>
                <w:lang w:val="es-ES_tradnl"/>
              </w:rPr>
              <w:t>54-862 MHz</w:t>
            </w:r>
          </w:p>
        </w:tc>
      </w:tr>
      <w:tr w:rsidR="00A87E27" w:rsidRPr="00D30DBF"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Gama de funcionamiento nominal</w:t>
            </w:r>
          </w:p>
        </w:tc>
        <w:tc>
          <w:tcPr>
            <w:tcW w:w="5839" w:type="dxa"/>
          </w:tcPr>
          <w:p w:rsidR="00A87E27" w:rsidRPr="009D06C9" w:rsidRDefault="00A87E27" w:rsidP="00090ED8">
            <w:pPr>
              <w:pStyle w:val="Tabletext"/>
              <w:jc w:val="left"/>
              <w:rPr>
                <w:lang w:val="es-ES_tradnl"/>
              </w:rPr>
            </w:pPr>
            <w:r w:rsidRPr="009D06C9">
              <w:rPr>
                <w:lang w:val="es-ES_tradnl"/>
              </w:rPr>
              <w:t>Optimizada para un alcance de hasta 30 km en entornos típicos punto a multipunto (PMP), funcional hasta 100 km</w:t>
            </w:r>
          </w:p>
        </w:tc>
      </w:tr>
      <w:tr w:rsidR="00A87E27" w:rsidRPr="009D06C9"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 xml:space="preserve">Capacidades de movilidad (nómada/móvil) </w:t>
            </w:r>
          </w:p>
        </w:tc>
        <w:tc>
          <w:tcPr>
            <w:tcW w:w="5839" w:type="dxa"/>
          </w:tcPr>
          <w:p w:rsidR="00A87E27" w:rsidRPr="009D06C9" w:rsidRDefault="00A87E27" w:rsidP="00090ED8">
            <w:pPr>
              <w:pStyle w:val="Tabletext"/>
              <w:jc w:val="left"/>
              <w:rPr>
                <w:lang w:val="es-ES_tradnl"/>
              </w:rPr>
            </w:pPr>
            <w:r w:rsidRPr="009D06C9">
              <w:rPr>
                <w:lang w:val="es-ES_tradnl"/>
              </w:rPr>
              <w:t>Nómada y móvil</w:t>
            </w:r>
          </w:p>
        </w:tc>
      </w:tr>
      <w:tr w:rsidR="00A87E27" w:rsidRPr="00D30DBF"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Velocidad de datos de cresta (enlace ascendente/descendente si es diferente)</w:t>
            </w:r>
          </w:p>
        </w:tc>
        <w:tc>
          <w:tcPr>
            <w:tcW w:w="5839" w:type="dxa"/>
          </w:tcPr>
          <w:p w:rsidR="00A87E27" w:rsidRPr="00A61321" w:rsidRDefault="00A87E27" w:rsidP="00090ED8">
            <w:pPr>
              <w:pStyle w:val="Tabletext"/>
              <w:jc w:val="left"/>
              <w:rPr>
                <w:lang w:val="en-US"/>
              </w:rPr>
            </w:pPr>
            <w:r w:rsidRPr="00A61321">
              <w:rPr>
                <w:lang w:val="en-US"/>
              </w:rPr>
              <w:t>22-29 Mb/s, superior a 40 Mb/s con MIMO</w:t>
            </w:r>
          </w:p>
        </w:tc>
      </w:tr>
      <w:tr w:rsidR="00A87E27" w:rsidRPr="009D06C9"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Método dúplex (FDD, TDD, etc.)</w:t>
            </w:r>
          </w:p>
        </w:tc>
        <w:tc>
          <w:tcPr>
            <w:tcW w:w="5839" w:type="dxa"/>
          </w:tcPr>
          <w:p w:rsidR="00A87E27" w:rsidRPr="009D06C9" w:rsidRDefault="00A87E27" w:rsidP="00090ED8">
            <w:pPr>
              <w:pStyle w:val="Tabletext"/>
              <w:jc w:val="left"/>
              <w:rPr>
                <w:lang w:val="es-ES_tradnl"/>
              </w:rPr>
            </w:pPr>
            <w:r w:rsidRPr="009D06C9">
              <w:rPr>
                <w:lang w:val="es-ES_tradnl"/>
              </w:rPr>
              <w:t>TDD</w:t>
            </w:r>
          </w:p>
        </w:tc>
      </w:tr>
      <w:tr w:rsidR="00A87E27" w:rsidRPr="009D06C9"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Ancho de banda RF nominal</w:t>
            </w:r>
          </w:p>
        </w:tc>
        <w:tc>
          <w:tcPr>
            <w:tcW w:w="5839" w:type="dxa"/>
          </w:tcPr>
          <w:p w:rsidR="00A87E27" w:rsidRPr="009D06C9" w:rsidRDefault="00A87E27" w:rsidP="00090ED8">
            <w:pPr>
              <w:pStyle w:val="Tabletext"/>
              <w:jc w:val="left"/>
              <w:rPr>
                <w:lang w:val="es-ES_tradnl"/>
              </w:rPr>
            </w:pPr>
            <w:r w:rsidRPr="009D06C9">
              <w:rPr>
                <w:lang w:val="es-ES_tradnl"/>
              </w:rPr>
              <w:t>6, 7 u 8 MHz</w:t>
            </w:r>
          </w:p>
        </w:tc>
      </w:tr>
      <w:tr w:rsidR="00A87E27" w:rsidRPr="00D30DBF"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 xml:space="preserve">Técnicas de diversidad </w:t>
            </w:r>
          </w:p>
        </w:tc>
        <w:tc>
          <w:tcPr>
            <w:tcW w:w="5839" w:type="dxa"/>
          </w:tcPr>
          <w:p w:rsidR="00A87E27" w:rsidRPr="009D06C9" w:rsidRDefault="00A87E27" w:rsidP="00090ED8">
            <w:pPr>
              <w:pStyle w:val="Tabletext"/>
              <w:jc w:val="left"/>
              <w:rPr>
                <w:lang w:val="es-ES_tradnl"/>
              </w:rPr>
            </w:pPr>
            <w:r w:rsidRPr="009D06C9">
              <w:rPr>
                <w:lang w:val="es-ES_tradnl"/>
              </w:rPr>
              <w:t>Espacio, tiempo, códigos de bloques, multiplexión espacial</w:t>
            </w:r>
          </w:p>
        </w:tc>
      </w:tr>
      <w:tr w:rsidR="00A87E27" w:rsidRPr="009D06C9"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Soporte para MIMO (sí/no)</w:t>
            </w:r>
          </w:p>
        </w:tc>
        <w:tc>
          <w:tcPr>
            <w:tcW w:w="5839" w:type="dxa"/>
          </w:tcPr>
          <w:p w:rsidR="00A87E27" w:rsidRPr="009D06C9" w:rsidRDefault="00A87E27" w:rsidP="00090ED8">
            <w:pPr>
              <w:pStyle w:val="Tabletext"/>
              <w:jc w:val="left"/>
              <w:rPr>
                <w:lang w:val="es-ES_tradnl"/>
              </w:rPr>
            </w:pPr>
            <w:r w:rsidRPr="009D06C9">
              <w:rPr>
                <w:lang w:val="es-ES_tradnl"/>
              </w:rPr>
              <w:t>Sí</w:t>
            </w:r>
          </w:p>
        </w:tc>
      </w:tr>
      <w:tr w:rsidR="00A87E27" w:rsidRPr="009D06C9"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Orientación/conformación de haz</w:t>
            </w:r>
          </w:p>
        </w:tc>
        <w:tc>
          <w:tcPr>
            <w:tcW w:w="5839" w:type="dxa"/>
          </w:tcPr>
          <w:p w:rsidR="00A87E27" w:rsidRPr="009D06C9" w:rsidRDefault="00A87E27" w:rsidP="00090ED8">
            <w:pPr>
              <w:pStyle w:val="Tabletext"/>
              <w:jc w:val="left"/>
              <w:rPr>
                <w:lang w:val="es-ES_tradnl"/>
              </w:rPr>
            </w:pPr>
            <w:r w:rsidRPr="009D06C9">
              <w:rPr>
                <w:lang w:val="es-ES_tradnl"/>
              </w:rPr>
              <w:t>Sí</w:t>
            </w:r>
          </w:p>
        </w:tc>
      </w:tr>
      <w:tr w:rsidR="00A87E27" w:rsidRPr="009D06C9"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Retransmisión</w:t>
            </w:r>
          </w:p>
        </w:tc>
        <w:tc>
          <w:tcPr>
            <w:tcW w:w="5839" w:type="dxa"/>
          </w:tcPr>
          <w:p w:rsidR="00A87E27" w:rsidRPr="009D06C9" w:rsidRDefault="00A87E27" w:rsidP="00090ED8">
            <w:pPr>
              <w:pStyle w:val="Tabletext"/>
              <w:jc w:val="left"/>
              <w:rPr>
                <w:lang w:val="es-ES_tradnl"/>
              </w:rPr>
            </w:pPr>
            <w:r w:rsidRPr="009D06C9">
              <w:rPr>
                <w:lang w:val="es-ES_tradnl"/>
              </w:rPr>
              <w:t>ARQ, HARQ</w:t>
            </w:r>
          </w:p>
        </w:tc>
      </w:tr>
      <w:tr w:rsidR="00A87E27" w:rsidRPr="009D06C9"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Corrección de errores en recepción</w:t>
            </w:r>
          </w:p>
        </w:tc>
        <w:tc>
          <w:tcPr>
            <w:tcW w:w="5839" w:type="dxa"/>
          </w:tcPr>
          <w:p w:rsidR="00A87E27" w:rsidRPr="009D06C9" w:rsidRDefault="00A87E27" w:rsidP="00090ED8">
            <w:pPr>
              <w:pStyle w:val="Tabletext"/>
              <w:jc w:val="left"/>
              <w:rPr>
                <w:lang w:val="es-ES_tradnl"/>
              </w:rPr>
            </w:pPr>
            <w:r w:rsidRPr="009D06C9">
              <w:rPr>
                <w:lang w:val="es-ES_tradnl"/>
              </w:rPr>
              <w:t>Convolucional, turbo y LDPC</w:t>
            </w:r>
          </w:p>
        </w:tc>
      </w:tr>
      <w:tr w:rsidR="00A87E27" w:rsidRPr="009D06C9"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Gestión de interferencias</w:t>
            </w:r>
          </w:p>
        </w:tc>
        <w:tc>
          <w:tcPr>
            <w:tcW w:w="5839" w:type="dxa"/>
          </w:tcPr>
          <w:p w:rsidR="00A87E27" w:rsidRPr="009D06C9" w:rsidRDefault="00A87E27" w:rsidP="00090ED8">
            <w:pPr>
              <w:pStyle w:val="Tabletext"/>
              <w:jc w:val="left"/>
              <w:rPr>
                <w:lang w:val="es-ES_tradnl"/>
              </w:rPr>
            </w:pPr>
            <w:r w:rsidRPr="009D06C9">
              <w:rPr>
                <w:lang w:val="es-ES_tradnl"/>
              </w:rPr>
              <w:t>Sí</w:t>
            </w:r>
          </w:p>
        </w:tc>
      </w:tr>
      <w:tr w:rsidR="00A87E27" w:rsidRPr="00D30DBF"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Gestión de potencia</w:t>
            </w:r>
          </w:p>
        </w:tc>
        <w:tc>
          <w:tcPr>
            <w:tcW w:w="5839" w:type="dxa"/>
          </w:tcPr>
          <w:p w:rsidR="00A87E27" w:rsidRPr="009D06C9" w:rsidRDefault="00A87E27" w:rsidP="00090ED8">
            <w:pPr>
              <w:pStyle w:val="Tabletext"/>
              <w:jc w:val="left"/>
              <w:rPr>
                <w:lang w:val="es-ES_tradnl"/>
              </w:rPr>
            </w:pPr>
            <w:r w:rsidRPr="009D06C9">
              <w:rPr>
                <w:lang w:val="es-ES_tradnl"/>
              </w:rPr>
              <w:t>Sí, diversos estados de baja potencia</w:t>
            </w:r>
          </w:p>
        </w:tc>
      </w:tr>
      <w:tr w:rsidR="00A87E27" w:rsidRPr="009D06C9"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Topología de conexión</w:t>
            </w:r>
          </w:p>
        </w:tc>
        <w:tc>
          <w:tcPr>
            <w:tcW w:w="5839" w:type="dxa"/>
          </w:tcPr>
          <w:p w:rsidR="00A87E27" w:rsidRPr="009D06C9" w:rsidRDefault="00A87E27" w:rsidP="00090ED8">
            <w:pPr>
              <w:pStyle w:val="Tabletext"/>
              <w:jc w:val="left"/>
              <w:rPr>
                <w:lang w:val="es-ES_tradnl"/>
              </w:rPr>
            </w:pPr>
            <w:r w:rsidRPr="009D06C9">
              <w:rPr>
                <w:lang w:val="es-ES_tradnl"/>
              </w:rPr>
              <w:t>Punto a multipunto</w:t>
            </w:r>
          </w:p>
        </w:tc>
      </w:tr>
      <w:tr w:rsidR="00A87E27" w:rsidRPr="00D30DBF"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Métodos de acceso a medios</w:t>
            </w:r>
          </w:p>
        </w:tc>
        <w:tc>
          <w:tcPr>
            <w:tcW w:w="5839" w:type="dxa"/>
          </w:tcPr>
          <w:p w:rsidR="00A87E27" w:rsidRPr="009D06C9" w:rsidRDefault="00A87E27" w:rsidP="00090ED8">
            <w:pPr>
              <w:pStyle w:val="Tabletext"/>
              <w:jc w:val="left"/>
              <w:rPr>
                <w:lang w:val="es-ES_tradnl"/>
              </w:rPr>
            </w:pPr>
            <w:r w:rsidRPr="009D06C9">
              <w:rPr>
                <w:lang w:val="es-ES_tradnl"/>
              </w:rPr>
              <w:t>TDMA/TDD OFDMA, MAC basada en reserva</w:t>
            </w:r>
          </w:p>
        </w:tc>
      </w:tr>
      <w:tr w:rsidR="00A87E27" w:rsidRPr="009D06C9"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Múltiples métodos de acceso</w:t>
            </w:r>
          </w:p>
        </w:tc>
        <w:tc>
          <w:tcPr>
            <w:tcW w:w="5839" w:type="dxa"/>
          </w:tcPr>
          <w:p w:rsidR="00A87E27" w:rsidRPr="009D06C9" w:rsidRDefault="00A87E27" w:rsidP="00090ED8">
            <w:pPr>
              <w:pStyle w:val="Tabletext"/>
              <w:jc w:val="left"/>
              <w:rPr>
                <w:lang w:val="es-ES_tradnl"/>
              </w:rPr>
            </w:pPr>
            <w:r w:rsidRPr="009D06C9">
              <w:rPr>
                <w:lang w:val="es-ES_tradnl"/>
              </w:rPr>
              <w:t>OFDMA</w:t>
            </w:r>
          </w:p>
        </w:tc>
      </w:tr>
      <w:tr w:rsidR="00A87E27" w:rsidRPr="00D30DBF"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Método de descubrimiento y asociación</w:t>
            </w:r>
          </w:p>
        </w:tc>
        <w:tc>
          <w:tcPr>
            <w:tcW w:w="5839" w:type="dxa"/>
          </w:tcPr>
          <w:p w:rsidR="00A87E27" w:rsidRPr="009D06C9" w:rsidRDefault="00A87E27" w:rsidP="00090ED8">
            <w:pPr>
              <w:pStyle w:val="Tabletext"/>
              <w:jc w:val="left"/>
              <w:rPr>
                <w:lang w:val="es-ES_tradnl"/>
              </w:rPr>
            </w:pPr>
            <w:r w:rsidRPr="009D06C9">
              <w:rPr>
                <w:lang w:val="es-ES_tradnl"/>
              </w:rPr>
              <w:t>Sí, a través de dispositivos MAC ID, CID y SFID</w:t>
            </w:r>
          </w:p>
        </w:tc>
      </w:tr>
      <w:tr w:rsidR="00A87E27" w:rsidRPr="00D30DBF"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Métodos QoS</w:t>
            </w:r>
          </w:p>
        </w:tc>
        <w:tc>
          <w:tcPr>
            <w:tcW w:w="5839" w:type="dxa"/>
          </w:tcPr>
          <w:p w:rsidR="00A87E27" w:rsidRPr="009D06C9" w:rsidRDefault="00A87E27" w:rsidP="00090ED8">
            <w:pPr>
              <w:pStyle w:val="Tabletext"/>
              <w:jc w:val="left"/>
              <w:rPr>
                <w:lang w:val="es-ES_tradnl"/>
              </w:rPr>
            </w:pPr>
            <w:r w:rsidRPr="009D06C9">
              <w:rPr>
                <w:lang w:val="es-ES_tradnl"/>
              </w:rPr>
              <w:t>Diferenciación QoS (5 clases soportadas), y soporte QoS orientado a conexión</w:t>
            </w:r>
          </w:p>
        </w:tc>
      </w:tr>
      <w:tr w:rsidR="00A87E27" w:rsidRPr="009D06C9"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Conocimiento de la ubicación</w:t>
            </w:r>
          </w:p>
        </w:tc>
        <w:tc>
          <w:tcPr>
            <w:tcW w:w="5839" w:type="dxa"/>
          </w:tcPr>
          <w:p w:rsidR="00A87E27" w:rsidRPr="009D06C9" w:rsidRDefault="00A87E27" w:rsidP="00090ED8">
            <w:pPr>
              <w:pStyle w:val="Tabletext"/>
              <w:jc w:val="left"/>
              <w:rPr>
                <w:lang w:val="es-ES_tradnl"/>
              </w:rPr>
            </w:pPr>
            <w:r w:rsidRPr="009D06C9">
              <w:rPr>
                <w:lang w:val="es-ES_tradnl"/>
              </w:rPr>
              <w:t>Geolocalización</w:t>
            </w:r>
          </w:p>
        </w:tc>
      </w:tr>
      <w:tr w:rsidR="00A87E27" w:rsidRPr="009D06C9"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Determinación de la distancia</w:t>
            </w:r>
          </w:p>
        </w:tc>
        <w:tc>
          <w:tcPr>
            <w:tcW w:w="5839" w:type="dxa"/>
          </w:tcPr>
          <w:p w:rsidR="00A87E27" w:rsidRPr="009D06C9" w:rsidRDefault="00A87E27" w:rsidP="00090ED8">
            <w:pPr>
              <w:pStyle w:val="Tabletext"/>
              <w:jc w:val="left"/>
              <w:rPr>
                <w:lang w:val="es-ES_tradnl"/>
              </w:rPr>
            </w:pPr>
            <w:r w:rsidRPr="009D06C9">
              <w:rPr>
                <w:lang w:val="es-ES_tradnl"/>
              </w:rPr>
              <w:t>Sí</w:t>
            </w:r>
          </w:p>
        </w:tc>
      </w:tr>
      <w:tr w:rsidR="00A87E27" w:rsidRPr="00D30DBF"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Criptación</w:t>
            </w:r>
          </w:p>
        </w:tc>
        <w:tc>
          <w:tcPr>
            <w:tcW w:w="5839" w:type="dxa"/>
          </w:tcPr>
          <w:p w:rsidR="00A87E27" w:rsidRPr="009D06C9" w:rsidRDefault="00A87E27" w:rsidP="00090ED8">
            <w:pPr>
              <w:pStyle w:val="Tabletext"/>
              <w:jc w:val="left"/>
              <w:rPr>
                <w:lang w:val="es-ES_tradnl"/>
              </w:rPr>
            </w:pPr>
            <w:r w:rsidRPr="009D06C9">
              <w:rPr>
                <w:lang w:val="es-ES_tradnl"/>
              </w:rPr>
              <w:t>AES128 – CCM, ECC y TLS</w:t>
            </w:r>
          </w:p>
        </w:tc>
      </w:tr>
      <w:tr w:rsidR="00A87E27" w:rsidRPr="00D30DBF"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Autenticación/protección contra reproducción</w:t>
            </w:r>
          </w:p>
        </w:tc>
        <w:tc>
          <w:tcPr>
            <w:tcW w:w="5839" w:type="dxa"/>
          </w:tcPr>
          <w:p w:rsidR="00A87E27" w:rsidRPr="009D06C9" w:rsidRDefault="00A87E27" w:rsidP="00090ED8">
            <w:pPr>
              <w:pStyle w:val="Tabletext"/>
              <w:jc w:val="left"/>
              <w:rPr>
                <w:lang w:val="es-ES_tradnl"/>
              </w:rPr>
            </w:pPr>
            <w:r w:rsidRPr="009D06C9">
              <w:rPr>
                <w:lang w:val="es-ES_tradnl"/>
              </w:rPr>
              <w:t>AES128 – CCM, ECC, EAP y TLS, protección contra reproducción mediante criptación, autenticación, así como etiquetado de paquetes</w:t>
            </w:r>
          </w:p>
        </w:tc>
      </w:tr>
      <w:tr w:rsidR="00A87E27" w:rsidRPr="009D06C9"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Intercambio de claves</w:t>
            </w:r>
          </w:p>
        </w:tc>
        <w:tc>
          <w:tcPr>
            <w:tcW w:w="5839" w:type="dxa"/>
          </w:tcPr>
          <w:p w:rsidR="00A87E27" w:rsidRPr="009D06C9" w:rsidRDefault="00A87E27" w:rsidP="00090ED8">
            <w:pPr>
              <w:pStyle w:val="Tabletext"/>
              <w:jc w:val="left"/>
              <w:rPr>
                <w:lang w:val="es-ES_tradnl"/>
              </w:rPr>
            </w:pPr>
            <w:r w:rsidRPr="009D06C9">
              <w:rPr>
                <w:lang w:val="es-ES_tradnl"/>
              </w:rPr>
              <w:t>Sí, PKMv2</w:t>
            </w:r>
          </w:p>
        </w:tc>
      </w:tr>
      <w:tr w:rsidR="00A87E27" w:rsidRPr="009D06C9"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Detección de nodos falseados</w:t>
            </w:r>
          </w:p>
        </w:tc>
        <w:tc>
          <w:tcPr>
            <w:tcW w:w="5839" w:type="dxa"/>
          </w:tcPr>
          <w:p w:rsidR="00A87E27" w:rsidRPr="009D06C9" w:rsidRDefault="00A87E27" w:rsidP="00090ED8">
            <w:pPr>
              <w:pStyle w:val="Tabletext"/>
              <w:jc w:val="left"/>
              <w:rPr>
                <w:lang w:val="es-ES_tradnl"/>
              </w:rPr>
            </w:pPr>
            <w:r w:rsidRPr="009D06C9">
              <w:rPr>
                <w:lang w:val="es-ES_tradnl"/>
              </w:rPr>
              <w:t>Sí</w:t>
            </w:r>
          </w:p>
        </w:tc>
      </w:tr>
      <w:tr w:rsidR="00A87E27" w:rsidRPr="00D30DBF" w:rsidTr="00090ED8">
        <w:trPr>
          <w:cantSplit/>
          <w:jc w:val="center"/>
        </w:trPr>
        <w:tc>
          <w:tcPr>
            <w:tcW w:w="3798" w:type="dxa"/>
          </w:tcPr>
          <w:p w:rsidR="00A87E27" w:rsidRPr="009D06C9" w:rsidRDefault="00A87E27" w:rsidP="00090ED8">
            <w:pPr>
              <w:pStyle w:val="Tabletext"/>
              <w:jc w:val="left"/>
              <w:rPr>
                <w:lang w:val="es-ES_tradnl"/>
              </w:rPr>
            </w:pPr>
            <w:r w:rsidRPr="009D06C9">
              <w:rPr>
                <w:lang w:val="es-ES_tradnl"/>
              </w:rPr>
              <w:t>Identificación unívoca de dispositivo</w:t>
            </w:r>
          </w:p>
        </w:tc>
        <w:tc>
          <w:tcPr>
            <w:tcW w:w="5839" w:type="dxa"/>
          </w:tcPr>
          <w:p w:rsidR="00A87E27" w:rsidRPr="009D06C9" w:rsidRDefault="00A87E27" w:rsidP="00090ED8">
            <w:pPr>
              <w:pStyle w:val="Tabletext"/>
              <w:jc w:val="left"/>
              <w:rPr>
                <w:lang w:val="es-ES_tradnl"/>
              </w:rPr>
            </w:pPr>
            <w:r w:rsidRPr="009D06C9">
              <w:rPr>
                <w:lang w:val="es-ES_tradnl"/>
              </w:rPr>
              <w:t>Identificador único de dispositivo de 48 bits, certificado X.509</w:t>
            </w:r>
          </w:p>
        </w:tc>
      </w:tr>
    </w:tbl>
    <w:p w:rsidR="00A87E27" w:rsidRPr="009D06C9" w:rsidRDefault="00A87E27" w:rsidP="00A87E27">
      <w:pPr>
        <w:pStyle w:val="Tablefin"/>
        <w:rPr>
          <w:rFonts w:eastAsia="Batang"/>
          <w:sz w:val="14"/>
          <w:szCs w:val="14"/>
          <w:lang w:val="es-ES_tradnl"/>
        </w:rPr>
      </w:pPr>
      <w:bookmarkStart w:id="47" w:name="_Toc421882707"/>
    </w:p>
    <w:p w:rsidR="00A87E27" w:rsidRPr="009D06C9" w:rsidRDefault="00A87E27" w:rsidP="00A87E27">
      <w:pPr>
        <w:pStyle w:val="Heading2"/>
        <w:rPr>
          <w:rFonts w:eastAsia="Batang"/>
          <w:lang w:val="es-ES_tradnl"/>
        </w:rPr>
      </w:pPr>
      <w:bookmarkStart w:id="48" w:name="_Toc498004365"/>
      <w:r w:rsidRPr="009D06C9">
        <w:rPr>
          <w:rFonts w:eastAsia="Batang"/>
          <w:lang w:val="es-ES_tradnl"/>
        </w:rPr>
        <w:lastRenderedPageBreak/>
        <w:t>A1.2</w:t>
      </w:r>
      <w:r w:rsidRPr="009D06C9">
        <w:rPr>
          <w:rFonts w:eastAsia="Batang"/>
          <w:lang w:val="es-ES_tradnl"/>
        </w:rPr>
        <w:tab/>
      </w:r>
      <w:bookmarkEnd w:id="47"/>
      <w:r w:rsidRPr="009D06C9">
        <w:rPr>
          <w:rFonts w:eastAsia="Batang"/>
          <w:lang w:val="es-ES_tradnl"/>
        </w:rPr>
        <w:t>Normas del UIT-T</w:t>
      </w:r>
      <w:bookmarkEnd w:id="48"/>
    </w:p>
    <w:p w:rsidR="00A87E27" w:rsidRPr="009D06C9" w:rsidRDefault="00A87E27" w:rsidP="00A87E27">
      <w:pPr>
        <w:rPr>
          <w:rFonts w:eastAsia="Batang"/>
          <w:lang w:val="es-ES_tradnl" w:eastAsia="ko-KR"/>
        </w:rPr>
      </w:pPr>
      <w:r w:rsidRPr="009D06C9">
        <w:rPr>
          <w:rFonts w:eastAsia="Batang"/>
          <w:lang w:val="es-ES_tradnl" w:eastAsia="ko-KR"/>
        </w:rPr>
        <w:t>La familia de Recomendaciones UIT-T G.990x (</w:t>
      </w:r>
      <w:r w:rsidRPr="009D06C9">
        <w:rPr>
          <w:rFonts w:cs="Calibri"/>
          <w:bCs/>
          <w:szCs w:val="24"/>
          <w:lang w:val="es-ES_tradnl" w:eastAsia="ar-SA"/>
        </w:rPr>
        <w:t>G.9901</w:t>
      </w:r>
      <w:r w:rsidRPr="009D06C9">
        <w:rPr>
          <w:rFonts w:cs="Calibri"/>
          <w:szCs w:val="24"/>
          <w:lang w:val="es-ES_tradnl" w:eastAsia="ar-SA"/>
        </w:rPr>
        <w:t xml:space="preserve">, </w:t>
      </w:r>
      <w:r w:rsidRPr="009D06C9">
        <w:rPr>
          <w:rFonts w:cs="Calibri"/>
          <w:bCs/>
          <w:szCs w:val="24"/>
          <w:lang w:val="es-ES_tradnl" w:eastAsia="ar-SA"/>
        </w:rPr>
        <w:t>G.9902</w:t>
      </w:r>
      <w:r w:rsidRPr="009D06C9">
        <w:rPr>
          <w:rFonts w:cs="Calibri"/>
          <w:szCs w:val="24"/>
          <w:lang w:val="es-ES_tradnl" w:eastAsia="ar-SA"/>
        </w:rPr>
        <w:t xml:space="preserve">, </w:t>
      </w:r>
      <w:r w:rsidRPr="009D06C9">
        <w:rPr>
          <w:rFonts w:cs="Calibri"/>
          <w:bCs/>
          <w:szCs w:val="24"/>
          <w:lang w:val="es-ES_tradnl" w:eastAsia="ar-SA"/>
        </w:rPr>
        <w:t>G.9903</w:t>
      </w:r>
      <w:r w:rsidRPr="009D06C9">
        <w:rPr>
          <w:rFonts w:cs="Calibri"/>
          <w:szCs w:val="24"/>
          <w:lang w:val="es-ES_tradnl" w:eastAsia="ar-SA"/>
        </w:rPr>
        <w:t xml:space="preserve">, </w:t>
      </w:r>
      <w:r w:rsidRPr="009D06C9">
        <w:rPr>
          <w:rFonts w:cs="Calibri"/>
          <w:bCs/>
          <w:szCs w:val="24"/>
          <w:lang w:val="es-ES_tradnl" w:eastAsia="ar-SA"/>
        </w:rPr>
        <w:t>G.9904</w:t>
      </w:r>
      <w:r w:rsidRPr="009D06C9">
        <w:rPr>
          <w:rFonts w:eastAsia="Batang"/>
          <w:lang w:val="es-ES_tradnl" w:eastAsia="ko-KR"/>
        </w:rPr>
        <w:t>) sobre NB-PLC se ha elaborado para soportar conectividad y comunicaciones de red inteligente. En los cuadros siguientes se resumen las características técnicas y operacionales de las dos tecnologías NB-PLC especificadas en el UIT-T y probadas en el terreno</w:t>
      </w:r>
      <w:r w:rsidRPr="009D06C9">
        <w:rPr>
          <w:rFonts w:eastAsia="Batang"/>
          <w:lang w:val="es-ES_tradnl"/>
        </w:rPr>
        <w:t>.</w:t>
      </w:r>
    </w:p>
    <w:p w:rsidR="00A87E27" w:rsidRPr="009D06C9" w:rsidRDefault="00A87E27" w:rsidP="00A87E27">
      <w:pPr>
        <w:pStyle w:val="TableNo"/>
        <w:rPr>
          <w:lang w:val="es-ES_tradnl"/>
        </w:rPr>
      </w:pPr>
      <w:r w:rsidRPr="009D06C9">
        <w:rPr>
          <w:lang w:val="es-ES_tradnl"/>
        </w:rPr>
        <w:t>CUADRO A1.6</w:t>
      </w:r>
    </w:p>
    <w:p w:rsidR="00A87E27" w:rsidRPr="009D06C9" w:rsidRDefault="00A87E27" w:rsidP="00A87E27">
      <w:pPr>
        <w:pStyle w:val="Tabletitle"/>
        <w:rPr>
          <w:lang w:val="es-ES_tradnl"/>
        </w:rPr>
      </w:pPr>
      <w:r w:rsidRPr="009D06C9">
        <w:rPr>
          <w:lang w:val="es-ES_tradnl"/>
        </w:rPr>
        <w:t xml:space="preserve">Características técnicas y operacionales de las Recomendaciones UIT-T G.9903 y G.9904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59"/>
        <w:gridCol w:w="3285"/>
        <w:gridCol w:w="3285"/>
      </w:tblGrid>
      <w:tr w:rsidR="00A87E27" w:rsidRPr="009D06C9" w:rsidTr="00090ED8">
        <w:trPr>
          <w:cantSplit/>
          <w:tblHeader/>
          <w:jc w:val="center"/>
        </w:trPr>
        <w:tc>
          <w:tcPr>
            <w:tcW w:w="3061" w:type="dxa"/>
            <w:shd w:val="clear" w:color="auto" w:fill="auto"/>
          </w:tcPr>
          <w:p w:rsidR="00A87E27" w:rsidRPr="009D06C9" w:rsidRDefault="00A87E27" w:rsidP="00090ED8">
            <w:pPr>
              <w:pStyle w:val="Tablehead"/>
              <w:rPr>
                <w:lang w:val="es-ES_tradnl"/>
              </w:rPr>
            </w:pPr>
            <w:r w:rsidRPr="009D06C9">
              <w:rPr>
                <w:lang w:val="es-ES_tradnl"/>
              </w:rPr>
              <w:t>Ítem</w:t>
            </w:r>
          </w:p>
        </w:tc>
        <w:tc>
          <w:tcPr>
            <w:tcW w:w="3288" w:type="dxa"/>
            <w:shd w:val="clear" w:color="auto" w:fill="auto"/>
          </w:tcPr>
          <w:p w:rsidR="00A87E27" w:rsidRPr="009D06C9" w:rsidRDefault="00A87E27" w:rsidP="00090ED8">
            <w:pPr>
              <w:pStyle w:val="Tablehead"/>
              <w:rPr>
                <w:lang w:val="es-ES_tradnl"/>
              </w:rPr>
            </w:pPr>
            <w:r w:rsidRPr="009D06C9">
              <w:rPr>
                <w:lang w:val="es-ES_tradnl"/>
              </w:rPr>
              <w:t xml:space="preserve">Valor G.9903 </w:t>
            </w:r>
          </w:p>
        </w:tc>
        <w:tc>
          <w:tcPr>
            <w:tcW w:w="3288" w:type="dxa"/>
            <w:shd w:val="clear" w:color="auto" w:fill="auto"/>
          </w:tcPr>
          <w:p w:rsidR="00A87E27" w:rsidRPr="009D06C9" w:rsidRDefault="00A87E27" w:rsidP="00090ED8">
            <w:pPr>
              <w:pStyle w:val="Tablehead"/>
              <w:rPr>
                <w:lang w:val="es-ES_tradnl"/>
              </w:rPr>
            </w:pPr>
            <w:r w:rsidRPr="009D06C9">
              <w:rPr>
                <w:lang w:val="es-ES_tradnl"/>
              </w:rPr>
              <w:t xml:space="preserve">Valor G.9904 </w:t>
            </w:r>
          </w:p>
        </w:tc>
      </w:tr>
      <w:tr w:rsidR="00A87E27" w:rsidRPr="009D06C9" w:rsidTr="00090ED8">
        <w:trPr>
          <w:cantSplit/>
          <w:jc w:val="center"/>
        </w:trPr>
        <w:tc>
          <w:tcPr>
            <w:tcW w:w="3061" w:type="dxa"/>
            <w:shd w:val="clear" w:color="auto" w:fill="auto"/>
          </w:tcPr>
          <w:p w:rsidR="00A87E27" w:rsidRPr="009D06C9" w:rsidRDefault="00A87E27" w:rsidP="00090ED8">
            <w:pPr>
              <w:pStyle w:val="Tabletext"/>
              <w:jc w:val="left"/>
              <w:rPr>
                <w:lang w:val="es-ES_tradnl"/>
              </w:rPr>
            </w:pPr>
            <w:r w:rsidRPr="009D06C9">
              <w:rPr>
                <w:lang w:val="es-ES_tradnl"/>
              </w:rPr>
              <w:t>Bandas de frecuencias soportadas</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35-488 kHz</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42-89 kHz</w:t>
            </w:r>
          </w:p>
        </w:tc>
      </w:tr>
      <w:tr w:rsidR="00A87E27" w:rsidRPr="009D06C9" w:rsidTr="00090ED8">
        <w:trPr>
          <w:cantSplit/>
          <w:jc w:val="center"/>
        </w:trPr>
        <w:tc>
          <w:tcPr>
            <w:tcW w:w="3061" w:type="dxa"/>
            <w:shd w:val="clear" w:color="auto" w:fill="auto"/>
          </w:tcPr>
          <w:p w:rsidR="00A87E27" w:rsidRPr="009D06C9" w:rsidRDefault="00A87E27" w:rsidP="00090ED8">
            <w:pPr>
              <w:pStyle w:val="Tabletext"/>
              <w:jc w:val="left"/>
              <w:rPr>
                <w:lang w:val="es-ES_tradnl"/>
              </w:rPr>
            </w:pPr>
            <w:r w:rsidRPr="009D06C9">
              <w:rPr>
                <w:lang w:val="es-ES_tradnl"/>
              </w:rPr>
              <w:t>Velocidad de datos de cresta</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42 kbps</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128 kbps</w:t>
            </w:r>
          </w:p>
        </w:tc>
      </w:tr>
      <w:tr w:rsidR="00A87E27" w:rsidRPr="009D06C9" w:rsidTr="00090ED8">
        <w:trPr>
          <w:cantSplit/>
          <w:jc w:val="center"/>
        </w:trPr>
        <w:tc>
          <w:tcPr>
            <w:tcW w:w="3061" w:type="dxa"/>
            <w:shd w:val="clear" w:color="auto" w:fill="auto"/>
          </w:tcPr>
          <w:p w:rsidR="00A87E27" w:rsidRPr="009D06C9" w:rsidRDefault="00A87E27" w:rsidP="00090ED8">
            <w:pPr>
              <w:pStyle w:val="Tabletext"/>
              <w:jc w:val="left"/>
              <w:rPr>
                <w:lang w:val="es-ES_tradnl"/>
              </w:rPr>
            </w:pPr>
            <w:r w:rsidRPr="009D06C9">
              <w:rPr>
                <w:lang w:val="es-ES_tradnl"/>
              </w:rPr>
              <w:t>Múltiples métodos de acceso</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OFDM</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OFDM</w:t>
            </w:r>
          </w:p>
        </w:tc>
      </w:tr>
      <w:tr w:rsidR="00A87E27" w:rsidRPr="009D06C9" w:rsidTr="00090ED8">
        <w:trPr>
          <w:cantSplit/>
          <w:jc w:val="center"/>
        </w:trPr>
        <w:tc>
          <w:tcPr>
            <w:tcW w:w="3061" w:type="dxa"/>
            <w:shd w:val="clear" w:color="auto" w:fill="auto"/>
          </w:tcPr>
          <w:p w:rsidR="00A87E27" w:rsidRPr="009D06C9" w:rsidRDefault="00A87E27" w:rsidP="00090ED8">
            <w:pPr>
              <w:pStyle w:val="Tabletext"/>
              <w:jc w:val="left"/>
              <w:rPr>
                <w:lang w:val="es-ES_tradnl"/>
              </w:rPr>
            </w:pPr>
            <w:r w:rsidRPr="009D06C9">
              <w:rPr>
                <w:lang w:val="es-ES_tradnl"/>
              </w:rPr>
              <w:t>Corrección de errores en recepción</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Reed Solomon, convolucional, aleatorizador, intercalador, código de repetición</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Convolucional, aleatorizador, intercalador</w:t>
            </w:r>
          </w:p>
        </w:tc>
      </w:tr>
      <w:tr w:rsidR="00A87E27" w:rsidRPr="009D06C9" w:rsidTr="00090ED8">
        <w:trPr>
          <w:cantSplit/>
          <w:jc w:val="center"/>
        </w:trPr>
        <w:tc>
          <w:tcPr>
            <w:tcW w:w="3061" w:type="dxa"/>
            <w:shd w:val="clear" w:color="auto" w:fill="auto"/>
          </w:tcPr>
          <w:p w:rsidR="00A87E27" w:rsidRPr="009D06C9" w:rsidRDefault="00A87E27" w:rsidP="00090ED8">
            <w:pPr>
              <w:pStyle w:val="Tabletext"/>
              <w:jc w:val="left"/>
              <w:rPr>
                <w:lang w:val="es-ES_tradnl"/>
              </w:rPr>
            </w:pPr>
            <w:r w:rsidRPr="009D06C9">
              <w:rPr>
                <w:lang w:val="es-ES_tradnl"/>
              </w:rPr>
              <w:t>Topología de la red</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 xml:space="preserve">Malla </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Árbol</w:t>
            </w:r>
          </w:p>
        </w:tc>
      </w:tr>
      <w:tr w:rsidR="00A87E27" w:rsidRPr="009D06C9" w:rsidTr="00090ED8">
        <w:trPr>
          <w:cantSplit/>
          <w:jc w:val="center"/>
        </w:trPr>
        <w:tc>
          <w:tcPr>
            <w:tcW w:w="3061" w:type="dxa"/>
            <w:tcBorders>
              <w:bottom w:val="single" w:sz="4" w:space="0" w:color="000000"/>
            </w:tcBorders>
            <w:shd w:val="clear" w:color="auto" w:fill="auto"/>
          </w:tcPr>
          <w:p w:rsidR="00A87E27" w:rsidRPr="009D06C9" w:rsidRDefault="00A87E27" w:rsidP="00090ED8">
            <w:pPr>
              <w:pStyle w:val="Tabletext"/>
              <w:jc w:val="left"/>
              <w:rPr>
                <w:lang w:val="es-ES_tradnl"/>
              </w:rPr>
            </w:pPr>
            <w:r w:rsidRPr="009D06C9">
              <w:rPr>
                <w:lang w:val="es-ES_tradnl"/>
              </w:rPr>
              <w:t>Retransmisión</w:t>
            </w:r>
          </w:p>
        </w:tc>
        <w:tc>
          <w:tcPr>
            <w:tcW w:w="3288" w:type="dxa"/>
            <w:tcBorders>
              <w:bottom w:val="single" w:sz="4" w:space="0" w:color="000000"/>
            </w:tcBorders>
            <w:shd w:val="clear" w:color="auto" w:fill="auto"/>
          </w:tcPr>
          <w:p w:rsidR="00A87E27" w:rsidRPr="009D06C9" w:rsidRDefault="00A87E27" w:rsidP="00090ED8">
            <w:pPr>
              <w:pStyle w:val="Tabletext"/>
              <w:jc w:val="left"/>
              <w:rPr>
                <w:lang w:val="es-ES_tradnl"/>
              </w:rPr>
            </w:pPr>
            <w:r w:rsidRPr="009D06C9">
              <w:rPr>
                <w:lang w:val="es-ES_tradnl"/>
              </w:rPr>
              <w:t>ARQ</w:t>
            </w:r>
          </w:p>
        </w:tc>
        <w:tc>
          <w:tcPr>
            <w:tcW w:w="3288" w:type="dxa"/>
            <w:tcBorders>
              <w:bottom w:val="single" w:sz="4" w:space="0" w:color="000000"/>
            </w:tcBorders>
            <w:shd w:val="clear" w:color="auto" w:fill="auto"/>
          </w:tcPr>
          <w:p w:rsidR="00A87E27" w:rsidRPr="009D06C9" w:rsidRDefault="00A87E27" w:rsidP="00090ED8">
            <w:pPr>
              <w:pStyle w:val="Tabletext"/>
              <w:jc w:val="left"/>
              <w:rPr>
                <w:lang w:val="es-ES_tradnl"/>
              </w:rPr>
            </w:pPr>
            <w:r w:rsidRPr="009D06C9">
              <w:rPr>
                <w:lang w:val="es-ES_tradnl"/>
              </w:rPr>
              <w:t>ARQ</w:t>
            </w:r>
          </w:p>
        </w:tc>
      </w:tr>
      <w:tr w:rsidR="00A87E27" w:rsidRPr="00D30DBF" w:rsidTr="00090ED8">
        <w:trPr>
          <w:cantSplit/>
          <w:jc w:val="center"/>
        </w:trPr>
        <w:tc>
          <w:tcPr>
            <w:tcW w:w="3061" w:type="dxa"/>
            <w:shd w:val="clear" w:color="auto" w:fill="auto"/>
          </w:tcPr>
          <w:p w:rsidR="00A87E27" w:rsidRPr="009D06C9" w:rsidRDefault="00A87E27" w:rsidP="00090ED8">
            <w:pPr>
              <w:pStyle w:val="Tabletext"/>
              <w:jc w:val="left"/>
              <w:rPr>
                <w:lang w:val="es-ES_tradnl"/>
              </w:rPr>
            </w:pPr>
            <w:r w:rsidRPr="009D06C9">
              <w:rPr>
                <w:lang w:val="es-ES_tradnl"/>
              </w:rPr>
              <w:t>Métodos de acceso a medios</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CSMA y prioridad</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CSMA y exenta de contienda o prioridad</w:t>
            </w:r>
          </w:p>
        </w:tc>
      </w:tr>
      <w:tr w:rsidR="00A87E27" w:rsidRPr="00D30DBF" w:rsidTr="00090ED8">
        <w:trPr>
          <w:cantSplit/>
          <w:jc w:val="center"/>
        </w:trPr>
        <w:tc>
          <w:tcPr>
            <w:tcW w:w="3061" w:type="dxa"/>
            <w:shd w:val="clear" w:color="auto" w:fill="auto"/>
          </w:tcPr>
          <w:p w:rsidR="00A87E27" w:rsidRPr="009D06C9" w:rsidRDefault="00A87E27" w:rsidP="00090ED8">
            <w:pPr>
              <w:pStyle w:val="Tabletext"/>
              <w:jc w:val="left"/>
              <w:rPr>
                <w:lang w:val="es-ES_tradnl"/>
              </w:rPr>
            </w:pPr>
            <w:r w:rsidRPr="009D06C9">
              <w:rPr>
                <w:lang w:val="es-ES_tradnl"/>
              </w:rPr>
              <w:t>Método de descubrimiento y asociación</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Basado en 6loWPAN y EAP-PSK</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Procedimiento específico de inscripción de red</w:t>
            </w:r>
          </w:p>
        </w:tc>
      </w:tr>
      <w:tr w:rsidR="00A87E27" w:rsidRPr="00D30DBF" w:rsidTr="00090ED8">
        <w:trPr>
          <w:cantSplit/>
          <w:jc w:val="center"/>
        </w:trPr>
        <w:tc>
          <w:tcPr>
            <w:tcW w:w="3061" w:type="dxa"/>
            <w:shd w:val="clear" w:color="auto" w:fill="auto"/>
          </w:tcPr>
          <w:p w:rsidR="00A87E27" w:rsidRPr="009D06C9" w:rsidRDefault="00A87E27" w:rsidP="00090ED8">
            <w:pPr>
              <w:pStyle w:val="Tabletext"/>
              <w:jc w:val="left"/>
              <w:rPr>
                <w:lang w:val="es-ES_tradnl"/>
              </w:rPr>
            </w:pPr>
            <w:r w:rsidRPr="009D06C9">
              <w:rPr>
                <w:lang w:val="es-ES_tradnl"/>
              </w:rPr>
              <w:t>Métodos QoS</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Diferenciación de QoS con 2 prioridades</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Diferenciación de QoS con 4 prioridades</w:t>
            </w:r>
          </w:p>
        </w:tc>
      </w:tr>
      <w:tr w:rsidR="00A87E27" w:rsidRPr="009D06C9" w:rsidTr="00090ED8">
        <w:trPr>
          <w:cantSplit/>
          <w:jc w:val="center"/>
        </w:trPr>
        <w:tc>
          <w:tcPr>
            <w:tcW w:w="3061" w:type="dxa"/>
            <w:shd w:val="clear" w:color="auto" w:fill="auto"/>
          </w:tcPr>
          <w:p w:rsidR="00A87E27" w:rsidRPr="009D06C9" w:rsidRDefault="00A87E27" w:rsidP="00090ED8">
            <w:pPr>
              <w:pStyle w:val="Tabletext"/>
              <w:jc w:val="left"/>
              <w:rPr>
                <w:lang w:val="es-ES_tradnl"/>
              </w:rPr>
            </w:pPr>
            <w:r w:rsidRPr="009D06C9">
              <w:rPr>
                <w:lang w:val="es-ES_tradnl"/>
              </w:rPr>
              <w:t>Criptación</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AES128 – CCM</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AES128 – GCM</w:t>
            </w:r>
          </w:p>
        </w:tc>
      </w:tr>
      <w:tr w:rsidR="00A87E27" w:rsidRPr="00D30DBF" w:rsidTr="00090ED8">
        <w:trPr>
          <w:cantSplit/>
          <w:jc w:val="center"/>
        </w:trPr>
        <w:tc>
          <w:tcPr>
            <w:tcW w:w="3061" w:type="dxa"/>
            <w:shd w:val="clear" w:color="auto" w:fill="auto"/>
          </w:tcPr>
          <w:p w:rsidR="00A87E27" w:rsidRPr="009D06C9" w:rsidRDefault="00A87E27" w:rsidP="00090ED8">
            <w:pPr>
              <w:pStyle w:val="Tabletext"/>
              <w:jc w:val="left"/>
              <w:rPr>
                <w:lang w:val="es-ES_tradnl"/>
              </w:rPr>
            </w:pPr>
            <w:r w:rsidRPr="009D06C9">
              <w:rPr>
                <w:lang w:val="es-ES_tradnl"/>
              </w:rPr>
              <w:t>Autenticación/protección contra reproducción</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Mecanismo de autenticación y protección contra reproducción</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Mecanismo de autenticación y protección contra reproducción</w:t>
            </w:r>
          </w:p>
        </w:tc>
      </w:tr>
      <w:tr w:rsidR="00A87E27" w:rsidRPr="009D06C9" w:rsidTr="00090ED8">
        <w:trPr>
          <w:cantSplit/>
          <w:jc w:val="center"/>
        </w:trPr>
        <w:tc>
          <w:tcPr>
            <w:tcW w:w="3061" w:type="dxa"/>
            <w:shd w:val="clear" w:color="auto" w:fill="auto"/>
          </w:tcPr>
          <w:p w:rsidR="00A87E27" w:rsidRPr="009D06C9" w:rsidRDefault="00A87E27" w:rsidP="00090ED8">
            <w:pPr>
              <w:pStyle w:val="Tabletext"/>
              <w:jc w:val="left"/>
              <w:rPr>
                <w:lang w:val="es-ES_tradnl"/>
              </w:rPr>
            </w:pPr>
            <w:r w:rsidRPr="009D06C9">
              <w:rPr>
                <w:lang w:val="es-ES_tradnl"/>
              </w:rPr>
              <w:t>Intercambio de claves</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Sí</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Sí</w:t>
            </w:r>
          </w:p>
        </w:tc>
      </w:tr>
      <w:tr w:rsidR="00A87E27" w:rsidRPr="00D30DBF" w:rsidTr="00090ED8">
        <w:trPr>
          <w:cantSplit/>
          <w:jc w:val="center"/>
        </w:trPr>
        <w:tc>
          <w:tcPr>
            <w:tcW w:w="3061" w:type="dxa"/>
            <w:shd w:val="clear" w:color="auto" w:fill="auto"/>
          </w:tcPr>
          <w:p w:rsidR="00A87E27" w:rsidRPr="009D06C9" w:rsidRDefault="00A87E27" w:rsidP="00090ED8">
            <w:pPr>
              <w:pStyle w:val="Tabletext"/>
              <w:jc w:val="left"/>
              <w:rPr>
                <w:lang w:val="es-ES_tradnl"/>
              </w:rPr>
            </w:pPr>
            <w:r w:rsidRPr="009D06C9">
              <w:rPr>
                <w:lang w:val="es-ES_tradnl"/>
              </w:rPr>
              <w:t xml:space="preserve">Identificación unívoca de dispositivo </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Identificador único de dispositivo de 64 bits</w:t>
            </w:r>
          </w:p>
        </w:tc>
        <w:tc>
          <w:tcPr>
            <w:tcW w:w="3288" w:type="dxa"/>
            <w:shd w:val="clear" w:color="auto" w:fill="auto"/>
          </w:tcPr>
          <w:p w:rsidR="00A87E27" w:rsidRPr="009D06C9" w:rsidRDefault="00A87E27" w:rsidP="00090ED8">
            <w:pPr>
              <w:pStyle w:val="Tabletext"/>
              <w:jc w:val="left"/>
              <w:rPr>
                <w:lang w:val="es-ES_tradnl"/>
              </w:rPr>
            </w:pPr>
            <w:r w:rsidRPr="009D06C9">
              <w:rPr>
                <w:lang w:val="es-ES_tradnl"/>
              </w:rPr>
              <w:t>Identificador único de dispositivo de 64 bits</w:t>
            </w:r>
          </w:p>
        </w:tc>
      </w:tr>
    </w:tbl>
    <w:p w:rsidR="00A87E27" w:rsidRPr="009D06C9" w:rsidRDefault="00A87E27" w:rsidP="00A87E27">
      <w:pPr>
        <w:pStyle w:val="Tablefin"/>
        <w:rPr>
          <w:lang w:val="es-ES_tradnl"/>
        </w:rPr>
      </w:pPr>
      <w:bookmarkStart w:id="49" w:name="_Toc421882708"/>
    </w:p>
    <w:p w:rsidR="00A87E27" w:rsidRPr="009D06C9" w:rsidRDefault="00A87E27" w:rsidP="00A87E27">
      <w:pPr>
        <w:pStyle w:val="Heading2"/>
        <w:rPr>
          <w:rFonts w:eastAsia="Batang"/>
          <w:lang w:val="es-ES_tradnl"/>
        </w:rPr>
      </w:pPr>
      <w:bookmarkStart w:id="50" w:name="_Toc498004366"/>
      <w:r w:rsidRPr="009D06C9">
        <w:rPr>
          <w:rFonts w:eastAsia="Batang"/>
          <w:lang w:val="es-ES_tradnl"/>
        </w:rPr>
        <w:t>A1.3</w:t>
      </w:r>
      <w:r w:rsidRPr="009D06C9">
        <w:rPr>
          <w:rFonts w:eastAsia="Batang"/>
          <w:lang w:val="es-ES_tradnl"/>
        </w:rPr>
        <w:tab/>
        <w:t>Normas 3GPP</w:t>
      </w:r>
      <w:bookmarkEnd w:id="49"/>
      <w:bookmarkEnd w:id="50"/>
    </w:p>
    <w:p w:rsidR="00A87E27" w:rsidRPr="009D06C9" w:rsidRDefault="00A87E27" w:rsidP="00A87E27">
      <w:pPr>
        <w:rPr>
          <w:rFonts w:eastAsia="Batang"/>
          <w:lang w:val="es-ES_tradnl"/>
        </w:rPr>
      </w:pPr>
      <w:r w:rsidRPr="009D06C9">
        <w:rPr>
          <w:rFonts w:eastAsia="Batang"/>
          <w:lang w:val="es-ES_tradnl"/>
        </w:rPr>
        <w:t>3GPP tiene varias normas inalámbricas aplicables a aplicaciones del primer kilómetro para sistemas de gestión de redes eléctricas. En el cuadro siguiente se resumen las características técnicas y operacionales de las normas inalámbricas 3GPP pertinentes.</w:t>
      </w:r>
    </w:p>
    <w:p w:rsidR="00A87E27" w:rsidRPr="009D06C9" w:rsidRDefault="00A87E27" w:rsidP="00A87E27">
      <w:pPr>
        <w:pStyle w:val="TableNo"/>
        <w:rPr>
          <w:lang w:val="es-ES_tradnl"/>
        </w:rPr>
      </w:pPr>
      <w:r w:rsidRPr="009D06C9">
        <w:rPr>
          <w:lang w:val="es-ES_tradnl"/>
        </w:rPr>
        <w:lastRenderedPageBreak/>
        <w:t>CUADRO A1.7</w:t>
      </w:r>
    </w:p>
    <w:p w:rsidR="00A87E27" w:rsidRPr="009D06C9" w:rsidRDefault="00A87E27" w:rsidP="00A87E27">
      <w:pPr>
        <w:pStyle w:val="Tabletitle"/>
        <w:rPr>
          <w:lang w:val="es-ES_tradnl"/>
        </w:rPr>
      </w:pPr>
      <w:r w:rsidRPr="009D06C9">
        <w:rPr>
          <w:lang w:val="es-ES_tradnl"/>
        </w:rPr>
        <w:t>Características técnicas y operacionales de las tecnologías 3GPP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tblGrid>
      <w:tr w:rsidR="00A87E27" w:rsidRPr="009D06C9" w:rsidTr="00090ED8">
        <w:trPr>
          <w:cantSplit/>
          <w:jc w:val="center"/>
        </w:trPr>
        <w:tc>
          <w:tcPr>
            <w:tcW w:w="1701" w:type="dxa"/>
            <w:noWrap/>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Característica de funcionalidad</w:t>
            </w:r>
          </w:p>
        </w:tc>
        <w:tc>
          <w:tcPr>
            <w:tcW w:w="1361" w:type="dxa"/>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Unidad de medición</w:t>
            </w:r>
          </w:p>
        </w:tc>
        <w:tc>
          <w:tcPr>
            <w:tcW w:w="1644" w:type="dxa"/>
            <w:noWrap/>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GSM/EDGE</w:t>
            </w:r>
          </w:p>
        </w:tc>
        <w:tc>
          <w:tcPr>
            <w:tcW w:w="1644" w:type="dxa"/>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UMTS</w:t>
            </w:r>
          </w:p>
        </w:tc>
        <w:tc>
          <w:tcPr>
            <w:tcW w:w="1644" w:type="dxa"/>
            <w:noWrap/>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HSPA+</w:t>
            </w:r>
          </w:p>
        </w:tc>
        <w:tc>
          <w:tcPr>
            <w:tcW w:w="1644" w:type="dxa"/>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LTE</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Capacidad de establecer fiablemente un enlace de dispositivo apropiado</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 de tiempo</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Depende del despliegue (típico &gt; 99%)</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Depende del despliegue (típico &gt; 99%)</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Depende del despliegue (típico &gt; 99%)</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Depende del despliegue (típico &gt; 99%)</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Capacidad de mantener una conexión apropiada</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Tasa de fallo por 1 000 sesiones</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Depende del despliegue (típico &lt; 1%)</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Depende del despliegue (típico &lt; 1%)</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Depende del despliegue (típico &lt; 1%)</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Depende del despliegue (típico &lt; 1%)</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Voz</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Datos</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Velocidad. máxima de datos de usuario por usuario en Mbit/s</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 xml:space="preserve">Usando 8 intervalos: </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0,1856 Mbit/s (servicio general de radiocomuni-</w:t>
            </w:r>
            <w:r w:rsidRPr="009D06C9">
              <w:rPr>
                <w:rFonts w:eastAsia="Batang"/>
                <w:sz w:val="20"/>
                <w:lang w:val="es-ES_tradnl" w:eastAsia="ko-KR"/>
              </w:rPr>
              <w:br/>
              <w:t>caciones por paquetes (GPRS) UL/DL)</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0,5568 Mbit/s (GPRS mejorado (EGPRS) UL/DL)</w:t>
            </w:r>
          </w:p>
          <w:p w:rsidR="00A87E27" w:rsidRPr="00A61321" w:rsidRDefault="00A87E27" w:rsidP="00090ED8">
            <w:pPr>
              <w:pStyle w:val="Tabletext"/>
              <w:ind w:left="-57"/>
              <w:jc w:val="left"/>
              <w:rPr>
                <w:rFonts w:eastAsia="Batang"/>
                <w:sz w:val="20"/>
                <w:lang w:val="en-US" w:eastAsia="ko-KR"/>
              </w:rPr>
            </w:pPr>
            <w:r w:rsidRPr="00A61321">
              <w:rPr>
                <w:rFonts w:eastAsia="Batang"/>
                <w:sz w:val="20"/>
                <w:lang w:val="en-US" w:eastAsia="ko-KR"/>
              </w:rPr>
              <w:t>0,928 Mbit/s (EGPRS2-A DL)</w:t>
            </w:r>
          </w:p>
          <w:p w:rsidR="00A87E27" w:rsidRPr="00A61321" w:rsidRDefault="00A87E27" w:rsidP="00090ED8">
            <w:pPr>
              <w:pStyle w:val="Tabletext"/>
              <w:ind w:left="-57"/>
              <w:jc w:val="left"/>
              <w:rPr>
                <w:rFonts w:eastAsia="Batang"/>
                <w:sz w:val="20"/>
                <w:lang w:val="en-US" w:eastAsia="ko-KR"/>
              </w:rPr>
            </w:pPr>
            <w:r w:rsidRPr="00A61321">
              <w:rPr>
                <w:rFonts w:eastAsia="Batang"/>
                <w:sz w:val="20"/>
                <w:lang w:val="en-US" w:eastAsia="ko-KR"/>
              </w:rPr>
              <w:t>0,7424 Mbit/s (EGPRS2-A UL)</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Versión 7: Enlace descendente doble portadora, 2x (EGPRS, EGPRS2-A)</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Versión 12: Enlace descendente multiportadoras, 2x – 16x (EGPRS, EGPRS2-A)</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2,048 Mbit/s</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346 Mbit/s DL;</w:t>
            </w:r>
            <w:r w:rsidRPr="009D06C9">
              <w:rPr>
                <w:rFonts w:eastAsia="Batang"/>
                <w:sz w:val="20"/>
                <w:lang w:val="es-ES_tradnl" w:eastAsia="ko-KR"/>
              </w:rPr>
              <w:br/>
              <w:t>34 Mbit/s UL</w:t>
            </w:r>
            <w:r w:rsidRPr="009D06C9">
              <w:rPr>
                <w:rFonts w:eastAsia="Batang"/>
                <w:sz w:val="20"/>
                <w:lang w:val="es-ES_tradnl" w:eastAsia="ko-KR"/>
              </w:rPr>
              <w:br/>
              <w:t xml:space="preserve">para versión 12 </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~4 Gbit/s DL; ~1,5 Gbit/s</w:t>
            </w:r>
            <w:r w:rsidRPr="009D06C9" w:rsidDel="00392F56">
              <w:rPr>
                <w:rFonts w:eastAsia="Batang"/>
                <w:sz w:val="20"/>
                <w:lang w:val="es-ES_tradnl" w:eastAsia="ko-KR"/>
              </w:rPr>
              <w:t xml:space="preserve"> </w:t>
            </w:r>
            <w:r w:rsidRPr="009D06C9">
              <w:rPr>
                <w:rFonts w:eastAsia="Batang"/>
                <w:sz w:val="20"/>
                <w:lang w:val="es-ES_tradnl" w:eastAsia="ko-KR"/>
              </w:rPr>
              <w:t>UL para versión 12</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Vídeo</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Resolución máxima en píxeles @ x fps</w:t>
            </w: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r>
    </w:tbl>
    <w:p w:rsidR="00A87E27" w:rsidRPr="009D06C9" w:rsidRDefault="00A87E27" w:rsidP="00A87E27">
      <w:pPr>
        <w:pStyle w:val="Tablefin"/>
        <w:rPr>
          <w:lang w:val="es-ES_tradnl"/>
        </w:rPr>
      </w:pPr>
    </w:p>
    <w:p w:rsidR="00A87E27" w:rsidRPr="009D06C9" w:rsidRDefault="00A87E27" w:rsidP="00A87E27">
      <w:pPr>
        <w:pStyle w:val="TableNo"/>
        <w:rPr>
          <w:lang w:val="es-ES_tradnl"/>
        </w:rPr>
      </w:pPr>
      <w:r w:rsidRPr="009D06C9">
        <w:rPr>
          <w:lang w:val="es-ES_tradnl"/>
        </w:rPr>
        <w:lastRenderedPageBreak/>
        <w:t>CUADRO A1.7 (</w:t>
      </w:r>
      <w:r w:rsidR="00D4477F" w:rsidRPr="009D06C9">
        <w:rPr>
          <w:i/>
          <w:iCs/>
          <w:lang w:val="es-ES_tradnl"/>
        </w:rPr>
        <w:t>continuación</w:t>
      </w:r>
      <w:r w:rsidRPr="009D06C9">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tblGrid>
      <w:tr w:rsidR="00A87E27" w:rsidRPr="009D06C9" w:rsidTr="00090ED8">
        <w:trPr>
          <w:cantSplit/>
          <w:jc w:val="center"/>
        </w:trPr>
        <w:tc>
          <w:tcPr>
            <w:tcW w:w="1701" w:type="dxa"/>
            <w:noWrap/>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Característica de funcionalidad</w:t>
            </w:r>
          </w:p>
        </w:tc>
        <w:tc>
          <w:tcPr>
            <w:tcW w:w="1361" w:type="dxa"/>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Unidad de medición</w:t>
            </w:r>
          </w:p>
        </w:tc>
        <w:tc>
          <w:tcPr>
            <w:tcW w:w="1644" w:type="dxa"/>
            <w:noWrap/>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GSM/EDGE</w:t>
            </w:r>
          </w:p>
        </w:tc>
        <w:tc>
          <w:tcPr>
            <w:tcW w:w="1644" w:type="dxa"/>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UMTS</w:t>
            </w:r>
          </w:p>
        </w:tc>
        <w:tc>
          <w:tcPr>
            <w:tcW w:w="1644" w:type="dxa"/>
            <w:noWrap/>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HSPA+</w:t>
            </w:r>
          </w:p>
        </w:tc>
        <w:tc>
          <w:tcPr>
            <w:tcW w:w="1644" w:type="dxa"/>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LTE</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Zona de cobertura geográfica</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km</w:t>
            </w:r>
            <w:r w:rsidRPr="009D06C9">
              <w:rPr>
                <w:rFonts w:eastAsia="Batang"/>
                <w:sz w:val="20"/>
                <w:vertAlign w:val="superscript"/>
                <w:lang w:val="es-ES_tradnl" w:eastAsia="ko-KR"/>
              </w:rPr>
              <w:t>2</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radio de 35 km con avance de temporización normal; radio de 120 km con avance de temporización extendido</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radio de 120 km para células de alcance extendido</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radio de 120 km para células de alcance extendido</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radio de 100 km</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Presupuesto de enlace</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dB</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146,36/133,39 dB (Veh A50) (EGPRS)</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Con diversidad Rx en BTS: 144 dB para GPRS/EGPRS/EGPRS2-A</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Hasta 147 dB</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Hasta 147 dB</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(extensión de cobertura adicional planificada para la versión 13)</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Hasta 143 dB DL; Hasta 133 dB UL</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(extensión de cobertura adicional planificada para la versión 13)</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Velocidad máxima de movimiento relativo</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km/s</w:t>
            </w: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350 km/h</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350 km/h</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350 km/h</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350 km/h</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Doppler máximo</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Hz</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1 000 con ecualizador de seguimiento de canal</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648</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648</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648</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Cresta con respecto a la velocidad de datos de enlace ascendente hertziano</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Mbit/s</w:t>
            </w:r>
          </w:p>
        </w:tc>
        <w:tc>
          <w:tcPr>
            <w:tcW w:w="1644" w:type="dxa"/>
            <w:noWrap/>
            <w:hideMark/>
          </w:tcPr>
          <w:p w:rsidR="00A87E27" w:rsidRPr="00993C9C" w:rsidRDefault="00A87E27" w:rsidP="00090ED8">
            <w:pPr>
              <w:pStyle w:val="Tabletext"/>
              <w:jc w:val="left"/>
              <w:rPr>
                <w:rFonts w:eastAsia="Batang"/>
                <w:sz w:val="20"/>
                <w:lang w:val="en-GB" w:eastAsia="ko-KR"/>
              </w:rPr>
            </w:pPr>
            <w:r w:rsidRPr="00993C9C">
              <w:rPr>
                <w:rFonts w:eastAsia="Batang"/>
                <w:sz w:val="20"/>
                <w:lang w:val="en-GB" w:eastAsia="ko-KR"/>
              </w:rPr>
              <w:t>0,271 Mbit/s (GPRS)</w:t>
            </w:r>
          </w:p>
          <w:p w:rsidR="00A87E27" w:rsidRPr="00993C9C" w:rsidRDefault="00A87E27" w:rsidP="00090ED8">
            <w:pPr>
              <w:pStyle w:val="Tabletext"/>
              <w:jc w:val="left"/>
              <w:rPr>
                <w:rFonts w:eastAsia="Batang"/>
                <w:sz w:val="20"/>
                <w:lang w:val="en-GB" w:eastAsia="ko-KR"/>
              </w:rPr>
            </w:pPr>
            <w:r w:rsidRPr="00993C9C">
              <w:rPr>
                <w:rFonts w:eastAsia="Batang"/>
                <w:sz w:val="20"/>
                <w:lang w:val="en-GB" w:eastAsia="ko-KR"/>
              </w:rPr>
              <w:t>0,8125 Mbit/s (EGPRS)</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1,0833 Mbit/s (EGPRS2-A)</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1,024 Mbit/s</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34 Mbit/s para la versión 12</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~1,5 Gbit/s para la versión 12</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Cresta con respecto a la velocidad de datos de enlace descendente hertziano</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Mbit/s</w:t>
            </w:r>
          </w:p>
        </w:tc>
        <w:tc>
          <w:tcPr>
            <w:tcW w:w="1644" w:type="dxa"/>
            <w:noWrap/>
            <w:hideMark/>
          </w:tcPr>
          <w:p w:rsidR="00A87E27" w:rsidRPr="00993C9C" w:rsidRDefault="00A87E27" w:rsidP="00090ED8">
            <w:pPr>
              <w:pStyle w:val="Tabletext"/>
              <w:jc w:val="left"/>
              <w:rPr>
                <w:rFonts w:eastAsia="Batang"/>
                <w:sz w:val="20"/>
                <w:lang w:val="en-GB" w:eastAsia="ko-KR"/>
              </w:rPr>
            </w:pPr>
            <w:r w:rsidRPr="00993C9C">
              <w:rPr>
                <w:rFonts w:eastAsia="Batang"/>
                <w:sz w:val="20"/>
                <w:lang w:val="en-GB" w:eastAsia="ko-KR"/>
              </w:rPr>
              <w:t>0,271 Mbit/s (GPRS)</w:t>
            </w:r>
          </w:p>
          <w:p w:rsidR="00A87E27" w:rsidRPr="00993C9C" w:rsidRDefault="00A87E27" w:rsidP="00090ED8">
            <w:pPr>
              <w:pStyle w:val="Tabletext"/>
              <w:jc w:val="left"/>
              <w:rPr>
                <w:rFonts w:eastAsia="Batang"/>
                <w:sz w:val="20"/>
                <w:lang w:val="en-GB" w:eastAsia="ko-KR"/>
              </w:rPr>
            </w:pPr>
            <w:r w:rsidRPr="00993C9C">
              <w:rPr>
                <w:rFonts w:eastAsia="Batang"/>
                <w:sz w:val="20"/>
                <w:lang w:val="en-GB" w:eastAsia="ko-KR"/>
              </w:rPr>
              <w:t>0,8125 Mbit/s (EGPRS)</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1,3542 Mbit/s (EGPRS2-A)</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Versión-7: Enlace descendente doble portadora, 2x (EGPRS, EGPRS2-A)</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Versión-12:</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Enlace descendente multiportadoras, 2x – 16x (EGPRS, EGPRS2-A)</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2,048 Mbit/s</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346 Mbit/s para la versión 12</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~4 Gbit/s para la versión 12</w:t>
            </w:r>
          </w:p>
        </w:tc>
      </w:tr>
    </w:tbl>
    <w:p w:rsidR="00A87E27" w:rsidRPr="009D06C9" w:rsidRDefault="00A87E27" w:rsidP="00A87E27">
      <w:pPr>
        <w:pStyle w:val="TableNo"/>
        <w:rPr>
          <w:lang w:val="es-ES_tradnl"/>
        </w:rPr>
      </w:pPr>
      <w:r w:rsidRPr="009D06C9">
        <w:rPr>
          <w:lang w:val="es-ES_tradnl"/>
        </w:rPr>
        <w:lastRenderedPageBreak/>
        <w:t>CUADRO A1.7 (</w:t>
      </w:r>
      <w:r w:rsidR="00D4477F" w:rsidRPr="009D06C9">
        <w:rPr>
          <w:i/>
          <w:iCs/>
          <w:lang w:val="es-ES_tradnl"/>
        </w:rPr>
        <w:t>continuación</w:t>
      </w:r>
      <w:r w:rsidRPr="009D06C9">
        <w:rPr>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tblGrid>
      <w:tr w:rsidR="00A87E27" w:rsidRPr="009D06C9" w:rsidTr="00090ED8">
        <w:trPr>
          <w:cantSplit/>
          <w:jc w:val="center"/>
        </w:trPr>
        <w:tc>
          <w:tcPr>
            <w:tcW w:w="1701" w:type="dxa"/>
            <w:noWrap/>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Característica de funcionalidad</w:t>
            </w:r>
          </w:p>
        </w:tc>
        <w:tc>
          <w:tcPr>
            <w:tcW w:w="1361" w:type="dxa"/>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Unidad de medición</w:t>
            </w:r>
          </w:p>
        </w:tc>
        <w:tc>
          <w:tcPr>
            <w:tcW w:w="1644" w:type="dxa"/>
            <w:noWrap/>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GSM/EDGE</w:t>
            </w:r>
          </w:p>
        </w:tc>
        <w:tc>
          <w:tcPr>
            <w:tcW w:w="1644" w:type="dxa"/>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UMTS</w:t>
            </w:r>
          </w:p>
        </w:tc>
        <w:tc>
          <w:tcPr>
            <w:tcW w:w="1644" w:type="dxa"/>
            <w:noWrap/>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HSPA+</w:t>
            </w:r>
          </w:p>
        </w:tc>
        <w:tc>
          <w:tcPr>
            <w:tcW w:w="1644" w:type="dxa"/>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LTE</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Velocidad de datos de enlace ascendente, caudal eficaz de cresta</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Mbit/s</w:t>
            </w:r>
          </w:p>
        </w:tc>
        <w:tc>
          <w:tcPr>
            <w:tcW w:w="1644" w:type="dxa"/>
            <w:hideMark/>
          </w:tcPr>
          <w:p w:rsidR="00A87E27" w:rsidRPr="00993C9C" w:rsidRDefault="00A87E27" w:rsidP="00090ED8">
            <w:pPr>
              <w:pStyle w:val="Tabletext"/>
              <w:jc w:val="left"/>
              <w:rPr>
                <w:rFonts w:eastAsia="Batang"/>
                <w:sz w:val="20"/>
                <w:lang w:val="en-GB" w:eastAsia="ko-KR"/>
              </w:rPr>
            </w:pPr>
            <w:r w:rsidRPr="00993C9C">
              <w:rPr>
                <w:rFonts w:eastAsia="Batang"/>
                <w:sz w:val="20"/>
                <w:lang w:val="en-GB" w:eastAsia="ko-KR"/>
              </w:rPr>
              <w:t xml:space="preserve">Usando 8 intervalos: </w:t>
            </w:r>
          </w:p>
          <w:p w:rsidR="00A87E27" w:rsidRPr="00993C9C" w:rsidRDefault="00A87E27" w:rsidP="00090ED8">
            <w:pPr>
              <w:pStyle w:val="Tabletext"/>
              <w:jc w:val="left"/>
              <w:rPr>
                <w:rFonts w:eastAsia="Batang"/>
                <w:sz w:val="20"/>
                <w:lang w:val="en-GB" w:eastAsia="ko-KR"/>
              </w:rPr>
            </w:pPr>
            <w:r w:rsidRPr="00993C9C">
              <w:rPr>
                <w:rFonts w:eastAsia="Batang"/>
                <w:sz w:val="20"/>
                <w:lang w:val="en-GB" w:eastAsia="ko-KR"/>
              </w:rPr>
              <w:t>0,1856 Mbit/s (GPRS)</w:t>
            </w:r>
          </w:p>
          <w:p w:rsidR="00A87E27" w:rsidRPr="00993C9C" w:rsidRDefault="00A87E27" w:rsidP="00090ED8">
            <w:pPr>
              <w:pStyle w:val="Tabletext"/>
              <w:jc w:val="left"/>
              <w:rPr>
                <w:rFonts w:eastAsia="Batang"/>
                <w:sz w:val="20"/>
                <w:lang w:val="en-GB" w:eastAsia="ko-KR"/>
              </w:rPr>
            </w:pPr>
            <w:r w:rsidRPr="00993C9C">
              <w:rPr>
                <w:rFonts w:eastAsia="Batang"/>
                <w:sz w:val="20"/>
                <w:lang w:val="en-GB" w:eastAsia="ko-KR"/>
              </w:rPr>
              <w:t>0,5568 Mbit/s (EGPRS)</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0,7424 Mbit/s (EGPRS2-A)</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0,960 Mbit/s</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~29 Mbit/s (~15% tara con respecto a PHY)</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~1,275 Gbit/s</w:t>
            </w:r>
            <w:r w:rsidRPr="009D06C9" w:rsidDel="00C103BF">
              <w:rPr>
                <w:rFonts w:eastAsia="Batang"/>
                <w:sz w:val="20"/>
                <w:lang w:val="es-ES_tradnl" w:eastAsia="ko-KR"/>
              </w:rPr>
              <w:t xml:space="preserve"> </w:t>
            </w:r>
            <w:r w:rsidRPr="009D06C9">
              <w:rPr>
                <w:rFonts w:eastAsia="Batang"/>
                <w:sz w:val="20"/>
                <w:lang w:val="es-ES_tradnl" w:eastAsia="ko-KR"/>
              </w:rPr>
              <w:t>(~15% tara con respecto a PHY)</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Velocidad de datos de enlace descendente, caudal eficaz de cresta</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Mbit/s</w:t>
            </w:r>
          </w:p>
        </w:tc>
        <w:tc>
          <w:tcPr>
            <w:tcW w:w="1644" w:type="dxa"/>
            <w:hideMark/>
          </w:tcPr>
          <w:p w:rsidR="00A87E27" w:rsidRPr="00993C9C" w:rsidRDefault="00A87E27" w:rsidP="00090ED8">
            <w:pPr>
              <w:pStyle w:val="Tabletext"/>
              <w:jc w:val="left"/>
              <w:rPr>
                <w:rFonts w:eastAsia="Batang"/>
                <w:sz w:val="20"/>
                <w:lang w:val="en-GB" w:eastAsia="ko-KR"/>
              </w:rPr>
            </w:pPr>
            <w:r w:rsidRPr="00993C9C">
              <w:rPr>
                <w:rFonts w:eastAsia="Batang"/>
                <w:sz w:val="20"/>
                <w:lang w:val="en-GB" w:eastAsia="ko-KR"/>
              </w:rPr>
              <w:t>Usando 8 intervalos:</w:t>
            </w:r>
          </w:p>
          <w:p w:rsidR="00A87E27" w:rsidRPr="00993C9C" w:rsidRDefault="00A87E27" w:rsidP="00090ED8">
            <w:pPr>
              <w:pStyle w:val="Tabletext"/>
              <w:jc w:val="left"/>
              <w:rPr>
                <w:rFonts w:eastAsia="Batang"/>
                <w:sz w:val="20"/>
                <w:lang w:val="en-GB" w:eastAsia="ko-KR"/>
              </w:rPr>
            </w:pPr>
            <w:r w:rsidRPr="00993C9C">
              <w:rPr>
                <w:rFonts w:eastAsia="Batang"/>
                <w:sz w:val="20"/>
                <w:lang w:val="en-GB" w:eastAsia="ko-KR"/>
              </w:rPr>
              <w:t>0,1856 Mbit/s (GPRS)</w:t>
            </w:r>
          </w:p>
          <w:p w:rsidR="00A87E27" w:rsidRPr="00993C9C" w:rsidRDefault="00A87E27" w:rsidP="00090ED8">
            <w:pPr>
              <w:pStyle w:val="Tabletext"/>
              <w:jc w:val="left"/>
              <w:rPr>
                <w:rFonts w:eastAsia="Batang"/>
                <w:sz w:val="20"/>
                <w:lang w:val="en-GB" w:eastAsia="ko-KR"/>
              </w:rPr>
            </w:pPr>
            <w:r w:rsidRPr="00993C9C">
              <w:rPr>
                <w:rFonts w:eastAsia="Batang"/>
                <w:sz w:val="20"/>
                <w:lang w:val="en-GB" w:eastAsia="ko-KR"/>
              </w:rPr>
              <w:t>0,5568 Mbit/s (EGPRS)</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0,928 Mbit/s (EGPRS2-A)</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Versión-7:</w:t>
            </w:r>
            <w:r w:rsidRPr="009D06C9">
              <w:rPr>
                <w:rFonts w:eastAsia="Batang"/>
                <w:sz w:val="20"/>
                <w:lang w:val="es-ES_tradnl" w:eastAsia="ko-KR"/>
              </w:rPr>
              <w:br/>
              <w:t>Enlace descendente doble portadora, 2x (EGPRS, EGPRS2-A)</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Versión-12:</w:t>
            </w:r>
            <w:r w:rsidRPr="009D06C9">
              <w:rPr>
                <w:rFonts w:eastAsia="Batang"/>
                <w:sz w:val="20"/>
                <w:lang w:val="es-ES_tradnl" w:eastAsia="ko-KR"/>
              </w:rPr>
              <w:br/>
              <w:t>Enlace descendente multiportadoras, 2x – 16x (EGPRS, EGPRS2-A)</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1,920 Mbit/s</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~294 Mbit/s (~15% tara con respecto a PHY)</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~3,4 Gbit/s</w:t>
            </w:r>
            <w:r w:rsidRPr="009D06C9" w:rsidDel="00C103BF">
              <w:rPr>
                <w:rFonts w:eastAsia="Batang"/>
                <w:sz w:val="20"/>
                <w:lang w:val="es-ES_tradnl" w:eastAsia="ko-KR"/>
              </w:rPr>
              <w:t xml:space="preserve"> </w:t>
            </w:r>
            <w:r w:rsidRPr="009D06C9">
              <w:rPr>
                <w:rFonts w:eastAsia="Batang"/>
                <w:sz w:val="20"/>
                <w:lang w:val="es-ES_tradnl" w:eastAsia="ko-KR"/>
              </w:rPr>
              <w:t>(~15% tara con respecto a PHY)</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Norma radioeléctrica pública que funciona en bandas sin licencia</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GHz L/UL</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Puede ser explotada, pero no especificada actualmente</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Puede ser explotada</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Puede ser explotada</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Puede ser explotada</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(Acceso asistido con licencia a bandas sin licencia destinado a la versión 13)</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Norma radioeléctrica pública que funciona en bandas con licencia</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GHz L/UL</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Múltiples bandas conforme a 3GPP 45.005</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Múltiples bandas conforme a 3GPP 25.101</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Múltiples bandas conforme a 3GPP 25.101</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Múltiples bandas conforme a 3GPP 36.101 y 36.104</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Norma radioeléctrica privada que funciona en bandas con licencia</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GHz L/UL</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Puede ser explotada, pero no especificada actualmente</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Puede ser explotada, pero no especificada actualmente</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Puede ser explotada, pero no especificada actualmente</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 incl. tecnología pulsar para hablar y de dispositivo a dispositivo</w:t>
            </w:r>
          </w:p>
        </w:tc>
      </w:tr>
    </w:tbl>
    <w:p w:rsidR="00A87E27" w:rsidRPr="009D06C9" w:rsidRDefault="00A87E27" w:rsidP="00A87E27">
      <w:pPr>
        <w:pStyle w:val="Tablefin"/>
        <w:rPr>
          <w:lang w:val="es-ES_tradnl"/>
        </w:rPr>
      </w:pPr>
    </w:p>
    <w:p w:rsidR="00A87E27" w:rsidRPr="009D06C9" w:rsidRDefault="00A87E27" w:rsidP="00A87E27">
      <w:pPr>
        <w:pStyle w:val="TableNo"/>
        <w:rPr>
          <w:lang w:val="es-ES_tradnl"/>
        </w:rPr>
      </w:pPr>
      <w:r w:rsidRPr="009D06C9">
        <w:rPr>
          <w:lang w:val="es-ES_tradnl"/>
        </w:rPr>
        <w:lastRenderedPageBreak/>
        <w:t>CUADRO A1.7 (</w:t>
      </w:r>
      <w:r w:rsidR="00D4477F" w:rsidRPr="009D06C9">
        <w:rPr>
          <w:i/>
          <w:iCs/>
          <w:lang w:val="es-ES_tradnl"/>
        </w:rPr>
        <w:t>continuación</w:t>
      </w:r>
      <w:r w:rsidRPr="009D06C9">
        <w:rPr>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tblGrid>
      <w:tr w:rsidR="00A87E27" w:rsidRPr="009D06C9" w:rsidTr="00090ED8">
        <w:trPr>
          <w:cantSplit/>
          <w:jc w:val="center"/>
        </w:trPr>
        <w:tc>
          <w:tcPr>
            <w:tcW w:w="1701" w:type="dxa"/>
            <w:noWrap/>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Característica de funcionalidad</w:t>
            </w:r>
          </w:p>
        </w:tc>
        <w:tc>
          <w:tcPr>
            <w:tcW w:w="1361" w:type="dxa"/>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Unidad de medición</w:t>
            </w:r>
          </w:p>
        </w:tc>
        <w:tc>
          <w:tcPr>
            <w:tcW w:w="1644" w:type="dxa"/>
            <w:noWrap/>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GSM/EDGE</w:t>
            </w:r>
          </w:p>
        </w:tc>
        <w:tc>
          <w:tcPr>
            <w:tcW w:w="1644" w:type="dxa"/>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UMTS</w:t>
            </w:r>
          </w:p>
        </w:tc>
        <w:tc>
          <w:tcPr>
            <w:tcW w:w="1644" w:type="dxa"/>
            <w:noWrap/>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HSPA+</w:t>
            </w:r>
          </w:p>
        </w:tc>
        <w:tc>
          <w:tcPr>
            <w:tcW w:w="1644" w:type="dxa"/>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LTE</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Método dúplex</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TDD/FDD</w:t>
            </w: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FDD</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FDD y TDD</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FDD y TDD</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FDD y TDD, incl. FDD semidúplex</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Ancho de banda portadora</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kHz</w:t>
            </w: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208 kHz @ 99%</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5 MHz para FDD</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5 MHz para FDD</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1,4, 3, 5, 10, 15, 20 MHz</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Hasta 100 MHz de ancho de banda agregados utilizando agregación de ancho de banda</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Separación de canales</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kHz</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Separación entre canales 200 kHz</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5 MHz para FDD</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5 MHz para FDD</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Separación nominal entre canales = (Ancho de banda del canal(1) + ancho de banda del canal(2))/2, siendo ancho de banda del canal(1) y ancho de banda del canal(2) los anchos de banda de las dos portadoras respectivas</w:t>
            </w:r>
          </w:p>
        </w:tc>
      </w:tr>
      <w:tr w:rsidR="00A87E27" w:rsidRPr="009D06C9" w:rsidTr="00090ED8">
        <w:trPr>
          <w:cantSplit/>
          <w:jc w:val="center"/>
        </w:trPr>
        <w:tc>
          <w:tcPr>
            <w:tcW w:w="3062" w:type="dxa"/>
            <w:gridSpan w:val="2"/>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Número de canales no superpuestos en la banda de explotación</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Véase 3GPP 45.005</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Véase 3GPP 25.101</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Véase 3GPP 25.101</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Véase 3GPP 36.101 y 36.104</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Eficiencia espectral</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bits/s/Hz</w:t>
            </w: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270,8/200 = 1,354 (GPRS)</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812,5/200 = 4,0625 (EGPRS)</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1354,2/200 = 6,771 (EGPRS2</w:t>
            </w:r>
            <w:r w:rsidRPr="009D06C9">
              <w:rPr>
                <w:rFonts w:eastAsia="Batang"/>
                <w:sz w:val="20"/>
                <w:lang w:val="es-ES_tradnl" w:eastAsia="ko-KR"/>
              </w:rPr>
              <w:noBreakHyphen/>
              <w:t>A)</w:t>
            </w:r>
          </w:p>
        </w:tc>
        <w:tc>
          <w:tcPr>
            <w:tcW w:w="1644" w:type="dxa"/>
            <w:hideMark/>
          </w:tcPr>
          <w:p w:rsidR="00A87E27" w:rsidRPr="00993C9C" w:rsidRDefault="00A87E27" w:rsidP="00090ED8">
            <w:pPr>
              <w:pStyle w:val="Tabletext"/>
              <w:jc w:val="left"/>
              <w:rPr>
                <w:rFonts w:eastAsia="Batang"/>
                <w:sz w:val="20"/>
                <w:lang w:val="en-GB" w:eastAsia="ko-KR"/>
              </w:rPr>
            </w:pPr>
            <w:r w:rsidRPr="00993C9C">
              <w:rPr>
                <w:rFonts w:eastAsia="Batang"/>
                <w:sz w:val="20"/>
                <w:lang w:val="en-GB" w:eastAsia="ko-KR"/>
              </w:rPr>
              <w:t>0,2048 bit/s/Hz UL; 0,4096 bit/s/Hz DL</w:t>
            </w:r>
          </w:p>
        </w:tc>
        <w:tc>
          <w:tcPr>
            <w:tcW w:w="1644" w:type="dxa"/>
            <w:hideMark/>
          </w:tcPr>
          <w:p w:rsidR="00A87E27" w:rsidRPr="00993C9C" w:rsidRDefault="00A87E27" w:rsidP="00090ED8">
            <w:pPr>
              <w:pStyle w:val="Tabletext"/>
              <w:jc w:val="left"/>
              <w:rPr>
                <w:rFonts w:eastAsia="Batang"/>
                <w:sz w:val="20"/>
                <w:lang w:val="en-GB" w:eastAsia="ko-KR"/>
              </w:rPr>
            </w:pPr>
            <w:r w:rsidRPr="00993C9C">
              <w:rPr>
                <w:rFonts w:eastAsia="Batang"/>
                <w:sz w:val="20"/>
                <w:lang w:val="en-GB" w:eastAsia="ko-KR"/>
              </w:rPr>
              <w:t>2,2 bit/s/Hz UL; 5,6 bit/s/Hz DL</w:t>
            </w:r>
          </w:p>
        </w:tc>
        <w:tc>
          <w:tcPr>
            <w:tcW w:w="1644" w:type="dxa"/>
            <w:hideMark/>
          </w:tcPr>
          <w:p w:rsidR="00A87E27" w:rsidRPr="00993C9C" w:rsidRDefault="00A87E27" w:rsidP="00090ED8">
            <w:pPr>
              <w:pStyle w:val="Tabletext"/>
              <w:jc w:val="left"/>
              <w:rPr>
                <w:rFonts w:eastAsia="Batang"/>
                <w:sz w:val="20"/>
                <w:lang w:val="en-GB" w:eastAsia="ko-KR"/>
              </w:rPr>
            </w:pPr>
            <w:r w:rsidRPr="00993C9C">
              <w:rPr>
                <w:rFonts w:eastAsia="Batang"/>
                <w:sz w:val="20"/>
                <w:lang w:val="en-GB" w:eastAsia="ko-KR"/>
              </w:rPr>
              <w:t>15 bit/s/Hz UL; 40 bit/s/Hz DL</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Eficiencia espectral media de célula</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bits/s/Hz/</w:t>
            </w:r>
            <w:r w:rsidRPr="009D06C9">
              <w:rPr>
                <w:rFonts w:eastAsia="Batang"/>
                <w:sz w:val="20"/>
                <w:lang w:val="es-ES_tradnl" w:eastAsia="ko-KR"/>
              </w:rPr>
              <w:br/>
              <w:t>célula</w:t>
            </w:r>
          </w:p>
        </w:tc>
        <w:tc>
          <w:tcPr>
            <w:tcW w:w="1644" w:type="dxa"/>
            <w:hideMark/>
          </w:tcPr>
          <w:p w:rsidR="00A87E27" w:rsidRPr="009D06C9" w:rsidRDefault="00A87E27" w:rsidP="00090ED8">
            <w:pPr>
              <w:pStyle w:val="Tabletext"/>
              <w:jc w:val="left"/>
              <w:rPr>
                <w:rFonts w:eastAsia="Batang"/>
                <w:sz w:val="20"/>
                <w:lang w:val="es-ES_tradnl" w:eastAsia="ko-KR"/>
              </w:rPr>
            </w:pPr>
            <w:r w:rsidRPr="00993C9C">
              <w:rPr>
                <w:rFonts w:eastAsia="Batang"/>
                <w:sz w:val="20"/>
                <w:lang w:val="en-GB" w:eastAsia="ko-KR"/>
              </w:rPr>
              <w:t>1,1760 Mbit/s/</w:t>
            </w:r>
            <w:r w:rsidRPr="00993C9C">
              <w:rPr>
                <w:rFonts w:eastAsia="Batang"/>
                <w:sz w:val="20"/>
                <w:lang w:val="en-GB" w:eastAsia="ko-KR"/>
              </w:rPr>
              <w:br/>
              <w:t xml:space="preserve">MHz/célula (Veh. </w:t>
            </w:r>
            <w:r w:rsidRPr="00EE026E">
              <w:rPr>
                <w:rFonts w:eastAsia="Batang"/>
                <w:sz w:val="20"/>
                <w:lang w:val="es-ES_tradnl" w:eastAsia="ko-KR"/>
              </w:rPr>
              <w:t>A50) (EGPRS)</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0,67 DL (con diversidad); 0,47 UL (peatón A)</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Dependiendo de la situación de despliegue, los ejemplos de gamas de valores son 1,1-1,6 DL; 0,7-2,3 UL</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Dependiendo de la situación de despliegue, los ejemplos de gamas de valores son 1,8-3,2 DL; 0,7-1,05 UL para la versión 8</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Duración de trama</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ms</w:t>
            </w: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120/26 ms</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10 ms (2 ms TTI)</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10 ms (2 ms TTI)</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10 ms (1 ms TTI)</w:t>
            </w:r>
          </w:p>
        </w:tc>
      </w:tr>
    </w:tbl>
    <w:p w:rsidR="00A87E27" w:rsidRPr="009D06C9" w:rsidRDefault="00A87E27" w:rsidP="00A87E27">
      <w:pPr>
        <w:pStyle w:val="Tablefin"/>
        <w:rPr>
          <w:lang w:val="es-ES_tradnl"/>
        </w:rPr>
      </w:pPr>
    </w:p>
    <w:p w:rsidR="00A87E27" w:rsidRPr="009D06C9" w:rsidRDefault="00A87E27" w:rsidP="00A87E27">
      <w:pPr>
        <w:pStyle w:val="TableNo"/>
        <w:rPr>
          <w:lang w:val="es-ES_tradnl"/>
        </w:rPr>
      </w:pPr>
      <w:r w:rsidRPr="009D06C9">
        <w:rPr>
          <w:lang w:val="es-ES_tradnl"/>
        </w:rPr>
        <w:lastRenderedPageBreak/>
        <w:t>CUADRO A1.7 (</w:t>
      </w:r>
      <w:r w:rsidR="00D4477F" w:rsidRPr="009D06C9">
        <w:rPr>
          <w:i/>
          <w:iCs/>
          <w:lang w:val="es-ES_tradnl"/>
        </w:rPr>
        <w:t>continuación</w:t>
      </w:r>
      <w:r w:rsidRPr="009D06C9">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tblGrid>
      <w:tr w:rsidR="00A87E27" w:rsidRPr="009D06C9" w:rsidTr="00090ED8">
        <w:trPr>
          <w:cantSplit/>
          <w:jc w:val="center"/>
        </w:trPr>
        <w:tc>
          <w:tcPr>
            <w:tcW w:w="1701" w:type="dxa"/>
            <w:noWrap/>
            <w:hideMark/>
          </w:tcPr>
          <w:p w:rsidR="00A87E27" w:rsidRPr="009D06C9" w:rsidRDefault="00A87E27" w:rsidP="00090ED8">
            <w:pPr>
              <w:pStyle w:val="Tablehead"/>
              <w:rPr>
                <w:rFonts w:eastAsia="Batang"/>
                <w:sz w:val="20"/>
                <w:lang w:val="es-ES_tradnl"/>
              </w:rPr>
            </w:pPr>
            <w:r w:rsidRPr="009D06C9">
              <w:rPr>
                <w:rFonts w:eastAsia="Batang"/>
                <w:sz w:val="20"/>
                <w:lang w:val="es-ES_tradnl"/>
              </w:rPr>
              <w:t>Característica de funcionalidad</w:t>
            </w:r>
          </w:p>
        </w:tc>
        <w:tc>
          <w:tcPr>
            <w:tcW w:w="1361" w:type="dxa"/>
            <w:hideMark/>
          </w:tcPr>
          <w:p w:rsidR="00A87E27" w:rsidRPr="009D06C9" w:rsidRDefault="00A87E27" w:rsidP="00090ED8">
            <w:pPr>
              <w:pStyle w:val="Tablehead"/>
              <w:rPr>
                <w:rFonts w:eastAsia="Batang"/>
                <w:sz w:val="20"/>
                <w:lang w:val="es-ES_tradnl"/>
              </w:rPr>
            </w:pPr>
            <w:r w:rsidRPr="009D06C9">
              <w:rPr>
                <w:rFonts w:eastAsia="Batang"/>
                <w:sz w:val="20"/>
                <w:lang w:val="es-ES_tradnl"/>
              </w:rPr>
              <w:t>Unidad de medición</w:t>
            </w:r>
          </w:p>
        </w:tc>
        <w:tc>
          <w:tcPr>
            <w:tcW w:w="1644" w:type="dxa"/>
            <w:noWrap/>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GSM/EDGE</w:t>
            </w:r>
          </w:p>
        </w:tc>
        <w:tc>
          <w:tcPr>
            <w:tcW w:w="1644" w:type="dxa"/>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UMTS</w:t>
            </w:r>
          </w:p>
        </w:tc>
        <w:tc>
          <w:tcPr>
            <w:tcW w:w="1644" w:type="dxa"/>
            <w:noWrap/>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HSPA+</w:t>
            </w:r>
          </w:p>
        </w:tc>
        <w:tc>
          <w:tcPr>
            <w:tcW w:w="1644" w:type="dxa"/>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LTE</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Tamaño máximo de paquete</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Bytes</w:t>
            </w: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1 560 bytes en la interfaz RLC</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Ningún tamaño fijo para FDD (depende del nivel de modulación y del número de códigos de canalización); TDD (3,84 Mbit/s) = 12 750 bytes (véase 3GPP 25.321)</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42 192 bits por tren en DL; 22 996 bits para UL</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8 188 bytes para DL/UL</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Soporte de segmentación</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Sí/no</w:t>
            </w: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Técnica de diversidad</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Antena, polarización, espacio, tiempo</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Orientación de haz</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Sí/no</w:t>
            </w: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No</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 xml:space="preserve">No </w:t>
            </w:r>
            <w:r w:rsidRPr="009D06C9">
              <w:rPr>
                <w:rFonts w:eastAsia="Batang"/>
                <w:i/>
                <w:iCs/>
                <w:sz w:val="20"/>
                <w:lang w:val="es-ES_tradnl" w:eastAsia="ko-KR"/>
              </w:rPr>
              <w:t>(para la versión 5)</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Retransmisión</w:t>
            </w:r>
          </w:p>
        </w:tc>
        <w:tc>
          <w:tcPr>
            <w:tcW w:w="1361" w:type="dxa"/>
            <w:hideMark/>
          </w:tcPr>
          <w:p w:rsidR="00A87E27" w:rsidRPr="009D06C9" w:rsidRDefault="00A87E27" w:rsidP="00090ED8">
            <w:pPr>
              <w:pStyle w:val="Tabletext"/>
              <w:ind w:right="-57"/>
              <w:jc w:val="left"/>
              <w:rPr>
                <w:rFonts w:eastAsia="Batang"/>
                <w:sz w:val="20"/>
                <w:lang w:val="es-ES_tradnl" w:eastAsia="ko-KR"/>
              </w:rPr>
            </w:pPr>
            <w:r w:rsidRPr="009D06C9">
              <w:rPr>
                <w:rFonts w:eastAsia="Batang"/>
                <w:sz w:val="20"/>
                <w:lang w:val="es-ES_tradnl" w:eastAsia="ko-KR"/>
              </w:rPr>
              <w:t>ARQ/HARQ/-</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 xml:space="preserve">Sí, </w:t>
            </w:r>
            <w:r w:rsidRPr="009D06C9">
              <w:rPr>
                <w:rFonts w:eastAsia="MS PGothic"/>
                <w:lang w:val="es-ES_tradnl" w:eastAsia="ja-JP"/>
              </w:rPr>
              <w:t>por ejemplo,</w:t>
            </w:r>
            <w:r w:rsidRPr="009D06C9">
              <w:rPr>
                <w:rFonts w:eastAsia="Batang"/>
                <w:sz w:val="20"/>
                <w:lang w:val="es-ES_tradnl" w:eastAsia="ko-KR"/>
              </w:rPr>
              <w:t xml:space="preserve"> ARQ, HARQ – redundancia incremental</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 xml:space="preserve">Sí, </w:t>
            </w:r>
            <w:r w:rsidRPr="009D06C9">
              <w:rPr>
                <w:rFonts w:eastAsia="MS PGothic"/>
                <w:lang w:val="es-ES_tradnl" w:eastAsia="ja-JP"/>
              </w:rPr>
              <w:t>por ejemplo,</w:t>
            </w:r>
            <w:r w:rsidRPr="009D06C9">
              <w:rPr>
                <w:rFonts w:eastAsia="Batang"/>
                <w:sz w:val="20"/>
                <w:lang w:val="es-ES_tradnl" w:eastAsia="ko-KR"/>
              </w:rPr>
              <w:t xml:space="preserve"> ARQ/HARQ</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 xml:space="preserve">Sí, </w:t>
            </w:r>
            <w:r w:rsidRPr="009D06C9">
              <w:rPr>
                <w:rFonts w:eastAsia="MS PGothic"/>
                <w:lang w:val="es-ES_tradnl" w:eastAsia="ja-JP"/>
              </w:rPr>
              <w:t>por ejemplo,</w:t>
            </w:r>
            <w:r w:rsidRPr="009D06C9">
              <w:rPr>
                <w:rFonts w:eastAsia="Batang"/>
                <w:sz w:val="20"/>
                <w:lang w:val="es-ES_tradnl" w:eastAsia="ko-KR"/>
              </w:rPr>
              <w:t xml:space="preserve"> ARQ/HARQ</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 xml:space="preserve">Sí, </w:t>
            </w:r>
            <w:r w:rsidRPr="009D06C9">
              <w:rPr>
                <w:rFonts w:eastAsia="MS PGothic"/>
                <w:lang w:val="es-ES_tradnl" w:eastAsia="ja-JP"/>
              </w:rPr>
              <w:t>por ejemplo,</w:t>
            </w:r>
            <w:r w:rsidRPr="009D06C9">
              <w:rPr>
                <w:rFonts w:eastAsia="Batang"/>
                <w:sz w:val="20"/>
                <w:lang w:val="es-ES_tradnl" w:eastAsia="ko-KR"/>
              </w:rPr>
              <w:t xml:space="preserve"> ARQ/HARQ</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Técnica de corrección de errores</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Codificación convolucional con perforación</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Turbo añadido en EGPRS2-A según versión 7</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Convolucional y turbo</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Convolucional y turbo</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Turbo; convolución en BCH con recorte de cola</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Supresión de interferencia</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 por ejemplo, cancelación de la interferencia de una sola antena (SAIC) DL</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IRC DL y UL</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 xml:space="preserve">No </w:t>
            </w:r>
            <w:r w:rsidRPr="009D06C9">
              <w:rPr>
                <w:rFonts w:eastAsia="Batang"/>
                <w:i/>
                <w:iCs/>
                <w:sz w:val="20"/>
                <w:lang w:val="es-ES_tradnl" w:eastAsia="ko-KR"/>
              </w:rPr>
              <w:t>(para la versión 5)</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 para DL y UL</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Radiofrecuencia de explotación</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Múltiples bandas según 3GPP 45.005</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Especificado en 3GPP 25.101</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Especificado en 3GPP 25.101</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Especificado en 3GPP 36.101</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Reintentos</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Configurable</w:t>
            </w: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Configurable</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Configurable</w:t>
            </w: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Configurable</w:t>
            </w:r>
          </w:p>
        </w:tc>
      </w:tr>
    </w:tbl>
    <w:p w:rsidR="00A87E27" w:rsidRPr="009D06C9" w:rsidRDefault="00A87E27" w:rsidP="00A87E27">
      <w:pPr>
        <w:pStyle w:val="Tablefin"/>
        <w:rPr>
          <w:lang w:val="es-ES_tradnl"/>
        </w:rPr>
      </w:pPr>
    </w:p>
    <w:p w:rsidR="00A87E27" w:rsidRPr="009D06C9" w:rsidRDefault="00A87E27" w:rsidP="00A87E27">
      <w:pPr>
        <w:pStyle w:val="TableNo"/>
        <w:rPr>
          <w:lang w:val="es-ES_tradnl"/>
        </w:rPr>
      </w:pPr>
      <w:r w:rsidRPr="009D06C9">
        <w:rPr>
          <w:lang w:val="es-ES_tradnl"/>
        </w:rPr>
        <w:lastRenderedPageBreak/>
        <w:t>CUADRO A1.7 (</w:t>
      </w:r>
      <w:r w:rsidR="00D4477F" w:rsidRPr="009D06C9">
        <w:rPr>
          <w:i/>
          <w:iCs/>
          <w:lang w:val="es-ES_tradnl"/>
        </w:rPr>
        <w:t>continuación</w:t>
      </w:r>
      <w:r w:rsidRPr="009D06C9">
        <w:rPr>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tblGrid>
      <w:tr w:rsidR="00A87E27" w:rsidRPr="009D06C9" w:rsidTr="00090ED8">
        <w:trPr>
          <w:cantSplit/>
          <w:jc w:val="center"/>
        </w:trPr>
        <w:tc>
          <w:tcPr>
            <w:tcW w:w="1701" w:type="dxa"/>
            <w:noWrap/>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Característica de funcionalidad</w:t>
            </w:r>
          </w:p>
        </w:tc>
        <w:tc>
          <w:tcPr>
            <w:tcW w:w="1361" w:type="dxa"/>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Unidad de medición</w:t>
            </w:r>
          </w:p>
        </w:tc>
        <w:tc>
          <w:tcPr>
            <w:tcW w:w="1644" w:type="dxa"/>
            <w:noWrap/>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GSM/EDGE</w:t>
            </w:r>
          </w:p>
        </w:tc>
        <w:tc>
          <w:tcPr>
            <w:tcW w:w="1644" w:type="dxa"/>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UMTS</w:t>
            </w:r>
          </w:p>
        </w:tc>
        <w:tc>
          <w:tcPr>
            <w:tcW w:w="1644" w:type="dxa"/>
            <w:noWrap/>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HSPA+</w:t>
            </w:r>
          </w:p>
        </w:tc>
        <w:tc>
          <w:tcPr>
            <w:tcW w:w="1644" w:type="dxa"/>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LTE</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Indicación de intensidad de señal recibida (RSSI</w:t>
            </w:r>
            <w:r w:rsidRPr="009D06C9">
              <w:rPr>
                <w:rFonts w:eastAsia="Batang"/>
                <w:i/>
                <w:iCs/>
                <w:sz w:val="20"/>
                <w:lang w:val="es-ES_tradnl" w:eastAsia="ko-KR"/>
              </w:rPr>
              <w:t>, receive signal strength indication</w:t>
            </w:r>
            <w:r w:rsidRPr="009D06C9">
              <w:rPr>
                <w:rFonts w:eastAsia="Batang"/>
                <w:sz w:val="20"/>
                <w:lang w:val="es-ES_tradnl" w:eastAsia="ko-KR"/>
              </w:rPr>
              <w:t>)</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ind w:right="-57"/>
              <w:jc w:val="left"/>
              <w:rPr>
                <w:rFonts w:eastAsia="Batang"/>
                <w:sz w:val="20"/>
                <w:lang w:val="es-ES_tradnl" w:eastAsia="ko-KR"/>
              </w:rPr>
            </w:pPr>
            <w:r w:rsidRPr="009D06C9">
              <w:rPr>
                <w:rFonts w:eastAsia="Batang"/>
                <w:sz w:val="20"/>
                <w:lang w:val="es-ES_tradnl" w:eastAsia="ko-KR"/>
              </w:rPr>
              <w:t xml:space="preserve">Sí; 64 niveles entre −110 dBm + escala y </w:t>
            </w:r>
            <w:r w:rsidRPr="009D06C9">
              <w:rPr>
                <w:rFonts w:eastAsia="Batang"/>
                <w:sz w:val="20"/>
                <w:lang w:val="es-ES_tradnl" w:eastAsia="ko-KR"/>
              </w:rPr>
              <w:br/>
              <w:t>−48 dBm + escala</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 77 niveles entre −100 dBm y −25 dBm</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 77 niveles entre −100 dBm y −25 dBm</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LTE comunica potencia recibida de señal de referencia (RSRP) para células vecinas LTE y de RSSI (77 niveles entre −100 dBm y −25 dBm) para células vecinas HSPA y EDGE. Véase 3GPP TS 36.133.</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Paquetes perdidos</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Proporción residual de errores de bloque (RBER) = 1% después de HARQ</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RBER residual = 1% después de HARQ</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Depende del punto de explotación, pero típicamente RBER residual de 1% después de HARQ</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Depende del punto de explotación pero típicamente RBER residual de 1% después de HARQ</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Mecanismos para reducir el consumo energético</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 por ejemplo, DTX, DRX y control de potencia</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 por ejemplo, DTX, DRX</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 por ejemplo, DTX, DRX</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 por ejemplo, DTX, DRX</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Apoyo de estado de baja potencia</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 xml:space="preserve">Sí, </w:t>
            </w:r>
            <w:r w:rsidRPr="009D06C9">
              <w:rPr>
                <w:rFonts w:eastAsia="MS PGothic"/>
                <w:lang w:val="es-ES_tradnl" w:eastAsia="ja-JP"/>
              </w:rPr>
              <w:t>por ejemplo,</w:t>
            </w:r>
            <w:r w:rsidRPr="009D06C9">
              <w:rPr>
                <w:rFonts w:eastAsia="Batang"/>
                <w:sz w:val="20"/>
                <w:lang w:val="es-ES_tradnl" w:eastAsia="ko-KR"/>
              </w:rPr>
              <w:t xml:space="preserve"> ciclos DTX/DRX más largos en todos los estados</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Punto a punto</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Punto a multipunto</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Radiodifusión</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Traspaso</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Método de acceso al medio</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sz w:val="20"/>
                <w:lang w:val="es-ES_tradnl"/>
              </w:rPr>
              <w:t>TDMA</w:t>
            </w:r>
            <w:r w:rsidRPr="009D06C9">
              <w:rPr>
                <w:color w:val="000000"/>
                <w:sz w:val="24"/>
                <w:lang w:val="es-ES_tradnl"/>
              </w:rPr>
              <w:t xml:space="preserve"> </w:t>
            </w:r>
            <w:r w:rsidRPr="009D06C9">
              <w:rPr>
                <w:sz w:val="20"/>
                <w:lang w:val="es-ES_tradnl"/>
              </w:rPr>
              <w:t>con conmutación de circuitos</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sz w:val="20"/>
                <w:lang w:val="es-ES_tradnl"/>
              </w:rPr>
              <w:t>CDMA</w:t>
            </w:r>
            <w:r w:rsidRPr="009D06C9">
              <w:rPr>
                <w:color w:val="000000"/>
                <w:sz w:val="24"/>
                <w:lang w:val="es-ES_tradnl"/>
              </w:rPr>
              <w:t xml:space="preserve"> </w:t>
            </w:r>
            <w:r w:rsidRPr="009D06C9">
              <w:rPr>
                <w:sz w:val="20"/>
                <w:lang w:val="es-ES_tradnl"/>
              </w:rPr>
              <w:t>con conmutación de circuitos</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sz w:val="20"/>
                <w:lang w:val="es-ES_tradnl"/>
              </w:rPr>
              <w:t>CDMA programado por paquetes</w:t>
            </w:r>
          </w:p>
        </w:tc>
        <w:tc>
          <w:tcPr>
            <w:tcW w:w="1644" w:type="dxa"/>
            <w:hideMark/>
          </w:tcPr>
          <w:p w:rsidR="00A87E27" w:rsidRPr="009D06C9" w:rsidRDefault="00A87E27" w:rsidP="00090ED8">
            <w:pPr>
              <w:pStyle w:val="Tabletext"/>
              <w:jc w:val="left"/>
              <w:rPr>
                <w:rFonts w:eastAsia="Batang"/>
                <w:sz w:val="20"/>
                <w:lang w:val="es-ES_tradnl"/>
              </w:rPr>
            </w:pPr>
            <w:r w:rsidRPr="009D06C9">
              <w:rPr>
                <w:sz w:val="20"/>
                <w:lang w:val="es-ES_tradnl"/>
              </w:rPr>
              <w:t>OFDMA programado por paquetes</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Descubrimiento</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Canal de sincronización y de difusión</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Canal de sincronización y de difusión</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Canal de sincronización y de difusión</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Canal de sincronización y de difusión</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Asociación</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Flujo temporal de bloques (TBF)</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A través de varias RNTI</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A través de HRNTI y ERNTI asignados a UE</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A través de CRNTI</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Prioridad de tráfico</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diffserv, resserv</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Prioridades definidas por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Prioridades definidas por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Prioridades definidas por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Prioridades definidas por 3GPP</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Prioridad de cola radioeléctrica</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Planificador en estación de base</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 en el planificador del Nodo B</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 en el planificador del Nodo B</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 en el planificador del Nodo B</w:t>
            </w:r>
          </w:p>
        </w:tc>
      </w:tr>
    </w:tbl>
    <w:p w:rsidR="00A87E27" w:rsidRPr="009D06C9" w:rsidRDefault="00A87E27" w:rsidP="00A87E27">
      <w:pPr>
        <w:pStyle w:val="Tablefin"/>
        <w:rPr>
          <w:lang w:val="es-ES_tradnl"/>
        </w:rPr>
      </w:pPr>
    </w:p>
    <w:p w:rsidR="00A87E27" w:rsidRPr="009D06C9" w:rsidRDefault="00A87E27" w:rsidP="00A87E27">
      <w:pPr>
        <w:pStyle w:val="TableNo"/>
        <w:rPr>
          <w:lang w:val="es-ES_tradnl"/>
        </w:rPr>
      </w:pPr>
      <w:r w:rsidRPr="009D06C9">
        <w:rPr>
          <w:lang w:val="es-ES_tradnl"/>
        </w:rPr>
        <w:lastRenderedPageBreak/>
        <w:t>CUADRO A1.7 (</w:t>
      </w:r>
      <w:r w:rsidR="00D4477F" w:rsidRPr="009D06C9">
        <w:rPr>
          <w:i/>
          <w:iCs/>
          <w:lang w:val="es-ES_tradnl"/>
        </w:rPr>
        <w:t>continuación</w:t>
      </w:r>
      <w:r w:rsidRPr="009D06C9">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tblGrid>
      <w:tr w:rsidR="00A87E27" w:rsidRPr="009D06C9" w:rsidTr="00090ED8">
        <w:trPr>
          <w:cantSplit/>
          <w:jc w:val="center"/>
        </w:trPr>
        <w:tc>
          <w:tcPr>
            <w:tcW w:w="1701" w:type="dxa"/>
            <w:noWrap/>
            <w:hideMark/>
          </w:tcPr>
          <w:p w:rsidR="00A87E27" w:rsidRPr="009D06C9" w:rsidRDefault="00A87E27" w:rsidP="00090ED8">
            <w:pPr>
              <w:pStyle w:val="Tablehead"/>
              <w:rPr>
                <w:rFonts w:eastAsia="Batang"/>
                <w:sz w:val="20"/>
                <w:lang w:val="es-ES_tradnl"/>
              </w:rPr>
            </w:pPr>
            <w:r w:rsidRPr="009D06C9">
              <w:rPr>
                <w:rFonts w:eastAsia="Batang"/>
                <w:sz w:val="20"/>
                <w:lang w:val="es-ES_tradnl"/>
              </w:rPr>
              <w:t>Característica de funcionalidad</w:t>
            </w:r>
          </w:p>
        </w:tc>
        <w:tc>
          <w:tcPr>
            <w:tcW w:w="1361" w:type="dxa"/>
            <w:hideMark/>
          </w:tcPr>
          <w:p w:rsidR="00A87E27" w:rsidRPr="009D06C9" w:rsidRDefault="00A87E27" w:rsidP="00090ED8">
            <w:pPr>
              <w:pStyle w:val="Tablehead"/>
              <w:rPr>
                <w:rFonts w:eastAsia="Batang"/>
                <w:sz w:val="20"/>
                <w:lang w:val="es-ES_tradnl"/>
              </w:rPr>
            </w:pPr>
            <w:r w:rsidRPr="009D06C9">
              <w:rPr>
                <w:rFonts w:eastAsia="Batang"/>
                <w:sz w:val="20"/>
                <w:lang w:val="es-ES_tradnl"/>
              </w:rPr>
              <w:t>Unidad de medición</w:t>
            </w:r>
          </w:p>
        </w:tc>
        <w:tc>
          <w:tcPr>
            <w:tcW w:w="1644" w:type="dxa"/>
            <w:noWrap/>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GSM/EDGE</w:t>
            </w:r>
          </w:p>
        </w:tc>
        <w:tc>
          <w:tcPr>
            <w:tcW w:w="1644" w:type="dxa"/>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UMTS</w:t>
            </w:r>
          </w:p>
        </w:tc>
        <w:tc>
          <w:tcPr>
            <w:tcW w:w="1644" w:type="dxa"/>
            <w:noWrap/>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HSPA+</w:t>
            </w:r>
          </w:p>
        </w:tc>
        <w:tc>
          <w:tcPr>
            <w:tcW w:w="1644" w:type="dxa"/>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LTE</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Conocimiento de la ubicación (coordenadas x,y,z)</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Métodos aGPS y UTDOA según especificación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Métodos aGPS y OTDOA según especificación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Métodos aGPS y OTDOA según especificación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Métodos</w:t>
            </w:r>
            <w:r w:rsidRPr="009D06C9">
              <w:rPr>
                <w:sz w:val="20"/>
                <w:lang w:val="es-ES_tradnl"/>
              </w:rPr>
              <w:t xml:space="preserve"> A</w:t>
            </w:r>
            <w:r w:rsidRPr="009D06C9">
              <w:rPr>
                <w:sz w:val="20"/>
                <w:lang w:val="es-ES_tradnl"/>
              </w:rPr>
              <w:noBreakHyphen/>
              <w:t xml:space="preserve">GNSS, OTDOA, E-CID, UTDOA </w:t>
            </w:r>
            <w:r w:rsidRPr="009D06C9">
              <w:rPr>
                <w:rFonts w:eastAsia="Batang"/>
                <w:sz w:val="20"/>
                <w:lang w:val="es-ES_tradnl" w:eastAsia="ko-KR"/>
              </w:rPr>
              <w:t>según especificación 3GPP</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Determinación de la distancia (comunicación de la distancia)</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noWrap/>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Criptación</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Algoritmos soportados</w:t>
            </w: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A5/3, A5/4, GEA3</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KASUMI</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KASUMI y SNOW 3G</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SNOW 3G/AES</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Autenticación</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 mutua</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 mutua</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 mutua</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sz w:val="20"/>
                <w:lang w:val="es-ES_tradnl"/>
              </w:rPr>
              <w:t>Protección contra reproducción</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Intercambio de claves</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Protocolos soportados</w:t>
            </w: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MILENAGE</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 xml:space="preserve">MILENAGE </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AKA</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AKA</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Fuentes de interferencia</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Otros usuarios, células y redes</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Otros usuarios, células y redes</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Otros usuarios, células y redes</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Otros usuarios, células y redes</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 xml:space="preserve">Interferencia cocanal </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ind w:right="-57"/>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Interferencia de canal adyacente</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Interferencia del canal alterno</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Prevención de colisiones</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Mecanismos de protección</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Sensibilidad a otras tecnologías radioeléctricas interferentes</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r>
      <w:tr w:rsidR="00A87E27" w:rsidRPr="00D30DBF" w:rsidTr="00090ED8">
        <w:trPr>
          <w:cantSplit/>
          <w:jc w:val="center"/>
        </w:trPr>
        <w:tc>
          <w:tcPr>
            <w:tcW w:w="3061" w:type="dxa"/>
            <w:gridSpan w:val="2"/>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Grado de interferencia causada a otras tecnologías radioeléctricas</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r>
    </w:tbl>
    <w:p w:rsidR="00A87E27" w:rsidRPr="009D06C9" w:rsidRDefault="00A87E27" w:rsidP="00A87E27">
      <w:pPr>
        <w:pStyle w:val="Tablefin"/>
        <w:rPr>
          <w:lang w:val="es-ES_tradnl"/>
        </w:rPr>
      </w:pPr>
    </w:p>
    <w:p w:rsidR="00A87E27" w:rsidRPr="009D06C9" w:rsidRDefault="00A87E27" w:rsidP="00A87E27">
      <w:pPr>
        <w:pStyle w:val="TableNo"/>
        <w:rPr>
          <w:lang w:val="es-ES_tradnl"/>
        </w:rPr>
      </w:pPr>
      <w:r w:rsidRPr="009D06C9">
        <w:rPr>
          <w:lang w:val="es-ES_tradnl"/>
        </w:rPr>
        <w:lastRenderedPageBreak/>
        <w:t>CUADRO A1.7 (</w:t>
      </w:r>
      <w:r w:rsidR="00D4477F" w:rsidRPr="009D06C9">
        <w:rPr>
          <w:i/>
          <w:iCs/>
          <w:lang w:val="es-ES_tradnl"/>
        </w:rPr>
        <w:t>fin</w:t>
      </w:r>
      <w:r w:rsidRPr="009D06C9">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tblGrid>
      <w:tr w:rsidR="00A87E27" w:rsidRPr="009D06C9" w:rsidTr="00090ED8">
        <w:trPr>
          <w:cantSplit/>
          <w:jc w:val="center"/>
        </w:trPr>
        <w:tc>
          <w:tcPr>
            <w:tcW w:w="1701" w:type="dxa"/>
            <w:noWrap/>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Característica de funcionalidad</w:t>
            </w:r>
          </w:p>
        </w:tc>
        <w:tc>
          <w:tcPr>
            <w:tcW w:w="1361" w:type="dxa"/>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Unidad de medición</w:t>
            </w:r>
          </w:p>
        </w:tc>
        <w:tc>
          <w:tcPr>
            <w:tcW w:w="1644" w:type="dxa"/>
            <w:noWrap/>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GSM/EDGE</w:t>
            </w:r>
          </w:p>
        </w:tc>
        <w:tc>
          <w:tcPr>
            <w:tcW w:w="1644" w:type="dxa"/>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UMTS</w:t>
            </w:r>
          </w:p>
        </w:tc>
        <w:tc>
          <w:tcPr>
            <w:tcW w:w="1644" w:type="dxa"/>
            <w:noWrap/>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HSPA+</w:t>
            </w:r>
          </w:p>
        </w:tc>
        <w:tc>
          <w:tcPr>
            <w:tcW w:w="1644" w:type="dxa"/>
            <w:vAlign w:val="center"/>
            <w:hideMark/>
          </w:tcPr>
          <w:p w:rsidR="00A87E27" w:rsidRPr="009D06C9" w:rsidRDefault="00A87E27" w:rsidP="00090ED8">
            <w:pPr>
              <w:pStyle w:val="Tablehead"/>
              <w:rPr>
                <w:rFonts w:eastAsia="Batang"/>
                <w:sz w:val="20"/>
                <w:lang w:val="es-ES_tradnl"/>
              </w:rPr>
            </w:pPr>
            <w:r w:rsidRPr="009D06C9">
              <w:rPr>
                <w:rFonts w:eastAsia="Batang"/>
                <w:sz w:val="20"/>
                <w:lang w:val="es-ES_tradnl"/>
              </w:rPr>
              <w:t>LTE</w:t>
            </w:r>
          </w:p>
        </w:tc>
      </w:tr>
      <w:tr w:rsidR="00A87E27" w:rsidRPr="00D30DBF" w:rsidTr="00090ED8">
        <w:trPr>
          <w:cantSplit/>
          <w:trHeight w:val="20"/>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Sensibilidad a emisiones RF de líneas eléctricas</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Gestionado según especificaciones e implementación de 3GPP</w:t>
            </w:r>
          </w:p>
        </w:tc>
      </w:tr>
      <w:tr w:rsidR="00A87E27" w:rsidRPr="009D06C9" w:rsidTr="00090ED8">
        <w:trPr>
          <w:cantSplit/>
          <w:trHeight w:val="20"/>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Dirección MAC</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r>
      <w:tr w:rsidR="00A87E27" w:rsidRPr="009D06C9" w:rsidTr="00090ED8">
        <w:trPr>
          <w:cantSplit/>
          <w:trHeight w:val="20"/>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Tarjeta SIM</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r>
      <w:tr w:rsidR="00A87E27" w:rsidRPr="009D06C9" w:rsidTr="00090ED8">
        <w:trPr>
          <w:cantSplit/>
          <w:trHeight w:val="20"/>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Otra identidad</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IMEI</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IMEI</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IMEI</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IMEI</w:t>
            </w:r>
          </w:p>
        </w:tc>
      </w:tr>
      <w:tr w:rsidR="00A87E27" w:rsidRPr="009D06C9" w:rsidTr="00090ED8">
        <w:trPr>
          <w:cantSplit/>
          <w:trHeight w:val="20"/>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Detección de fraudes</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Sí</w:t>
            </w:r>
          </w:p>
        </w:tc>
      </w:tr>
      <w:tr w:rsidR="00A87E27" w:rsidRPr="00D30DBF" w:rsidTr="00090ED8">
        <w:trPr>
          <w:cantSplit/>
          <w:trHeight w:val="20"/>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Norma de base, organización de normalización (SDO)</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Nombre SDO</w:t>
            </w:r>
          </w:p>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 xml:space="preserve"> </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ATIS (asociado organizacional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ATIS (asociado organizacional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ATIS (asociado organizacional de 3GPP)</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ATIS (asociado organizacional de 3GPP)</w:t>
            </w:r>
          </w:p>
        </w:tc>
      </w:tr>
      <w:tr w:rsidR="00A87E27" w:rsidRPr="009D06C9" w:rsidTr="00090ED8">
        <w:trPr>
          <w:cantSplit/>
          <w:trHeight w:val="20"/>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Organizaciones de creación de perfiles y aplicación</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Asociación/</w:t>
            </w:r>
            <w:r w:rsidRPr="009D06C9">
              <w:rPr>
                <w:rFonts w:eastAsia="Batang"/>
                <w:sz w:val="20"/>
                <w:lang w:val="es-ES_tradnl" w:eastAsia="ko-KR"/>
              </w:rPr>
              <w:br/>
              <w:t>Nombre del foro</w:t>
            </w:r>
          </w:p>
        </w:tc>
        <w:tc>
          <w:tcPr>
            <w:tcW w:w="1644" w:type="dxa"/>
            <w:noWrap/>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p>
        </w:tc>
      </w:tr>
      <w:tr w:rsidR="00A87E27" w:rsidRPr="009D06C9" w:rsidTr="00090ED8">
        <w:trPr>
          <w:cantSplit/>
          <w:trHeight w:val="20"/>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Gama de temperaturas</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45.005</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25.101 y 25.102</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25.101 y 25.102</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36.101 y 36.104</w:t>
            </w:r>
          </w:p>
        </w:tc>
      </w:tr>
      <w:tr w:rsidR="00A87E27" w:rsidRPr="009D06C9" w:rsidTr="00090ED8">
        <w:trPr>
          <w:cantSplit/>
          <w:trHeight w:val="20"/>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Fuentes de ruido RF – Otras radios</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45.005 y 45.050</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25.942</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25.942</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36.101 y 36.104</w:t>
            </w:r>
          </w:p>
        </w:tc>
      </w:tr>
      <w:tr w:rsidR="00A87E27" w:rsidRPr="009D06C9" w:rsidTr="00090ED8">
        <w:trPr>
          <w:cantSplit/>
          <w:trHeight w:val="20"/>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Fuentes de ruido RF – Otros equipos radioeléctricos</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45.005 y 45.050</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25.943</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25.943</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36.101 y 36.104</w:t>
            </w:r>
          </w:p>
        </w:tc>
      </w:tr>
      <w:tr w:rsidR="00A87E27" w:rsidRPr="009D06C9" w:rsidTr="00090ED8">
        <w:trPr>
          <w:cantSplit/>
          <w:trHeight w:val="20"/>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Sensibilidad Rx</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dBm</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45.005</w:t>
            </w:r>
            <w:r w:rsidRPr="009D06C9">
              <w:rPr>
                <w:rFonts w:eastAsia="Batang"/>
                <w:sz w:val="20"/>
                <w:lang w:val="es-ES_tradnl" w:eastAsia="ko-KR"/>
              </w:rPr>
              <w:br/>
              <w:t>–100 dBm (Veh A120) @ 10% BLER</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25.101 y 25.102</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25.101 y 25.102</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36.101 y 36.104</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Cresta de potencia Tx</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dBm</w:t>
            </w: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45.005</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25.101 y 25.102</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25.101 y 25.102</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36.101 y 36.104</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Pasos de potencia Tx</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dB</w:t>
            </w: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45.005</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25.101 y 25.102</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25.101 y 25.102</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36.101 y 36.104</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Ganancia de antena</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dBi</w:t>
            </w: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45.005</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25.101 y 25.102</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25.101 y 25.102</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36.101 y 36.104</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Ruido de fondo</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dBm</w:t>
            </w: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45.050</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25.101 y 25.102</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25.101 y 25.102</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Según 3GPP 36.101 y 36.104</w:t>
            </w:r>
          </w:p>
        </w:tc>
      </w:tr>
      <w:tr w:rsidR="00A87E27" w:rsidRPr="009D06C9"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Modulación</w:t>
            </w:r>
          </w:p>
        </w:tc>
        <w:tc>
          <w:tcPr>
            <w:tcW w:w="1361"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GFSK, OFDM, BPSK, GMSK</w:t>
            </w: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GMSK, 8-PSK 16QAM/32QAM añadido en EGPRS2-A según versión 7</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BPSK/QPSK</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QPSK, 16QAM/</w:t>
            </w:r>
            <w:r w:rsidRPr="009D06C9">
              <w:rPr>
                <w:rFonts w:eastAsia="Batang"/>
                <w:sz w:val="20"/>
                <w:lang w:val="es-ES_tradnl" w:eastAsia="ko-KR"/>
              </w:rPr>
              <w:br/>
              <w:t xml:space="preserve">64QAM </w:t>
            </w:r>
          </w:p>
        </w:tc>
        <w:tc>
          <w:tcPr>
            <w:tcW w:w="1644" w:type="dxa"/>
            <w:hideMark/>
          </w:tcPr>
          <w:p w:rsidR="00A87E27" w:rsidRPr="009D06C9" w:rsidRDefault="00A87E27" w:rsidP="00090ED8">
            <w:pPr>
              <w:pStyle w:val="Tabletext"/>
              <w:ind w:right="-57"/>
              <w:jc w:val="left"/>
              <w:rPr>
                <w:rFonts w:eastAsia="Batang"/>
                <w:sz w:val="20"/>
                <w:lang w:val="es-ES_tradnl" w:eastAsia="ko-KR"/>
              </w:rPr>
            </w:pPr>
            <w:r w:rsidRPr="009D06C9">
              <w:rPr>
                <w:rFonts w:eastAsia="Batang"/>
                <w:sz w:val="20"/>
                <w:lang w:val="es-ES_tradnl" w:eastAsia="ko-KR"/>
              </w:rPr>
              <w:t>QPSK, 16QAM/64QAM/256QAM</w:t>
            </w:r>
          </w:p>
        </w:tc>
      </w:tr>
      <w:tr w:rsidR="00A87E27" w:rsidRPr="00D30DBF" w:rsidTr="00090ED8">
        <w:trPr>
          <w:cantSplit/>
          <w:jc w:val="center"/>
        </w:trPr>
        <w:tc>
          <w:tcPr>
            <w:tcW w:w="1701"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Codificación de errores en recepción</w:t>
            </w:r>
          </w:p>
        </w:tc>
        <w:tc>
          <w:tcPr>
            <w:tcW w:w="1361" w:type="dxa"/>
            <w:hideMark/>
          </w:tcPr>
          <w:p w:rsidR="00A87E27" w:rsidRPr="009D06C9" w:rsidRDefault="00A87E27" w:rsidP="00090ED8">
            <w:pPr>
              <w:pStyle w:val="Tabletext"/>
              <w:jc w:val="left"/>
              <w:rPr>
                <w:rFonts w:eastAsia="Batang"/>
                <w:sz w:val="20"/>
                <w:lang w:val="es-ES_tradnl" w:eastAsia="ko-KR"/>
              </w:rPr>
            </w:pPr>
          </w:p>
        </w:tc>
        <w:tc>
          <w:tcPr>
            <w:tcW w:w="1644" w:type="dxa"/>
            <w:noWrap/>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Código convolucional con perforación</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Convolucional y turbo</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Convolucional y turbo</w:t>
            </w:r>
          </w:p>
        </w:tc>
        <w:tc>
          <w:tcPr>
            <w:tcW w:w="1644" w:type="dxa"/>
            <w:hideMark/>
          </w:tcPr>
          <w:p w:rsidR="00A87E27" w:rsidRPr="009D06C9" w:rsidRDefault="00A87E27" w:rsidP="00090ED8">
            <w:pPr>
              <w:pStyle w:val="Tabletext"/>
              <w:jc w:val="left"/>
              <w:rPr>
                <w:rFonts w:eastAsia="Batang"/>
                <w:sz w:val="20"/>
                <w:lang w:val="es-ES_tradnl" w:eastAsia="ko-KR"/>
              </w:rPr>
            </w:pPr>
            <w:r w:rsidRPr="009D06C9">
              <w:rPr>
                <w:rFonts w:eastAsia="Batang"/>
                <w:sz w:val="20"/>
                <w:lang w:val="es-ES_tradnl" w:eastAsia="ko-KR"/>
              </w:rPr>
              <w:t>Turbo; convolución retorno a cola en BCH</w:t>
            </w:r>
          </w:p>
        </w:tc>
      </w:tr>
    </w:tbl>
    <w:p w:rsidR="00A87E27" w:rsidRPr="009D06C9" w:rsidRDefault="00A87E27" w:rsidP="00A87E27">
      <w:pPr>
        <w:pStyle w:val="Tablefin"/>
        <w:rPr>
          <w:rFonts w:eastAsia="Batang"/>
          <w:lang w:val="es-ES_tradnl"/>
        </w:rPr>
      </w:pPr>
    </w:p>
    <w:p w:rsidR="00A87E27" w:rsidRPr="009D06C9" w:rsidRDefault="00A87E27" w:rsidP="00A87E27">
      <w:pPr>
        <w:keepNext/>
        <w:keepLines/>
        <w:rPr>
          <w:rFonts w:eastAsia="Batang"/>
          <w:lang w:val="es-ES_tradnl"/>
        </w:rPr>
      </w:pPr>
      <w:r w:rsidRPr="009D06C9">
        <w:rPr>
          <w:rFonts w:eastAsia="Batang"/>
          <w:lang w:val="es-ES_tradnl"/>
        </w:rPr>
        <w:lastRenderedPageBreak/>
        <w:t>Versiones recientes de las normas 3GPP han introducido mejoras de las comunicaciones de tipo máquina (MTC), por ejemplo:</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Establecimiento de acceso tolerante del retardo en la versión 10 (UMTS, HSPA+, LTE).</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Bloqueo de acceso extendido en la versión 11 (GSM/EDGE, UMTS, HSPA+, LTE).</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Modo de ahorro de energía de UE en la versión 12 (GSM/EDGE, UMTS, HSPA+, LTE).</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Categoría UE de baja complejidad en la versión 12 (LTE).</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3GPP ha empezado a trabajar sobre futuras mejoras de las comunicaciones de tipo máquina en la versión 13, destinadas por ejemplo a dispositivos de menor complejidad, una cobertura mejorada y una mayor vida útil de las baterías.</w:t>
      </w:r>
    </w:p>
    <w:p w:rsidR="00A87E27" w:rsidRPr="009D06C9" w:rsidRDefault="00A87E27" w:rsidP="00A87E27">
      <w:pPr>
        <w:pStyle w:val="Heading2"/>
        <w:rPr>
          <w:rFonts w:eastAsia="Batang"/>
          <w:lang w:val="es-ES_tradnl"/>
        </w:rPr>
      </w:pPr>
      <w:bookmarkStart w:id="51" w:name="_Toc421882709"/>
      <w:bookmarkStart w:id="52" w:name="_Toc498004367"/>
      <w:r w:rsidRPr="009D06C9">
        <w:rPr>
          <w:rFonts w:eastAsia="Batang"/>
          <w:lang w:val="es-ES_tradnl"/>
        </w:rPr>
        <w:t>A1.4</w:t>
      </w:r>
      <w:r w:rsidRPr="009D06C9">
        <w:rPr>
          <w:rFonts w:eastAsia="Batang"/>
          <w:lang w:val="es-ES_tradnl"/>
        </w:rPr>
        <w:tab/>
        <w:t>Normas 3GPP2</w:t>
      </w:r>
      <w:bookmarkEnd w:id="51"/>
      <w:bookmarkEnd w:id="52"/>
    </w:p>
    <w:p w:rsidR="00A87E27" w:rsidRPr="009D06C9" w:rsidRDefault="00A87E27" w:rsidP="00A87E27">
      <w:pPr>
        <w:rPr>
          <w:rFonts w:eastAsia="Batang"/>
          <w:lang w:val="es-ES_tradnl"/>
        </w:rPr>
      </w:pPr>
      <w:r w:rsidRPr="009D06C9">
        <w:rPr>
          <w:rFonts w:eastAsia="Batang"/>
          <w:lang w:val="es-ES_tradnl"/>
        </w:rPr>
        <w:t>3GPP2 tiene diversas normas inalámbricas aplicables a sistemas de gestión de red eléctrica. En el cuadro siguiente se resumen las características técnicas y operacionales de las normas inalámbricas 3GPP2 pertinentes.</w:t>
      </w:r>
    </w:p>
    <w:p w:rsidR="00A87E27" w:rsidRPr="009D06C9" w:rsidRDefault="00A87E27" w:rsidP="00A87E27">
      <w:pPr>
        <w:pStyle w:val="TableNo"/>
        <w:rPr>
          <w:lang w:val="es-ES_tradnl"/>
        </w:rPr>
      </w:pPr>
      <w:r w:rsidRPr="009D06C9">
        <w:rPr>
          <w:lang w:val="es-ES_tradnl"/>
        </w:rPr>
        <w:t>CUADRO A1.8</w:t>
      </w:r>
    </w:p>
    <w:p w:rsidR="00A87E27" w:rsidRPr="009D06C9" w:rsidRDefault="00A87E27" w:rsidP="00A87E27">
      <w:pPr>
        <w:pStyle w:val="Tabletitle"/>
        <w:rPr>
          <w:lang w:val="es-ES_tradnl"/>
        </w:rPr>
      </w:pPr>
      <w:r w:rsidRPr="009D06C9">
        <w:rPr>
          <w:lang w:val="es-ES_tradnl"/>
        </w:rPr>
        <w:t>Características técnicas y operacionales de la familia</w:t>
      </w:r>
      <w:r w:rsidRPr="009D06C9">
        <w:rPr>
          <w:lang w:val="es-ES_tradnl"/>
        </w:rPr>
        <w:br/>
        <w:t>de normas 3GPP2 cdma2000 multiportadoras</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4"/>
        <w:gridCol w:w="2551"/>
        <w:gridCol w:w="2551"/>
        <w:gridCol w:w="2551"/>
      </w:tblGrid>
      <w:tr w:rsidR="00A87E27" w:rsidRPr="009D06C9" w:rsidTr="00090ED8">
        <w:trPr>
          <w:cantSplit/>
          <w:trHeight w:val="20"/>
          <w:jc w:val="center"/>
        </w:trPr>
        <w:tc>
          <w:tcPr>
            <w:tcW w:w="1984" w:type="dxa"/>
            <w:vMerge w:val="restart"/>
            <w:vAlign w:val="center"/>
          </w:tcPr>
          <w:p w:rsidR="00A87E27" w:rsidRPr="009D06C9" w:rsidRDefault="00A87E27" w:rsidP="00090ED8">
            <w:pPr>
              <w:pStyle w:val="Tablehead"/>
              <w:keepLines/>
              <w:rPr>
                <w:lang w:val="es-ES_tradnl"/>
              </w:rPr>
            </w:pPr>
            <w:r w:rsidRPr="009D06C9">
              <w:rPr>
                <w:lang w:val="es-ES_tradnl"/>
              </w:rPr>
              <w:t>Ítem</w:t>
            </w:r>
          </w:p>
        </w:tc>
        <w:tc>
          <w:tcPr>
            <w:tcW w:w="7653" w:type="dxa"/>
            <w:gridSpan w:val="3"/>
          </w:tcPr>
          <w:p w:rsidR="00A87E27" w:rsidRPr="009D06C9" w:rsidRDefault="00A87E27" w:rsidP="00090ED8">
            <w:pPr>
              <w:pStyle w:val="Tablehead"/>
              <w:keepLines/>
              <w:rPr>
                <w:lang w:val="es-ES_tradnl"/>
              </w:rPr>
            </w:pPr>
            <w:r w:rsidRPr="009D06C9">
              <w:rPr>
                <w:lang w:val="es-ES_tradnl"/>
              </w:rPr>
              <w:t>Valor</w:t>
            </w:r>
          </w:p>
        </w:tc>
      </w:tr>
      <w:tr w:rsidR="00A87E27" w:rsidRPr="00D30DBF" w:rsidTr="00090ED8">
        <w:trPr>
          <w:cantSplit/>
          <w:trHeight w:val="20"/>
          <w:jc w:val="center"/>
        </w:trPr>
        <w:tc>
          <w:tcPr>
            <w:tcW w:w="1984" w:type="dxa"/>
            <w:vMerge/>
          </w:tcPr>
          <w:p w:rsidR="00A87E27" w:rsidRPr="009D06C9" w:rsidRDefault="00A87E27" w:rsidP="00090ED8">
            <w:pPr>
              <w:pStyle w:val="Tablehead"/>
              <w:keepLines/>
              <w:rPr>
                <w:lang w:val="es-ES_tradnl"/>
              </w:rPr>
            </w:pPr>
          </w:p>
        </w:tc>
        <w:tc>
          <w:tcPr>
            <w:tcW w:w="2551" w:type="dxa"/>
            <w:vAlign w:val="center"/>
          </w:tcPr>
          <w:p w:rsidR="00A87E27" w:rsidRPr="009D06C9" w:rsidRDefault="00A87E27" w:rsidP="00090ED8">
            <w:pPr>
              <w:pStyle w:val="Tablehead"/>
              <w:keepLines/>
              <w:rPr>
                <w:lang w:val="es-ES_tradnl"/>
              </w:rPr>
            </w:pPr>
            <w:r w:rsidRPr="009D06C9">
              <w:rPr>
                <w:lang w:val="es-ES_tradnl"/>
              </w:rPr>
              <w:t>cdma2000 1x</w:t>
            </w:r>
          </w:p>
        </w:tc>
        <w:tc>
          <w:tcPr>
            <w:tcW w:w="2551" w:type="dxa"/>
            <w:vAlign w:val="center"/>
          </w:tcPr>
          <w:p w:rsidR="00A87E27" w:rsidRPr="009D06C9" w:rsidRDefault="00A87E27" w:rsidP="00090ED8">
            <w:pPr>
              <w:pStyle w:val="Tablehead"/>
              <w:keepLines/>
              <w:rPr>
                <w:lang w:val="es-ES_tradnl"/>
              </w:rPr>
            </w:pPr>
            <w:r w:rsidRPr="009D06C9">
              <w:rPr>
                <w:lang w:val="es-ES_tradnl"/>
              </w:rPr>
              <w:t>Paquetes de datos cdma2000 de alta velocidad (HRPD/EV</w:t>
            </w:r>
            <w:r w:rsidRPr="009D06C9">
              <w:rPr>
                <w:lang w:val="es-ES_tradnl"/>
              </w:rPr>
              <w:noBreakHyphen/>
              <w:t>DO)</w:t>
            </w:r>
          </w:p>
        </w:tc>
        <w:tc>
          <w:tcPr>
            <w:tcW w:w="2551" w:type="dxa"/>
            <w:vAlign w:val="center"/>
          </w:tcPr>
          <w:p w:rsidR="00A87E27" w:rsidRPr="009D06C9" w:rsidRDefault="00A87E27" w:rsidP="00090ED8">
            <w:pPr>
              <w:pStyle w:val="Tablehead"/>
              <w:keepLines/>
              <w:rPr>
                <w:lang w:val="es-ES_tradnl"/>
              </w:rPr>
            </w:pPr>
            <w:r w:rsidRPr="009D06C9">
              <w:rPr>
                <w:lang w:val="es-ES_tradnl"/>
              </w:rPr>
              <w:t>Paquetes de datos</w:t>
            </w:r>
            <w:r w:rsidRPr="009D06C9">
              <w:rPr>
                <w:lang w:val="es-ES_tradnl"/>
              </w:rPr>
              <w:br/>
              <w:t>de alta velocidad extendida</w:t>
            </w:r>
            <w:r w:rsidRPr="009D06C9">
              <w:rPr>
                <w:lang w:val="es-ES_tradnl"/>
              </w:rPr>
              <w:br/>
              <w:t>(xHRPD)</w:t>
            </w:r>
          </w:p>
        </w:tc>
      </w:tr>
      <w:tr w:rsidR="00A87E27" w:rsidRPr="00D30DBF" w:rsidTr="00090ED8">
        <w:trPr>
          <w:cantSplit/>
          <w:trHeight w:val="20"/>
          <w:jc w:val="center"/>
        </w:trPr>
        <w:tc>
          <w:tcPr>
            <w:tcW w:w="1984" w:type="dxa"/>
          </w:tcPr>
          <w:p w:rsidR="00A87E27" w:rsidRPr="009D06C9" w:rsidRDefault="00A87E27" w:rsidP="00090ED8">
            <w:pPr>
              <w:pStyle w:val="Tabletext"/>
              <w:keepNext/>
              <w:keepLines/>
              <w:jc w:val="left"/>
              <w:rPr>
                <w:lang w:val="es-ES_tradnl"/>
              </w:rPr>
            </w:pPr>
            <w:r w:rsidRPr="009D06C9">
              <w:rPr>
                <w:lang w:val="es-ES_tradnl"/>
              </w:rPr>
              <w:t>Bandas de frecuencias soportadas (con o sin licencia)</w:t>
            </w:r>
          </w:p>
        </w:tc>
        <w:tc>
          <w:tcPr>
            <w:tcW w:w="2551" w:type="dxa"/>
          </w:tcPr>
          <w:p w:rsidR="00A87E27" w:rsidRPr="009D06C9" w:rsidRDefault="00A87E27" w:rsidP="00090ED8">
            <w:pPr>
              <w:pStyle w:val="Tabletext"/>
              <w:keepNext/>
              <w:keepLines/>
              <w:jc w:val="left"/>
              <w:rPr>
                <w:lang w:val="es-ES_tradnl"/>
              </w:rPr>
            </w:pPr>
            <w:r w:rsidRPr="009D06C9">
              <w:rPr>
                <w:lang w:val="es-ES_tradnl"/>
              </w:rPr>
              <w:t>Con licencia, múltiples bandas posibles (véase 3GPP2 C.S0057</w:t>
            </w:r>
            <w:r w:rsidRPr="009D06C9">
              <w:rPr>
                <w:lang w:val="es-ES_tradnl"/>
              </w:rPr>
              <w:noBreakHyphen/>
              <w:t>E)</w:t>
            </w:r>
          </w:p>
        </w:tc>
        <w:tc>
          <w:tcPr>
            <w:tcW w:w="2551" w:type="dxa"/>
          </w:tcPr>
          <w:p w:rsidR="00A87E27" w:rsidRPr="009D06C9" w:rsidRDefault="00A87E27" w:rsidP="00090ED8">
            <w:pPr>
              <w:pStyle w:val="Tabletext"/>
              <w:keepNext/>
              <w:keepLines/>
              <w:jc w:val="left"/>
              <w:rPr>
                <w:lang w:val="es-ES_tradnl"/>
              </w:rPr>
            </w:pPr>
            <w:r w:rsidRPr="009D06C9">
              <w:rPr>
                <w:lang w:val="es-ES_tradnl"/>
              </w:rPr>
              <w:t>Con licencia, múltiples bandas posibles (véase 3GPP2 C.S0057-E)</w:t>
            </w:r>
          </w:p>
        </w:tc>
        <w:tc>
          <w:tcPr>
            <w:tcW w:w="2551" w:type="dxa"/>
          </w:tcPr>
          <w:p w:rsidR="00A87E27" w:rsidRPr="009D06C9" w:rsidRDefault="00A87E27" w:rsidP="00090ED8">
            <w:pPr>
              <w:pStyle w:val="Tabletext"/>
              <w:keepNext/>
              <w:keepLines/>
              <w:jc w:val="left"/>
              <w:rPr>
                <w:lang w:val="es-ES_tradnl"/>
              </w:rPr>
            </w:pPr>
            <w:r w:rsidRPr="009D06C9">
              <w:rPr>
                <w:lang w:val="es-ES_tradnl"/>
              </w:rPr>
              <w:t>Con licencia, múltiples bandas posibles (véase 3GPP2 C.S0057-E)</w:t>
            </w:r>
          </w:p>
        </w:tc>
      </w:tr>
      <w:tr w:rsidR="00A87E27" w:rsidRPr="00D30DBF" w:rsidTr="00090ED8">
        <w:trPr>
          <w:cantSplit/>
          <w:trHeight w:val="20"/>
          <w:jc w:val="center"/>
        </w:trPr>
        <w:tc>
          <w:tcPr>
            <w:tcW w:w="1984" w:type="dxa"/>
          </w:tcPr>
          <w:p w:rsidR="00A87E27" w:rsidRPr="009D06C9" w:rsidRDefault="00A87E27" w:rsidP="00090ED8">
            <w:pPr>
              <w:pStyle w:val="Tabletext"/>
              <w:jc w:val="left"/>
              <w:rPr>
                <w:lang w:val="es-ES_tradnl"/>
              </w:rPr>
            </w:pPr>
            <w:r w:rsidRPr="009D06C9">
              <w:rPr>
                <w:lang w:val="es-ES_tradnl"/>
              </w:rPr>
              <w:t>Gama de funcionamiento nominal</w:t>
            </w:r>
          </w:p>
        </w:tc>
        <w:tc>
          <w:tcPr>
            <w:tcW w:w="2551" w:type="dxa"/>
          </w:tcPr>
          <w:p w:rsidR="00A87E27" w:rsidRPr="009D06C9" w:rsidRDefault="00A87E27" w:rsidP="00090ED8">
            <w:pPr>
              <w:pStyle w:val="Tabletext"/>
              <w:ind w:right="-57"/>
              <w:jc w:val="left"/>
              <w:rPr>
                <w:lang w:val="es-ES_tradnl"/>
              </w:rPr>
            </w:pPr>
            <w:r w:rsidRPr="009D06C9">
              <w:rPr>
                <w:lang w:val="es-ES_tradnl"/>
              </w:rPr>
              <w:t>Pérdida de trayecto de 160 dB (para implantación urbana un alcance máximo típico es de 5,7 km a 2 GHz según metodología de evaluación 3GPP2 C.R.1002-B. Para implantaciones especiales se puede conseguir un alcance de hasta 144 km con valores de parámetros optimizados)</w:t>
            </w:r>
          </w:p>
        </w:tc>
        <w:tc>
          <w:tcPr>
            <w:tcW w:w="2551" w:type="dxa"/>
          </w:tcPr>
          <w:p w:rsidR="00A87E27" w:rsidRPr="009D06C9" w:rsidRDefault="00A87E27" w:rsidP="00090ED8">
            <w:pPr>
              <w:pStyle w:val="Tabletext"/>
              <w:ind w:right="-57"/>
              <w:jc w:val="left"/>
              <w:rPr>
                <w:lang w:val="es-ES_tradnl"/>
              </w:rPr>
            </w:pPr>
            <w:r w:rsidRPr="009D06C9">
              <w:rPr>
                <w:lang w:val="es-ES_tradnl"/>
              </w:rPr>
              <w:t>Pérdida de trayecto de 160 dB (para implantación urbana un alcance máximo típico es de 5,7 km a 2 GHz según metodología de evaluación 3GPP2 C.R.1002-B. Para implantaciones especiales se puede conseguir un alcance de hasta 144 km con valores de parámetros optimizados)</w:t>
            </w:r>
          </w:p>
        </w:tc>
        <w:tc>
          <w:tcPr>
            <w:tcW w:w="2551" w:type="dxa"/>
          </w:tcPr>
          <w:p w:rsidR="00A87E27" w:rsidRPr="009D06C9" w:rsidRDefault="00A87E27" w:rsidP="00090ED8">
            <w:pPr>
              <w:pStyle w:val="Tabletext"/>
              <w:jc w:val="left"/>
              <w:rPr>
                <w:lang w:val="es-ES_tradnl"/>
              </w:rPr>
            </w:pPr>
            <w:r w:rsidRPr="009D06C9">
              <w:rPr>
                <w:lang w:val="es-ES_tradnl"/>
              </w:rPr>
              <w:t>Norteamérica cubierta en el caso de implantación de geosatélite; 11,4 km en implantación terrenal; 2 GHz</w:t>
            </w:r>
          </w:p>
        </w:tc>
      </w:tr>
      <w:tr w:rsidR="00A87E27" w:rsidRPr="009D06C9" w:rsidTr="00090ED8">
        <w:trPr>
          <w:cantSplit/>
          <w:trHeight w:val="20"/>
          <w:jc w:val="center"/>
        </w:trPr>
        <w:tc>
          <w:tcPr>
            <w:tcW w:w="1984" w:type="dxa"/>
          </w:tcPr>
          <w:p w:rsidR="00A87E27" w:rsidRPr="009D06C9" w:rsidRDefault="00A87E27" w:rsidP="00090ED8">
            <w:pPr>
              <w:pStyle w:val="Tabletext"/>
              <w:jc w:val="left"/>
              <w:rPr>
                <w:lang w:val="es-ES_tradnl"/>
              </w:rPr>
            </w:pPr>
            <w:r w:rsidRPr="009D06C9">
              <w:rPr>
                <w:lang w:val="es-ES_tradnl"/>
              </w:rPr>
              <w:t xml:space="preserve">Capacidades de movilidad (nómada/móvil) </w:t>
            </w:r>
          </w:p>
        </w:tc>
        <w:tc>
          <w:tcPr>
            <w:tcW w:w="2551" w:type="dxa"/>
          </w:tcPr>
          <w:p w:rsidR="00A87E27" w:rsidRPr="009D06C9" w:rsidRDefault="00A87E27" w:rsidP="00090ED8">
            <w:pPr>
              <w:pStyle w:val="Tabletext"/>
              <w:jc w:val="left"/>
              <w:rPr>
                <w:lang w:val="es-ES_tradnl"/>
              </w:rPr>
            </w:pPr>
            <w:r w:rsidRPr="009D06C9">
              <w:rPr>
                <w:lang w:val="es-ES_tradnl"/>
              </w:rPr>
              <w:t>Nómada y móvil</w:t>
            </w:r>
          </w:p>
        </w:tc>
        <w:tc>
          <w:tcPr>
            <w:tcW w:w="2551" w:type="dxa"/>
          </w:tcPr>
          <w:p w:rsidR="00A87E27" w:rsidRPr="009D06C9" w:rsidRDefault="00A87E27" w:rsidP="00090ED8">
            <w:pPr>
              <w:pStyle w:val="Tabletext"/>
              <w:jc w:val="left"/>
              <w:rPr>
                <w:lang w:val="es-ES_tradnl"/>
              </w:rPr>
            </w:pPr>
            <w:r w:rsidRPr="009D06C9">
              <w:rPr>
                <w:lang w:val="es-ES_tradnl"/>
              </w:rPr>
              <w:t>Nómada y móvil</w:t>
            </w:r>
          </w:p>
        </w:tc>
        <w:tc>
          <w:tcPr>
            <w:tcW w:w="2551" w:type="dxa"/>
          </w:tcPr>
          <w:p w:rsidR="00A87E27" w:rsidRPr="009D06C9" w:rsidRDefault="00A87E27" w:rsidP="00090ED8">
            <w:pPr>
              <w:pStyle w:val="Tabletext"/>
              <w:jc w:val="left"/>
              <w:rPr>
                <w:lang w:val="es-ES_tradnl"/>
              </w:rPr>
            </w:pPr>
            <w:r w:rsidRPr="009D06C9">
              <w:rPr>
                <w:lang w:val="es-ES_tradnl"/>
              </w:rPr>
              <w:t>Nómada y móvil</w:t>
            </w:r>
          </w:p>
        </w:tc>
      </w:tr>
    </w:tbl>
    <w:p w:rsidR="00A87E27" w:rsidRPr="009D06C9" w:rsidRDefault="00A87E27" w:rsidP="00A87E27">
      <w:pPr>
        <w:pStyle w:val="Tablefin"/>
        <w:rPr>
          <w:lang w:val="es-ES_tradnl"/>
        </w:rPr>
      </w:pPr>
    </w:p>
    <w:p w:rsidR="00A87E27" w:rsidRPr="009D06C9" w:rsidRDefault="00A87E27" w:rsidP="00A87E27">
      <w:pPr>
        <w:pStyle w:val="TableNo"/>
        <w:rPr>
          <w:lang w:val="es-ES_tradnl"/>
        </w:rPr>
      </w:pPr>
      <w:r w:rsidRPr="009D06C9">
        <w:rPr>
          <w:lang w:val="es-ES_tradnl"/>
        </w:rPr>
        <w:lastRenderedPageBreak/>
        <w:t xml:space="preserve">CUADRO A1.8 </w:t>
      </w:r>
      <w:r w:rsidRPr="009D06C9">
        <w:rPr>
          <w:i/>
          <w:iCs/>
          <w:lang w:val="es-ES_tradnl"/>
        </w:rPr>
        <w:t>(</w:t>
      </w:r>
      <w:r w:rsidR="0066087F" w:rsidRPr="009D06C9">
        <w:rPr>
          <w:i/>
          <w:iCs/>
          <w:lang w:val="es-ES_tradnl"/>
        </w:rPr>
        <w:t>continuación</w:t>
      </w:r>
      <w:r w:rsidRPr="009D06C9">
        <w:rPr>
          <w:i/>
          <w:iCs/>
          <w:lang w:val="es-ES_tradnl"/>
        </w:rPr>
        <w:t>)</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4"/>
        <w:gridCol w:w="2551"/>
        <w:gridCol w:w="2551"/>
        <w:gridCol w:w="2551"/>
      </w:tblGrid>
      <w:tr w:rsidR="00A87E27" w:rsidRPr="009D06C9" w:rsidTr="00090ED8">
        <w:trPr>
          <w:cantSplit/>
          <w:trHeight w:val="20"/>
          <w:jc w:val="center"/>
        </w:trPr>
        <w:tc>
          <w:tcPr>
            <w:tcW w:w="1984" w:type="dxa"/>
            <w:vMerge w:val="restart"/>
            <w:vAlign w:val="center"/>
          </w:tcPr>
          <w:p w:rsidR="00A87E27" w:rsidRPr="009D06C9" w:rsidRDefault="00A87E27" w:rsidP="00090ED8">
            <w:pPr>
              <w:pStyle w:val="Tablehead"/>
              <w:keepLines/>
              <w:rPr>
                <w:lang w:val="es-ES_tradnl"/>
              </w:rPr>
            </w:pPr>
            <w:r w:rsidRPr="009D06C9">
              <w:rPr>
                <w:lang w:val="es-ES_tradnl"/>
              </w:rPr>
              <w:t>Ítem</w:t>
            </w:r>
          </w:p>
        </w:tc>
        <w:tc>
          <w:tcPr>
            <w:tcW w:w="7653" w:type="dxa"/>
            <w:gridSpan w:val="3"/>
          </w:tcPr>
          <w:p w:rsidR="00A87E27" w:rsidRPr="009D06C9" w:rsidRDefault="00A87E27" w:rsidP="00090ED8">
            <w:pPr>
              <w:pStyle w:val="Tablehead"/>
              <w:keepLines/>
              <w:rPr>
                <w:lang w:val="es-ES_tradnl"/>
              </w:rPr>
            </w:pPr>
            <w:r w:rsidRPr="009D06C9">
              <w:rPr>
                <w:lang w:val="es-ES_tradnl"/>
              </w:rPr>
              <w:t>Valor</w:t>
            </w:r>
          </w:p>
        </w:tc>
      </w:tr>
      <w:tr w:rsidR="00A87E27" w:rsidRPr="00D30DBF" w:rsidTr="00090ED8">
        <w:trPr>
          <w:cantSplit/>
          <w:trHeight w:val="20"/>
          <w:jc w:val="center"/>
        </w:trPr>
        <w:tc>
          <w:tcPr>
            <w:tcW w:w="1984" w:type="dxa"/>
            <w:vMerge/>
          </w:tcPr>
          <w:p w:rsidR="00A87E27" w:rsidRPr="009D06C9" w:rsidRDefault="00A87E27" w:rsidP="00090ED8">
            <w:pPr>
              <w:pStyle w:val="Tablehead"/>
              <w:keepLines/>
              <w:rPr>
                <w:lang w:val="es-ES_tradnl"/>
              </w:rPr>
            </w:pPr>
          </w:p>
        </w:tc>
        <w:tc>
          <w:tcPr>
            <w:tcW w:w="2551" w:type="dxa"/>
            <w:vAlign w:val="center"/>
          </w:tcPr>
          <w:p w:rsidR="00A87E27" w:rsidRPr="009D06C9" w:rsidRDefault="00A87E27" w:rsidP="00090ED8">
            <w:pPr>
              <w:pStyle w:val="Tablehead"/>
              <w:keepLines/>
              <w:rPr>
                <w:lang w:val="es-ES_tradnl"/>
              </w:rPr>
            </w:pPr>
            <w:r w:rsidRPr="009D06C9">
              <w:rPr>
                <w:lang w:val="es-ES_tradnl"/>
              </w:rPr>
              <w:t>cdma2000 1x</w:t>
            </w:r>
          </w:p>
        </w:tc>
        <w:tc>
          <w:tcPr>
            <w:tcW w:w="2551" w:type="dxa"/>
            <w:vAlign w:val="center"/>
          </w:tcPr>
          <w:p w:rsidR="00A87E27" w:rsidRPr="009D06C9" w:rsidRDefault="00A87E27" w:rsidP="00090ED8">
            <w:pPr>
              <w:pStyle w:val="Tablehead"/>
              <w:keepLines/>
              <w:rPr>
                <w:lang w:val="es-ES_tradnl"/>
              </w:rPr>
            </w:pPr>
            <w:r w:rsidRPr="009D06C9">
              <w:rPr>
                <w:lang w:val="es-ES_tradnl"/>
              </w:rPr>
              <w:t>Paquetes de datos cdma2000 de alta velocidad (HRPD/EV</w:t>
            </w:r>
            <w:r w:rsidRPr="009D06C9">
              <w:rPr>
                <w:lang w:val="es-ES_tradnl"/>
              </w:rPr>
              <w:noBreakHyphen/>
              <w:t>DO)</w:t>
            </w:r>
          </w:p>
        </w:tc>
        <w:tc>
          <w:tcPr>
            <w:tcW w:w="2551" w:type="dxa"/>
            <w:vAlign w:val="center"/>
          </w:tcPr>
          <w:p w:rsidR="00A87E27" w:rsidRPr="009D06C9" w:rsidRDefault="00A87E27" w:rsidP="00090ED8">
            <w:pPr>
              <w:pStyle w:val="Tablehead"/>
              <w:keepLines/>
              <w:rPr>
                <w:lang w:val="es-ES_tradnl"/>
              </w:rPr>
            </w:pPr>
            <w:r w:rsidRPr="009D06C9">
              <w:rPr>
                <w:lang w:val="es-ES_tradnl"/>
              </w:rPr>
              <w:t>Paquetes de datos</w:t>
            </w:r>
            <w:r w:rsidRPr="009D06C9">
              <w:rPr>
                <w:lang w:val="es-ES_tradnl"/>
              </w:rPr>
              <w:br/>
              <w:t>de alta velocidad extendida</w:t>
            </w:r>
            <w:r w:rsidRPr="009D06C9">
              <w:rPr>
                <w:lang w:val="es-ES_tradnl"/>
              </w:rPr>
              <w:br/>
              <w:t>(xHRPD)</w:t>
            </w:r>
          </w:p>
        </w:tc>
      </w:tr>
      <w:tr w:rsidR="00A87E27" w:rsidRPr="00D30DBF" w:rsidTr="00090ED8">
        <w:trPr>
          <w:cantSplit/>
          <w:trHeight w:val="20"/>
          <w:jc w:val="center"/>
        </w:trPr>
        <w:tc>
          <w:tcPr>
            <w:tcW w:w="1984" w:type="dxa"/>
          </w:tcPr>
          <w:p w:rsidR="00A87E27" w:rsidRPr="009D06C9" w:rsidRDefault="00A87E27" w:rsidP="00090ED8">
            <w:pPr>
              <w:pStyle w:val="Tabletext"/>
              <w:jc w:val="left"/>
              <w:rPr>
                <w:lang w:val="es-ES_tradnl"/>
              </w:rPr>
            </w:pPr>
            <w:r w:rsidRPr="009D06C9">
              <w:rPr>
                <w:lang w:val="es-ES_tradnl"/>
              </w:rPr>
              <w:t>Velocidad de datos de cresta (enlace ascendente/descendente si es diferente)</w:t>
            </w:r>
          </w:p>
        </w:tc>
        <w:tc>
          <w:tcPr>
            <w:tcW w:w="2551" w:type="dxa"/>
          </w:tcPr>
          <w:p w:rsidR="00A87E27" w:rsidRPr="009D06C9" w:rsidRDefault="00A87E27" w:rsidP="00090ED8">
            <w:pPr>
              <w:pStyle w:val="Tabletext"/>
              <w:jc w:val="left"/>
              <w:rPr>
                <w:kern w:val="1"/>
                <w:lang w:val="es-ES_tradnl"/>
              </w:rPr>
            </w:pPr>
            <w:r w:rsidRPr="009D06C9">
              <w:rPr>
                <w:lang w:val="es-ES_tradnl"/>
              </w:rPr>
              <w:t>3,1 Mbit/s (portadora de 1,23 MHz) en enlace descendente;</w:t>
            </w:r>
            <w:r w:rsidRPr="009D06C9">
              <w:rPr>
                <w:lang w:val="es-ES_tradnl"/>
              </w:rPr>
              <w:br/>
            </w:r>
            <w:r w:rsidRPr="009D06C9">
              <w:rPr>
                <w:kern w:val="1"/>
                <w:lang w:val="es-ES_tradnl"/>
              </w:rPr>
              <w:t>1,8 Mbit/s (portadora de 1,23 MHz) en enlace ascendente</w:t>
            </w:r>
          </w:p>
        </w:tc>
        <w:tc>
          <w:tcPr>
            <w:tcW w:w="2551" w:type="dxa"/>
          </w:tcPr>
          <w:p w:rsidR="00A87E27" w:rsidRPr="009D06C9" w:rsidRDefault="00A87E27" w:rsidP="00090ED8">
            <w:pPr>
              <w:pStyle w:val="Tabletext"/>
              <w:jc w:val="left"/>
              <w:rPr>
                <w:lang w:val="es-ES_tradnl"/>
              </w:rPr>
            </w:pPr>
            <w:r w:rsidRPr="009D06C9">
              <w:rPr>
                <w:lang w:val="es-ES_tradnl"/>
              </w:rPr>
              <w:t xml:space="preserve">4,9 Mbit/s por portadora de 1,23 MHz, con hasta 16 portadoras posibles en enlace descendente; </w:t>
            </w:r>
            <w:r w:rsidRPr="009D06C9">
              <w:rPr>
                <w:lang w:val="es-ES_tradnl"/>
              </w:rPr>
              <w:br/>
              <w:t>1,84 Mbit/s por portadora de 1,23 MHz, con hasta 16 portadoras posibles en enlace ascendente</w:t>
            </w:r>
          </w:p>
        </w:tc>
        <w:tc>
          <w:tcPr>
            <w:tcW w:w="2551" w:type="dxa"/>
          </w:tcPr>
          <w:p w:rsidR="00A87E27" w:rsidRPr="009D06C9" w:rsidRDefault="00A87E27" w:rsidP="00090ED8">
            <w:pPr>
              <w:pStyle w:val="Tabletext"/>
              <w:jc w:val="left"/>
              <w:rPr>
                <w:lang w:val="es-ES_tradnl"/>
              </w:rPr>
            </w:pPr>
            <w:r w:rsidRPr="009D06C9">
              <w:rPr>
                <w:lang w:val="es-ES_tradnl"/>
              </w:rPr>
              <w:t>3,072 Mbit/s por portadora de 1,23 MHz en enlace descendente;</w:t>
            </w:r>
            <w:r w:rsidRPr="009D06C9">
              <w:rPr>
                <w:lang w:val="es-ES_tradnl"/>
              </w:rPr>
              <w:br/>
              <w:t>0,0384 Mbit/s por canal de 12,8 kHz, hasta 96 canales de 12,8 kHz soportados en 1,23 MHz en enlace ascendente</w:t>
            </w:r>
          </w:p>
        </w:tc>
      </w:tr>
      <w:tr w:rsidR="00A87E27" w:rsidRPr="009D06C9" w:rsidTr="00090ED8">
        <w:trPr>
          <w:cantSplit/>
          <w:trHeight w:val="20"/>
          <w:jc w:val="center"/>
        </w:trPr>
        <w:tc>
          <w:tcPr>
            <w:tcW w:w="1984" w:type="dxa"/>
          </w:tcPr>
          <w:p w:rsidR="00A87E27" w:rsidRPr="009D06C9" w:rsidRDefault="00A87E27" w:rsidP="00090ED8">
            <w:pPr>
              <w:pStyle w:val="Tabletext"/>
              <w:jc w:val="left"/>
              <w:rPr>
                <w:lang w:val="es-ES_tradnl"/>
              </w:rPr>
            </w:pPr>
            <w:r w:rsidRPr="009D06C9">
              <w:rPr>
                <w:lang w:val="es-ES_tradnl"/>
              </w:rPr>
              <w:t>Método dúplex (FDD, TDD, etc.)</w:t>
            </w:r>
          </w:p>
        </w:tc>
        <w:tc>
          <w:tcPr>
            <w:tcW w:w="2551" w:type="dxa"/>
          </w:tcPr>
          <w:p w:rsidR="00A87E27" w:rsidRPr="009D06C9" w:rsidRDefault="00A87E27" w:rsidP="00090ED8">
            <w:pPr>
              <w:pStyle w:val="Tabletext"/>
              <w:jc w:val="left"/>
              <w:rPr>
                <w:lang w:val="es-ES_tradnl"/>
              </w:rPr>
            </w:pPr>
            <w:r w:rsidRPr="009D06C9">
              <w:rPr>
                <w:lang w:val="es-ES_tradnl"/>
              </w:rPr>
              <w:t>FDD</w:t>
            </w:r>
          </w:p>
        </w:tc>
        <w:tc>
          <w:tcPr>
            <w:tcW w:w="2551" w:type="dxa"/>
          </w:tcPr>
          <w:p w:rsidR="00A87E27" w:rsidRPr="009D06C9" w:rsidRDefault="00A87E27" w:rsidP="00090ED8">
            <w:pPr>
              <w:pStyle w:val="Tabletext"/>
              <w:jc w:val="left"/>
              <w:rPr>
                <w:lang w:val="es-ES_tradnl"/>
              </w:rPr>
            </w:pPr>
            <w:r w:rsidRPr="009D06C9">
              <w:rPr>
                <w:lang w:val="es-ES_tradnl"/>
              </w:rPr>
              <w:t>FDD</w:t>
            </w:r>
          </w:p>
        </w:tc>
        <w:tc>
          <w:tcPr>
            <w:tcW w:w="2551" w:type="dxa"/>
          </w:tcPr>
          <w:p w:rsidR="00A87E27" w:rsidRPr="009D06C9" w:rsidRDefault="00A87E27" w:rsidP="00090ED8">
            <w:pPr>
              <w:pStyle w:val="Tabletext"/>
              <w:jc w:val="left"/>
              <w:rPr>
                <w:lang w:val="es-ES_tradnl"/>
              </w:rPr>
            </w:pPr>
            <w:r w:rsidRPr="009D06C9">
              <w:rPr>
                <w:lang w:val="es-ES_tradnl"/>
              </w:rPr>
              <w:t>FDD</w:t>
            </w:r>
          </w:p>
        </w:tc>
      </w:tr>
      <w:tr w:rsidR="00A87E27" w:rsidRPr="009D06C9" w:rsidTr="00090ED8">
        <w:trPr>
          <w:cantSplit/>
          <w:trHeight w:val="20"/>
          <w:jc w:val="center"/>
        </w:trPr>
        <w:tc>
          <w:tcPr>
            <w:tcW w:w="1984" w:type="dxa"/>
          </w:tcPr>
          <w:p w:rsidR="00A87E27" w:rsidRPr="009D06C9" w:rsidRDefault="00A87E27" w:rsidP="00090ED8">
            <w:pPr>
              <w:pStyle w:val="Tabletext"/>
              <w:jc w:val="left"/>
              <w:rPr>
                <w:lang w:val="es-ES_tradnl"/>
              </w:rPr>
            </w:pPr>
            <w:r w:rsidRPr="009D06C9">
              <w:rPr>
                <w:lang w:val="es-ES_tradnl"/>
              </w:rPr>
              <w:t>Ancho de banda RF nominal</w:t>
            </w:r>
          </w:p>
        </w:tc>
        <w:tc>
          <w:tcPr>
            <w:tcW w:w="2551" w:type="dxa"/>
          </w:tcPr>
          <w:p w:rsidR="00A87E27" w:rsidRPr="009D06C9" w:rsidRDefault="00A87E27" w:rsidP="00090ED8">
            <w:pPr>
              <w:pStyle w:val="Tabletext"/>
              <w:jc w:val="left"/>
              <w:rPr>
                <w:lang w:val="es-ES_tradnl"/>
              </w:rPr>
            </w:pPr>
            <w:r w:rsidRPr="009D06C9">
              <w:rPr>
                <w:lang w:val="es-ES_tradnl"/>
              </w:rPr>
              <w:t>1,25 MHz</w:t>
            </w:r>
          </w:p>
        </w:tc>
        <w:tc>
          <w:tcPr>
            <w:tcW w:w="2551" w:type="dxa"/>
          </w:tcPr>
          <w:p w:rsidR="00A87E27" w:rsidRPr="009D06C9" w:rsidRDefault="00A87E27" w:rsidP="00090ED8">
            <w:pPr>
              <w:pStyle w:val="Tabletext"/>
              <w:jc w:val="left"/>
              <w:rPr>
                <w:lang w:val="es-ES_tradnl"/>
              </w:rPr>
            </w:pPr>
            <w:r w:rsidRPr="009D06C9">
              <w:rPr>
                <w:lang w:val="es-ES_tradnl"/>
              </w:rPr>
              <w:t>1,25 a 20 MHz (1 a 16 portadoras)</w:t>
            </w:r>
          </w:p>
        </w:tc>
        <w:tc>
          <w:tcPr>
            <w:tcW w:w="2551" w:type="dxa"/>
          </w:tcPr>
          <w:p w:rsidR="00A87E27" w:rsidRPr="009D06C9" w:rsidRDefault="00A87E27" w:rsidP="00090ED8">
            <w:pPr>
              <w:pStyle w:val="Tabletext"/>
              <w:jc w:val="left"/>
              <w:rPr>
                <w:lang w:val="es-ES_tradnl"/>
              </w:rPr>
            </w:pPr>
            <w:r w:rsidRPr="009D06C9">
              <w:rPr>
                <w:lang w:val="es-ES_tradnl"/>
              </w:rPr>
              <w:t>1,25 MHz</w:t>
            </w:r>
          </w:p>
        </w:tc>
      </w:tr>
      <w:tr w:rsidR="00A87E27" w:rsidRPr="009D06C9" w:rsidTr="00090ED8">
        <w:trPr>
          <w:cantSplit/>
          <w:trHeight w:val="20"/>
          <w:jc w:val="center"/>
        </w:trPr>
        <w:tc>
          <w:tcPr>
            <w:tcW w:w="1984" w:type="dxa"/>
          </w:tcPr>
          <w:p w:rsidR="00A87E27" w:rsidRPr="009D06C9" w:rsidRDefault="00A87E27" w:rsidP="00090ED8">
            <w:pPr>
              <w:pStyle w:val="Tabletext"/>
              <w:jc w:val="left"/>
              <w:rPr>
                <w:lang w:val="es-ES_tradnl"/>
              </w:rPr>
            </w:pPr>
            <w:r w:rsidRPr="009D06C9">
              <w:rPr>
                <w:lang w:val="es-ES_tradnl"/>
              </w:rPr>
              <w:t xml:space="preserve">Técnicas de diversidad </w:t>
            </w:r>
          </w:p>
        </w:tc>
        <w:tc>
          <w:tcPr>
            <w:tcW w:w="2551" w:type="dxa"/>
          </w:tcPr>
          <w:p w:rsidR="00A87E27" w:rsidRPr="009D06C9" w:rsidRDefault="00A87E27" w:rsidP="00090ED8">
            <w:pPr>
              <w:pStyle w:val="Tabletext"/>
              <w:jc w:val="left"/>
              <w:rPr>
                <w:lang w:val="es-ES_tradnl"/>
              </w:rPr>
            </w:pPr>
            <w:r w:rsidRPr="009D06C9">
              <w:rPr>
                <w:lang w:val="es-ES_tradnl"/>
              </w:rPr>
              <w:t>Antena, polarización, espacio, tiempo</w:t>
            </w:r>
          </w:p>
        </w:tc>
        <w:tc>
          <w:tcPr>
            <w:tcW w:w="2551" w:type="dxa"/>
          </w:tcPr>
          <w:p w:rsidR="00A87E27" w:rsidRPr="009D06C9" w:rsidRDefault="00A87E27" w:rsidP="00090ED8">
            <w:pPr>
              <w:pStyle w:val="Tabletext"/>
              <w:jc w:val="left"/>
              <w:rPr>
                <w:lang w:val="es-ES_tradnl"/>
              </w:rPr>
            </w:pPr>
            <w:r w:rsidRPr="009D06C9">
              <w:rPr>
                <w:lang w:val="es-ES_tradnl"/>
              </w:rPr>
              <w:t>Antena, polarización, espacio, tiempo</w:t>
            </w:r>
          </w:p>
        </w:tc>
        <w:tc>
          <w:tcPr>
            <w:tcW w:w="2551" w:type="dxa"/>
          </w:tcPr>
          <w:p w:rsidR="00A87E27" w:rsidRPr="009D06C9" w:rsidRDefault="00A87E27" w:rsidP="00090ED8">
            <w:pPr>
              <w:pStyle w:val="Tabletext"/>
              <w:jc w:val="left"/>
              <w:rPr>
                <w:lang w:val="es-ES_tradnl"/>
              </w:rPr>
            </w:pPr>
            <w:r w:rsidRPr="009D06C9">
              <w:rPr>
                <w:lang w:val="es-ES_tradnl"/>
              </w:rPr>
              <w:t>Antena, polarización, espacio, tiempo</w:t>
            </w:r>
          </w:p>
        </w:tc>
      </w:tr>
      <w:tr w:rsidR="00A87E27" w:rsidRPr="009D06C9" w:rsidTr="00090ED8">
        <w:trPr>
          <w:cantSplit/>
          <w:trHeight w:val="20"/>
          <w:jc w:val="center"/>
        </w:trPr>
        <w:tc>
          <w:tcPr>
            <w:tcW w:w="1984" w:type="dxa"/>
          </w:tcPr>
          <w:p w:rsidR="00A87E27" w:rsidRPr="009D06C9" w:rsidRDefault="00A87E27" w:rsidP="00090ED8">
            <w:pPr>
              <w:pStyle w:val="Tabletext"/>
              <w:jc w:val="left"/>
              <w:rPr>
                <w:lang w:val="es-ES_tradnl"/>
              </w:rPr>
            </w:pPr>
            <w:r w:rsidRPr="009D06C9">
              <w:rPr>
                <w:lang w:val="es-ES_tradnl"/>
              </w:rPr>
              <w:t>Soporte para MIMO (sí/no)</w:t>
            </w:r>
          </w:p>
        </w:tc>
        <w:tc>
          <w:tcPr>
            <w:tcW w:w="2551" w:type="dxa"/>
          </w:tcPr>
          <w:p w:rsidR="00A87E27" w:rsidRPr="009D06C9" w:rsidRDefault="00A87E27" w:rsidP="00090ED8">
            <w:pPr>
              <w:pStyle w:val="Tabletext"/>
              <w:jc w:val="left"/>
              <w:rPr>
                <w:lang w:val="es-ES_tradnl"/>
              </w:rPr>
            </w:pPr>
            <w:r w:rsidRPr="009D06C9">
              <w:rPr>
                <w:lang w:val="es-ES_tradnl"/>
              </w:rPr>
              <w:t>No</w:t>
            </w:r>
          </w:p>
        </w:tc>
        <w:tc>
          <w:tcPr>
            <w:tcW w:w="2551" w:type="dxa"/>
          </w:tcPr>
          <w:p w:rsidR="00A87E27" w:rsidRPr="009D06C9" w:rsidRDefault="00A87E27" w:rsidP="00090ED8">
            <w:pPr>
              <w:pStyle w:val="Tabletext"/>
              <w:jc w:val="left"/>
              <w:rPr>
                <w:lang w:val="es-ES_tradnl"/>
              </w:rPr>
            </w:pPr>
            <w:r w:rsidRPr="009D06C9">
              <w:rPr>
                <w:lang w:val="es-ES_tradnl"/>
              </w:rPr>
              <w:t>Sí</w:t>
            </w:r>
          </w:p>
        </w:tc>
        <w:tc>
          <w:tcPr>
            <w:tcW w:w="2551" w:type="dxa"/>
          </w:tcPr>
          <w:p w:rsidR="00A87E27" w:rsidRPr="009D06C9" w:rsidRDefault="00A87E27" w:rsidP="00090ED8">
            <w:pPr>
              <w:pStyle w:val="Tabletext"/>
              <w:jc w:val="left"/>
              <w:rPr>
                <w:lang w:val="es-ES_tradnl"/>
              </w:rPr>
            </w:pPr>
            <w:r w:rsidRPr="009D06C9">
              <w:rPr>
                <w:lang w:val="es-ES_tradnl"/>
              </w:rPr>
              <w:t>No</w:t>
            </w:r>
          </w:p>
        </w:tc>
      </w:tr>
      <w:tr w:rsidR="00A87E27" w:rsidRPr="009D06C9" w:rsidTr="00090ED8">
        <w:trPr>
          <w:cantSplit/>
          <w:trHeight w:val="20"/>
          <w:jc w:val="center"/>
        </w:trPr>
        <w:tc>
          <w:tcPr>
            <w:tcW w:w="1984" w:type="dxa"/>
          </w:tcPr>
          <w:p w:rsidR="00A87E27" w:rsidRPr="009D06C9" w:rsidRDefault="00A87E27" w:rsidP="00090ED8">
            <w:pPr>
              <w:pStyle w:val="Tabletext"/>
              <w:jc w:val="left"/>
              <w:rPr>
                <w:lang w:val="es-ES_tradnl"/>
              </w:rPr>
            </w:pPr>
            <w:r w:rsidRPr="009D06C9">
              <w:rPr>
                <w:lang w:val="es-ES_tradnl"/>
              </w:rPr>
              <w:t>Orientación/</w:t>
            </w:r>
            <w:r w:rsidRPr="009D06C9">
              <w:rPr>
                <w:lang w:val="es-ES_tradnl"/>
              </w:rPr>
              <w:br/>
              <w:t>conformación de haz</w:t>
            </w:r>
          </w:p>
        </w:tc>
        <w:tc>
          <w:tcPr>
            <w:tcW w:w="2551" w:type="dxa"/>
          </w:tcPr>
          <w:p w:rsidR="00A87E27" w:rsidRPr="009D06C9" w:rsidRDefault="00A87E27" w:rsidP="00090ED8">
            <w:pPr>
              <w:pStyle w:val="Tabletext"/>
              <w:jc w:val="left"/>
              <w:rPr>
                <w:lang w:val="es-ES_tradnl"/>
              </w:rPr>
            </w:pPr>
            <w:r w:rsidRPr="009D06C9">
              <w:rPr>
                <w:lang w:val="es-ES_tradnl"/>
              </w:rPr>
              <w:t>Sí</w:t>
            </w:r>
          </w:p>
        </w:tc>
        <w:tc>
          <w:tcPr>
            <w:tcW w:w="2551" w:type="dxa"/>
          </w:tcPr>
          <w:p w:rsidR="00A87E27" w:rsidRPr="009D06C9" w:rsidRDefault="00A87E27" w:rsidP="00090ED8">
            <w:pPr>
              <w:pStyle w:val="Tabletext"/>
              <w:jc w:val="left"/>
              <w:rPr>
                <w:lang w:val="es-ES_tradnl"/>
              </w:rPr>
            </w:pPr>
            <w:r w:rsidRPr="009D06C9">
              <w:rPr>
                <w:lang w:val="es-ES_tradnl"/>
              </w:rPr>
              <w:t>No</w:t>
            </w:r>
          </w:p>
        </w:tc>
        <w:tc>
          <w:tcPr>
            <w:tcW w:w="2551" w:type="dxa"/>
          </w:tcPr>
          <w:p w:rsidR="00A87E27" w:rsidRPr="009D06C9" w:rsidRDefault="00A87E27" w:rsidP="00090ED8">
            <w:pPr>
              <w:pStyle w:val="Tabletext"/>
              <w:jc w:val="left"/>
              <w:rPr>
                <w:lang w:val="es-ES_tradnl"/>
              </w:rPr>
            </w:pPr>
            <w:r w:rsidRPr="009D06C9">
              <w:rPr>
                <w:lang w:val="es-ES_tradnl"/>
              </w:rPr>
              <w:t>No</w:t>
            </w:r>
          </w:p>
        </w:tc>
      </w:tr>
      <w:tr w:rsidR="00A87E27" w:rsidRPr="009D06C9" w:rsidTr="00090ED8">
        <w:trPr>
          <w:cantSplit/>
          <w:trHeight w:val="20"/>
          <w:jc w:val="center"/>
        </w:trPr>
        <w:tc>
          <w:tcPr>
            <w:tcW w:w="1984" w:type="dxa"/>
          </w:tcPr>
          <w:p w:rsidR="00A87E27" w:rsidRPr="009D06C9" w:rsidRDefault="00A87E27" w:rsidP="00090ED8">
            <w:pPr>
              <w:pStyle w:val="Tabletext"/>
              <w:jc w:val="left"/>
              <w:rPr>
                <w:lang w:val="es-ES_tradnl"/>
              </w:rPr>
            </w:pPr>
            <w:r w:rsidRPr="009D06C9">
              <w:rPr>
                <w:lang w:val="es-ES_tradnl"/>
              </w:rPr>
              <w:t>Retransmisión</w:t>
            </w:r>
          </w:p>
        </w:tc>
        <w:tc>
          <w:tcPr>
            <w:tcW w:w="2551" w:type="dxa"/>
          </w:tcPr>
          <w:p w:rsidR="00A87E27" w:rsidRPr="009D06C9" w:rsidRDefault="00A87E27" w:rsidP="00090ED8">
            <w:pPr>
              <w:pStyle w:val="Tabletext"/>
              <w:jc w:val="left"/>
              <w:rPr>
                <w:lang w:val="es-ES_tradnl"/>
              </w:rPr>
            </w:pPr>
            <w:r w:rsidRPr="009D06C9">
              <w:rPr>
                <w:lang w:val="es-ES_tradnl"/>
              </w:rPr>
              <w:t>HARQ</w:t>
            </w:r>
          </w:p>
        </w:tc>
        <w:tc>
          <w:tcPr>
            <w:tcW w:w="2551" w:type="dxa"/>
          </w:tcPr>
          <w:p w:rsidR="00A87E27" w:rsidRPr="009D06C9" w:rsidRDefault="00A87E27" w:rsidP="00090ED8">
            <w:pPr>
              <w:pStyle w:val="Tabletext"/>
              <w:jc w:val="left"/>
              <w:rPr>
                <w:lang w:val="es-ES_tradnl"/>
              </w:rPr>
            </w:pPr>
            <w:r w:rsidRPr="009D06C9">
              <w:rPr>
                <w:lang w:val="es-ES_tradnl"/>
              </w:rPr>
              <w:t>HARQ</w:t>
            </w:r>
          </w:p>
        </w:tc>
        <w:tc>
          <w:tcPr>
            <w:tcW w:w="2551" w:type="dxa"/>
          </w:tcPr>
          <w:p w:rsidR="00A87E27" w:rsidRPr="009D06C9" w:rsidRDefault="00A87E27" w:rsidP="00090ED8">
            <w:pPr>
              <w:pStyle w:val="Tabletext"/>
              <w:jc w:val="left"/>
              <w:rPr>
                <w:lang w:val="es-ES_tradnl"/>
              </w:rPr>
            </w:pPr>
            <w:r w:rsidRPr="009D06C9">
              <w:rPr>
                <w:lang w:val="es-ES_tradnl"/>
              </w:rPr>
              <w:t>HARQ</w:t>
            </w:r>
          </w:p>
        </w:tc>
      </w:tr>
      <w:tr w:rsidR="00A87E27" w:rsidRPr="009D06C9" w:rsidTr="00090ED8">
        <w:trPr>
          <w:cantSplit/>
          <w:trHeight w:val="20"/>
          <w:jc w:val="center"/>
        </w:trPr>
        <w:tc>
          <w:tcPr>
            <w:tcW w:w="1984" w:type="dxa"/>
          </w:tcPr>
          <w:p w:rsidR="00A87E27" w:rsidRPr="009D06C9" w:rsidRDefault="00A87E27" w:rsidP="00090ED8">
            <w:pPr>
              <w:pStyle w:val="Tabletext"/>
              <w:jc w:val="left"/>
              <w:rPr>
                <w:lang w:val="es-ES_tradnl"/>
              </w:rPr>
            </w:pPr>
            <w:r w:rsidRPr="009D06C9">
              <w:rPr>
                <w:lang w:val="es-ES_tradnl"/>
              </w:rPr>
              <w:t>Corrección de errores en recepción</w:t>
            </w:r>
          </w:p>
        </w:tc>
        <w:tc>
          <w:tcPr>
            <w:tcW w:w="2551" w:type="dxa"/>
          </w:tcPr>
          <w:p w:rsidR="00A87E27" w:rsidRPr="009D06C9" w:rsidRDefault="00A87E27" w:rsidP="00090ED8">
            <w:pPr>
              <w:pStyle w:val="Tabletext"/>
              <w:jc w:val="left"/>
              <w:rPr>
                <w:lang w:val="es-ES_tradnl"/>
              </w:rPr>
            </w:pPr>
            <w:r w:rsidRPr="009D06C9">
              <w:rPr>
                <w:lang w:val="es-ES_tradnl"/>
              </w:rPr>
              <w:t>Convolucional y turbo</w:t>
            </w:r>
          </w:p>
        </w:tc>
        <w:tc>
          <w:tcPr>
            <w:tcW w:w="2551" w:type="dxa"/>
          </w:tcPr>
          <w:p w:rsidR="00A87E27" w:rsidRPr="009D06C9" w:rsidRDefault="00A87E27" w:rsidP="00090ED8">
            <w:pPr>
              <w:pStyle w:val="Tabletext"/>
              <w:jc w:val="left"/>
              <w:rPr>
                <w:lang w:val="es-ES_tradnl"/>
              </w:rPr>
            </w:pPr>
            <w:r w:rsidRPr="009D06C9">
              <w:rPr>
                <w:lang w:val="es-ES_tradnl"/>
              </w:rPr>
              <w:t>Convolucional y turbo</w:t>
            </w:r>
          </w:p>
        </w:tc>
        <w:tc>
          <w:tcPr>
            <w:tcW w:w="2551" w:type="dxa"/>
          </w:tcPr>
          <w:p w:rsidR="00A87E27" w:rsidRPr="009D06C9" w:rsidRDefault="00A87E27" w:rsidP="00090ED8">
            <w:pPr>
              <w:pStyle w:val="Tabletext"/>
              <w:jc w:val="left"/>
              <w:rPr>
                <w:lang w:val="es-ES_tradnl"/>
              </w:rPr>
            </w:pPr>
            <w:r w:rsidRPr="009D06C9">
              <w:rPr>
                <w:lang w:val="es-ES_tradnl"/>
              </w:rPr>
              <w:t>Convolucional y turbo</w:t>
            </w:r>
          </w:p>
        </w:tc>
      </w:tr>
      <w:tr w:rsidR="00A87E27" w:rsidRPr="00D30DBF" w:rsidTr="00090ED8">
        <w:trPr>
          <w:cantSplit/>
          <w:trHeight w:val="20"/>
          <w:jc w:val="center"/>
        </w:trPr>
        <w:tc>
          <w:tcPr>
            <w:tcW w:w="1984" w:type="dxa"/>
          </w:tcPr>
          <w:p w:rsidR="00A87E27" w:rsidRPr="009D06C9" w:rsidRDefault="00A87E27" w:rsidP="00090ED8">
            <w:pPr>
              <w:pStyle w:val="Tabletext"/>
              <w:jc w:val="left"/>
              <w:rPr>
                <w:lang w:val="es-ES_tradnl"/>
              </w:rPr>
            </w:pPr>
            <w:r w:rsidRPr="009D06C9">
              <w:rPr>
                <w:lang w:val="es-ES_tradnl"/>
              </w:rPr>
              <w:t>Gestión de interferencias</w:t>
            </w:r>
          </w:p>
        </w:tc>
        <w:tc>
          <w:tcPr>
            <w:tcW w:w="2551" w:type="dxa"/>
          </w:tcPr>
          <w:p w:rsidR="00A87E27" w:rsidRPr="009D06C9" w:rsidRDefault="00A87E27" w:rsidP="00090ED8">
            <w:pPr>
              <w:pStyle w:val="Tabletext"/>
              <w:jc w:val="left"/>
              <w:rPr>
                <w:lang w:val="es-ES_tradnl"/>
              </w:rPr>
            </w:pPr>
            <w:r w:rsidRPr="009D06C9">
              <w:rPr>
                <w:lang w:val="es-ES_tradnl"/>
              </w:rPr>
              <w:t>Sí, múltiples técnicas como compensación de interferencia en el receptor, control de potencia, etc.</w:t>
            </w:r>
          </w:p>
        </w:tc>
        <w:tc>
          <w:tcPr>
            <w:tcW w:w="2551" w:type="dxa"/>
          </w:tcPr>
          <w:p w:rsidR="00A87E27" w:rsidRPr="009D06C9" w:rsidRDefault="00A87E27" w:rsidP="00090ED8">
            <w:pPr>
              <w:pStyle w:val="Tabletext"/>
              <w:jc w:val="left"/>
              <w:rPr>
                <w:lang w:val="es-ES_tradnl"/>
              </w:rPr>
            </w:pPr>
            <w:r w:rsidRPr="009D06C9">
              <w:rPr>
                <w:lang w:val="es-ES_tradnl"/>
              </w:rPr>
              <w:t>Sí, múltiples técnicas como compensación de interferencia en el receptor, control de potencia, etc.</w:t>
            </w:r>
          </w:p>
        </w:tc>
        <w:tc>
          <w:tcPr>
            <w:tcW w:w="2551" w:type="dxa"/>
          </w:tcPr>
          <w:p w:rsidR="00A87E27" w:rsidRPr="009D06C9" w:rsidRDefault="00A87E27" w:rsidP="00090ED8">
            <w:pPr>
              <w:pStyle w:val="Tabletext"/>
              <w:jc w:val="left"/>
              <w:rPr>
                <w:lang w:val="es-ES_tradnl"/>
              </w:rPr>
            </w:pPr>
            <w:r w:rsidRPr="009D06C9">
              <w:rPr>
                <w:lang w:val="es-ES_tradnl"/>
              </w:rPr>
              <w:t>Sí, múltiples técnicas como compensación de interferencia en el receptor, control de potencia, etc.</w:t>
            </w:r>
          </w:p>
        </w:tc>
      </w:tr>
      <w:tr w:rsidR="00A87E27" w:rsidRPr="00D30DBF" w:rsidTr="00090ED8">
        <w:trPr>
          <w:cantSplit/>
          <w:trHeight w:val="20"/>
          <w:jc w:val="center"/>
        </w:trPr>
        <w:tc>
          <w:tcPr>
            <w:tcW w:w="1984" w:type="dxa"/>
          </w:tcPr>
          <w:p w:rsidR="00A87E27" w:rsidRPr="009D06C9" w:rsidRDefault="00A87E27" w:rsidP="00090ED8">
            <w:pPr>
              <w:pStyle w:val="Tabletext"/>
              <w:jc w:val="left"/>
              <w:rPr>
                <w:lang w:val="es-ES_tradnl"/>
              </w:rPr>
            </w:pPr>
            <w:r w:rsidRPr="009D06C9">
              <w:rPr>
                <w:lang w:val="es-ES_tradnl"/>
              </w:rPr>
              <w:t>Gestión de potencia</w:t>
            </w:r>
          </w:p>
        </w:tc>
        <w:tc>
          <w:tcPr>
            <w:tcW w:w="2551" w:type="dxa"/>
          </w:tcPr>
          <w:p w:rsidR="00A87E27" w:rsidRPr="009D06C9" w:rsidRDefault="00A87E27" w:rsidP="00090ED8">
            <w:pPr>
              <w:pStyle w:val="Tabletext"/>
              <w:jc w:val="left"/>
              <w:rPr>
                <w:lang w:val="es-ES_tradnl"/>
              </w:rPr>
            </w:pPr>
            <w:r w:rsidRPr="009D06C9">
              <w:rPr>
                <w:lang w:val="es-ES_tradnl"/>
              </w:rPr>
              <w:t>Sí, varios estados de baja potencia</w:t>
            </w:r>
          </w:p>
        </w:tc>
        <w:tc>
          <w:tcPr>
            <w:tcW w:w="2551" w:type="dxa"/>
          </w:tcPr>
          <w:p w:rsidR="00A87E27" w:rsidRPr="009D06C9" w:rsidRDefault="00A87E27" w:rsidP="00090ED8">
            <w:pPr>
              <w:pStyle w:val="Tabletext"/>
              <w:jc w:val="left"/>
              <w:rPr>
                <w:lang w:val="es-ES_tradnl"/>
              </w:rPr>
            </w:pPr>
            <w:r w:rsidRPr="009D06C9">
              <w:rPr>
                <w:lang w:val="es-ES_tradnl"/>
              </w:rPr>
              <w:t>Sí, varios estados de baja potencia</w:t>
            </w:r>
          </w:p>
        </w:tc>
        <w:tc>
          <w:tcPr>
            <w:tcW w:w="2551" w:type="dxa"/>
          </w:tcPr>
          <w:p w:rsidR="00A87E27" w:rsidRPr="009D06C9" w:rsidRDefault="00A87E27" w:rsidP="00090ED8">
            <w:pPr>
              <w:pStyle w:val="Tabletext"/>
              <w:jc w:val="left"/>
              <w:rPr>
                <w:lang w:val="es-ES_tradnl"/>
              </w:rPr>
            </w:pPr>
            <w:r w:rsidRPr="009D06C9">
              <w:rPr>
                <w:lang w:val="es-ES_tradnl"/>
              </w:rPr>
              <w:t>Sí, varios estados de baja potencia</w:t>
            </w:r>
          </w:p>
        </w:tc>
      </w:tr>
      <w:tr w:rsidR="00A87E27" w:rsidRPr="009D06C9" w:rsidTr="00090ED8">
        <w:trPr>
          <w:cantSplit/>
          <w:trHeight w:val="20"/>
          <w:jc w:val="center"/>
        </w:trPr>
        <w:tc>
          <w:tcPr>
            <w:tcW w:w="1984" w:type="dxa"/>
          </w:tcPr>
          <w:p w:rsidR="00A87E27" w:rsidRPr="009D06C9" w:rsidRDefault="00A87E27" w:rsidP="00090ED8">
            <w:pPr>
              <w:pStyle w:val="Tabletext"/>
              <w:jc w:val="left"/>
              <w:rPr>
                <w:lang w:val="es-ES_tradnl"/>
              </w:rPr>
            </w:pPr>
            <w:r w:rsidRPr="009D06C9">
              <w:rPr>
                <w:lang w:val="es-ES_tradnl"/>
              </w:rPr>
              <w:t>Topología de conexión</w:t>
            </w:r>
          </w:p>
        </w:tc>
        <w:tc>
          <w:tcPr>
            <w:tcW w:w="2551" w:type="dxa"/>
          </w:tcPr>
          <w:p w:rsidR="00A87E27" w:rsidRPr="009D06C9" w:rsidRDefault="00A87E27" w:rsidP="00090ED8">
            <w:pPr>
              <w:pStyle w:val="Tabletext"/>
              <w:jc w:val="left"/>
              <w:rPr>
                <w:lang w:val="es-ES_tradnl"/>
              </w:rPr>
            </w:pPr>
            <w:r w:rsidRPr="009D06C9">
              <w:rPr>
                <w:lang w:val="es-ES_tradnl"/>
              </w:rPr>
              <w:t>Punto a multipunto</w:t>
            </w:r>
          </w:p>
        </w:tc>
        <w:tc>
          <w:tcPr>
            <w:tcW w:w="2551" w:type="dxa"/>
          </w:tcPr>
          <w:p w:rsidR="00A87E27" w:rsidRPr="009D06C9" w:rsidRDefault="00A87E27" w:rsidP="00090ED8">
            <w:pPr>
              <w:pStyle w:val="Tabletext"/>
              <w:jc w:val="left"/>
              <w:rPr>
                <w:lang w:val="es-ES_tradnl"/>
              </w:rPr>
            </w:pPr>
            <w:r w:rsidRPr="009D06C9">
              <w:rPr>
                <w:lang w:val="es-ES_tradnl"/>
              </w:rPr>
              <w:t>Punto a multipunto</w:t>
            </w:r>
          </w:p>
        </w:tc>
        <w:tc>
          <w:tcPr>
            <w:tcW w:w="2551" w:type="dxa"/>
          </w:tcPr>
          <w:p w:rsidR="00A87E27" w:rsidRPr="009D06C9" w:rsidRDefault="00A87E27" w:rsidP="00090ED8">
            <w:pPr>
              <w:pStyle w:val="Tabletext"/>
              <w:jc w:val="left"/>
              <w:rPr>
                <w:lang w:val="es-ES_tradnl"/>
              </w:rPr>
            </w:pPr>
            <w:r w:rsidRPr="009D06C9">
              <w:rPr>
                <w:lang w:val="es-ES_tradnl"/>
              </w:rPr>
              <w:t>Punto a multipunto</w:t>
            </w:r>
          </w:p>
        </w:tc>
      </w:tr>
      <w:tr w:rsidR="00A87E27" w:rsidRPr="009D06C9" w:rsidTr="00090ED8">
        <w:trPr>
          <w:cantSplit/>
          <w:trHeight w:val="20"/>
          <w:jc w:val="center"/>
        </w:trPr>
        <w:tc>
          <w:tcPr>
            <w:tcW w:w="1984" w:type="dxa"/>
          </w:tcPr>
          <w:p w:rsidR="00A87E27" w:rsidRPr="009D06C9" w:rsidRDefault="00A87E27" w:rsidP="00090ED8">
            <w:pPr>
              <w:pStyle w:val="Tabletext"/>
              <w:jc w:val="left"/>
              <w:rPr>
                <w:lang w:val="es-ES_tradnl"/>
              </w:rPr>
            </w:pPr>
            <w:r w:rsidRPr="009D06C9">
              <w:rPr>
                <w:lang w:val="es-ES_tradnl"/>
              </w:rPr>
              <w:t>Métodos de acceso a medios</w:t>
            </w:r>
          </w:p>
        </w:tc>
        <w:tc>
          <w:tcPr>
            <w:tcW w:w="2551" w:type="dxa"/>
          </w:tcPr>
          <w:p w:rsidR="00A87E27" w:rsidRPr="009D06C9" w:rsidRDefault="00A87E27" w:rsidP="00090ED8">
            <w:pPr>
              <w:pStyle w:val="Tabletext"/>
              <w:jc w:val="left"/>
              <w:rPr>
                <w:lang w:val="es-ES_tradnl"/>
              </w:rPr>
            </w:pPr>
            <w:r w:rsidRPr="009D06C9">
              <w:rPr>
                <w:lang w:val="es-ES_tradnl"/>
              </w:rPr>
              <w:t>CDMA</w:t>
            </w:r>
          </w:p>
        </w:tc>
        <w:tc>
          <w:tcPr>
            <w:tcW w:w="2551" w:type="dxa"/>
          </w:tcPr>
          <w:p w:rsidR="00A87E27" w:rsidRPr="009D06C9" w:rsidRDefault="00A87E27" w:rsidP="00090ED8">
            <w:pPr>
              <w:pStyle w:val="Tabletext"/>
              <w:jc w:val="left"/>
              <w:rPr>
                <w:lang w:val="es-ES_tradnl"/>
              </w:rPr>
            </w:pPr>
            <w:r w:rsidRPr="009D06C9">
              <w:rPr>
                <w:lang w:val="es-ES_tradnl"/>
              </w:rPr>
              <w:t>CDMA (RL)/TDMA (FL)</w:t>
            </w:r>
          </w:p>
        </w:tc>
        <w:tc>
          <w:tcPr>
            <w:tcW w:w="2551" w:type="dxa"/>
          </w:tcPr>
          <w:p w:rsidR="00A87E27" w:rsidRPr="009D06C9" w:rsidRDefault="00A87E27" w:rsidP="00090ED8">
            <w:pPr>
              <w:pStyle w:val="Tabletext"/>
              <w:jc w:val="left"/>
              <w:rPr>
                <w:lang w:val="es-ES_tradnl"/>
              </w:rPr>
            </w:pPr>
            <w:r w:rsidRPr="009D06C9">
              <w:rPr>
                <w:lang w:val="es-ES_tradnl"/>
              </w:rPr>
              <w:t>FDMA (RL)/TDMA (FL)</w:t>
            </w:r>
          </w:p>
        </w:tc>
      </w:tr>
    </w:tbl>
    <w:p w:rsidR="00A87E27" w:rsidRPr="009D06C9" w:rsidRDefault="00A87E27" w:rsidP="00A87E27">
      <w:pPr>
        <w:pStyle w:val="Tablefin"/>
        <w:rPr>
          <w:lang w:val="es-ES_tradnl"/>
        </w:rPr>
      </w:pPr>
    </w:p>
    <w:p w:rsidR="00A87E27" w:rsidRPr="009D06C9" w:rsidRDefault="00A87E27" w:rsidP="00A87E27">
      <w:pPr>
        <w:pStyle w:val="TableNo"/>
        <w:rPr>
          <w:lang w:val="es-ES_tradnl"/>
        </w:rPr>
      </w:pPr>
      <w:r w:rsidRPr="009D06C9">
        <w:rPr>
          <w:lang w:val="es-ES_tradnl"/>
        </w:rPr>
        <w:lastRenderedPageBreak/>
        <w:t xml:space="preserve">CUADRO A1.8 </w:t>
      </w:r>
      <w:r w:rsidRPr="009D06C9">
        <w:rPr>
          <w:i/>
          <w:iCs/>
          <w:lang w:val="es-ES_tradnl"/>
        </w:rPr>
        <w:t>(</w:t>
      </w:r>
      <w:r w:rsidR="0066087F" w:rsidRPr="009D06C9">
        <w:rPr>
          <w:i/>
          <w:iCs/>
          <w:lang w:val="es-ES_tradnl"/>
        </w:rPr>
        <w:t>fin</w:t>
      </w:r>
      <w:r w:rsidRPr="009D06C9">
        <w:rPr>
          <w:i/>
          <w:iCs/>
          <w:lang w:val="es-ES_tradnl"/>
        </w:rPr>
        <w:t>)</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4"/>
        <w:gridCol w:w="2551"/>
        <w:gridCol w:w="2551"/>
        <w:gridCol w:w="2551"/>
      </w:tblGrid>
      <w:tr w:rsidR="00A87E27" w:rsidRPr="009D06C9" w:rsidTr="00090ED8">
        <w:trPr>
          <w:cantSplit/>
          <w:jc w:val="center"/>
        </w:trPr>
        <w:tc>
          <w:tcPr>
            <w:tcW w:w="1984" w:type="dxa"/>
            <w:vMerge w:val="restart"/>
            <w:vAlign w:val="center"/>
          </w:tcPr>
          <w:p w:rsidR="00A87E27" w:rsidRPr="009D06C9" w:rsidRDefault="00A87E27" w:rsidP="00090ED8">
            <w:pPr>
              <w:pStyle w:val="Tablehead"/>
              <w:keepLines/>
              <w:rPr>
                <w:lang w:val="es-ES_tradnl"/>
              </w:rPr>
            </w:pPr>
            <w:r w:rsidRPr="009D06C9">
              <w:rPr>
                <w:lang w:val="es-ES_tradnl"/>
              </w:rPr>
              <w:t>Ítem</w:t>
            </w:r>
          </w:p>
        </w:tc>
        <w:tc>
          <w:tcPr>
            <w:tcW w:w="7653" w:type="dxa"/>
            <w:gridSpan w:val="3"/>
          </w:tcPr>
          <w:p w:rsidR="00A87E27" w:rsidRPr="009D06C9" w:rsidRDefault="00A87E27" w:rsidP="00090ED8">
            <w:pPr>
              <w:pStyle w:val="Tablehead"/>
              <w:keepLines/>
              <w:rPr>
                <w:lang w:val="es-ES_tradnl"/>
              </w:rPr>
            </w:pPr>
            <w:r w:rsidRPr="009D06C9">
              <w:rPr>
                <w:lang w:val="es-ES_tradnl"/>
              </w:rPr>
              <w:t>Valor</w:t>
            </w:r>
          </w:p>
        </w:tc>
      </w:tr>
      <w:tr w:rsidR="00A87E27" w:rsidRPr="00D30DBF" w:rsidTr="00090ED8">
        <w:trPr>
          <w:cantSplit/>
          <w:jc w:val="center"/>
        </w:trPr>
        <w:tc>
          <w:tcPr>
            <w:tcW w:w="1984" w:type="dxa"/>
            <w:vMerge/>
          </w:tcPr>
          <w:p w:rsidR="00A87E27" w:rsidRPr="009D06C9" w:rsidRDefault="00A87E27" w:rsidP="00090ED8">
            <w:pPr>
              <w:pStyle w:val="Tablehead"/>
              <w:keepLines/>
              <w:rPr>
                <w:lang w:val="es-ES_tradnl"/>
              </w:rPr>
            </w:pPr>
          </w:p>
        </w:tc>
        <w:tc>
          <w:tcPr>
            <w:tcW w:w="2551" w:type="dxa"/>
            <w:vAlign w:val="center"/>
          </w:tcPr>
          <w:p w:rsidR="00A87E27" w:rsidRPr="009D06C9" w:rsidRDefault="00A87E27" w:rsidP="00090ED8">
            <w:pPr>
              <w:pStyle w:val="Tablehead"/>
              <w:keepLines/>
              <w:rPr>
                <w:lang w:val="es-ES_tradnl"/>
              </w:rPr>
            </w:pPr>
            <w:r w:rsidRPr="009D06C9">
              <w:rPr>
                <w:lang w:val="es-ES_tradnl"/>
              </w:rPr>
              <w:t>cdma2000 1x</w:t>
            </w:r>
          </w:p>
        </w:tc>
        <w:tc>
          <w:tcPr>
            <w:tcW w:w="2551" w:type="dxa"/>
            <w:vAlign w:val="center"/>
          </w:tcPr>
          <w:p w:rsidR="00A87E27" w:rsidRPr="009D06C9" w:rsidRDefault="00A87E27" w:rsidP="00090ED8">
            <w:pPr>
              <w:pStyle w:val="Tablehead"/>
              <w:keepLines/>
              <w:rPr>
                <w:lang w:val="es-ES_tradnl"/>
              </w:rPr>
            </w:pPr>
            <w:r w:rsidRPr="009D06C9">
              <w:rPr>
                <w:lang w:val="es-ES_tradnl"/>
              </w:rPr>
              <w:t>Paquetes de datos cdma2000 de alta velocidad (HRPD/EV</w:t>
            </w:r>
            <w:r w:rsidRPr="009D06C9">
              <w:rPr>
                <w:lang w:val="es-ES_tradnl"/>
              </w:rPr>
              <w:noBreakHyphen/>
              <w:t>DO)</w:t>
            </w:r>
          </w:p>
        </w:tc>
        <w:tc>
          <w:tcPr>
            <w:tcW w:w="2551" w:type="dxa"/>
            <w:vAlign w:val="center"/>
          </w:tcPr>
          <w:p w:rsidR="00A87E27" w:rsidRPr="009D06C9" w:rsidRDefault="00A87E27" w:rsidP="00090ED8">
            <w:pPr>
              <w:pStyle w:val="Tablehead"/>
              <w:keepLines/>
              <w:rPr>
                <w:lang w:val="es-ES_tradnl"/>
              </w:rPr>
            </w:pPr>
            <w:r w:rsidRPr="009D06C9">
              <w:rPr>
                <w:lang w:val="es-ES_tradnl"/>
              </w:rPr>
              <w:t>Paquetes de datos</w:t>
            </w:r>
            <w:r w:rsidRPr="009D06C9">
              <w:rPr>
                <w:lang w:val="es-ES_tradnl"/>
              </w:rPr>
              <w:br/>
              <w:t>de alta velocidad extendida</w:t>
            </w:r>
            <w:r w:rsidRPr="009D06C9">
              <w:rPr>
                <w:lang w:val="es-ES_tradnl"/>
              </w:rPr>
              <w:br/>
              <w:t>(xHRPD)</w:t>
            </w:r>
          </w:p>
        </w:tc>
      </w:tr>
      <w:tr w:rsidR="00A87E27" w:rsidRPr="00D30DBF" w:rsidTr="00090ED8">
        <w:trPr>
          <w:cantSplit/>
          <w:jc w:val="center"/>
        </w:trPr>
        <w:tc>
          <w:tcPr>
            <w:tcW w:w="1984" w:type="dxa"/>
          </w:tcPr>
          <w:p w:rsidR="00A87E27" w:rsidRPr="009D06C9" w:rsidRDefault="00A87E27" w:rsidP="00090ED8">
            <w:pPr>
              <w:pStyle w:val="Tabletext"/>
              <w:jc w:val="left"/>
              <w:rPr>
                <w:lang w:val="es-ES_tradnl"/>
              </w:rPr>
            </w:pPr>
            <w:r w:rsidRPr="009D06C9">
              <w:rPr>
                <w:lang w:val="es-ES_tradnl"/>
              </w:rPr>
              <w:t>Método de descubrimiento y asociación</w:t>
            </w:r>
          </w:p>
        </w:tc>
        <w:tc>
          <w:tcPr>
            <w:tcW w:w="2551" w:type="dxa"/>
          </w:tcPr>
          <w:p w:rsidR="00A87E27" w:rsidRPr="009D06C9" w:rsidRDefault="00A87E27" w:rsidP="00090ED8">
            <w:pPr>
              <w:pStyle w:val="Tabletext"/>
              <w:jc w:val="left"/>
              <w:rPr>
                <w:lang w:val="es-ES_tradnl"/>
              </w:rPr>
            </w:pPr>
            <w:r w:rsidRPr="009D06C9">
              <w:rPr>
                <w:lang w:val="es-ES_tradnl"/>
              </w:rPr>
              <w:t>Sí, el móvil busca continuamente la estación base más fuerte. El móvil se registra con un grupo de estaciones base y se asocia con la estación base más fuerte cuando transmite/recibe datos. El móvil se registra y recibe potencialmente una ID MAC</w:t>
            </w:r>
          </w:p>
        </w:tc>
        <w:tc>
          <w:tcPr>
            <w:tcW w:w="2551" w:type="dxa"/>
          </w:tcPr>
          <w:p w:rsidR="00A87E27" w:rsidRPr="009D06C9" w:rsidRDefault="00A87E27" w:rsidP="00090ED8">
            <w:pPr>
              <w:pStyle w:val="Tabletext"/>
              <w:jc w:val="left"/>
              <w:rPr>
                <w:lang w:val="es-ES_tradnl"/>
              </w:rPr>
            </w:pPr>
            <w:r w:rsidRPr="009D06C9">
              <w:rPr>
                <w:lang w:val="es-ES_tradnl"/>
              </w:rPr>
              <w:t>Sí, el móvil busca continuamente la estación base más fuerte. El móvil se registra con un grupo de estaciones base y se asocia con la estación base más fuerte cuando transmite/recibe datos. El móvil se registra y recibe una ID MAC</w:t>
            </w:r>
          </w:p>
        </w:tc>
        <w:tc>
          <w:tcPr>
            <w:tcW w:w="2551" w:type="dxa"/>
          </w:tcPr>
          <w:p w:rsidR="00A87E27" w:rsidRPr="009D06C9" w:rsidRDefault="00A87E27" w:rsidP="00090ED8">
            <w:pPr>
              <w:pStyle w:val="Tabletext"/>
              <w:jc w:val="left"/>
              <w:rPr>
                <w:lang w:val="es-ES_tradnl"/>
              </w:rPr>
            </w:pPr>
            <w:r w:rsidRPr="009D06C9">
              <w:rPr>
                <w:lang w:val="es-ES_tradnl"/>
              </w:rPr>
              <w:t>Sí, el móvil busca continuamente la estación base más fuerte. El móvil se registra con un grupo de estaciones base y se asocia con la estación base más fuerte cuando transmite/recibe datos</w:t>
            </w:r>
          </w:p>
        </w:tc>
      </w:tr>
      <w:tr w:rsidR="00A87E27" w:rsidRPr="00D30DBF" w:rsidTr="00090ED8">
        <w:trPr>
          <w:cantSplit/>
          <w:jc w:val="center"/>
        </w:trPr>
        <w:tc>
          <w:tcPr>
            <w:tcW w:w="1984" w:type="dxa"/>
          </w:tcPr>
          <w:p w:rsidR="00A87E27" w:rsidRPr="009D06C9" w:rsidRDefault="00A87E27" w:rsidP="00090ED8">
            <w:pPr>
              <w:pStyle w:val="Tabletext"/>
              <w:jc w:val="left"/>
              <w:rPr>
                <w:lang w:val="es-ES_tradnl"/>
              </w:rPr>
            </w:pPr>
            <w:r w:rsidRPr="009D06C9">
              <w:rPr>
                <w:lang w:val="es-ES_tradnl"/>
              </w:rPr>
              <w:t>Métodos QoS</w:t>
            </w:r>
          </w:p>
        </w:tc>
        <w:tc>
          <w:tcPr>
            <w:tcW w:w="2551" w:type="dxa"/>
          </w:tcPr>
          <w:p w:rsidR="00A87E27" w:rsidRPr="009D06C9" w:rsidRDefault="00A87E27" w:rsidP="00090ED8">
            <w:pPr>
              <w:pStyle w:val="Tabletext"/>
              <w:jc w:val="left"/>
              <w:rPr>
                <w:lang w:val="es-ES_tradnl"/>
              </w:rPr>
            </w:pPr>
            <w:r w:rsidRPr="009D06C9">
              <w:rPr>
                <w:lang w:val="es-ES_tradnl"/>
              </w:rPr>
              <w:t>Sí, prioridades definidas por 3GPP2</w:t>
            </w:r>
          </w:p>
        </w:tc>
        <w:tc>
          <w:tcPr>
            <w:tcW w:w="2551" w:type="dxa"/>
          </w:tcPr>
          <w:p w:rsidR="00A87E27" w:rsidRPr="009D06C9" w:rsidRDefault="00A87E27" w:rsidP="00090ED8">
            <w:pPr>
              <w:pStyle w:val="Tabletext"/>
              <w:jc w:val="left"/>
              <w:rPr>
                <w:lang w:val="es-ES_tradnl"/>
              </w:rPr>
            </w:pPr>
            <w:r w:rsidRPr="009D06C9">
              <w:rPr>
                <w:lang w:val="es-ES_tradnl"/>
              </w:rPr>
              <w:t>Sí, prioridades definidas por 3GPP2</w:t>
            </w:r>
          </w:p>
        </w:tc>
        <w:tc>
          <w:tcPr>
            <w:tcW w:w="2551" w:type="dxa"/>
          </w:tcPr>
          <w:p w:rsidR="00A87E27" w:rsidRPr="009D06C9" w:rsidRDefault="00A87E27" w:rsidP="00090ED8">
            <w:pPr>
              <w:pStyle w:val="Tabletext"/>
              <w:jc w:val="left"/>
              <w:rPr>
                <w:lang w:val="es-ES_tradnl"/>
              </w:rPr>
            </w:pPr>
            <w:r w:rsidRPr="009D06C9">
              <w:rPr>
                <w:lang w:val="es-ES_tradnl"/>
              </w:rPr>
              <w:t>Sí, prioridades definidas por 3GPP2</w:t>
            </w:r>
          </w:p>
        </w:tc>
      </w:tr>
      <w:tr w:rsidR="00A87E27" w:rsidRPr="009D06C9" w:rsidTr="00090ED8">
        <w:trPr>
          <w:cantSplit/>
          <w:jc w:val="center"/>
        </w:trPr>
        <w:tc>
          <w:tcPr>
            <w:tcW w:w="1984" w:type="dxa"/>
          </w:tcPr>
          <w:p w:rsidR="00A87E27" w:rsidRPr="009D06C9" w:rsidRDefault="00A87E27" w:rsidP="00090ED8">
            <w:pPr>
              <w:pStyle w:val="Tabletext"/>
              <w:jc w:val="left"/>
              <w:rPr>
                <w:lang w:val="es-ES_tradnl"/>
              </w:rPr>
            </w:pPr>
            <w:r w:rsidRPr="009D06C9">
              <w:rPr>
                <w:lang w:val="es-ES_tradnl"/>
              </w:rPr>
              <w:t>Conocimiento de la ubicación</w:t>
            </w:r>
          </w:p>
        </w:tc>
        <w:tc>
          <w:tcPr>
            <w:tcW w:w="2551" w:type="dxa"/>
          </w:tcPr>
          <w:p w:rsidR="00A87E27" w:rsidRPr="009D06C9" w:rsidRDefault="00A87E27" w:rsidP="00090ED8">
            <w:pPr>
              <w:pStyle w:val="Tabletext"/>
              <w:jc w:val="left"/>
              <w:rPr>
                <w:lang w:val="es-ES_tradnl"/>
              </w:rPr>
            </w:pPr>
            <w:r w:rsidRPr="009D06C9">
              <w:rPr>
                <w:lang w:val="es-ES_tradnl"/>
              </w:rPr>
              <w:t>Sí, GNSS y AFLT</w:t>
            </w:r>
          </w:p>
        </w:tc>
        <w:tc>
          <w:tcPr>
            <w:tcW w:w="2551" w:type="dxa"/>
          </w:tcPr>
          <w:p w:rsidR="00A87E27" w:rsidRPr="009D06C9" w:rsidRDefault="00A87E27" w:rsidP="00090ED8">
            <w:pPr>
              <w:pStyle w:val="Tabletext"/>
              <w:jc w:val="left"/>
              <w:rPr>
                <w:lang w:val="es-ES_tradnl"/>
              </w:rPr>
            </w:pPr>
            <w:r w:rsidRPr="009D06C9">
              <w:rPr>
                <w:lang w:val="es-ES_tradnl"/>
              </w:rPr>
              <w:t xml:space="preserve">Sí, GNSS y AFLT </w:t>
            </w:r>
          </w:p>
        </w:tc>
        <w:tc>
          <w:tcPr>
            <w:tcW w:w="2551" w:type="dxa"/>
          </w:tcPr>
          <w:p w:rsidR="00A87E27" w:rsidRPr="009D06C9" w:rsidRDefault="00A87E27" w:rsidP="00090ED8">
            <w:pPr>
              <w:pStyle w:val="Tabletext"/>
              <w:jc w:val="left"/>
              <w:rPr>
                <w:lang w:val="es-ES_tradnl"/>
              </w:rPr>
            </w:pPr>
            <w:r w:rsidRPr="009D06C9">
              <w:rPr>
                <w:lang w:val="es-ES_tradnl"/>
              </w:rPr>
              <w:t>No</w:t>
            </w:r>
          </w:p>
        </w:tc>
      </w:tr>
      <w:tr w:rsidR="00A87E27" w:rsidRPr="009D06C9" w:rsidTr="00090ED8">
        <w:trPr>
          <w:cantSplit/>
          <w:jc w:val="center"/>
        </w:trPr>
        <w:tc>
          <w:tcPr>
            <w:tcW w:w="1984" w:type="dxa"/>
          </w:tcPr>
          <w:p w:rsidR="00A87E27" w:rsidRPr="009D06C9" w:rsidRDefault="00A87E27" w:rsidP="00090ED8">
            <w:pPr>
              <w:pStyle w:val="Tabletext"/>
              <w:jc w:val="left"/>
              <w:rPr>
                <w:lang w:val="es-ES_tradnl"/>
              </w:rPr>
            </w:pPr>
            <w:r w:rsidRPr="009D06C9">
              <w:rPr>
                <w:lang w:val="es-ES_tradnl"/>
              </w:rPr>
              <w:t>Determinación de la distancia</w:t>
            </w:r>
          </w:p>
        </w:tc>
        <w:tc>
          <w:tcPr>
            <w:tcW w:w="2551" w:type="dxa"/>
          </w:tcPr>
          <w:p w:rsidR="00A87E27" w:rsidRPr="009D06C9" w:rsidRDefault="00A87E27" w:rsidP="00090ED8">
            <w:pPr>
              <w:pStyle w:val="Tabletext"/>
              <w:jc w:val="left"/>
              <w:rPr>
                <w:lang w:val="es-ES_tradnl"/>
              </w:rPr>
            </w:pPr>
            <w:r w:rsidRPr="009D06C9">
              <w:rPr>
                <w:lang w:val="es-ES_tradnl"/>
              </w:rPr>
              <w:t>Sí, basado en la medición del retardo de ida y vuelta</w:t>
            </w:r>
          </w:p>
        </w:tc>
        <w:tc>
          <w:tcPr>
            <w:tcW w:w="2551" w:type="dxa"/>
          </w:tcPr>
          <w:p w:rsidR="00A87E27" w:rsidRPr="009D06C9" w:rsidRDefault="00A87E27" w:rsidP="00090ED8">
            <w:pPr>
              <w:pStyle w:val="Tabletext"/>
              <w:jc w:val="left"/>
              <w:rPr>
                <w:lang w:val="es-ES_tradnl"/>
              </w:rPr>
            </w:pPr>
            <w:r w:rsidRPr="009D06C9">
              <w:rPr>
                <w:lang w:val="es-ES_tradnl"/>
              </w:rPr>
              <w:t>Sí, basado en la medición del retardo de ida y vuelta</w:t>
            </w:r>
          </w:p>
        </w:tc>
        <w:tc>
          <w:tcPr>
            <w:tcW w:w="2551" w:type="dxa"/>
          </w:tcPr>
          <w:p w:rsidR="00A87E27" w:rsidRPr="009D06C9" w:rsidRDefault="00A87E27" w:rsidP="00090ED8">
            <w:pPr>
              <w:pStyle w:val="Tabletext"/>
              <w:jc w:val="left"/>
              <w:rPr>
                <w:lang w:val="es-ES_tradnl"/>
              </w:rPr>
            </w:pPr>
            <w:r w:rsidRPr="009D06C9">
              <w:rPr>
                <w:lang w:val="es-ES_tradnl"/>
              </w:rPr>
              <w:t>No especificado</w:t>
            </w:r>
          </w:p>
        </w:tc>
      </w:tr>
      <w:tr w:rsidR="00A87E27" w:rsidRPr="009D06C9" w:rsidTr="00090ED8">
        <w:trPr>
          <w:cantSplit/>
          <w:jc w:val="center"/>
        </w:trPr>
        <w:tc>
          <w:tcPr>
            <w:tcW w:w="1984" w:type="dxa"/>
          </w:tcPr>
          <w:p w:rsidR="00A87E27" w:rsidRPr="009D06C9" w:rsidRDefault="00A87E27" w:rsidP="00090ED8">
            <w:pPr>
              <w:pStyle w:val="Tabletext"/>
              <w:jc w:val="left"/>
              <w:rPr>
                <w:lang w:val="es-ES_tradnl"/>
              </w:rPr>
            </w:pPr>
            <w:r w:rsidRPr="009D06C9">
              <w:rPr>
                <w:lang w:val="es-ES_tradnl"/>
              </w:rPr>
              <w:t>Criptación</w:t>
            </w:r>
          </w:p>
        </w:tc>
        <w:tc>
          <w:tcPr>
            <w:tcW w:w="2551" w:type="dxa"/>
          </w:tcPr>
          <w:p w:rsidR="00A87E27" w:rsidRPr="009D06C9" w:rsidRDefault="00A87E27" w:rsidP="00090ED8">
            <w:pPr>
              <w:pStyle w:val="Tabletext"/>
              <w:jc w:val="left"/>
              <w:rPr>
                <w:lang w:val="es-ES_tradnl"/>
              </w:rPr>
            </w:pPr>
            <w:r w:rsidRPr="009D06C9">
              <w:rPr>
                <w:lang w:val="es-ES_tradnl"/>
              </w:rPr>
              <w:t>Algoritmo de criptación de mensaje celular (CMEA); AES</w:t>
            </w:r>
          </w:p>
        </w:tc>
        <w:tc>
          <w:tcPr>
            <w:tcW w:w="2551" w:type="dxa"/>
          </w:tcPr>
          <w:p w:rsidR="00A87E27" w:rsidRPr="009D06C9" w:rsidRDefault="00A87E27" w:rsidP="00090ED8">
            <w:pPr>
              <w:pStyle w:val="Tabletext"/>
              <w:jc w:val="left"/>
              <w:rPr>
                <w:lang w:val="es-ES_tradnl"/>
              </w:rPr>
            </w:pPr>
            <w:r w:rsidRPr="009D06C9">
              <w:rPr>
                <w:lang w:val="es-ES_tradnl"/>
              </w:rPr>
              <w:t>AES</w:t>
            </w:r>
          </w:p>
        </w:tc>
        <w:tc>
          <w:tcPr>
            <w:tcW w:w="2551" w:type="dxa"/>
          </w:tcPr>
          <w:p w:rsidR="00A87E27" w:rsidRPr="009D06C9" w:rsidRDefault="00A87E27" w:rsidP="00090ED8">
            <w:pPr>
              <w:pStyle w:val="Tabletext"/>
              <w:jc w:val="left"/>
              <w:rPr>
                <w:lang w:val="es-ES_tradnl"/>
              </w:rPr>
            </w:pPr>
            <w:r w:rsidRPr="009D06C9">
              <w:rPr>
                <w:lang w:val="es-ES_tradnl"/>
              </w:rPr>
              <w:t>AES</w:t>
            </w:r>
          </w:p>
        </w:tc>
      </w:tr>
      <w:tr w:rsidR="00A87E27" w:rsidRPr="009D06C9" w:rsidTr="00090ED8">
        <w:trPr>
          <w:cantSplit/>
          <w:jc w:val="center"/>
        </w:trPr>
        <w:tc>
          <w:tcPr>
            <w:tcW w:w="1984" w:type="dxa"/>
          </w:tcPr>
          <w:p w:rsidR="00A87E27" w:rsidRPr="009D06C9" w:rsidRDefault="00A87E27" w:rsidP="00090ED8">
            <w:pPr>
              <w:pStyle w:val="Tabletext"/>
              <w:jc w:val="left"/>
              <w:rPr>
                <w:lang w:val="es-ES_tradnl"/>
              </w:rPr>
            </w:pPr>
            <w:r w:rsidRPr="009D06C9">
              <w:rPr>
                <w:lang w:val="es-ES_tradnl"/>
              </w:rPr>
              <w:t>Autenticación/protección contra reproducción</w:t>
            </w:r>
          </w:p>
        </w:tc>
        <w:tc>
          <w:tcPr>
            <w:tcW w:w="2551" w:type="dxa"/>
          </w:tcPr>
          <w:p w:rsidR="00A87E27" w:rsidRPr="009D06C9" w:rsidRDefault="00A87E27" w:rsidP="00090ED8">
            <w:pPr>
              <w:pStyle w:val="Tabletext"/>
              <w:jc w:val="left"/>
              <w:rPr>
                <w:lang w:val="es-ES_tradnl"/>
              </w:rPr>
            </w:pPr>
            <w:r w:rsidRPr="009D06C9">
              <w:rPr>
                <w:lang w:val="es-ES_tradnl"/>
              </w:rPr>
              <w:t>Sí; CAVE y AKA</w:t>
            </w:r>
          </w:p>
        </w:tc>
        <w:tc>
          <w:tcPr>
            <w:tcW w:w="2551" w:type="dxa"/>
          </w:tcPr>
          <w:p w:rsidR="00A87E27" w:rsidRPr="009D06C9" w:rsidRDefault="00A87E27" w:rsidP="00090ED8">
            <w:pPr>
              <w:pStyle w:val="Tabletext"/>
              <w:jc w:val="left"/>
              <w:rPr>
                <w:lang w:val="es-ES_tradnl"/>
              </w:rPr>
            </w:pPr>
            <w:r w:rsidRPr="009D06C9">
              <w:rPr>
                <w:lang w:val="es-ES_tradnl"/>
              </w:rPr>
              <w:t>Sí; CHAP y AKA</w:t>
            </w:r>
          </w:p>
        </w:tc>
        <w:tc>
          <w:tcPr>
            <w:tcW w:w="2551" w:type="dxa"/>
          </w:tcPr>
          <w:p w:rsidR="00A87E27" w:rsidRPr="009D06C9" w:rsidRDefault="00A87E27" w:rsidP="00090ED8">
            <w:pPr>
              <w:pStyle w:val="Tabletext"/>
              <w:jc w:val="left"/>
              <w:rPr>
                <w:lang w:val="es-ES_tradnl"/>
              </w:rPr>
            </w:pPr>
            <w:r w:rsidRPr="009D06C9">
              <w:rPr>
                <w:lang w:val="es-ES_tradnl"/>
              </w:rPr>
              <w:t>Sí; CHAP y AKA</w:t>
            </w:r>
          </w:p>
        </w:tc>
      </w:tr>
      <w:tr w:rsidR="00A87E27" w:rsidRPr="009D06C9" w:rsidTr="00090ED8">
        <w:trPr>
          <w:cantSplit/>
          <w:jc w:val="center"/>
        </w:trPr>
        <w:tc>
          <w:tcPr>
            <w:tcW w:w="1984" w:type="dxa"/>
          </w:tcPr>
          <w:p w:rsidR="00A87E27" w:rsidRPr="009D06C9" w:rsidRDefault="00A87E27" w:rsidP="00090ED8">
            <w:pPr>
              <w:pStyle w:val="Tabletext"/>
              <w:jc w:val="left"/>
              <w:rPr>
                <w:lang w:val="es-ES_tradnl"/>
              </w:rPr>
            </w:pPr>
            <w:r w:rsidRPr="009D06C9">
              <w:rPr>
                <w:lang w:val="es-ES_tradnl"/>
              </w:rPr>
              <w:t>Intercambio de claves</w:t>
            </w:r>
          </w:p>
        </w:tc>
        <w:tc>
          <w:tcPr>
            <w:tcW w:w="2551" w:type="dxa"/>
          </w:tcPr>
          <w:p w:rsidR="00A87E27" w:rsidRPr="009D06C9" w:rsidRDefault="00A87E27" w:rsidP="00090ED8">
            <w:pPr>
              <w:pStyle w:val="Tabletext"/>
              <w:jc w:val="left"/>
              <w:rPr>
                <w:lang w:val="es-ES_tradnl"/>
              </w:rPr>
            </w:pPr>
            <w:r w:rsidRPr="009D06C9">
              <w:rPr>
                <w:lang w:val="es-ES_tradnl"/>
              </w:rPr>
              <w:t>CAVE, SHA-1 y SHA-2 para AKA</w:t>
            </w:r>
          </w:p>
        </w:tc>
        <w:tc>
          <w:tcPr>
            <w:tcW w:w="2551" w:type="dxa"/>
          </w:tcPr>
          <w:p w:rsidR="00A87E27" w:rsidRPr="009D06C9" w:rsidRDefault="00A87E27" w:rsidP="00090ED8">
            <w:pPr>
              <w:pStyle w:val="Tabletext"/>
              <w:jc w:val="left"/>
              <w:rPr>
                <w:lang w:val="es-ES_tradnl"/>
              </w:rPr>
            </w:pPr>
            <w:r w:rsidRPr="009D06C9">
              <w:rPr>
                <w:lang w:val="es-ES_tradnl"/>
              </w:rPr>
              <w:t>SHA-1, SHA-2 y MILENAGE</w:t>
            </w:r>
          </w:p>
        </w:tc>
        <w:tc>
          <w:tcPr>
            <w:tcW w:w="2551" w:type="dxa"/>
          </w:tcPr>
          <w:p w:rsidR="00A87E27" w:rsidRPr="009D06C9" w:rsidRDefault="00A87E27" w:rsidP="00090ED8">
            <w:pPr>
              <w:pStyle w:val="Tabletext"/>
              <w:jc w:val="left"/>
              <w:rPr>
                <w:lang w:val="es-ES_tradnl"/>
              </w:rPr>
            </w:pPr>
            <w:r w:rsidRPr="009D06C9">
              <w:rPr>
                <w:lang w:val="es-ES_tradnl"/>
              </w:rPr>
              <w:t>SHA-1, SHA-2 y MILENAGE</w:t>
            </w:r>
          </w:p>
        </w:tc>
      </w:tr>
      <w:tr w:rsidR="00A87E27" w:rsidRPr="00D30DBF" w:rsidTr="00090ED8">
        <w:trPr>
          <w:cantSplit/>
          <w:jc w:val="center"/>
        </w:trPr>
        <w:tc>
          <w:tcPr>
            <w:tcW w:w="1984" w:type="dxa"/>
          </w:tcPr>
          <w:p w:rsidR="00A87E27" w:rsidRPr="009D06C9" w:rsidRDefault="00A87E27" w:rsidP="00090ED8">
            <w:pPr>
              <w:pStyle w:val="Tabletext"/>
              <w:jc w:val="left"/>
              <w:rPr>
                <w:lang w:val="es-ES_tradnl"/>
              </w:rPr>
            </w:pPr>
            <w:r w:rsidRPr="009D06C9">
              <w:rPr>
                <w:lang w:val="es-ES_tradnl"/>
              </w:rPr>
              <w:t>Detección de nodos falseados</w:t>
            </w:r>
          </w:p>
        </w:tc>
        <w:tc>
          <w:tcPr>
            <w:tcW w:w="2551" w:type="dxa"/>
          </w:tcPr>
          <w:p w:rsidR="00A87E27" w:rsidRPr="009D06C9" w:rsidRDefault="00A87E27" w:rsidP="00090ED8">
            <w:pPr>
              <w:pStyle w:val="Tabletext"/>
              <w:jc w:val="left"/>
              <w:rPr>
                <w:lang w:val="es-ES_tradnl"/>
              </w:rPr>
            </w:pPr>
            <w:r w:rsidRPr="009D06C9">
              <w:rPr>
                <w:lang w:val="es-ES_tradnl"/>
              </w:rPr>
              <w:t>Sí, la estación de base puede ser autenticada</w:t>
            </w:r>
          </w:p>
        </w:tc>
        <w:tc>
          <w:tcPr>
            <w:tcW w:w="2551" w:type="dxa"/>
          </w:tcPr>
          <w:p w:rsidR="00A87E27" w:rsidRPr="009D06C9" w:rsidRDefault="00A87E27" w:rsidP="00090ED8">
            <w:pPr>
              <w:pStyle w:val="Tabletext"/>
              <w:jc w:val="left"/>
              <w:rPr>
                <w:lang w:val="es-ES_tradnl"/>
              </w:rPr>
            </w:pPr>
            <w:r w:rsidRPr="009D06C9">
              <w:rPr>
                <w:lang w:val="es-ES_tradnl"/>
              </w:rPr>
              <w:t>Sí, la estación de base puede ser autenticada</w:t>
            </w:r>
          </w:p>
        </w:tc>
        <w:tc>
          <w:tcPr>
            <w:tcW w:w="2551" w:type="dxa"/>
          </w:tcPr>
          <w:p w:rsidR="00A87E27" w:rsidRPr="009D06C9" w:rsidRDefault="00A87E27" w:rsidP="00090ED8">
            <w:pPr>
              <w:pStyle w:val="Tabletext"/>
              <w:jc w:val="left"/>
              <w:rPr>
                <w:lang w:val="es-ES_tradnl"/>
              </w:rPr>
            </w:pPr>
            <w:r w:rsidRPr="009D06C9">
              <w:rPr>
                <w:lang w:val="es-ES_tradnl"/>
              </w:rPr>
              <w:t>Sí, la estación de base puede ser autenticada</w:t>
            </w:r>
          </w:p>
        </w:tc>
      </w:tr>
      <w:tr w:rsidR="00A87E27" w:rsidRPr="00D30DBF" w:rsidTr="00090ED8">
        <w:trPr>
          <w:cantSplit/>
          <w:jc w:val="center"/>
        </w:trPr>
        <w:tc>
          <w:tcPr>
            <w:tcW w:w="1984" w:type="dxa"/>
          </w:tcPr>
          <w:p w:rsidR="00A87E27" w:rsidRPr="009D06C9" w:rsidRDefault="00A87E27" w:rsidP="00090ED8">
            <w:pPr>
              <w:pStyle w:val="Tabletext"/>
              <w:jc w:val="left"/>
              <w:rPr>
                <w:lang w:val="es-ES_tradnl"/>
              </w:rPr>
            </w:pPr>
            <w:r w:rsidRPr="009D06C9">
              <w:rPr>
                <w:lang w:val="es-ES_tradnl"/>
              </w:rPr>
              <w:t xml:space="preserve">Identificación unívoca de dispositivo </w:t>
            </w:r>
          </w:p>
        </w:tc>
        <w:tc>
          <w:tcPr>
            <w:tcW w:w="2551" w:type="dxa"/>
          </w:tcPr>
          <w:p w:rsidR="00A87E27" w:rsidRPr="009D06C9" w:rsidRDefault="00A87E27" w:rsidP="00090ED8">
            <w:pPr>
              <w:pStyle w:val="Tabletext"/>
              <w:jc w:val="left"/>
              <w:rPr>
                <w:lang w:val="es-ES_tradnl"/>
              </w:rPr>
            </w:pPr>
            <w:r w:rsidRPr="009D06C9">
              <w:rPr>
                <w:lang w:val="es-ES_tradnl"/>
              </w:rPr>
              <w:t>Utiliza MEID y tarjeta SIM de 60 bits (opcional)</w:t>
            </w:r>
          </w:p>
        </w:tc>
        <w:tc>
          <w:tcPr>
            <w:tcW w:w="2551" w:type="dxa"/>
          </w:tcPr>
          <w:p w:rsidR="00A87E27" w:rsidRPr="009D06C9" w:rsidRDefault="00A87E27" w:rsidP="00090ED8">
            <w:pPr>
              <w:pStyle w:val="Tabletext"/>
              <w:jc w:val="left"/>
              <w:rPr>
                <w:lang w:val="es-ES_tradnl"/>
              </w:rPr>
            </w:pPr>
            <w:r w:rsidRPr="009D06C9">
              <w:rPr>
                <w:lang w:val="es-ES_tradnl"/>
              </w:rPr>
              <w:t>Utiliza MEID y tarjeta SIM de 60 bits (opcional)</w:t>
            </w:r>
          </w:p>
        </w:tc>
        <w:tc>
          <w:tcPr>
            <w:tcW w:w="2551" w:type="dxa"/>
          </w:tcPr>
          <w:p w:rsidR="00A87E27" w:rsidRPr="009D06C9" w:rsidRDefault="00A87E27" w:rsidP="00090ED8">
            <w:pPr>
              <w:pStyle w:val="Tabletext"/>
              <w:jc w:val="left"/>
              <w:rPr>
                <w:lang w:val="es-ES_tradnl"/>
              </w:rPr>
            </w:pPr>
            <w:r w:rsidRPr="009D06C9">
              <w:rPr>
                <w:lang w:val="es-ES_tradnl"/>
              </w:rPr>
              <w:t>Utiliza MEID y tarjeta SIM de 60 bits (opcional)</w:t>
            </w:r>
          </w:p>
        </w:tc>
      </w:tr>
    </w:tbl>
    <w:p w:rsidR="00A87E27" w:rsidRPr="009D06C9" w:rsidRDefault="00A87E27" w:rsidP="00A87E27">
      <w:pPr>
        <w:pStyle w:val="Tablefin"/>
        <w:rPr>
          <w:lang w:val="es-ES_tradnl"/>
        </w:rPr>
      </w:pPr>
    </w:p>
    <w:p w:rsidR="00A87E27" w:rsidRPr="009D06C9" w:rsidRDefault="00A87E27" w:rsidP="00A87E27">
      <w:pPr>
        <w:pStyle w:val="AnnexNoTitle"/>
        <w:rPr>
          <w:rFonts w:eastAsia="Batang"/>
          <w:lang w:val="es-ES_tradnl"/>
        </w:rPr>
      </w:pPr>
      <w:bookmarkStart w:id="53" w:name="_Toc421882710"/>
      <w:r w:rsidRPr="009D06C9">
        <w:rPr>
          <w:lang w:val="es-ES_tradnl"/>
        </w:rPr>
        <w:lastRenderedPageBreak/>
        <w:t>Anexo 2</w:t>
      </w:r>
      <w:bookmarkEnd w:id="53"/>
      <w:r w:rsidRPr="009D06C9">
        <w:rPr>
          <w:lang w:val="es-ES_tradnl"/>
        </w:rPr>
        <w:br/>
      </w:r>
      <w:r w:rsidRPr="009D06C9">
        <w:rPr>
          <w:lang w:val="es-ES_tradnl"/>
        </w:rPr>
        <w:br/>
      </w:r>
      <w:r w:rsidRPr="009D06C9">
        <w:rPr>
          <w:rFonts w:eastAsia="Batang"/>
          <w:lang w:val="es-ES_tradnl"/>
        </w:rPr>
        <w:t>Red inteligente en Norteamérica</w:t>
      </w:r>
    </w:p>
    <w:p w:rsidR="00A87E27" w:rsidRPr="009D06C9" w:rsidRDefault="00A87E27" w:rsidP="00A87E27">
      <w:pPr>
        <w:pStyle w:val="Heading2"/>
        <w:rPr>
          <w:rFonts w:eastAsia="Batang"/>
          <w:lang w:val="es-ES_tradnl"/>
        </w:rPr>
      </w:pPr>
      <w:bookmarkStart w:id="54" w:name="_Toc421882712"/>
      <w:bookmarkStart w:id="55" w:name="_Toc498004368"/>
      <w:r w:rsidRPr="009D06C9">
        <w:rPr>
          <w:rFonts w:eastAsia="Batang"/>
          <w:lang w:val="es-ES_tradnl"/>
        </w:rPr>
        <w:t>A2.1</w:t>
      </w:r>
      <w:r w:rsidRPr="009D06C9">
        <w:rPr>
          <w:rFonts w:eastAsia="Batang"/>
          <w:lang w:val="es-ES_tradnl"/>
        </w:rPr>
        <w:tab/>
        <w:t>Introducción</w:t>
      </w:r>
      <w:bookmarkEnd w:id="54"/>
      <w:bookmarkEnd w:id="55"/>
    </w:p>
    <w:p w:rsidR="00A87E27" w:rsidRPr="009D06C9" w:rsidRDefault="00A87E27" w:rsidP="00A87E27">
      <w:pPr>
        <w:keepNext/>
        <w:keepLines/>
        <w:rPr>
          <w:rFonts w:eastAsia="Batang"/>
          <w:lang w:val="es-ES_tradnl"/>
        </w:rPr>
      </w:pPr>
      <w:r w:rsidRPr="009D06C9">
        <w:rPr>
          <w:rFonts w:eastAsia="Batang"/>
          <w:lang w:val="es-ES_tradnl"/>
        </w:rPr>
        <w:t>En los Estados Unidos de América y Canadá, organismos públicos han reconocido que, gracias a las grandes capacidades de reacción de la red inteligente, las empresas de servicios públicos y los usuarios podrán cosechar todos los beneficios económicos y medioambientales de recursos renovables y, especialmente, renovables distribuidos</w:t>
      </w:r>
      <w:r w:rsidRPr="009D06C9">
        <w:rPr>
          <w:rFonts w:eastAsia="Batang"/>
          <w:position w:val="6"/>
          <w:sz w:val="18"/>
          <w:lang w:val="es-ES_tradnl"/>
        </w:rPr>
        <w:footnoteReference w:id="28"/>
      </w:r>
      <w:r w:rsidRPr="009D06C9">
        <w:rPr>
          <w:rFonts w:eastAsia="Batang"/>
          <w:lang w:val="es-ES_tradnl"/>
        </w:rPr>
        <w:t>. Del mismo modo, se esperan que esas capacidades permitan aprovechar las posibles ventajas de estructuras de tarificación dinámicas y aplicaciones de respuesta a la demanda que deben poder interactuar con muchos miles de dispositivos en tiempo real</w:t>
      </w:r>
      <w:r w:rsidRPr="009D06C9">
        <w:rPr>
          <w:rFonts w:eastAsia="Batang"/>
          <w:position w:val="6"/>
          <w:sz w:val="18"/>
          <w:lang w:val="es-ES_tradnl"/>
        </w:rPr>
        <w:footnoteReference w:id="29"/>
      </w:r>
      <w:r w:rsidRPr="009D06C9">
        <w:rPr>
          <w:rFonts w:eastAsia="Batang"/>
          <w:lang w:val="es-ES_tradnl"/>
        </w:rPr>
        <w:t>.</w:t>
      </w:r>
    </w:p>
    <w:p w:rsidR="00A87E27" w:rsidRPr="009D06C9" w:rsidRDefault="00A87E27" w:rsidP="00A87E27">
      <w:pPr>
        <w:pStyle w:val="Heading2"/>
        <w:rPr>
          <w:rFonts w:eastAsia="Batang"/>
          <w:lang w:val="es-ES_tradnl"/>
        </w:rPr>
      </w:pPr>
      <w:bookmarkStart w:id="56" w:name="_Toc421882713"/>
      <w:bookmarkStart w:id="57" w:name="_Toc498004369"/>
      <w:r w:rsidRPr="009D06C9">
        <w:rPr>
          <w:rFonts w:eastAsia="Batang"/>
          <w:lang w:val="es-ES_tradnl"/>
        </w:rPr>
        <w:t>A2.2</w:t>
      </w:r>
      <w:r w:rsidRPr="009D06C9">
        <w:rPr>
          <w:rFonts w:eastAsia="Batang"/>
          <w:lang w:val="es-ES_tradnl"/>
        </w:rPr>
        <w:tab/>
        <w:t>Motivos de la implantación de redes inteligentes</w:t>
      </w:r>
      <w:bookmarkEnd w:id="56"/>
      <w:bookmarkEnd w:id="57"/>
    </w:p>
    <w:p w:rsidR="00A87E27" w:rsidRPr="009D06C9" w:rsidRDefault="00A87E27" w:rsidP="00A87E27">
      <w:pPr>
        <w:rPr>
          <w:rFonts w:eastAsia="Batang"/>
          <w:lang w:val="es-ES_tradnl"/>
        </w:rPr>
      </w:pPr>
      <w:r w:rsidRPr="009D06C9">
        <w:rPr>
          <w:rFonts w:eastAsia="Batang"/>
          <w:lang w:val="es-ES_tradnl"/>
        </w:rPr>
        <w:t xml:space="preserve">Las autoridades estadounidenses y canadienses ya reconocen que una red de comunicación plenamente integrada forma parte integrante de una red inteligente. Por ejemplo, según la iniciativa de red inteligente respaldada por el Departamento de Energía de EE.UU., </w:t>
      </w:r>
      <w:r w:rsidRPr="009D06C9">
        <w:rPr>
          <w:rFonts w:eastAsia="Batang"/>
          <w:i/>
          <w:lang w:val="es-ES_tradnl"/>
        </w:rPr>
        <w:t>«la implementación de comunicaciones integradas es una necesidad fundamental [de una red inteligente], necesaria para otras tecnologías clave y esencial para la red eléctrica moderna…»</w:t>
      </w:r>
      <w:r w:rsidRPr="009D06C9">
        <w:rPr>
          <w:rFonts w:eastAsia="Batang"/>
          <w:position w:val="6"/>
          <w:sz w:val="18"/>
          <w:lang w:val="es-ES_tradnl"/>
        </w:rPr>
        <w:footnoteReference w:id="30"/>
      </w:r>
      <w:r w:rsidRPr="009D06C9">
        <w:rPr>
          <w:rFonts w:eastAsia="Batang"/>
          <w:lang w:val="es-ES_tradnl"/>
        </w:rPr>
        <w:t>.</w:t>
      </w:r>
    </w:p>
    <w:p w:rsidR="00A87E27" w:rsidRPr="009D06C9" w:rsidRDefault="00A87E27" w:rsidP="00A87E27">
      <w:pPr>
        <w:rPr>
          <w:rFonts w:eastAsia="Batang"/>
          <w:lang w:val="es-ES_tradnl"/>
        </w:rPr>
      </w:pPr>
      <w:r w:rsidRPr="009D06C9">
        <w:rPr>
          <w:rFonts w:eastAsia="Batang"/>
          <w:lang w:val="es-ES_tradnl"/>
        </w:rPr>
        <w:t xml:space="preserve">El Departamento añade que </w:t>
      </w:r>
      <w:r w:rsidRPr="009D06C9">
        <w:rPr>
          <w:rFonts w:eastAsia="Batang"/>
          <w:i/>
          <w:lang w:val="es-ES_tradnl"/>
        </w:rPr>
        <w:t>«tecnologías de comunicación bidireccionales, totalmente integradas y de alta velocidad permitirán un intercambio indispensable de información y potencia en tiempo real»</w:t>
      </w:r>
      <w:r w:rsidRPr="009D06C9">
        <w:rPr>
          <w:rFonts w:eastAsia="Batang"/>
          <w:position w:val="6"/>
          <w:sz w:val="18"/>
          <w:lang w:val="es-ES_tradnl"/>
        </w:rPr>
        <w:footnoteReference w:id="31"/>
      </w:r>
      <w:r w:rsidRPr="009D06C9">
        <w:rPr>
          <w:rFonts w:eastAsia="Batang"/>
          <w:lang w:val="es-ES_tradnl"/>
        </w:rPr>
        <w:t>.</w:t>
      </w:r>
    </w:p>
    <w:p w:rsidR="00A87E27" w:rsidRPr="009D06C9" w:rsidRDefault="00A87E27" w:rsidP="00A87E27">
      <w:pPr>
        <w:rPr>
          <w:rFonts w:eastAsia="Batang"/>
          <w:lang w:val="es-ES_tradnl"/>
        </w:rPr>
      </w:pPr>
      <w:r w:rsidRPr="009D06C9">
        <w:rPr>
          <w:rFonts w:eastAsia="Batang"/>
          <w:lang w:val="es-ES_tradnl"/>
        </w:rPr>
        <w:lastRenderedPageBreak/>
        <w:t>Autoridades públicas</w:t>
      </w:r>
      <w:r w:rsidRPr="009D06C9">
        <w:rPr>
          <w:rStyle w:val="FootnoteReference"/>
          <w:rFonts w:eastAsia="Batang"/>
          <w:lang w:val="es-ES_tradnl"/>
        </w:rPr>
        <w:footnoteReference w:id="32"/>
      </w:r>
      <w:r w:rsidRPr="009D06C9">
        <w:rPr>
          <w:rFonts w:eastAsia="Batang"/>
          <w:lang w:val="es-ES_tradnl"/>
        </w:rPr>
        <w:t xml:space="preserve"> y otras empresas interesadas han insistido de manera similar sobre la funcionalidad de las comunicaciones avanzadas. Por ejemplo, el </w:t>
      </w:r>
      <w:r w:rsidRPr="009D06C9">
        <w:rPr>
          <w:rFonts w:eastAsia="Batang"/>
          <w:i/>
          <w:iCs/>
          <w:lang w:val="es-ES_tradnl"/>
        </w:rPr>
        <w:t>Ontario Smart Grid Forum</w:t>
      </w:r>
      <w:r w:rsidRPr="009D06C9">
        <w:rPr>
          <w:rFonts w:eastAsia="Batang"/>
          <w:lang w:val="es-ES_tradnl"/>
        </w:rPr>
        <w:t xml:space="preserve"> declaró hace poco que «la tecnología de comunicaciones está al centro de la red inteligente. [Esa tecnología] lleva los datos generados por medidores, sensores, controladores de tensión, unidades de trabajo móviles y un sinnúmero de otros dispositivos en la red a sistemas informáticos y otros equipos necesarios para convertir esos datos en información utilizable»</w:t>
      </w:r>
      <w:r w:rsidRPr="009D06C9">
        <w:rPr>
          <w:rFonts w:eastAsia="Batang"/>
          <w:position w:val="6"/>
          <w:sz w:val="18"/>
          <w:lang w:val="es-ES_tradnl"/>
        </w:rPr>
        <w:footnoteReference w:id="33"/>
      </w:r>
      <w:r w:rsidRPr="009D06C9">
        <w:rPr>
          <w:rFonts w:eastAsia="Batang"/>
          <w:lang w:val="es-ES_tradnl"/>
        </w:rPr>
        <w:t>.</w:t>
      </w:r>
    </w:p>
    <w:p w:rsidR="00A87E27" w:rsidRPr="009D06C9" w:rsidRDefault="00A87E27" w:rsidP="00A87E27">
      <w:pPr>
        <w:rPr>
          <w:rFonts w:eastAsia="Batang"/>
          <w:lang w:val="es-ES_tradnl"/>
        </w:rPr>
      </w:pPr>
    </w:p>
    <w:p w:rsidR="00A87E27" w:rsidRPr="009D06C9" w:rsidRDefault="00A87E27" w:rsidP="00A87E27">
      <w:pPr>
        <w:rPr>
          <w:rFonts w:eastAsia="Batang"/>
          <w:lang w:val="es-ES_tradnl"/>
        </w:rPr>
      </w:pPr>
    </w:p>
    <w:p w:rsidR="00A87E27" w:rsidRPr="009D06C9" w:rsidRDefault="00A87E27" w:rsidP="00A87E27">
      <w:pPr>
        <w:rPr>
          <w:rFonts w:eastAsia="Batang"/>
          <w:lang w:val="es-ES_tradnl"/>
        </w:rPr>
      </w:pPr>
    </w:p>
    <w:p w:rsidR="00A87E27" w:rsidRPr="009D06C9" w:rsidRDefault="00A87E27" w:rsidP="00A87E27">
      <w:pPr>
        <w:pStyle w:val="AnnexNoTitle"/>
        <w:rPr>
          <w:rFonts w:eastAsia="Batang"/>
          <w:lang w:val="es-ES_tradnl"/>
        </w:rPr>
      </w:pPr>
      <w:bookmarkStart w:id="58" w:name="_Toc421882714"/>
      <w:r w:rsidRPr="009D06C9">
        <w:rPr>
          <w:lang w:val="es-ES_tradnl"/>
        </w:rPr>
        <w:t>Anexo 3</w:t>
      </w:r>
      <w:bookmarkEnd w:id="58"/>
      <w:r w:rsidRPr="009D06C9">
        <w:rPr>
          <w:lang w:val="es-ES_tradnl"/>
        </w:rPr>
        <w:br/>
      </w:r>
      <w:r w:rsidRPr="009D06C9">
        <w:rPr>
          <w:lang w:val="es-ES_tradnl"/>
        </w:rPr>
        <w:br/>
      </w:r>
      <w:bookmarkStart w:id="59" w:name="_Toc421880937"/>
      <w:bookmarkStart w:id="60" w:name="_Toc421882715"/>
      <w:r w:rsidRPr="009D06C9">
        <w:rPr>
          <w:rFonts w:eastAsia="Batang"/>
          <w:lang w:val="es-ES_tradnl" w:eastAsia="ko-KR"/>
        </w:rPr>
        <w:t>Red inteligente en</w:t>
      </w:r>
      <w:r w:rsidRPr="009D06C9">
        <w:rPr>
          <w:rFonts w:eastAsia="Batang"/>
          <w:lang w:val="es-ES_tradnl"/>
        </w:rPr>
        <w:t xml:space="preserve"> Europ</w:t>
      </w:r>
      <w:bookmarkEnd w:id="59"/>
      <w:bookmarkEnd w:id="60"/>
      <w:r w:rsidRPr="009D06C9">
        <w:rPr>
          <w:rFonts w:eastAsia="Batang"/>
          <w:lang w:val="es-ES_tradnl"/>
        </w:rPr>
        <w:t>a</w:t>
      </w:r>
    </w:p>
    <w:p w:rsidR="00A87E27" w:rsidRPr="009D06C9" w:rsidRDefault="00A87E27" w:rsidP="00A87E27">
      <w:pPr>
        <w:pStyle w:val="Heading2"/>
        <w:rPr>
          <w:rFonts w:eastAsia="Batang"/>
          <w:lang w:val="es-ES_tradnl"/>
        </w:rPr>
      </w:pPr>
      <w:bookmarkStart w:id="61" w:name="_Toc421882716"/>
      <w:bookmarkStart w:id="62" w:name="_Toc498004370"/>
      <w:r w:rsidRPr="009D06C9">
        <w:rPr>
          <w:rFonts w:eastAsia="Batang"/>
          <w:lang w:val="es-ES_tradnl"/>
        </w:rPr>
        <w:t>A3.1</w:t>
      </w:r>
      <w:r w:rsidRPr="009D06C9">
        <w:rPr>
          <w:rFonts w:eastAsia="Batang"/>
          <w:lang w:val="es-ES_tradnl"/>
        </w:rPr>
        <w:tab/>
        <w:t>Introducción</w:t>
      </w:r>
      <w:bookmarkEnd w:id="61"/>
      <w:bookmarkEnd w:id="62"/>
    </w:p>
    <w:p w:rsidR="00A87E27" w:rsidRPr="009D06C9" w:rsidRDefault="00A87E27" w:rsidP="00A87E27">
      <w:pPr>
        <w:rPr>
          <w:rFonts w:eastAsia="Batang"/>
          <w:lang w:val="es-ES_tradnl"/>
        </w:rPr>
      </w:pPr>
      <w:r w:rsidRPr="009D06C9">
        <w:rPr>
          <w:rFonts w:eastAsia="Batang"/>
          <w:lang w:val="es-ES_tradnl"/>
        </w:rPr>
        <w:t>Se han dedicado amplios conocimientos y recursos europeos para comprender y promover que las redes inteligentes son una solución a las dificultades que Europa afronta en materia de cambio climático y eficiencia energética, como por ejemplo todas las iniciativas siguientes:</w:t>
      </w:r>
    </w:p>
    <w:p w:rsidR="00A87E27" w:rsidRPr="009D06C9" w:rsidRDefault="00A87E27" w:rsidP="00A87E27">
      <w:pPr>
        <w:pStyle w:val="enumlev1"/>
        <w:rPr>
          <w:rFonts w:eastAsia="Batang"/>
          <w:lang w:val="es-ES_tradnl"/>
        </w:rPr>
      </w:pPr>
      <w:r w:rsidRPr="009D06C9">
        <w:rPr>
          <w:rFonts w:eastAsia="Batang"/>
          <w:bCs/>
          <w:lang w:val="es-ES_tradnl"/>
        </w:rPr>
        <w:t>–</w:t>
      </w:r>
      <w:r w:rsidRPr="009D06C9">
        <w:rPr>
          <w:rFonts w:eastAsia="Batang"/>
          <w:b/>
          <w:lang w:val="es-ES_tradnl"/>
        </w:rPr>
        <w:tab/>
        <w:t>Enero de 2008, Informe de la Eurodiputada Fiona Hall «Plan de acción para la eficiencia energética: realizar el potencial»</w:t>
      </w:r>
      <w:r w:rsidRPr="009D06C9">
        <w:rPr>
          <w:rFonts w:eastAsia="Batang"/>
          <w:bCs/>
          <w:vertAlign w:val="superscript"/>
          <w:lang w:val="es-ES_tradnl"/>
        </w:rPr>
        <w:footnoteReference w:id="34"/>
      </w:r>
      <w:r w:rsidRPr="009D06C9">
        <w:rPr>
          <w:rFonts w:eastAsia="Batang"/>
          <w:bCs/>
          <w:lang w:val="es-ES_tradnl"/>
        </w:rPr>
        <w:t xml:space="preserve">, en el informe se reconoce la importancia de las tecnologías de la información y la comunicación para ayudar a obtener ganancias de productividad adicionales superiores al objetivo del 20% de la UE y se considera que </w:t>
      </w:r>
      <w:r w:rsidRPr="009D06C9">
        <w:rPr>
          <w:rFonts w:eastAsia="Batang"/>
          <w:lang w:val="es-ES_tradnl"/>
        </w:rPr>
        <w:t>«</w:t>
      </w:r>
      <w:r w:rsidRPr="009D06C9">
        <w:rPr>
          <w:rFonts w:eastAsia="Batang"/>
          <w:i/>
          <w:lang w:val="es-ES_tradnl"/>
        </w:rPr>
        <w:t>ciertas tecnologías, tales como la tecnología de redes inteligentes, los sistemas inteligentes de gestión y las tecnologías de computación granular («speckled computing»), deben ser por lo tanto objeto de recomendaciones políticas efectivas»</w:t>
      </w:r>
      <w:r w:rsidRPr="009D06C9">
        <w:rPr>
          <w:rFonts w:eastAsia="Batang"/>
          <w:lang w:val="es-ES_tradnl"/>
        </w:rPr>
        <w:t>.</w:t>
      </w:r>
    </w:p>
    <w:p w:rsidR="00A87E27" w:rsidRPr="009D06C9" w:rsidRDefault="00A87E27" w:rsidP="00A87E27">
      <w:pPr>
        <w:pStyle w:val="enumlev1"/>
        <w:rPr>
          <w:rFonts w:eastAsia="Batang"/>
          <w:i/>
          <w:iCs/>
          <w:lang w:val="es-ES_tradnl"/>
        </w:rPr>
      </w:pPr>
      <w:r w:rsidRPr="009D06C9">
        <w:rPr>
          <w:rFonts w:eastAsia="Batang"/>
          <w:bCs/>
          <w:lang w:val="es-ES_tradnl"/>
        </w:rPr>
        <w:lastRenderedPageBreak/>
        <w:t>–</w:t>
      </w:r>
      <w:r w:rsidRPr="009D06C9">
        <w:rPr>
          <w:rFonts w:eastAsia="Batang"/>
          <w:b/>
          <w:lang w:val="es-ES_tradnl"/>
        </w:rPr>
        <w:tab/>
        <w:t>Junio de 2008, el Parlamento Europeo (primera lectura), acerca de la Directiva sobre reglas comunes para el mercado interno de la electricidad</w:t>
      </w:r>
      <w:r w:rsidRPr="009D06C9">
        <w:rPr>
          <w:rStyle w:val="FootnoteReference"/>
          <w:rFonts w:eastAsia="Batang"/>
          <w:lang w:val="es-ES_tradnl"/>
        </w:rPr>
        <w:footnoteReference w:id="35"/>
      </w:r>
      <w:r w:rsidRPr="009D06C9">
        <w:rPr>
          <w:rFonts w:eastAsia="Batang"/>
          <w:bCs/>
          <w:lang w:val="es-ES_tradnl"/>
        </w:rPr>
        <w:t xml:space="preserve">, </w:t>
      </w:r>
      <w:r w:rsidRPr="009D06C9">
        <w:rPr>
          <w:rFonts w:eastAsia="Batang"/>
          <w:lang w:val="es-ES_tradnl"/>
        </w:rPr>
        <w:t xml:space="preserve">propugna que </w:t>
      </w:r>
      <w:r w:rsidRPr="009D06C9">
        <w:rPr>
          <w:rFonts w:eastAsia="Batang"/>
          <w:bCs/>
          <w:lang w:val="es-ES_tradnl"/>
        </w:rPr>
        <w:t>«</w:t>
      </w:r>
      <w:r w:rsidRPr="009D06C9">
        <w:rPr>
          <w:rFonts w:eastAsia="Batang"/>
          <w:i/>
          <w:iCs/>
          <w:lang w:val="es-ES_tradnl"/>
        </w:rPr>
        <w:t>fórmulas de precios, combinadas con la introducción de contadores y redes inteligentes, fomentarán un comportamiento de eficiencia energética y el precio más bajo posible para los clientes domésticos, en particular para los hogares que padecen pobreza energética».</w:t>
      </w:r>
    </w:p>
    <w:p w:rsidR="00A87E27" w:rsidRPr="009D06C9" w:rsidRDefault="00A87E27" w:rsidP="00A87E27">
      <w:pPr>
        <w:pStyle w:val="enumlev1"/>
        <w:rPr>
          <w:rFonts w:eastAsia="Batang"/>
          <w:lang w:val="es-ES_tradnl"/>
        </w:rPr>
      </w:pPr>
      <w:r w:rsidRPr="009D06C9">
        <w:rPr>
          <w:rFonts w:eastAsia="Batang"/>
          <w:bCs/>
          <w:lang w:val="es-ES_tradnl"/>
        </w:rPr>
        <w:t>–</w:t>
      </w:r>
      <w:r w:rsidRPr="009D06C9">
        <w:rPr>
          <w:rFonts w:eastAsia="Batang"/>
          <w:b/>
          <w:lang w:val="es-ES_tradnl"/>
        </w:rPr>
        <w:tab/>
      </w:r>
      <w:r w:rsidRPr="009D06C9">
        <w:rPr>
          <w:rFonts w:eastAsia="Batang"/>
          <w:lang w:val="es-ES_tradnl"/>
        </w:rPr>
        <w:t>La</w:t>
      </w:r>
      <w:r w:rsidRPr="009D06C9">
        <w:rPr>
          <w:rFonts w:eastAsia="Batang"/>
          <w:bCs/>
          <w:lang w:val="es-ES_tradnl"/>
        </w:rPr>
        <w:t xml:space="preserve"> </w:t>
      </w:r>
      <w:r w:rsidRPr="009D06C9">
        <w:rPr>
          <w:rFonts w:eastAsia="Batang"/>
          <w:b/>
          <w:i/>
          <w:iCs/>
          <w:lang w:val="es-ES_tradnl"/>
        </w:rPr>
        <w:t>Smart Grid European Technology Platform</w:t>
      </w:r>
      <w:r w:rsidRPr="009D06C9">
        <w:rPr>
          <w:rFonts w:eastAsia="Batang"/>
          <w:bCs/>
          <w:position w:val="6"/>
          <w:sz w:val="18"/>
          <w:lang w:val="es-ES_tradnl"/>
        </w:rPr>
        <w:footnoteReference w:id="36"/>
      </w:r>
      <w:r w:rsidRPr="009D06C9">
        <w:rPr>
          <w:rFonts w:eastAsia="Batang"/>
          <w:bCs/>
          <w:lang w:val="es-ES_tradnl"/>
        </w:rPr>
        <w:t xml:space="preserve"> trabaja para «formular y promover una visión del desarrollo de redes eléctricas europeas con miras a 2020», y estudia en particular cómo las TIC avanzadas pueden ayudar a las redes eléctricas a volverse flexibles, accesibles, fiables y económicas a tenor del cambio de las necesidades europeas</w:t>
      </w:r>
      <w:r w:rsidRPr="009D06C9">
        <w:rPr>
          <w:rFonts w:eastAsia="Batang"/>
          <w:lang w:val="es-ES_tradnl"/>
        </w:rPr>
        <w:t>.</w:t>
      </w:r>
    </w:p>
    <w:p w:rsidR="00A87E27" w:rsidRPr="009D06C9" w:rsidRDefault="00A87E27" w:rsidP="00A87E27">
      <w:pPr>
        <w:pStyle w:val="enumlev1"/>
        <w:rPr>
          <w:rFonts w:eastAsia="Batang"/>
          <w:iCs/>
          <w:lang w:val="es-ES_tradnl"/>
        </w:rPr>
      </w:pPr>
      <w:r w:rsidRPr="009D06C9">
        <w:rPr>
          <w:rFonts w:eastAsia="Batang"/>
          <w:bCs/>
          <w:lang w:val="es-ES_tradnl"/>
        </w:rPr>
        <w:t>–</w:t>
      </w:r>
      <w:r w:rsidRPr="009D06C9">
        <w:rPr>
          <w:rFonts w:eastAsia="Batang"/>
          <w:b/>
          <w:lang w:val="es-ES_tradnl"/>
        </w:rPr>
        <w:tab/>
      </w:r>
      <w:r w:rsidRPr="009D06C9">
        <w:rPr>
          <w:rFonts w:eastAsia="Batang"/>
          <w:lang w:val="es-ES_tradnl"/>
        </w:rPr>
        <w:t>El</w:t>
      </w:r>
      <w:r w:rsidRPr="009D06C9">
        <w:rPr>
          <w:rFonts w:eastAsia="Batang"/>
          <w:bCs/>
          <w:lang w:val="es-ES_tradnl"/>
        </w:rPr>
        <w:t xml:space="preserve"> </w:t>
      </w:r>
      <w:r w:rsidRPr="009D06C9">
        <w:rPr>
          <w:rFonts w:eastAsia="Batang"/>
          <w:b/>
          <w:lang w:val="es-ES_tradnl"/>
        </w:rPr>
        <w:t xml:space="preserve">proyecto </w:t>
      </w:r>
      <w:r w:rsidRPr="009D06C9">
        <w:rPr>
          <w:rFonts w:eastAsia="Batang"/>
          <w:b/>
          <w:i/>
          <w:iCs/>
          <w:lang w:val="es-ES_tradnl"/>
        </w:rPr>
        <w:t>Address</w:t>
      </w:r>
      <w:r w:rsidRPr="009D06C9">
        <w:rPr>
          <w:rFonts w:eastAsia="Batang"/>
          <w:bCs/>
          <w:vertAlign w:val="superscript"/>
          <w:lang w:val="es-ES_tradnl"/>
        </w:rPr>
        <w:footnoteReference w:id="37"/>
      </w:r>
      <w:r w:rsidRPr="009D06C9">
        <w:rPr>
          <w:rFonts w:eastAsia="Batang"/>
          <w:bCs/>
          <w:lang w:val="es-ES_tradnl"/>
        </w:rPr>
        <w:t xml:space="preserve"> </w:t>
      </w:r>
      <w:r w:rsidRPr="009D06C9">
        <w:rPr>
          <w:rFonts w:eastAsia="Batang"/>
          <w:lang w:val="es-ES_tradnl"/>
        </w:rPr>
        <w:t xml:space="preserve">(Redes de distribución activas con integración total de la demanda y las fuentes de energía distribuidas) es un proyecto financiado por la UE que tiene por objeto definir un marco comercial y técnico exhaustivo para el desarrollo de la «demanda activa» en las redes inteligentes del futuro. </w:t>
      </w:r>
      <w:r w:rsidRPr="009D06C9">
        <w:rPr>
          <w:rFonts w:eastAsia="Batang"/>
          <w:i/>
          <w:iCs/>
          <w:lang w:val="es-ES_tradnl"/>
        </w:rPr>
        <w:t>Address</w:t>
      </w:r>
      <w:r w:rsidRPr="009D06C9">
        <w:rPr>
          <w:rFonts w:eastAsia="Batang"/>
          <w:lang w:val="es-ES_tradnl"/>
        </w:rPr>
        <w:t xml:space="preserve"> combina 25 asociados de 11 países europeos que abarcan toda la cadena de abastecimiento eléctrico. PLT es un componente significativo del proyecto en curso en</w:t>
      </w:r>
      <w:r w:rsidRPr="009D06C9">
        <w:rPr>
          <w:rFonts w:eastAsia="Batang"/>
          <w:iCs/>
          <w:lang w:val="es-ES_tradnl"/>
        </w:rPr>
        <w:t xml:space="preserve"> </w:t>
      </w:r>
      <w:r w:rsidRPr="009D06C9">
        <w:rPr>
          <w:rFonts w:eastAsia="Batang"/>
          <w:i/>
          <w:lang w:val="es-ES_tradnl"/>
        </w:rPr>
        <w:t>Address</w:t>
      </w:r>
      <w:r w:rsidRPr="009D06C9">
        <w:rPr>
          <w:rFonts w:eastAsia="Batang"/>
          <w:iCs/>
          <w:position w:val="6"/>
          <w:sz w:val="18"/>
          <w:lang w:val="es-ES_tradnl"/>
        </w:rPr>
        <w:footnoteReference w:id="38"/>
      </w:r>
      <w:r w:rsidRPr="009D06C9">
        <w:rPr>
          <w:rFonts w:eastAsia="Batang"/>
          <w:iCs/>
          <w:lang w:val="es-ES_tradnl"/>
        </w:rPr>
        <w:t>.</w:t>
      </w:r>
    </w:p>
    <w:p w:rsidR="00A87E27" w:rsidRPr="009D06C9" w:rsidRDefault="00A87E27" w:rsidP="00A87E27">
      <w:pPr>
        <w:pStyle w:val="Heading2"/>
        <w:rPr>
          <w:rFonts w:eastAsia="Batang"/>
          <w:lang w:val="es-ES_tradnl"/>
        </w:rPr>
      </w:pPr>
      <w:bookmarkStart w:id="63" w:name="_Toc421882717"/>
      <w:bookmarkStart w:id="64" w:name="_Toc498004371"/>
      <w:r w:rsidRPr="009D06C9">
        <w:rPr>
          <w:rFonts w:eastAsia="Batang"/>
          <w:lang w:val="es-ES_tradnl"/>
        </w:rPr>
        <w:t>A3.2</w:t>
      </w:r>
      <w:r w:rsidRPr="009D06C9">
        <w:rPr>
          <w:rFonts w:eastAsia="Batang"/>
          <w:lang w:val="es-ES_tradnl"/>
        </w:rPr>
        <w:tab/>
        <w:t>Actividades europeas en algunos Estados Miembros</w:t>
      </w:r>
      <w:r w:rsidRPr="009D06C9">
        <w:rPr>
          <w:rFonts w:eastAsia="Batang"/>
          <w:iCs/>
          <w:position w:val="6"/>
          <w:sz w:val="18"/>
          <w:lang w:val="es-ES_tradnl"/>
        </w:rPr>
        <w:footnoteReference w:id="39"/>
      </w:r>
      <w:bookmarkEnd w:id="63"/>
      <w:bookmarkEnd w:id="64"/>
    </w:p>
    <w:p w:rsidR="00A87E27" w:rsidRPr="009D06C9" w:rsidRDefault="00A87E27" w:rsidP="00A87E27">
      <w:pPr>
        <w:pStyle w:val="Heading3"/>
        <w:rPr>
          <w:rFonts w:eastAsia="Batang"/>
          <w:lang w:val="es-ES_tradnl"/>
        </w:rPr>
      </w:pPr>
      <w:bookmarkStart w:id="65" w:name="_Toc421882718"/>
      <w:r w:rsidRPr="009D06C9">
        <w:rPr>
          <w:rFonts w:eastAsia="Batang"/>
          <w:lang w:val="es-ES_tradnl"/>
        </w:rPr>
        <w:t>A3.2.1</w:t>
      </w:r>
      <w:r w:rsidRPr="009D06C9">
        <w:rPr>
          <w:rFonts w:eastAsia="Batang"/>
          <w:lang w:val="es-ES_tradnl"/>
        </w:rPr>
        <w:tab/>
        <w:t>Iniciativa industrial europea sobre redes eléctricas</w:t>
      </w:r>
      <w:bookmarkEnd w:id="65"/>
    </w:p>
    <w:p w:rsidR="00A87E27" w:rsidRPr="009D06C9" w:rsidRDefault="00A87E27" w:rsidP="00A87E27">
      <w:pPr>
        <w:rPr>
          <w:rFonts w:eastAsia="Batang"/>
          <w:lang w:val="es-ES_tradnl"/>
        </w:rPr>
      </w:pPr>
      <w:r w:rsidRPr="009D06C9">
        <w:rPr>
          <w:rFonts w:eastAsia="Batang"/>
          <w:lang w:val="es-ES_tradnl"/>
        </w:rPr>
        <w:t>La Comisión europea lanza la Iniciativa industrial europea sobre redes eléctricas</w:t>
      </w:r>
      <w:r w:rsidRPr="009D06C9">
        <w:rPr>
          <w:rFonts w:eastAsia="Batang"/>
          <w:position w:val="6"/>
          <w:sz w:val="18"/>
          <w:lang w:val="es-ES_tradnl"/>
        </w:rPr>
        <w:footnoteReference w:id="40"/>
      </w:r>
      <w:r w:rsidRPr="009D06C9">
        <w:rPr>
          <w:rFonts w:eastAsia="Batang"/>
          <w:lang w:val="es-ES_tradnl"/>
        </w:rPr>
        <w:t xml:space="preserve"> en el marco del Plan Estratégico Europeo de Tecnología Energética (Plan EETE).</w:t>
      </w:r>
    </w:p>
    <w:p w:rsidR="00A87E27" w:rsidRPr="009D06C9" w:rsidRDefault="00A87E27" w:rsidP="00A87E27">
      <w:pPr>
        <w:rPr>
          <w:rFonts w:eastAsia="Batang"/>
          <w:lang w:val="es-ES_tradnl"/>
        </w:rPr>
      </w:pPr>
      <w:r w:rsidRPr="009D06C9">
        <w:rPr>
          <w:rFonts w:eastAsia="Batang"/>
          <w:lang w:val="es-ES_tradnl"/>
        </w:rPr>
        <w:t xml:space="preserve">The Plan EETE fue propuesto el 22 de noviembre de 2007 por las Direcciones Generales para la Energía y la Investigación de la Comisión Europea con objeto de acelerar la disponibilidad de nuevas tecnologías energéticas y crear un marco europeo a largo plazo para el desarrollo de tecnologías energéticas. El Plan EETE combina la coordinación de la Comisión Europea, las capacidades de investigación de los principales institutos y universidades europeos, la dedicación de las empresas europeas y el compromiso de los Estados Miembros. Una de las dos dificultades que se abordan en el Plan EETE es la movilización de recursos financieros adicionales para investigación e infraestructuras conexas, demostraciones a escala industrial y proyectos de duplicación en el </w:t>
      </w:r>
      <w:r w:rsidRPr="009D06C9">
        <w:rPr>
          <w:rFonts w:eastAsia="Batang"/>
          <w:lang w:val="es-ES_tradnl"/>
        </w:rPr>
        <w:lastRenderedPageBreak/>
        <w:t>mercado. En su comunicación sobre el Plan EETE, la Comisión informó sobre los presupuestos aumentados del Séptimo Programa Marco de las Comunidades Europeas (2007-2013), así como el Programa Energía Inteligente para Europa.</w:t>
      </w:r>
    </w:p>
    <w:p w:rsidR="00A87E27" w:rsidRPr="009D06C9" w:rsidRDefault="00A87E27" w:rsidP="00A87E27">
      <w:pPr>
        <w:rPr>
          <w:rFonts w:eastAsia="Batang"/>
          <w:lang w:val="es-ES_tradnl"/>
        </w:rPr>
      </w:pPr>
      <w:r w:rsidRPr="009D06C9">
        <w:rPr>
          <w:rFonts w:eastAsia="Batang"/>
          <w:lang w:val="es-ES_tradnl"/>
        </w:rPr>
        <w:t>El presupuesto anual medio dedicado a la investigación energética (CE y Euratom) será de 886 millones EUR en comparación con 574 millones EUR en los programas anteriores</w:t>
      </w:r>
      <w:r w:rsidRPr="009D06C9">
        <w:rPr>
          <w:rFonts w:eastAsia="Batang"/>
          <w:position w:val="6"/>
          <w:sz w:val="18"/>
          <w:lang w:val="es-ES_tradnl"/>
        </w:rPr>
        <w:footnoteReference w:id="41"/>
      </w:r>
      <w:r w:rsidRPr="009D06C9">
        <w:rPr>
          <w:rFonts w:eastAsia="Batang"/>
          <w:lang w:val="es-ES_tradnl"/>
        </w:rPr>
        <w:t>. El presupuesto anual medio destinado al Programa Energía Inteligente para Europa será de 100 millones EUR, el doble de los presupuestos anteriores.</w:t>
      </w:r>
    </w:p>
    <w:p w:rsidR="00A87E27" w:rsidRPr="009D06C9" w:rsidRDefault="00A87E27" w:rsidP="00A87E27">
      <w:pPr>
        <w:rPr>
          <w:rFonts w:eastAsia="Batang"/>
          <w:lang w:val="es-ES_tradnl"/>
        </w:rPr>
      </w:pPr>
      <w:r w:rsidRPr="009D06C9">
        <w:rPr>
          <w:rFonts w:eastAsia="Batang"/>
          <w:lang w:val="es-ES_tradnl"/>
        </w:rPr>
        <w:t>Para interesar a las empresas europeas, la Comisión Europea propuso lanzar en primavera de 2009 seis Iniciativas industriales europeas (EII</w:t>
      </w:r>
      <w:r w:rsidRPr="009D06C9">
        <w:rPr>
          <w:rFonts w:eastAsia="Batang"/>
          <w:i/>
          <w:iCs/>
          <w:lang w:val="es-ES_tradnl"/>
        </w:rPr>
        <w:t>, european industrial initiatives</w:t>
      </w:r>
      <w:r w:rsidRPr="009D06C9">
        <w:rPr>
          <w:rFonts w:eastAsia="Batang"/>
          <w:lang w:val="es-ES_tradnl"/>
        </w:rPr>
        <w:t>) sobre energía eólica y solar, bioenergía, captura, transporte y almacenamiento de CO</w:t>
      </w:r>
      <w:r w:rsidRPr="009D06C9">
        <w:rPr>
          <w:rFonts w:eastAsia="Batang"/>
          <w:vertAlign w:val="subscript"/>
          <w:lang w:val="es-ES_tradnl"/>
        </w:rPr>
        <w:t>2</w:t>
      </w:r>
      <w:r w:rsidRPr="009D06C9">
        <w:rPr>
          <w:rFonts w:eastAsia="Batang"/>
          <w:lang w:val="es-ES_tradnl"/>
        </w:rPr>
        <w:t>, redes eléctricas y fisión nuclear. Las EII tienen por objeto reforzar la investigación energética y la innovación, acelerar el despliegue de tecnologías y abandonar el planteamiento habitual de que no pasa nada. Las EII reúnen recursos y actores apropiados del sector industrial, en el que compartir riesgos, crear asociaciones público</w:t>
      </w:r>
      <w:r w:rsidRPr="009D06C9">
        <w:rPr>
          <w:rFonts w:eastAsia="Batang"/>
          <w:lang w:val="es-ES_tradnl"/>
        </w:rPr>
        <w:noBreakHyphen/>
        <w:t>privadas y financiación a escala europea supone un valor añadido.</w:t>
      </w:r>
    </w:p>
    <w:p w:rsidR="00A87E27" w:rsidRPr="009D06C9" w:rsidRDefault="00A87E27" w:rsidP="00A87E27">
      <w:pPr>
        <w:rPr>
          <w:rFonts w:eastAsia="Batang"/>
          <w:lang w:val="es-ES_tradnl"/>
        </w:rPr>
      </w:pPr>
      <w:r w:rsidRPr="009D06C9">
        <w:rPr>
          <w:rFonts w:eastAsia="Batang"/>
          <w:lang w:val="es-ES_tradnl"/>
        </w:rPr>
        <w:t>La EII sobre redes eléctricas se focalizará en el desarrollo del sistema eléctrico inteligente, incluido el almacenamiento, y en la creación de un Centro Europeo que lleve a cabo un programa de investigación para la red de transmisión europea</w:t>
      </w:r>
      <w:r w:rsidRPr="009D06C9">
        <w:rPr>
          <w:rFonts w:eastAsia="Batang"/>
          <w:position w:val="6"/>
          <w:sz w:val="18"/>
          <w:lang w:val="es-ES_tradnl"/>
        </w:rPr>
        <w:footnoteReference w:id="42"/>
      </w:r>
      <w:r w:rsidRPr="009D06C9">
        <w:rPr>
          <w:rFonts w:eastAsia="Batang"/>
          <w:lang w:val="es-ES_tradnl"/>
        </w:rPr>
        <w:t>, con el objetivo final de que una red eléctrica europea inteligente única pueda acomodar la integración masiva de fuentes de energía renovables e descentralizadas</w:t>
      </w:r>
      <w:r w:rsidRPr="009D06C9">
        <w:rPr>
          <w:rFonts w:eastAsia="Batang"/>
          <w:position w:val="6"/>
          <w:sz w:val="18"/>
          <w:lang w:val="es-ES_tradnl"/>
        </w:rPr>
        <w:footnoteReference w:id="43"/>
      </w:r>
      <w:r w:rsidRPr="009D06C9">
        <w:rPr>
          <w:rFonts w:eastAsia="Batang"/>
          <w:lang w:val="es-ES_tradnl"/>
        </w:rPr>
        <w:t>. En cuanto a las demás Iniciativas industriales europeas, la relativa a las redes eléctricas tendrá objetivos medibles en lo que hace a la reducción de costes y la mejora del rendimiento.</w:t>
      </w:r>
    </w:p>
    <w:p w:rsidR="00A87E27" w:rsidRPr="009D06C9" w:rsidRDefault="00A87E27" w:rsidP="00A87E27">
      <w:pPr>
        <w:pStyle w:val="Heading3"/>
        <w:rPr>
          <w:rFonts w:eastAsia="Batang"/>
          <w:lang w:val="es-ES_tradnl"/>
        </w:rPr>
      </w:pPr>
      <w:bookmarkStart w:id="66" w:name="_Toc421882719"/>
      <w:r w:rsidRPr="009D06C9">
        <w:rPr>
          <w:rFonts w:eastAsia="Batang"/>
          <w:lang w:val="es-ES_tradnl"/>
        </w:rPr>
        <w:t>A3.2.2</w:t>
      </w:r>
      <w:r w:rsidRPr="009D06C9">
        <w:rPr>
          <w:rFonts w:eastAsia="Batang"/>
          <w:lang w:val="es-ES_tradnl"/>
        </w:rPr>
        <w:tab/>
        <w:t xml:space="preserve">Plataforma tecnológica nacional – </w:t>
      </w:r>
      <w:bookmarkEnd w:id="66"/>
      <w:r w:rsidRPr="009D06C9">
        <w:rPr>
          <w:rFonts w:eastAsia="Batang"/>
          <w:lang w:val="es-ES_tradnl"/>
        </w:rPr>
        <w:t>Redes inteligentes en Alemania</w:t>
      </w:r>
    </w:p>
    <w:p w:rsidR="00A87E27" w:rsidRPr="009D06C9" w:rsidRDefault="00A87E27" w:rsidP="00A87E27">
      <w:pPr>
        <w:rPr>
          <w:rFonts w:eastAsia="Batang"/>
          <w:lang w:val="es-ES_tradnl"/>
        </w:rPr>
      </w:pPr>
      <w:r w:rsidRPr="009D06C9">
        <w:rPr>
          <w:rFonts w:eastAsia="Batang"/>
          <w:i/>
          <w:iCs/>
          <w:lang w:val="es-ES_tradnl"/>
        </w:rPr>
        <w:t>«E-Energy: ICT-based Energy System of the Future»</w:t>
      </w:r>
      <w:r w:rsidRPr="009D06C9">
        <w:rPr>
          <w:rFonts w:eastAsia="Batang"/>
          <w:position w:val="6"/>
          <w:sz w:val="18"/>
          <w:lang w:val="es-ES_tradnl"/>
        </w:rPr>
        <w:footnoteReference w:id="44"/>
      </w:r>
      <w:r w:rsidRPr="009D06C9">
        <w:rPr>
          <w:rFonts w:eastAsia="Batang"/>
          <w:lang w:val="es-ES_tradnl"/>
        </w:rPr>
        <w:t xml:space="preserve"> es una nueva prioridad de soporte y financiación que forma parte de la política tecnológica del Gobierno Federal. Como «Comercio-e» o «Gobierno-e», el término «Energía-e» significa interconexión digital completa y control y supervisión informáticos de todo el sistema de abastecimiento energético.</w:t>
      </w:r>
    </w:p>
    <w:p w:rsidR="00A87E27" w:rsidRPr="009D06C9" w:rsidRDefault="00A87E27" w:rsidP="00A87E27">
      <w:pPr>
        <w:rPr>
          <w:rFonts w:eastAsia="Batang"/>
          <w:lang w:val="es-ES_tradnl"/>
        </w:rPr>
      </w:pPr>
      <w:r w:rsidRPr="009D06C9">
        <w:rPr>
          <w:rFonts w:eastAsia="Batang"/>
          <w:lang w:val="es-ES_tradnl"/>
        </w:rPr>
        <w:t xml:space="preserve">Se decidió que la electricidad debía ser el primer tema abordado en el proyecto, ya que las dificultades que plantea la interacción en tiempo real y la inteligencia informática son particularmente grandes debido a la capacidad limitada de almacenar electricidad. El objetivo principal de Energía-e es crear regiones modelo que demuestren cómo se puede aprovechar mejor el tremendo potencial de optimización que ofrecen las Tecnologías de la Información y la Comunicación (TIC) para aumentar la eficiencia, la seguridad del abastecimiento y la compatibilidad medioambiental (pilares de la política energética y climatológica) del abastecimiento de electricidad y, a su vez, como se pueden crear empleos y mercados. Lo que es particularmente innovador en este proyecto es que se desarrollan y prueban en tiempo real, en el marco de proyectos modelo regionales de Energía-e, conceptos de sistemas TIC integradores que optimizan la eficiencia, la seguridad del abastecimiento y la </w:t>
      </w:r>
      <w:r w:rsidRPr="009D06C9">
        <w:rPr>
          <w:rFonts w:eastAsia="Batang"/>
          <w:lang w:val="es-ES_tradnl"/>
        </w:rPr>
        <w:lastRenderedPageBreak/>
        <w:t>compatibilidad medioambiental de todo el sistema de suministro de electricidad, desde su generación y transporte a su distribución y consumo.</w:t>
      </w:r>
    </w:p>
    <w:p w:rsidR="00A87E27" w:rsidRPr="009D06C9" w:rsidRDefault="00A87E27" w:rsidP="00A87E27">
      <w:pPr>
        <w:rPr>
          <w:rFonts w:eastAsia="Batang"/>
          <w:lang w:val="es-ES_tradnl"/>
        </w:rPr>
      </w:pPr>
      <w:r w:rsidRPr="009D06C9">
        <w:rPr>
          <w:rFonts w:eastAsia="Batang"/>
          <w:lang w:val="es-ES_tradnl"/>
        </w:rPr>
        <w:t>A fin de acelerar el ritmo del desarrollo innovador necesario y aumentar el impacto de los resultados, el programa Energía-e se focaliza en los tres aspectos siguientes:</w:t>
      </w:r>
    </w:p>
    <w:p w:rsidR="00A87E27" w:rsidRPr="009D06C9" w:rsidRDefault="00A87E27" w:rsidP="00A87E27">
      <w:pPr>
        <w:pStyle w:val="enumlev1"/>
        <w:rPr>
          <w:rFonts w:eastAsia="Batang"/>
          <w:lang w:val="es-ES_tradnl"/>
        </w:rPr>
      </w:pPr>
      <w:r w:rsidRPr="009D06C9">
        <w:rPr>
          <w:rFonts w:eastAsia="Batang"/>
          <w:lang w:val="es-ES_tradnl"/>
        </w:rPr>
        <w:t>1)</w:t>
      </w:r>
      <w:r w:rsidRPr="009D06C9">
        <w:rPr>
          <w:rFonts w:eastAsia="Batang"/>
          <w:lang w:val="es-ES_tradnl"/>
        </w:rPr>
        <w:tab/>
        <w:t>creación de un mercado de la Energía-e que facilite las transacciones electrónicas legales y los tratos comerciales entre todos los participantes en el mercado;</w:t>
      </w:r>
    </w:p>
    <w:p w:rsidR="00A87E27" w:rsidRPr="009D06C9" w:rsidRDefault="00A87E27" w:rsidP="00A87E27">
      <w:pPr>
        <w:pStyle w:val="enumlev1"/>
        <w:rPr>
          <w:rFonts w:eastAsia="Batang"/>
          <w:lang w:val="es-ES_tradnl"/>
        </w:rPr>
      </w:pPr>
      <w:r w:rsidRPr="009D06C9">
        <w:rPr>
          <w:rFonts w:eastAsia="Batang"/>
          <w:lang w:val="es-ES_tradnl"/>
        </w:rPr>
        <w:t>2)</w:t>
      </w:r>
      <w:r w:rsidRPr="009D06C9">
        <w:rPr>
          <w:rFonts w:eastAsia="Batang"/>
          <w:lang w:val="es-ES_tradnl"/>
        </w:rPr>
        <w:tab/>
        <w:t>interconexión e informatización digitales de los sistemas y componentes técnicos, y de las actividades de control y mantenimiento de procesos basadas en esos sistemas y componentes, de modo que se garantice la supervisión, análisis, control y reglamentación esencialmente independientes del sistema técnico global;</w:t>
      </w:r>
    </w:p>
    <w:p w:rsidR="00A87E27" w:rsidRPr="009D06C9" w:rsidRDefault="00A87E27" w:rsidP="00A87E27">
      <w:pPr>
        <w:pStyle w:val="enumlev1"/>
        <w:rPr>
          <w:rFonts w:eastAsia="Batang"/>
          <w:lang w:val="es-ES_tradnl"/>
        </w:rPr>
      </w:pPr>
      <w:r w:rsidRPr="009D06C9">
        <w:rPr>
          <w:rFonts w:eastAsia="Batang"/>
          <w:lang w:val="es-ES_tradnl"/>
        </w:rPr>
        <w:t>3)</w:t>
      </w:r>
      <w:r w:rsidRPr="009D06C9">
        <w:rPr>
          <w:rFonts w:eastAsia="Batang"/>
          <w:lang w:val="es-ES_tradnl"/>
        </w:rPr>
        <w:tab/>
        <w:t>vinculación en línea del mercado electrónico de la energía y el sistema técnico global a fin de que se garantice la interacción digital en tiempo real de las operaciones comerciales y tecnológicas.</w:t>
      </w:r>
    </w:p>
    <w:p w:rsidR="00A87E27" w:rsidRPr="009D06C9" w:rsidRDefault="00A87E27" w:rsidP="00A87E27">
      <w:pPr>
        <w:rPr>
          <w:rFonts w:eastAsia="Batang"/>
          <w:lang w:val="es-ES_tradnl"/>
        </w:rPr>
      </w:pPr>
      <w:r w:rsidRPr="009D06C9">
        <w:rPr>
          <w:rFonts w:eastAsia="Batang"/>
          <w:lang w:val="es-ES_tradnl"/>
        </w:rPr>
        <w:t>Se organizó un concurso de tecnologías de Energía-e y seis proyectos modelo fueron declarados ganadores. Todos persiguen un planteamiento sistémico integral que abarca todas las actividades económicas pertinentes de la energía a nivel del mercado y de las operaciones técnicas.</w:t>
      </w:r>
    </w:p>
    <w:p w:rsidR="00A87E27" w:rsidRPr="009D06C9" w:rsidRDefault="00A87E27" w:rsidP="00A87E27">
      <w:pPr>
        <w:rPr>
          <w:rFonts w:eastAsia="Batang"/>
          <w:color w:val="231F20"/>
          <w:lang w:val="es-ES_tradnl"/>
        </w:rPr>
      </w:pPr>
      <w:r w:rsidRPr="009D06C9">
        <w:rPr>
          <w:rFonts w:eastAsia="Batang"/>
          <w:lang w:val="es-ES_tradnl"/>
        </w:rPr>
        <w:t>El programa durará 4 años y movilizará unos 140 millones EUR para el desarrollo de seis regiones de Energía-e modelo, junto con el capital propio de las empresas participantes</w:t>
      </w:r>
      <w:r w:rsidRPr="009D06C9">
        <w:rPr>
          <w:rFonts w:eastAsia="Batang"/>
          <w:color w:val="231F20"/>
          <w:lang w:val="es-ES_tradnl"/>
        </w:rPr>
        <w:t>:</w:t>
      </w:r>
    </w:p>
    <w:p w:rsidR="00A87E27" w:rsidRPr="009D06C9" w:rsidRDefault="00A87E27" w:rsidP="00A87E27">
      <w:pPr>
        <w:pStyle w:val="enumlev1"/>
        <w:rPr>
          <w:rFonts w:eastAsia="Batang"/>
          <w:lang w:val="es-ES_tradnl"/>
        </w:rPr>
      </w:pPr>
      <w:r w:rsidRPr="009D06C9">
        <w:rPr>
          <w:rFonts w:eastAsia="Batang"/>
          <w:lang w:val="es-ES_tradnl"/>
        </w:rPr>
        <w:t>–</w:t>
      </w:r>
      <w:r w:rsidRPr="009D06C9">
        <w:rPr>
          <w:rFonts w:eastAsia="Batang"/>
          <w:lang w:val="es-ES_tradnl"/>
        </w:rPr>
        <w:tab/>
      </w:r>
      <w:r w:rsidRPr="009D06C9">
        <w:rPr>
          <w:rFonts w:eastAsia="Batang"/>
          <w:i/>
          <w:iCs/>
          <w:lang w:val="es-ES_tradnl"/>
        </w:rPr>
        <w:t>eTelligence</w:t>
      </w:r>
      <w:r w:rsidRPr="009D06C9">
        <w:rPr>
          <w:rFonts w:eastAsia="Batang"/>
          <w:lang w:val="es-ES_tradnl"/>
        </w:rPr>
        <w:t>, región modelo de Cuxhaven</w:t>
      </w:r>
    </w:p>
    <w:p w:rsidR="00A87E27" w:rsidRPr="009D06C9" w:rsidRDefault="00A87E27" w:rsidP="00A87E27">
      <w:pPr>
        <w:pStyle w:val="enumlev1"/>
        <w:rPr>
          <w:rFonts w:eastAsia="Batang"/>
          <w:lang w:val="es-ES_tradnl"/>
        </w:rPr>
      </w:pPr>
      <w:r w:rsidRPr="009D06C9">
        <w:rPr>
          <w:rFonts w:eastAsia="Batang"/>
          <w:b/>
          <w:bCs/>
          <w:lang w:val="es-ES_tradnl"/>
        </w:rPr>
        <w:tab/>
        <w:t>Tema</w:t>
      </w:r>
      <w:r w:rsidRPr="009D06C9">
        <w:rPr>
          <w:rFonts w:eastAsia="Batang"/>
          <w:lang w:val="es-ES_tradnl"/>
        </w:rPr>
        <w:t>: Inteligencia para energía, mercados y redes eléctricas.</w:t>
      </w:r>
    </w:p>
    <w:p w:rsidR="00A87E27" w:rsidRPr="009D06C9" w:rsidRDefault="00A87E27" w:rsidP="00A87E27">
      <w:pPr>
        <w:pStyle w:val="enumlev1"/>
        <w:rPr>
          <w:rFonts w:eastAsia="Batang"/>
          <w:lang w:val="es-ES_tradnl"/>
        </w:rPr>
      </w:pPr>
      <w:r w:rsidRPr="009D06C9">
        <w:rPr>
          <w:rFonts w:eastAsia="Batang"/>
          <w:lang w:val="es-ES_tradnl"/>
        </w:rPr>
        <w:t>–</w:t>
      </w:r>
      <w:r w:rsidRPr="009D06C9">
        <w:rPr>
          <w:rFonts w:eastAsia="Batang"/>
          <w:lang w:val="es-ES_tradnl"/>
        </w:rPr>
        <w:tab/>
      </w:r>
      <w:r w:rsidRPr="009D06C9">
        <w:rPr>
          <w:rFonts w:eastAsia="Batang"/>
          <w:i/>
          <w:iCs/>
          <w:lang w:val="es-ES_tradnl"/>
        </w:rPr>
        <w:t>E-DeMa</w:t>
      </w:r>
      <w:r w:rsidRPr="009D06C9">
        <w:rPr>
          <w:rFonts w:eastAsia="Batang"/>
          <w:lang w:val="es-ES_tradnl"/>
        </w:rPr>
        <w:t>, región modelo de la Ruhr</w:t>
      </w:r>
    </w:p>
    <w:p w:rsidR="00A87E27" w:rsidRPr="009D06C9" w:rsidRDefault="00A87E27" w:rsidP="00A87E27">
      <w:pPr>
        <w:pStyle w:val="enumlev1"/>
        <w:rPr>
          <w:rFonts w:eastAsia="Batang"/>
          <w:lang w:val="es-ES_tradnl"/>
        </w:rPr>
      </w:pPr>
      <w:r w:rsidRPr="009D06C9">
        <w:rPr>
          <w:rFonts w:eastAsia="Batang"/>
          <w:b/>
          <w:bCs/>
          <w:lang w:val="es-ES_tradnl"/>
        </w:rPr>
        <w:tab/>
        <w:t>Tema</w:t>
      </w:r>
      <w:r w:rsidRPr="009D06C9">
        <w:rPr>
          <w:rFonts w:eastAsia="Batang"/>
          <w:lang w:val="es-ES_tradnl"/>
        </w:rPr>
        <w:t>: Sistemas de energía integrados y descentralizados camino del mercado de la Energía</w:t>
      </w:r>
      <w:r w:rsidRPr="009D06C9">
        <w:rPr>
          <w:rFonts w:eastAsia="Batang"/>
          <w:lang w:val="es-ES_tradnl"/>
        </w:rPr>
        <w:noBreakHyphen/>
        <w:t>e del futuro.</w:t>
      </w:r>
    </w:p>
    <w:p w:rsidR="00A87E27" w:rsidRPr="009D06C9" w:rsidRDefault="00A87E27" w:rsidP="00A87E27">
      <w:pPr>
        <w:pStyle w:val="enumlev1"/>
        <w:keepNext/>
        <w:rPr>
          <w:rFonts w:eastAsia="Batang"/>
          <w:lang w:val="es-ES_tradnl"/>
        </w:rPr>
      </w:pPr>
      <w:r w:rsidRPr="009D06C9">
        <w:rPr>
          <w:rFonts w:eastAsia="Batang"/>
          <w:lang w:val="es-ES_tradnl"/>
        </w:rPr>
        <w:t>–</w:t>
      </w:r>
      <w:r w:rsidRPr="009D06C9">
        <w:rPr>
          <w:rFonts w:eastAsia="Batang"/>
          <w:lang w:val="es-ES_tradnl"/>
        </w:rPr>
        <w:tab/>
      </w:r>
      <w:r w:rsidRPr="009D06C9">
        <w:rPr>
          <w:rFonts w:eastAsia="Batang"/>
          <w:i/>
          <w:iCs/>
          <w:lang w:val="es-ES_tradnl"/>
        </w:rPr>
        <w:t>MeRegio</w:t>
      </w:r>
    </w:p>
    <w:p w:rsidR="00A87E27" w:rsidRPr="009D06C9" w:rsidRDefault="00A87E27" w:rsidP="00A87E27">
      <w:pPr>
        <w:pStyle w:val="enumlev1"/>
        <w:rPr>
          <w:rFonts w:eastAsia="Batang"/>
          <w:lang w:val="es-ES_tradnl"/>
        </w:rPr>
      </w:pPr>
      <w:r w:rsidRPr="009D06C9">
        <w:rPr>
          <w:rFonts w:eastAsia="Batang"/>
          <w:b/>
          <w:bCs/>
          <w:lang w:val="es-ES_tradnl"/>
        </w:rPr>
        <w:tab/>
        <w:t>Tema</w:t>
      </w:r>
      <w:r w:rsidRPr="009D06C9">
        <w:rPr>
          <w:rFonts w:eastAsia="Batang"/>
          <w:lang w:val="es-ES_tradnl"/>
        </w:rPr>
        <w:t>: Región de emisiones mínimas</w:t>
      </w:r>
    </w:p>
    <w:p w:rsidR="00A87E27" w:rsidRPr="009D06C9" w:rsidRDefault="00A87E27" w:rsidP="00A87E27">
      <w:pPr>
        <w:pStyle w:val="enumlev1"/>
        <w:rPr>
          <w:rFonts w:eastAsia="Batang"/>
          <w:lang w:val="es-ES_tradnl"/>
        </w:rPr>
      </w:pPr>
      <w:r w:rsidRPr="009D06C9">
        <w:rPr>
          <w:rFonts w:eastAsia="Batang"/>
          <w:lang w:val="es-ES_tradnl"/>
        </w:rPr>
        <w:t>–</w:t>
      </w:r>
      <w:r w:rsidRPr="009D06C9">
        <w:rPr>
          <w:rFonts w:eastAsia="Batang"/>
          <w:lang w:val="es-ES_tradnl"/>
        </w:rPr>
        <w:tab/>
        <w:t>Ciudad modelo de Mannheim</w:t>
      </w:r>
    </w:p>
    <w:p w:rsidR="00A87E27" w:rsidRPr="009D06C9" w:rsidRDefault="00A87E27" w:rsidP="00A87E27">
      <w:pPr>
        <w:pStyle w:val="enumlev1"/>
        <w:rPr>
          <w:rFonts w:eastAsia="Batang"/>
          <w:lang w:val="es-ES_tradnl"/>
        </w:rPr>
      </w:pPr>
      <w:r w:rsidRPr="009D06C9">
        <w:rPr>
          <w:rFonts w:eastAsia="Batang"/>
          <w:b/>
          <w:bCs/>
          <w:lang w:val="es-ES_tradnl"/>
        </w:rPr>
        <w:tab/>
        <w:t>Tema:</w:t>
      </w:r>
      <w:r w:rsidRPr="009D06C9">
        <w:rPr>
          <w:rFonts w:eastAsia="Batang"/>
          <w:lang w:val="es-ES_tradnl"/>
        </w:rPr>
        <w:t xml:space="preserve"> Región modelo de Mannheim en la región modelo de Rhein-Neckar.</w:t>
      </w:r>
    </w:p>
    <w:p w:rsidR="00A87E27" w:rsidRPr="009D06C9" w:rsidRDefault="00A87E27" w:rsidP="00A87E27">
      <w:pPr>
        <w:pStyle w:val="enumlev1"/>
        <w:rPr>
          <w:rFonts w:eastAsia="Batang"/>
          <w:lang w:val="es-ES_tradnl"/>
        </w:rPr>
      </w:pPr>
      <w:r w:rsidRPr="009D06C9">
        <w:rPr>
          <w:rFonts w:eastAsia="Batang"/>
          <w:lang w:val="es-ES_tradnl"/>
        </w:rPr>
        <w:t>–</w:t>
      </w:r>
      <w:r w:rsidRPr="009D06C9">
        <w:rPr>
          <w:rFonts w:eastAsia="Batang"/>
          <w:lang w:val="es-ES_tradnl"/>
        </w:rPr>
        <w:tab/>
      </w:r>
      <w:r w:rsidRPr="009D06C9">
        <w:rPr>
          <w:rFonts w:eastAsia="Batang"/>
          <w:i/>
          <w:iCs/>
          <w:lang w:val="es-ES_tradnl"/>
        </w:rPr>
        <w:t>RegModHarz</w:t>
      </w:r>
    </w:p>
    <w:p w:rsidR="00A87E27" w:rsidRPr="009D06C9" w:rsidRDefault="00A87E27" w:rsidP="00A87E27">
      <w:pPr>
        <w:pStyle w:val="enumlev1"/>
        <w:rPr>
          <w:rFonts w:eastAsia="Batang"/>
          <w:lang w:val="es-ES_tradnl"/>
        </w:rPr>
      </w:pPr>
      <w:r w:rsidRPr="009D06C9">
        <w:rPr>
          <w:rFonts w:eastAsia="Batang"/>
          <w:b/>
          <w:bCs/>
          <w:lang w:val="es-ES_tradnl"/>
        </w:rPr>
        <w:tab/>
        <w:t>Tema</w:t>
      </w:r>
      <w:r w:rsidRPr="009D06C9">
        <w:rPr>
          <w:rFonts w:eastAsia="Batang"/>
          <w:lang w:val="es-ES_tradnl"/>
        </w:rPr>
        <w:t>: Región regenerativa modelo de Harz.</w:t>
      </w:r>
    </w:p>
    <w:p w:rsidR="00A87E27" w:rsidRPr="009D06C9" w:rsidRDefault="00A87E27" w:rsidP="00A87E27">
      <w:pPr>
        <w:pStyle w:val="enumlev1"/>
        <w:rPr>
          <w:rFonts w:eastAsia="Batang"/>
          <w:lang w:val="es-ES_tradnl"/>
        </w:rPr>
      </w:pPr>
      <w:r w:rsidRPr="009D06C9">
        <w:rPr>
          <w:rFonts w:eastAsia="Batang"/>
          <w:lang w:val="es-ES_tradnl"/>
        </w:rPr>
        <w:t>–</w:t>
      </w:r>
      <w:r w:rsidRPr="009D06C9">
        <w:rPr>
          <w:rFonts w:eastAsia="Batang"/>
          <w:lang w:val="es-ES_tradnl"/>
        </w:rPr>
        <w:tab/>
      </w:r>
      <w:r w:rsidRPr="009D06C9">
        <w:rPr>
          <w:rFonts w:eastAsia="Batang"/>
          <w:i/>
          <w:iCs/>
          <w:lang w:val="es-ES_tradnl"/>
        </w:rPr>
        <w:t>Smart Watts</w:t>
      </w:r>
      <w:r w:rsidRPr="009D06C9">
        <w:rPr>
          <w:rFonts w:eastAsia="Batang"/>
          <w:lang w:val="es-ES_tradnl"/>
        </w:rPr>
        <w:t>, ciudad modelo de Aquisgrán</w:t>
      </w:r>
    </w:p>
    <w:p w:rsidR="00A87E27" w:rsidRPr="009D06C9" w:rsidRDefault="00A87E27" w:rsidP="00A87E27">
      <w:pPr>
        <w:pStyle w:val="enumlev1"/>
        <w:rPr>
          <w:rFonts w:eastAsia="Batang"/>
          <w:lang w:val="es-ES_tradnl"/>
        </w:rPr>
      </w:pPr>
      <w:r w:rsidRPr="009D06C9">
        <w:rPr>
          <w:rFonts w:eastAsia="Batang"/>
          <w:b/>
          <w:bCs/>
          <w:lang w:val="es-ES_tradnl"/>
        </w:rPr>
        <w:tab/>
        <w:t>Tema:</w:t>
      </w:r>
      <w:r w:rsidRPr="009D06C9">
        <w:rPr>
          <w:rFonts w:eastAsia="Batang"/>
          <w:lang w:val="es-ES_tradnl"/>
        </w:rPr>
        <w:t xml:space="preserve"> Mayor eficiencia y ventajas para los consumidores con la Internet de la Energía.</w:t>
      </w:r>
    </w:p>
    <w:p w:rsidR="00A87E27" w:rsidRPr="009D06C9" w:rsidRDefault="00A87E27" w:rsidP="00A87E27">
      <w:pPr>
        <w:rPr>
          <w:rFonts w:eastAsia="Batang"/>
          <w:lang w:val="es-ES_tradnl"/>
        </w:rPr>
      </w:pPr>
      <w:r w:rsidRPr="009D06C9">
        <w:rPr>
          <w:rFonts w:eastAsia="Batang"/>
          <w:lang w:val="es-ES_tradnl"/>
        </w:rPr>
        <w:t>Además de los coordinadores del proyecto, también participan vendedores de equipos eléctricos, integradores de sistemas, proveedores de servicios, institutos de investigación y universidades.</w:t>
      </w:r>
    </w:p>
    <w:p w:rsidR="00A87E27" w:rsidRPr="009D06C9" w:rsidRDefault="00A87E27" w:rsidP="00A87E27">
      <w:pPr>
        <w:rPr>
          <w:rFonts w:eastAsia="Batang"/>
          <w:lang w:val="es-ES_tradnl"/>
        </w:rPr>
      </w:pPr>
      <w:r w:rsidRPr="009D06C9">
        <w:rPr>
          <w:rFonts w:eastAsia="Batang"/>
          <w:lang w:val="es-ES_tradnl"/>
        </w:rPr>
        <w:t>En 2012, las regiones modelo seleccionadas deben haber desarrollado sus propuestas prometedoras hasta un nivel en el cual estén listas para su comercialización y para probar sus perspectivas de comercialización en aplicaciones cotidianas.</w:t>
      </w:r>
    </w:p>
    <w:p w:rsidR="00A87E27" w:rsidRPr="009D06C9" w:rsidRDefault="00A87E27" w:rsidP="00A87E27">
      <w:pPr>
        <w:rPr>
          <w:rFonts w:eastAsia="Batang"/>
          <w:lang w:val="es-ES_tradnl"/>
        </w:rPr>
      </w:pPr>
    </w:p>
    <w:p w:rsidR="00A87E27" w:rsidRPr="009D06C9" w:rsidRDefault="00A87E27" w:rsidP="00A87E27">
      <w:pPr>
        <w:rPr>
          <w:rFonts w:eastAsia="Batang"/>
          <w:lang w:val="es-ES_tradnl"/>
        </w:rPr>
      </w:pPr>
    </w:p>
    <w:p w:rsidR="00A87E27" w:rsidRPr="009D06C9" w:rsidRDefault="00A87E27" w:rsidP="00A87E27">
      <w:pPr>
        <w:pStyle w:val="AnnexNoTitle"/>
        <w:rPr>
          <w:rFonts w:eastAsia="Batang"/>
          <w:lang w:val="es-ES_tradnl"/>
        </w:rPr>
      </w:pPr>
      <w:bookmarkStart w:id="67" w:name="_Toc421882720"/>
      <w:r w:rsidRPr="009D06C9">
        <w:rPr>
          <w:lang w:val="es-ES_tradnl"/>
        </w:rPr>
        <w:lastRenderedPageBreak/>
        <w:t>Anexo 4</w:t>
      </w:r>
      <w:bookmarkEnd w:id="67"/>
      <w:r w:rsidRPr="009D06C9">
        <w:rPr>
          <w:lang w:val="es-ES_tradnl"/>
        </w:rPr>
        <w:br/>
      </w:r>
      <w:r w:rsidRPr="009D06C9">
        <w:rPr>
          <w:lang w:val="es-ES_tradnl"/>
        </w:rPr>
        <w:br/>
      </w:r>
      <w:r w:rsidRPr="009D06C9">
        <w:rPr>
          <w:rFonts w:eastAsia="Batang"/>
          <w:lang w:val="es-ES_tradnl"/>
        </w:rPr>
        <w:t>Red inteligente en Brasil</w:t>
      </w:r>
    </w:p>
    <w:p w:rsidR="00A87E27" w:rsidRPr="009D06C9" w:rsidRDefault="00A87E27" w:rsidP="00A87E27">
      <w:pPr>
        <w:pStyle w:val="Heading2"/>
        <w:rPr>
          <w:rFonts w:eastAsia="Batang"/>
          <w:lang w:val="es-ES_tradnl"/>
        </w:rPr>
      </w:pPr>
      <w:bookmarkStart w:id="68" w:name="_Toc421882722"/>
      <w:bookmarkStart w:id="69" w:name="_Toc498004372"/>
      <w:r w:rsidRPr="009D06C9">
        <w:rPr>
          <w:rFonts w:eastAsia="Batang"/>
          <w:lang w:val="es-ES_tradnl"/>
        </w:rPr>
        <w:t>A4.1</w:t>
      </w:r>
      <w:r w:rsidRPr="009D06C9">
        <w:rPr>
          <w:rFonts w:eastAsia="Batang"/>
          <w:lang w:val="es-ES_tradnl"/>
        </w:rPr>
        <w:tab/>
        <w:t>Introducción</w:t>
      </w:r>
      <w:bookmarkEnd w:id="68"/>
      <w:bookmarkEnd w:id="69"/>
    </w:p>
    <w:p w:rsidR="00A87E27" w:rsidRPr="009D06C9" w:rsidRDefault="00A87E27" w:rsidP="00A87E27">
      <w:pPr>
        <w:rPr>
          <w:rFonts w:eastAsia="Batang"/>
          <w:lang w:val="es-ES_tradnl"/>
        </w:rPr>
      </w:pPr>
      <w:r w:rsidRPr="009D06C9">
        <w:rPr>
          <w:rFonts w:eastAsia="Batang"/>
          <w:lang w:val="es-ES_tradnl"/>
        </w:rPr>
        <w:t>El Ministerio de Minas y Energía ha promovido estudios sobre tecnologías que se puedan utilizar para el concepto de red inteligente. Esos estudios son motivados por la necesidad de reducir las pérdidas técnicas y no técnicas, y mejorar el rendimiento de todo el sistema para aumentar la fiabilidad, resistencia, seguridad, etc. Recientemente, una Comisión de Estudio apoyada por el Ministerio brasileño señaló problemas en el sistema energético actual y presentó tecnologías y soluciones que podrían reducir las pérdidas y mejorar el rendimiento de esos sistemas energéticos. En esos estudios se tenían en cuenta los aspectos económicos y esencialmente el coste aceptable de la instalación de más de 45 millones de metros en el país.</w:t>
      </w:r>
    </w:p>
    <w:p w:rsidR="00A87E27" w:rsidRPr="009D06C9" w:rsidRDefault="00A87E27" w:rsidP="00A87E27">
      <w:pPr>
        <w:rPr>
          <w:rFonts w:eastAsia="Batang"/>
          <w:lang w:val="es-ES_tradnl"/>
        </w:rPr>
      </w:pPr>
      <w:r w:rsidRPr="009D06C9">
        <w:rPr>
          <w:rFonts w:eastAsia="Batang"/>
          <w:lang w:val="es-ES_tradnl"/>
        </w:rPr>
        <w:t>Por otra parte, instituciones privadas con financiación pública han llevado a cabo otros estudios, como el dirigido por ABRADEE y APTEL, asociaciones sin ánimo de lucro del sector eléctrico.</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APTEL – Asociación de Empresas Privadas de Infraestructura y Sistemas de Telecomunicaciones, creada el 7 de abril de 1999.</w:t>
      </w:r>
    </w:p>
    <w:p w:rsidR="00A87E27" w:rsidRPr="009D06C9" w:rsidRDefault="00A87E27" w:rsidP="00A87E27">
      <w:pPr>
        <w:pStyle w:val="enumlev1"/>
        <w:rPr>
          <w:lang w:val="es-ES_tradnl" w:eastAsia="ja-JP"/>
        </w:rPr>
      </w:pPr>
      <w:r w:rsidRPr="009D06C9">
        <w:rPr>
          <w:lang w:val="es-ES_tradnl" w:eastAsia="ja-JP"/>
        </w:rPr>
        <w:t>–</w:t>
      </w:r>
      <w:r w:rsidRPr="009D06C9">
        <w:rPr>
          <w:lang w:val="es-ES_tradnl" w:eastAsia="ja-JP"/>
        </w:rPr>
        <w:tab/>
        <w:t>ABRADEE – Asociación Brasileña de Distribuidores de Energía Eléctrica, creada en agosto de 1975.</w:t>
      </w:r>
    </w:p>
    <w:p w:rsidR="00A87E27" w:rsidRPr="009D06C9" w:rsidRDefault="00A87E27" w:rsidP="00A87E27">
      <w:pPr>
        <w:pStyle w:val="Heading2"/>
        <w:rPr>
          <w:rFonts w:eastAsia="Batang"/>
          <w:lang w:val="es-ES_tradnl"/>
        </w:rPr>
      </w:pPr>
      <w:bookmarkStart w:id="70" w:name="_Toc421882723"/>
      <w:bookmarkStart w:id="71" w:name="_Toc498004373"/>
      <w:r w:rsidRPr="009D06C9">
        <w:rPr>
          <w:rFonts w:eastAsia="Batang"/>
          <w:lang w:val="es-ES_tradnl"/>
        </w:rPr>
        <w:t>A4.2</w:t>
      </w:r>
      <w:r w:rsidRPr="009D06C9">
        <w:rPr>
          <w:rFonts w:eastAsia="Batang"/>
          <w:lang w:val="es-ES_tradnl"/>
        </w:rPr>
        <w:tab/>
      </w:r>
      <w:bookmarkEnd w:id="70"/>
      <w:r w:rsidRPr="009D06C9">
        <w:rPr>
          <w:rFonts w:eastAsia="Batang"/>
          <w:lang w:val="es-ES_tradnl"/>
        </w:rPr>
        <w:t>Sector energético brasileño</w:t>
      </w:r>
      <w:bookmarkEnd w:id="71"/>
    </w:p>
    <w:p w:rsidR="00A87E27" w:rsidRPr="009D06C9" w:rsidRDefault="00A87E27" w:rsidP="00A87E27">
      <w:pPr>
        <w:rPr>
          <w:rFonts w:eastAsia="Batang"/>
          <w:lang w:val="es-ES_tradnl"/>
        </w:rPr>
      </w:pPr>
      <w:r w:rsidRPr="009D06C9">
        <w:rPr>
          <w:rFonts w:eastAsia="Batang"/>
          <w:lang w:val="es-ES_tradnl"/>
        </w:rPr>
        <w:t>Brasil dispone actualmente de más de 142 GW de capacidad energética y tiene más de 75 millones de usuarios. Como se indica en la Fig. A4.1 [1], el consumo energético en Brasil es de unos 624,3 TWh.</w:t>
      </w:r>
    </w:p>
    <w:p w:rsidR="00A87E27" w:rsidRPr="009D06C9" w:rsidRDefault="00A87E27" w:rsidP="00A87E27">
      <w:pPr>
        <w:rPr>
          <w:rFonts w:eastAsia="Batang"/>
          <w:lang w:val="es-ES_tradnl"/>
        </w:rPr>
      </w:pPr>
      <w:r w:rsidRPr="009D06C9">
        <w:rPr>
          <w:rFonts w:eastAsia="Batang"/>
          <w:lang w:val="es-ES_tradnl"/>
        </w:rPr>
        <w:t>El porcentaje de energía renovable producida es del 74,6%, mientras que la generada por fuentes no renovables es del 25,4%.</w:t>
      </w:r>
    </w:p>
    <w:p w:rsidR="00A87E27" w:rsidRPr="009D06C9" w:rsidRDefault="00A87E27" w:rsidP="00A87E27">
      <w:pPr>
        <w:pStyle w:val="FigureNo"/>
        <w:rPr>
          <w:rFonts w:eastAsia="Batang"/>
          <w:lang w:val="es-ES_tradnl"/>
        </w:rPr>
      </w:pPr>
      <w:r w:rsidRPr="009D06C9">
        <w:rPr>
          <w:rFonts w:eastAsia="Batang"/>
          <w:lang w:val="es-ES_tradnl"/>
        </w:rPr>
        <w:t>Figura A4.1</w:t>
      </w:r>
    </w:p>
    <w:p w:rsidR="00A87E27" w:rsidRPr="009D06C9" w:rsidRDefault="0029046C" w:rsidP="00A87E27">
      <w:pPr>
        <w:pStyle w:val="Figuretitle"/>
        <w:rPr>
          <w:rFonts w:eastAsia="Batang"/>
          <w:lang w:val="es-ES_tradnl"/>
        </w:rPr>
      </w:pPr>
      <w:r w:rsidRPr="007C2C3D">
        <w:rPr>
          <w:rFonts w:eastAsia="Batang"/>
          <w:noProof/>
          <w:lang w:val="en-GB" w:eastAsia="zh-CN"/>
        </w:rPr>
        <mc:AlternateContent>
          <mc:Choice Requires="wps">
            <w:drawing>
              <wp:anchor distT="45720" distB="45720" distL="114300" distR="114300" simplePos="0" relativeHeight="251684864" behindDoc="0" locked="0" layoutInCell="1" allowOverlap="1" wp14:anchorId="3663080F" wp14:editId="1038F24E">
                <wp:simplePos x="0" y="0"/>
                <wp:positionH relativeFrom="column">
                  <wp:posOffset>2362391</wp:posOffset>
                </wp:positionH>
                <wp:positionV relativeFrom="paragraph">
                  <wp:posOffset>163819</wp:posOffset>
                </wp:positionV>
                <wp:extent cx="1455888" cy="221215"/>
                <wp:effectExtent l="0" t="0" r="0" b="76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888" cy="221215"/>
                        </a:xfrm>
                        <a:prstGeom prst="rect">
                          <a:avLst/>
                        </a:prstGeom>
                        <a:solidFill>
                          <a:srgbClr val="FFFFFF"/>
                        </a:solidFill>
                        <a:ln w="9525">
                          <a:noFill/>
                          <a:miter lim="800000"/>
                          <a:headEnd/>
                          <a:tailEnd/>
                        </a:ln>
                      </wps:spPr>
                      <wps:txbx>
                        <w:txbxContent>
                          <w:p w:rsidR="0029046C" w:rsidRPr="008E4AD4" w:rsidRDefault="0029046C" w:rsidP="008E4AD4">
                            <w:pPr>
                              <w:spacing w:before="0"/>
                              <w:jc w:val="center"/>
                              <w:rPr>
                                <w:rFonts w:asciiTheme="minorHAnsi" w:hAnsiTheme="minorHAnsi"/>
                                <w:sz w:val="14"/>
                                <w:szCs w:val="14"/>
                                <w:lang w:val="es-ES_tradnl"/>
                              </w:rPr>
                            </w:pP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63080F" id="_x0000_t202" coordsize="21600,21600" o:spt="202" path="m,l,21600r21600,l21600,xe">
                <v:stroke joinstyle="miter"/>
                <v:path gradientshapeok="t" o:connecttype="rect"/>
              </v:shapetype>
              <v:shape id="Text Box 17" o:spid="_x0000_s1026" type="#_x0000_t202" style="position:absolute;left:0;text-align:left;margin-left:186pt;margin-top:12.9pt;width:114.65pt;height:17.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" stroked="f">
                <v:textbox inset="1mm,0,1mm,0">
                  <w:txbxContent>
                    <w:p w:rsidR="0029046C" w:rsidRPr="008E4AD4" w:rsidRDefault="0029046C" w:rsidP="008E4AD4">
                      <w:pPr>
                        <w:spacing w:before="0"/>
                        <w:jc w:val="center"/>
                        <w:rPr>
                          <w:rFonts w:asciiTheme="minorHAnsi" w:hAnsiTheme="minorHAnsi"/>
                          <w:sz w:val="14"/>
                          <w:szCs w:val="14"/>
                          <w:lang w:val="es-ES_tradnl"/>
                        </w:rPr>
                      </w:pPr>
                    </w:p>
                  </w:txbxContent>
                </v:textbox>
              </v:shape>
            </w:pict>
          </mc:Fallback>
        </mc:AlternateContent>
      </w:r>
      <w:r w:rsidR="00A87E27" w:rsidRPr="009D06C9">
        <w:rPr>
          <w:rFonts w:eastAsia="Batang"/>
          <w:lang w:val="es-ES_tradnl"/>
        </w:rPr>
        <w:t>Capacidad energética de Brasil</w:t>
      </w:r>
    </w:p>
    <w:p w:rsidR="00A87E27" w:rsidRPr="009D06C9" w:rsidRDefault="0029046C" w:rsidP="00A87E27">
      <w:pPr>
        <w:pStyle w:val="Figure"/>
        <w:rPr>
          <w:rFonts w:eastAsia="Batang"/>
          <w:lang w:val="es-ES_tradnl"/>
        </w:rPr>
      </w:pPr>
      <w:r>
        <w:rPr>
          <w:rFonts w:eastAsia="Batang"/>
          <w:noProof/>
          <w:lang w:val="en-GB" w:eastAsia="zh-CN"/>
        </w:rPr>
        <mc:AlternateContent>
          <mc:Choice Requires="wpg">
            <w:drawing>
              <wp:anchor distT="0" distB="0" distL="114300" distR="114300" simplePos="0" relativeHeight="251687936" behindDoc="0" locked="0" layoutInCell="1" allowOverlap="1">
                <wp:simplePos x="0" y="0"/>
                <wp:positionH relativeFrom="column">
                  <wp:posOffset>289726</wp:posOffset>
                </wp:positionH>
                <wp:positionV relativeFrom="paragraph">
                  <wp:posOffset>113113</wp:posOffset>
                </wp:positionV>
                <wp:extent cx="5575603" cy="1443468"/>
                <wp:effectExtent l="0" t="0" r="6350" b="4445"/>
                <wp:wrapNone/>
                <wp:docPr id="19" name="Group 19"/>
                <wp:cNvGraphicFramePr/>
                <a:graphic xmlns:a="http://schemas.openxmlformats.org/drawingml/2006/main">
                  <a:graphicData uri="http://schemas.microsoft.com/office/word/2010/wordprocessingGroup">
                    <wpg:wgp>
                      <wpg:cNvGrpSpPr/>
                      <wpg:grpSpPr>
                        <a:xfrm>
                          <a:off x="0" y="0"/>
                          <a:ext cx="5575603" cy="1443468"/>
                          <a:chOff x="0" y="0"/>
                          <a:chExt cx="5575603" cy="1443468"/>
                        </a:xfrm>
                      </wpg:grpSpPr>
                      <wps:wsp>
                        <wps:cNvPr id="217" name="Text Box 2"/>
                        <wps:cNvSpPr txBox="1">
                          <a:spLocks noChangeArrowheads="1"/>
                        </wps:cNvSpPr>
                        <wps:spPr bwMode="auto">
                          <a:xfrm>
                            <a:off x="0" y="222636"/>
                            <a:ext cx="1743075" cy="287655"/>
                          </a:xfrm>
                          <a:prstGeom prst="rect">
                            <a:avLst/>
                          </a:prstGeom>
                          <a:solidFill>
                            <a:srgbClr val="FFFFFF"/>
                          </a:solidFill>
                          <a:ln w="9525">
                            <a:noFill/>
                            <a:miter lim="800000"/>
                            <a:headEnd/>
                            <a:tailEnd/>
                          </a:ln>
                        </wps:spPr>
                        <wps:txbx>
                          <w:txbxContent>
                            <w:p w:rsidR="00090ED8" w:rsidRPr="00C527BC" w:rsidRDefault="00090ED8" w:rsidP="00C527BC">
                              <w:pPr>
                                <w:spacing w:before="0"/>
                                <w:jc w:val="center"/>
                                <w:rPr>
                                  <w:rFonts w:asciiTheme="minorHAnsi" w:hAnsiTheme="minorHAnsi"/>
                                  <w:sz w:val="18"/>
                                  <w:szCs w:val="18"/>
                                  <w:lang w:val="es-ES_tradnl"/>
                                </w:rPr>
                              </w:pPr>
                              <w:r w:rsidRPr="00C527BC">
                                <w:rPr>
                                  <w:rFonts w:asciiTheme="minorHAnsi" w:eastAsia="Batang" w:hAnsiTheme="minorHAnsi"/>
                                  <w:sz w:val="18"/>
                                  <w:szCs w:val="18"/>
                                  <w:lang w:val="es-ES_tradnl"/>
                                </w:rPr>
                                <w:t xml:space="preserve">Fuentes de energía no renovable; </w:t>
                              </w:r>
                              <w:r w:rsidRPr="00C527BC">
                                <w:rPr>
                                  <w:rFonts w:asciiTheme="minorHAnsi" w:eastAsia="Batang" w:hAnsiTheme="minorHAnsi"/>
                                  <w:sz w:val="18"/>
                                  <w:szCs w:val="18"/>
                                  <w:lang w:val="es-ES_tradnl"/>
                                </w:rPr>
                                <w:br/>
                                <w:t>Total: 158,6 TWh</w:t>
                              </w:r>
                            </w:p>
                          </w:txbxContent>
                        </wps:txbx>
                        <wps:bodyPr rot="0" vert="horz" wrap="square" lIns="36000" tIns="0" rIns="36000" bIns="0" anchor="t" anchorCtr="0">
                          <a:spAutoFit/>
                        </wps:bodyPr>
                      </wps:wsp>
                      <wps:wsp>
                        <wps:cNvPr id="1" name="Text Box 2"/>
                        <wps:cNvSpPr txBox="1">
                          <a:spLocks noChangeArrowheads="1"/>
                        </wps:cNvSpPr>
                        <wps:spPr bwMode="auto">
                          <a:xfrm>
                            <a:off x="3832528" y="222636"/>
                            <a:ext cx="1743075" cy="287655"/>
                          </a:xfrm>
                          <a:prstGeom prst="rect">
                            <a:avLst/>
                          </a:prstGeom>
                          <a:solidFill>
                            <a:srgbClr val="FFFFFF"/>
                          </a:solidFill>
                          <a:ln w="9525">
                            <a:noFill/>
                            <a:miter lim="800000"/>
                            <a:headEnd/>
                            <a:tailEnd/>
                          </a:ln>
                        </wps:spPr>
                        <wps:txbx>
                          <w:txbxContent>
                            <w:p w:rsidR="00090ED8" w:rsidRPr="00C527BC" w:rsidRDefault="00090ED8" w:rsidP="00C527BC">
                              <w:pPr>
                                <w:spacing w:before="0"/>
                                <w:jc w:val="center"/>
                                <w:rPr>
                                  <w:rFonts w:asciiTheme="minorHAnsi" w:hAnsiTheme="minorHAnsi"/>
                                  <w:sz w:val="18"/>
                                  <w:szCs w:val="18"/>
                                  <w:lang w:val="es-ES_tradnl"/>
                                </w:rPr>
                              </w:pPr>
                              <w:r w:rsidRPr="00C527BC">
                                <w:rPr>
                                  <w:rFonts w:asciiTheme="minorHAnsi" w:eastAsia="Batang" w:hAnsiTheme="minorHAnsi"/>
                                  <w:sz w:val="18"/>
                                  <w:szCs w:val="18"/>
                                  <w:lang w:val="es-ES_tradnl"/>
                                </w:rPr>
                                <w:t xml:space="preserve">Fuentes de energía renovable; </w:t>
                              </w:r>
                              <w:r w:rsidRPr="00C527BC">
                                <w:rPr>
                                  <w:rFonts w:asciiTheme="minorHAnsi" w:eastAsia="Batang" w:hAnsiTheme="minorHAnsi"/>
                                  <w:sz w:val="18"/>
                                  <w:szCs w:val="18"/>
                                  <w:lang w:val="es-ES_tradnl"/>
                                </w:rPr>
                                <w:br/>
                                <w:t>Total: 565,7 TWh</w:t>
                              </w:r>
                            </w:p>
                          </w:txbxContent>
                        </wps:txbx>
                        <wps:bodyPr rot="0" vert="horz" wrap="square" lIns="36000" tIns="0" rIns="36000" bIns="0" anchor="t" anchorCtr="0">
                          <a:spAutoFit/>
                        </wps:bodyPr>
                      </wps:wsp>
                      <wps:wsp>
                        <wps:cNvPr id="2" name="Text Box 2"/>
                        <wps:cNvSpPr txBox="1">
                          <a:spLocks noChangeArrowheads="1"/>
                        </wps:cNvSpPr>
                        <wps:spPr bwMode="auto">
                          <a:xfrm>
                            <a:off x="1804946" y="516835"/>
                            <a:ext cx="909955" cy="220980"/>
                          </a:xfrm>
                          <a:prstGeom prst="rect">
                            <a:avLst/>
                          </a:prstGeom>
                          <a:solidFill>
                            <a:srgbClr val="FFFFFF"/>
                          </a:solidFill>
                          <a:ln w="9525">
                            <a:noFill/>
                            <a:miter lim="800000"/>
                            <a:headEnd/>
                            <a:tailEnd/>
                          </a:ln>
                        </wps:spPr>
                        <wps:txbx>
                          <w:txbxContent>
                            <w:p w:rsidR="00090ED8" w:rsidRPr="008E4AD4" w:rsidRDefault="00090ED8" w:rsidP="008E4AD4">
                              <w:pPr>
                                <w:spacing w:before="0"/>
                                <w:jc w:val="center"/>
                                <w:rPr>
                                  <w:rFonts w:asciiTheme="minorHAnsi" w:hAnsiTheme="minorHAnsi"/>
                                  <w:sz w:val="14"/>
                                  <w:szCs w:val="14"/>
                                  <w:lang w:val="es-ES_tradnl"/>
                                </w:rPr>
                              </w:pPr>
                              <w:r w:rsidRPr="008E4AD4">
                                <w:rPr>
                                  <w:rFonts w:asciiTheme="minorHAnsi" w:eastAsia="Batang" w:hAnsiTheme="minorHAnsi"/>
                                  <w:sz w:val="14"/>
                                  <w:szCs w:val="14"/>
                                  <w:lang w:val="es-ES_tradnl"/>
                                </w:rPr>
                                <w:t xml:space="preserve">Fuentes de energía no renovable; Total: </w:t>
                              </w:r>
                            </w:p>
                          </w:txbxContent>
                        </wps:txbx>
                        <wps:bodyPr rot="0" vert="horz" wrap="square" lIns="36000" tIns="0" rIns="36000" bIns="0" anchor="t" anchorCtr="0">
                          <a:noAutofit/>
                        </wps:bodyPr>
                      </wps:wsp>
                      <wps:wsp>
                        <wps:cNvPr id="5" name="Text Box 5"/>
                        <wps:cNvSpPr txBox="1">
                          <a:spLocks noChangeArrowheads="1"/>
                        </wps:cNvSpPr>
                        <wps:spPr bwMode="auto">
                          <a:xfrm>
                            <a:off x="2393342" y="970059"/>
                            <a:ext cx="909955" cy="257175"/>
                          </a:xfrm>
                          <a:prstGeom prst="rect">
                            <a:avLst/>
                          </a:prstGeom>
                          <a:solidFill>
                            <a:srgbClr val="4578B5"/>
                          </a:solidFill>
                          <a:ln w="9525">
                            <a:noFill/>
                            <a:miter lim="800000"/>
                            <a:headEnd/>
                            <a:tailEnd/>
                          </a:ln>
                        </wps:spPr>
                        <wps:txbx>
                          <w:txbxContent>
                            <w:p w:rsidR="00090ED8" w:rsidRPr="008E4AD4" w:rsidRDefault="00090ED8" w:rsidP="008E4AD4">
                              <w:pPr>
                                <w:spacing w:before="0"/>
                                <w:jc w:val="center"/>
                                <w:rPr>
                                  <w:rFonts w:asciiTheme="minorHAnsi" w:hAnsiTheme="minorHAnsi"/>
                                  <w:sz w:val="16"/>
                                  <w:szCs w:val="16"/>
                                  <w:lang w:val="es-ES_tradnl"/>
                                </w:rPr>
                              </w:pPr>
                              <w:r w:rsidRPr="008E4AD4">
                                <w:rPr>
                                  <w:rFonts w:asciiTheme="minorHAnsi" w:eastAsia="Batang" w:hAnsiTheme="minorHAnsi"/>
                                  <w:sz w:val="16"/>
                                  <w:szCs w:val="16"/>
                                  <w:lang w:val="es-ES_tradnl"/>
                                </w:rPr>
                                <w:t xml:space="preserve">Fuentes de energía </w:t>
                              </w:r>
                              <w:r>
                                <w:rPr>
                                  <w:rFonts w:asciiTheme="minorHAnsi" w:eastAsia="Batang" w:hAnsiTheme="minorHAnsi"/>
                                  <w:sz w:val="16"/>
                                  <w:szCs w:val="16"/>
                                  <w:lang w:val="es-ES_tradnl"/>
                                </w:rPr>
                                <w:t>renovable:</w:t>
                              </w:r>
                              <w:r w:rsidRPr="008E4AD4">
                                <w:rPr>
                                  <w:rFonts w:asciiTheme="minorHAnsi" w:eastAsia="Batang" w:hAnsiTheme="minorHAnsi"/>
                                  <w:sz w:val="16"/>
                                  <w:szCs w:val="16"/>
                                  <w:lang w:val="es-ES_tradnl"/>
                                </w:rPr>
                                <w:t xml:space="preserve"> </w:t>
                              </w:r>
                              <w:r>
                                <w:rPr>
                                  <w:rFonts w:asciiTheme="minorHAnsi" w:eastAsia="Batang" w:hAnsiTheme="minorHAnsi"/>
                                  <w:sz w:val="16"/>
                                  <w:szCs w:val="16"/>
                                  <w:lang w:val="es-ES_tradnl"/>
                                </w:rPr>
                                <w:t>74,6%</w:t>
                              </w:r>
                            </w:p>
                          </w:txbxContent>
                        </wps:txbx>
                        <wps:bodyPr rot="0" vert="horz" wrap="square" lIns="36000" tIns="0" rIns="36000" bIns="0" anchor="t" anchorCtr="0">
                          <a:spAutoFit/>
                        </wps:bodyPr>
                      </wps:wsp>
                      <wps:wsp>
                        <wps:cNvPr id="6" name="Text Box 6"/>
                        <wps:cNvSpPr txBox="1">
                          <a:spLocks noChangeArrowheads="1"/>
                        </wps:cNvSpPr>
                        <wps:spPr bwMode="auto">
                          <a:xfrm>
                            <a:off x="4738977" y="1232452"/>
                            <a:ext cx="368242" cy="211016"/>
                          </a:xfrm>
                          <a:prstGeom prst="rect">
                            <a:avLst/>
                          </a:prstGeom>
                          <a:solidFill>
                            <a:srgbClr val="4578B5"/>
                          </a:solidFill>
                          <a:ln w="9525">
                            <a:noFill/>
                            <a:miter lim="800000"/>
                            <a:headEnd/>
                            <a:tailEnd/>
                          </a:ln>
                        </wps:spPr>
                        <wps:txbx>
                          <w:txbxContent>
                            <w:p w:rsidR="00090ED8" w:rsidRPr="008E4AD4" w:rsidRDefault="00090ED8" w:rsidP="008E4AD4">
                              <w:pPr>
                                <w:spacing w:before="0"/>
                                <w:jc w:val="center"/>
                                <w:rPr>
                                  <w:rFonts w:asciiTheme="minorHAnsi" w:hAnsiTheme="minorHAnsi"/>
                                  <w:sz w:val="10"/>
                                  <w:szCs w:val="10"/>
                                  <w:lang w:val="es-ES_tradnl"/>
                                </w:rPr>
                              </w:pPr>
                              <w:r>
                                <w:rPr>
                                  <w:rFonts w:asciiTheme="minorHAnsi" w:eastAsia="Batang" w:hAnsiTheme="minorHAnsi"/>
                                  <w:sz w:val="10"/>
                                  <w:szCs w:val="10"/>
                                  <w:lang w:val="es-ES_tradnl"/>
                                </w:rPr>
                                <w:t xml:space="preserve">Hidráulica </w:t>
                              </w:r>
                              <w:r>
                                <w:rPr>
                                  <w:rFonts w:asciiTheme="minorHAnsi" w:eastAsia="Batang" w:hAnsiTheme="minorHAnsi"/>
                                  <w:sz w:val="10"/>
                                  <w:szCs w:val="10"/>
                                  <w:lang w:val="es-ES_tradnl"/>
                                </w:rPr>
                                <w:br/>
                                <w:t>88%</w:t>
                              </w:r>
                            </w:p>
                          </w:txbxContent>
                        </wps:txbx>
                        <wps:bodyPr rot="0" vert="horz" wrap="square" lIns="36000" tIns="0" rIns="36000" bIns="0" anchor="t" anchorCtr="0">
                          <a:noAutofit/>
                        </wps:bodyPr>
                      </wps:wsp>
                      <wps:wsp>
                        <wps:cNvPr id="7" name="Text Box 7"/>
                        <wps:cNvSpPr txBox="1">
                          <a:spLocks noChangeArrowheads="1"/>
                        </wps:cNvSpPr>
                        <wps:spPr bwMode="auto">
                          <a:xfrm>
                            <a:off x="5057030" y="588351"/>
                            <a:ext cx="367665" cy="210820"/>
                          </a:xfrm>
                          <a:prstGeom prst="rect">
                            <a:avLst/>
                          </a:prstGeom>
                          <a:solidFill>
                            <a:schemeClr val="bg1"/>
                          </a:solidFill>
                          <a:ln w="9525">
                            <a:noFill/>
                            <a:miter lim="800000"/>
                            <a:headEnd/>
                            <a:tailEnd/>
                          </a:ln>
                        </wps:spPr>
                        <wps:txbx>
                          <w:txbxContent>
                            <w:p w:rsidR="00090ED8" w:rsidRPr="008E4AD4" w:rsidRDefault="00090ED8" w:rsidP="008E4AD4">
                              <w:pPr>
                                <w:spacing w:before="0"/>
                                <w:jc w:val="center"/>
                                <w:rPr>
                                  <w:rFonts w:asciiTheme="minorHAnsi" w:hAnsiTheme="minorHAnsi"/>
                                  <w:sz w:val="10"/>
                                  <w:szCs w:val="10"/>
                                  <w:lang w:val="es-ES_tradnl"/>
                                </w:rPr>
                              </w:pPr>
                              <w:r>
                                <w:rPr>
                                  <w:rFonts w:asciiTheme="minorHAnsi" w:eastAsia="Batang" w:hAnsiTheme="minorHAnsi"/>
                                  <w:sz w:val="10"/>
                                  <w:szCs w:val="10"/>
                                  <w:lang w:val="es-ES_tradnl"/>
                                </w:rPr>
                                <w:t>Otras</w:t>
                              </w:r>
                              <w:r>
                                <w:rPr>
                                  <w:rFonts w:asciiTheme="minorHAnsi" w:eastAsia="Batang" w:hAnsiTheme="minorHAnsi"/>
                                  <w:sz w:val="10"/>
                                  <w:szCs w:val="10"/>
                                  <w:lang w:val="es-ES_tradnl"/>
                                </w:rPr>
                                <w:br/>
                                <w:t>3%</w:t>
                              </w:r>
                            </w:p>
                          </w:txbxContent>
                        </wps:txbx>
                        <wps:bodyPr rot="0" vert="horz" wrap="square" lIns="36000" tIns="0" rIns="36000" bIns="0" anchor="t" anchorCtr="0">
                          <a:noAutofit/>
                        </wps:bodyPr>
                      </wps:wsp>
                      <wps:wsp>
                        <wps:cNvPr id="8" name="Text Box 8"/>
                        <wps:cNvSpPr txBox="1">
                          <a:spLocks noChangeArrowheads="1"/>
                        </wps:cNvSpPr>
                        <wps:spPr bwMode="auto">
                          <a:xfrm>
                            <a:off x="4500438" y="540689"/>
                            <a:ext cx="330835" cy="190500"/>
                          </a:xfrm>
                          <a:prstGeom prst="rect">
                            <a:avLst/>
                          </a:prstGeom>
                          <a:solidFill>
                            <a:schemeClr val="bg1"/>
                          </a:solidFill>
                          <a:ln w="9525">
                            <a:noFill/>
                            <a:miter lim="800000"/>
                            <a:headEnd/>
                            <a:tailEnd/>
                          </a:ln>
                        </wps:spPr>
                        <wps:txbx>
                          <w:txbxContent>
                            <w:p w:rsidR="00090ED8" w:rsidRPr="008E4AD4" w:rsidRDefault="00090ED8" w:rsidP="008E4AD4">
                              <w:pPr>
                                <w:spacing w:before="0"/>
                                <w:jc w:val="center"/>
                                <w:rPr>
                                  <w:rFonts w:asciiTheme="minorHAnsi" w:hAnsiTheme="minorHAnsi"/>
                                  <w:sz w:val="10"/>
                                  <w:szCs w:val="10"/>
                                  <w:lang w:val="es-ES_tradnl"/>
                                </w:rPr>
                              </w:pPr>
                              <w:r>
                                <w:rPr>
                                  <w:rFonts w:asciiTheme="minorHAnsi" w:eastAsia="Batang" w:hAnsiTheme="minorHAnsi"/>
                                  <w:sz w:val="10"/>
                                  <w:szCs w:val="10"/>
                                  <w:lang w:val="es-ES_tradnl"/>
                                </w:rPr>
                                <w:t>Solar</w:t>
                              </w:r>
                              <w:r>
                                <w:rPr>
                                  <w:rFonts w:asciiTheme="minorHAnsi" w:eastAsia="Batang" w:hAnsiTheme="minorHAnsi"/>
                                  <w:sz w:val="10"/>
                                  <w:szCs w:val="10"/>
                                  <w:lang w:val="es-ES_tradnl"/>
                                </w:rPr>
                                <w:br/>
                                <w:t>0,35%</w:t>
                              </w:r>
                            </w:p>
                          </w:txbxContent>
                        </wps:txbx>
                        <wps:bodyPr rot="0" vert="horz" wrap="square" lIns="36000" tIns="0" rIns="36000" bIns="0" anchor="t" anchorCtr="0">
                          <a:noAutofit/>
                        </wps:bodyPr>
                      </wps:wsp>
                      <wps:wsp>
                        <wps:cNvPr id="9" name="Text Box 9"/>
                        <wps:cNvSpPr txBox="1">
                          <a:spLocks noChangeArrowheads="1"/>
                        </wps:cNvSpPr>
                        <wps:spPr bwMode="auto">
                          <a:xfrm>
                            <a:off x="4023360" y="540689"/>
                            <a:ext cx="393065" cy="156845"/>
                          </a:xfrm>
                          <a:prstGeom prst="rect">
                            <a:avLst/>
                          </a:prstGeom>
                          <a:solidFill>
                            <a:schemeClr val="bg1"/>
                          </a:solidFill>
                          <a:ln w="9525">
                            <a:noFill/>
                            <a:miter lim="800000"/>
                            <a:headEnd/>
                            <a:tailEnd/>
                          </a:ln>
                        </wps:spPr>
                        <wps:txbx>
                          <w:txbxContent>
                            <w:p w:rsidR="00090ED8" w:rsidRPr="008E4AD4" w:rsidRDefault="00090ED8" w:rsidP="008E4AD4">
                              <w:pPr>
                                <w:spacing w:before="0"/>
                                <w:jc w:val="center"/>
                                <w:rPr>
                                  <w:rFonts w:asciiTheme="minorHAnsi" w:hAnsiTheme="minorHAnsi"/>
                                  <w:sz w:val="10"/>
                                  <w:szCs w:val="10"/>
                                  <w:lang w:val="es-ES_tradnl"/>
                                </w:rPr>
                              </w:pPr>
                              <w:r>
                                <w:rPr>
                                  <w:rFonts w:asciiTheme="minorHAnsi" w:eastAsia="Batang" w:hAnsiTheme="minorHAnsi"/>
                                  <w:sz w:val="10"/>
                                  <w:szCs w:val="10"/>
                                  <w:lang w:val="es-ES_tradnl"/>
                                </w:rPr>
                                <w:t>Eólica</w:t>
                              </w:r>
                              <w:r>
                                <w:rPr>
                                  <w:rFonts w:asciiTheme="minorHAnsi" w:eastAsia="Batang" w:hAnsiTheme="minorHAnsi"/>
                                  <w:sz w:val="10"/>
                                  <w:szCs w:val="10"/>
                                  <w:lang w:val="es-ES_tradnl"/>
                                </w:rPr>
                                <w:br/>
                                <w:t>2,6%</w:t>
                              </w:r>
                            </w:p>
                          </w:txbxContent>
                        </wps:txbx>
                        <wps:bodyPr rot="0" vert="horz" wrap="square" lIns="36000" tIns="0" rIns="36000" bIns="0" anchor="t" anchorCtr="0">
                          <a:noAutofit/>
                        </wps:bodyPr>
                      </wps:wsp>
                      <wps:wsp>
                        <wps:cNvPr id="10" name="Text Box 10"/>
                        <wps:cNvSpPr txBox="1">
                          <a:spLocks noChangeArrowheads="1"/>
                        </wps:cNvSpPr>
                        <wps:spPr bwMode="auto">
                          <a:xfrm>
                            <a:off x="3832528" y="699715"/>
                            <a:ext cx="334645" cy="169545"/>
                          </a:xfrm>
                          <a:prstGeom prst="rect">
                            <a:avLst/>
                          </a:prstGeom>
                          <a:solidFill>
                            <a:schemeClr val="bg1"/>
                          </a:solidFill>
                          <a:ln w="9525">
                            <a:noFill/>
                            <a:miter lim="800000"/>
                            <a:headEnd/>
                            <a:tailEnd/>
                          </a:ln>
                        </wps:spPr>
                        <wps:txbx>
                          <w:txbxContent>
                            <w:p w:rsidR="00090ED8" w:rsidRPr="008E4AD4" w:rsidRDefault="00090ED8" w:rsidP="008E4AD4">
                              <w:pPr>
                                <w:spacing w:before="0"/>
                                <w:jc w:val="center"/>
                                <w:rPr>
                                  <w:rFonts w:asciiTheme="minorHAnsi" w:hAnsiTheme="minorHAnsi"/>
                                  <w:sz w:val="10"/>
                                  <w:szCs w:val="10"/>
                                  <w:lang w:val="es-ES_tradnl"/>
                                </w:rPr>
                              </w:pPr>
                              <w:r>
                                <w:rPr>
                                  <w:rFonts w:asciiTheme="minorHAnsi" w:eastAsia="Batang" w:hAnsiTheme="minorHAnsi"/>
                                  <w:sz w:val="10"/>
                                  <w:szCs w:val="10"/>
                                  <w:lang w:val="es-ES_tradnl"/>
                                </w:rPr>
                                <w:t>Biomasa</w:t>
                              </w:r>
                              <w:r>
                                <w:rPr>
                                  <w:rFonts w:asciiTheme="minorHAnsi" w:eastAsia="Batang" w:hAnsiTheme="minorHAnsi"/>
                                  <w:sz w:val="10"/>
                                  <w:szCs w:val="10"/>
                                  <w:lang w:val="es-ES_tradnl"/>
                                </w:rPr>
                                <w:br/>
                                <w:t>7%</w:t>
                              </w:r>
                            </w:p>
                          </w:txbxContent>
                        </wps:txbx>
                        <wps:bodyPr rot="0" vert="horz" wrap="square" lIns="36000" tIns="0" rIns="36000" bIns="0" anchor="t" anchorCtr="0">
                          <a:noAutofit/>
                        </wps:bodyPr>
                      </wps:wsp>
                      <wps:wsp>
                        <wps:cNvPr id="12" name="Text Box 12"/>
                        <wps:cNvSpPr txBox="1">
                          <a:spLocks noChangeArrowheads="1"/>
                        </wps:cNvSpPr>
                        <wps:spPr bwMode="auto">
                          <a:xfrm>
                            <a:off x="23854" y="715617"/>
                            <a:ext cx="322580" cy="107315"/>
                          </a:xfrm>
                          <a:prstGeom prst="rect">
                            <a:avLst/>
                          </a:prstGeom>
                          <a:solidFill>
                            <a:schemeClr val="bg1"/>
                          </a:solidFill>
                          <a:ln w="9525">
                            <a:noFill/>
                            <a:miter lim="800000"/>
                            <a:headEnd/>
                            <a:tailEnd/>
                          </a:ln>
                        </wps:spPr>
                        <wps:txbx>
                          <w:txbxContent>
                            <w:p w:rsidR="00090ED8" w:rsidRPr="008E4AD4" w:rsidRDefault="00090ED8" w:rsidP="008E4AD4">
                              <w:pPr>
                                <w:spacing w:before="0"/>
                                <w:jc w:val="center"/>
                                <w:rPr>
                                  <w:rFonts w:asciiTheme="minorHAnsi" w:hAnsiTheme="minorHAnsi"/>
                                  <w:sz w:val="10"/>
                                  <w:szCs w:val="10"/>
                                  <w:lang w:val="es-ES_tradnl"/>
                                </w:rPr>
                              </w:pPr>
                              <w:r>
                                <w:rPr>
                                  <w:rFonts w:asciiTheme="minorHAnsi" w:eastAsia="Batang" w:hAnsiTheme="minorHAnsi"/>
                                  <w:sz w:val="10"/>
                                  <w:szCs w:val="10"/>
                                  <w:lang w:val="es-ES_tradnl"/>
                                </w:rPr>
                                <w:t>Carbón</w:t>
                              </w:r>
                            </w:p>
                          </w:txbxContent>
                        </wps:txbx>
                        <wps:bodyPr rot="0" vert="horz" wrap="square" lIns="36000" tIns="0" rIns="36000" bIns="0" anchor="t" anchorCtr="0">
                          <a:noAutofit/>
                        </wps:bodyPr>
                      </wps:wsp>
                      <wps:wsp>
                        <wps:cNvPr id="13" name="Text Box 13"/>
                        <wps:cNvSpPr txBox="1">
                          <a:spLocks noChangeArrowheads="1"/>
                        </wps:cNvSpPr>
                        <wps:spPr bwMode="auto">
                          <a:xfrm>
                            <a:off x="524786" y="588396"/>
                            <a:ext cx="322580" cy="107315"/>
                          </a:xfrm>
                          <a:prstGeom prst="rect">
                            <a:avLst/>
                          </a:prstGeom>
                          <a:solidFill>
                            <a:schemeClr val="bg1"/>
                          </a:solidFill>
                          <a:ln w="9525">
                            <a:noFill/>
                            <a:miter lim="800000"/>
                            <a:headEnd/>
                            <a:tailEnd/>
                          </a:ln>
                        </wps:spPr>
                        <wps:txbx>
                          <w:txbxContent>
                            <w:p w:rsidR="00090ED8" w:rsidRPr="008E4AD4" w:rsidRDefault="00090ED8" w:rsidP="008E4AD4">
                              <w:pPr>
                                <w:spacing w:before="0"/>
                                <w:jc w:val="center"/>
                                <w:rPr>
                                  <w:rFonts w:asciiTheme="minorHAnsi" w:hAnsiTheme="minorHAnsi"/>
                                  <w:sz w:val="10"/>
                                  <w:szCs w:val="10"/>
                                  <w:lang w:val="es-ES_tradnl"/>
                                </w:rPr>
                              </w:pPr>
                              <w:r>
                                <w:rPr>
                                  <w:rFonts w:asciiTheme="minorHAnsi" w:eastAsia="Batang" w:hAnsiTheme="minorHAnsi"/>
                                  <w:sz w:val="10"/>
                                  <w:szCs w:val="10"/>
                                  <w:lang w:val="es-ES_tradnl"/>
                                </w:rPr>
                                <w:t>Nuclear</w:t>
                              </w:r>
                            </w:p>
                          </w:txbxContent>
                        </wps:txbx>
                        <wps:bodyPr rot="0" vert="horz" wrap="square" lIns="36000" tIns="0" rIns="36000" bIns="0" anchor="t" anchorCtr="0">
                          <a:noAutofit/>
                        </wps:bodyPr>
                      </wps:wsp>
                      <wps:wsp>
                        <wps:cNvPr id="14" name="Text Box 14"/>
                        <wps:cNvSpPr txBox="1">
                          <a:spLocks noChangeArrowheads="1"/>
                        </wps:cNvSpPr>
                        <wps:spPr bwMode="auto">
                          <a:xfrm>
                            <a:off x="206734" y="1105231"/>
                            <a:ext cx="322580" cy="107315"/>
                          </a:xfrm>
                          <a:prstGeom prst="rect">
                            <a:avLst/>
                          </a:prstGeom>
                          <a:solidFill>
                            <a:srgbClr val="BB4643"/>
                          </a:solidFill>
                          <a:ln w="9525">
                            <a:noFill/>
                            <a:miter lim="800000"/>
                            <a:headEnd/>
                            <a:tailEnd/>
                          </a:ln>
                        </wps:spPr>
                        <wps:txbx>
                          <w:txbxContent>
                            <w:p w:rsidR="00090ED8" w:rsidRPr="008E4AD4" w:rsidRDefault="00090ED8" w:rsidP="008E4AD4">
                              <w:pPr>
                                <w:spacing w:before="0"/>
                                <w:jc w:val="center"/>
                                <w:rPr>
                                  <w:rFonts w:asciiTheme="minorHAnsi" w:hAnsiTheme="minorHAnsi"/>
                                  <w:sz w:val="10"/>
                                  <w:szCs w:val="10"/>
                                  <w:lang w:val="es-ES_tradnl"/>
                                </w:rPr>
                              </w:pPr>
                              <w:r>
                                <w:rPr>
                                  <w:rFonts w:asciiTheme="minorHAnsi" w:eastAsia="Batang" w:hAnsiTheme="minorHAnsi"/>
                                  <w:sz w:val="10"/>
                                  <w:szCs w:val="10"/>
                                  <w:lang w:val="es-ES_tradnl"/>
                                </w:rPr>
                                <w:t>Petróleo</w:t>
                              </w:r>
                            </w:p>
                          </w:txbxContent>
                        </wps:txbx>
                        <wps:bodyPr rot="0" vert="horz" wrap="square" lIns="36000" tIns="0" rIns="36000" bIns="0" anchor="t" anchorCtr="0">
                          <a:noAutofit/>
                        </wps:bodyPr>
                      </wps:wsp>
                      <wps:wsp>
                        <wps:cNvPr id="15" name="Text Box 15"/>
                        <wps:cNvSpPr txBox="1">
                          <a:spLocks noChangeArrowheads="1"/>
                        </wps:cNvSpPr>
                        <wps:spPr bwMode="auto">
                          <a:xfrm>
                            <a:off x="1105231" y="1129085"/>
                            <a:ext cx="322580" cy="173355"/>
                          </a:xfrm>
                          <a:prstGeom prst="rect">
                            <a:avLst/>
                          </a:prstGeom>
                          <a:solidFill>
                            <a:srgbClr val="4578B5"/>
                          </a:solidFill>
                          <a:ln w="9525">
                            <a:noFill/>
                            <a:miter lim="800000"/>
                            <a:headEnd/>
                            <a:tailEnd/>
                          </a:ln>
                        </wps:spPr>
                        <wps:txbx>
                          <w:txbxContent>
                            <w:p w:rsidR="00090ED8" w:rsidRPr="008E4AD4" w:rsidRDefault="00090ED8" w:rsidP="008E4AD4">
                              <w:pPr>
                                <w:spacing w:before="0"/>
                                <w:jc w:val="center"/>
                                <w:rPr>
                                  <w:rFonts w:asciiTheme="minorHAnsi" w:hAnsiTheme="minorHAnsi"/>
                                  <w:sz w:val="10"/>
                                  <w:szCs w:val="10"/>
                                  <w:lang w:val="es-ES_tradnl"/>
                                </w:rPr>
                              </w:pPr>
                              <w:r>
                                <w:rPr>
                                  <w:rFonts w:asciiTheme="minorHAnsi" w:eastAsia="Batang" w:hAnsiTheme="minorHAnsi"/>
                                  <w:sz w:val="10"/>
                                  <w:szCs w:val="10"/>
                                  <w:lang w:val="es-ES_tradnl"/>
                                </w:rPr>
                                <w:t>Gas</w:t>
                              </w:r>
                              <w:r>
                                <w:rPr>
                                  <w:rFonts w:asciiTheme="minorHAnsi" w:eastAsia="Batang" w:hAnsiTheme="minorHAnsi"/>
                                  <w:sz w:val="10"/>
                                  <w:szCs w:val="10"/>
                                  <w:lang w:val="es-ES_tradnl"/>
                                </w:rPr>
                                <w:br/>
                                <w:t>natural</w:t>
                              </w:r>
                            </w:p>
                          </w:txbxContent>
                        </wps:txbx>
                        <wps:bodyPr rot="0" vert="horz" wrap="square" lIns="36000" tIns="0" rIns="36000" bIns="0" anchor="t" anchorCtr="0">
                          <a:noAutofit/>
                        </wps:bodyPr>
                      </wps:wsp>
                      <wps:wsp>
                        <wps:cNvPr id="18" name="Text Box 18"/>
                        <wps:cNvSpPr txBox="1">
                          <a:spLocks noChangeArrowheads="1"/>
                        </wps:cNvSpPr>
                        <wps:spPr bwMode="auto">
                          <a:xfrm>
                            <a:off x="1924215" y="0"/>
                            <a:ext cx="1924216" cy="221215"/>
                          </a:xfrm>
                          <a:prstGeom prst="rect">
                            <a:avLst/>
                          </a:prstGeom>
                          <a:solidFill>
                            <a:srgbClr val="FFFFFF"/>
                          </a:solidFill>
                          <a:ln w="9525">
                            <a:noFill/>
                            <a:miter lim="800000"/>
                            <a:headEnd/>
                            <a:tailEnd/>
                          </a:ln>
                        </wps:spPr>
                        <wps:txbx>
                          <w:txbxContent>
                            <w:p w:rsidR="0029046C" w:rsidRPr="0029046C" w:rsidRDefault="0029046C" w:rsidP="0029046C">
                              <w:pPr>
                                <w:spacing w:before="0"/>
                                <w:jc w:val="center"/>
                                <w:rPr>
                                  <w:rFonts w:asciiTheme="minorHAnsi" w:hAnsiTheme="minorHAnsi"/>
                                  <w:sz w:val="20"/>
                                  <w:lang w:val="es-ES_tradnl"/>
                                </w:rPr>
                              </w:pPr>
                              <w:r w:rsidRPr="0029046C">
                                <w:rPr>
                                  <w:rFonts w:asciiTheme="minorHAnsi" w:eastAsia="Batang" w:hAnsiTheme="minorHAnsi"/>
                                  <w:sz w:val="20"/>
                                  <w:lang w:val="es-ES_tradnl"/>
                                </w:rPr>
                                <w:t>Consumo total en 2014: 624,3 TWh</w:t>
                              </w:r>
                            </w:p>
                          </w:txbxContent>
                        </wps:txbx>
                        <wps:bodyPr rot="0" vert="horz" wrap="square" lIns="36000" tIns="0" rIns="36000" bIns="0" anchor="t" anchorCtr="0">
                          <a:noAutofit/>
                        </wps:bodyPr>
                      </wps:wsp>
                    </wpg:wgp>
                  </a:graphicData>
                </a:graphic>
              </wp:anchor>
            </w:drawing>
          </mc:Choice>
          <mc:Fallback>
            <w:pict>
              <v:group id="Group 19" o:spid="_x0000_s1027" style="position:absolute;left:0;text-align:left;margin-left:22.8pt;margin-top:8.9pt;width:439pt;height:113.65pt;z-index:251687936" coordsize="55756,1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">
                <v:shape id="Text Box 2" o:spid="_x0000_s1028" type="#_x0000_t202" style="position:absolute;top:2226;width:17430;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U1HMQA&#10;AADcAAAADwAAAGRycy9kb3ducmV2LnhtbESPQWvCQBSE74X+h+UVeqsbPVRJXaUtKj0JGqHXR/Y1&#10;mzb7NuZtk/TfdwXB4zAz3zDL9egb1VMndWAD00kGirgMtubKwKnYPi1ASUS22AQmA38ksF7d3y0x&#10;t2HgA/XHWKkEYcnRgIuxzbWW0pFHmYSWOHlfofMYk+wqbTscEtw3epZlz9pjzWnBYUvvjsqf4683&#10;cJa+cAUd5HvXfsqm2u+GzZs35vFhfH0BFWmMt/C1/WENzKZzuJxJR0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FNRzEAAAA3AAAAA8AAAAAAAAAAAAAAAAAmAIAAGRycy9k&#10;b3ducmV2LnhtbFBLBQYAAAAABAAEAPUAAACJAwAAAAA=&#10;" stroked="f">
                  <v:textbox style="mso-fit-shape-to-text:t" inset="1mm,0,1mm,0">
                    <w:txbxContent>
                      <w:p w:rsidR="00090ED8" w:rsidRPr="00C527BC" w:rsidRDefault="00090ED8" w:rsidP="00C527BC">
                        <w:pPr>
                          <w:spacing w:before="0"/>
                          <w:jc w:val="center"/>
                          <w:rPr>
                            <w:rFonts w:asciiTheme="minorHAnsi" w:hAnsiTheme="minorHAnsi"/>
                            <w:sz w:val="18"/>
                            <w:szCs w:val="18"/>
                            <w:lang w:val="es-ES_tradnl"/>
                          </w:rPr>
                        </w:pPr>
                        <w:r w:rsidRPr="00C527BC">
                          <w:rPr>
                            <w:rFonts w:asciiTheme="minorHAnsi" w:eastAsia="Batang" w:hAnsiTheme="minorHAnsi"/>
                            <w:sz w:val="18"/>
                            <w:szCs w:val="18"/>
                            <w:lang w:val="es-ES_tradnl"/>
                          </w:rPr>
                          <w:t xml:space="preserve">Fuentes de energía no renovable; </w:t>
                        </w:r>
                        <w:r w:rsidRPr="00C527BC">
                          <w:rPr>
                            <w:rFonts w:asciiTheme="minorHAnsi" w:eastAsia="Batang" w:hAnsiTheme="minorHAnsi"/>
                            <w:sz w:val="18"/>
                            <w:szCs w:val="18"/>
                            <w:lang w:val="es-ES_tradnl"/>
                          </w:rPr>
                          <w:br/>
                          <w:t>Total: 158,6 TWh</w:t>
                        </w:r>
                      </w:p>
                    </w:txbxContent>
                  </v:textbox>
                </v:shape>
                <v:shape id="Text Box 2" o:spid="_x0000_s1029" type="#_x0000_t202" style="position:absolute;left:38325;top:2226;width:17431;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F378A&#10;AADaAAAADwAAAGRycy9kb3ducmV2LnhtbERPTWvCQBC9C/0PyxR60017KCV1FRUrPRU0Qq9DdsxG&#10;s7NpZpuk/74rCJ6Gx/uc+XL0jeqpkzqwgedZBoq4DLbmysCx+Ji+gZKIbLEJTAb+SGC5eJjMMbdh&#10;4D31h1ipFMKSowEXY5trLaUjjzILLXHiTqHzGBPsKm07HFK4b/RLlr1qjzWnBoctbRyVl8OvN/Aj&#10;feEK2st5137LtvraDdu1N+bpcVy9g4o0xrv45v60aT5cX7lev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kUXfvwAAANoAAAAPAAAAAAAAAAAAAAAAAJgCAABkcnMvZG93bnJl&#10;di54bWxQSwUGAAAAAAQABAD1AAAAhAMAAAAA&#10;" stroked="f">
                  <v:textbox style="mso-fit-shape-to-text:t" inset="1mm,0,1mm,0">
                    <w:txbxContent>
                      <w:p w:rsidR="00090ED8" w:rsidRPr="00C527BC" w:rsidRDefault="00090ED8" w:rsidP="00C527BC">
                        <w:pPr>
                          <w:spacing w:before="0"/>
                          <w:jc w:val="center"/>
                          <w:rPr>
                            <w:rFonts w:asciiTheme="minorHAnsi" w:hAnsiTheme="minorHAnsi"/>
                            <w:sz w:val="18"/>
                            <w:szCs w:val="18"/>
                            <w:lang w:val="es-ES_tradnl"/>
                          </w:rPr>
                        </w:pPr>
                        <w:r w:rsidRPr="00C527BC">
                          <w:rPr>
                            <w:rFonts w:asciiTheme="minorHAnsi" w:eastAsia="Batang" w:hAnsiTheme="minorHAnsi"/>
                            <w:sz w:val="18"/>
                            <w:szCs w:val="18"/>
                            <w:lang w:val="es-ES_tradnl"/>
                          </w:rPr>
                          <w:t xml:space="preserve">Fuentes de energía renovable; </w:t>
                        </w:r>
                        <w:r w:rsidRPr="00C527BC">
                          <w:rPr>
                            <w:rFonts w:asciiTheme="minorHAnsi" w:eastAsia="Batang" w:hAnsiTheme="minorHAnsi"/>
                            <w:sz w:val="18"/>
                            <w:szCs w:val="18"/>
                            <w:lang w:val="es-ES_tradnl"/>
                          </w:rPr>
                          <w:br/>
                          <w:t>Total: 565,7 TWh</w:t>
                        </w:r>
                      </w:p>
                    </w:txbxContent>
                  </v:textbox>
                </v:shape>
                <v:shape id="Text Box 2" o:spid="_x0000_s1030" type="#_x0000_t202" style="position:absolute;left:18049;top:5168;width:9100;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uqsIA&#10;AADaAAAADwAAAGRycy9kb3ducmV2LnhtbESPT4vCMBTE74LfITzBm6ZbXCnVKIuwKMge/Hd/Ns+2&#10;2Lx0m1irn94sLHgcZuY3zHzZmUq01LjSsoKPcQSCOLO65FzB8fA9SkA4j6yxskwKHuRguej35phq&#10;e+cdtXufiwBhl6KCwvs6ldJlBRl0Y1sTB+9iG4M+yCaXusF7gJtKxlE0lQZLDgsF1rQqKLvub0bB&#10;NG7X8eTzWf+eou3PKulOdE4qpYaD7msGwlPn3+H/9kYriOHvSr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66qwgAAANoAAAAPAAAAAAAAAAAAAAAAAJgCAABkcnMvZG93&#10;bnJldi54bWxQSwUGAAAAAAQABAD1AAAAhwMAAAAA&#10;" stroked="f">
                  <v:textbox inset="1mm,0,1mm,0">
                    <w:txbxContent>
                      <w:p w:rsidR="00090ED8" w:rsidRPr="008E4AD4" w:rsidRDefault="00090ED8" w:rsidP="008E4AD4">
                        <w:pPr>
                          <w:spacing w:before="0"/>
                          <w:jc w:val="center"/>
                          <w:rPr>
                            <w:rFonts w:asciiTheme="minorHAnsi" w:hAnsiTheme="minorHAnsi"/>
                            <w:sz w:val="14"/>
                            <w:szCs w:val="14"/>
                            <w:lang w:val="es-ES_tradnl"/>
                          </w:rPr>
                        </w:pPr>
                        <w:r w:rsidRPr="008E4AD4">
                          <w:rPr>
                            <w:rFonts w:asciiTheme="minorHAnsi" w:eastAsia="Batang" w:hAnsiTheme="minorHAnsi"/>
                            <w:sz w:val="14"/>
                            <w:szCs w:val="14"/>
                            <w:lang w:val="es-ES_tradnl"/>
                          </w:rPr>
                          <w:t xml:space="preserve">Fuentes de energía no renovable; Total: </w:t>
                        </w:r>
                      </w:p>
                    </w:txbxContent>
                  </v:textbox>
                </v:shape>
                <v:shape id="Text Box 5" o:spid="_x0000_s1031" type="#_x0000_t202" style="position:absolute;left:23933;top:9700;width:909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AkcIA&#10;AADaAAAADwAAAGRycy9kb3ducmV2LnhtbESP0YrCMBRE3xf8h3AF39Z0BXXpmpZFEBUfxOoHXJq7&#10;bdnmpjbRVr/eCIKPw8ycYRZpb2pxpdZVlhV8jSMQxLnVFRcKTsfV5zcI55E11pZJwY0cpMngY4Gx&#10;th0f6Jr5QgQIuxgVlN43sZQuL8mgG9uGOHh/tjXog2wLqVvsAtzUchJFM2mw4rBQYkPLkvL/7GIU&#10;7Ipsvz7t5lqej9tuXjXZnfRNqdGw//0B4an37/CrvdEKpvC8Em6A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wCRwgAAANoAAAAPAAAAAAAAAAAAAAAAAJgCAABkcnMvZG93&#10;bnJldi54bWxQSwUGAAAAAAQABAD1AAAAhwMAAAAA&#10;" fillcolor="#4578b5" stroked="f">
                  <v:textbox style="mso-fit-shape-to-text:t" inset="1mm,0,1mm,0">
                    <w:txbxContent>
                      <w:p w:rsidR="00090ED8" w:rsidRPr="008E4AD4" w:rsidRDefault="00090ED8" w:rsidP="008E4AD4">
                        <w:pPr>
                          <w:spacing w:before="0"/>
                          <w:jc w:val="center"/>
                          <w:rPr>
                            <w:rFonts w:asciiTheme="minorHAnsi" w:hAnsiTheme="minorHAnsi"/>
                            <w:sz w:val="16"/>
                            <w:szCs w:val="16"/>
                            <w:lang w:val="es-ES_tradnl"/>
                          </w:rPr>
                        </w:pPr>
                        <w:r w:rsidRPr="008E4AD4">
                          <w:rPr>
                            <w:rFonts w:asciiTheme="minorHAnsi" w:eastAsia="Batang" w:hAnsiTheme="minorHAnsi"/>
                            <w:sz w:val="16"/>
                            <w:szCs w:val="16"/>
                            <w:lang w:val="es-ES_tradnl"/>
                          </w:rPr>
                          <w:t xml:space="preserve">Fuentes de energía </w:t>
                        </w:r>
                        <w:r>
                          <w:rPr>
                            <w:rFonts w:asciiTheme="minorHAnsi" w:eastAsia="Batang" w:hAnsiTheme="minorHAnsi"/>
                            <w:sz w:val="16"/>
                            <w:szCs w:val="16"/>
                            <w:lang w:val="es-ES_tradnl"/>
                          </w:rPr>
                          <w:t>renovable:</w:t>
                        </w:r>
                        <w:r w:rsidRPr="008E4AD4">
                          <w:rPr>
                            <w:rFonts w:asciiTheme="minorHAnsi" w:eastAsia="Batang" w:hAnsiTheme="minorHAnsi"/>
                            <w:sz w:val="16"/>
                            <w:szCs w:val="16"/>
                            <w:lang w:val="es-ES_tradnl"/>
                          </w:rPr>
                          <w:t xml:space="preserve"> </w:t>
                        </w:r>
                        <w:r>
                          <w:rPr>
                            <w:rFonts w:asciiTheme="minorHAnsi" w:eastAsia="Batang" w:hAnsiTheme="minorHAnsi"/>
                            <w:sz w:val="16"/>
                            <w:szCs w:val="16"/>
                            <w:lang w:val="es-ES_tradnl"/>
                          </w:rPr>
                          <w:t>74,6%</w:t>
                        </w:r>
                      </w:p>
                    </w:txbxContent>
                  </v:textbox>
                </v:shape>
                <v:shape id="Text Box 6" o:spid="_x0000_s1032" type="#_x0000_t202" style="position:absolute;left:47389;top:12324;width:3683;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8ZMMA&#10;AADaAAAADwAAAGRycy9kb3ducmV2LnhtbESPT2vCQBTE74V+h+UVvBTd1IOE6CpaKPQgBf8geHtk&#10;n0kw+zbJPjV++64geBxm5jfMbNG7Wl2pC5VnA1+jBBRx7m3FhYH97meYggqCbLH2TAbuFGAxf3+b&#10;YWb9jTd03UqhIoRDhgZKkSbTOuQlOQwj3xBH7+Q7hxJlV2jb4S3CXa3HSTLRDiuOCyU29F1Sft5e&#10;nIFDK+kxPeKqQhmv/e7y2d7bP2MGH/1yCkqol1f42f61BibwuBJvg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I8ZMMAAADaAAAADwAAAAAAAAAAAAAAAACYAgAAZHJzL2Rv&#10;d25yZXYueG1sUEsFBgAAAAAEAAQA9QAAAIgDAAAAAA==&#10;" fillcolor="#4578b5" stroked="f">
                  <v:textbox inset="1mm,0,1mm,0">
                    <w:txbxContent>
                      <w:p w:rsidR="00090ED8" w:rsidRPr="008E4AD4" w:rsidRDefault="00090ED8" w:rsidP="008E4AD4">
                        <w:pPr>
                          <w:spacing w:before="0"/>
                          <w:jc w:val="center"/>
                          <w:rPr>
                            <w:rFonts w:asciiTheme="minorHAnsi" w:hAnsiTheme="minorHAnsi"/>
                            <w:sz w:val="10"/>
                            <w:szCs w:val="10"/>
                            <w:lang w:val="es-ES_tradnl"/>
                          </w:rPr>
                        </w:pPr>
                        <w:r>
                          <w:rPr>
                            <w:rFonts w:asciiTheme="minorHAnsi" w:eastAsia="Batang" w:hAnsiTheme="minorHAnsi"/>
                            <w:sz w:val="10"/>
                            <w:szCs w:val="10"/>
                            <w:lang w:val="es-ES_tradnl"/>
                          </w:rPr>
                          <w:t xml:space="preserve">Hidráulica </w:t>
                        </w:r>
                        <w:r>
                          <w:rPr>
                            <w:rFonts w:asciiTheme="minorHAnsi" w:eastAsia="Batang" w:hAnsiTheme="minorHAnsi"/>
                            <w:sz w:val="10"/>
                            <w:szCs w:val="10"/>
                            <w:lang w:val="es-ES_tradnl"/>
                          </w:rPr>
                          <w:br/>
                          <w:t>88%</w:t>
                        </w:r>
                      </w:p>
                    </w:txbxContent>
                  </v:textbox>
                </v:shape>
                <v:shape id="Text Box 7" o:spid="_x0000_s1033" type="#_x0000_t202" style="position:absolute;left:50570;top:5883;width:3676;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3sQA&#10;AADaAAAADwAAAGRycy9kb3ducmV2LnhtbESPQWvCQBSE74L/YXmFXqTZKJhK6iqtWLBQENNSry/Z&#10;1ySYfRuyq4n/vlsQPA4z3wyzXA+mERfqXG1ZwTSKQRAXVtdcKvj+en9agHAeWWNjmRRcycF6NR4t&#10;MdW25wNdMl+KUMIuRQWV920qpSsqMugi2xIH79d2Bn2QXSl1h30oN42cxXEiDdYcFipsaVNRccrO&#10;RsHzftgm17fzUfaT5Pjzucg/5jJX6vFheH0B4Wnw9/CN3unAwf+Vc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rnN7EAAAA2gAAAA8AAAAAAAAAAAAAAAAAmAIAAGRycy9k&#10;b3ducmV2LnhtbFBLBQYAAAAABAAEAPUAAACJAwAAAAA=&#10;" fillcolor="white [3212]" stroked="f">
                  <v:textbox inset="1mm,0,1mm,0">
                    <w:txbxContent>
                      <w:p w:rsidR="00090ED8" w:rsidRPr="008E4AD4" w:rsidRDefault="00090ED8" w:rsidP="008E4AD4">
                        <w:pPr>
                          <w:spacing w:before="0"/>
                          <w:jc w:val="center"/>
                          <w:rPr>
                            <w:rFonts w:asciiTheme="minorHAnsi" w:hAnsiTheme="minorHAnsi"/>
                            <w:sz w:val="10"/>
                            <w:szCs w:val="10"/>
                            <w:lang w:val="es-ES_tradnl"/>
                          </w:rPr>
                        </w:pPr>
                        <w:r>
                          <w:rPr>
                            <w:rFonts w:asciiTheme="minorHAnsi" w:eastAsia="Batang" w:hAnsiTheme="minorHAnsi"/>
                            <w:sz w:val="10"/>
                            <w:szCs w:val="10"/>
                            <w:lang w:val="es-ES_tradnl"/>
                          </w:rPr>
                          <w:t>Otras</w:t>
                        </w:r>
                        <w:r>
                          <w:rPr>
                            <w:rFonts w:asciiTheme="minorHAnsi" w:eastAsia="Batang" w:hAnsiTheme="minorHAnsi"/>
                            <w:sz w:val="10"/>
                            <w:szCs w:val="10"/>
                            <w:lang w:val="es-ES_tradnl"/>
                          </w:rPr>
                          <w:br/>
                          <w:t>3%</w:t>
                        </w:r>
                      </w:p>
                    </w:txbxContent>
                  </v:textbox>
                </v:shape>
                <v:shape id="Text Box 8" o:spid="_x0000_s1034" type="#_x0000_t202" style="position:absolute;left:45004;top:5406;width:330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IrMIA&#10;AADaAAAADwAAAGRycy9kb3ducmV2LnhtbERPy2rCQBTdC/2H4Ra6KTppoVHSjGJLBQsF8YFubzK3&#10;STBzJ2QmD/++syi4PJx3uhpNLXpqXWVZwcssAkGcW11xoeB03EwXIJxH1lhbJgU3crBaPkxSTLQd&#10;eE/9wRcihLBLUEHpfZNI6fKSDLqZbYgD92tbgz7AtpC6xSGEm1q+RlEsDVYcGkps6LOk/HrojIL5&#10;bvyKbx/dRQ7P8eX8s8i+32Sm1NPjuH4H4Wn0d/G/e6sVhK3hSrg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AiswgAAANoAAAAPAAAAAAAAAAAAAAAAAJgCAABkcnMvZG93&#10;bnJldi54bWxQSwUGAAAAAAQABAD1AAAAhwMAAAAA&#10;" fillcolor="white [3212]" stroked="f">
                  <v:textbox inset="1mm,0,1mm,0">
                    <w:txbxContent>
                      <w:p w:rsidR="00090ED8" w:rsidRPr="008E4AD4" w:rsidRDefault="00090ED8" w:rsidP="008E4AD4">
                        <w:pPr>
                          <w:spacing w:before="0"/>
                          <w:jc w:val="center"/>
                          <w:rPr>
                            <w:rFonts w:asciiTheme="minorHAnsi" w:hAnsiTheme="minorHAnsi"/>
                            <w:sz w:val="10"/>
                            <w:szCs w:val="10"/>
                            <w:lang w:val="es-ES_tradnl"/>
                          </w:rPr>
                        </w:pPr>
                        <w:r>
                          <w:rPr>
                            <w:rFonts w:asciiTheme="minorHAnsi" w:eastAsia="Batang" w:hAnsiTheme="minorHAnsi"/>
                            <w:sz w:val="10"/>
                            <w:szCs w:val="10"/>
                            <w:lang w:val="es-ES_tradnl"/>
                          </w:rPr>
                          <w:t>Solar</w:t>
                        </w:r>
                        <w:r>
                          <w:rPr>
                            <w:rFonts w:asciiTheme="minorHAnsi" w:eastAsia="Batang" w:hAnsiTheme="minorHAnsi"/>
                            <w:sz w:val="10"/>
                            <w:szCs w:val="10"/>
                            <w:lang w:val="es-ES_tradnl"/>
                          </w:rPr>
                          <w:br/>
                          <w:t>0,35%</w:t>
                        </w:r>
                      </w:p>
                    </w:txbxContent>
                  </v:textbox>
                </v:shape>
                <v:shape id="Text Box 9" o:spid="_x0000_s1035" type="#_x0000_t202" style="position:absolute;left:40233;top:5406;width:3931;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tN8YA&#10;AADaAAAADwAAAGRycy9kb3ducmV2LnhtbESP3WrCQBSE7wt9h+UUelN0Y8FU06yipYIFofiD3p5k&#10;T5Ng9mzIria+vVso9HKYmW+YdN6bWlypdZVlBaNhBII4t7riQsFhvxpMQDiPrLG2TApu5GA+e3xI&#10;MdG24y1dd74QAcIuQQWl900ipctLMuiGtiEO3o9tDfog20LqFrsAN7V8jaJYGqw4LJTY0EdJ+Xl3&#10;MQrevvvP+La8nGT3Ep+Om0n2NZaZUs9P/eIdhKfe/4f/2mutYAq/V8IN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itN8YAAADaAAAADwAAAAAAAAAAAAAAAACYAgAAZHJz&#10;L2Rvd25yZXYueG1sUEsFBgAAAAAEAAQA9QAAAIsDAAAAAA==&#10;" fillcolor="white [3212]" stroked="f">
                  <v:textbox inset="1mm,0,1mm,0">
                    <w:txbxContent>
                      <w:p w:rsidR="00090ED8" w:rsidRPr="008E4AD4" w:rsidRDefault="00090ED8" w:rsidP="008E4AD4">
                        <w:pPr>
                          <w:spacing w:before="0"/>
                          <w:jc w:val="center"/>
                          <w:rPr>
                            <w:rFonts w:asciiTheme="minorHAnsi" w:hAnsiTheme="minorHAnsi"/>
                            <w:sz w:val="10"/>
                            <w:szCs w:val="10"/>
                            <w:lang w:val="es-ES_tradnl"/>
                          </w:rPr>
                        </w:pPr>
                        <w:r>
                          <w:rPr>
                            <w:rFonts w:asciiTheme="minorHAnsi" w:eastAsia="Batang" w:hAnsiTheme="minorHAnsi"/>
                            <w:sz w:val="10"/>
                            <w:szCs w:val="10"/>
                            <w:lang w:val="es-ES_tradnl"/>
                          </w:rPr>
                          <w:t>Eólica</w:t>
                        </w:r>
                        <w:r>
                          <w:rPr>
                            <w:rFonts w:asciiTheme="minorHAnsi" w:eastAsia="Batang" w:hAnsiTheme="minorHAnsi"/>
                            <w:sz w:val="10"/>
                            <w:szCs w:val="10"/>
                            <w:lang w:val="es-ES_tradnl"/>
                          </w:rPr>
                          <w:br/>
                          <w:t>2,6%</w:t>
                        </w:r>
                      </w:p>
                    </w:txbxContent>
                  </v:textbox>
                </v:shape>
                <v:shape id="Text Box 10" o:spid="_x0000_s1036" type="#_x0000_t202" style="position:absolute;left:38325;top:6997;width:334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rTMYA&#10;AADbAAAADwAAAGRycy9kb3ducmV2LnhtbESPQWvCQBCF74X+h2UKvUjdWDBK6ipaWqggiLbU65id&#10;JsHsbMiuJv575yD0NsN78943s0XvanWhNlSeDYyGCSji3NuKCwM/358vU1AhIlusPZOBKwVYzB8f&#10;ZphZ3/GOLvtYKAnhkKGBMsYm0zrkJTkMQ98Qi/bnW4dR1rbQtsVOwl2tX5Mk1Q4rloYSG3ovKT/t&#10;z87AZNt/pNfV+aC7QXr43UyP67E+GvP81C/fQEXq47/5fv1lBV/o5RcZ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1rTMYAAADbAAAADwAAAAAAAAAAAAAAAACYAgAAZHJz&#10;L2Rvd25yZXYueG1sUEsFBgAAAAAEAAQA9QAAAIsDAAAAAA==&#10;" fillcolor="white [3212]" stroked="f">
                  <v:textbox inset="1mm,0,1mm,0">
                    <w:txbxContent>
                      <w:p w:rsidR="00090ED8" w:rsidRPr="008E4AD4" w:rsidRDefault="00090ED8" w:rsidP="008E4AD4">
                        <w:pPr>
                          <w:spacing w:before="0"/>
                          <w:jc w:val="center"/>
                          <w:rPr>
                            <w:rFonts w:asciiTheme="minorHAnsi" w:hAnsiTheme="minorHAnsi"/>
                            <w:sz w:val="10"/>
                            <w:szCs w:val="10"/>
                            <w:lang w:val="es-ES_tradnl"/>
                          </w:rPr>
                        </w:pPr>
                        <w:r>
                          <w:rPr>
                            <w:rFonts w:asciiTheme="minorHAnsi" w:eastAsia="Batang" w:hAnsiTheme="minorHAnsi"/>
                            <w:sz w:val="10"/>
                            <w:szCs w:val="10"/>
                            <w:lang w:val="es-ES_tradnl"/>
                          </w:rPr>
                          <w:t>Biomasa</w:t>
                        </w:r>
                        <w:r>
                          <w:rPr>
                            <w:rFonts w:asciiTheme="minorHAnsi" w:eastAsia="Batang" w:hAnsiTheme="minorHAnsi"/>
                            <w:sz w:val="10"/>
                            <w:szCs w:val="10"/>
                            <w:lang w:val="es-ES_tradnl"/>
                          </w:rPr>
                          <w:br/>
                          <w:t>7%</w:t>
                        </w:r>
                      </w:p>
                    </w:txbxContent>
                  </v:textbox>
                </v:shape>
                <v:shape id="Text Box 12" o:spid="_x0000_s1037" type="#_x0000_t202" style="position:absolute;left:238;top:7156;width:3226;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oMQA&#10;AADbAAAADwAAAGRycy9kb3ducmV2LnhtbERPTWvCQBC9F/wPywhepNlUMJXUVWypYKEgTUWvk+w0&#10;CWZnQ3Y18d93C0Jv83ifs1wPphFX6lxtWcFTFIMgLqyuuVRw+N4+LkA4j6yxsUwKbuRgvRo9LDHV&#10;tucvuma+FCGEXYoKKu/bVEpXVGTQRbYlDtyP7Qz6ALtS6g77EG4aOYvjRBqsOTRU2NJbRcU5uxgF&#10;z/vhPbm9Xk6ynyan4+ci/5jLXKnJeNi8gPA0+H/x3b3TYf4M/n4J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DUKDEAAAA2wAAAA8AAAAAAAAAAAAAAAAAmAIAAGRycy9k&#10;b3ducmV2LnhtbFBLBQYAAAAABAAEAPUAAACJAwAAAAA=&#10;" fillcolor="white [3212]" stroked="f">
                  <v:textbox inset="1mm,0,1mm,0">
                    <w:txbxContent>
                      <w:p w:rsidR="00090ED8" w:rsidRPr="008E4AD4" w:rsidRDefault="00090ED8" w:rsidP="008E4AD4">
                        <w:pPr>
                          <w:spacing w:before="0"/>
                          <w:jc w:val="center"/>
                          <w:rPr>
                            <w:rFonts w:asciiTheme="minorHAnsi" w:hAnsiTheme="minorHAnsi"/>
                            <w:sz w:val="10"/>
                            <w:szCs w:val="10"/>
                            <w:lang w:val="es-ES_tradnl"/>
                          </w:rPr>
                        </w:pPr>
                        <w:r>
                          <w:rPr>
                            <w:rFonts w:asciiTheme="minorHAnsi" w:eastAsia="Batang" w:hAnsiTheme="minorHAnsi"/>
                            <w:sz w:val="10"/>
                            <w:szCs w:val="10"/>
                            <w:lang w:val="es-ES_tradnl"/>
                          </w:rPr>
                          <w:t>Carbón</w:t>
                        </w:r>
                      </w:p>
                    </w:txbxContent>
                  </v:textbox>
                </v:shape>
                <v:shape id="Text Box 13" o:spid="_x0000_s1038" type="#_x0000_t202" style="position:absolute;left:5247;top:5883;width:3226;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O8MA&#10;AADbAAAADwAAAGRycy9kb3ducmV2LnhtbERP22rCQBB9F/yHZQRfRDe1GCV1lVYsVBCKF/R1zE6T&#10;0OxsyK4m/n1XEPo2h3Od+bI1pbhR7QrLCl5GEQji1OqCMwXHw+dwBsJ5ZI2lZVJwJwfLRbczx0Tb&#10;hnd02/tMhBB2CSrIva8SKV2ak0E3shVx4H5sbdAHWGdS19iEcFPKcRTF0mDBoSHHilY5pb/7q1Ew&#10;/W7X8f3jepbNID6ftrPLZiIvSvV77fsbCE+t/xc/3V86zH+Fxy/h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1O8MAAADbAAAADwAAAAAAAAAAAAAAAACYAgAAZHJzL2Rv&#10;d25yZXYueG1sUEsFBgAAAAAEAAQA9QAAAIgDAAAAAA==&#10;" fillcolor="white [3212]" stroked="f">
                  <v:textbox inset="1mm,0,1mm,0">
                    <w:txbxContent>
                      <w:p w:rsidR="00090ED8" w:rsidRPr="008E4AD4" w:rsidRDefault="00090ED8" w:rsidP="008E4AD4">
                        <w:pPr>
                          <w:spacing w:before="0"/>
                          <w:jc w:val="center"/>
                          <w:rPr>
                            <w:rFonts w:asciiTheme="minorHAnsi" w:hAnsiTheme="minorHAnsi"/>
                            <w:sz w:val="10"/>
                            <w:szCs w:val="10"/>
                            <w:lang w:val="es-ES_tradnl"/>
                          </w:rPr>
                        </w:pPr>
                        <w:r>
                          <w:rPr>
                            <w:rFonts w:asciiTheme="minorHAnsi" w:eastAsia="Batang" w:hAnsiTheme="minorHAnsi"/>
                            <w:sz w:val="10"/>
                            <w:szCs w:val="10"/>
                            <w:lang w:val="es-ES_tradnl"/>
                          </w:rPr>
                          <w:t>Nuclear</w:t>
                        </w:r>
                      </w:p>
                    </w:txbxContent>
                  </v:textbox>
                </v:shape>
                <v:shape id="Text Box 14" o:spid="_x0000_s1039" type="#_x0000_t202" style="position:absolute;left:2067;top:11052;width:3226;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Us6b8A&#10;AADbAAAADwAAAGRycy9kb3ducmV2LnhtbERPTWvCQBC9C/6HZQQvUjdVkTZ1FRUEr1UPHifZMQlm&#10;Z0N2atJ/3xWE3ubxPme16V2tHtSGyrOB92kCijj3tuLCwOV8ePsAFQTZYu2ZDPxSgM16OFhhan3H&#10;3/Q4SaFiCIcUDZQiTap1yEtyGKa+IY7czbcOJcK20LbFLoa7Ws+SZKkdVhwbSmxoX1J+P/04A4td&#10;5bNujpmT6+QSQiaH/vZpzHjUb79ACfXyL365jzbOX8Dzl3iAX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JSzpvwAAANsAAAAPAAAAAAAAAAAAAAAAAJgCAABkcnMvZG93bnJl&#10;di54bWxQSwUGAAAAAAQABAD1AAAAhAMAAAAA&#10;" fillcolor="#bb4643" stroked="f">
                  <v:textbox inset="1mm,0,1mm,0">
                    <w:txbxContent>
                      <w:p w:rsidR="00090ED8" w:rsidRPr="008E4AD4" w:rsidRDefault="00090ED8" w:rsidP="008E4AD4">
                        <w:pPr>
                          <w:spacing w:before="0"/>
                          <w:jc w:val="center"/>
                          <w:rPr>
                            <w:rFonts w:asciiTheme="minorHAnsi" w:hAnsiTheme="minorHAnsi"/>
                            <w:sz w:val="10"/>
                            <w:szCs w:val="10"/>
                            <w:lang w:val="es-ES_tradnl"/>
                          </w:rPr>
                        </w:pPr>
                        <w:r>
                          <w:rPr>
                            <w:rFonts w:asciiTheme="minorHAnsi" w:eastAsia="Batang" w:hAnsiTheme="minorHAnsi"/>
                            <w:sz w:val="10"/>
                            <w:szCs w:val="10"/>
                            <w:lang w:val="es-ES_tradnl"/>
                          </w:rPr>
                          <w:t>Petróleo</w:t>
                        </w:r>
                      </w:p>
                    </w:txbxContent>
                  </v:textbox>
                </v:shape>
                <v:shape id="Text Box 15" o:spid="_x0000_s1040" type="#_x0000_t202" style="position:absolute;left:11052;top:11290;width:3226;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c7sEA&#10;AADbAAAADwAAAGRycy9kb3ducmV2LnhtbERPTWvCQBC9F/wPywheim4qtIToKloQPEhBLQVvQ3ZM&#10;gtnZJDtq/PfdgtDbPN7nzJe9q9WNulB5NvA2SUAR595WXBj4Pm7GKaggyBZrz2TgQQGWi8HLHDPr&#10;77yn20EKFUM4ZGigFGkyrUNeksMw8Q1x5M6+cygRdoW2Hd5juKv1NEk+tMOKY0OJDX2WlF8OV2fg&#10;p5X0lJ5wXaFMd/54fW0f7Zcxo2G/moES6uVf/HRvbZz/Dn+/xAP0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XO7BAAAA2wAAAA8AAAAAAAAAAAAAAAAAmAIAAGRycy9kb3du&#10;cmV2LnhtbFBLBQYAAAAABAAEAPUAAACGAwAAAAA=&#10;" fillcolor="#4578b5" stroked="f">
                  <v:textbox inset="1mm,0,1mm,0">
                    <w:txbxContent>
                      <w:p w:rsidR="00090ED8" w:rsidRPr="008E4AD4" w:rsidRDefault="00090ED8" w:rsidP="008E4AD4">
                        <w:pPr>
                          <w:spacing w:before="0"/>
                          <w:jc w:val="center"/>
                          <w:rPr>
                            <w:rFonts w:asciiTheme="minorHAnsi" w:hAnsiTheme="minorHAnsi"/>
                            <w:sz w:val="10"/>
                            <w:szCs w:val="10"/>
                            <w:lang w:val="es-ES_tradnl"/>
                          </w:rPr>
                        </w:pPr>
                        <w:r>
                          <w:rPr>
                            <w:rFonts w:asciiTheme="minorHAnsi" w:eastAsia="Batang" w:hAnsiTheme="minorHAnsi"/>
                            <w:sz w:val="10"/>
                            <w:szCs w:val="10"/>
                            <w:lang w:val="es-ES_tradnl"/>
                          </w:rPr>
                          <w:t>Gas</w:t>
                        </w:r>
                        <w:r>
                          <w:rPr>
                            <w:rFonts w:asciiTheme="minorHAnsi" w:eastAsia="Batang" w:hAnsiTheme="minorHAnsi"/>
                            <w:sz w:val="10"/>
                            <w:szCs w:val="10"/>
                            <w:lang w:val="es-ES_tradnl"/>
                          </w:rPr>
                          <w:br/>
                          <w:t>natural</w:t>
                        </w:r>
                      </w:p>
                    </w:txbxContent>
                  </v:textbox>
                </v:shape>
                <v:shape id="Text Box 18" o:spid="_x0000_s1041" type="#_x0000_t202" style="position:absolute;left:19242;width:1924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b9cQA&#10;AADbAAAADwAAAGRycy9kb3ducmV2LnhtbESPQWvCQBCF7wX/wzJCb3VjsBKiq4ggCqWH2nofs2MS&#10;zM7G7BrT/vrOodDbDO/Ne98s14NrVE9dqD0bmE4SUMSFtzWXBr4+dy8ZqBCRLTaeycA3BVivRk9L&#10;zK1/8Af1x1gqCeGQo4EqxjbXOhQVOQwT3xKLdvGdwyhrV2rb4UPCXaPTJJlrhzVLQ4UtbSsqrse7&#10;MzBP+306e/1pb6fk7X2bDSc6Z40xz+NhswAVaYj/5r/rgxV8gZVfZ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bW/XEAAAA2wAAAA8AAAAAAAAAAAAAAAAAmAIAAGRycy9k&#10;b3ducmV2LnhtbFBLBQYAAAAABAAEAPUAAACJAwAAAAA=&#10;" stroked="f">
                  <v:textbox inset="1mm,0,1mm,0">
                    <w:txbxContent>
                      <w:p w:rsidR="0029046C" w:rsidRPr="0029046C" w:rsidRDefault="0029046C" w:rsidP="0029046C">
                        <w:pPr>
                          <w:spacing w:before="0"/>
                          <w:jc w:val="center"/>
                          <w:rPr>
                            <w:rFonts w:asciiTheme="minorHAnsi" w:hAnsiTheme="minorHAnsi"/>
                            <w:sz w:val="20"/>
                            <w:lang w:val="es-ES_tradnl"/>
                          </w:rPr>
                        </w:pPr>
                        <w:r w:rsidRPr="0029046C">
                          <w:rPr>
                            <w:rFonts w:asciiTheme="minorHAnsi" w:eastAsia="Batang" w:hAnsiTheme="minorHAnsi"/>
                            <w:sz w:val="20"/>
                            <w:lang w:val="es-ES_tradnl"/>
                          </w:rPr>
                          <w:t>Consumo total en 2014: 624,3 TWh</w:t>
                        </w:r>
                      </w:p>
                    </w:txbxContent>
                  </v:textbox>
                </v:shape>
              </v:group>
            </w:pict>
          </mc:Fallback>
        </mc:AlternateContent>
      </w:r>
      <w:r w:rsidR="00A87E27" w:rsidRPr="00EE026E">
        <w:rPr>
          <w:rFonts w:eastAsia="Batang"/>
          <w:noProof/>
          <w:lang w:val="en-GB" w:eastAsia="zh-CN"/>
        </w:rPr>
        <w:drawing>
          <wp:inline distT="0" distB="0" distL="0" distR="0" wp14:anchorId="0D6CB329" wp14:editId="1E21EB96">
            <wp:extent cx="5580618" cy="1888786"/>
            <wp:effectExtent l="0" t="0" r="1270" b="0"/>
            <wp:docPr id="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93407" cy="1893114"/>
                    </a:xfrm>
                    <a:prstGeom prst="rect">
                      <a:avLst/>
                    </a:prstGeom>
                    <a:noFill/>
                    <a:ln>
                      <a:noFill/>
                    </a:ln>
                  </pic:spPr>
                </pic:pic>
              </a:graphicData>
            </a:graphic>
          </wp:inline>
        </w:drawing>
      </w:r>
    </w:p>
    <w:p w:rsidR="00A87E27" w:rsidRPr="009D06C9" w:rsidRDefault="00A87E27" w:rsidP="00A87E27">
      <w:pPr>
        <w:rPr>
          <w:rFonts w:eastAsia="Batang"/>
          <w:lang w:val="es-ES_tradnl"/>
        </w:rPr>
      </w:pPr>
      <w:r w:rsidRPr="009D06C9">
        <w:rPr>
          <w:rFonts w:eastAsia="Batang"/>
          <w:lang w:val="es-ES_tradnl"/>
        </w:rPr>
        <w:t>El consumo medio en Brasil es de 68 GW con crestas de más de 80 GW. Hace poco, el sector eléctrico informó de que prevé que el consumo aumentará aproximadamente un 44%, por lo que es necesario aumentar la eficiencia energética del sistema eléctrico.</w:t>
      </w:r>
    </w:p>
    <w:p w:rsidR="00A87E27" w:rsidRPr="009D06C9" w:rsidRDefault="00A87E27" w:rsidP="00A87E27">
      <w:pPr>
        <w:rPr>
          <w:rFonts w:eastAsia="Batang"/>
          <w:lang w:val="es-ES_tradnl"/>
        </w:rPr>
      </w:pPr>
      <w:r w:rsidRPr="009D06C9">
        <w:rPr>
          <w:rFonts w:eastAsia="Batang"/>
          <w:lang w:val="es-ES_tradnl"/>
        </w:rPr>
        <w:t xml:space="preserve">En la primera etapa de este proceso, el Ministerio considera prioritario reducir las pérdidas técnicas y no técnicas de los sistemas energéticos. Las pérdidas técnicas del sistema de transmisión y el sistema </w:t>
      </w:r>
      <w:r w:rsidRPr="009D06C9">
        <w:rPr>
          <w:rFonts w:eastAsia="Batang"/>
          <w:lang w:val="es-ES_tradnl"/>
        </w:rPr>
        <w:lastRenderedPageBreak/>
        <w:t>de distribución son respectivamente del 5% y 7%. Además, las pérdidas no técnicas, tales como conexiones no autorizadas a los sistemas de distribución representan hasta el 7%.</w:t>
      </w:r>
    </w:p>
    <w:p w:rsidR="00A87E27" w:rsidRPr="009D06C9" w:rsidRDefault="00A87E27" w:rsidP="00A87E27">
      <w:pPr>
        <w:rPr>
          <w:rFonts w:eastAsia="Batang"/>
          <w:lang w:val="es-ES_tradnl"/>
        </w:rPr>
      </w:pPr>
      <w:r w:rsidRPr="009D06C9">
        <w:rPr>
          <w:rFonts w:eastAsia="Batang"/>
          <w:lang w:val="es-ES_tradnl"/>
        </w:rPr>
        <w:t>Con esas cifras, cabe suponer que Brasil tendrá grandes dificultades para desarrollar un sistema energético que aumente la eficiencia y reduzca perdidas.</w:t>
      </w:r>
    </w:p>
    <w:p w:rsidR="00A87E27" w:rsidRPr="009D06C9" w:rsidRDefault="00A87E27" w:rsidP="00A87E27">
      <w:pPr>
        <w:pStyle w:val="Heading2"/>
        <w:rPr>
          <w:rFonts w:eastAsia="Batang"/>
          <w:lang w:val="es-ES_tradnl"/>
        </w:rPr>
      </w:pPr>
      <w:bookmarkStart w:id="72" w:name="_Toc421882724"/>
      <w:bookmarkStart w:id="73" w:name="_Toc498004374"/>
      <w:r w:rsidRPr="009D06C9">
        <w:rPr>
          <w:rFonts w:eastAsia="Batang"/>
          <w:lang w:val="es-ES_tradnl"/>
        </w:rPr>
        <w:t>A4.3</w:t>
      </w:r>
      <w:r w:rsidRPr="009D06C9">
        <w:rPr>
          <w:rFonts w:eastAsia="Batang"/>
          <w:lang w:val="es-ES_tradnl"/>
        </w:rPr>
        <w:tab/>
      </w:r>
      <w:bookmarkEnd w:id="72"/>
      <w:r w:rsidRPr="009D06C9">
        <w:rPr>
          <w:rFonts w:eastAsia="Batang"/>
          <w:lang w:val="es-ES_tradnl"/>
        </w:rPr>
        <w:t>Comisión de Estudio sobre la red inteligente brasileña</w:t>
      </w:r>
      <w:bookmarkEnd w:id="73"/>
    </w:p>
    <w:p w:rsidR="00A87E27" w:rsidRPr="009D06C9" w:rsidRDefault="00A87E27" w:rsidP="00A87E27">
      <w:pPr>
        <w:rPr>
          <w:rFonts w:eastAsia="Batang"/>
          <w:lang w:val="es-ES_tradnl"/>
        </w:rPr>
      </w:pPr>
      <w:r w:rsidRPr="009D06C9">
        <w:rPr>
          <w:rFonts w:eastAsia="Batang"/>
          <w:lang w:val="es-ES_tradnl"/>
        </w:rPr>
        <w:t>A fin de comprender el concepto de red inteligente, en mayo de 2010 el Ministerio de Minas y Energía creo una Comisión de Estudio integrada por miembros de los sectores de la electricidad y las telecomunicaciones. Uno de los objetivos de ese grupo es evaluar las posibilidades de aplicar ese concepto en la red energética brasileña para aumentar la eficiencia del sistema.</w:t>
      </w:r>
    </w:p>
    <w:p w:rsidR="00A87E27" w:rsidRPr="009D06C9" w:rsidRDefault="00A87E27" w:rsidP="00A87E27">
      <w:pPr>
        <w:rPr>
          <w:rFonts w:eastAsia="Batang"/>
          <w:lang w:val="es-ES_tradnl"/>
        </w:rPr>
      </w:pPr>
      <w:r w:rsidRPr="009D06C9">
        <w:rPr>
          <w:rFonts w:eastAsia="Batang"/>
          <w:lang w:val="es-ES_tradnl"/>
        </w:rPr>
        <w:t>A mediados de marzo de 2011 se presentó un informe al Ministerio de Minas y Energía sobre la situación de esa tecnología. El informe contiene información sobre los conceptos de red inteligente e información técnica sobre cuestiones económicas, de facturación y telecomunicaciones.</w:t>
      </w:r>
    </w:p>
    <w:p w:rsidR="00A87E27" w:rsidRPr="009D06C9" w:rsidRDefault="00A87E27" w:rsidP="00A87E27">
      <w:pPr>
        <w:rPr>
          <w:rFonts w:eastAsia="Batang"/>
          <w:lang w:val="es-ES_tradnl"/>
        </w:rPr>
      </w:pPr>
      <w:r w:rsidRPr="009D06C9">
        <w:rPr>
          <w:rFonts w:eastAsia="Batang"/>
          <w:lang w:val="es-ES_tradnl"/>
        </w:rPr>
        <w:t>En lo que hace a las telecomunicaciones, en el estudio se tuvieron en cuenta los recursos y tecnologías disponibles en Brasil y los tipos de tecnologías utilizados en otros países que se podrían aplicar en Brasil. El Gobierno brasileño, en su estrategia inicial, se interesa especialmente por el despliegue de una infraestructura de medición avanzada.</w:t>
      </w:r>
    </w:p>
    <w:p w:rsidR="00A87E27" w:rsidRPr="009D06C9" w:rsidRDefault="00A87E27" w:rsidP="00A87E27">
      <w:pPr>
        <w:rPr>
          <w:rFonts w:eastAsia="Batang"/>
          <w:lang w:val="es-ES_tradnl"/>
        </w:rPr>
      </w:pPr>
      <w:r w:rsidRPr="009D06C9">
        <w:rPr>
          <w:rFonts w:eastAsia="Batang"/>
          <w:lang w:val="es-ES_tradnl"/>
        </w:rPr>
        <w:t>En el marco de ese estudio, un grupo técnico visitó Estados Unidos en octubre de 2010 para reunir información sobre la red inteligente. Se observó que, en general, casi todas las tecnologías de telecomunicaciones desplegadas en apoyo de funcionalidades de red inteligente se podrían aplicar en Brasil.</w:t>
      </w:r>
    </w:p>
    <w:p w:rsidR="00A87E27" w:rsidRPr="009D06C9" w:rsidRDefault="00A87E27" w:rsidP="00A87E27">
      <w:pPr>
        <w:rPr>
          <w:rFonts w:eastAsia="Batang"/>
          <w:lang w:val="es-ES_tradnl"/>
        </w:rPr>
      </w:pPr>
      <w:r w:rsidRPr="009D06C9">
        <w:rPr>
          <w:rFonts w:eastAsia="Batang"/>
          <w:lang w:val="es-ES_tradnl"/>
        </w:rPr>
        <w:t>El grupo de estudio ABRADEE/APTEL presentó su informe en diciembre de 2011 a ANEEL (</w:t>
      </w:r>
      <w:r w:rsidRPr="00EE026E">
        <w:rPr>
          <w:lang w:val="es-ES_tradnl"/>
        </w:rPr>
        <w:t>Agência Nacional de Energia Elétrica)</w:t>
      </w:r>
      <w:r w:rsidRPr="009D06C9">
        <w:rPr>
          <w:rFonts w:eastAsia="Batang"/>
          <w:lang w:val="es-ES_tradnl"/>
        </w:rPr>
        <w:t>, el regulador nacional de energía. El estudio se concentró en planificar el despliegue de funcionalidades de red eléctrica inteligente en todo el sector eléctrico brasileño en un plazo de 10 años y prever las inversiones y beneficios relacionados con estas previsiones. El estudio utilizó la base de datos de más de 50 servicios de distribución que están asociados con los líderes del proyecto y las previsiones se basan en la situación real de empresas brasileñas.</w:t>
      </w:r>
    </w:p>
    <w:p w:rsidR="00A87E27" w:rsidRPr="009D06C9" w:rsidRDefault="00A87E27" w:rsidP="00A87E27">
      <w:pPr>
        <w:pStyle w:val="Heading2"/>
        <w:rPr>
          <w:rFonts w:eastAsia="Batang"/>
          <w:lang w:val="es-ES_tradnl"/>
        </w:rPr>
      </w:pPr>
      <w:bookmarkStart w:id="74" w:name="_Toc421882725"/>
      <w:bookmarkStart w:id="75" w:name="_Toc498004375"/>
      <w:r w:rsidRPr="009D06C9">
        <w:rPr>
          <w:rFonts w:eastAsia="Batang"/>
          <w:lang w:val="es-ES_tradnl"/>
        </w:rPr>
        <w:t>A4.4</w:t>
      </w:r>
      <w:r w:rsidRPr="009D06C9">
        <w:rPr>
          <w:rFonts w:eastAsia="Batang"/>
          <w:lang w:val="es-ES_tradnl"/>
        </w:rPr>
        <w:tab/>
      </w:r>
      <w:bookmarkEnd w:id="74"/>
      <w:r w:rsidRPr="009D06C9">
        <w:rPr>
          <w:rFonts w:eastAsia="Batang"/>
          <w:lang w:val="es-ES_tradnl"/>
        </w:rPr>
        <w:t>Cuestiones de telecomunicaciones</w:t>
      </w:r>
      <w:bookmarkEnd w:id="75"/>
    </w:p>
    <w:p w:rsidR="00A87E27" w:rsidRPr="009D06C9" w:rsidRDefault="00A87E27" w:rsidP="00A87E27">
      <w:pPr>
        <w:rPr>
          <w:rFonts w:eastAsia="Batang"/>
          <w:lang w:val="es-ES_tradnl"/>
        </w:rPr>
      </w:pPr>
      <w:r w:rsidRPr="009D06C9">
        <w:rPr>
          <w:rFonts w:eastAsia="Batang"/>
          <w:lang w:val="es-ES_tradnl"/>
        </w:rPr>
        <w:t xml:space="preserve">Se ha observado que se pueden aplicar varios tipos de tecnologías de telecomunicaciones para el mismo fin. Por ejemplo, </w:t>
      </w:r>
      <w:r w:rsidRPr="009D06C9">
        <w:rPr>
          <w:rFonts w:eastAsia="Batang"/>
          <w:i/>
          <w:iCs/>
          <w:lang w:val="es-ES_tradnl"/>
        </w:rPr>
        <w:t>Zig-Bee</w:t>
      </w:r>
      <w:r w:rsidRPr="009D06C9">
        <w:rPr>
          <w:rFonts w:eastAsia="Batang"/>
          <w:lang w:val="es-ES_tradnl"/>
        </w:rPr>
        <w:t xml:space="preserve"> y </w:t>
      </w:r>
      <w:r w:rsidRPr="009D06C9">
        <w:rPr>
          <w:rFonts w:eastAsia="Batang"/>
          <w:i/>
          <w:iCs/>
          <w:lang w:val="es-ES_tradnl"/>
        </w:rPr>
        <w:t>Mesh Grid</w:t>
      </w:r>
      <w:r w:rsidRPr="009D06C9">
        <w:rPr>
          <w:rFonts w:eastAsia="Batang"/>
          <w:lang w:val="es-ES_tradnl"/>
        </w:rPr>
        <w:t xml:space="preserve"> se pueden utilizar para leer los contadores de consumo energético de los usuarios. Para las conexiones al núcleo de red se puede utilizar </w:t>
      </w:r>
      <w:r w:rsidRPr="009D06C9">
        <w:rPr>
          <w:rFonts w:eastAsia="Batang"/>
          <w:i/>
          <w:iCs/>
          <w:lang w:val="es-ES_tradnl"/>
        </w:rPr>
        <w:t>WiMax</w:t>
      </w:r>
      <w:r w:rsidRPr="009D06C9">
        <w:rPr>
          <w:rFonts w:eastAsia="Batang"/>
          <w:lang w:val="es-ES_tradnl"/>
        </w:rPr>
        <w:t>, GPRS, 3G, 4G etc. Cada solución depende de aspectos técnicos como espectro d</w:t>
      </w:r>
      <w:r w:rsidR="006762E4">
        <w:rPr>
          <w:rFonts w:eastAsia="Batang"/>
          <w:lang w:val="es-ES_tradnl"/>
        </w:rPr>
        <w:t>isponible, propagación, caudal, </w:t>
      </w:r>
      <w:r w:rsidRPr="009D06C9">
        <w:rPr>
          <w:rFonts w:eastAsia="Batang"/>
          <w:lang w:val="es-ES_tradnl"/>
        </w:rPr>
        <w:t>etc.</w:t>
      </w:r>
    </w:p>
    <w:p w:rsidR="00A87E27" w:rsidRPr="009D06C9" w:rsidRDefault="00A87E27" w:rsidP="00A87E27">
      <w:pPr>
        <w:rPr>
          <w:rFonts w:eastAsia="Batang"/>
          <w:lang w:val="es-ES_tradnl"/>
        </w:rPr>
      </w:pPr>
      <w:r w:rsidRPr="009D06C9">
        <w:rPr>
          <w:rFonts w:eastAsia="Batang"/>
          <w:lang w:val="es-ES_tradnl"/>
        </w:rPr>
        <w:t>Actualmente sigue habiendo dudas acerca del caudal de conexión al núcleo de red necesario para aplicaciones de red inteligente. Es indudable que esa información es estratégica en los proyectos de red inteligente, a fin de poder elegir la solución adecuada y las necesidades de recursos de espectro como ancho de banda, límites de interferencia perjudicial causada a otros servicios, límites de potencia y aspectos de propagación. Hasta la fecha no ha habido ningún estudio sobre requisitos de sistemas de telecomunicaciones que se puedan aplicar a redes inteligentes.</w:t>
      </w:r>
    </w:p>
    <w:p w:rsidR="00A87E27" w:rsidRPr="009D06C9" w:rsidRDefault="00A87E27" w:rsidP="00A87E27">
      <w:pPr>
        <w:rPr>
          <w:rFonts w:eastAsia="Batang"/>
          <w:lang w:val="es-ES_tradnl"/>
        </w:rPr>
      </w:pPr>
      <w:r w:rsidRPr="009D06C9">
        <w:rPr>
          <w:rFonts w:eastAsia="Batang"/>
          <w:lang w:val="es-ES_tradnl"/>
        </w:rPr>
        <w:t>Estamos interesados en técnicas de medición de campo eléctrico en la utilización de comunicaciones por línea eléctrica en banda de ondas kilométricas en aplicaciones de red inteligente. Hace poco, varias empresas brasileñas han expresado interés en la certificación de equipos de comunicación por línea eléctrica con portadoras de unos 80 kHz con 20 kHz de banda para medición inteligente. Las emisiones alrededor de esa frecuencia están limitadas por normativa y el límite de campo eléctrico indicado corresponde a mediciones tomadas a 300 m de la fuente.</w:t>
      </w:r>
    </w:p>
    <w:p w:rsidR="00A87E27" w:rsidRPr="009D06C9" w:rsidRDefault="00A87E27" w:rsidP="00A87E27">
      <w:pPr>
        <w:rPr>
          <w:rFonts w:eastAsia="Batang"/>
          <w:lang w:val="es-ES_tradnl"/>
        </w:rPr>
      </w:pPr>
      <w:r w:rsidRPr="009D06C9">
        <w:rPr>
          <w:rFonts w:eastAsia="Batang"/>
          <w:lang w:val="es-ES_tradnl"/>
        </w:rPr>
        <w:lastRenderedPageBreak/>
        <w:t>El estudio de ABRADEE/APTEL ha estimado que se requiere una inversión de unos 19 000 millones de «reais» en activos de telecomunicaciones y 3 000 millones de «reais» en activos de tecnologías de la información para desplegar las funcionalidades básicas de red eléctrica inteligente, como medición inteligente, red de distribución automática, autoreparación, fuentes renovables de generación distribuidas y vehículos eléctricos.</w:t>
      </w:r>
    </w:p>
    <w:p w:rsidR="00A87E27" w:rsidRPr="009D06C9" w:rsidRDefault="00A87E27" w:rsidP="00A87E27">
      <w:pPr>
        <w:rPr>
          <w:rFonts w:eastAsia="Batang"/>
          <w:lang w:val="es-ES_tradnl"/>
        </w:rPr>
      </w:pPr>
      <w:r w:rsidRPr="009D06C9">
        <w:rPr>
          <w:rFonts w:eastAsia="Batang"/>
          <w:lang w:val="es-ES_tradnl"/>
        </w:rPr>
        <w:t>El modelo de referencia para la arquitectura de comunicación utilizada es el propuesto por IEE P2030. La arquitectura propuesta define una jerarquía lógica y una interfaz normalizada para interconexiones interoperables que puede desplegarse mediante tecnologías de red de comunicaciones, como las utilizadas en el estudio: inalámbrica (Wi-Fi 802.11, WIMAX 802.16), GPRS, 3G, MPLS, VPN y fibra óptica y enlaces radioeléctricos para la red de campo (FAN) y para la red de conexión.</w:t>
      </w:r>
    </w:p>
    <w:p w:rsidR="00A87E27" w:rsidRPr="009D06C9" w:rsidRDefault="00A87E27" w:rsidP="00A87E27">
      <w:pPr>
        <w:rPr>
          <w:rFonts w:eastAsia="Batang"/>
          <w:lang w:val="es-ES_tradnl"/>
        </w:rPr>
      </w:pPr>
      <w:r w:rsidRPr="009D06C9">
        <w:rPr>
          <w:rFonts w:eastAsia="Batang"/>
          <w:lang w:val="es-ES_tradnl"/>
        </w:rPr>
        <w:t>Según la investigación realizada sobre las redes de telecomunicaciones existentes en los servicios brasileños, el 69% de los sistemas de la red de conexión utilizan fibra óptica, GPRS es la tecnología dominante en el último kilómetro y el 44% de las empresas utilizan enlaces por microondas (400 MHz a 900 MHz) principalmente para conectar equipos de datos instalados en postes. El 50% aproximadamente de los servicios utilizan líneas dedicadas de operadores de telecomunicaciones públicos.</w:t>
      </w:r>
    </w:p>
    <w:p w:rsidR="00A87E27" w:rsidRPr="009D06C9" w:rsidRDefault="00A87E27" w:rsidP="00A87E27">
      <w:pPr>
        <w:pStyle w:val="Heading2"/>
        <w:rPr>
          <w:rFonts w:eastAsia="Batang"/>
          <w:lang w:val="es-ES_tradnl"/>
        </w:rPr>
      </w:pPr>
      <w:bookmarkStart w:id="76" w:name="_Toc421882726"/>
      <w:bookmarkStart w:id="77" w:name="_Toc498004376"/>
      <w:r w:rsidRPr="009D06C9">
        <w:rPr>
          <w:rFonts w:eastAsia="Batang"/>
          <w:lang w:val="es-ES_tradnl"/>
        </w:rPr>
        <w:t>A4.5</w:t>
      </w:r>
      <w:r w:rsidRPr="009D06C9">
        <w:rPr>
          <w:rFonts w:eastAsia="Batang"/>
          <w:lang w:val="es-ES_tradnl"/>
        </w:rPr>
        <w:tab/>
        <w:t>Datos técnic</w:t>
      </w:r>
      <w:bookmarkEnd w:id="76"/>
      <w:r w:rsidRPr="009D06C9">
        <w:rPr>
          <w:rFonts w:eastAsia="Batang"/>
          <w:lang w:val="es-ES_tradnl"/>
        </w:rPr>
        <w:t>os</w:t>
      </w:r>
      <w:bookmarkEnd w:id="77"/>
    </w:p>
    <w:p w:rsidR="00A87E27" w:rsidRPr="009D06C9" w:rsidRDefault="00A87E27" w:rsidP="00A87E27">
      <w:pPr>
        <w:rPr>
          <w:rFonts w:eastAsia="Batang"/>
          <w:lang w:val="es-ES_tradnl"/>
        </w:rPr>
      </w:pPr>
      <w:r w:rsidRPr="009D06C9">
        <w:rPr>
          <w:rFonts w:eastAsia="Batang"/>
          <w:lang w:val="es-ES_tradnl"/>
        </w:rPr>
        <w:t>Es esencial obtener datos sobre caudal, latencia, resistencia, fiabilidad, etc. de conexión al núcleo de red que se consideren adecuados para red inteligente a fin de planificar los recursos de infraestructura y espectro necesarios y evitar obsolescencias y derroches de recursos.</w:t>
      </w:r>
    </w:p>
    <w:p w:rsidR="00A87E27" w:rsidRPr="009D06C9" w:rsidRDefault="00A87E27" w:rsidP="00A87E27">
      <w:pPr>
        <w:rPr>
          <w:rFonts w:eastAsia="Batang"/>
          <w:lang w:val="es-ES_tradnl"/>
        </w:rPr>
      </w:pPr>
      <w:r w:rsidRPr="009D06C9">
        <w:rPr>
          <w:rFonts w:eastAsia="Batang"/>
          <w:lang w:val="es-ES_tradnl"/>
        </w:rPr>
        <w:t>Utilizando el modelo de información común (CIM) adoptado por el CEI y definido en CEI 61970, el estudio de ABRADEE/APTEL destaca la necesidad de desarrollar una estrategia específica en materia de ciberseguridad en las redes inteligentes, habida cuenta de los posibles riesgos siguientes:</w:t>
      </w:r>
    </w:p>
    <w:p w:rsidR="00A87E27" w:rsidRPr="009D06C9" w:rsidRDefault="00A87E27" w:rsidP="00A87E27">
      <w:pPr>
        <w:pStyle w:val="enumlev1"/>
        <w:rPr>
          <w:lang w:val="es-ES_tradnl"/>
        </w:rPr>
      </w:pPr>
      <w:r w:rsidRPr="009D06C9">
        <w:rPr>
          <w:lang w:val="es-ES_tradnl" w:eastAsia="ja-JP"/>
        </w:rPr>
        <w:t>–</w:t>
      </w:r>
      <w:r w:rsidRPr="009D06C9">
        <w:rPr>
          <w:lang w:val="es-ES_tradnl" w:eastAsia="ja-JP"/>
        </w:rPr>
        <w:tab/>
      </w:r>
      <w:r w:rsidRPr="009D06C9">
        <w:rPr>
          <w:lang w:val="es-ES_tradnl"/>
        </w:rPr>
        <w:t>Elevada complejidad de la red eléctrica.</w:t>
      </w:r>
    </w:p>
    <w:p w:rsidR="00A87E27" w:rsidRPr="009D06C9" w:rsidRDefault="00A87E27" w:rsidP="00A87E27">
      <w:pPr>
        <w:pStyle w:val="enumlev1"/>
        <w:rPr>
          <w:lang w:val="es-ES_tradnl"/>
        </w:rPr>
      </w:pPr>
      <w:r w:rsidRPr="009D06C9">
        <w:rPr>
          <w:lang w:val="es-ES_tradnl" w:eastAsia="ja-JP"/>
        </w:rPr>
        <w:t>–</w:t>
      </w:r>
      <w:r w:rsidRPr="009D06C9">
        <w:rPr>
          <w:lang w:val="es-ES_tradnl" w:eastAsia="ja-JP"/>
        </w:rPr>
        <w:tab/>
        <w:t xml:space="preserve">Nuevas vulnerabilidades </w:t>
      </w:r>
      <w:r w:rsidRPr="009D06C9">
        <w:rPr>
          <w:lang w:val="es-ES_tradnl"/>
        </w:rPr>
        <w:t>de las redes interconectadas.</w:t>
      </w:r>
    </w:p>
    <w:p w:rsidR="00A87E27" w:rsidRPr="009D06C9" w:rsidRDefault="00A87E27" w:rsidP="00A87E27">
      <w:pPr>
        <w:pStyle w:val="enumlev1"/>
        <w:rPr>
          <w:lang w:val="es-ES_tradnl"/>
        </w:rPr>
      </w:pPr>
      <w:r w:rsidRPr="009D06C9">
        <w:rPr>
          <w:lang w:val="es-ES_tradnl" w:eastAsia="ja-JP"/>
        </w:rPr>
        <w:t>–</w:t>
      </w:r>
      <w:r w:rsidRPr="009D06C9">
        <w:rPr>
          <w:lang w:val="es-ES_tradnl" w:eastAsia="ja-JP"/>
        </w:rPr>
        <w:tab/>
      </w:r>
      <w:r w:rsidRPr="009D06C9">
        <w:rPr>
          <w:lang w:val="es-ES_tradnl"/>
        </w:rPr>
        <w:t>Aumento del número de puntos de acceso.</w:t>
      </w:r>
    </w:p>
    <w:p w:rsidR="00A87E27" w:rsidRPr="009D06C9" w:rsidRDefault="00A87E27" w:rsidP="00A87E27">
      <w:pPr>
        <w:pStyle w:val="enumlev1"/>
        <w:rPr>
          <w:lang w:val="es-ES_tradnl"/>
        </w:rPr>
      </w:pPr>
      <w:r w:rsidRPr="009D06C9">
        <w:rPr>
          <w:lang w:val="es-ES_tradnl" w:eastAsia="ja-JP"/>
        </w:rPr>
        <w:t>–</w:t>
      </w:r>
      <w:r w:rsidRPr="009D06C9">
        <w:rPr>
          <w:lang w:val="es-ES_tradnl" w:eastAsia="ja-JP"/>
        </w:rPr>
        <w:tab/>
      </w:r>
      <w:r w:rsidRPr="009D06C9">
        <w:rPr>
          <w:lang w:val="es-ES_tradnl"/>
        </w:rPr>
        <w:t>Protección de la privacidad del consumidor.</w:t>
      </w:r>
    </w:p>
    <w:p w:rsidR="00A87E27" w:rsidRPr="009D06C9" w:rsidRDefault="00A87E27" w:rsidP="00A87E27">
      <w:pPr>
        <w:pStyle w:val="Heading2"/>
        <w:rPr>
          <w:rFonts w:eastAsia="Batang"/>
          <w:lang w:val="es-ES_tradnl"/>
        </w:rPr>
      </w:pPr>
      <w:bookmarkStart w:id="78" w:name="_Toc421882727"/>
      <w:bookmarkStart w:id="79" w:name="_Toc498004377"/>
      <w:r w:rsidRPr="009D06C9">
        <w:rPr>
          <w:rFonts w:eastAsia="Batang"/>
          <w:lang w:val="es-ES_tradnl"/>
        </w:rPr>
        <w:t>A4.6</w:t>
      </w:r>
      <w:r w:rsidRPr="009D06C9">
        <w:rPr>
          <w:rFonts w:eastAsia="Batang"/>
          <w:lang w:val="es-ES_tradnl"/>
        </w:rPr>
        <w:tab/>
      </w:r>
      <w:bookmarkEnd w:id="78"/>
      <w:r w:rsidRPr="009D06C9">
        <w:rPr>
          <w:rFonts w:eastAsia="Batang"/>
          <w:lang w:val="es-ES_tradnl"/>
        </w:rPr>
        <w:t>Mediciones en ondas kilométricas</w:t>
      </w:r>
      <w:bookmarkEnd w:id="79"/>
    </w:p>
    <w:p w:rsidR="00A87E27" w:rsidRPr="009D06C9" w:rsidRDefault="00A87E27" w:rsidP="00A87E27">
      <w:pPr>
        <w:spacing w:before="100"/>
        <w:rPr>
          <w:rFonts w:eastAsia="Batang"/>
          <w:lang w:val="es-ES_tradnl"/>
        </w:rPr>
      </w:pPr>
      <w:r w:rsidRPr="009D06C9">
        <w:rPr>
          <w:rFonts w:eastAsia="Batang"/>
          <w:lang w:val="es-ES_tradnl"/>
        </w:rPr>
        <w:t>Además, a efectos de aplicación de las normativas, a fin de evitar pesadas mediciones de campo eléctrico en zonas urbanas y teniendo en cuenta normativas rigurosas, se reconoce que otros procedimientos tales como la medición de potencia podrían ser menos pesados que utilizar analizadores de espectro conectados a antenas de ondas kilométricas.</w:t>
      </w:r>
    </w:p>
    <w:p w:rsidR="00A87E27" w:rsidRPr="009D06C9" w:rsidRDefault="00A87E27" w:rsidP="00A87E27">
      <w:pPr>
        <w:pStyle w:val="Heading2"/>
        <w:rPr>
          <w:rFonts w:eastAsia="Batang"/>
          <w:lang w:val="es-ES_tradnl"/>
        </w:rPr>
      </w:pPr>
      <w:bookmarkStart w:id="80" w:name="_Toc421882728"/>
      <w:bookmarkStart w:id="81" w:name="_Toc498004378"/>
      <w:r w:rsidRPr="009D06C9">
        <w:rPr>
          <w:rFonts w:eastAsia="Batang"/>
          <w:lang w:val="es-ES_tradnl"/>
        </w:rPr>
        <w:t>A4.7</w:t>
      </w:r>
      <w:r w:rsidRPr="009D06C9">
        <w:rPr>
          <w:rFonts w:eastAsia="Batang"/>
          <w:lang w:val="es-ES_tradnl"/>
        </w:rPr>
        <w:tab/>
        <w:t>Conclusión</w:t>
      </w:r>
      <w:bookmarkEnd w:id="80"/>
      <w:bookmarkEnd w:id="81"/>
    </w:p>
    <w:p w:rsidR="00A87E27" w:rsidRPr="009D06C9" w:rsidRDefault="00A87E27" w:rsidP="00A87E27">
      <w:pPr>
        <w:rPr>
          <w:rFonts w:eastAsia="Batang"/>
          <w:lang w:val="es-ES_tradnl"/>
        </w:rPr>
      </w:pPr>
      <w:r w:rsidRPr="009D06C9">
        <w:rPr>
          <w:rFonts w:eastAsia="Batang"/>
          <w:lang w:val="es-ES_tradnl"/>
        </w:rPr>
        <w:t xml:space="preserve">Dado el carácter estratégico de la instalación de redes inteligentes en países en desarrollo, recabamos contribuciones de otras administraciones sobre los datos técnicos y mediciones en ondas kilométricas mencionados </w:t>
      </w:r>
      <w:r w:rsidRPr="009D06C9">
        <w:rPr>
          <w:rFonts w:eastAsia="Batang"/>
          <w:i/>
          <w:iCs/>
          <w:lang w:val="es-ES_tradnl"/>
        </w:rPr>
        <w:t>supra</w:t>
      </w:r>
      <w:r w:rsidRPr="009D06C9">
        <w:rPr>
          <w:rFonts w:eastAsia="Batang"/>
          <w:lang w:val="es-ES_tradnl"/>
        </w:rPr>
        <w:t>.</w:t>
      </w:r>
    </w:p>
    <w:p w:rsidR="00A87E27" w:rsidRPr="009D06C9" w:rsidRDefault="00A87E27" w:rsidP="00A87E27">
      <w:pPr>
        <w:rPr>
          <w:lang w:val="es-ES_tradnl"/>
        </w:rPr>
      </w:pPr>
      <w:r w:rsidRPr="009D06C9">
        <w:rPr>
          <w:lang w:val="es-ES_tradnl"/>
        </w:rPr>
        <w:t>En cuanto al tamaño y complejidad de la red de telecomunicaciones necesario para dar soporte al despliegue del concepto de red inteligentes en la red eléctrica brasileña, el estudio de ABRADEE/APTEL recomienda, entre otras cosas, un análisis profundo del espectro con el fin de identificar y reservar bandas de frecuencia específicas para aplicaciones en el terreno y en zonas metropolitanas.</w:t>
      </w:r>
    </w:p>
    <w:p w:rsidR="00A87E27" w:rsidRPr="009D06C9" w:rsidRDefault="00A87E27" w:rsidP="00A87E27">
      <w:pPr>
        <w:rPr>
          <w:lang w:val="es-ES_tradnl"/>
        </w:rPr>
      </w:pPr>
    </w:p>
    <w:p w:rsidR="00A87E27" w:rsidRPr="009D06C9" w:rsidRDefault="00A87E27" w:rsidP="00A87E27">
      <w:pPr>
        <w:rPr>
          <w:lang w:val="es-ES_tradnl"/>
        </w:rPr>
      </w:pPr>
    </w:p>
    <w:p w:rsidR="00A87E27" w:rsidRPr="009D06C9" w:rsidRDefault="00A87E27" w:rsidP="00A87E27">
      <w:pPr>
        <w:pStyle w:val="AnnexNoTitle"/>
        <w:rPr>
          <w:lang w:val="es-ES_tradnl"/>
        </w:rPr>
      </w:pPr>
      <w:r w:rsidRPr="009D06C9">
        <w:rPr>
          <w:lang w:val="es-ES_tradnl"/>
        </w:rPr>
        <w:lastRenderedPageBreak/>
        <w:t>Referencias</w:t>
      </w:r>
    </w:p>
    <w:p w:rsidR="00A87E27" w:rsidRPr="009D06C9" w:rsidRDefault="00A87E27" w:rsidP="00A87E27">
      <w:pPr>
        <w:spacing w:before="0"/>
        <w:rPr>
          <w:lang w:val="es-ES_tradnl"/>
        </w:rPr>
      </w:pPr>
    </w:p>
    <w:p w:rsidR="00A87E27" w:rsidRPr="009D06C9" w:rsidRDefault="00A87E27" w:rsidP="00A87E27">
      <w:pPr>
        <w:pStyle w:val="Reftext"/>
        <w:rPr>
          <w:lang w:val="es-ES_tradnl"/>
        </w:rPr>
      </w:pPr>
      <w:r w:rsidRPr="009D06C9">
        <w:rPr>
          <w:lang w:val="es-ES_tradnl"/>
        </w:rPr>
        <w:t>[1]</w:t>
      </w:r>
      <w:r w:rsidRPr="009D06C9">
        <w:rPr>
          <w:lang w:val="es-ES_tradnl"/>
        </w:rPr>
        <w:tab/>
        <w:t>Presentación: Generación distribuida, por Rodrigo Campos de Souza – Seminario de APTEL para la generación de minipotencia y micropotencia– Rio de Janeiro – RJ – 8 de diciembre de 2015.</w:t>
      </w:r>
    </w:p>
    <w:p w:rsidR="00A87E27" w:rsidRPr="009D06C9" w:rsidRDefault="00A87E27" w:rsidP="00A87E27">
      <w:pPr>
        <w:rPr>
          <w:rFonts w:eastAsia="Batang"/>
          <w:lang w:val="es-ES_tradnl"/>
        </w:rPr>
      </w:pPr>
    </w:p>
    <w:p w:rsidR="00A87E27" w:rsidRPr="009D06C9" w:rsidRDefault="00A87E27" w:rsidP="00A87E27">
      <w:pPr>
        <w:rPr>
          <w:rFonts w:eastAsia="Batang"/>
          <w:lang w:val="es-ES_tradnl"/>
        </w:rPr>
      </w:pPr>
    </w:p>
    <w:p w:rsidR="00A87E27" w:rsidRPr="009D06C9" w:rsidRDefault="00A87E27" w:rsidP="00A87E27">
      <w:pPr>
        <w:rPr>
          <w:rFonts w:eastAsia="Batang"/>
          <w:lang w:val="es-ES_tradnl"/>
        </w:rPr>
      </w:pPr>
    </w:p>
    <w:p w:rsidR="00A87E27" w:rsidRPr="009D06C9" w:rsidRDefault="00A87E27" w:rsidP="00A87E27">
      <w:pPr>
        <w:rPr>
          <w:rFonts w:eastAsia="Batang"/>
          <w:lang w:val="es-ES_tradnl"/>
        </w:rPr>
      </w:pPr>
    </w:p>
    <w:p w:rsidR="00A87E27" w:rsidRPr="009D06C9" w:rsidRDefault="00A87E27" w:rsidP="00A87E27">
      <w:pPr>
        <w:rPr>
          <w:rFonts w:eastAsia="Batang"/>
          <w:lang w:val="es-ES_tradnl"/>
        </w:rPr>
      </w:pPr>
    </w:p>
    <w:p w:rsidR="00A87E27" w:rsidRPr="009D06C9" w:rsidRDefault="00A87E27" w:rsidP="00A87E27">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82" w:name="_Toc421882729"/>
      <w:r w:rsidRPr="009D06C9">
        <w:rPr>
          <w:lang w:val="es-ES_tradnl"/>
        </w:rPr>
        <w:br w:type="page"/>
      </w:r>
    </w:p>
    <w:p w:rsidR="00A87E27" w:rsidRPr="009D06C9" w:rsidRDefault="00A87E27" w:rsidP="00A87E27">
      <w:pPr>
        <w:pStyle w:val="AnnexNoTitle"/>
        <w:rPr>
          <w:lang w:val="es-ES_tradnl"/>
        </w:rPr>
      </w:pPr>
      <w:r w:rsidRPr="009D06C9">
        <w:rPr>
          <w:lang w:val="es-ES_tradnl"/>
        </w:rPr>
        <w:lastRenderedPageBreak/>
        <w:t>Anexo 5</w:t>
      </w:r>
      <w:bookmarkEnd w:id="82"/>
      <w:r w:rsidRPr="009D06C9">
        <w:rPr>
          <w:lang w:val="es-ES_tradnl"/>
        </w:rPr>
        <w:br/>
      </w:r>
      <w:r w:rsidRPr="009D06C9">
        <w:rPr>
          <w:lang w:val="es-ES_tradnl"/>
        </w:rPr>
        <w:br/>
      </w:r>
      <w:bookmarkStart w:id="83" w:name="_Toc421880952"/>
      <w:bookmarkStart w:id="84" w:name="_Toc421882730"/>
      <w:r w:rsidRPr="009D06C9">
        <w:rPr>
          <w:rFonts w:eastAsia="Batang"/>
          <w:lang w:val="es-ES_tradnl" w:eastAsia="ko-KR"/>
        </w:rPr>
        <w:t>Red inteligente en la República de Corea</w:t>
      </w:r>
      <w:bookmarkEnd w:id="83"/>
      <w:bookmarkEnd w:id="84"/>
    </w:p>
    <w:p w:rsidR="00A87E27" w:rsidRPr="009D06C9" w:rsidRDefault="00A87E27" w:rsidP="00A87E27">
      <w:pPr>
        <w:pStyle w:val="Heading2"/>
        <w:rPr>
          <w:rFonts w:eastAsia="Batang"/>
          <w:lang w:val="es-ES_tradnl"/>
        </w:rPr>
      </w:pPr>
      <w:bookmarkStart w:id="85" w:name="_Toc421882731"/>
      <w:bookmarkStart w:id="86" w:name="_Toc498004379"/>
      <w:r w:rsidRPr="009D06C9">
        <w:rPr>
          <w:rFonts w:eastAsia="Batang"/>
          <w:lang w:val="es-ES_tradnl" w:eastAsia="ko-KR"/>
        </w:rPr>
        <w:t>A5.</w:t>
      </w:r>
      <w:r w:rsidRPr="009D06C9">
        <w:rPr>
          <w:rFonts w:eastAsia="Batang"/>
          <w:lang w:val="es-ES_tradnl"/>
        </w:rPr>
        <w:t>1</w:t>
      </w:r>
      <w:r w:rsidRPr="009D06C9">
        <w:rPr>
          <w:rFonts w:eastAsia="Batang"/>
          <w:lang w:val="es-ES_tradnl"/>
        </w:rPr>
        <w:tab/>
      </w:r>
      <w:bookmarkEnd w:id="85"/>
      <w:r w:rsidRPr="009D06C9">
        <w:rPr>
          <w:rFonts w:eastAsia="Batang"/>
          <w:lang w:val="es-ES_tradnl" w:eastAsia="ko-KR"/>
        </w:rPr>
        <w:t>Hoja de ruta de la red inteligente en Corea</w:t>
      </w:r>
      <w:bookmarkEnd w:id="86"/>
    </w:p>
    <w:p w:rsidR="00A87E27" w:rsidRPr="009D06C9" w:rsidRDefault="00A87E27" w:rsidP="00A87E27">
      <w:pPr>
        <w:rPr>
          <w:rFonts w:eastAsia="Batang"/>
          <w:lang w:val="es-ES_tradnl" w:eastAsia="ko-KR"/>
        </w:rPr>
      </w:pPr>
      <w:r w:rsidRPr="009D06C9">
        <w:rPr>
          <w:rFonts w:eastAsia="Batang"/>
          <w:lang w:val="es-ES_tradnl" w:eastAsia="ko-KR"/>
        </w:rPr>
        <w:t>Frente al cambio climático, Corea ha reconocido que es necesario instalar una infraestructura de red inteligente para crear una industria ecológica con bajas emisiones de carbono, a fin de preparar las reducciones de emisiones de gases de efecto invernadero a las que se ha comprometido. Por consiguiente, el Gobierno coreano ha adoptado la iniciativa de red inteligente como política nacional para alcanzar la visión de «Bajas emisiones de carbono, crecimiento ecológico».</w:t>
      </w:r>
    </w:p>
    <w:p w:rsidR="00A87E27" w:rsidRPr="009D06C9" w:rsidRDefault="00A87E27" w:rsidP="00A87E27">
      <w:pPr>
        <w:rPr>
          <w:rFonts w:eastAsia="Batang"/>
          <w:lang w:val="es-ES_tradnl"/>
        </w:rPr>
      </w:pPr>
      <w:r w:rsidRPr="009D06C9">
        <w:rPr>
          <w:rFonts w:eastAsia="Batang"/>
          <w:lang w:val="es-ES_tradnl"/>
        </w:rPr>
        <w:t>En 2009, el Comité de crecimiento ecológico de Corea presentó su visión «Crear un país ecológico avanzado», y esbozó su hoja de ruta para la red inteligente</w:t>
      </w:r>
      <w:r w:rsidRPr="009D06C9">
        <w:rPr>
          <w:rFonts w:eastAsia="Batang"/>
          <w:position w:val="6"/>
          <w:sz w:val="18"/>
          <w:lang w:val="es-ES_tradnl" w:eastAsia="ko-KR"/>
        </w:rPr>
        <w:footnoteReference w:id="45"/>
      </w:r>
      <w:r w:rsidRPr="009D06C9">
        <w:rPr>
          <w:rFonts w:eastAsia="Batang"/>
          <w:lang w:val="es-ES_tradnl" w:eastAsia="ko-KR"/>
        </w:rPr>
        <w:t>. Desde noviembre de 2009 se han compilado opiniones y comentarios de expertos del sector privado, instituciones académicas e institutos de investigación, que quedan reflejados en la hoja de ruta definitiva anunciada en enero de 2010. Según la hoja de ruta nacional, el proyecto de red inteligente ha sido implementado en los cinco sectores siguientes, a fin de crear una red inteligente nacional antes de 2030:</w:t>
      </w:r>
    </w:p>
    <w:p w:rsidR="00A87E27" w:rsidRPr="009D06C9" w:rsidRDefault="00A87E27" w:rsidP="00A87E27">
      <w:pPr>
        <w:pStyle w:val="enumlev1"/>
        <w:rPr>
          <w:rFonts w:eastAsia="Batang"/>
          <w:lang w:val="es-ES_tradnl" w:eastAsia="ko-KR"/>
        </w:rPr>
      </w:pPr>
      <w:r w:rsidRPr="009D06C9">
        <w:rPr>
          <w:rFonts w:eastAsia="Batang"/>
          <w:lang w:val="es-ES_tradnl" w:eastAsia="ko-KR"/>
        </w:rPr>
        <w:t>1)</w:t>
      </w:r>
      <w:r w:rsidRPr="009D06C9">
        <w:rPr>
          <w:rFonts w:eastAsia="Batang"/>
          <w:lang w:val="es-ES_tradnl" w:eastAsia="ko-KR"/>
        </w:rPr>
        <w:tab/>
        <w:t>Red eléctrica inteligente</w:t>
      </w:r>
    </w:p>
    <w:p w:rsidR="00A87E27" w:rsidRPr="009D06C9" w:rsidRDefault="00A87E27" w:rsidP="00A87E27">
      <w:pPr>
        <w:pStyle w:val="enumlev1"/>
        <w:rPr>
          <w:rFonts w:eastAsia="Batang"/>
          <w:lang w:val="es-ES_tradnl" w:eastAsia="ko-KR"/>
        </w:rPr>
      </w:pPr>
      <w:r w:rsidRPr="009D06C9">
        <w:rPr>
          <w:rFonts w:eastAsia="Batang"/>
          <w:lang w:val="es-ES_tradnl" w:eastAsia="ko-KR"/>
        </w:rPr>
        <w:t>2)</w:t>
      </w:r>
      <w:r w:rsidRPr="009D06C9">
        <w:rPr>
          <w:rFonts w:eastAsia="Batang"/>
          <w:lang w:val="es-ES_tradnl" w:eastAsia="ko-KR"/>
        </w:rPr>
        <w:tab/>
        <w:t>Lugar inteligente</w:t>
      </w:r>
    </w:p>
    <w:p w:rsidR="00A87E27" w:rsidRPr="009D06C9" w:rsidRDefault="00A87E27" w:rsidP="00A87E27">
      <w:pPr>
        <w:pStyle w:val="enumlev1"/>
        <w:rPr>
          <w:rFonts w:eastAsia="Batang"/>
          <w:lang w:val="es-ES_tradnl" w:eastAsia="ko-KR"/>
        </w:rPr>
      </w:pPr>
      <w:r w:rsidRPr="009D06C9">
        <w:rPr>
          <w:rFonts w:eastAsia="Batang"/>
          <w:lang w:val="es-ES_tradnl" w:eastAsia="ko-KR"/>
        </w:rPr>
        <w:t>3)</w:t>
      </w:r>
      <w:r w:rsidRPr="009D06C9">
        <w:rPr>
          <w:rFonts w:eastAsia="Batang"/>
          <w:lang w:val="es-ES_tradnl" w:eastAsia="ko-KR"/>
        </w:rPr>
        <w:tab/>
        <w:t>Transporte inteligente</w:t>
      </w:r>
    </w:p>
    <w:p w:rsidR="00A87E27" w:rsidRPr="009D06C9" w:rsidRDefault="00A87E27" w:rsidP="00A87E27">
      <w:pPr>
        <w:pStyle w:val="enumlev1"/>
        <w:rPr>
          <w:rFonts w:eastAsia="Batang"/>
          <w:lang w:val="es-ES_tradnl" w:eastAsia="ko-KR"/>
        </w:rPr>
      </w:pPr>
      <w:r w:rsidRPr="009D06C9">
        <w:rPr>
          <w:rFonts w:eastAsia="Batang"/>
          <w:lang w:val="es-ES_tradnl" w:eastAsia="ko-KR"/>
        </w:rPr>
        <w:t>4)</w:t>
      </w:r>
      <w:r w:rsidRPr="009D06C9">
        <w:rPr>
          <w:rFonts w:eastAsia="Batang"/>
          <w:lang w:val="es-ES_tradnl" w:eastAsia="ko-KR"/>
        </w:rPr>
        <w:tab/>
        <w:t>Renovable inteligente</w:t>
      </w:r>
    </w:p>
    <w:p w:rsidR="00A87E27" w:rsidRPr="009D06C9" w:rsidRDefault="00A87E27" w:rsidP="00A87E27">
      <w:pPr>
        <w:pStyle w:val="enumlev1"/>
        <w:rPr>
          <w:rFonts w:eastAsia="Batang"/>
          <w:lang w:val="es-ES_tradnl"/>
        </w:rPr>
      </w:pPr>
      <w:r w:rsidRPr="009D06C9">
        <w:rPr>
          <w:rFonts w:eastAsia="Batang"/>
          <w:lang w:val="es-ES_tradnl" w:eastAsia="ko-KR"/>
        </w:rPr>
        <w:t>5)</w:t>
      </w:r>
      <w:r w:rsidRPr="009D06C9">
        <w:rPr>
          <w:rFonts w:eastAsia="Batang"/>
          <w:lang w:val="es-ES_tradnl" w:eastAsia="ko-KR"/>
        </w:rPr>
        <w:tab/>
        <w:t>Servicio eléctrico inteligente.</w:t>
      </w:r>
    </w:p>
    <w:p w:rsidR="00A87E27" w:rsidRPr="009D06C9" w:rsidRDefault="00A87E27" w:rsidP="00A87E27">
      <w:pPr>
        <w:rPr>
          <w:rFonts w:eastAsia="Batang"/>
          <w:lang w:val="es-ES_tradnl" w:eastAsia="ko-KR"/>
        </w:rPr>
      </w:pPr>
      <w:r w:rsidRPr="009D06C9">
        <w:rPr>
          <w:rFonts w:eastAsia="Batang"/>
          <w:lang w:val="es-ES_tradnl" w:eastAsia="ko-KR"/>
        </w:rPr>
        <w:t>El proyecto de red inteligente de Corea será implementado en tres etapas. La primera consistirá en construir y explotar una red inteligente de prueba para probar tecnologías pertinentes. La segunda etapa consistirá en extender la prueba a zonas metropolitanas y añadir inteligencia en el lado del consumidor. La última etapa consistirá en terminar una red inteligente nacional que conectará todas las redes inteligentes del país.</w:t>
      </w:r>
    </w:p>
    <w:p w:rsidR="00A87E27" w:rsidRPr="009D06C9" w:rsidRDefault="00A87E27" w:rsidP="00A87E27">
      <w:pPr>
        <w:pStyle w:val="FigureNo"/>
        <w:rPr>
          <w:rFonts w:eastAsia="Batang"/>
          <w:lang w:val="es-ES_tradnl" w:eastAsia="ko-KR"/>
        </w:rPr>
      </w:pPr>
      <w:r w:rsidRPr="009D06C9">
        <w:rPr>
          <w:rFonts w:eastAsia="Batang"/>
          <w:lang w:val="es-ES_tradnl" w:eastAsia="ko-KR"/>
        </w:rPr>
        <w:lastRenderedPageBreak/>
        <w:t>Figura A5.1</w:t>
      </w:r>
    </w:p>
    <w:p w:rsidR="00A87E27" w:rsidRPr="009D06C9" w:rsidRDefault="00A87E27" w:rsidP="00A87E27">
      <w:pPr>
        <w:pStyle w:val="Figuretitle"/>
        <w:rPr>
          <w:rFonts w:eastAsia="Batang"/>
          <w:lang w:val="es-ES_tradnl" w:eastAsia="ko-KR"/>
        </w:rPr>
      </w:pPr>
      <w:r w:rsidRPr="009D06C9">
        <w:rPr>
          <w:rFonts w:eastAsia="Batang"/>
          <w:lang w:val="es-ES_tradnl" w:eastAsia="ko-KR"/>
        </w:rPr>
        <w:t>Hoja de ruta de la red inteligente en Corea</w:t>
      </w:r>
    </w:p>
    <w:tbl>
      <w:tblPr>
        <w:tblStyle w:val="TableGrid"/>
        <w:tblW w:w="0" w:type="auto"/>
        <w:jc w:val="center"/>
        <w:tblLook w:val="04A0" w:firstRow="1" w:lastRow="0" w:firstColumn="1" w:lastColumn="0" w:noHBand="0" w:noVBand="1"/>
      </w:tblPr>
      <w:tblGrid>
        <w:gridCol w:w="2268"/>
        <w:gridCol w:w="2407"/>
        <w:gridCol w:w="2494"/>
        <w:gridCol w:w="2438"/>
      </w:tblGrid>
      <w:tr w:rsidR="00A87E27" w:rsidRPr="009D06C9" w:rsidTr="00363959">
        <w:trPr>
          <w:trHeight w:val="20"/>
          <w:jc w:val="center"/>
        </w:trPr>
        <w:tc>
          <w:tcPr>
            <w:tcW w:w="2268" w:type="dxa"/>
            <w:vMerge w:val="restart"/>
            <w:vAlign w:val="center"/>
          </w:tcPr>
          <w:p w:rsidR="00A87E27" w:rsidRPr="009D06C9" w:rsidRDefault="00A87E27" w:rsidP="00090ED8">
            <w:pPr>
              <w:pStyle w:val="Tabletext"/>
              <w:keepNext/>
              <w:keepLines/>
              <w:jc w:val="left"/>
              <w:rPr>
                <w:rFonts w:eastAsia="Batang"/>
                <w:b/>
                <w:bCs/>
                <w:sz w:val="18"/>
                <w:szCs w:val="18"/>
                <w:lang w:val="es-ES_tradnl" w:eastAsia="ko-KR"/>
              </w:rPr>
            </w:pPr>
            <w:r w:rsidRPr="009D06C9">
              <w:rPr>
                <w:rFonts w:eastAsia="Batang"/>
                <w:b/>
                <w:bCs/>
                <w:sz w:val="18"/>
                <w:szCs w:val="18"/>
                <w:lang w:val="es-ES_tradnl" w:eastAsia="ko-KR"/>
              </w:rPr>
              <w:t>Orientaciones de implementación por etapas</w:t>
            </w:r>
          </w:p>
        </w:tc>
        <w:tc>
          <w:tcPr>
            <w:tcW w:w="2407" w:type="dxa"/>
            <w:shd w:val="pct5" w:color="auto" w:fill="C4BC96" w:themeFill="background2" w:themeFillShade="BF"/>
          </w:tcPr>
          <w:p w:rsidR="00A87E27" w:rsidRPr="00363959" w:rsidRDefault="00A87E27" w:rsidP="00363959">
            <w:pPr>
              <w:pStyle w:val="Tablehead"/>
              <w:rPr>
                <w:rFonts w:eastAsia="Batang"/>
                <w:sz w:val="20"/>
                <w:lang w:val="es-ES_tradnl" w:eastAsia="ko-KR"/>
              </w:rPr>
            </w:pPr>
            <w:r w:rsidRPr="00363959">
              <w:rPr>
                <w:rFonts w:eastAsia="Batang"/>
                <w:sz w:val="20"/>
                <w:lang w:val="es-ES_tradnl" w:eastAsia="ko-KR"/>
              </w:rPr>
              <w:t xml:space="preserve">Primera etapa </w:t>
            </w:r>
            <w:r w:rsidRPr="00363959">
              <w:rPr>
                <w:rFonts w:eastAsia="Batang"/>
                <w:sz w:val="20"/>
                <w:lang w:val="es-ES_tradnl" w:eastAsia="ko-KR"/>
              </w:rPr>
              <w:br/>
              <w:t>(2010~2012)</w:t>
            </w:r>
          </w:p>
        </w:tc>
        <w:tc>
          <w:tcPr>
            <w:tcW w:w="2494" w:type="dxa"/>
          </w:tcPr>
          <w:p w:rsidR="00A87E27" w:rsidRPr="00363959" w:rsidRDefault="00A87E27" w:rsidP="00363959">
            <w:pPr>
              <w:pStyle w:val="Tablehead"/>
              <w:rPr>
                <w:rFonts w:eastAsia="Batang"/>
                <w:sz w:val="20"/>
                <w:lang w:val="es-ES_tradnl" w:eastAsia="ko-KR"/>
              </w:rPr>
            </w:pPr>
            <w:r w:rsidRPr="00363959">
              <w:rPr>
                <w:rFonts w:eastAsia="Batang"/>
                <w:sz w:val="20"/>
                <w:lang w:val="es-ES_tradnl" w:eastAsia="ko-KR"/>
              </w:rPr>
              <w:t>Segunda etapa</w:t>
            </w:r>
            <w:r w:rsidRPr="00363959">
              <w:rPr>
                <w:rFonts w:eastAsia="Batang"/>
                <w:sz w:val="20"/>
                <w:lang w:val="es-ES_tradnl" w:eastAsia="ko-KR"/>
              </w:rPr>
              <w:br/>
              <w:t>(2012~2020)</w:t>
            </w:r>
          </w:p>
        </w:tc>
        <w:tc>
          <w:tcPr>
            <w:tcW w:w="2438" w:type="dxa"/>
          </w:tcPr>
          <w:p w:rsidR="00A87E27" w:rsidRPr="00363959" w:rsidRDefault="00A87E27" w:rsidP="00363959">
            <w:pPr>
              <w:pStyle w:val="Tablehead"/>
              <w:rPr>
                <w:rFonts w:eastAsia="Batang"/>
                <w:sz w:val="20"/>
                <w:lang w:val="es-ES_tradnl" w:eastAsia="ko-KR"/>
              </w:rPr>
            </w:pPr>
            <w:r w:rsidRPr="00363959">
              <w:rPr>
                <w:rFonts w:eastAsia="Batang"/>
                <w:sz w:val="20"/>
                <w:lang w:val="es-ES_tradnl" w:eastAsia="ko-KR"/>
              </w:rPr>
              <w:t>Tercera etapa</w:t>
            </w:r>
            <w:r w:rsidRPr="00363959">
              <w:rPr>
                <w:rFonts w:eastAsia="Batang"/>
                <w:sz w:val="20"/>
                <w:lang w:val="es-ES_tradnl" w:eastAsia="ko-KR"/>
              </w:rPr>
              <w:br/>
              <w:t>(2021~2030)</w:t>
            </w:r>
          </w:p>
        </w:tc>
      </w:tr>
      <w:tr w:rsidR="00A87E27" w:rsidRPr="00D30DBF" w:rsidTr="00363959">
        <w:trPr>
          <w:trHeight w:val="20"/>
          <w:jc w:val="center"/>
        </w:trPr>
        <w:tc>
          <w:tcPr>
            <w:tcW w:w="2268" w:type="dxa"/>
            <w:vMerge/>
            <w:vAlign w:val="center"/>
          </w:tcPr>
          <w:p w:rsidR="00A87E27" w:rsidRPr="009D06C9" w:rsidRDefault="00A87E27" w:rsidP="00090ED8">
            <w:pPr>
              <w:pStyle w:val="Tabletext"/>
              <w:keepNext/>
              <w:keepLines/>
              <w:jc w:val="left"/>
              <w:rPr>
                <w:rFonts w:eastAsia="Batang"/>
                <w:b/>
                <w:bCs/>
                <w:sz w:val="18"/>
                <w:szCs w:val="18"/>
                <w:lang w:val="es-ES_tradnl" w:eastAsia="ko-KR"/>
              </w:rPr>
            </w:pPr>
          </w:p>
        </w:tc>
        <w:tc>
          <w:tcPr>
            <w:tcW w:w="2407" w:type="dxa"/>
            <w:shd w:val="pct5" w:color="auto" w:fill="C4BC96" w:themeFill="background2" w:themeFillShade="BF"/>
          </w:tcPr>
          <w:p w:rsidR="00A87E27" w:rsidRPr="009D06C9" w:rsidRDefault="00A87E27" w:rsidP="00090ED8">
            <w:pPr>
              <w:pStyle w:val="Tabletext"/>
              <w:keepNext/>
              <w:keepLines/>
              <w:jc w:val="center"/>
              <w:rPr>
                <w:rFonts w:eastAsia="Batang"/>
                <w:sz w:val="18"/>
                <w:szCs w:val="18"/>
                <w:lang w:val="es-ES_tradnl" w:eastAsia="ko-KR"/>
              </w:rPr>
            </w:pPr>
            <w:r w:rsidRPr="009D06C9">
              <w:rPr>
                <w:rFonts w:eastAsia="Batang"/>
                <w:sz w:val="18"/>
                <w:szCs w:val="18"/>
                <w:lang w:val="es-ES_tradnl" w:eastAsia="ko-KR"/>
              </w:rPr>
              <w:t>«Construcción y explotación de la red inteligente de prueba»</w:t>
            </w:r>
            <w:r w:rsidRPr="009D06C9">
              <w:rPr>
                <w:rFonts w:eastAsia="Batang"/>
                <w:sz w:val="18"/>
                <w:szCs w:val="18"/>
                <w:lang w:val="es-ES_tradnl" w:eastAsia="ko-KR"/>
              </w:rPr>
              <w:br/>
              <w:t>(Validación técnica)</w:t>
            </w:r>
          </w:p>
        </w:tc>
        <w:tc>
          <w:tcPr>
            <w:tcW w:w="2494" w:type="dxa"/>
          </w:tcPr>
          <w:p w:rsidR="00A87E27" w:rsidRPr="009D06C9" w:rsidRDefault="00A87E27" w:rsidP="00090ED8">
            <w:pPr>
              <w:pStyle w:val="Tabletext"/>
              <w:keepNext/>
              <w:keepLines/>
              <w:jc w:val="center"/>
              <w:rPr>
                <w:rFonts w:eastAsia="Batang"/>
                <w:sz w:val="18"/>
                <w:szCs w:val="18"/>
                <w:lang w:val="es-ES_tradnl" w:eastAsia="ko-KR"/>
              </w:rPr>
            </w:pPr>
            <w:r w:rsidRPr="009D06C9">
              <w:rPr>
                <w:rFonts w:eastAsia="Batang"/>
                <w:sz w:val="18"/>
                <w:szCs w:val="18"/>
                <w:lang w:val="es-ES_tradnl" w:eastAsia="ko-KR"/>
              </w:rPr>
              <w:t>«Expansión en zonas metropolitanas»</w:t>
            </w:r>
            <w:r w:rsidRPr="009D06C9">
              <w:rPr>
                <w:rFonts w:eastAsia="Batang"/>
                <w:sz w:val="18"/>
                <w:szCs w:val="18"/>
                <w:lang w:val="es-ES_tradnl" w:eastAsia="ko-KR"/>
              </w:rPr>
              <w:br/>
              <w:t>(Consumidores inteligentes)</w:t>
            </w:r>
          </w:p>
        </w:tc>
        <w:tc>
          <w:tcPr>
            <w:tcW w:w="2438" w:type="dxa"/>
          </w:tcPr>
          <w:p w:rsidR="00A87E27" w:rsidRPr="009D06C9" w:rsidRDefault="00A87E27" w:rsidP="00090ED8">
            <w:pPr>
              <w:pStyle w:val="Tabletext"/>
              <w:keepNext/>
              <w:keepLines/>
              <w:jc w:val="center"/>
              <w:rPr>
                <w:rFonts w:eastAsia="Batang"/>
                <w:sz w:val="18"/>
                <w:szCs w:val="18"/>
                <w:lang w:val="es-ES_tradnl" w:eastAsia="ko-KR"/>
              </w:rPr>
            </w:pPr>
            <w:r w:rsidRPr="009D06C9">
              <w:rPr>
                <w:rFonts w:eastAsia="Batang"/>
                <w:sz w:val="18"/>
                <w:szCs w:val="18"/>
                <w:lang w:val="es-ES_tradnl" w:eastAsia="ko-KR"/>
              </w:rPr>
              <w:t>«Compleción de una red eléctrica nacional»</w:t>
            </w:r>
            <w:r w:rsidRPr="009D06C9">
              <w:rPr>
                <w:rFonts w:eastAsia="Batang"/>
                <w:sz w:val="18"/>
                <w:szCs w:val="18"/>
                <w:lang w:val="es-ES_tradnl" w:eastAsia="ko-KR"/>
              </w:rPr>
              <w:br/>
              <w:t>(Red eléctrica inteligente)</w:t>
            </w:r>
          </w:p>
        </w:tc>
      </w:tr>
      <w:tr w:rsidR="00A87E27" w:rsidRPr="00D30DBF" w:rsidTr="00363959">
        <w:trPr>
          <w:trHeight w:val="20"/>
          <w:jc w:val="center"/>
        </w:trPr>
        <w:tc>
          <w:tcPr>
            <w:tcW w:w="2268" w:type="dxa"/>
            <w:vAlign w:val="center"/>
          </w:tcPr>
          <w:p w:rsidR="00A87E27" w:rsidRPr="009D06C9" w:rsidRDefault="00A87E27" w:rsidP="00090ED8">
            <w:pPr>
              <w:pStyle w:val="Tabletext"/>
              <w:keepNext/>
              <w:keepLines/>
              <w:jc w:val="left"/>
              <w:rPr>
                <w:rFonts w:eastAsia="Batang"/>
                <w:b/>
                <w:bCs/>
                <w:sz w:val="18"/>
                <w:szCs w:val="18"/>
                <w:lang w:val="es-ES_tradnl" w:eastAsia="ko-KR"/>
              </w:rPr>
            </w:pPr>
            <w:r w:rsidRPr="009D06C9">
              <w:rPr>
                <w:rFonts w:eastAsia="Batang"/>
                <w:b/>
                <w:bCs/>
                <w:sz w:val="18"/>
                <w:szCs w:val="18"/>
                <w:lang w:val="es-ES_tradnl" w:eastAsia="ko-KR"/>
              </w:rPr>
              <w:t>Red eléctrica inteligente</w:t>
            </w:r>
          </w:p>
        </w:tc>
        <w:tc>
          <w:tcPr>
            <w:tcW w:w="2407" w:type="dxa"/>
            <w:shd w:val="pct5" w:color="auto" w:fill="C4BC96" w:themeFill="background2" w:themeFillShade="BF"/>
          </w:tcPr>
          <w:p w:rsidR="00A87E27" w:rsidRPr="009D06C9" w:rsidRDefault="00A87E27" w:rsidP="00090ED8">
            <w:pPr>
              <w:pStyle w:val="Tabletext"/>
              <w:keepNext/>
              <w:keepLines/>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Supervisión en tiempo real de la red eléctrica</w:t>
            </w:r>
          </w:p>
          <w:p w:rsidR="00A87E27" w:rsidRPr="009D06C9" w:rsidRDefault="00A87E27" w:rsidP="00090ED8">
            <w:pPr>
              <w:pStyle w:val="Tabletext"/>
              <w:keepNext/>
              <w:keepLines/>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Transmisión digital de electricidad</w:t>
            </w:r>
          </w:p>
          <w:p w:rsidR="00A87E27" w:rsidRPr="009D06C9" w:rsidRDefault="00A87E27" w:rsidP="00090ED8">
            <w:pPr>
              <w:pStyle w:val="Tabletext"/>
              <w:keepNext/>
              <w:keepLines/>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Explotación de un sistema de distribución óptimo</w:t>
            </w:r>
          </w:p>
        </w:tc>
        <w:tc>
          <w:tcPr>
            <w:tcW w:w="2494" w:type="dxa"/>
          </w:tcPr>
          <w:p w:rsidR="00A87E27" w:rsidRPr="009D06C9" w:rsidRDefault="00A87E27" w:rsidP="00090ED8">
            <w:pPr>
              <w:pStyle w:val="Tabletext"/>
              <w:keepNext/>
              <w:keepLines/>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Predicción de posibles fallos en las redes eléctricas</w:t>
            </w:r>
          </w:p>
          <w:p w:rsidR="00A87E27" w:rsidRPr="009D06C9" w:rsidRDefault="00A87E27" w:rsidP="00090ED8">
            <w:pPr>
              <w:pStyle w:val="Tabletext"/>
              <w:keepNext/>
              <w:keepLines/>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Conexión del sistema eléctrico con el de otros países</w:t>
            </w:r>
          </w:p>
          <w:p w:rsidR="00A87E27" w:rsidRPr="009D06C9" w:rsidRDefault="00A87E27" w:rsidP="00090ED8">
            <w:pPr>
              <w:pStyle w:val="Tabletext"/>
              <w:keepNext/>
              <w:keepLines/>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Conexión del sistema de abastecimiento eléctrico con dispositivos distribuidos de generación y almacenamiento de electricidad</w:t>
            </w:r>
          </w:p>
        </w:tc>
        <w:tc>
          <w:tcPr>
            <w:tcW w:w="2438" w:type="dxa"/>
          </w:tcPr>
          <w:p w:rsidR="00A87E27" w:rsidRPr="009D06C9" w:rsidRDefault="00A87E27" w:rsidP="00090ED8">
            <w:pPr>
              <w:pStyle w:val="Tabletext"/>
              <w:keepNext/>
              <w:keepLines/>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Autorrestablecimiento de redes eléctricas</w:t>
            </w:r>
          </w:p>
          <w:p w:rsidR="00A87E27" w:rsidRPr="009D06C9" w:rsidRDefault="00A87E27" w:rsidP="00090ED8">
            <w:pPr>
              <w:pStyle w:val="Tabletext"/>
              <w:keepNext/>
              <w:keepLines/>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Explotación de una red eléctrica inteligente e integrada</w:t>
            </w:r>
          </w:p>
        </w:tc>
      </w:tr>
      <w:tr w:rsidR="00A87E27" w:rsidRPr="009D06C9" w:rsidTr="00363959">
        <w:trPr>
          <w:trHeight w:val="20"/>
          <w:jc w:val="center"/>
        </w:trPr>
        <w:tc>
          <w:tcPr>
            <w:tcW w:w="2268" w:type="dxa"/>
            <w:vAlign w:val="center"/>
          </w:tcPr>
          <w:p w:rsidR="00A87E27" w:rsidRPr="009D06C9" w:rsidRDefault="00A87E27" w:rsidP="00090ED8">
            <w:pPr>
              <w:pStyle w:val="Tabletext"/>
              <w:jc w:val="left"/>
              <w:rPr>
                <w:rFonts w:eastAsia="Batang"/>
                <w:b/>
                <w:bCs/>
                <w:sz w:val="18"/>
                <w:szCs w:val="18"/>
                <w:lang w:val="es-ES_tradnl" w:eastAsia="ko-KR"/>
              </w:rPr>
            </w:pPr>
            <w:r w:rsidRPr="009D06C9">
              <w:rPr>
                <w:rFonts w:eastAsia="Batang"/>
                <w:b/>
                <w:bCs/>
                <w:sz w:val="18"/>
                <w:szCs w:val="18"/>
                <w:lang w:val="es-ES_tradnl" w:eastAsia="ko-KR"/>
              </w:rPr>
              <w:t>Consumidor inteligente</w:t>
            </w:r>
          </w:p>
        </w:tc>
        <w:tc>
          <w:tcPr>
            <w:tcW w:w="2407" w:type="dxa"/>
            <w:shd w:val="pct5" w:color="auto" w:fill="C4BC96" w:themeFill="background2" w:themeFillShade="BF"/>
          </w:tcPr>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Gestión energética de hogares inteligentes</w:t>
            </w:r>
          </w:p>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Posibilidades de elección para los consumidores, incluidas tarifas</w:t>
            </w:r>
          </w:p>
        </w:tc>
        <w:tc>
          <w:tcPr>
            <w:tcW w:w="2494" w:type="dxa"/>
          </w:tcPr>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Gestión energética inteligente de edificios/fábricas</w:t>
            </w:r>
          </w:p>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Incitación al consumidor para que produzca energía</w:t>
            </w:r>
          </w:p>
        </w:tc>
        <w:tc>
          <w:tcPr>
            <w:tcW w:w="2438" w:type="dxa"/>
          </w:tcPr>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Hogares/edificios cero energía</w:t>
            </w:r>
          </w:p>
        </w:tc>
      </w:tr>
      <w:tr w:rsidR="00A87E27" w:rsidRPr="00D30DBF" w:rsidTr="00363959">
        <w:trPr>
          <w:trHeight w:val="20"/>
          <w:jc w:val="center"/>
        </w:trPr>
        <w:tc>
          <w:tcPr>
            <w:tcW w:w="2268" w:type="dxa"/>
            <w:vAlign w:val="center"/>
          </w:tcPr>
          <w:p w:rsidR="00A87E27" w:rsidRPr="009D06C9" w:rsidRDefault="00A87E27" w:rsidP="00090ED8">
            <w:pPr>
              <w:pStyle w:val="Tabletext"/>
              <w:jc w:val="left"/>
              <w:rPr>
                <w:rFonts w:eastAsia="Batang"/>
                <w:b/>
                <w:bCs/>
                <w:sz w:val="18"/>
                <w:szCs w:val="18"/>
                <w:lang w:val="es-ES_tradnl" w:eastAsia="ko-KR"/>
              </w:rPr>
            </w:pPr>
            <w:r w:rsidRPr="009D06C9">
              <w:rPr>
                <w:rFonts w:eastAsia="Batang"/>
                <w:b/>
                <w:bCs/>
                <w:sz w:val="18"/>
                <w:szCs w:val="18"/>
                <w:lang w:val="es-ES_tradnl" w:eastAsia="ko-KR"/>
              </w:rPr>
              <w:t>Transporte inteligente</w:t>
            </w:r>
          </w:p>
        </w:tc>
        <w:tc>
          <w:tcPr>
            <w:tcW w:w="2407" w:type="dxa"/>
            <w:shd w:val="pct5" w:color="auto" w:fill="C4BC96" w:themeFill="background2" w:themeFillShade="BF"/>
          </w:tcPr>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Construcción y prueba de instalaciones de carga de vehículos eléctricos</w:t>
            </w:r>
          </w:p>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Utilización de vehículos eléctricos en proyecto piloto</w:t>
            </w:r>
          </w:p>
        </w:tc>
        <w:tc>
          <w:tcPr>
            <w:tcW w:w="2494" w:type="dxa"/>
          </w:tcPr>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Extensión de instalaciones de carga de vehículos eléctricos en todo el país</w:t>
            </w:r>
          </w:p>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Mantenimiento y gestión efectivos de vehículos eléctricos</w:t>
            </w:r>
          </w:p>
        </w:tc>
        <w:tc>
          <w:tcPr>
            <w:tcW w:w="2438" w:type="dxa"/>
          </w:tcPr>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Generalización de instalaciones de carga</w:t>
            </w:r>
          </w:p>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Diversificación de métodos de carga</w:t>
            </w:r>
          </w:p>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Utilización de dispositivos portátiles de almacenamiento de electricidad</w:t>
            </w:r>
          </w:p>
        </w:tc>
      </w:tr>
      <w:tr w:rsidR="00A87E27" w:rsidRPr="00D30DBF" w:rsidTr="00363959">
        <w:trPr>
          <w:trHeight w:val="20"/>
          <w:jc w:val="center"/>
        </w:trPr>
        <w:tc>
          <w:tcPr>
            <w:tcW w:w="2268" w:type="dxa"/>
            <w:vAlign w:val="center"/>
          </w:tcPr>
          <w:p w:rsidR="00A87E27" w:rsidRPr="009D06C9" w:rsidRDefault="00A87E27" w:rsidP="00090ED8">
            <w:pPr>
              <w:pStyle w:val="Tabletext"/>
              <w:jc w:val="left"/>
              <w:rPr>
                <w:rFonts w:eastAsia="Batang"/>
                <w:b/>
                <w:bCs/>
                <w:sz w:val="18"/>
                <w:szCs w:val="18"/>
                <w:lang w:val="es-ES_tradnl" w:eastAsia="ko-KR"/>
              </w:rPr>
            </w:pPr>
            <w:r w:rsidRPr="009D06C9">
              <w:rPr>
                <w:rFonts w:eastAsia="Batang"/>
                <w:b/>
                <w:bCs/>
                <w:sz w:val="18"/>
                <w:szCs w:val="18"/>
                <w:lang w:val="es-ES_tradnl" w:eastAsia="ko-KR"/>
              </w:rPr>
              <w:t>Renovable inteligente</w:t>
            </w:r>
          </w:p>
        </w:tc>
        <w:tc>
          <w:tcPr>
            <w:tcW w:w="2407" w:type="dxa"/>
            <w:shd w:val="pct5" w:color="auto" w:fill="C4BC96" w:themeFill="background2" w:themeFillShade="BF"/>
          </w:tcPr>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Explotación de microrredes mediante la conexión de dispositivos distribuidos de generación y almacenamiento de electricidad y vehículos eléctricos</w:t>
            </w:r>
          </w:p>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Aumento de la utilización de dispositivos de almacenamiento de electricidad y generación distribuida</w:t>
            </w:r>
          </w:p>
        </w:tc>
        <w:tc>
          <w:tcPr>
            <w:tcW w:w="2494" w:type="dxa"/>
          </w:tcPr>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Explotación óptima del sistema energético con microrredes</w:t>
            </w:r>
          </w:p>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Expansión de la aplicación de dispositivos de almacenamiento de electricidad</w:t>
            </w:r>
          </w:p>
        </w:tc>
        <w:tc>
          <w:tcPr>
            <w:tcW w:w="2438" w:type="dxa"/>
          </w:tcPr>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Universalización de la energía renovable</w:t>
            </w:r>
          </w:p>
        </w:tc>
      </w:tr>
      <w:tr w:rsidR="00A87E27" w:rsidRPr="00D30DBF" w:rsidTr="00363959">
        <w:trPr>
          <w:trHeight w:val="20"/>
          <w:jc w:val="center"/>
        </w:trPr>
        <w:tc>
          <w:tcPr>
            <w:tcW w:w="2268" w:type="dxa"/>
            <w:vAlign w:val="center"/>
          </w:tcPr>
          <w:p w:rsidR="00A87E27" w:rsidRPr="009D06C9" w:rsidRDefault="00A87E27" w:rsidP="00090ED8">
            <w:pPr>
              <w:pStyle w:val="Tabletext"/>
              <w:jc w:val="left"/>
              <w:rPr>
                <w:rFonts w:eastAsia="Batang"/>
                <w:b/>
                <w:bCs/>
                <w:sz w:val="18"/>
                <w:szCs w:val="18"/>
                <w:lang w:val="es-ES_tradnl" w:eastAsia="ko-KR"/>
              </w:rPr>
            </w:pPr>
            <w:r w:rsidRPr="009D06C9">
              <w:rPr>
                <w:rFonts w:eastAsia="Batang"/>
                <w:b/>
                <w:bCs/>
                <w:sz w:val="18"/>
                <w:szCs w:val="18"/>
                <w:lang w:val="es-ES_tradnl" w:eastAsia="ko-KR"/>
              </w:rPr>
              <w:t>Servicio eléctrico inteligente</w:t>
            </w:r>
          </w:p>
        </w:tc>
        <w:tc>
          <w:tcPr>
            <w:tcW w:w="2407" w:type="dxa"/>
            <w:shd w:val="pct5" w:color="auto" w:fill="C4BC96" w:themeFill="background2" w:themeFillShade="BF"/>
          </w:tcPr>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Elección por el consumidor de las tarifas de la electricidad</w:t>
            </w:r>
          </w:p>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 xml:space="preserve">Venta de energía renovable por el consumidor </w:t>
            </w:r>
          </w:p>
        </w:tc>
        <w:tc>
          <w:tcPr>
            <w:tcW w:w="2494" w:type="dxa"/>
          </w:tcPr>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Promoción de transacciones de derivados de energía eléctrica</w:t>
            </w:r>
          </w:p>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Adopción nacional de un sistema de tarificación en tiempo real</w:t>
            </w:r>
          </w:p>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Aparición de participantes voluntarios en el mercado</w:t>
            </w:r>
          </w:p>
        </w:tc>
        <w:tc>
          <w:tcPr>
            <w:tcW w:w="2438" w:type="dxa"/>
          </w:tcPr>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Promoción de diversos tipos de transacciones de energía eléctrica</w:t>
            </w:r>
          </w:p>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Promoción de la convergencia para el mercado de los sectores eléctricos</w:t>
            </w:r>
          </w:p>
          <w:p w:rsidR="00A87E27" w:rsidRPr="009D06C9" w:rsidRDefault="00A87E27" w:rsidP="00090ED8">
            <w:pPr>
              <w:pStyle w:val="Tabletext"/>
              <w:ind w:left="284" w:hanging="284"/>
              <w:jc w:val="left"/>
              <w:rPr>
                <w:rFonts w:eastAsia="Batang"/>
                <w:sz w:val="18"/>
                <w:szCs w:val="18"/>
                <w:lang w:val="es-ES_tradnl" w:eastAsia="ko-KR"/>
              </w:rPr>
            </w:pPr>
            <w:r w:rsidRPr="009D06C9">
              <w:rPr>
                <w:rFonts w:eastAsia="Batang"/>
                <w:sz w:val="18"/>
                <w:szCs w:val="18"/>
                <w:lang w:val="es-ES_tradnl" w:eastAsia="ko-KR"/>
              </w:rPr>
              <w:t>–</w:t>
            </w:r>
            <w:r w:rsidRPr="009D06C9">
              <w:rPr>
                <w:rFonts w:eastAsia="Batang"/>
                <w:sz w:val="18"/>
                <w:szCs w:val="18"/>
                <w:lang w:val="es-ES_tradnl" w:eastAsia="ko-KR"/>
              </w:rPr>
              <w:tab/>
              <w:t>Encabezar el mercado energético en el nordeste asiático</w:t>
            </w:r>
          </w:p>
        </w:tc>
      </w:tr>
    </w:tbl>
    <w:p w:rsidR="00A87E27" w:rsidRPr="009D06C9" w:rsidRDefault="00A87E27" w:rsidP="00A87E27">
      <w:pPr>
        <w:keepNext/>
        <w:keepLines/>
        <w:rPr>
          <w:rFonts w:eastAsia="Batang"/>
          <w:lang w:val="es-ES_tradnl" w:eastAsia="ko-KR"/>
        </w:rPr>
      </w:pPr>
      <w:r w:rsidRPr="009D06C9">
        <w:rPr>
          <w:rFonts w:eastAsia="Batang"/>
          <w:lang w:val="es-ES_tradnl" w:eastAsia="ko-KR"/>
        </w:rPr>
        <w:lastRenderedPageBreak/>
        <w:t>Una vez terminada la tercera etapa se observarán los resultados y ventajas de la red inteligente. Con su red inteligente, Corea proyecta reducir el consumo nacional de electricidad en un 6% y facilitar una mayor utilización de energías nuevas y renovables tales como la eólica y la solar. Además, Corea reducirá en 230 millones de toneladas sus emisiones de GEI y creará anualmente 50 000 empleos en un mercado nacional que representará 68 000 millones won en 2030. Los conocimientos acumulados servirán a Corea para avanzar en el mercado internacional. Su crecimiento ecológico contribuirá considerablemente a impedir el recalentamiento mundial en el futuro.</w:t>
      </w:r>
    </w:p>
    <w:p w:rsidR="00A87E27" w:rsidRPr="009D06C9" w:rsidRDefault="00A87E27" w:rsidP="00A87E27">
      <w:pPr>
        <w:rPr>
          <w:rFonts w:eastAsia="Batang"/>
          <w:lang w:val="es-ES_tradnl" w:eastAsia="ko-KR"/>
        </w:rPr>
      </w:pPr>
      <w:r w:rsidRPr="009D06C9">
        <w:rPr>
          <w:rFonts w:eastAsia="Batang"/>
          <w:lang w:val="es-ES_tradnl" w:eastAsia="ko-KR"/>
        </w:rPr>
        <w:t>Desde un punto de vista nacional, el proyecto de red inteligente servirá para aumentar la eficiencia energética y crear infraestructuras energéticas ecológicas que reduzcan las emisiones de CO</w:t>
      </w:r>
      <w:r w:rsidRPr="009D06C9">
        <w:rPr>
          <w:rFonts w:eastAsia="Batang"/>
          <w:vertAlign w:val="subscript"/>
          <w:lang w:val="es-ES_tradnl" w:eastAsia="ko-KR"/>
        </w:rPr>
        <w:t>2</w:t>
      </w:r>
      <w:r w:rsidRPr="009D06C9">
        <w:rPr>
          <w:rFonts w:eastAsia="Batang"/>
          <w:lang w:val="es-ES_tradnl" w:eastAsia="ko-KR"/>
        </w:rPr>
        <w:t>. Desde un punto de vista industrial, el proyecto constituirá un nuevo motor de crecimiento con el que Corea pasará a la era del crecimiento ecológico. Desde un punto de vista individual, reducirá las emisiones de carbono de la población, que podrá experimentar una vida ecológica.</w:t>
      </w:r>
    </w:p>
    <w:p w:rsidR="00A87E27" w:rsidRPr="009D06C9" w:rsidRDefault="00A87E27" w:rsidP="00A87E27">
      <w:pPr>
        <w:pStyle w:val="Heading2"/>
        <w:rPr>
          <w:lang w:val="es-ES_tradnl" w:eastAsia="ko-KR"/>
        </w:rPr>
      </w:pPr>
      <w:bookmarkStart w:id="87" w:name="_Toc421882732"/>
      <w:bookmarkStart w:id="88" w:name="_Toc498004380"/>
      <w:r w:rsidRPr="009D06C9">
        <w:rPr>
          <w:lang w:val="es-ES_tradnl" w:eastAsia="ko-KR"/>
        </w:rPr>
        <w:t>A5</w:t>
      </w:r>
      <w:r w:rsidRPr="009D06C9">
        <w:rPr>
          <w:lang w:val="es-ES_tradnl"/>
        </w:rPr>
        <w:t>.</w:t>
      </w:r>
      <w:r w:rsidRPr="009D06C9">
        <w:rPr>
          <w:lang w:val="es-ES_tradnl" w:eastAsia="ko-KR"/>
        </w:rPr>
        <w:t>2</w:t>
      </w:r>
      <w:r w:rsidRPr="009D06C9">
        <w:rPr>
          <w:lang w:val="es-ES_tradnl"/>
        </w:rPr>
        <w:tab/>
      </w:r>
      <w:bookmarkEnd w:id="87"/>
      <w:r w:rsidRPr="009D06C9">
        <w:rPr>
          <w:lang w:val="es-ES_tradnl" w:eastAsia="ko-KR"/>
        </w:rPr>
        <w:t>Desarrollo tecnológico</w:t>
      </w:r>
      <w:bookmarkEnd w:id="88"/>
    </w:p>
    <w:p w:rsidR="00A87E27" w:rsidRPr="009D06C9" w:rsidRDefault="00A87E27" w:rsidP="00A87E27">
      <w:pPr>
        <w:rPr>
          <w:rFonts w:eastAsia="Batang"/>
          <w:lang w:val="es-ES_tradnl" w:eastAsia="ko-KR"/>
        </w:rPr>
      </w:pPr>
      <w:r w:rsidRPr="009D06C9">
        <w:rPr>
          <w:rFonts w:eastAsia="Batang"/>
          <w:lang w:val="es-ES_tradnl" w:eastAsia="ko-KR"/>
        </w:rPr>
        <w:t>Una ciudad de 3 000 hogares será el banco de prueba de la red inteligente (10 MW), donde habrá en total dos subestaciones con por lo menos 2 </w:t>
      </w:r>
      <w:r w:rsidRPr="009D06C9">
        <w:rPr>
          <w:rFonts w:eastAsia="Batang"/>
          <w:i/>
          <w:iCs/>
          <w:lang w:val="es-ES_tradnl" w:eastAsia="ko-KR"/>
        </w:rPr>
        <w:t>BANK</w:t>
      </w:r>
      <w:r w:rsidRPr="009D06C9">
        <w:rPr>
          <w:rFonts w:eastAsia="Batang"/>
          <w:lang w:val="es-ES_tradnl" w:eastAsia="ko-KR"/>
        </w:rPr>
        <w:t xml:space="preserve"> y, para cada </w:t>
      </w:r>
      <w:r w:rsidRPr="009D06C9">
        <w:rPr>
          <w:rFonts w:eastAsia="Batang"/>
          <w:i/>
          <w:iCs/>
          <w:lang w:val="es-ES_tradnl" w:eastAsia="ko-KR"/>
        </w:rPr>
        <w:t>BANK</w:t>
      </w:r>
      <w:r w:rsidRPr="009D06C9">
        <w:rPr>
          <w:rFonts w:eastAsia="Batang"/>
          <w:lang w:val="es-ES_tradnl" w:eastAsia="ko-KR"/>
        </w:rPr>
        <w:t>, habrá dos líneas de distribución. El banco de prueba de red inteligente permitirá obtener resultados para los programas de investigación sobre «transmisión de potencia utilizando TI» y nuevos recursos energéticos renovables.</w:t>
      </w:r>
    </w:p>
    <w:p w:rsidR="00A87E27" w:rsidRPr="009D06C9" w:rsidRDefault="00A87E27" w:rsidP="00A87E27">
      <w:pPr>
        <w:rPr>
          <w:rFonts w:eastAsia="Batang"/>
          <w:lang w:val="es-ES_tradnl"/>
        </w:rPr>
      </w:pPr>
      <w:r w:rsidRPr="009D06C9">
        <w:rPr>
          <w:rFonts w:eastAsia="Batang"/>
          <w:lang w:val="es-ES_tradnl" w:eastAsia="ko-KR"/>
        </w:rPr>
        <w:t>Unos 10 consorcios de cinco sectores han participado en pruebas de tecnologías y desarrollo de modelos de actividad comercial y han implementado este proyecto en las dos fases indicadas en el Cuadro A5.1.</w:t>
      </w:r>
    </w:p>
    <w:p w:rsidR="00A87E27" w:rsidRPr="009D06C9" w:rsidRDefault="00A87E27" w:rsidP="00A87E27">
      <w:pPr>
        <w:pStyle w:val="TableNo"/>
        <w:rPr>
          <w:rFonts w:eastAsia="Batang"/>
          <w:lang w:val="es-ES_tradnl" w:eastAsia="ko-KR"/>
        </w:rPr>
      </w:pPr>
      <w:r w:rsidRPr="009D06C9">
        <w:rPr>
          <w:rFonts w:eastAsia="Batang"/>
          <w:lang w:val="es-ES_tradnl" w:eastAsia="ko-KR"/>
        </w:rPr>
        <w:t>CUADRO A5.1</w:t>
      </w:r>
    </w:p>
    <w:p w:rsidR="00A87E27" w:rsidRPr="009D06C9" w:rsidRDefault="00A87E27" w:rsidP="00A87E27">
      <w:pPr>
        <w:pStyle w:val="Tabletitle"/>
        <w:rPr>
          <w:rFonts w:eastAsia="Batang"/>
          <w:lang w:val="es-ES_tradnl" w:eastAsia="ko-KR"/>
        </w:rPr>
      </w:pPr>
      <w:r w:rsidRPr="009D06C9">
        <w:rPr>
          <w:rFonts w:eastAsia="Batang"/>
          <w:lang w:val="es-ES_tradnl" w:eastAsia="ko-KR"/>
        </w:rPr>
        <w:t>Plano de implementación del banco de prueba Jeju por fases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1445"/>
        <w:gridCol w:w="2407"/>
        <w:gridCol w:w="3455"/>
      </w:tblGrid>
      <w:tr w:rsidR="00A87E27" w:rsidRPr="009D06C9" w:rsidTr="00090ED8">
        <w:trPr>
          <w:trHeight w:val="446"/>
          <w:jc w:val="center"/>
        </w:trPr>
        <w:tc>
          <w:tcPr>
            <w:tcW w:w="2324" w:type="dxa"/>
            <w:shd w:val="clear" w:color="auto" w:fill="auto"/>
            <w:vAlign w:val="center"/>
          </w:tcPr>
          <w:p w:rsidR="00A87E27" w:rsidRPr="009D06C9" w:rsidRDefault="00A87E27" w:rsidP="00090ED8">
            <w:pPr>
              <w:pStyle w:val="Tablehead"/>
              <w:rPr>
                <w:rFonts w:eastAsia="Batang"/>
                <w:lang w:val="es-ES_tradnl"/>
              </w:rPr>
            </w:pPr>
            <w:r w:rsidRPr="009D06C9">
              <w:rPr>
                <w:rFonts w:eastAsia="Batang"/>
                <w:lang w:val="es-ES_tradnl"/>
              </w:rPr>
              <w:t>Fase</w:t>
            </w:r>
          </w:p>
        </w:tc>
        <w:tc>
          <w:tcPr>
            <w:tcW w:w="1446" w:type="dxa"/>
            <w:shd w:val="clear" w:color="auto" w:fill="auto"/>
            <w:vAlign w:val="center"/>
          </w:tcPr>
          <w:p w:rsidR="00A87E27" w:rsidRPr="009D06C9" w:rsidRDefault="00A87E27" w:rsidP="00090ED8">
            <w:pPr>
              <w:pStyle w:val="Tablehead"/>
              <w:rPr>
                <w:rFonts w:eastAsia="Batang"/>
                <w:lang w:val="es-ES_tradnl"/>
              </w:rPr>
            </w:pPr>
            <w:r w:rsidRPr="009D06C9">
              <w:rPr>
                <w:rFonts w:eastAsia="Batang"/>
                <w:lang w:val="es-ES_tradnl"/>
              </w:rPr>
              <w:t>Periodo</w:t>
            </w:r>
          </w:p>
        </w:tc>
        <w:tc>
          <w:tcPr>
            <w:tcW w:w="2410" w:type="dxa"/>
            <w:shd w:val="clear" w:color="auto" w:fill="auto"/>
            <w:vAlign w:val="center"/>
          </w:tcPr>
          <w:p w:rsidR="00A87E27" w:rsidRPr="009D06C9" w:rsidRDefault="00A87E27" w:rsidP="00090ED8">
            <w:pPr>
              <w:pStyle w:val="Tablehead"/>
              <w:rPr>
                <w:rFonts w:eastAsia="Batang"/>
                <w:lang w:val="es-ES_tradnl"/>
              </w:rPr>
            </w:pPr>
            <w:r w:rsidRPr="009D06C9">
              <w:rPr>
                <w:rFonts w:eastAsia="Batang"/>
                <w:lang w:val="es-ES_tradnl"/>
              </w:rPr>
              <w:t xml:space="preserve">Ámbitos clave </w:t>
            </w:r>
          </w:p>
        </w:tc>
        <w:tc>
          <w:tcPr>
            <w:tcW w:w="3458" w:type="dxa"/>
            <w:shd w:val="clear" w:color="auto" w:fill="auto"/>
            <w:vAlign w:val="center"/>
          </w:tcPr>
          <w:p w:rsidR="00A87E27" w:rsidRPr="009D06C9" w:rsidRDefault="00A87E27" w:rsidP="00090ED8">
            <w:pPr>
              <w:pStyle w:val="Tablehead"/>
              <w:rPr>
                <w:rFonts w:eastAsia="Batang"/>
                <w:lang w:val="es-ES_tradnl"/>
              </w:rPr>
            </w:pPr>
            <w:r w:rsidRPr="009D06C9">
              <w:rPr>
                <w:rFonts w:eastAsia="Batang"/>
                <w:lang w:val="es-ES_tradnl"/>
              </w:rPr>
              <w:t>Contenidos clave</w:t>
            </w:r>
          </w:p>
        </w:tc>
      </w:tr>
      <w:tr w:rsidR="00A87E27" w:rsidRPr="00D30DBF" w:rsidTr="00090ED8">
        <w:trPr>
          <w:jc w:val="center"/>
        </w:trPr>
        <w:tc>
          <w:tcPr>
            <w:tcW w:w="2324" w:type="dxa"/>
          </w:tcPr>
          <w:p w:rsidR="00A87E27" w:rsidRPr="009D06C9" w:rsidRDefault="00A87E27" w:rsidP="00090ED8">
            <w:pPr>
              <w:pStyle w:val="Tabletext"/>
              <w:keepNext/>
              <w:jc w:val="left"/>
              <w:rPr>
                <w:lang w:val="es-ES_tradnl" w:eastAsia="ko-KR"/>
              </w:rPr>
            </w:pPr>
            <w:r w:rsidRPr="009D06C9">
              <w:rPr>
                <w:lang w:val="es-ES_tradnl" w:eastAsia="ko-KR"/>
              </w:rPr>
              <w:t>Prestación de nuevos servicios energéticos</w:t>
            </w:r>
          </w:p>
        </w:tc>
        <w:tc>
          <w:tcPr>
            <w:tcW w:w="1446" w:type="dxa"/>
          </w:tcPr>
          <w:p w:rsidR="00A87E27" w:rsidRPr="009D06C9" w:rsidRDefault="00A87E27" w:rsidP="00090ED8">
            <w:pPr>
              <w:pStyle w:val="Tabletext"/>
              <w:keepNext/>
              <w:jc w:val="left"/>
              <w:rPr>
                <w:lang w:val="es-ES_tradnl" w:eastAsia="ko-KR"/>
              </w:rPr>
            </w:pPr>
            <w:r w:rsidRPr="009D06C9">
              <w:rPr>
                <w:lang w:val="es-ES_tradnl" w:eastAsia="ko-KR"/>
              </w:rPr>
              <w:t>2010~2011</w:t>
            </w:r>
          </w:p>
        </w:tc>
        <w:tc>
          <w:tcPr>
            <w:tcW w:w="2410" w:type="dxa"/>
          </w:tcPr>
          <w:p w:rsidR="00A87E27" w:rsidRPr="009D06C9" w:rsidRDefault="00A87E27" w:rsidP="00090ED8">
            <w:pPr>
              <w:pStyle w:val="Tabletext"/>
              <w:keepNext/>
              <w:jc w:val="left"/>
              <w:rPr>
                <w:lang w:val="es-ES_tradnl" w:eastAsia="ko-KR"/>
              </w:rPr>
            </w:pPr>
            <w:r w:rsidRPr="009D06C9">
              <w:rPr>
                <w:lang w:val="es-ES_tradnl" w:eastAsia="ko-KR"/>
              </w:rPr>
              <w:t>Red eléctrica inteligente</w:t>
            </w:r>
          </w:p>
          <w:p w:rsidR="00A87E27" w:rsidRPr="009D06C9" w:rsidRDefault="00A87E27" w:rsidP="00090ED8">
            <w:pPr>
              <w:pStyle w:val="Tabletext"/>
              <w:keepNext/>
              <w:jc w:val="left"/>
              <w:rPr>
                <w:lang w:val="es-ES_tradnl" w:eastAsia="ko-KR"/>
              </w:rPr>
            </w:pPr>
            <w:r w:rsidRPr="009D06C9">
              <w:rPr>
                <w:lang w:val="es-ES_tradnl" w:eastAsia="ko-KR"/>
              </w:rPr>
              <w:t>Lugar inteligente</w:t>
            </w:r>
          </w:p>
          <w:p w:rsidR="00A87E27" w:rsidRPr="009D06C9" w:rsidRDefault="00A87E27" w:rsidP="00090ED8">
            <w:pPr>
              <w:pStyle w:val="Tabletext"/>
              <w:keepNext/>
              <w:jc w:val="left"/>
              <w:rPr>
                <w:lang w:val="es-ES_tradnl" w:eastAsia="ko-KR"/>
              </w:rPr>
            </w:pPr>
            <w:r w:rsidRPr="009D06C9">
              <w:rPr>
                <w:lang w:val="es-ES_tradnl" w:eastAsia="ko-KR"/>
              </w:rPr>
              <w:t>Transporte inteligente</w:t>
            </w:r>
          </w:p>
        </w:tc>
        <w:tc>
          <w:tcPr>
            <w:tcW w:w="3458" w:type="dxa"/>
          </w:tcPr>
          <w:p w:rsidR="00A87E27" w:rsidRPr="009D06C9" w:rsidRDefault="00A87E27" w:rsidP="00090ED8">
            <w:pPr>
              <w:pStyle w:val="Tabletext"/>
              <w:keepNext/>
              <w:jc w:val="left"/>
              <w:rPr>
                <w:lang w:val="es-ES_tradnl" w:eastAsia="ko-KR"/>
              </w:rPr>
            </w:pPr>
            <w:r w:rsidRPr="009D06C9">
              <w:rPr>
                <w:lang w:val="es-ES_tradnl" w:eastAsia="ko-KR"/>
              </w:rPr>
              <w:t>Conexión de redes y consumidores, redes y vehículos eléctricos</w:t>
            </w:r>
          </w:p>
        </w:tc>
      </w:tr>
      <w:tr w:rsidR="00A87E27" w:rsidRPr="00D30DBF" w:rsidTr="00090ED8">
        <w:trPr>
          <w:jc w:val="center"/>
        </w:trPr>
        <w:tc>
          <w:tcPr>
            <w:tcW w:w="2324" w:type="dxa"/>
          </w:tcPr>
          <w:p w:rsidR="00A87E27" w:rsidRPr="009D06C9" w:rsidRDefault="00A87E27" w:rsidP="00090ED8">
            <w:pPr>
              <w:pStyle w:val="Tabletext"/>
              <w:jc w:val="left"/>
              <w:rPr>
                <w:lang w:val="es-ES_tradnl" w:eastAsia="ko-KR"/>
              </w:rPr>
            </w:pPr>
            <w:r w:rsidRPr="009D06C9">
              <w:rPr>
                <w:lang w:val="es-ES_tradnl" w:eastAsia="ko-KR"/>
              </w:rPr>
              <w:t>Etapa de expansión</w:t>
            </w:r>
            <w:r w:rsidRPr="009D06C9">
              <w:rPr>
                <w:lang w:val="es-ES_tradnl" w:eastAsia="ko-KR"/>
              </w:rPr>
              <w:br/>
              <w:t>(operación integrada)</w:t>
            </w:r>
          </w:p>
        </w:tc>
        <w:tc>
          <w:tcPr>
            <w:tcW w:w="1446" w:type="dxa"/>
          </w:tcPr>
          <w:p w:rsidR="00A87E27" w:rsidRPr="009D06C9" w:rsidRDefault="00A87E27" w:rsidP="00090ED8">
            <w:pPr>
              <w:pStyle w:val="Tabletext"/>
              <w:jc w:val="left"/>
              <w:rPr>
                <w:lang w:val="es-ES_tradnl" w:eastAsia="ko-KR"/>
              </w:rPr>
            </w:pPr>
            <w:r w:rsidRPr="009D06C9">
              <w:rPr>
                <w:lang w:val="es-ES_tradnl" w:eastAsia="ko-KR"/>
              </w:rPr>
              <w:t>2012~2013</w:t>
            </w:r>
          </w:p>
        </w:tc>
        <w:tc>
          <w:tcPr>
            <w:tcW w:w="2410" w:type="dxa"/>
          </w:tcPr>
          <w:p w:rsidR="00A87E27" w:rsidRPr="009D06C9" w:rsidRDefault="00A87E27" w:rsidP="00090ED8">
            <w:pPr>
              <w:pStyle w:val="Tabletext"/>
              <w:jc w:val="left"/>
              <w:rPr>
                <w:lang w:val="es-ES_tradnl" w:eastAsia="ko-KR"/>
              </w:rPr>
            </w:pPr>
            <w:r w:rsidRPr="009D06C9">
              <w:rPr>
                <w:lang w:val="es-ES_tradnl" w:eastAsia="ko-KR"/>
              </w:rPr>
              <w:t>Renovable inteligente</w:t>
            </w:r>
          </w:p>
          <w:p w:rsidR="00A87E27" w:rsidRPr="009D06C9" w:rsidRDefault="00A87E27" w:rsidP="00090ED8">
            <w:pPr>
              <w:pStyle w:val="Tabletext"/>
              <w:jc w:val="left"/>
              <w:rPr>
                <w:lang w:val="es-ES_tradnl" w:eastAsia="ko-KR"/>
              </w:rPr>
            </w:pPr>
            <w:r w:rsidRPr="009D06C9">
              <w:rPr>
                <w:lang w:val="es-ES_tradnl" w:eastAsia="ko-KR"/>
              </w:rPr>
              <w:t>Servicio de electricidad inteligente</w:t>
            </w:r>
          </w:p>
        </w:tc>
        <w:tc>
          <w:tcPr>
            <w:tcW w:w="3458" w:type="dxa"/>
            <w:vAlign w:val="center"/>
          </w:tcPr>
          <w:p w:rsidR="00A87E27" w:rsidRPr="009D06C9" w:rsidRDefault="00A87E27" w:rsidP="00090ED8">
            <w:pPr>
              <w:pStyle w:val="Tabletext"/>
              <w:ind w:left="284" w:hanging="284"/>
              <w:jc w:val="left"/>
              <w:rPr>
                <w:lang w:val="es-ES_tradnl" w:eastAsia="ko-KR"/>
              </w:rPr>
            </w:pPr>
            <w:r w:rsidRPr="009D06C9">
              <w:rPr>
                <w:rFonts w:eastAsia="Batang"/>
                <w:lang w:val="es-ES_tradnl" w:eastAsia="ko-KR"/>
              </w:rPr>
              <w:t>–</w:t>
            </w:r>
            <w:r w:rsidRPr="009D06C9">
              <w:rPr>
                <w:rFonts w:eastAsia="Batang"/>
                <w:lang w:val="es-ES_tradnl" w:eastAsia="ko-KR"/>
              </w:rPr>
              <w:tab/>
              <w:t>Prestación de nuevos servicios energéticos</w:t>
            </w:r>
          </w:p>
          <w:p w:rsidR="00A87E27" w:rsidRPr="009D06C9" w:rsidRDefault="00A87E27" w:rsidP="00090ED8">
            <w:pPr>
              <w:pStyle w:val="Tabletext"/>
              <w:ind w:left="284" w:hanging="284"/>
              <w:jc w:val="left"/>
              <w:rPr>
                <w:lang w:val="es-ES_tradnl" w:eastAsia="ko-KR"/>
              </w:rPr>
            </w:pPr>
            <w:r w:rsidRPr="009D06C9">
              <w:rPr>
                <w:rFonts w:eastAsia="Batang"/>
                <w:lang w:val="es-ES_tradnl" w:eastAsia="ko-KR"/>
              </w:rPr>
              <w:t>–</w:t>
            </w:r>
            <w:r w:rsidRPr="009D06C9">
              <w:rPr>
                <w:rFonts w:eastAsia="Batang"/>
                <w:lang w:val="es-ES_tradnl" w:eastAsia="ko-KR"/>
              </w:rPr>
              <w:tab/>
              <w:t>Incorporación de fuentes de energía renovables en la red eléctrica</w:t>
            </w:r>
          </w:p>
        </w:tc>
      </w:tr>
    </w:tbl>
    <w:p w:rsidR="00A87E27" w:rsidRPr="009D06C9" w:rsidRDefault="00A87E27" w:rsidP="00A87E27">
      <w:pPr>
        <w:rPr>
          <w:lang w:val="es-ES_tradnl"/>
        </w:rPr>
      </w:pPr>
      <w:bookmarkStart w:id="89" w:name="_Toc421882733"/>
    </w:p>
    <w:p w:rsidR="00A87E27" w:rsidRPr="009D06C9" w:rsidRDefault="00A87E27" w:rsidP="00A87E27">
      <w:pPr>
        <w:rPr>
          <w:lang w:val="es-ES_tradnl"/>
        </w:rPr>
      </w:pPr>
    </w:p>
    <w:p w:rsidR="00A87E27" w:rsidRPr="009D06C9" w:rsidRDefault="00A87E27" w:rsidP="00A87E27">
      <w:pPr>
        <w:pStyle w:val="AnnexNoTitle"/>
        <w:rPr>
          <w:lang w:val="es-ES_tradnl"/>
        </w:rPr>
      </w:pPr>
      <w:r w:rsidRPr="009D06C9">
        <w:rPr>
          <w:lang w:val="es-ES_tradnl"/>
        </w:rPr>
        <w:lastRenderedPageBreak/>
        <w:t>Anexo 6</w:t>
      </w:r>
      <w:bookmarkEnd w:id="89"/>
      <w:r w:rsidRPr="009D06C9">
        <w:rPr>
          <w:lang w:val="es-ES_tradnl"/>
        </w:rPr>
        <w:br/>
      </w:r>
      <w:r w:rsidRPr="009D06C9">
        <w:rPr>
          <w:lang w:val="es-ES_tradnl"/>
        </w:rPr>
        <w:br/>
      </w:r>
      <w:bookmarkStart w:id="90" w:name="_Toc421880956"/>
      <w:bookmarkStart w:id="91" w:name="_Toc421882734"/>
      <w:r w:rsidRPr="009D06C9">
        <w:rPr>
          <w:rFonts w:eastAsia="Batang"/>
          <w:lang w:val="es-ES_tradnl" w:eastAsia="ko-KR"/>
        </w:rPr>
        <w:t>Red inteligente en Indonesia</w:t>
      </w:r>
      <w:bookmarkEnd w:id="90"/>
      <w:bookmarkEnd w:id="91"/>
    </w:p>
    <w:p w:rsidR="00A87E27" w:rsidRPr="009D06C9" w:rsidRDefault="00A87E27" w:rsidP="00A87E27">
      <w:pPr>
        <w:pStyle w:val="Heading2"/>
        <w:rPr>
          <w:lang w:val="es-ES_tradnl" w:eastAsia="zh-CN"/>
        </w:rPr>
      </w:pPr>
      <w:bookmarkStart w:id="92" w:name="_Toc421882735"/>
      <w:bookmarkStart w:id="93" w:name="_Toc498004381"/>
      <w:r w:rsidRPr="009D06C9">
        <w:rPr>
          <w:lang w:val="es-ES_tradnl" w:eastAsia="zh-CN"/>
        </w:rPr>
        <w:t>A6.1</w:t>
      </w:r>
      <w:r w:rsidRPr="009D06C9">
        <w:rPr>
          <w:lang w:val="es-ES_tradnl" w:eastAsia="zh-CN"/>
        </w:rPr>
        <w:tab/>
        <w:t>Introducción</w:t>
      </w:r>
      <w:bookmarkEnd w:id="92"/>
      <w:bookmarkEnd w:id="93"/>
      <w:r w:rsidRPr="009D06C9">
        <w:rPr>
          <w:lang w:val="es-ES_tradnl" w:eastAsia="zh-CN"/>
        </w:rPr>
        <w:t xml:space="preserve"> </w:t>
      </w:r>
    </w:p>
    <w:p w:rsidR="00A87E27" w:rsidRPr="009D06C9" w:rsidRDefault="00A87E27" w:rsidP="00A87E27">
      <w:pPr>
        <w:keepNext/>
        <w:keepLines/>
        <w:rPr>
          <w:lang w:val="es-ES_tradnl"/>
        </w:rPr>
      </w:pPr>
      <w:r w:rsidRPr="009D06C9">
        <w:rPr>
          <w:lang w:val="es-ES_tradnl" w:eastAsia="zh-CN"/>
        </w:rPr>
        <w:t>La implementación de redes inteligentes comprende equipos tecnológicos que cambian el servicio entre la planta de producción y el cliente y consisten en 7 dominios importantes: generación al por mayor, transmisión, distribución, clientes, operación, mercado y proveedor de servicio. Cada dominio consiste a su vez de eventos de red inteligente que están conectados unos con otros por comunicaciones bidireccionales analógicas o digitales para reunir información y transportar electricidad. Las conexiones son fundamentales para aumentar la eficiencia, fiabilidad, seguridad y economía de la red inteligente y una producción y distribución de electricidad sostenible</w:t>
      </w:r>
      <w:r w:rsidRPr="009D06C9">
        <w:rPr>
          <w:lang w:val="es-ES_tradnl"/>
        </w:rPr>
        <w:t>.</w:t>
      </w:r>
    </w:p>
    <w:p w:rsidR="00A87E27" w:rsidRPr="009D06C9" w:rsidRDefault="00A87E27" w:rsidP="00A87E27">
      <w:pPr>
        <w:pStyle w:val="FigureNo"/>
        <w:spacing w:before="240"/>
        <w:rPr>
          <w:lang w:val="es-ES_tradnl"/>
        </w:rPr>
      </w:pPr>
      <w:r w:rsidRPr="009D06C9">
        <w:rPr>
          <w:lang w:val="es-ES_tradnl"/>
        </w:rPr>
        <w:t>Figura A6.1</w:t>
      </w:r>
    </w:p>
    <w:p w:rsidR="00A87E27" w:rsidRPr="009D06C9" w:rsidRDefault="00A87E27" w:rsidP="00A87E27">
      <w:pPr>
        <w:pStyle w:val="Figuretitle"/>
        <w:rPr>
          <w:lang w:val="es-ES_tradnl"/>
        </w:rPr>
      </w:pPr>
      <w:r w:rsidRPr="009D06C9">
        <w:rPr>
          <w:lang w:val="es-ES_tradnl"/>
        </w:rPr>
        <w:t>Interacciones entre actores de la red inteligente</w:t>
      </w:r>
    </w:p>
    <w:p w:rsidR="00A87E27" w:rsidRPr="009D06C9" w:rsidRDefault="00A87E27" w:rsidP="00A87E27">
      <w:pPr>
        <w:pStyle w:val="Figure"/>
        <w:rPr>
          <w:lang w:val="es-ES_tradnl"/>
        </w:rPr>
      </w:pPr>
      <w:r w:rsidRPr="009D06C9">
        <w:rPr>
          <w:lang w:val="es-ES_tradnl"/>
        </w:rPr>
        <w:object w:dxaOrig="5419" w:dyaOrig="3219">
          <v:shape id="_x0000_i1026" type="#_x0000_t75" style="width:453.3pt;height:266.1pt" o:ole="">
            <v:imagedata r:id="rId22" o:title=""/>
          </v:shape>
          <o:OLEObject Type="Embed" ProgID="CorelDRAW.Graphic.14" ShapeID="_x0000_i1026" DrawAspect="Content" ObjectID="_1572074330" r:id="rId23"/>
        </w:object>
      </w:r>
    </w:p>
    <w:p w:rsidR="00A87E27" w:rsidRPr="009D06C9" w:rsidRDefault="00A87E27" w:rsidP="00A87E27">
      <w:pPr>
        <w:rPr>
          <w:lang w:val="es-ES_tradnl" w:eastAsia="zh-CN"/>
        </w:rPr>
      </w:pPr>
      <w:r w:rsidRPr="009D06C9">
        <w:rPr>
          <w:lang w:val="es-ES_tradnl" w:eastAsia="zh-CN"/>
        </w:rPr>
        <w:t>El sistema de la red inteligente tiene tres capas principales: capa de potencia y energía, capa de comunicación y capa TI. Esas capas son fundamentales para la circulación de la electricidad y las comunicaciones.</w:t>
      </w:r>
    </w:p>
    <w:p w:rsidR="00A87E27" w:rsidRPr="009D06C9" w:rsidRDefault="00A87E27" w:rsidP="00A87E27">
      <w:pPr>
        <w:rPr>
          <w:lang w:val="es-ES_tradnl" w:eastAsia="zh-CN"/>
        </w:rPr>
      </w:pPr>
      <w:r w:rsidRPr="009D06C9">
        <w:rPr>
          <w:lang w:val="es-ES_tradnl" w:eastAsia="zh-CN"/>
        </w:rPr>
        <w:t>El precio del consumo y la energía tiende a aumentar. Esta condición corresponde a los abonados del servicio móvil.</w:t>
      </w:r>
    </w:p>
    <w:p w:rsidR="00A87E27" w:rsidRPr="009D06C9" w:rsidRDefault="00A87E27" w:rsidP="00A87E27">
      <w:pPr>
        <w:pStyle w:val="Heading2"/>
        <w:rPr>
          <w:lang w:val="es-ES_tradnl" w:eastAsia="zh-CN"/>
        </w:rPr>
      </w:pPr>
      <w:bookmarkStart w:id="94" w:name="_Toc421882736"/>
      <w:bookmarkStart w:id="95" w:name="_Toc498004382"/>
      <w:r w:rsidRPr="009D06C9">
        <w:rPr>
          <w:lang w:val="es-ES_tradnl" w:eastAsia="zh-CN"/>
        </w:rPr>
        <w:t>A6.2</w:t>
      </w:r>
      <w:r w:rsidRPr="009D06C9">
        <w:rPr>
          <w:lang w:val="es-ES_tradnl" w:eastAsia="zh-CN"/>
        </w:rPr>
        <w:tab/>
        <w:t>Desarrollo de la red inteligente y sus problemas</w:t>
      </w:r>
      <w:bookmarkEnd w:id="94"/>
      <w:bookmarkEnd w:id="95"/>
    </w:p>
    <w:p w:rsidR="00A87E27" w:rsidRPr="009D06C9" w:rsidRDefault="00A87E27" w:rsidP="00A87E27">
      <w:pPr>
        <w:rPr>
          <w:lang w:val="es-ES_tradnl" w:eastAsia="zh-CN"/>
        </w:rPr>
      </w:pPr>
      <w:r w:rsidRPr="009D06C9">
        <w:rPr>
          <w:lang w:val="es-ES_tradnl" w:eastAsia="zh-CN"/>
        </w:rPr>
        <w:t>El Gobierno indonesio es consciente de que la red inteligente podría ser una solución alternativa para una utilización eficiente de la electricidad. Por ese motivo, el organismo público ha creado un proyecto piloto de instalación de una red inteligente en la parte oriental de Indonesia. El proyecto piloto fue llevado a cabo por la Agencia de evaluación y aplicación tecnológicas en cooperación con PLN (Compañía Eléctrica Nacional).</w:t>
      </w:r>
    </w:p>
    <w:p w:rsidR="00A87E27" w:rsidRPr="009D06C9" w:rsidRDefault="00A87E27" w:rsidP="00A87E27">
      <w:pPr>
        <w:rPr>
          <w:lang w:val="es-ES_tradnl" w:eastAsia="zh-CN"/>
        </w:rPr>
      </w:pPr>
      <w:r w:rsidRPr="009D06C9">
        <w:rPr>
          <w:lang w:val="es-ES_tradnl" w:eastAsia="zh-CN"/>
        </w:rPr>
        <w:lastRenderedPageBreak/>
        <w:t>El desarrollo de la red inteligente plantea varias dificultades. Aspectos tecnológicos y comerciales que se podrían utilizar como referencia fundamental para desarrollar políticas y normativas.</w:t>
      </w:r>
    </w:p>
    <w:p w:rsidR="00A87E27" w:rsidRPr="009D06C9" w:rsidRDefault="00A87E27" w:rsidP="00A87E27">
      <w:pPr>
        <w:pStyle w:val="FigureNo"/>
        <w:rPr>
          <w:lang w:val="es-ES_tradnl"/>
        </w:rPr>
      </w:pPr>
      <w:r w:rsidRPr="009D06C9">
        <w:rPr>
          <w:lang w:val="es-ES_tradnl"/>
        </w:rPr>
        <w:t>Figura A6.2</w:t>
      </w:r>
    </w:p>
    <w:p w:rsidR="00A87E27" w:rsidRPr="009D06C9" w:rsidRDefault="00A87E27" w:rsidP="00A87E27">
      <w:pPr>
        <w:pStyle w:val="Figuretitle"/>
        <w:spacing w:after="0"/>
        <w:rPr>
          <w:lang w:val="es-ES_tradnl" w:eastAsia="zh-CN"/>
        </w:rPr>
      </w:pPr>
      <w:r w:rsidRPr="009D06C9">
        <w:rPr>
          <w:lang w:val="es-ES_tradnl" w:eastAsia="zh-CN"/>
        </w:rPr>
        <w:t>Problemas</w:t>
      </w:r>
    </w:p>
    <w:p w:rsidR="00A87E27" w:rsidRPr="009D06C9" w:rsidRDefault="00A87E27" w:rsidP="00A87E27">
      <w:pPr>
        <w:pStyle w:val="Figure"/>
        <w:rPr>
          <w:lang w:val="es-ES_tradnl" w:eastAsia="zh-CN"/>
        </w:rPr>
      </w:pPr>
      <w:r w:rsidRPr="009D06C9">
        <w:rPr>
          <w:lang w:val="es-ES_tradnl"/>
        </w:rPr>
        <w:object w:dxaOrig="4837" w:dyaOrig="5127">
          <v:shape id="_x0000_i1027" type="#_x0000_t75" style="width:403.2pt;height:424.5pt" o:ole="">
            <v:imagedata r:id="rId24" o:title=""/>
          </v:shape>
          <o:OLEObject Type="Embed" ProgID="CorelDRAW.Graphic.14" ShapeID="_x0000_i1027" DrawAspect="Content" ObjectID="_1572074331" r:id="rId25"/>
        </w:object>
      </w:r>
    </w:p>
    <w:p w:rsidR="00A87E27" w:rsidRPr="009D06C9" w:rsidRDefault="00A87E27" w:rsidP="00A87E27">
      <w:pPr>
        <w:rPr>
          <w:lang w:val="es-ES_tradnl" w:eastAsia="zh-CN"/>
        </w:rPr>
      </w:pPr>
      <w:r w:rsidRPr="009D06C9">
        <w:rPr>
          <w:lang w:val="es-ES_tradnl" w:eastAsia="zh-CN"/>
        </w:rPr>
        <w:t>En lo que concierne a la Fig. A6.2, los dos problemas principales que influencian el desarrollo de la red inteligente, nos preocupan varios problemas en aspectos de telecomunicaciones y TI, a saber:</w:t>
      </w:r>
    </w:p>
    <w:p w:rsidR="00A87E27" w:rsidRPr="009D06C9" w:rsidRDefault="00A87E27" w:rsidP="00A87E27">
      <w:pPr>
        <w:pStyle w:val="enumlev1"/>
        <w:rPr>
          <w:lang w:val="es-ES_tradnl"/>
        </w:rPr>
      </w:pPr>
      <w:r w:rsidRPr="009D06C9">
        <w:rPr>
          <w:lang w:val="es-ES_tradnl"/>
        </w:rPr>
        <w:t>a)</w:t>
      </w:r>
      <w:r w:rsidRPr="009D06C9">
        <w:rPr>
          <w:lang w:val="es-ES_tradnl"/>
        </w:rPr>
        <w:tab/>
        <w:t>Equipo normalizado y abastecimiento:</w:t>
      </w:r>
    </w:p>
    <w:p w:rsidR="00A87E27" w:rsidRPr="009D06C9" w:rsidRDefault="00A87E27" w:rsidP="00A87E27">
      <w:pPr>
        <w:pStyle w:val="enumlev2"/>
        <w:ind w:left="794" w:firstLine="0"/>
        <w:rPr>
          <w:lang w:val="es-ES_tradnl"/>
        </w:rPr>
      </w:pPr>
      <w:r w:rsidRPr="009D06C9">
        <w:rPr>
          <w:lang w:val="es-ES_tradnl"/>
        </w:rPr>
        <w:t>Proporcionar una breve descripción de la especificación técnica del equipo a fin de comprobar su compatibilidad.</w:t>
      </w:r>
    </w:p>
    <w:p w:rsidR="00A87E27" w:rsidRPr="009D06C9" w:rsidRDefault="00A87E27" w:rsidP="00A87E27">
      <w:pPr>
        <w:pStyle w:val="enumlev1"/>
        <w:rPr>
          <w:lang w:val="es-ES_tradnl"/>
        </w:rPr>
      </w:pPr>
      <w:r w:rsidRPr="009D06C9">
        <w:rPr>
          <w:lang w:val="es-ES_tradnl"/>
        </w:rPr>
        <w:t>b)</w:t>
      </w:r>
      <w:r w:rsidRPr="009D06C9">
        <w:rPr>
          <w:lang w:val="es-ES_tradnl"/>
        </w:rPr>
        <w:tab/>
        <w:t>Recursos de espectro:</w:t>
      </w:r>
    </w:p>
    <w:p w:rsidR="00A87E27" w:rsidRPr="009D06C9" w:rsidRDefault="00A87E27" w:rsidP="00A87E27">
      <w:pPr>
        <w:pStyle w:val="enumlev2"/>
        <w:ind w:left="794" w:firstLine="0"/>
        <w:rPr>
          <w:lang w:val="es-ES_tradnl"/>
        </w:rPr>
      </w:pPr>
      <w:r w:rsidRPr="009D06C9">
        <w:rPr>
          <w:lang w:val="es-ES_tradnl"/>
        </w:rPr>
        <w:t>Disponer de un plan estratégico sobre atribución de espectro y ancho de banda necesario para esa aplicación. Es importante para utilizar eficientemente recursos escasos.</w:t>
      </w:r>
    </w:p>
    <w:p w:rsidR="00A87E27" w:rsidRPr="009D06C9" w:rsidRDefault="00A87E27" w:rsidP="00A87E27">
      <w:pPr>
        <w:pStyle w:val="enumlev1"/>
        <w:keepNext/>
        <w:rPr>
          <w:lang w:val="es-ES_tradnl"/>
        </w:rPr>
      </w:pPr>
      <w:r w:rsidRPr="009D06C9">
        <w:rPr>
          <w:lang w:val="es-ES_tradnl"/>
        </w:rPr>
        <w:t>c)</w:t>
      </w:r>
      <w:r w:rsidRPr="009D06C9">
        <w:rPr>
          <w:lang w:val="es-ES_tradnl"/>
        </w:rPr>
        <w:tab/>
        <w:t>Interferencia en el espectro:</w:t>
      </w:r>
    </w:p>
    <w:p w:rsidR="00A87E27" w:rsidRPr="009D06C9" w:rsidRDefault="00A87E27" w:rsidP="00A87E27">
      <w:pPr>
        <w:pStyle w:val="enumlev2"/>
        <w:ind w:left="794" w:firstLine="0"/>
        <w:rPr>
          <w:lang w:val="es-ES_tradnl"/>
        </w:rPr>
      </w:pPr>
      <w:r w:rsidRPr="009D06C9">
        <w:rPr>
          <w:lang w:val="es-ES_tradnl"/>
        </w:rPr>
        <w:t>Asegurarse de que esa tecnología no causa interferencias a otros servicios.</w:t>
      </w:r>
    </w:p>
    <w:p w:rsidR="00A87E27" w:rsidRPr="009D06C9" w:rsidRDefault="00A87E27" w:rsidP="00A87E27">
      <w:pPr>
        <w:pStyle w:val="enumlev1"/>
        <w:rPr>
          <w:lang w:val="es-ES_tradnl"/>
        </w:rPr>
      </w:pPr>
      <w:r w:rsidRPr="009D06C9">
        <w:rPr>
          <w:lang w:val="es-ES_tradnl"/>
        </w:rPr>
        <w:t>d)</w:t>
      </w:r>
      <w:r w:rsidRPr="009D06C9">
        <w:rPr>
          <w:lang w:val="es-ES_tradnl"/>
        </w:rPr>
        <w:tab/>
        <w:t>Seguridad de la red:</w:t>
      </w:r>
    </w:p>
    <w:p w:rsidR="00A87E27" w:rsidRPr="009D06C9" w:rsidRDefault="00A87E27" w:rsidP="00A87E27">
      <w:pPr>
        <w:pStyle w:val="enumlev2"/>
        <w:rPr>
          <w:lang w:val="es-ES_tradnl"/>
        </w:rPr>
      </w:pPr>
      <w:r w:rsidRPr="009D06C9">
        <w:rPr>
          <w:lang w:val="es-ES_tradnl"/>
        </w:rPr>
        <w:t>Asegurarse de la seguridad del flujo de datos.</w:t>
      </w:r>
    </w:p>
    <w:p w:rsidR="00A87E27" w:rsidRPr="009D06C9" w:rsidRDefault="00A87E27" w:rsidP="00A87E27">
      <w:pPr>
        <w:rPr>
          <w:lang w:val="es-ES_tradnl" w:eastAsia="zh-CN"/>
        </w:rPr>
      </w:pPr>
      <w:r w:rsidRPr="009D06C9">
        <w:rPr>
          <w:lang w:val="es-ES_tradnl" w:eastAsia="zh-CN"/>
        </w:rPr>
        <w:lastRenderedPageBreak/>
        <w:t>Dado que esta aplicación se puede utilizar en varios servicios (de banda ancha) móviles, se propone que la Comisión de Estudio sigua examinando los requisitos de telecomunicaciones para ayudar a los países en desarrollo a determinar un plan estratégico que sirva de orientación para políticas y normativas adecuadas en relación con la implementación de una red inteligente.</w:t>
      </w:r>
    </w:p>
    <w:p w:rsidR="00A87E27" w:rsidRPr="009D06C9" w:rsidRDefault="00A87E27" w:rsidP="00A87E27">
      <w:pPr>
        <w:rPr>
          <w:lang w:val="es-ES_tradnl" w:eastAsia="zh-CN"/>
        </w:rPr>
      </w:pPr>
    </w:p>
    <w:p w:rsidR="00A87E27" w:rsidRPr="009D06C9" w:rsidRDefault="00A87E27" w:rsidP="00A87E27">
      <w:pPr>
        <w:rPr>
          <w:lang w:val="es-ES_tradnl" w:eastAsia="zh-CN"/>
        </w:rPr>
      </w:pPr>
    </w:p>
    <w:p w:rsidR="00A87E27" w:rsidRPr="009D06C9" w:rsidRDefault="00A87E27" w:rsidP="00A87E27">
      <w:pPr>
        <w:rPr>
          <w:lang w:val="es-ES_tradnl" w:eastAsia="zh-CN"/>
        </w:rPr>
      </w:pPr>
    </w:p>
    <w:p w:rsidR="00A87E27" w:rsidRPr="009D06C9" w:rsidRDefault="00A87E27" w:rsidP="00A87E27">
      <w:pPr>
        <w:rPr>
          <w:lang w:val="es-ES_tradnl" w:eastAsia="zh-CN"/>
        </w:rPr>
      </w:pPr>
    </w:p>
    <w:p w:rsidR="00A87E27" w:rsidRPr="009D06C9" w:rsidRDefault="00A87E27" w:rsidP="00A87E27">
      <w:pPr>
        <w:pStyle w:val="AnnexNoTitle"/>
        <w:rPr>
          <w:lang w:val="es-ES_tradnl"/>
        </w:rPr>
      </w:pPr>
      <w:bookmarkStart w:id="96" w:name="_Toc421882737"/>
      <w:r w:rsidRPr="009D06C9">
        <w:rPr>
          <w:lang w:val="es-ES_tradnl"/>
        </w:rPr>
        <w:t>Anexo 7</w:t>
      </w:r>
      <w:bookmarkEnd w:id="96"/>
      <w:r w:rsidRPr="009D06C9">
        <w:rPr>
          <w:lang w:val="es-ES_tradnl"/>
        </w:rPr>
        <w:br/>
      </w:r>
      <w:r w:rsidRPr="009D06C9">
        <w:rPr>
          <w:lang w:val="es-ES_tradnl"/>
        </w:rPr>
        <w:br/>
      </w:r>
      <w:bookmarkStart w:id="97" w:name="_Toc421880960"/>
      <w:bookmarkStart w:id="98" w:name="_Toc421882738"/>
      <w:r w:rsidRPr="009D06C9">
        <w:rPr>
          <w:lang w:val="es-ES_tradnl" w:eastAsia="zh-CN"/>
        </w:rPr>
        <w:t xml:space="preserve">Investigaciones sobre tecnologías de acceso inalámbrico </w:t>
      </w:r>
      <w:r w:rsidRPr="009D06C9">
        <w:rPr>
          <w:lang w:val="es-ES_tradnl" w:eastAsia="zh-CN"/>
        </w:rPr>
        <w:br/>
        <w:t>para red inteligente en China</w:t>
      </w:r>
      <w:bookmarkEnd w:id="97"/>
      <w:bookmarkEnd w:id="98"/>
    </w:p>
    <w:p w:rsidR="00A87E27" w:rsidRPr="009D06C9" w:rsidRDefault="00A87E27" w:rsidP="00A87E27">
      <w:pPr>
        <w:pStyle w:val="Heading2"/>
        <w:rPr>
          <w:lang w:val="es-ES_tradnl"/>
        </w:rPr>
      </w:pPr>
      <w:bookmarkStart w:id="99" w:name="_Toc421882739"/>
      <w:bookmarkStart w:id="100" w:name="_Toc498004383"/>
      <w:r w:rsidRPr="009D06C9">
        <w:rPr>
          <w:lang w:val="es-ES_tradnl"/>
        </w:rPr>
        <w:t>A7.1</w:t>
      </w:r>
      <w:r w:rsidRPr="009D06C9">
        <w:rPr>
          <w:lang w:val="es-ES_tradnl"/>
        </w:rPr>
        <w:tab/>
        <w:t>Introducción</w:t>
      </w:r>
      <w:bookmarkEnd w:id="99"/>
      <w:bookmarkEnd w:id="100"/>
    </w:p>
    <w:p w:rsidR="00A87E27" w:rsidRPr="009D06C9" w:rsidRDefault="00A87E27" w:rsidP="00A87E27">
      <w:pPr>
        <w:rPr>
          <w:lang w:val="es-ES_tradnl"/>
        </w:rPr>
      </w:pPr>
      <w:r w:rsidRPr="009D06C9">
        <w:rPr>
          <w:lang w:val="es-ES_tradnl"/>
        </w:rPr>
        <w:t xml:space="preserve">La tecnología inalámbrica es una parte importante del sistema de gestión de potencia en el que diversas informaciones de gestión y control son transmitidas bidireccionalmente en tiempo real. Al principio, la capacidad de comunicación requerida por la red de distribución y utilización es generalmente pequeña. Los dispositivos inalámbricos de banda estrecha tradicionales que utilizan frecuencias fijas son utilizados esencialmente como medio privado de comunicación inalámbrica en sistemas de gestión de potencia. Con el desarrollo de la red inteligente, la adquisición de datos sobre energía eléctrica, la gestión de la demanda y los servicios de vigilancia vídeo </w:t>
      </w:r>
      <w:r w:rsidRPr="009D06C9">
        <w:rPr>
          <w:i/>
          <w:iCs/>
          <w:lang w:val="es-ES_tradnl"/>
        </w:rPr>
        <w:t>in situ</w:t>
      </w:r>
      <w:r w:rsidRPr="009D06C9">
        <w:rPr>
          <w:lang w:val="es-ES_tradnl"/>
        </w:rPr>
        <w:t xml:space="preserve"> requeridos por la distribución de energía y la red de comunicación imponen mayores exigencias de ancho de banda, retardo de transmisión y fiabilidad. Para ello, China está investigando y construyendo una nueva generación de red de comunicación de potencia en la construcción de la red inteligente. Hasta la fecha, el nuevo sistema de comunicación inalámbrica tiene aplicaciones piloto en gran escala para red inteligente en China.</w:t>
      </w:r>
    </w:p>
    <w:p w:rsidR="00A87E27" w:rsidRPr="009D06C9" w:rsidRDefault="00A87E27" w:rsidP="00A87E27">
      <w:pPr>
        <w:pStyle w:val="Heading2"/>
        <w:rPr>
          <w:lang w:val="es-ES_tradnl"/>
        </w:rPr>
      </w:pPr>
      <w:bookmarkStart w:id="101" w:name="_Toc421882740"/>
      <w:bookmarkStart w:id="102" w:name="_Toc498004384"/>
      <w:r w:rsidRPr="009D06C9">
        <w:rPr>
          <w:lang w:val="es-ES_tradnl"/>
        </w:rPr>
        <w:t>A7.2</w:t>
      </w:r>
      <w:r w:rsidRPr="009D06C9">
        <w:rPr>
          <w:lang w:val="es-ES_tradnl"/>
        </w:rPr>
        <w:tab/>
        <w:t>Tecnología de acceso inalámbrico para red inteligente en China</w:t>
      </w:r>
      <w:bookmarkEnd w:id="101"/>
      <w:bookmarkEnd w:id="102"/>
    </w:p>
    <w:p w:rsidR="00A87E27" w:rsidRPr="009D06C9" w:rsidRDefault="00A87E27" w:rsidP="00A87E27">
      <w:pPr>
        <w:pStyle w:val="Heading3"/>
        <w:rPr>
          <w:lang w:val="es-ES_tradnl"/>
        </w:rPr>
      </w:pPr>
      <w:bookmarkStart w:id="103" w:name="_Toc421882741"/>
      <w:r w:rsidRPr="009D06C9">
        <w:rPr>
          <w:lang w:val="es-ES_tradnl"/>
        </w:rPr>
        <w:t>A7.2.1</w:t>
      </w:r>
      <w:r w:rsidRPr="009D06C9">
        <w:rPr>
          <w:lang w:val="es-ES_tradnl"/>
        </w:rPr>
        <w:tab/>
        <w:t>Introducción</w:t>
      </w:r>
      <w:bookmarkEnd w:id="103"/>
    </w:p>
    <w:p w:rsidR="00A87E27" w:rsidRPr="009D06C9" w:rsidRDefault="00A87E27" w:rsidP="00A87E27">
      <w:pPr>
        <w:rPr>
          <w:rFonts w:eastAsia="Batang"/>
          <w:lang w:val="es-ES_tradnl"/>
        </w:rPr>
      </w:pPr>
      <w:r w:rsidRPr="009D06C9">
        <w:rPr>
          <w:rFonts w:eastAsia="Batang"/>
          <w:lang w:val="es-ES_tradnl"/>
        </w:rPr>
        <w:t xml:space="preserve">La </w:t>
      </w:r>
      <w:r w:rsidRPr="009D06C9">
        <w:rPr>
          <w:rFonts w:eastAsia="Batang"/>
          <w:i/>
          <w:iCs/>
          <w:lang w:val="es-ES_tradnl"/>
        </w:rPr>
        <w:t>Smart and Wide-Coverage Industry-Oriented Wireless Network</w:t>
      </w:r>
      <w:r w:rsidRPr="009D06C9">
        <w:rPr>
          <w:rFonts w:eastAsia="Batang"/>
          <w:lang w:val="es-ES_tradnl"/>
        </w:rPr>
        <w:t xml:space="preserve"> (SWIN) está diseñada para tener plenamente en cuenta las demandas de servicio de red inteligente. Se basa en la tecnología 4G y la banda de frecuencias de 223-235 MHz con licencia para red inteligente. El sistema tiene muchas ventajas con respecto a sistemas de comunicación inalámbrica de banda estrecha, como una mayor cobertura, accesos masivos de abonado, alta eficiencia espectral, tiempo real, alta seguridad y fiabilidad, grandes capacidades de gestión de red, etc.</w:t>
      </w:r>
    </w:p>
    <w:p w:rsidR="00A87E27" w:rsidRPr="009D06C9" w:rsidRDefault="00A87E27" w:rsidP="00A87E27">
      <w:pPr>
        <w:pStyle w:val="Heading3"/>
        <w:rPr>
          <w:lang w:val="es-ES_tradnl"/>
        </w:rPr>
      </w:pPr>
      <w:bookmarkStart w:id="104" w:name="OLE_LINK5"/>
      <w:bookmarkStart w:id="105" w:name="OLE_LINK6"/>
      <w:bookmarkStart w:id="106" w:name="_Toc421882742"/>
      <w:r w:rsidRPr="009D06C9">
        <w:rPr>
          <w:lang w:val="es-ES_tradnl"/>
        </w:rPr>
        <w:t>A7.2.2</w:t>
      </w:r>
      <w:bookmarkEnd w:id="104"/>
      <w:bookmarkEnd w:id="105"/>
      <w:r w:rsidRPr="009D06C9">
        <w:rPr>
          <w:lang w:val="es-ES_tradnl"/>
        </w:rPr>
        <w:tab/>
      </w:r>
      <w:bookmarkEnd w:id="106"/>
      <w:r w:rsidRPr="009D06C9">
        <w:rPr>
          <w:lang w:val="es-ES_tradnl"/>
        </w:rPr>
        <w:t>Características técnicas principales</w:t>
      </w:r>
    </w:p>
    <w:p w:rsidR="00A87E27" w:rsidRPr="009D06C9" w:rsidRDefault="00A87E27" w:rsidP="00A87E27">
      <w:pPr>
        <w:rPr>
          <w:rFonts w:eastAsia="Batang"/>
          <w:lang w:val="es-ES_tradnl"/>
        </w:rPr>
      </w:pPr>
      <w:r w:rsidRPr="009D06C9">
        <w:rPr>
          <w:rFonts w:eastAsia="Batang"/>
          <w:lang w:val="es-ES_tradnl"/>
        </w:rPr>
        <w:t>La banda 223-235 MHz fue atribuida en segmentos de 25 kHz por la Oficina Nacional China de Administración Radioeléctrica. En lo que respecta a las características de espectro, SWIN puede agregar múltiples frecuencias de banda estrecha discretas para proporcionar transmisión de datos en banda ancha. Por otra parte, la tecnología de detección de espectro que permite detectar interferencias inter RAT en bandas adyacentes para mejorar la capacidad de coexistencia es una de las tecnologías clave de SWIN. Puede garantizar la coexistencia con sistemas de banda ancha existentes en la misma banda de frecuencias 223-235 MHz.</w:t>
      </w:r>
    </w:p>
    <w:p w:rsidR="00A87E27" w:rsidRPr="009D06C9" w:rsidRDefault="00A87E27" w:rsidP="00A87E27">
      <w:pPr>
        <w:pStyle w:val="TableNo"/>
        <w:rPr>
          <w:rFonts w:eastAsia="Batang"/>
          <w:lang w:val="es-ES_tradnl"/>
        </w:rPr>
      </w:pPr>
      <w:r w:rsidRPr="009D06C9">
        <w:rPr>
          <w:rFonts w:eastAsia="Batang"/>
          <w:lang w:val="es-ES_tradnl"/>
        </w:rPr>
        <w:lastRenderedPageBreak/>
        <w:t xml:space="preserve">CUADRO </w:t>
      </w:r>
      <w:r w:rsidRPr="009D06C9">
        <w:rPr>
          <w:lang w:val="es-ES_tradnl"/>
        </w:rPr>
        <w:t>A7.</w:t>
      </w:r>
      <w:r w:rsidRPr="009D06C9">
        <w:rPr>
          <w:rFonts w:eastAsia="Batang"/>
          <w:lang w:val="es-ES_tradnl"/>
        </w:rPr>
        <w:t>1</w:t>
      </w:r>
    </w:p>
    <w:p w:rsidR="00A87E27" w:rsidRPr="009D06C9" w:rsidRDefault="00A87E27" w:rsidP="00A87E27">
      <w:pPr>
        <w:pStyle w:val="Tabletitle"/>
        <w:rPr>
          <w:b w:val="0"/>
          <w:lang w:val="es-ES_tradnl"/>
        </w:rPr>
      </w:pPr>
      <w:r w:rsidRPr="009D06C9">
        <w:rPr>
          <w:rFonts w:eastAsia="Batang"/>
          <w:szCs w:val="24"/>
          <w:lang w:val="es-ES_tradnl"/>
        </w:rPr>
        <w:t>Características técnicas y operacionales de SWIN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82"/>
        <w:gridCol w:w="5556"/>
      </w:tblGrid>
      <w:tr w:rsidR="00A87E27" w:rsidRPr="009D06C9" w:rsidTr="00090ED8">
        <w:trPr>
          <w:cantSplit/>
          <w:tblHeader/>
          <w:jc w:val="center"/>
        </w:trPr>
        <w:tc>
          <w:tcPr>
            <w:tcW w:w="4082" w:type="dxa"/>
          </w:tcPr>
          <w:p w:rsidR="00A87E27" w:rsidRPr="009D06C9" w:rsidRDefault="00A87E27" w:rsidP="00090ED8">
            <w:pPr>
              <w:pStyle w:val="Tablehead"/>
              <w:rPr>
                <w:lang w:val="es-ES_tradnl"/>
              </w:rPr>
            </w:pPr>
            <w:r w:rsidRPr="009D06C9">
              <w:rPr>
                <w:lang w:val="es-ES_tradnl"/>
              </w:rPr>
              <w:t>Ítem</w:t>
            </w:r>
          </w:p>
        </w:tc>
        <w:tc>
          <w:tcPr>
            <w:tcW w:w="5556" w:type="dxa"/>
          </w:tcPr>
          <w:p w:rsidR="00A87E27" w:rsidRPr="009D06C9" w:rsidRDefault="00A87E27" w:rsidP="00090ED8">
            <w:pPr>
              <w:pStyle w:val="Tablehead"/>
              <w:rPr>
                <w:lang w:val="es-ES_tradnl"/>
              </w:rPr>
            </w:pPr>
            <w:r w:rsidRPr="009D06C9">
              <w:rPr>
                <w:lang w:val="es-ES_tradnl"/>
              </w:rPr>
              <w:t>Valor</w:t>
            </w:r>
          </w:p>
        </w:tc>
      </w:tr>
      <w:tr w:rsidR="00A87E27" w:rsidRPr="00D30DBF" w:rsidTr="00090ED8">
        <w:trPr>
          <w:cantSplit/>
          <w:trHeight w:val="613"/>
          <w:jc w:val="center"/>
        </w:trPr>
        <w:tc>
          <w:tcPr>
            <w:tcW w:w="4082" w:type="dxa"/>
          </w:tcPr>
          <w:p w:rsidR="00A87E27" w:rsidRPr="009D06C9" w:rsidRDefault="00A87E27" w:rsidP="00090ED8">
            <w:pPr>
              <w:pStyle w:val="Tabletext"/>
              <w:jc w:val="left"/>
              <w:rPr>
                <w:lang w:val="es-ES_tradnl"/>
              </w:rPr>
            </w:pPr>
            <w:r w:rsidRPr="009D06C9">
              <w:rPr>
                <w:lang w:val="es-ES_tradnl"/>
              </w:rPr>
              <w:t>Bandas de frecuencias soportadas, con o sin licencia (MHz)</w:t>
            </w:r>
          </w:p>
        </w:tc>
        <w:tc>
          <w:tcPr>
            <w:tcW w:w="5556" w:type="dxa"/>
          </w:tcPr>
          <w:p w:rsidR="00A87E27" w:rsidRPr="009D06C9" w:rsidRDefault="00A87E27" w:rsidP="00090ED8">
            <w:pPr>
              <w:pStyle w:val="Tabletext"/>
              <w:jc w:val="left"/>
              <w:rPr>
                <w:lang w:val="es-ES_tradnl" w:eastAsia="zh-CN"/>
              </w:rPr>
            </w:pPr>
            <w:r w:rsidRPr="009D06C9">
              <w:rPr>
                <w:lang w:val="es-ES_tradnl" w:eastAsia="zh-CN"/>
              </w:rPr>
              <w:t>Bandas de frecuencias con licencia: 223-235 MHz</w:t>
            </w:r>
          </w:p>
        </w:tc>
      </w:tr>
      <w:tr w:rsidR="00A87E27" w:rsidRPr="009D06C9" w:rsidTr="00090ED8">
        <w:trPr>
          <w:cantSplit/>
          <w:jc w:val="center"/>
        </w:trPr>
        <w:tc>
          <w:tcPr>
            <w:tcW w:w="4082" w:type="dxa"/>
          </w:tcPr>
          <w:p w:rsidR="00A87E27" w:rsidRPr="009D06C9" w:rsidRDefault="00A87E27" w:rsidP="00090ED8">
            <w:pPr>
              <w:pStyle w:val="Tabletext"/>
              <w:jc w:val="left"/>
              <w:rPr>
                <w:lang w:val="es-ES_tradnl"/>
              </w:rPr>
            </w:pPr>
            <w:r w:rsidRPr="009D06C9">
              <w:rPr>
                <w:lang w:val="es-ES_tradnl"/>
              </w:rPr>
              <w:t>Gama de funcionamiento nominal</w:t>
            </w:r>
          </w:p>
        </w:tc>
        <w:tc>
          <w:tcPr>
            <w:tcW w:w="5556" w:type="dxa"/>
          </w:tcPr>
          <w:p w:rsidR="00A87E27" w:rsidRPr="009D06C9" w:rsidRDefault="00A87E27" w:rsidP="00090ED8">
            <w:pPr>
              <w:pStyle w:val="Tabletext"/>
              <w:jc w:val="left"/>
              <w:rPr>
                <w:lang w:val="es-ES_tradnl" w:eastAsia="zh-CN"/>
              </w:rPr>
            </w:pPr>
            <w:r w:rsidRPr="009D06C9">
              <w:rPr>
                <w:lang w:val="es-ES_tradnl" w:eastAsia="zh-CN"/>
              </w:rPr>
              <w:t>3~30 km</w:t>
            </w:r>
          </w:p>
        </w:tc>
      </w:tr>
      <w:tr w:rsidR="00A87E27" w:rsidRPr="009D06C9" w:rsidTr="00090ED8">
        <w:trPr>
          <w:cantSplit/>
          <w:jc w:val="center"/>
        </w:trPr>
        <w:tc>
          <w:tcPr>
            <w:tcW w:w="4082" w:type="dxa"/>
          </w:tcPr>
          <w:p w:rsidR="00A87E27" w:rsidRPr="009D06C9" w:rsidRDefault="00A87E27" w:rsidP="00090ED8">
            <w:pPr>
              <w:pStyle w:val="Tabletext"/>
              <w:jc w:val="left"/>
              <w:rPr>
                <w:lang w:val="es-ES_tradnl"/>
              </w:rPr>
            </w:pPr>
            <w:r w:rsidRPr="009D06C9">
              <w:rPr>
                <w:lang w:val="es-ES_tradnl"/>
              </w:rPr>
              <w:t>Capacidades de movilidad (nómada/móvil)</w:t>
            </w:r>
          </w:p>
        </w:tc>
        <w:tc>
          <w:tcPr>
            <w:tcW w:w="5556" w:type="dxa"/>
          </w:tcPr>
          <w:p w:rsidR="00A87E27" w:rsidRPr="009D06C9" w:rsidRDefault="00A87E27" w:rsidP="00090ED8">
            <w:pPr>
              <w:pStyle w:val="Tabletext"/>
              <w:jc w:val="left"/>
              <w:rPr>
                <w:lang w:val="es-ES_tradnl"/>
              </w:rPr>
            </w:pPr>
            <w:r w:rsidRPr="009D06C9">
              <w:rPr>
                <w:lang w:val="es-ES_tradnl"/>
              </w:rPr>
              <w:t>Móvil</w:t>
            </w:r>
          </w:p>
        </w:tc>
      </w:tr>
      <w:tr w:rsidR="00A87E27" w:rsidRPr="00D30DBF" w:rsidTr="00090ED8">
        <w:trPr>
          <w:cantSplit/>
          <w:jc w:val="center"/>
        </w:trPr>
        <w:tc>
          <w:tcPr>
            <w:tcW w:w="4082" w:type="dxa"/>
          </w:tcPr>
          <w:p w:rsidR="00A87E27" w:rsidRPr="009D06C9" w:rsidRDefault="00A87E27" w:rsidP="00090ED8">
            <w:pPr>
              <w:pStyle w:val="Tabletext"/>
              <w:jc w:val="left"/>
              <w:rPr>
                <w:lang w:val="es-ES_tradnl"/>
              </w:rPr>
            </w:pPr>
            <w:r w:rsidRPr="009D06C9">
              <w:rPr>
                <w:lang w:val="es-ES_tradnl"/>
              </w:rPr>
              <w:t>Velocidad de datos de cresta (enlace ascendente/descendente si es diferente)</w:t>
            </w:r>
          </w:p>
        </w:tc>
        <w:tc>
          <w:tcPr>
            <w:tcW w:w="5556" w:type="dxa"/>
          </w:tcPr>
          <w:p w:rsidR="00A87E27" w:rsidRPr="00993C9C" w:rsidRDefault="00A87E27" w:rsidP="00090ED8">
            <w:pPr>
              <w:pStyle w:val="Tabletext"/>
              <w:jc w:val="left"/>
              <w:rPr>
                <w:lang w:val="en-GB" w:eastAsia="zh-CN"/>
              </w:rPr>
            </w:pPr>
            <w:r w:rsidRPr="00993C9C">
              <w:rPr>
                <w:lang w:val="en-GB" w:eastAsia="zh-CN"/>
              </w:rPr>
              <w:t xml:space="preserve">1,5 UL/0,5 DL Mbit/s </w:t>
            </w:r>
            <w:r w:rsidRPr="00993C9C">
              <w:rPr>
                <w:lang w:val="en-GB"/>
              </w:rPr>
              <w:t>(</w:t>
            </w:r>
            <w:r w:rsidRPr="00993C9C">
              <w:rPr>
                <w:lang w:val="en-GB" w:eastAsia="zh-CN"/>
              </w:rPr>
              <w:t>1M BW</w:t>
            </w:r>
            <w:r w:rsidRPr="00993C9C">
              <w:rPr>
                <w:lang w:val="en-GB"/>
              </w:rPr>
              <w:t>)</w:t>
            </w:r>
          </w:p>
          <w:p w:rsidR="00A87E27" w:rsidRPr="00993C9C" w:rsidRDefault="00A87E27" w:rsidP="00090ED8">
            <w:pPr>
              <w:pStyle w:val="Tabletext"/>
              <w:jc w:val="left"/>
              <w:rPr>
                <w:lang w:val="en-GB" w:eastAsia="zh-CN"/>
              </w:rPr>
            </w:pPr>
            <w:r w:rsidRPr="00993C9C">
              <w:rPr>
                <w:lang w:val="en-GB" w:eastAsia="zh-CN"/>
              </w:rPr>
              <w:t xml:space="preserve">13 UL/5 DL Mbit/s </w:t>
            </w:r>
            <w:r w:rsidRPr="00993C9C">
              <w:rPr>
                <w:lang w:val="en-GB"/>
              </w:rPr>
              <w:t>(</w:t>
            </w:r>
            <w:r w:rsidRPr="00993C9C">
              <w:rPr>
                <w:lang w:val="en-GB" w:eastAsia="zh-CN"/>
              </w:rPr>
              <w:t>8,5M BW</w:t>
            </w:r>
            <w:r w:rsidRPr="00993C9C">
              <w:rPr>
                <w:lang w:val="en-GB"/>
              </w:rPr>
              <w:t>)</w:t>
            </w:r>
          </w:p>
        </w:tc>
      </w:tr>
      <w:tr w:rsidR="00A87E27" w:rsidRPr="009D06C9" w:rsidTr="00090ED8">
        <w:trPr>
          <w:cantSplit/>
          <w:jc w:val="center"/>
        </w:trPr>
        <w:tc>
          <w:tcPr>
            <w:tcW w:w="4082" w:type="dxa"/>
          </w:tcPr>
          <w:p w:rsidR="00A87E27" w:rsidRPr="009D06C9" w:rsidRDefault="00A87E27" w:rsidP="00090ED8">
            <w:pPr>
              <w:pStyle w:val="Tabletext"/>
              <w:jc w:val="left"/>
              <w:rPr>
                <w:lang w:val="es-ES_tradnl"/>
              </w:rPr>
            </w:pPr>
            <w:r w:rsidRPr="009D06C9">
              <w:rPr>
                <w:lang w:val="es-ES_tradnl"/>
              </w:rPr>
              <w:t>Método dúplex (FDD, TDD, etc.)</w:t>
            </w:r>
          </w:p>
        </w:tc>
        <w:tc>
          <w:tcPr>
            <w:tcW w:w="5556" w:type="dxa"/>
          </w:tcPr>
          <w:p w:rsidR="00A87E27" w:rsidRPr="009D06C9" w:rsidRDefault="00A87E27" w:rsidP="00090ED8">
            <w:pPr>
              <w:pStyle w:val="Tabletext"/>
              <w:jc w:val="left"/>
              <w:rPr>
                <w:lang w:val="es-ES_tradnl"/>
              </w:rPr>
            </w:pPr>
            <w:r w:rsidRPr="009D06C9">
              <w:rPr>
                <w:lang w:val="es-ES_tradnl"/>
              </w:rPr>
              <w:t>TDD</w:t>
            </w:r>
          </w:p>
        </w:tc>
      </w:tr>
      <w:tr w:rsidR="00A87E27" w:rsidRPr="009D06C9" w:rsidTr="00090ED8">
        <w:trPr>
          <w:cantSplit/>
          <w:jc w:val="center"/>
        </w:trPr>
        <w:tc>
          <w:tcPr>
            <w:tcW w:w="4082" w:type="dxa"/>
          </w:tcPr>
          <w:p w:rsidR="00A87E27" w:rsidRPr="009D06C9" w:rsidRDefault="00A87E27" w:rsidP="00090ED8">
            <w:pPr>
              <w:pStyle w:val="Tabletext"/>
              <w:jc w:val="left"/>
              <w:rPr>
                <w:lang w:val="es-ES_tradnl"/>
              </w:rPr>
            </w:pPr>
            <w:r w:rsidRPr="009D06C9">
              <w:rPr>
                <w:lang w:val="es-ES_tradnl"/>
              </w:rPr>
              <w:t>Ancho de banda RF nominal</w:t>
            </w:r>
          </w:p>
        </w:tc>
        <w:tc>
          <w:tcPr>
            <w:tcW w:w="5556" w:type="dxa"/>
          </w:tcPr>
          <w:p w:rsidR="00A87E27" w:rsidRPr="009D06C9" w:rsidRDefault="00A87E27" w:rsidP="00090ED8">
            <w:pPr>
              <w:pStyle w:val="Tabletext"/>
              <w:jc w:val="left"/>
              <w:rPr>
                <w:lang w:val="es-ES_tradnl" w:eastAsia="zh-CN"/>
              </w:rPr>
            </w:pPr>
            <w:r w:rsidRPr="009D06C9">
              <w:rPr>
                <w:lang w:val="es-ES_tradnl" w:eastAsia="zh-CN"/>
              </w:rPr>
              <w:t>Seleccionable: 25 kHz-12 MHz</w:t>
            </w:r>
          </w:p>
        </w:tc>
      </w:tr>
      <w:tr w:rsidR="00A87E27" w:rsidRPr="009D06C9" w:rsidTr="00090ED8">
        <w:trPr>
          <w:cantSplit/>
          <w:jc w:val="center"/>
        </w:trPr>
        <w:tc>
          <w:tcPr>
            <w:tcW w:w="4082" w:type="dxa"/>
          </w:tcPr>
          <w:p w:rsidR="00A87E27" w:rsidRPr="009D06C9" w:rsidRDefault="00A87E27" w:rsidP="00090ED8">
            <w:pPr>
              <w:pStyle w:val="Tabletext"/>
              <w:jc w:val="left"/>
              <w:rPr>
                <w:lang w:val="es-ES_tradnl"/>
              </w:rPr>
            </w:pPr>
            <w:r w:rsidRPr="009D06C9">
              <w:rPr>
                <w:lang w:val="es-ES_tradnl"/>
              </w:rPr>
              <w:t>Soporte para MIMO</w:t>
            </w:r>
          </w:p>
        </w:tc>
        <w:tc>
          <w:tcPr>
            <w:tcW w:w="5556" w:type="dxa"/>
          </w:tcPr>
          <w:p w:rsidR="00A87E27" w:rsidRPr="009D06C9" w:rsidRDefault="00A87E27" w:rsidP="00090ED8">
            <w:pPr>
              <w:pStyle w:val="Tabletext"/>
              <w:jc w:val="left"/>
              <w:rPr>
                <w:lang w:val="es-ES_tradnl"/>
              </w:rPr>
            </w:pPr>
            <w:r w:rsidRPr="009D06C9">
              <w:rPr>
                <w:lang w:val="es-ES_tradnl"/>
              </w:rPr>
              <w:t>No</w:t>
            </w:r>
          </w:p>
        </w:tc>
      </w:tr>
      <w:tr w:rsidR="00A87E27" w:rsidRPr="009D06C9" w:rsidTr="00090ED8">
        <w:trPr>
          <w:cantSplit/>
          <w:jc w:val="center"/>
        </w:trPr>
        <w:tc>
          <w:tcPr>
            <w:tcW w:w="4082" w:type="dxa"/>
          </w:tcPr>
          <w:p w:rsidR="00A87E27" w:rsidRPr="009D06C9" w:rsidRDefault="00A87E27" w:rsidP="00090ED8">
            <w:pPr>
              <w:pStyle w:val="Tabletext"/>
              <w:jc w:val="left"/>
              <w:rPr>
                <w:lang w:val="es-ES_tradnl"/>
              </w:rPr>
            </w:pPr>
            <w:r w:rsidRPr="009D06C9">
              <w:rPr>
                <w:lang w:val="es-ES_tradnl"/>
              </w:rPr>
              <w:t>Retransmisión</w:t>
            </w:r>
          </w:p>
        </w:tc>
        <w:tc>
          <w:tcPr>
            <w:tcW w:w="5556" w:type="dxa"/>
          </w:tcPr>
          <w:p w:rsidR="00A87E27" w:rsidRPr="009D06C9" w:rsidRDefault="00A87E27" w:rsidP="00090ED8">
            <w:pPr>
              <w:pStyle w:val="Tabletext"/>
              <w:jc w:val="left"/>
              <w:rPr>
                <w:lang w:val="es-ES_tradnl"/>
              </w:rPr>
            </w:pPr>
            <w:r w:rsidRPr="009D06C9">
              <w:rPr>
                <w:lang w:val="es-ES_tradnl" w:eastAsia="zh-CN"/>
              </w:rPr>
              <w:t>H</w:t>
            </w:r>
            <w:r w:rsidRPr="009D06C9">
              <w:rPr>
                <w:lang w:val="es-ES_tradnl"/>
              </w:rPr>
              <w:t>ARQ</w:t>
            </w:r>
          </w:p>
        </w:tc>
      </w:tr>
      <w:tr w:rsidR="00A87E27" w:rsidRPr="009D06C9" w:rsidTr="00090ED8">
        <w:trPr>
          <w:cantSplit/>
          <w:jc w:val="center"/>
        </w:trPr>
        <w:tc>
          <w:tcPr>
            <w:tcW w:w="4082" w:type="dxa"/>
          </w:tcPr>
          <w:p w:rsidR="00A87E27" w:rsidRPr="009D06C9" w:rsidRDefault="00A87E27" w:rsidP="00090ED8">
            <w:pPr>
              <w:pStyle w:val="Tabletext"/>
              <w:jc w:val="left"/>
              <w:rPr>
                <w:lang w:val="es-ES_tradnl"/>
              </w:rPr>
            </w:pPr>
            <w:r w:rsidRPr="009D06C9">
              <w:rPr>
                <w:lang w:val="es-ES_tradnl"/>
              </w:rPr>
              <w:t>Corrección de errores en recepción</w:t>
            </w:r>
          </w:p>
        </w:tc>
        <w:tc>
          <w:tcPr>
            <w:tcW w:w="5556" w:type="dxa"/>
          </w:tcPr>
          <w:p w:rsidR="00A87E27" w:rsidRPr="009D06C9" w:rsidRDefault="00A87E27" w:rsidP="00090ED8">
            <w:pPr>
              <w:pStyle w:val="Tabletext"/>
              <w:jc w:val="left"/>
              <w:rPr>
                <w:lang w:val="es-ES_tradnl" w:eastAsia="zh-CN"/>
              </w:rPr>
            </w:pPr>
            <w:r w:rsidRPr="009D06C9">
              <w:rPr>
                <w:lang w:val="es-ES_tradnl"/>
              </w:rPr>
              <w:t xml:space="preserve">Convolucional, </w:t>
            </w:r>
            <w:r w:rsidRPr="009D06C9">
              <w:rPr>
                <w:lang w:val="es-ES_tradnl" w:eastAsia="zh-CN"/>
              </w:rPr>
              <w:t>turbo</w:t>
            </w:r>
          </w:p>
        </w:tc>
      </w:tr>
      <w:tr w:rsidR="00A87E27" w:rsidRPr="00D30DBF" w:rsidTr="00090ED8">
        <w:trPr>
          <w:cantSplit/>
          <w:jc w:val="center"/>
        </w:trPr>
        <w:tc>
          <w:tcPr>
            <w:tcW w:w="4082" w:type="dxa"/>
          </w:tcPr>
          <w:p w:rsidR="00A87E27" w:rsidRPr="009D06C9" w:rsidRDefault="00A87E27" w:rsidP="00090ED8">
            <w:pPr>
              <w:pStyle w:val="Tabletext"/>
              <w:jc w:val="left"/>
              <w:rPr>
                <w:lang w:val="es-ES_tradnl"/>
              </w:rPr>
            </w:pPr>
            <w:r w:rsidRPr="009D06C9">
              <w:rPr>
                <w:lang w:val="es-ES_tradnl"/>
              </w:rPr>
              <w:t>Gestión de interferencias</w:t>
            </w:r>
          </w:p>
        </w:tc>
        <w:tc>
          <w:tcPr>
            <w:tcW w:w="5556" w:type="dxa"/>
          </w:tcPr>
          <w:p w:rsidR="00A87E27" w:rsidRPr="009D06C9" w:rsidRDefault="00A87E27" w:rsidP="00090ED8">
            <w:pPr>
              <w:pStyle w:val="Tabletext"/>
              <w:jc w:val="left"/>
              <w:rPr>
                <w:lang w:val="es-ES_tradnl" w:eastAsia="zh-CN"/>
              </w:rPr>
            </w:pPr>
            <w:r w:rsidRPr="009D06C9">
              <w:rPr>
                <w:lang w:val="es-ES_tradnl" w:eastAsia="zh-CN"/>
              </w:rPr>
              <w:t>Reutilización fraccional de frecuencias</w:t>
            </w:r>
            <w:r w:rsidRPr="009D06C9">
              <w:rPr>
                <w:lang w:val="es-ES_tradnl"/>
              </w:rPr>
              <w:t xml:space="preserve">, </w:t>
            </w:r>
            <w:r w:rsidRPr="009D06C9">
              <w:rPr>
                <w:lang w:val="es-ES_tradnl" w:eastAsia="zh-CN"/>
              </w:rPr>
              <w:t>detección del espectro</w:t>
            </w:r>
          </w:p>
        </w:tc>
      </w:tr>
      <w:tr w:rsidR="00A87E27" w:rsidRPr="009D06C9" w:rsidTr="00090ED8">
        <w:trPr>
          <w:cantSplit/>
          <w:jc w:val="center"/>
        </w:trPr>
        <w:tc>
          <w:tcPr>
            <w:tcW w:w="4082" w:type="dxa"/>
          </w:tcPr>
          <w:p w:rsidR="00A87E27" w:rsidRPr="009D06C9" w:rsidRDefault="00A87E27" w:rsidP="00090ED8">
            <w:pPr>
              <w:pStyle w:val="Tabletext"/>
              <w:jc w:val="left"/>
              <w:rPr>
                <w:lang w:val="es-ES_tradnl"/>
              </w:rPr>
            </w:pPr>
            <w:r w:rsidRPr="009D06C9">
              <w:rPr>
                <w:lang w:val="es-ES_tradnl"/>
              </w:rPr>
              <w:t>Gestión de potencia</w:t>
            </w:r>
          </w:p>
        </w:tc>
        <w:tc>
          <w:tcPr>
            <w:tcW w:w="5556" w:type="dxa"/>
          </w:tcPr>
          <w:p w:rsidR="00A87E27" w:rsidRPr="009D06C9" w:rsidRDefault="00A87E27" w:rsidP="00090ED8">
            <w:pPr>
              <w:pStyle w:val="Tabletext"/>
              <w:jc w:val="left"/>
              <w:rPr>
                <w:lang w:val="es-ES_tradnl"/>
              </w:rPr>
            </w:pPr>
            <w:r w:rsidRPr="009D06C9">
              <w:rPr>
                <w:lang w:val="es-ES_tradnl"/>
              </w:rPr>
              <w:t>Sí</w:t>
            </w:r>
          </w:p>
        </w:tc>
      </w:tr>
      <w:tr w:rsidR="00A87E27" w:rsidRPr="009D06C9" w:rsidTr="00090ED8">
        <w:trPr>
          <w:cantSplit/>
          <w:jc w:val="center"/>
        </w:trPr>
        <w:tc>
          <w:tcPr>
            <w:tcW w:w="4082" w:type="dxa"/>
          </w:tcPr>
          <w:p w:rsidR="00A87E27" w:rsidRPr="009D06C9" w:rsidRDefault="00A87E27" w:rsidP="00090ED8">
            <w:pPr>
              <w:pStyle w:val="Tabletext"/>
              <w:jc w:val="left"/>
              <w:rPr>
                <w:lang w:val="es-ES_tradnl"/>
              </w:rPr>
            </w:pPr>
            <w:r w:rsidRPr="009D06C9">
              <w:rPr>
                <w:lang w:val="es-ES_tradnl"/>
              </w:rPr>
              <w:t>Topología de conexión</w:t>
            </w:r>
          </w:p>
        </w:tc>
        <w:tc>
          <w:tcPr>
            <w:tcW w:w="5556" w:type="dxa"/>
          </w:tcPr>
          <w:p w:rsidR="00A87E27" w:rsidRPr="009D06C9" w:rsidRDefault="00A87E27" w:rsidP="00090ED8">
            <w:pPr>
              <w:pStyle w:val="Tabletext"/>
              <w:jc w:val="left"/>
              <w:rPr>
                <w:lang w:val="es-ES_tradnl"/>
              </w:rPr>
            </w:pPr>
            <w:r w:rsidRPr="009D06C9">
              <w:rPr>
                <w:lang w:val="es-ES_tradnl"/>
              </w:rPr>
              <w:t>Punto a multipunto</w:t>
            </w:r>
          </w:p>
        </w:tc>
      </w:tr>
      <w:tr w:rsidR="00A87E27" w:rsidRPr="00D30DBF" w:rsidTr="00090ED8">
        <w:trPr>
          <w:cantSplit/>
          <w:jc w:val="center"/>
        </w:trPr>
        <w:tc>
          <w:tcPr>
            <w:tcW w:w="4082" w:type="dxa"/>
          </w:tcPr>
          <w:p w:rsidR="00A87E27" w:rsidRPr="009D06C9" w:rsidRDefault="00A87E27" w:rsidP="00090ED8">
            <w:pPr>
              <w:pStyle w:val="Tabletext"/>
              <w:jc w:val="left"/>
              <w:rPr>
                <w:lang w:val="es-ES_tradnl"/>
              </w:rPr>
            </w:pPr>
            <w:r w:rsidRPr="009D06C9">
              <w:rPr>
                <w:lang w:val="es-ES_tradnl"/>
              </w:rPr>
              <w:t>Métodos de acceso a medios</w:t>
            </w:r>
          </w:p>
        </w:tc>
        <w:tc>
          <w:tcPr>
            <w:tcW w:w="5556" w:type="dxa"/>
          </w:tcPr>
          <w:p w:rsidR="00A87E27" w:rsidRPr="009D06C9" w:rsidRDefault="00A87E27" w:rsidP="00090ED8">
            <w:pPr>
              <w:pStyle w:val="Tabletext"/>
              <w:jc w:val="left"/>
              <w:rPr>
                <w:lang w:val="es-ES_tradnl" w:eastAsia="zh-CN"/>
              </w:rPr>
            </w:pPr>
            <w:r w:rsidRPr="009D06C9">
              <w:rPr>
                <w:lang w:val="es-ES_tradnl" w:eastAsia="zh-CN"/>
              </w:rPr>
              <w:t>Acceso aleatorio (con contención o sin contención)</w:t>
            </w:r>
          </w:p>
        </w:tc>
      </w:tr>
      <w:tr w:rsidR="00A87E27" w:rsidRPr="00D30DBF" w:rsidTr="00090ED8">
        <w:trPr>
          <w:cantSplit/>
          <w:jc w:val="center"/>
        </w:trPr>
        <w:tc>
          <w:tcPr>
            <w:tcW w:w="4082" w:type="dxa"/>
          </w:tcPr>
          <w:p w:rsidR="00A87E27" w:rsidRPr="009D06C9" w:rsidRDefault="00A87E27" w:rsidP="00090ED8">
            <w:pPr>
              <w:pStyle w:val="Tabletext"/>
              <w:jc w:val="left"/>
              <w:rPr>
                <w:lang w:val="es-ES_tradnl" w:eastAsia="zh-CN"/>
              </w:rPr>
            </w:pPr>
            <w:r w:rsidRPr="009D06C9">
              <w:rPr>
                <w:lang w:val="es-ES_tradnl" w:eastAsia="zh-CN"/>
              </w:rPr>
              <w:t>Múltiples métodos de acceso</w:t>
            </w:r>
          </w:p>
        </w:tc>
        <w:tc>
          <w:tcPr>
            <w:tcW w:w="5556" w:type="dxa"/>
          </w:tcPr>
          <w:p w:rsidR="00A87E27" w:rsidRPr="009D06C9" w:rsidRDefault="00A87E27" w:rsidP="00090ED8">
            <w:pPr>
              <w:pStyle w:val="Tabletext"/>
              <w:jc w:val="left"/>
              <w:rPr>
                <w:lang w:val="es-ES_tradnl" w:eastAsia="zh-CN"/>
              </w:rPr>
            </w:pPr>
            <w:r w:rsidRPr="009D06C9">
              <w:rPr>
                <w:lang w:val="es-ES_tradnl" w:eastAsia="zh-CN"/>
              </w:rPr>
              <w:t xml:space="preserve">SC-FDMA (enlace ascendente) y OFDMA </w:t>
            </w:r>
            <w:r w:rsidRPr="009D06C9">
              <w:rPr>
                <w:lang w:val="es-ES_tradnl"/>
              </w:rPr>
              <w:t>(</w:t>
            </w:r>
            <w:r w:rsidRPr="009D06C9">
              <w:rPr>
                <w:lang w:val="es-ES_tradnl" w:eastAsia="zh-CN"/>
              </w:rPr>
              <w:t>enlace descendente</w:t>
            </w:r>
            <w:r w:rsidRPr="009D06C9">
              <w:rPr>
                <w:lang w:val="es-ES_tradnl"/>
              </w:rPr>
              <w:t>)</w:t>
            </w:r>
          </w:p>
        </w:tc>
      </w:tr>
      <w:tr w:rsidR="00A87E27" w:rsidRPr="00D30DBF" w:rsidTr="00090ED8">
        <w:trPr>
          <w:cantSplit/>
          <w:jc w:val="center"/>
        </w:trPr>
        <w:tc>
          <w:tcPr>
            <w:tcW w:w="4082" w:type="dxa"/>
          </w:tcPr>
          <w:p w:rsidR="00A87E27" w:rsidRPr="009D06C9" w:rsidRDefault="00A87E27" w:rsidP="00090ED8">
            <w:pPr>
              <w:pStyle w:val="Tabletext"/>
              <w:jc w:val="left"/>
              <w:rPr>
                <w:lang w:val="es-ES_tradnl"/>
              </w:rPr>
            </w:pPr>
            <w:r w:rsidRPr="009D06C9">
              <w:rPr>
                <w:lang w:val="es-ES_tradnl"/>
              </w:rPr>
              <w:t>Método de descubrimiento y asociación</w:t>
            </w:r>
          </w:p>
        </w:tc>
        <w:tc>
          <w:tcPr>
            <w:tcW w:w="5556" w:type="dxa"/>
          </w:tcPr>
          <w:p w:rsidR="00A87E27" w:rsidRPr="009D06C9" w:rsidRDefault="00A87E27" w:rsidP="00090ED8">
            <w:pPr>
              <w:pStyle w:val="Tabletext"/>
              <w:jc w:val="left"/>
              <w:rPr>
                <w:lang w:val="es-ES_tradnl" w:eastAsia="zh-CN"/>
              </w:rPr>
            </w:pPr>
            <w:r w:rsidRPr="009D06C9">
              <w:rPr>
                <w:lang w:val="es-ES_tradnl" w:eastAsia="zh-CN"/>
              </w:rPr>
              <w:t>Descubrimiento autónomo, asociación a través de portadora</w:t>
            </w:r>
          </w:p>
        </w:tc>
      </w:tr>
      <w:tr w:rsidR="00A87E27" w:rsidRPr="00D30DBF" w:rsidTr="00090ED8">
        <w:trPr>
          <w:cantSplit/>
          <w:jc w:val="center"/>
        </w:trPr>
        <w:tc>
          <w:tcPr>
            <w:tcW w:w="4082" w:type="dxa"/>
          </w:tcPr>
          <w:p w:rsidR="00A87E27" w:rsidRPr="009D06C9" w:rsidRDefault="00A87E27" w:rsidP="00090ED8">
            <w:pPr>
              <w:pStyle w:val="Tabletext"/>
              <w:jc w:val="left"/>
              <w:rPr>
                <w:lang w:val="es-ES_tradnl"/>
              </w:rPr>
            </w:pPr>
            <w:r w:rsidRPr="009D06C9">
              <w:rPr>
                <w:lang w:val="es-ES_tradnl"/>
              </w:rPr>
              <w:t>Métodos QoS</w:t>
            </w:r>
          </w:p>
        </w:tc>
        <w:tc>
          <w:tcPr>
            <w:tcW w:w="5556" w:type="dxa"/>
          </w:tcPr>
          <w:p w:rsidR="00A87E27" w:rsidRPr="009D06C9" w:rsidRDefault="00A87E27" w:rsidP="00090ED8">
            <w:pPr>
              <w:pStyle w:val="Tabletext"/>
              <w:jc w:val="left"/>
              <w:rPr>
                <w:lang w:val="es-ES_tradnl" w:eastAsia="zh-CN"/>
              </w:rPr>
            </w:pPr>
            <w:r w:rsidRPr="009D06C9">
              <w:rPr>
                <w:lang w:val="es-ES_tradnl" w:eastAsia="zh-CN"/>
              </w:rPr>
              <w:t>Diferenciación de QoS (5 clases soportadas, adaptable)</w:t>
            </w:r>
          </w:p>
        </w:tc>
      </w:tr>
      <w:tr w:rsidR="00A87E27" w:rsidRPr="009D06C9" w:rsidTr="00090ED8">
        <w:trPr>
          <w:cantSplit/>
          <w:jc w:val="center"/>
        </w:trPr>
        <w:tc>
          <w:tcPr>
            <w:tcW w:w="4082" w:type="dxa"/>
          </w:tcPr>
          <w:p w:rsidR="00A87E27" w:rsidRPr="009D06C9" w:rsidRDefault="00A87E27" w:rsidP="00090ED8">
            <w:pPr>
              <w:pStyle w:val="Tabletext"/>
              <w:jc w:val="left"/>
              <w:rPr>
                <w:lang w:val="es-ES_tradnl"/>
              </w:rPr>
            </w:pPr>
            <w:r w:rsidRPr="009D06C9">
              <w:rPr>
                <w:lang w:val="es-ES_tradnl"/>
              </w:rPr>
              <w:t>Conocimiento de la ubicación</w:t>
            </w:r>
          </w:p>
        </w:tc>
        <w:tc>
          <w:tcPr>
            <w:tcW w:w="5556" w:type="dxa"/>
          </w:tcPr>
          <w:p w:rsidR="00A87E27" w:rsidRPr="009D06C9" w:rsidRDefault="00A87E27" w:rsidP="00090ED8">
            <w:pPr>
              <w:pStyle w:val="Tabletext"/>
              <w:jc w:val="left"/>
              <w:rPr>
                <w:lang w:val="es-ES_tradnl" w:eastAsia="zh-CN"/>
              </w:rPr>
            </w:pPr>
            <w:r w:rsidRPr="009D06C9">
              <w:rPr>
                <w:lang w:val="es-ES_tradnl" w:eastAsia="zh-CN"/>
              </w:rPr>
              <w:t>Sí</w:t>
            </w:r>
          </w:p>
        </w:tc>
      </w:tr>
      <w:tr w:rsidR="00A87E27" w:rsidRPr="009D06C9" w:rsidTr="00090ED8">
        <w:trPr>
          <w:cantSplit/>
          <w:jc w:val="center"/>
        </w:trPr>
        <w:tc>
          <w:tcPr>
            <w:tcW w:w="4082" w:type="dxa"/>
          </w:tcPr>
          <w:p w:rsidR="00A87E27" w:rsidRPr="009D06C9" w:rsidRDefault="00A87E27" w:rsidP="00090ED8">
            <w:pPr>
              <w:pStyle w:val="Tabletext"/>
              <w:jc w:val="left"/>
              <w:rPr>
                <w:lang w:val="es-ES_tradnl"/>
              </w:rPr>
            </w:pPr>
            <w:r w:rsidRPr="009D06C9">
              <w:rPr>
                <w:lang w:val="es-ES_tradnl"/>
              </w:rPr>
              <w:t>Criptación</w:t>
            </w:r>
          </w:p>
        </w:tc>
        <w:tc>
          <w:tcPr>
            <w:tcW w:w="5556" w:type="dxa"/>
          </w:tcPr>
          <w:p w:rsidR="00A87E27" w:rsidRPr="009D06C9" w:rsidRDefault="00A87E27" w:rsidP="00090ED8">
            <w:pPr>
              <w:pStyle w:val="Tabletext"/>
              <w:jc w:val="left"/>
              <w:rPr>
                <w:lang w:val="es-ES_tradnl" w:eastAsia="zh-CN"/>
              </w:rPr>
            </w:pPr>
            <w:r w:rsidRPr="009D06C9">
              <w:rPr>
                <w:lang w:val="es-ES_tradnl" w:eastAsia="zh-CN"/>
              </w:rPr>
              <w:t>ZUC</w:t>
            </w:r>
          </w:p>
        </w:tc>
      </w:tr>
      <w:tr w:rsidR="00A87E27" w:rsidRPr="009D06C9" w:rsidTr="00090ED8">
        <w:trPr>
          <w:cantSplit/>
          <w:jc w:val="center"/>
        </w:trPr>
        <w:tc>
          <w:tcPr>
            <w:tcW w:w="4082" w:type="dxa"/>
          </w:tcPr>
          <w:p w:rsidR="00A87E27" w:rsidRPr="009D06C9" w:rsidRDefault="00A87E27" w:rsidP="00090ED8">
            <w:pPr>
              <w:pStyle w:val="Tabletext"/>
              <w:jc w:val="left"/>
              <w:rPr>
                <w:lang w:val="es-ES_tradnl"/>
              </w:rPr>
            </w:pPr>
            <w:r w:rsidRPr="009D06C9">
              <w:rPr>
                <w:lang w:val="es-ES_tradnl"/>
              </w:rPr>
              <w:t>Autenticación/protección contra reproducción</w:t>
            </w:r>
          </w:p>
        </w:tc>
        <w:tc>
          <w:tcPr>
            <w:tcW w:w="5556" w:type="dxa"/>
          </w:tcPr>
          <w:p w:rsidR="00A87E27" w:rsidRPr="009D06C9" w:rsidRDefault="00A87E27" w:rsidP="00090ED8">
            <w:pPr>
              <w:pStyle w:val="Tabletext"/>
              <w:jc w:val="left"/>
              <w:rPr>
                <w:lang w:val="es-ES_tradnl"/>
              </w:rPr>
            </w:pPr>
            <w:r w:rsidRPr="009D06C9">
              <w:rPr>
                <w:lang w:val="es-ES_tradnl"/>
              </w:rPr>
              <w:t>Sí</w:t>
            </w:r>
          </w:p>
        </w:tc>
      </w:tr>
      <w:tr w:rsidR="00A87E27" w:rsidRPr="009D06C9" w:rsidTr="00090ED8">
        <w:trPr>
          <w:cantSplit/>
          <w:jc w:val="center"/>
        </w:trPr>
        <w:tc>
          <w:tcPr>
            <w:tcW w:w="4082" w:type="dxa"/>
          </w:tcPr>
          <w:p w:rsidR="00A87E27" w:rsidRPr="009D06C9" w:rsidRDefault="00A87E27" w:rsidP="00090ED8">
            <w:pPr>
              <w:pStyle w:val="Tabletext"/>
              <w:jc w:val="left"/>
              <w:rPr>
                <w:lang w:val="es-ES_tradnl"/>
              </w:rPr>
            </w:pPr>
            <w:r w:rsidRPr="009D06C9">
              <w:rPr>
                <w:lang w:val="es-ES_tradnl"/>
              </w:rPr>
              <w:t>Intercambio de claves</w:t>
            </w:r>
          </w:p>
        </w:tc>
        <w:tc>
          <w:tcPr>
            <w:tcW w:w="5556" w:type="dxa"/>
          </w:tcPr>
          <w:p w:rsidR="00A87E27" w:rsidRPr="009D06C9" w:rsidRDefault="00A87E27" w:rsidP="00090ED8">
            <w:pPr>
              <w:pStyle w:val="Tabletext"/>
              <w:jc w:val="left"/>
              <w:rPr>
                <w:lang w:val="es-ES_tradnl"/>
              </w:rPr>
            </w:pPr>
            <w:r w:rsidRPr="009D06C9">
              <w:rPr>
                <w:lang w:val="es-ES_tradnl"/>
              </w:rPr>
              <w:t>Sí</w:t>
            </w:r>
          </w:p>
        </w:tc>
      </w:tr>
      <w:tr w:rsidR="00A87E27" w:rsidRPr="009D06C9" w:rsidTr="00090ED8">
        <w:trPr>
          <w:cantSplit/>
          <w:jc w:val="center"/>
        </w:trPr>
        <w:tc>
          <w:tcPr>
            <w:tcW w:w="4082" w:type="dxa"/>
          </w:tcPr>
          <w:p w:rsidR="00A87E27" w:rsidRPr="009D06C9" w:rsidRDefault="00A87E27" w:rsidP="00090ED8">
            <w:pPr>
              <w:pStyle w:val="Tabletext"/>
              <w:jc w:val="left"/>
              <w:rPr>
                <w:lang w:val="es-ES_tradnl"/>
              </w:rPr>
            </w:pPr>
            <w:r w:rsidRPr="009D06C9">
              <w:rPr>
                <w:lang w:val="es-ES_tradnl"/>
              </w:rPr>
              <w:t>Detección de nodos falseados</w:t>
            </w:r>
          </w:p>
        </w:tc>
        <w:tc>
          <w:tcPr>
            <w:tcW w:w="5556" w:type="dxa"/>
          </w:tcPr>
          <w:p w:rsidR="00A87E27" w:rsidRPr="009D06C9" w:rsidRDefault="00A87E27" w:rsidP="00090ED8">
            <w:pPr>
              <w:pStyle w:val="Tabletext"/>
              <w:jc w:val="left"/>
              <w:rPr>
                <w:lang w:val="es-ES_tradnl" w:eastAsia="zh-CN"/>
              </w:rPr>
            </w:pPr>
            <w:r w:rsidRPr="009D06C9">
              <w:rPr>
                <w:lang w:val="es-ES_tradnl" w:eastAsia="zh-CN"/>
              </w:rPr>
              <w:t>Sí</w:t>
            </w:r>
          </w:p>
        </w:tc>
      </w:tr>
      <w:tr w:rsidR="00A87E27" w:rsidRPr="009D06C9" w:rsidTr="00090ED8">
        <w:trPr>
          <w:cantSplit/>
          <w:jc w:val="center"/>
        </w:trPr>
        <w:tc>
          <w:tcPr>
            <w:tcW w:w="4082" w:type="dxa"/>
          </w:tcPr>
          <w:p w:rsidR="00A87E27" w:rsidRPr="009D06C9" w:rsidRDefault="00A87E27" w:rsidP="00090ED8">
            <w:pPr>
              <w:pStyle w:val="Tabletext"/>
              <w:jc w:val="left"/>
              <w:rPr>
                <w:lang w:val="es-ES_tradnl"/>
              </w:rPr>
            </w:pPr>
            <w:r w:rsidRPr="009D06C9">
              <w:rPr>
                <w:lang w:val="es-ES_tradnl"/>
              </w:rPr>
              <w:t xml:space="preserve">Identificación unívoca de dispositivo </w:t>
            </w:r>
          </w:p>
        </w:tc>
        <w:tc>
          <w:tcPr>
            <w:tcW w:w="5556" w:type="dxa"/>
          </w:tcPr>
          <w:p w:rsidR="00A87E27" w:rsidRPr="009D06C9" w:rsidRDefault="00A87E27" w:rsidP="00090ED8">
            <w:pPr>
              <w:pStyle w:val="Tabletext"/>
              <w:jc w:val="left"/>
              <w:rPr>
                <w:lang w:val="es-ES_tradnl" w:eastAsia="zh-CN"/>
              </w:rPr>
            </w:pPr>
            <w:r w:rsidRPr="009D06C9">
              <w:rPr>
                <w:lang w:val="es-ES_tradnl" w:eastAsia="zh-CN"/>
              </w:rPr>
              <w:t xml:space="preserve">15 cifras </w:t>
            </w:r>
            <w:r w:rsidRPr="009D06C9">
              <w:rPr>
                <w:lang w:val="es-ES_tradnl"/>
              </w:rPr>
              <w:t>(</w:t>
            </w:r>
            <w:r w:rsidRPr="009D06C9">
              <w:rPr>
                <w:lang w:val="es-ES_tradnl" w:eastAsia="zh-CN"/>
              </w:rPr>
              <w:t>IMEI</w:t>
            </w:r>
            <w:r w:rsidRPr="009D06C9">
              <w:rPr>
                <w:lang w:val="es-ES_tradnl"/>
              </w:rPr>
              <w:t>)</w:t>
            </w:r>
          </w:p>
        </w:tc>
      </w:tr>
    </w:tbl>
    <w:p w:rsidR="00A87E27" w:rsidRPr="009D06C9" w:rsidRDefault="00A87E27" w:rsidP="00A87E27">
      <w:pPr>
        <w:pStyle w:val="Tabletext"/>
        <w:rPr>
          <w:lang w:val="es-ES_tradnl"/>
        </w:rPr>
      </w:pPr>
      <w:bookmarkStart w:id="107" w:name="_Toc421882743"/>
    </w:p>
    <w:p w:rsidR="00A87E27" w:rsidRPr="009D06C9" w:rsidRDefault="00A87E27" w:rsidP="00A87E27">
      <w:pPr>
        <w:pStyle w:val="Heading3"/>
        <w:rPr>
          <w:lang w:val="es-ES_tradnl"/>
        </w:rPr>
      </w:pPr>
      <w:r w:rsidRPr="009D06C9">
        <w:rPr>
          <w:lang w:val="es-ES_tradnl"/>
        </w:rPr>
        <w:t>A7.2.3</w:t>
      </w:r>
      <w:r w:rsidRPr="009D06C9">
        <w:rPr>
          <w:lang w:val="es-ES_tradnl"/>
        </w:rPr>
        <w:tab/>
      </w:r>
      <w:bookmarkEnd w:id="107"/>
      <w:r w:rsidRPr="009D06C9">
        <w:rPr>
          <w:lang w:val="es-ES_tradnl"/>
        </w:rPr>
        <w:t>Industrialización y aplicación</w:t>
      </w:r>
    </w:p>
    <w:p w:rsidR="00A87E27" w:rsidRPr="009D06C9" w:rsidRDefault="00A87E27" w:rsidP="00A87E27">
      <w:pPr>
        <w:rPr>
          <w:rFonts w:eastAsia="Batang"/>
          <w:lang w:val="es-ES_tradnl"/>
        </w:rPr>
      </w:pPr>
      <w:r w:rsidRPr="009D06C9">
        <w:rPr>
          <w:rFonts w:eastAsia="Batang"/>
          <w:lang w:val="es-ES_tradnl"/>
        </w:rPr>
        <w:t>Actualmente el sistema SWIN consiste en microcircuitos de banda de base, terminales, estaciones de base, una red central y equipos de gestión de red. El SWIN ha sido desplegado en redes de distribución y utilización de energía. Hasta ahora, se han desplegado redes de prueba SWIN en 13 provincias de China, que proporcionan servicios de red inteligente de adquisición de información, control de carga, automatización de distribución de electricidad, etc. Tras el periodo de prueba, se ha demostrado que SWIN puede satisfacer los requisitos de servicio de la medición inteligente y la automatización de la distribución.</w:t>
      </w:r>
    </w:p>
    <w:p w:rsidR="00A87E27" w:rsidRPr="009D06C9" w:rsidRDefault="00A87E27" w:rsidP="00A87E27">
      <w:pPr>
        <w:pStyle w:val="Heading3"/>
        <w:rPr>
          <w:lang w:val="es-ES_tradnl"/>
        </w:rPr>
      </w:pPr>
      <w:bookmarkStart w:id="108" w:name="_Toc421882744"/>
      <w:r w:rsidRPr="009D06C9">
        <w:rPr>
          <w:lang w:val="es-ES_tradnl"/>
        </w:rPr>
        <w:lastRenderedPageBreak/>
        <w:t>A7.2.4</w:t>
      </w:r>
      <w:r w:rsidRPr="009D06C9">
        <w:rPr>
          <w:lang w:val="es-ES_tradnl"/>
        </w:rPr>
        <w:tab/>
        <w:t>Normalización</w:t>
      </w:r>
      <w:bookmarkEnd w:id="108"/>
    </w:p>
    <w:p w:rsidR="00A87E27" w:rsidRPr="009D06C9" w:rsidRDefault="00A87E27" w:rsidP="00A87E27">
      <w:pPr>
        <w:keepNext/>
        <w:keepLines/>
        <w:rPr>
          <w:rFonts w:eastAsia="Batang"/>
          <w:lang w:val="es-ES_tradnl"/>
        </w:rPr>
      </w:pPr>
      <w:r w:rsidRPr="009D06C9">
        <w:rPr>
          <w:rFonts w:eastAsia="Batang"/>
          <w:lang w:val="es-ES_tradnl"/>
        </w:rPr>
        <w:t>La empresa de explotación de la red inteligente en China (</w:t>
      </w:r>
      <w:r w:rsidRPr="009D06C9">
        <w:rPr>
          <w:rFonts w:eastAsia="Batang"/>
          <w:i/>
          <w:iCs/>
          <w:lang w:val="es-ES_tradnl"/>
        </w:rPr>
        <w:t>State Grid Corporation of China</w:t>
      </w:r>
      <w:r w:rsidRPr="009D06C9">
        <w:rPr>
          <w:rFonts w:eastAsia="Batang"/>
          <w:lang w:val="es-ES_tradnl"/>
        </w:rPr>
        <w:t xml:space="preserve">) ya ha comenzado a desarrollar normas de SWIN. El </w:t>
      </w:r>
      <w:r w:rsidRPr="009D06C9">
        <w:rPr>
          <w:rFonts w:eastAsia="Batang"/>
          <w:i/>
          <w:iCs/>
          <w:lang w:val="es-ES_tradnl"/>
        </w:rPr>
        <w:t>State Radio</w:t>
      </w:r>
      <w:r w:rsidRPr="009D06C9">
        <w:rPr>
          <w:i/>
          <w:iCs/>
          <w:lang w:val="es-ES_tradnl" w:eastAsia="zh-CN"/>
        </w:rPr>
        <w:t>_m</w:t>
      </w:r>
      <w:r w:rsidRPr="009D06C9">
        <w:rPr>
          <w:rFonts w:eastAsia="Batang"/>
          <w:i/>
          <w:iCs/>
          <w:lang w:val="es-ES_tradnl"/>
        </w:rPr>
        <w:t>onitoring</w:t>
      </w:r>
      <w:r w:rsidRPr="009D06C9">
        <w:rPr>
          <w:i/>
          <w:iCs/>
          <w:lang w:val="es-ES_tradnl" w:eastAsia="zh-CN"/>
        </w:rPr>
        <w:t>_</w:t>
      </w:r>
      <w:r w:rsidRPr="009D06C9">
        <w:rPr>
          <w:rFonts w:eastAsia="Batang"/>
          <w:i/>
          <w:iCs/>
          <w:lang w:val="es-ES_tradnl"/>
        </w:rPr>
        <w:t>center Testing Center</w:t>
      </w:r>
      <w:r w:rsidRPr="009D06C9">
        <w:rPr>
          <w:rFonts w:eastAsia="Batang"/>
          <w:lang w:val="es-ES_tradnl"/>
        </w:rPr>
        <w:t xml:space="preserve"> (la organización nacional de gestión del espectro radioeléctrico) y la </w:t>
      </w:r>
      <w:r w:rsidRPr="009D06C9">
        <w:rPr>
          <w:rFonts w:eastAsia="Batang"/>
          <w:i/>
          <w:iCs/>
          <w:lang w:val="es-ES_tradnl"/>
        </w:rPr>
        <w:t>China Communications Standards Association</w:t>
      </w:r>
      <w:r w:rsidRPr="009D06C9">
        <w:rPr>
          <w:rFonts w:eastAsia="Batang"/>
          <w:lang w:val="es-ES_tradnl"/>
        </w:rPr>
        <w:t xml:space="preserve"> (CCSA) están elaborando la norma SWIN RF para garantizar la coexistencia entre sistemas que funcionan en la misma banda. Además, se va a llevar a cabo la normalización nacional de SWIN.</w:t>
      </w:r>
    </w:p>
    <w:p w:rsidR="00A87E27" w:rsidRPr="009D06C9" w:rsidRDefault="00A87E27" w:rsidP="00A87E27">
      <w:pPr>
        <w:pStyle w:val="Heading2"/>
        <w:rPr>
          <w:lang w:val="es-ES_tradnl"/>
        </w:rPr>
      </w:pPr>
      <w:bookmarkStart w:id="109" w:name="_Toc421882745"/>
      <w:bookmarkStart w:id="110" w:name="_Toc498004385"/>
      <w:r w:rsidRPr="009D06C9">
        <w:rPr>
          <w:lang w:val="es-ES_tradnl"/>
        </w:rPr>
        <w:t>A7.3</w:t>
      </w:r>
      <w:r w:rsidRPr="009D06C9">
        <w:rPr>
          <w:lang w:val="es-ES_tradnl"/>
        </w:rPr>
        <w:tab/>
        <w:t>Conclusión</w:t>
      </w:r>
      <w:bookmarkEnd w:id="109"/>
      <w:bookmarkEnd w:id="110"/>
    </w:p>
    <w:p w:rsidR="00A87E27" w:rsidRPr="009D06C9" w:rsidRDefault="00A87E27" w:rsidP="00A87E27">
      <w:pPr>
        <w:rPr>
          <w:lang w:val="es-ES_tradnl" w:eastAsia="zh-CN"/>
        </w:rPr>
      </w:pPr>
      <w:r w:rsidRPr="009D06C9">
        <w:rPr>
          <w:rFonts w:eastAsia="Batang"/>
          <w:lang w:val="es-ES_tradnl"/>
        </w:rPr>
        <w:t>China ha comenzado investigar tecnologías de acceso inalámbrico para red inteligente. SWIN puede proporcionar comunicaciones inalámbricas satisfactorias para red inteligente, que permitirán reducir el coste de construcción y explotación de redes inteligentes</w:t>
      </w:r>
      <w:r w:rsidRPr="009D06C9">
        <w:rPr>
          <w:lang w:val="es-ES_tradnl" w:eastAsia="zh-CN"/>
        </w:rPr>
        <w:t>.</w:t>
      </w:r>
    </w:p>
    <w:p w:rsidR="00A87E27" w:rsidRPr="009D06C9" w:rsidRDefault="00A87E27" w:rsidP="00A87E27">
      <w:pPr>
        <w:rPr>
          <w:lang w:val="es-ES_tradnl"/>
        </w:rPr>
      </w:pPr>
    </w:p>
    <w:p w:rsidR="00A87E27" w:rsidRPr="009D06C9" w:rsidRDefault="00A87E27" w:rsidP="00A87E27">
      <w:pPr>
        <w:jc w:val="center"/>
        <w:rPr>
          <w:lang w:val="es-ES_tradnl"/>
        </w:rPr>
      </w:pPr>
      <w:r w:rsidRPr="009D06C9">
        <w:rPr>
          <w:lang w:val="es-ES_tradnl"/>
        </w:rPr>
        <w:t>______________</w:t>
      </w:r>
    </w:p>
    <w:p w:rsidR="00A87E27" w:rsidRPr="009D06C9" w:rsidRDefault="00A87E27" w:rsidP="00A87E27">
      <w:pPr>
        <w:rPr>
          <w:lang w:val="es-ES_tradnl"/>
        </w:rPr>
      </w:pPr>
    </w:p>
    <w:p w:rsidR="00BE46FB" w:rsidRPr="00BE46FB" w:rsidRDefault="00BE46FB" w:rsidP="00A87E27">
      <w:pPr>
        <w:rPr>
          <w:lang w:val="es-ES_tradnl"/>
        </w:rPr>
      </w:pPr>
      <w:bookmarkStart w:id="111" w:name="_GoBack"/>
      <w:bookmarkEnd w:id="111"/>
    </w:p>
    <w:sectPr w:rsidR="00BE46FB" w:rsidRPr="00BE46FB" w:rsidSect="007565CC">
      <w:headerReference w:type="even" r:id="rId26"/>
      <w:headerReference w:type="default" r:id="rId2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ED8" w:rsidRDefault="00090ED8">
      <w:r>
        <w:separator/>
      </w:r>
    </w:p>
  </w:endnote>
  <w:endnote w:type="continuationSeparator" w:id="0">
    <w:p w:rsidR="00090ED8" w:rsidRDefault="00090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ED8" w:rsidRDefault="00090ED8">
      <w:r>
        <w:separator/>
      </w:r>
    </w:p>
  </w:footnote>
  <w:footnote w:type="continuationSeparator" w:id="0">
    <w:p w:rsidR="00090ED8" w:rsidRDefault="00090ED8">
      <w:r>
        <w:continuationSeparator/>
      </w:r>
    </w:p>
  </w:footnote>
  <w:footnote w:id="1">
    <w:p w:rsidR="00090ED8" w:rsidRPr="00AB70C1" w:rsidRDefault="00090ED8" w:rsidP="00A87E27">
      <w:pPr>
        <w:pStyle w:val="FootnoteText"/>
        <w:rPr>
          <w:lang w:val="en-US"/>
        </w:rPr>
      </w:pPr>
      <w:r w:rsidRPr="00C043AA">
        <w:rPr>
          <w:rStyle w:val="FootnoteReference"/>
          <w:sz w:val="20"/>
          <w:lang w:val="es-ES_tradnl"/>
        </w:rPr>
        <w:footnoteRef/>
      </w:r>
      <w:r w:rsidRPr="00AB70C1">
        <w:rPr>
          <w:lang w:val="en-US"/>
        </w:rPr>
        <w:tab/>
      </w:r>
      <w:r w:rsidRPr="00AB70C1">
        <w:rPr>
          <w:i/>
          <w:iCs/>
          <w:lang w:val="en-US"/>
        </w:rPr>
        <w:t>The European Commission Smart Grid Vision and Strategy for Europe’s Electricity Networks of the Futur</w:t>
      </w:r>
      <w:r>
        <w:rPr>
          <w:lang w:val="en-US"/>
        </w:rPr>
        <w:t>e («</w:t>
      </w:r>
      <w:r w:rsidRPr="00AB70C1">
        <w:rPr>
          <w:i/>
          <w:iCs/>
          <w:lang w:val="en-US"/>
        </w:rPr>
        <w:t>EC</w:t>
      </w:r>
      <w:r>
        <w:rPr>
          <w:i/>
          <w:iCs/>
          <w:lang w:val="en-US"/>
        </w:rPr>
        <w:t> </w:t>
      </w:r>
      <w:r w:rsidRPr="00AB70C1">
        <w:rPr>
          <w:i/>
          <w:iCs/>
          <w:lang w:val="en-US"/>
        </w:rPr>
        <w:t>Smart</w:t>
      </w:r>
      <w:r>
        <w:rPr>
          <w:i/>
          <w:iCs/>
          <w:lang w:val="en-US"/>
        </w:rPr>
        <w:t> </w:t>
      </w:r>
      <w:r w:rsidRPr="00AB70C1">
        <w:rPr>
          <w:i/>
          <w:iCs/>
          <w:lang w:val="en-US"/>
        </w:rPr>
        <w:t>Grid</w:t>
      </w:r>
      <w:r>
        <w:rPr>
          <w:i/>
          <w:iCs/>
          <w:lang w:val="en-US"/>
        </w:rPr>
        <w:t> </w:t>
      </w:r>
      <w:r w:rsidRPr="00AB70C1">
        <w:rPr>
          <w:i/>
          <w:iCs/>
          <w:lang w:val="en-US"/>
        </w:rPr>
        <w:t>Vision</w:t>
      </w:r>
      <w:r>
        <w:rPr>
          <w:i/>
          <w:iCs/>
          <w:lang w:val="en-US"/>
        </w:rPr>
        <w:t> </w:t>
      </w:r>
      <w:r w:rsidRPr="00AB70C1">
        <w:rPr>
          <w:i/>
          <w:iCs/>
          <w:lang w:val="en-US"/>
        </w:rPr>
        <w:t>Report</w:t>
      </w:r>
      <w:r>
        <w:rPr>
          <w:lang w:val="en-US"/>
        </w:rPr>
        <w:t>» </w:t>
      </w:r>
      <w:r w:rsidRPr="00AB70C1">
        <w:rPr>
          <w:lang w:val="en-US"/>
        </w:rPr>
        <w:t>en</w:t>
      </w:r>
      <w:r>
        <w:rPr>
          <w:lang w:val="en-US"/>
        </w:rPr>
        <w:t> </w:t>
      </w:r>
      <w:r w:rsidRPr="00AB70C1">
        <w:rPr>
          <w:lang w:val="en-US"/>
        </w:rPr>
        <w:t>Comisión</w:t>
      </w:r>
      <w:r>
        <w:rPr>
          <w:lang w:val="en-US"/>
        </w:rPr>
        <w:t> </w:t>
      </w:r>
      <w:r w:rsidRPr="00AB70C1">
        <w:rPr>
          <w:lang w:val="en-US"/>
        </w:rPr>
        <w:t>Europea</w:t>
      </w:r>
      <w:r>
        <w:rPr>
          <w:lang w:val="en-US"/>
        </w:rPr>
        <w:t> </w:t>
      </w:r>
      <w:r w:rsidRPr="00AB70C1">
        <w:rPr>
          <w:lang w:val="en-US"/>
        </w:rPr>
        <w:t>7,</w:t>
      </w:r>
      <w:r>
        <w:rPr>
          <w:lang w:val="en-US"/>
        </w:rPr>
        <w:t> </w:t>
      </w:r>
      <w:r w:rsidRPr="00AB70C1">
        <w:rPr>
          <w:lang w:val="en-US"/>
        </w:rPr>
        <w:t>2006,</w:t>
      </w:r>
      <w:r>
        <w:rPr>
          <w:lang w:val="en-US"/>
        </w:rPr>
        <w:t> </w:t>
      </w:r>
      <w:r w:rsidRPr="00AB70C1">
        <w:rPr>
          <w:lang w:val="en-US"/>
        </w:rPr>
        <w:t xml:space="preserve">en </w:t>
      </w:r>
      <w:hyperlink r:id="rId1" w:history="1">
        <w:r w:rsidRPr="00AB70C1">
          <w:rPr>
            <w:rStyle w:val="Hyperlink"/>
            <w:szCs w:val="24"/>
            <w:lang w:val="en-US"/>
          </w:rPr>
          <w:t>http://www.smartgrids.eu/documents/vision.pdf</w:t>
        </w:r>
      </w:hyperlink>
      <w:r w:rsidRPr="00AB70C1">
        <w:rPr>
          <w:lang w:val="en-US"/>
        </w:rPr>
        <w:t>).</w:t>
      </w:r>
    </w:p>
  </w:footnote>
  <w:footnote w:id="2">
    <w:p w:rsidR="00090ED8" w:rsidRPr="00C043AA" w:rsidRDefault="00090ED8" w:rsidP="00A87E27">
      <w:pPr>
        <w:pStyle w:val="FootnoteText"/>
        <w:rPr>
          <w:lang w:val="es-ES_tradnl"/>
        </w:rPr>
      </w:pPr>
      <w:r w:rsidRPr="00C043AA">
        <w:rPr>
          <w:rStyle w:val="FootnoteReference"/>
          <w:lang w:val="es-ES_tradnl"/>
        </w:rPr>
        <w:footnoteRef/>
      </w:r>
      <w:r w:rsidRPr="00C043AA">
        <w:rPr>
          <w:lang w:val="es-ES_tradnl"/>
        </w:rPr>
        <w:t xml:space="preserve"> </w:t>
      </w:r>
      <w:r w:rsidRPr="00C043AA">
        <w:rPr>
          <w:lang w:val="es-ES_tradnl"/>
        </w:rPr>
        <w:tab/>
      </w:r>
      <w:r>
        <w:rPr>
          <w:lang w:val="es-ES_tradnl"/>
        </w:rPr>
        <w:t>IEEE 802</w:t>
      </w:r>
      <w:r w:rsidRPr="00C043AA">
        <w:rPr>
          <w:lang w:val="es-ES_tradnl"/>
        </w:rPr>
        <w:t xml:space="preserve"> </w:t>
      </w:r>
      <w:r>
        <w:rPr>
          <w:lang w:val="es-ES_tradnl"/>
        </w:rPr>
        <w:t>tiene normas que han sido elaboradas específicamente para redes inteligentes y conectividad de largo alcance en exteriores</w:t>
      </w:r>
      <w:r w:rsidRPr="00C043AA">
        <w:rPr>
          <w:lang w:val="es-ES_tradnl"/>
        </w:rPr>
        <w:t>.</w:t>
      </w:r>
    </w:p>
  </w:footnote>
  <w:footnote w:id="3">
    <w:p w:rsidR="00090ED8" w:rsidRPr="005B3F6C" w:rsidRDefault="00090ED8" w:rsidP="00A87E27">
      <w:pPr>
        <w:pStyle w:val="FootnoteText"/>
        <w:rPr>
          <w:lang w:val="es-ES_tradnl"/>
        </w:rPr>
      </w:pPr>
      <w:r w:rsidRPr="00C043AA">
        <w:rPr>
          <w:rStyle w:val="FootnoteReference"/>
          <w:lang w:val="es-ES_tradnl"/>
        </w:rPr>
        <w:footnoteRef/>
      </w:r>
      <w:r w:rsidRPr="00C043AA">
        <w:rPr>
          <w:lang w:val="es-ES_tradnl"/>
        </w:rPr>
        <w:t xml:space="preserve"> </w:t>
      </w:r>
      <w:r w:rsidRPr="00C043AA">
        <w:rPr>
          <w:lang w:val="es-ES_tradnl"/>
        </w:rPr>
        <w:tab/>
      </w:r>
      <w:hyperlink r:id="rId2" w:history="1">
        <w:r w:rsidRPr="00C043AA">
          <w:rPr>
            <w:rStyle w:val="Hyperlink"/>
            <w:lang w:val="es-ES_tradnl"/>
          </w:rPr>
          <w:t>http://www.itu.int/publ/T-TUT-HOME-2010/en</w:t>
        </w:r>
      </w:hyperlink>
      <w:r w:rsidRPr="005B3F6C">
        <w:rPr>
          <w:lang w:val="es-ES_tradnl"/>
        </w:rPr>
        <w:t>.</w:t>
      </w:r>
    </w:p>
  </w:footnote>
  <w:footnote w:id="4">
    <w:p w:rsidR="00090ED8" w:rsidRPr="005B3F6C" w:rsidRDefault="00090ED8" w:rsidP="00A87E27">
      <w:pPr>
        <w:pStyle w:val="FootnoteText"/>
      </w:pPr>
      <w:r w:rsidRPr="00C043AA">
        <w:rPr>
          <w:rStyle w:val="FootnoteReference"/>
          <w:szCs w:val="18"/>
          <w:lang w:val="es-ES_tradnl"/>
        </w:rPr>
        <w:footnoteRef/>
      </w:r>
      <w:r w:rsidRPr="00AB70C1">
        <w:rPr>
          <w:lang w:val="en-US"/>
        </w:rPr>
        <w:tab/>
      </w:r>
      <w:r w:rsidRPr="00AB70C1">
        <w:rPr>
          <w:szCs w:val="24"/>
          <w:lang w:val="en-US"/>
        </w:rPr>
        <w:t xml:space="preserve">La </w:t>
      </w:r>
      <w:r w:rsidRPr="00AB70C1">
        <w:rPr>
          <w:i/>
          <w:iCs/>
          <w:szCs w:val="24"/>
          <w:lang w:val="en-US"/>
        </w:rPr>
        <w:t>Energy Independence and Security Act</w:t>
      </w:r>
      <w:r w:rsidRPr="00AB70C1">
        <w:rPr>
          <w:szCs w:val="24"/>
          <w:lang w:val="en-US"/>
        </w:rPr>
        <w:t xml:space="preserve"> de 2007 (</w:t>
      </w:r>
      <w:r w:rsidRPr="00AB70C1">
        <w:rPr>
          <w:i/>
          <w:iCs/>
          <w:szCs w:val="24"/>
          <w:lang w:val="en-US"/>
        </w:rPr>
        <w:t>Public Law</w:t>
      </w:r>
      <w:r w:rsidRPr="00AB70C1">
        <w:rPr>
          <w:szCs w:val="24"/>
          <w:lang w:val="en-US"/>
        </w:rPr>
        <w:t xml:space="preserve"> 110-140) (</w:t>
      </w:r>
      <w:r w:rsidRPr="00AB70C1">
        <w:rPr>
          <w:i/>
          <w:iCs/>
          <w:szCs w:val="24"/>
          <w:lang w:val="en-US"/>
        </w:rPr>
        <w:t>TITLE XIII—SMART GRID</w:t>
      </w:r>
      <w:r w:rsidRPr="00AB70C1">
        <w:rPr>
          <w:szCs w:val="24"/>
          <w:lang w:val="en-US"/>
        </w:rPr>
        <w:t xml:space="preserve">). </w:t>
      </w:r>
      <w:hyperlink r:id="rId3" w:history="1">
        <w:r w:rsidRPr="00AB70C1">
          <w:rPr>
            <w:rStyle w:val="Hyperlink"/>
            <w:szCs w:val="24"/>
          </w:rPr>
          <w:t>http://www.gpo.gov/fdsys/pkg/PLAW-110publ140/pdf/PLAW-110publ140.pdf</w:t>
        </w:r>
      </w:hyperlink>
      <w:r w:rsidRPr="005B3F6C">
        <w:t>.</w:t>
      </w:r>
    </w:p>
  </w:footnote>
  <w:footnote w:id="5">
    <w:p w:rsidR="00090ED8" w:rsidRPr="00AB70C1" w:rsidRDefault="00090ED8" w:rsidP="00A87E27">
      <w:pPr>
        <w:pStyle w:val="FootnoteText"/>
        <w:rPr>
          <w:lang w:val="en-US"/>
        </w:rPr>
      </w:pPr>
      <w:r w:rsidRPr="00C043AA">
        <w:rPr>
          <w:rStyle w:val="FootnoteReference"/>
          <w:lang w:val="es-ES_tradnl"/>
        </w:rPr>
        <w:footnoteRef/>
      </w:r>
      <w:r w:rsidRPr="00AB70C1">
        <w:rPr>
          <w:lang w:val="en-US"/>
        </w:rPr>
        <w:tab/>
      </w:r>
      <w:r w:rsidRPr="00AB70C1">
        <w:rPr>
          <w:i/>
          <w:iCs/>
          <w:lang w:val="en-US"/>
        </w:rPr>
        <w:t>NISTIR 7761v2 Priority Action Plan 2 Guidelines for assessing wireless standards for Smart Grid applications.</w:t>
      </w:r>
    </w:p>
  </w:footnote>
  <w:footnote w:id="6">
    <w:p w:rsidR="00090ED8" w:rsidRPr="00AB70C1" w:rsidRDefault="00090ED8" w:rsidP="00A87E27">
      <w:pPr>
        <w:pStyle w:val="FootnoteText"/>
        <w:rPr>
          <w:lang w:val="en-US"/>
        </w:rPr>
      </w:pPr>
      <w:r w:rsidRPr="00C043AA">
        <w:rPr>
          <w:rStyle w:val="FootnoteReference"/>
          <w:lang w:val="es-ES_tradnl"/>
        </w:rPr>
        <w:footnoteRef/>
      </w:r>
      <w:r w:rsidRPr="00AB70C1">
        <w:rPr>
          <w:lang w:val="en-US"/>
        </w:rPr>
        <w:t xml:space="preserve"> </w:t>
      </w:r>
      <w:r w:rsidRPr="00AB70C1">
        <w:rPr>
          <w:lang w:val="en-US"/>
        </w:rPr>
        <w:tab/>
      </w:r>
      <w:hyperlink r:id="rId4" w:history="1">
        <w:r w:rsidRPr="00AB70C1">
          <w:rPr>
            <w:rStyle w:val="Hyperlink"/>
            <w:lang w:val="en-US"/>
          </w:rPr>
          <w:t>http://my.epri.com/portal/server.pt</w:t>
        </w:r>
      </w:hyperlink>
      <w:r w:rsidRPr="00AB70C1">
        <w:rPr>
          <w:lang w:val="en-US"/>
        </w:rPr>
        <w:t>.</w:t>
      </w:r>
    </w:p>
  </w:footnote>
  <w:footnote w:id="7">
    <w:p w:rsidR="00090ED8" w:rsidRPr="005B3F6C" w:rsidRDefault="00090ED8" w:rsidP="00A87E27">
      <w:pPr>
        <w:pStyle w:val="FootnoteText"/>
        <w:rPr>
          <w:lang w:val="es-ES_tradnl"/>
        </w:rPr>
      </w:pPr>
      <w:r w:rsidRPr="00C043AA">
        <w:rPr>
          <w:rStyle w:val="FootnoteReference"/>
          <w:szCs w:val="18"/>
          <w:lang w:val="es-ES_tradnl"/>
        </w:rPr>
        <w:footnoteRef/>
      </w:r>
      <w:r w:rsidRPr="00C043AA">
        <w:rPr>
          <w:lang w:val="es-ES_tradnl"/>
        </w:rPr>
        <w:tab/>
      </w:r>
      <w:r>
        <w:rPr>
          <w:lang w:val="es-ES_tradnl"/>
        </w:rPr>
        <w:t xml:space="preserve">La </w:t>
      </w:r>
      <w:r w:rsidRPr="0022135F">
        <w:rPr>
          <w:rFonts w:eastAsia="MS Mincho"/>
          <w:i/>
          <w:iCs/>
          <w:szCs w:val="24"/>
          <w:lang w:val="es-ES_tradnl"/>
        </w:rPr>
        <w:t>Modern Grid Initiative</w:t>
      </w:r>
      <w:r w:rsidRPr="00C043AA">
        <w:rPr>
          <w:lang w:val="es-ES_tradnl"/>
        </w:rPr>
        <w:t xml:space="preserve"> </w:t>
      </w:r>
      <w:r>
        <w:rPr>
          <w:rFonts w:eastAsia="Batang"/>
          <w:lang w:val="es-ES_tradnl"/>
        </w:rPr>
        <w:t xml:space="preserve">financiada por el </w:t>
      </w:r>
      <w:r w:rsidRPr="002B2D11">
        <w:rPr>
          <w:rFonts w:eastAsia="Batang"/>
          <w:lang w:val="es-ES_tradnl"/>
        </w:rPr>
        <w:t>DOE</w:t>
      </w:r>
      <w:r w:rsidRPr="00C043AA">
        <w:rPr>
          <w:rFonts w:eastAsia="MS Mincho"/>
          <w:szCs w:val="24"/>
          <w:lang w:val="es-ES_tradnl"/>
        </w:rPr>
        <w:t xml:space="preserve"> identifi</w:t>
      </w:r>
      <w:r>
        <w:rPr>
          <w:rFonts w:eastAsia="MS Mincho"/>
          <w:szCs w:val="24"/>
          <w:lang w:val="es-ES_tradnl"/>
        </w:rPr>
        <w:t>ca una red moderna o inteligente:</w:t>
      </w:r>
      <w:r w:rsidRPr="00C043AA">
        <w:rPr>
          <w:rFonts w:eastAsia="MS Mincho"/>
          <w:szCs w:val="24"/>
          <w:lang w:val="es-ES_tradnl"/>
        </w:rPr>
        <w:t xml:space="preserve"> </w:t>
      </w:r>
      <w:hyperlink r:id="rId5" w:history="1">
        <w:r w:rsidRPr="00624504">
          <w:rPr>
            <w:rStyle w:val="Hyperlink"/>
            <w:sz w:val="21"/>
            <w:szCs w:val="21"/>
            <w:lang w:val="es-ES_tradnl"/>
          </w:rPr>
          <w:t>http://www.netl.doe.gov/smartgrid/referenceshelf/whitepapers/Integrated%20Communications_Final_v2_0.pdf</w:t>
        </w:r>
      </w:hyperlink>
    </w:p>
  </w:footnote>
  <w:footnote w:id="8">
    <w:p w:rsidR="00090ED8" w:rsidRPr="00AB70C1" w:rsidRDefault="00090ED8" w:rsidP="00A87E27">
      <w:pPr>
        <w:pStyle w:val="FootnoteText"/>
        <w:rPr>
          <w:lang w:val="en-US"/>
        </w:rPr>
      </w:pPr>
      <w:r w:rsidRPr="00C043AA">
        <w:rPr>
          <w:rStyle w:val="FootnoteReference"/>
          <w:szCs w:val="18"/>
          <w:lang w:val="es-ES_tradnl"/>
        </w:rPr>
        <w:footnoteRef/>
      </w:r>
      <w:r w:rsidRPr="00AB70C1">
        <w:rPr>
          <w:lang w:val="en-US"/>
        </w:rPr>
        <w:tab/>
        <w:t>EUR</w:t>
      </w:r>
      <w:r w:rsidRPr="00AB70C1">
        <w:rPr>
          <w:rFonts w:eastAsia="MS Mincho"/>
          <w:szCs w:val="24"/>
          <w:lang w:val="en-US"/>
        </w:rPr>
        <w:t xml:space="preserve"> 22580 – </w:t>
      </w:r>
      <w:r w:rsidRPr="00AB70C1">
        <w:rPr>
          <w:rFonts w:eastAsia="MS Mincho"/>
          <w:i/>
          <w:iCs/>
          <w:szCs w:val="24"/>
          <w:lang w:val="en-US"/>
        </w:rPr>
        <w:t>Strategic Research Agenda for Europe’s Electricity Networks of the Future</w:t>
      </w:r>
      <w:r>
        <w:rPr>
          <w:rFonts w:eastAsia="MS Mincho"/>
          <w:i/>
          <w:iCs/>
          <w:szCs w:val="24"/>
          <w:lang w:val="en-US"/>
        </w:rPr>
        <w:t xml:space="preserve"> </w:t>
      </w:r>
      <w:r w:rsidRPr="00AB70C1">
        <w:rPr>
          <w:rFonts w:eastAsia="MS Mincho"/>
          <w:i/>
          <w:iCs/>
          <w:szCs w:val="24"/>
          <w:lang w:val="en-US"/>
        </w:rPr>
        <w:t>(</w:t>
      </w:r>
      <w:r w:rsidRPr="00AB70C1">
        <w:rPr>
          <w:i/>
          <w:iCs/>
          <w:szCs w:val="24"/>
          <w:lang w:val="en-US"/>
        </w:rPr>
        <w:t>EC</w:t>
      </w:r>
      <w:r>
        <w:rPr>
          <w:i/>
          <w:iCs/>
          <w:szCs w:val="24"/>
          <w:lang w:val="en-US"/>
        </w:rPr>
        <w:t xml:space="preserve"> </w:t>
      </w:r>
      <w:r w:rsidRPr="00AB70C1">
        <w:rPr>
          <w:i/>
          <w:iCs/>
          <w:szCs w:val="24"/>
          <w:lang w:val="en-US"/>
        </w:rPr>
        <w:t>Strategic</w:t>
      </w:r>
      <w:r>
        <w:rPr>
          <w:i/>
          <w:iCs/>
          <w:szCs w:val="24"/>
          <w:lang w:val="en-US"/>
        </w:rPr>
        <w:t xml:space="preserve"> </w:t>
      </w:r>
      <w:r w:rsidRPr="00AB70C1">
        <w:rPr>
          <w:i/>
          <w:iCs/>
          <w:szCs w:val="24"/>
          <w:lang w:val="en-US"/>
        </w:rPr>
        <w:t>Research</w:t>
      </w:r>
      <w:r>
        <w:rPr>
          <w:i/>
          <w:iCs/>
          <w:szCs w:val="24"/>
          <w:lang w:val="en-US"/>
        </w:rPr>
        <w:t> </w:t>
      </w:r>
      <w:r w:rsidRPr="00AB70C1">
        <w:rPr>
          <w:i/>
          <w:iCs/>
          <w:szCs w:val="24"/>
          <w:lang w:val="en-US"/>
        </w:rPr>
        <w:t>Agenda</w:t>
      </w:r>
      <w:r w:rsidRPr="00AB70C1">
        <w:rPr>
          <w:szCs w:val="24"/>
          <w:lang w:val="en-US"/>
        </w:rPr>
        <w:t>)</w:t>
      </w:r>
      <w:r>
        <w:rPr>
          <w:szCs w:val="24"/>
          <w:lang w:val="en-US"/>
        </w:rPr>
        <w:t> </w:t>
      </w:r>
      <w:r w:rsidRPr="005B3F6C">
        <w:rPr>
          <w:szCs w:val="24"/>
          <w:lang w:val="en-US"/>
        </w:rPr>
        <w:t>en</w:t>
      </w:r>
      <w:r>
        <w:rPr>
          <w:szCs w:val="24"/>
          <w:lang w:val="en-US"/>
        </w:rPr>
        <w:t> </w:t>
      </w:r>
      <w:r w:rsidRPr="00AB70C1">
        <w:rPr>
          <w:szCs w:val="24"/>
          <w:lang w:val="en-US"/>
        </w:rPr>
        <w:t>62,</w:t>
      </w:r>
      <w:r>
        <w:rPr>
          <w:szCs w:val="24"/>
          <w:lang w:val="en-US"/>
        </w:rPr>
        <w:t> </w:t>
      </w:r>
      <w:r w:rsidRPr="005B3F6C">
        <w:rPr>
          <w:rFonts w:eastAsia="MS Mincho"/>
          <w:szCs w:val="24"/>
          <w:lang w:val="en-US"/>
        </w:rPr>
        <w:t>Comisión</w:t>
      </w:r>
      <w:r>
        <w:rPr>
          <w:rFonts w:eastAsia="MS Mincho"/>
          <w:szCs w:val="24"/>
          <w:lang w:val="en-US"/>
        </w:rPr>
        <w:t> </w:t>
      </w:r>
      <w:r w:rsidRPr="00AB70C1">
        <w:rPr>
          <w:rFonts w:eastAsia="MS Mincho"/>
          <w:szCs w:val="24"/>
          <w:lang w:val="en-US"/>
        </w:rPr>
        <w:t>Europea,</w:t>
      </w:r>
      <w:r>
        <w:rPr>
          <w:rFonts w:eastAsia="MS Mincho"/>
          <w:szCs w:val="24"/>
          <w:lang w:val="en-US"/>
        </w:rPr>
        <w:t> </w:t>
      </w:r>
      <w:r w:rsidRPr="00AB70C1">
        <w:rPr>
          <w:rFonts w:eastAsia="MS Mincho"/>
          <w:szCs w:val="24"/>
          <w:lang w:val="en-US"/>
        </w:rPr>
        <w:t xml:space="preserve">2007 </w:t>
      </w:r>
      <w:hyperlink r:id="rId6" w:history="1">
        <w:r w:rsidRPr="00AB70C1">
          <w:rPr>
            <w:rStyle w:val="Hyperlink"/>
            <w:rFonts w:eastAsia="MS Mincho"/>
            <w:szCs w:val="24"/>
            <w:lang w:val="en-US"/>
          </w:rPr>
          <w:t>ftp://ftp.cordis.europa.eu/pub/fp7/energy/docs/smartgrids_agenda_en.pdf</w:t>
        </w:r>
      </w:hyperlink>
      <w:r w:rsidRPr="00AB70C1">
        <w:rPr>
          <w:lang w:val="en-US"/>
        </w:rPr>
        <w:t>.</w:t>
      </w:r>
    </w:p>
  </w:footnote>
  <w:footnote w:id="9">
    <w:p w:rsidR="00090ED8" w:rsidRPr="005B3F6C" w:rsidRDefault="00090ED8" w:rsidP="00A87E27">
      <w:pPr>
        <w:pStyle w:val="FootnoteText"/>
        <w:rPr>
          <w:lang w:val="es-ES_tradnl"/>
        </w:rPr>
      </w:pPr>
      <w:r w:rsidRPr="00C043AA">
        <w:rPr>
          <w:rStyle w:val="FootnoteReference"/>
          <w:lang w:val="es-ES_tradnl"/>
        </w:rPr>
        <w:footnoteRef/>
      </w:r>
      <w:r w:rsidRPr="00C043AA">
        <w:rPr>
          <w:lang w:val="es-ES_tradnl"/>
        </w:rPr>
        <w:tab/>
      </w:r>
      <w:r>
        <w:rPr>
          <w:lang w:val="es-ES_tradnl"/>
        </w:rPr>
        <w:t xml:space="preserve">El Departamento de Energía y Cambio Climático del Reino Unido organizó una consulta sobre implementación de medición inteligente en 2010-2011 </w:t>
      </w:r>
      <w:r w:rsidRPr="00C043AA">
        <w:rPr>
          <w:szCs w:val="24"/>
          <w:lang w:val="es-ES_tradnl"/>
        </w:rPr>
        <w:t xml:space="preserve">(ref: </w:t>
      </w:r>
      <w:r>
        <w:rPr>
          <w:szCs w:val="24"/>
          <w:lang w:val="es-ES_tradnl"/>
        </w:rPr>
        <w:t xml:space="preserve">10D/732 20/7/2010 – 30/03/2011), </w:t>
      </w:r>
      <w:r>
        <w:rPr>
          <w:lang w:val="es-ES_tradnl"/>
        </w:rPr>
        <w:t>cuyos resultados se pueden consultar aquí</w:t>
      </w:r>
      <w:r w:rsidRPr="00C043AA">
        <w:rPr>
          <w:szCs w:val="24"/>
          <w:lang w:val="es-ES_tradnl"/>
        </w:rPr>
        <w:t xml:space="preserve">: </w:t>
      </w:r>
      <w:hyperlink r:id="rId7" w:history="1">
        <w:r w:rsidRPr="00C043AA">
          <w:rPr>
            <w:rStyle w:val="Hyperlink"/>
            <w:szCs w:val="24"/>
            <w:lang w:val="es-ES_tradnl"/>
          </w:rPr>
          <w:t>https://www.gov.uk/government/uploads/system/uploads/attachment_data/file/42742/1475-smart-metering-imp-response-overview.pdf</w:t>
        </w:r>
      </w:hyperlink>
      <w:r w:rsidRPr="005B3F6C">
        <w:rPr>
          <w:lang w:val="es-ES_tradnl"/>
        </w:rPr>
        <w:t>.</w:t>
      </w:r>
    </w:p>
  </w:footnote>
  <w:footnote w:id="10">
    <w:p w:rsidR="00090ED8" w:rsidRPr="005B3F6C" w:rsidRDefault="00090ED8" w:rsidP="00A87E27">
      <w:pPr>
        <w:pStyle w:val="FootnoteText"/>
        <w:rPr>
          <w:lang w:val="es-ES_tradnl"/>
        </w:rPr>
      </w:pPr>
      <w:r w:rsidRPr="00C043AA">
        <w:rPr>
          <w:rStyle w:val="FootnoteReference"/>
          <w:lang w:val="es-ES_tradnl"/>
        </w:rPr>
        <w:footnoteRef/>
      </w:r>
      <w:r w:rsidRPr="00C043AA">
        <w:rPr>
          <w:lang w:val="es-ES_tradnl"/>
        </w:rPr>
        <w:t xml:space="preserve"> </w:t>
      </w:r>
      <w:r w:rsidRPr="00C043AA">
        <w:rPr>
          <w:lang w:val="es-ES_tradnl"/>
        </w:rPr>
        <w:tab/>
      </w:r>
      <w:hyperlink r:id="rId8" w:history="1">
        <w:r w:rsidRPr="00C043AA">
          <w:rPr>
            <w:rStyle w:val="Hyperlink"/>
            <w:lang w:val="es-ES_tradnl"/>
          </w:rPr>
          <w:t>http://www.tiaonline.org/all-standards/committees/tr-51</w:t>
        </w:r>
      </w:hyperlink>
      <w:r w:rsidRPr="005B3F6C">
        <w:rPr>
          <w:lang w:val="es-ES_tradnl"/>
        </w:rPr>
        <w:t>.</w:t>
      </w:r>
    </w:p>
  </w:footnote>
  <w:footnote w:id="11">
    <w:p w:rsidR="00090ED8" w:rsidRPr="00571808" w:rsidRDefault="00090ED8" w:rsidP="00A87E27">
      <w:pPr>
        <w:pStyle w:val="FootnoteText"/>
        <w:rPr>
          <w:lang w:val="fr-CH"/>
        </w:rPr>
      </w:pPr>
      <w:r>
        <w:rPr>
          <w:rStyle w:val="FootnoteReference"/>
        </w:rPr>
        <w:footnoteRef/>
      </w:r>
      <w:r>
        <w:rPr>
          <w:lang w:val="fr-CH"/>
        </w:rPr>
        <w:tab/>
      </w:r>
      <w:r w:rsidRPr="00571808">
        <w:rPr>
          <w:lang w:val="fr-CH"/>
        </w:rPr>
        <w:t xml:space="preserve">Véase </w:t>
      </w:r>
      <w:hyperlink r:id="rId9" w:history="1">
        <w:r w:rsidRPr="00571808">
          <w:rPr>
            <w:rStyle w:val="Hyperlink"/>
            <w:bCs/>
            <w:lang w:val="fr-CH"/>
          </w:rPr>
          <w:t>http://www.iec.ch/smartgrid</w:t>
        </w:r>
      </w:hyperlink>
      <w:r w:rsidRPr="00422689">
        <w:rPr>
          <w:lang w:val="fr-CH"/>
        </w:rPr>
        <w:t>.</w:t>
      </w:r>
    </w:p>
  </w:footnote>
  <w:footnote w:id="12">
    <w:p w:rsidR="00090ED8" w:rsidRPr="00C043AA" w:rsidRDefault="00090ED8" w:rsidP="00A87E27">
      <w:pPr>
        <w:pStyle w:val="FootnoteText"/>
        <w:rPr>
          <w:lang w:val="es-ES_tradnl"/>
        </w:rPr>
      </w:pPr>
      <w:r w:rsidRPr="00C043AA">
        <w:rPr>
          <w:rStyle w:val="FootnoteReference"/>
          <w:lang w:val="es-ES_tradnl"/>
        </w:rPr>
        <w:footnoteRef/>
      </w:r>
      <w:r w:rsidRPr="00C043AA">
        <w:rPr>
          <w:rStyle w:val="FootnoteReference"/>
          <w:lang w:val="es-ES_tradnl"/>
        </w:rPr>
        <w:tab/>
      </w:r>
      <w:r>
        <w:rPr>
          <w:lang w:val="es-ES_tradnl"/>
        </w:rPr>
        <w:t>Por ejemplo, una reciente legislación federal de Estados Unidos, la</w:t>
      </w:r>
      <w:r w:rsidRPr="00C043AA">
        <w:rPr>
          <w:szCs w:val="24"/>
          <w:lang w:val="es-ES_tradnl"/>
        </w:rPr>
        <w:t xml:space="preserve"> </w:t>
      </w:r>
      <w:r w:rsidRPr="00764B64">
        <w:rPr>
          <w:i/>
          <w:iCs/>
          <w:szCs w:val="24"/>
          <w:lang w:val="es-ES_tradnl"/>
        </w:rPr>
        <w:t>Energy Independence and Security Act of 2007 (Public Law 110-140)</w:t>
      </w:r>
      <w:r w:rsidRPr="00C043AA">
        <w:rPr>
          <w:szCs w:val="24"/>
          <w:lang w:val="es-ES_tradnl"/>
        </w:rPr>
        <w:t xml:space="preserve">, </w:t>
      </w:r>
      <w:r>
        <w:rPr>
          <w:szCs w:val="24"/>
          <w:lang w:val="es-ES_tradnl"/>
        </w:rPr>
        <w:t>determina que la política de Estados Unidos consistirá en implementar sistemas de red inteligente para modernizar el tendido eléctrico, y exigirá que los gobiernos federales y estatal y los reguladores adopten medidas específicas para facilitar la implementación de una red inteligente</w:t>
      </w:r>
      <w:r w:rsidRPr="00C043AA">
        <w:rPr>
          <w:szCs w:val="24"/>
          <w:lang w:val="es-ES_tradnl"/>
        </w:rPr>
        <w:t>.</w:t>
      </w:r>
    </w:p>
  </w:footnote>
  <w:footnote w:id="13">
    <w:p w:rsidR="00090ED8" w:rsidRPr="00AB70C1" w:rsidRDefault="00090ED8" w:rsidP="00A87E27">
      <w:pPr>
        <w:pStyle w:val="FootnoteText"/>
        <w:rPr>
          <w:lang w:val="en-US"/>
        </w:rPr>
      </w:pPr>
      <w:r w:rsidRPr="00C043AA">
        <w:rPr>
          <w:rStyle w:val="FootnoteReference"/>
          <w:lang w:val="es-ES_tradnl"/>
        </w:rPr>
        <w:footnoteRef/>
      </w:r>
      <w:r w:rsidRPr="00AB70C1">
        <w:rPr>
          <w:lang w:val="en-US"/>
        </w:rPr>
        <w:tab/>
      </w:r>
      <w:r w:rsidRPr="00AB70C1">
        <w:rPr>
          <w:i/>
          <w:iCs/>
          <w:szCs w:val="24"/>
          <w:lang w:val="en-US"/>
        </w:rPr>
        <w:t>International Energy Agency</w:t>
      </w:r>
      <w:r w:rsidRPr="00AB70C1">
        <w:rPr>
          <w:szCs w:val="24"/>
          <w:lang w:val="en-US"/>
        </w:rPr>
        <w:t xml:space="preserve">, </w:t>
      </w:r>
      <w:r w:rsidRPr="00AB70C1">
        <w:rPr>
          <w:i/>
          <w:iCs/>
          <w:szCs w:val="24"/>
          <w:lang w:val="en-US"/>
        </w:rPr>
        <w:t>Energy Technology Prospectives</w:t>
      </w:r>
      <w:r w:rsidRPr="00AB70C1">
        <w:rPr>
          <w:szCs w:val="24"/>
          <w:lang w:val="en-US"/>
        </w:rPr>
        <w:t>, 2008 at 179.</w:t>
      </w:r>
    </w:p>
  </w:footnote>
  <w:footnote w:id="14">
    <w:p w:rsidR="00090ED8" w:rsidRPr="00AB70C1" w:rsidRDefault="00090ED8" w:rsidP="00A87E27">
      <w:pPr>
        <w:pStyle w:val="FootnoteText"/>
        <w:rPr>
          <w:lang w:val="en-US"/>
        </w:rPr>
      </w:pPr>
      <w:r w:rsidRPr="00C043AA">
        <w:rPr>
          <w:rStyle w:val="FootnoteReference"/>
          <w:lang w:val="es-ES_tradnl"/>
        </w:rPr>
        <w:footnoteRef/>
      </w:r>
      <w:r w:rsidRPr="00AB70C1">
        <w:rPr>
          <w:lang w:val="en-US"/>
        </w:rPr>
        <w:tab/>
      </w:r>
      <w:r w:rsidRPr="00AB70C1">
        <w:rPr>
          <w:szCs w:val="24"/>
          <w:lang w:val="en-US"/>
        </w:rPr>
        <w:t xml:space="preserve">Véase </w:t>
      </w:r>
      <w:r w:rsidRPr="00AB70C1">
        <w:rPr>
          <w:i/>
          <w:iCs/>
          <w:szCs w:val="24"/>
          <w:lang w:val="en-US"/>
        </w:rPr>
        <w:t>Electricity Sector Framework for the Future: Achieving the 21</w:t>
      </w:r>
      <w:r w:rsidRPr="00AB70C1">
        <w:rPr>
          <w:i/>
          <w:iCs/>
          <w:szCs w:val="24"/>
          <w:vertAlign w:val="superscript"/>
          <w:lang w:val="en-US"/>
        </w:rPr>
        <w:t>st</w:t>
      </w:r>
      <w:r w:rsidRPr="00AB70C1">
        <w:rPr>
          <w:i/>
          <w:iCs/>
          <w:szCs w:val="24"/>
          <w:lang w:val="en-US"/>
        </w:rPr>
        <w:t xml:space="preserve"> Century Transformation at</w:t>
      </w:r>
      <w:r>
        <w:rPr>
          <w:i/>
          <w:iCs/>
          <w:szCs w:val="24"/>
          <w:lang w:val="en-US"/>
        </w:rPr>
        <w:t xml:space="preserve"> </w:t>
      </w:r>
      <w:r w:rsidRPr="00AB70C1">
        <w:rPr>
          <w:i/>
          <w:iCs/>
          <w:szCs w:val="24"/>
          <w:lang w:val="en-US"/>
        </w:rPr>
        <w:t>42, Electric</w:t>
      </w:r>
      <w:r>
        <w:rPr>
          <w:i/>
          <w:iCs/>
          <w:szCs w:val="24"/>
          <w:lang w:val="en-US"/>
        </w:rPr>
        <w:t> </w:t>
      </w:r>
      <w:r w:rsidRPr="00AB70C1">
        <w:rPr>
          <w:i/>
          <w:iCs/>
          <w:szCs w:val="24"/>
          <w:lang w:val="en-US"/>
        </w:rPr>
        <w:t>Power</w:t>
      </w:r>
      <w:r>
        <w:rPr>
          <w:i/>
          <w:iCs/>
          <w:szCs w:val="24"/>
          <w:lang w:val="en-US"/>
        </w:rPr>
        <w:t> </w:t>
      </w:r>
      <w:r w:rsidRPr="00AB70C1">
        <w:rPr>
          <w:i/>
          <w:iCs/>
          <w:szCs w:val="24"/>
          <w:lang w:val="en-US"/>
        </w:rPr>
        <w:t>Research</w:t>
      </w:r>
      <w:r>
        <w:rPr>
          <w:i/>
          <w:iCs/>
          <w:szCs w:val="24"/>
          <w:lang w:val="en-US"/>
        </w:rPr>
        <w:t> </w:t>
      </w:r>
      <w:r w:rsidRPr="00AB70C1">
        <w:rPr>
          <w:i/>
          <w:iCs/>
          <w:szCs w:val="24"/>
          <w:lang w:val="en-US"/>
        </w:rPr>
        <w:t>Institute</w:t>
      </w:r>
      <w:r>
        <w:rPr>
          <w:szCs w:val="24"/>
          <w:lang w:val="en-US"/>
        </w:rPr>
        <w:t> </w:t>
      </w:r>
      <w:r w:rsidRPr="00AB70C1">
        <w:rPr>
          <w:szCs w:val="24"/>
          <w:lang w:val="en-US"/>
        </w:rPr>
        <w:t>(Ago.</w:t>
      </w:r>
      <w:r>
        <w:rPr>
          <w:szCs w:val="24"/>
          <w:lang w:val="en-US"/>
        </w:rPr>
        <w:t> </w:t>
      </w:r>
      <w:r w:rsidRPr="00AB70C1">
        <w:rPr>
          <w:szCs w:val="24"/>
          <w:lang w:val="en-US"/>
        </w:rPr>
        <w:t>2003)</w:t>
      </w:r>
      <w:r>
        <w:rPr>
          <w:szCs w:val="24"/>
          <w:lang w:val="en-US"/>
        </w:rPr>
        <w:t> </w:t>
      </w:r>
      <w:r w:rsidRPr="00AB70C1">
        <w:rPr>
          <w:szCs w:val="24"/>
          <w:lang w:val="en-US"/>
        </w:rPr>
        <w:t>(</w:t>
      </w:r>
      <w:r>
        <w:rPr>
          <w:szCs w:val="24"/>
          <w:lang w:val="en-US"/>
        </w:rPr>
        <w:t>«</w:t>
      </w:r>
      <w:r w:rsidRPr="00AB70C1">
        <w:rPr>
          <w:i/>
          <w:iCs/>
          <w:szCs w:val="24"/>
          <w:lang w:val="en-US"/>
        </w:rPr>
        <w:t>EPRI</w:t>
      </w:r>
      <w:r>
        <w:rPr>
          <w:i/>
          <w:iCs/>
          <w:szCs w:val="24"/>
          <w:lang w:val="en-US"/>
        </w:rPr>
        <w:t> </w:t>
      </w:r>
      <w:r w:rsidRPr="00AB70C1">
        <w:rPr>
          <w:i/>
          <w:iCs/>
          <w:szCs w:val="24"/>
          <w:lang w:val="en-US"/>
        </w:rPr>
        <w:t>Report</w:t>
      </w:r>
      <w:r>
        <w:rPr>
          <w:szCs w:val="24"/>
          <w:lang w:val="en-US"/>
        </w:rPr>
        <w:t>»</w:t>
      </w:r>
      <w:r w:rsidRPr="00AB70C1">
        <w:rPr>
          <w:szCs w:val="24"/>
          <w:lang w:val="en-US"/>
        </w:rPr>
        <w:t>),</w:t>
      </w:r>
      <w:r>
        <w:rPr>
          <w:szCs w:val="24"/>
          <w:lang w:val="en-US"/>
        </w:rPr>
        <w:t> </w:t>
      </w:r>
      <w:r w:rsidRPr="00AB70C1">
        <w:rPr>
          <w:szCs w:val="24"/>
          <w:lang w:val="en-US"/>
        </w:rPr>
        <w:t xml:space="preserve">en: </w:t>
      </w:r>
      <w:hyperlink r:id="rId10" w:history="1">
        <w:r w:rsidRPr="00AB70C1">
          <w:rPr>
            <w:color w:val="0000FF"/>
            <w:szCs w:val="24"/>
            <w:u w:val="single"/>
            <w:lang w:val="en-US"/>
          </w:rPr>
          <w:t>http://www.globalregulatorynetwork.org/PDFs/ESFF_volume1.pdf</w:t>
        </w:r>
      </w:hyperlink>
      <w:r w:rsidRPr="00887D31">
        <w:rPr>
          <w:szCs w:val="24"/>
          <w:lang w:val="en-US"/>
        </w:rPr>
        <w:t>.</w:t>
      </w:r>
    </w:p>
  </w:footnote>
  <w:footnote w:id="15">
    <w:p w:rsidR="00090ED8" w:rsidRPr="00AB70C1" w:rsidRDefault="00090ED8" w:rsidP="00A87E27">
      <w:pPr>
        <w:pStyle w:val="FootnoteText"/>
        <w:rPr>
          <w:lang w:val="en-US"/>
        </w:rPr>
      </w:pPr>
      <w:r w:rsidRPr="00C043AA">
        <w:rPr>
          <w:rStyle w:val="FootnoteReference"/>
          <w:lang w:val="es-ES_tradnl"/>
        </w:rPr>
        <w:footnoteRef/>
      </w:r>
      <w:r w:rsidRPr="00AB70C1">
        <w:rPr>
          <w:lang w:val="en-US"/>
        </w:rPr>
        <w:tab/>
      </w:r>
      <w:r w:rsidRPr="00AB70C1">
        <w:rPr>
          <w:i/>
          <w:iCs/>
          <w:szCs w:val="24"/>
          <w:lang w:val="en-US"/>
        </w:rPr>
        <w:t>California</w:t>
      </w:r>
      <w:r w:rsidRPr="00AB70C1">
        <w:rPr>
          <w:rFonts w:eastAsia="MS Mincho"/>
          <w:i/>
          <w:iCs/>
          <w:szCs w:val="24"/>
          <w:lang w:val="en-US"/>
        </w:rPr>
        <w:t xml:space="preserve"> Energy Commission on the Value of Distribution Automation</w:t>
      </w:r>
      <w:r w:rsidRPr="00AB70C1">
        <w:rPr>
          <w:rFonts w:eastAsia="MS Mincho"/>
          <w:szCs w:val="24"/>
          <w:lang w:val="en-US"/>
        </w:rPr>
        <w:t xml:space="preserve">, </w:t>
      </w:r>
      <w:hyperlink r:id="rId11" w:history="1">
        <w:r>
          <w:rPr>
            <w:rStyle w:val="Hyperlink"/>
            <w:rFonts w:eastAsia="MS Mincho"/>
            <w:i/>
            <w:iCs/>
            <w:szCs w:val="24"/>
            <w:lang w:val="en-US"/>
          </w:rPr>
          <w:t>«</w:t>
        </w:r>
        <w:r w:rsidRPr="00AB70C1">
          <w:rPr>
            <w:rStyle w:val="Hyperlink"/>
            <w:rFonts w:eastAsia="MS Mincho"/>
            <w:i/>
            <w:iCs/>
            <w:szCs w:val="24"/>
            <w:lang w:val="en-US"/>
          </w:rPr>
          <w:t>California Energy Commission Public Interest Energy Research Final Project Report</w:t>
        </w:r>
      </w:hyperlink>
      <w:r w:rsidRPr="00EA0F2D">
        <w:rPr>
          <w:rStyle w:val="Hyperlink"/>
          <w:rFonts w:eastAsia="MS Mincho"/>
          <w:i/>
          <w:iCs/>
          <w:szCs w:val="24"/>
          <w:lang w:val="en-US"/>
        </w:rPr>
        <w:t>»</w:t>
      </w:r>
      <w:r w:rsidRPr="00AB70C1">
        <w:rPr>
          <w:rFonts w:eastAsia="MS Mincho"/>
          <w:lang w:val="en-US"/>
        </w:rPr>
        <w:t xml:space="preserve">, </w:t>
      </w:r>
      <w:r w:rsidRPr="00AB70C1">
        <w:rPr>
          <w:rFonts w:eastAsia="MS Mincho"/>
          <w:szCs w:val="24"/>
          <w:lang w:val="en-US"/>
        </w:rPr>
        <w:t>p. 95 (Abr. 2007) (</w:t>
      </w:r>
      <w:r w:rsidRPr="00AB70C1">
        <w:rPr>
          <w:rFonts w:eastAsia="MS Mincho"/>
          <w:i/>
          <w:iCs/>
          <w:szCs w:val="24"/>
          <w:u w:val="single"/>
          <w:lang w:val="en-US"/>
        </w:rPr>
        <w:t>CEC Report</w:t>
      </w:r>
      <w:r w:rsidRPr="00AB70C1">
        <w:rPr>
          <w:rFonts w:eastAsia="MS Mincho"/>
          <w:szCs w:val="24"/>
          <w:lang w:val="en-US"/>
        </w:rPr>
        <w:t>).</w:t>
      </w:r>
    </w:p>
  </w:footnote>
  <w:footnote w:id="16">
    <w:p w:rsidR="00090ED8" w:rsidRPr="00887D31" w:rsidRDefault="00090ED8" w:rsidP="00A87E27">
      <w:pPr>
        <w:pStyle w:val="FootnoteText"/>
        <w:rPr>
          <w:lang w:val="es-ES_tradnl"/>
        </w:rPr>
      </w:pPr>
      <w:r w:rsidRPr="00C043AA">
        <w:rPr>
          <w:rStyle w:val="FootnoteReference"/>
          <w:lang w:val="es-ES_tradnl"/>
        </w:rPr>
        <w:footnoteRef/>
      </w:r>
      <w:r w:rsidRPr="00C043AA">
        <w:rPr>
          <w:lang w:val="es-ES_tradnl"/>
        </w:rPr>
        <w:tab/>
      </w:r>
      <w:r>
        <w:rPr>
          <w:lang w:val="es-ES_tradnl"/>
        </w:rPr>
        <w:t xml:space="preserve">Las definiciones y la Figura proceden de </w:t>
      </w:r>
      <w:hyperlink r:id="rId12" w:history="1">
        <w:r w:rsidRPr="00C043AA">
          <w:rPr>
            <w:rStyle w:val="Hyperlink"/>
            <w:lang w:val="es-ES_tradnl"/>
          </w:rPr>
          <w:t>NISTIR 7761 2013-07-12</w:t>
        </w:r>
      </w:hyperlink>
      <w:r w:rsidRPr="00887D31">
        <w:rPr>
          <w:lang w:val="es-ES_tradnl"/>
        </w:rPr>
        <w:t>.</w:t>
      </w:r>
    </w:p>
  </w:footnote>
  <w:footnote w:id="17">
    <w:p w:rsidR="00090ED8" w:rsidRPr="00C043AA" w:rsidRDefault="00090ED8" w:rsidP="00A87E27">
      <w:pPr>
        <w:pStyle w:val="FootnoteText"/>
        <w:rPr>
          <w:lang w:val="es-ES_tradnl"/>
        </w:rPr>
      </w:pPr>
      <w:r w:rsidRPr="00C043AA">
        <w:rPr>
          <w:rStyle w:val="FootnoteReference"/>
          <w:lang w:val="es-ES_tradnl"/>
        </w:rPr>
        <w:footnoteRef/>
      </w:r>
      <w:r w:rsidRPr="00C043AA">
        <w:rPr>
          <w:lang w:val="es-ES_tradnl"/>
        </w:rPr>
        <w:t xml:space="preserve"> </w:t>
      </w:r>
      <w:r w:rsidRPr="00C043AA">
        <w:rPr>
          <w:lang w:val="es-ES_tradnl"/>
        </w:rPr>
        <w:tab/>
      </w:r>
      <w:hyperlink r:id="rId13" w:history="1">
        <w:r w:rsidRPr="00C043AA">
          <w:rPr>
            <w:rStyle w:val="Hyperlink"/>
            <w:lang w:val="es-ES_tradnl"/>
          </w:rPr>
          <w:t>http://www.decc.gov.uk/en/content/cms/consultations/smart_mtr_imp/smart_mtr_imp.aspx</w:t>
        </w:r>
      </w:hyperlink>
      <w:r w:rsidRPr="00887D31">
        <w:rPr>
          <w:lang w:val="es-ES_tradnl"/>
        </w:rPr>
        <w:t>.</w:t>
      </w:r>
    </w:p>
  </w:footnote>
  <w:footnote w:id="18">
    <w:p w:rsidR="00090ED8" w:rsidRPr="005623B0" w:rsidRDefault="00090ED8" w:rsidP="00A87E27">
      <w:pPr>
        <w:pStyle w:val="FootnoteText"/>
        <w:rPr>
          <w:lang w:val="es-ES_tradnl"/>
        </w:rPr>
      </w:pPr>
      <w:r w:rsidRPr="00C043AA">
        <w:rPr>
          <w:rStyle w:val="FootnoteReference"/>
          <w:lang w:val="es-ES_tradnl"/>
        </w:rPr>
        <w:footnoteRef/>
      </w:r>
      <w:r w:rsidRPr="00C043AA">
        <w:rPr>
          <w:szCs w:val="24"/>
          <w:lang w:val="es-ES_tradnl"/>
        </w:rPr>
        <w:tab/>
      </w:r>
      <w:r>
        <w:rPr>
          <w:szCs w:val="24"/>
          <w:lang w:val="es-ES_tradnl"/>
        </w:rPr>
        <w:t>Véase el punto</w:t>
      </w:r>
      <w:r w:rsidRPr="00C043AA">
        <w:rPr>
          <w:szCs w:val="24"/>
          <w:lang w:val="es-ES_tradnl"/>
        </w:rPr>
        <w:t xml:space="preserve"> 5.1.2 </w:t>
      </w:r>
      <w:r>
        <w:rPr>
          <w:szCs w:val="24"/>
          <w:lang w:val="es-ES_tradnl"/>
        </w:rPr>
        <w:t xml:space="preserve">del documento informativo del UIT-T en </w:t>
      </w:r>
      <w:hyperlink r:id="rId14" w:history="1">
        <w:r w:rsidRPr="00C043AA">
          <w:rPr>
            <w:rStyle w:val="Hyperlink"/>
            <w:szCs w:val="24"/>
            <w:lang w:val="es-ES_tradnl"/>
          </w:rPr>
          <w:t>http://www.itu.int/pub/T-TUT-HOME-2010/en</w:t>
        </w:r>
      </w:hyperlink>
      <w:r w:rsidRPr="005623B0">
        <w:rPr>
          <w:lang w:val="es-ES_tradnl"/>
        </w:rPr>
        <w:t>.</w:t>
      </w:r>
    </w:p>
  </w:footnote>
  <w:footnote w:id="19">
    <w:p w:rsidR="00090ED8" w:rsidRPr="00AB70C1" w:rsidRDefault="00090ED8" w:rsidP="00A87E27">
      <w:pPr>
        <w:pStyle w:val="FootnoteText"/>
        <w:rPr>
          <w:lang w:val="en-US"/>
        </w:rPr>
      </w:pPr>
      <w:r w:rsidRPr="00C043AA">
        <w:rPr>
          <w:rStyle w:val="FootnoteReference"/>
          <w:lang w:val="es-ES_tradnl"/>
        </w:rPr>
        <w:footnoteRef/>
      </w:r>
      <w:r w:rsidRPr="00AB70C1">
        <w:rPr>
          <w:lang w:val="en-US"/>
        </w:rPr>
        <w:t xml:space="preserve"> </w:t>
      </w:r>
      <w:r w:rsidRPr="00AB70C1">
        <w:rPr>
          <w:lang w:val="en-US"/>
        </w:rPr>
        <w:tab/>
      </w:r>
      <w:hyperlink r:id="rId15" w:history="1">
        <w:r w:rsidRPr="00AB70C1">
          <w:rPr>
            <w:rStyle w:val="Hyperlink"/>
            <w:szCs w:val="24"/>
            <w:lang w:val="en-US"/>
          </w:rPr>
          <w:t>European Committee for Electrotechnical Standardization</w:t>
        </w:r>
      </w:hyperlink>
      <w:r w:rsidRPr="00AB70C1">
        <w:rPr>
          <w:lang w:val="en-US"/>
        </w:rPr>
        <w:t>.</w:t>
      </w:r>
    </w:p>
  </w:footnote>
  <w:footnote w:id="20">
    <w:p w:rsidR="00090ED8" w:rsidRPr="00AB70C1" w:rsidRDefault="00090ED8" w:rsidP="00A87E27">
      <w:pPr>
        <w:pStyle w:val="FootnoteText"/>
        <w:rPr>
          <w:lang w:val="en-US"/>
        </w:rPr>
      </w:pPr>
      <w:r w:rsidRPr="00C043AA">
        <w:rPr>
          <w:rStyle w:val="FootnoteReference"/>
          <w:lang w:val="es-ES_tradnl"/>
        </w:rPr>
        <w:footnoteRef/>
      </w:r>
      <w:r w:rsidRPr="00AB70C1">
        <w:rPr>
          <w:lang w:val="en-US"/>
        </w:rPr>
        <w:t xml:space="preserve"> </w:t>
      </w:r>
      <w:r w:rsidRPr="00AB70C1">
        <w:rPr>
          <w:lang w:val="en-US"/>
        </w:rPr>
        <w:tab/>
      </w:r>
      <w:hyperlink r:id="rId16" w:history="1">
        <w:r w:rsidRPr="00AB70C1">
          <w:rPr>
            <w:rStyle w:val="Hyperlink"/>
            <w:szCs w:val="24"/>
            <w:lang w:val="en-US"/>
          </w:rPr>
          <w:t>European Conference of Postal and Telecommunications Administrations</w:t>
        </w:r>
      </w:hyperlink>
      <w:r w:rsidRPr="00AB70C1">
        <w:rPr>
          <w:lang w:val="en-US"/>
        </w:rPr>
        <w:t>.</w:t>
      </w:r>
    </w:p>
  </w:footnote>
  <w:footnote w:id="21">
    <w:p w:rsidR="00090ED8" w:rsidRPr="00C043AA" w:rsidRDefault="00090ED8" w:rsidP="00A87E27">
      <w:pPr>
        <w:pStyle w:val="FootnoteText"/>
        <w:rPr>
          <w:lang w:val="es-ES_tradnl"/>
        </w:rPr>
      </w:pPr>
      <w:r w:rsidRPr="00C043AA">
        <w:rPr>
          <w:rStyle w:val="FootnoteReference"/>
          <w:lang w:val="es-ES_tradnl"/>
        </w:rPr>
        <w:footnoteRef/>
      </w:r>
      <w:r w:rsidRPr="00C043AA">
        <w:rPr>
          <w:lang w:val="es-ES_tradnl"/>
        </w:rPr>
        <w:tab/>
      </w:r>
      <w:r>
        <w:rPr>
          <w:lang w:val="es-ES_tradnl"/>
        </w:rPr>
        <w:t>Z-Wave es una tecnología inalámbrica de baja potencia y bajo coste que permite productos de grado de consumidor con características de red. Se trata, por ejemplo, de variado es de luz controlados a distancia, sensores de temperatura conectados en red, cerraduras electrónicas y sistemas AV. Un nodo compatible con Z-Wave funcionará en las bandas RF sin licencia</w:t>
      </w:r>
      <w:r w:rsidRPr="00616A03">
        <w:rPr>
          <w:lang w:val="es-ES_tradnl"/>
        </w:rPr>
        <w:t xml:space="preserve"> </w:t>
      </w:r>
      <w:r>
        <w:rPr>
          <w:lang w:val="es-ES_tradnl"/>
        </w:rPr>
        <w:t>tales como las bandas ISM</w:t>
      </w:r>
      <w:r w:rsidRPr="00C043AA">
        <w:rPr>
          <w:lang w:val="es-ES_tradnl"/>
        </w:rPr>
        <w:t xml:space="preserve"> (</w:t>
      </w:r>
      <w:hyperlink r:id="rId17" w:history="1">
        <w:r w:rsidRPr="00A7770C">
          <w:rPr>
            <w:rStyle w:val="Hyperlink"/>
            <w:lang w:val="es-ES_tradnl"/>
          </w:rPr>
          <w:t>http://www.z</w:t>
        </w:r>
        <w:r w:rsidRPr="00A7770C">
          <w:rPr>
            <w:rStyle w:val="Hyperlink"/>
            <w:lang w:val="es-ES_tradnl"/>
          </w:rPr>
          <w:noBreakHyphen/>
          <w:t>wave.com/what_is_z-wave</w:t>
        </w:r>
      </w:hyperlink>
      <w:r w:rsidRPr="00C043AA">
        <w:rPr>
          <w:lang w:val="es-ES_tradnl"/>
        </w:rPr>
        <w:t>)</w:t>
      </w:r>
      <w:hyperlink r:id="rId18" w:history="1"/>
      <w:r w:rsidRPr="00C043AA">
        <w:rPr>
          <w:lang w:val="es-ES_tradnl"/>
        </w:rPr>
        <w:t>.</w:t>
      </w:r>
    </w:p>
  </w:footnote>
  <w:footnote w:id="22">
    <w:p w:rsidR="00090ED8" w:rsidRPr="00571808" w:rsidRDefault="00090ED8" w:rsidP="00A87E27">
      <w:pPr>
        <w:pStyle w:val="FootnoteText"/>
        <w:spacing w:before="40"/>
        <w:rPr>
          <w:lang w:val="es-ES_tradnl"/>
        </w:rPr>
      </w:pPr>
      <w:r>
        <w:rPr>
          <w:rStyle w:val="FootnoteReference"/>
        </w:rPr>
        <w:footnoteRef/>
      </w:r>
      <w:r w:rsidRPr="00571808">
        <w:rPr>
          <w:lang w:val="es-ES_tradnl"/>
        </w:rPr>
        <w:tab/>
        <w:t>IEEE P802.11ah es un proyecto que se ha terminado efectivamente, pero que en el momento de realizar esta publicación está a la espera de los resultados del proceso de aprobación.</w:t>
      </w:r>
    </w:p>
  </w:footnote>
  <w:footnote w:id="23">
    <w:p w:rsidR="00090ED8" w:rsidRPr="00C043AA" w:rsidRDefault="00090ED8" w:rsidP="00A87E27">
      <w:pPr>
        <w:pStyle w:val="FootnoteText"/>
        <w:rPr>
          <w:rStyle w:val="FootnoteTextChar"/>
          <w:lang w:val="es-ES_tradnl"/>
        </w:rPr>
      </w:pPr>
      <w:r w:rsidRPr="00C043AA">
        <w:rPr>
          <w:rStyle w:val="FootnoteReference"/>
          <w:lang w:val="es-ES_tradnl"/>
        </w:rPr>
        <w:footnoteRef/>
      </w:r>
      <w:r w:rsidRPr="00C043AA">
        <w:rPr>
          <w:rStyle w:val="FootnoteTextChar"/>
          <w:lang w:val="es-ES_tradnl"/>
        </w:rPr>
        <w:tab/>
      </w:r>
      <w:r>
        <w:rPr>
          <w:rStyle w:val="FootnoteTextChar"/>
          <w:lang w:val="es-ES_tradnl"/>
        </w:rPr>
        <w:t xml:space="preserve">El </w:t>
      </w:r>
      <w:r w:rsidRPr="00C043AA">
        <w:rPr>
          <w:rStyle w:val="FootnoteTextChar"/>
          <w:lang w:val="es-ES_tradnl"/>
        </w:rPr>
        <w:t>Model</w:t>
      </w:r>
      <w:r>
        <w:rPr>
          <w:rStyle w:val="FootnoteTextChar"/>
          <w:lang w:val="es-ES_tradnl"/>
        </w:rPr>
        <w:t>o</w:t>
      </w:r>
      <w:r w:rsidRPr="00C043AA">
        <w:rPr>
          <w:rStyle w:val="FootnoteTextChar"/>
          <w:lang w:val="es-ES_tradnl"/>
        </w:rPr>
        <w:t xml:space="preserve"> 1 </w:t>
      </w:r>
      <w:r>
        <w:rPr>
          <w:rStyle w:val="FootnoteTextChar"/>
          <w:lang w:val="es-ES_tradnl"/>
        </w:rPr>
        <w:t>es una descripción de familia + modelo para interiores</w:t>
      </w:r>
      <w:r w:rsidRPr="00C043AA">
        <w:rPr>
          <w:rStyle w:val="FootnoteTextChar"/>
          <w:lang w:val="es-ES_tradnl"/>
        </w:rPr>
        <w:t>.</w:t>
      </w:r>
    </w:p>
  </w:footnote>
  <w:footnote w:id="24">
    <w:p w:rsidR="00090ED8" w:rsidRPr="00C043AA" w:rsidRDefault="00090ED8" w:rsidP="00A87E27">
      <w:pPr>
        <w:pStyle w:val="FootnoteText"/>
        <w:rPr>
          <w:lang w:val="es-ES_tradnl"/>
        </w:rPr>
      </w:pPr>
      <w:r w:rsidRPr="00C043AA">
        <w:rPr>
          <w:rStyle w:val="FootnoteReference"/>
          <w:lang w:val="es-ES_tradnl"/>
        </w:rPr>
        <w:footnoteRef/>
      </w:r>
      <w:r w:rsidRPr="00C043AA">
        <w:rPr>
          <w:lang w:val="es-ES_tradnl"/>
        </w:rPr>
        <w:tab/>
      </w:r>
      <w:r>
        <w:rPr>
          <w:lang w:val="es-ES_tradnl"/>
        </w:rPr>
        <w:t xml:space="preserve">El </w:t>
      </w:r>
      <w:r w:rsidRPr="00C043AA">
        <w:rPr>
          <w:lang w:val="es-ES_tradnl"/>
        </w:rPr>
        <w:t>Model</w:t>
      </w:r>
      <w:r>
        <w:rPr>
          <w:lang w:val="es-ES_tradnl"/>
        </w:rPr>
        <w:t>o</w:t>
      </w:r>
      <w:r w:rsidRPr="00C043AA">
        <w:rPr>
          <w:lang w:val="es-ES_tradnl"/>
        </w:rPr>
        <w:t xml:space="preserve"> 2 </w:t>
      </w:r>
      <w:r>
        <w:rPr>
          <w:lang w:val="es-ES_tradnl"/>
        </w:rPr>
        <w:t>es un modelo operacional específico + modelo para exteriores</w:t>
      </w:r>
      <w:r w:rsidRPr="00C043AA">
        <w:rPr>
          <w:lang w:val="es-ES_tradnl"/>
        </w:rPr>
        <w:t>.</w:t>
      </w:r>
    </w:p>
  </w:footnote>
  <w:footnote w:id="25">
    <w:p w:rsidR="00090ED8" w:rsidRPr="00D43E99" w:rsidRDefault="00090ED8" w:rsidP="00A87E27">
      <w:pPr>
        <w:pStyle w:val="FootnoteText"/>
        <w:spacing w:before="40"/>
        <w:rPr>
          <w:lang w:val="es-ES_tradnl"/>
        </w:rPr>
      </w:pPr>
      <w:r>
        <w:rPr>
          <w:rStyle w:val="FootnoteReference"/>
        </w:rPr>
        <w:footnoteRef/>
      </w:r>
      <w:r w:rsidRPr="00D43E99">
        <w:rPr>
          <w:lang w:val="es-ES_tradnl"/>
        </w:rPr>
        <w:tab/>
      </w:r>
      <w:r w:rsidRPr="00571808">
        <w:rPr>
          <w:lang w:val="es-ES_tradnl"/>
        </w:rPr>
        <w:t>IEEE P802.11ah es un proyecto que se ha terminado efectivamente, pero que en el momento de realizar esta publicación está a la espera de los resultados del proceso de aprobación.</w:t>
      </w:r>
    </w:p>
  </w:footnote>
  <w:footnote w:id="26">
    <w:p w:rsidR="00090ED8" w:rsidRPr="00D43E99" w:rsidRDefault="00090ED8" w:rsidP="00A87E27">
      <w:pPr>
        <w:pStyle w:val="FootnoteText"/>
        <w:spacing w:before="40"/>
        <w:rPr>
          <w:rStyle w:val="FootnoteTextChar"/>
          <w:lang w:val="es-ES_tradnl"/>
        </w:rPr>
      </w:pPr>
      <w:r>
        <w:rPr>
          <w:rStyle w:val="FootnoteReference"/>
        </w:rPr>
        <w:footnoteRef/>
      </w:r>
      <w:r w:rsidRPr="00D43E99">
        <w:rPr>
          <w:rStyle w:val="FootnoteTextChar"/>
          <w:lang w:val="es-ES_tradnl"/>
        </w:rPr>
        <w:tab/>
      </w:r>
      <w:r>
        <w:rPr>
          <w:rStyle w:val="FootnoteTextChar"/>
          <w:lang w:val="es-ES_tradnl"/>
        </w:rPr>
        <w:t xml:space="preserve">El </w:t>
      </w:r>
      <w:r w:rsidRPr="00C043AA">
        <w:rPr>
          <w:rStyle w:val="FootnoteTextChar"/>
          <w:lang w:val="es-ES_tradnl"/>
        </w:rPr>
        <w:t>Model</w:t>
      </w:r>
      <w:r>
        <w:rPr>
          <w:rStyle w:val="FootnoteTextChar"/>
          <w:lang w:val="es-ES_tradnl"/>
        </w:rPr>
        <w:t>o</w:t>
      </w:r>
      <w:r w:rsidRPr="00C043AA">
        <w:rPr>
          <w:rStyle w:val="FootnoteTextChar"/>
          <w:lang w:val="es-ES_tradnl"/>
        </w:rPr>
        <w:t xml:space="preserve"> 1 </w:t>
      </w:r>
      <w:r>
        <w:rPr>
          <w:rStyle w:val="FootnoteTextChar"/>
          <w:lang w:val="es-ES_tradnl"/>
        </w:rPr>
        <w:t>es una descripción de familia + modelo para interiores</w:t>
      </w:r>
      <w:r w:rsidRPr="00C043AA">
        <w:rPr>
          <w:rStyle w:val="FootnoteTextChar"/>
          <w:lang w:val="es-ES_tradnl"/>
        </w:rPr>
        <w:t>.</w:t>
      </w:r>
    </w:p>
  </w:footnote>
  <w:footnote w:id="27">
    <w:p w:rsidR="00090ED8" w:rsidRPr="00D43E99" w:rsidRDefault="00090ED8" w:rsidP="00A87E27">
      <w:pPr>
        <w:pStyle w:val="FootnoteText"/>
        <w:spacing w:before="40"/>
        <w:rPr>
          <w:lang w:val="es-ES_tradnl"/>
        </w:rPr>
      </w:pPr>
      <w:r>
        <w:rPr>
          <w:rStyle w:val="FootnoteReference"/>
        </w:rPr>
        <w:footnoteRef/>
      </w:r>
      <w:r w:rsidRPr="00D43E99">
        <w:rPr>
          <w:lang w:val="es-ES_tradnl"/>
        </w:rPr>
        <w:tab/>
      </w:r>
      <w:r>
        <w:rPr>
          <w:lang w:val="es-ES_tradnl"/>
        </w:rPr>
        <w:t xml:space="preserve">El </w:t>
      </w:r>
      <w:r w:rsidRPr="00C043AA">
        <w:rPr>
          <w:lang w:val="es-ES_tradnl"/>
        </w:rPr>
        <w:t>Model</w:t>
      </w:r>
      <w:r>
        <w:rPr>
          <w:lang w:val="es-ES_tradnl"/>
        </w:rPr>
        <w:t>o</w:t>
      </w:r>
      <w:r w:rsidRPr="00C043AA">
        <w:rPr>
          <w:lang w:val="es-ES_tradnl"/>
        </w:rPr>
        <w:t xml:space="preserve"> 2 </w:t>
      </w:r>
      <w:r>
        <w:rPr>
          <w:lang w:val="es-ES_tradnl"/>
        </w:rPr>
        <w:t>es un modelo operacional específico + modelo para exteriores</w:t>
      </w:r>
      <w:r w:rsidRPr="00C043AA">
        <w:rPr>
          <w:lang w:val="es-ES_tradnl"/>
        </w:rPr>
        <w:t>.</w:t>
      </w:r>
    </w:p>
  </w:footnote>
  <w:footnote w:id="28">
    <w:p w:rsidR="00090ED8" w:rsidRPr="00624504" w:rsidRDefault="00090ED8" w:rsidP="00A87E27">
      <w:pPr>
        <w:pStyle w:val="FootnoteText"/>
        <w:rPr>
          <w:lang w:val="en-US"/>
        </w:rPr>
      </w:pPr>
      <w:r w:rsidRPr="00C043AA">
        <w:rPr>
          <w:rStyle w:val="FootnoteReference"/>
          <w:szCs w:val="18"/>
          <w:lang w:val="es-ES_tradnl"/>
        </w:rPr>
        <w:footnoteRef/>
      </w:r>
      <w:r w:rsidRPr="00C043AA">
        <w:rPr>
          <w:lang w:val="es-ES_tradnl"/>
        </w:rPr>
        <w:tab/>
      </w:r>
      <w:r>
        <w:rPr>
          <w:lang w:val="es-ES_tradnl"/>
        </w:rPr>
        <w:t>A finales de</w:t>
      </w:r>
      <w:r w:rsidRPr="00C043AA">
        <w:rPr>
          <w:lang w:val="es-ES_tradnl"/>
        </w:rPr>
        <w:t xml:space="preserve"> 2008, </w:t>
      </w:r>
      <w:r>
        <w:rPr>
          <w:lang w:val="es-ES_tradnl"/>
        </w:rPr>
        <w:t>la</w:t>
      </w:r>
      <w:r w:rsidRPr="00C043AA">
        <w:rPr>
          <w:lang w:val="es-ES_tradnl"/>
        </w:rPr>
        <w:t xml:space="preserve"> </w:t>
      </w:r>
      <w:r w:rsidRPr="00417E50">
        <w:rPr>
          <w:i/>
          <w:iCs/>
          <w:lang w:val="es-ES_tradnl"/>
        </w:rPr>
        <w:t>California Air Resources Board</w:t>
      </w:r>
      <w:r w:rsidRPr="00C043AA">
        <w:rPr>
          <w:lang w:val="es-ES_tradnl"/>
        </w:rPr>
        <w:t xml:space="preserve"> (CARB)</w:t>
      </w:r>
      <w:r>
        <w:rPr>
          <w:lang w:val="es-ES_tradnl"/>
        </w:rPr>
        <w:t xml:space="preserve"> declaró que «una red interactiva y una infraestructura de comunicación «inteligentes» permitirían la circulación bidireccional de energía y datos necesarios para el despliegue generalizado de recursos energéticos renovables y distribuidos, vehículos híbridos con enchufe o eléctricos, y dispositivos para mejorar la eficiencia. Las redes inteligentes pueden acomodar un número creciente de fuentes distribuidas de generación de energía ubicadas cerca de los puntos de consumo, lo cual reduce las pérdidas eléctricas globales del sistema y las emisiones correspondientes de GEI. Este sistema permitiría generalizar la generación distribuida de energía…, soportaría la utilización de vehículos eléctricos con enchufe como dispositivos de almacenamiento de energía… [y] ofrecería entonces a los operadores de redes más flexibilidad para responder a fluctuaciones de la generación de energía, lo que ayudaría a solventar las dificultades actuales que plantea la integración de recursos intermitentes tales como la energía eólica».</w:t>
      </w:r>
      <w:r w:rsidRPr="00C043AA">
        <w:rPr>
          <w:lang w:val="es-ES_tradnl"/>
        </w:rPr>
        <w:t xml:space="preserve"> </w:t>
      </w:r>
      <w:r w:rsidRPr="00AB70C1">
        <w:rPr>
          <w:i/>
          <w:iCs/>
          <w:lang w:val="en-US"/>
        </w:rPr>
        <w:t>California Air Resources Board Scoping Plan, Appendix Vol. </w:t>
      </w:r>
      <w:r w:rsidRPr="00624504">
        <w:rPr>
          <w:i/>
          <w:iCs/>
          <w:lang w:val="en-US"/>
        </w:rPr>
        <w:t>I at C-96, 97, CARB</w:t>
      </w:r>
      <w:r w:rsidRPr="00624504">
        <w:rPr>
          <w:lang w:val="en-US"/>
        </w:rPr>
        <w:t xml:space="preserve"> (diciembre de 2008).</w:t>
      </w:r>
    </w:p>
  </w:footnote>
  <w:footnote w:id="29">
    <w:p w:rsidR="00090ED8" w:rsidRPr="00C043AA" w:rsidRDefault="00090ED8" w:rsidP="00A87E27">
      <w:pPr>
        <w:pStyle w:val="FootnoteText"/>
        <w:rPr>
          <w:lang w:val="es-ES_tradnl"/>
        </w:rPr>
      </w:pPr>
      <w:r w:rsidRPr="00C043AA">
        <w:rPr>
          <w:rStyle w:val="FootnoteReference"/>
          <w:szCs w:val="18"/>
          <w:lang w:val="es-ES_tradnl"/>
        </w:rPr>
        <w:footnoteRef/>
      </w:r>
      <w:r w:rsidRPr="00C043AA">
        <w:rPr>
          <w:lang w:val="es-ES_tradnl"/>
        </w:rPr>
        <w:tab/>
      </w:r>
      <w:r>
        <w:rPr>
          <w:lang w:val="es-ES_tradnl"/>
        </w:rPr>
        <w:t>Véase por ejemplo,</w:t>
      </w:r>
      <w:r w:rsidRPr="00C043AA">
        <w:rPr>
          <w:lang w:val="es-ES_tradnl"/>
        </w:rPr>
        <w:t> </w:t>
      </w:r>
      <w:r w:rsidRPr="00417E50">
        <w:rPr>
          <w:i/>
          <w:iCs/>
          <w:lang w:val="es-ES_tradnl"/>
        </w:rPr>
        <w:t>Enabling Tomorrow</w:t>
      </w:r>
      <w:r>
        <w:rPr>
          <w:i/>
          <w:iCs/>
          <w:lang w:val="es-ES_tradnl"/>
        </w:rPr>
        <w:t>'</w:t>
      </w:r>
      <w:r w:rsidRPr="00417E50">
        <w:rPr>
          <w:i/>
          <w:iCs/>
          <w:lang w:val="es-ES_tradnl"/>
        </w:rPr>
        <w:t>s Electricity System – Report of the Ontario Smart Grid Forum</w:t>
      </w:r>
      <w:r w:rsidRPr="00C043AA">
        <w:rPr>
          <w:lang w:val="es-ES_tradnl"/>
        </w:rPr>
        <w:t xml:space="preserve">, </w:t>
      </w:r>
      <w:r w:rsidRPr="002B3A7B">
        <w:rPr>
          <w:i/>
          <w:iCs/>
          <w:lang w:val="es-ES_tradnl"/>
        </w:rPr>
        <w:t>Ontario Smart Grid Forum</w:t>
      </w:r>
      <w:r w:rsidRPr="00C043AA">
        <w:rPr>
          <w:lang w:val="es-ES_tradnl"/>
        </w:rPr>
        <w:t xml:space="preserve"> (febr</w:t>
      </w:r>
      <w:r>
        <w:rPr>
          <w:lang w:val="es-ES_tradnl"/>
        </w:rPr>
        <w:t>ero de</w:t>
      </w:r>
      <w:r w:rsidRPr="00C043AA">
        <w:rPr>
          <w:lang w:val="es-ES_tradnl"/>
        </w:rPr>
        <w:t xml:space="preserve"> 2009) </w:t>
      </w:r>
      <w:r>
        <w:rPr>
          <w:lang w:val="es-ES_tradnl"/>
        </w:rPr>
        <w:t>en el que se previene que «las iniciativas sobre conservación, generación renovable y medidores inteligentes son los albores de un nuevo sistema eléctrico, pero todas las promesas no se cumplirán sin las tecnologías avanzadas que posibilitan la red inteligente».</w:t>
      </w:r>
    </w:p>
  </w:footnote>
  <w:footnote w:id="30">
    <w:p w:rsidR="00090ED8" w:rsidRPr="00AB70C1" w:rsidRDefault="00090ED8" w:rsidP="00A87E27">
      <w:pPr>
        <w:pStyle w:val="FootnoteTextLatinItalic"/>
      </w:pPr>
      <w:r w:rsidRPr="00C043AA">
        <w:rPr>
          <w:rStyle w:val="FootnoteReference"/>
          <w:szCs w:val="18"/>
          <w:lang w:val="es-ES_tradnl"/>
        </w:rPr>
        <w:footnoteRef/>
      </w:r>
      <w:r w:rsidRPr="00AB70C1">
        <w:tab/>
      </w:r>
      <w:r w:rsidRPr="00AB70C1">
        <w:rPr>
          <w:iCs/>
        </w:rPr>
        <w:t xml:space="preserve">Véase </w:t>
      </w:r>
      <w:r w:rsidRPr="00AB70C1">
        <w:rPr>
          <w:i/>
          <w:iCs/>
        </w:rPr>
        <w:t>A Systems View of the Modern Grid at B1-2 and B1-11, Integrated Communications</w:t>
      </w:r>
      <w:r w:rsidRPr="00AB70C1">
        <w:t xml:space="preserve">, realizado por el </w:t>
      </w:r>
      <w:r w:rsidRPr="00AB70C1">
        <w:rPr>
          <w:i/>
          <w:iCs/>
        </w:rPr>
        <w:t>National Energy Technology Laboratory</w:t>
      </w:r>
      <w:r w:rsidRPr="00AB70C1">
        <w:t xml:space="preserve"> para el </w:t>
      </w:r>
      <w:r w:rsidRPr="00AB70C1">
        <w:rPr>
          <w:i/>
          <w:iCs/>
        </w:rPr>
        <w:t>U.S. Department of Energy Office of Electricity Delivery and Energy Reliability</w:t>
      </w:r>
      <w:r w:rsidRPr="00AB70C1">
        <w:t xml:space="preserve"> (feb</w:t>
      </w:r>
      <w:r>
        <w:t>rero de</w:t>
      </w:r>
      <w:r w:rsidRPr="00AB70C1">
        <w:t xml:space="preserve"> 2007). </w:t>
      </w:r>
      <w:r>
        <w:rPr>
          <w:lang w:val="es-ES_tradnl"/>
        </w:rPr>
        <w:t>Esas comunicaciones integradas «[conectarán]» componentes arquitecturas abiertas para información y control en tiempo real, lo que permitirá que todas las partes de la red «hablen» y «escuchen».</w:t>
      </w:r>
      <w:r w:rsidRPr="00C043AA">
        <w:rPr>
          <w:lang w:val="es-ES_tradnl"/>
        </w:rPr>
        <w:t xml:space="preserve"> </w:t>
      </w:r>
      <w:r w:rsidRPr="00AB70C1">
        <w:rPr>
          <w:i/>
          <w:iCs/>
        </w:rPr>
        <w:t>The smart grid: An Introduction at 29, U.S. Department of Energy</w:t>
      </w:r>
      <w:r w:rsidRPr="00AB70C1">
        <w:t xml:space="preserve"> (2008).</w:t>
      </w:r>
    </w:p>
  </w:footnote>
  <w:footnote w:id="31">
    <w:p w:rsidR="00090ED8" w:rsidRPr="00C043AA" w:rsidRDefault="00090ED8" w:rsidP="00A87E27">
      <w:pPr>
        <w:pStyle w:val="FootnoteText"/>
        <w:rPr>
          <w:lang w:val="es-ES_tradnl"/>
        </w:rPr>
      </w:pPr>
      <w:r w:rsidRPr="00C043AA">
        <w:rPr>
          <w:rStyle w:val="FootnoteReference"/>
          <w:szCs w:val="18"/>
          <w:lang w:val="es-ES_tradnl"/>
        </w:rPr>
        <w:footnoteRef/>
      </w:r>
      <w:r w:rsidRPr="00C043AA">
        <w:rPr>
          <w:lang w:val="es-ES_tradnl"/>
        </w:rPr>
        <w:tab/>
      </w:r>
      <w:r w:rsidRPr="00C043AA">
        <w:rPr>
          <w:rFonts w:ascii="Times" w:hAnsi="Times"/>
          <w:i/>
          <w:iCs/>
          <w:lang w:val="es-ES_tradnl"/>
        </w:rPr>
        <w:t>Id</w:t>
      </w:r>
      <w:r w:rsidRPr="00C043AA">
        <w:rPr>
          <w:rFonts w:ascii="Times" w:hAnsi="Times"/>
          <w:lang w:val="es-ES_tradnl"/>
        </w:rPr>
        <w:t>.</w:t>
      </w:r>
    </w:p>
  </w:footnote>
  <w:footnote w:id="32">
    <w:p w:rsidR="00090ED8" w:rsidRPr="00C043AA" w:rsidRDefault="00090ED8" w:rsidP="00A87E27">
      <w:pPr>
        <w:pStyle w:val="FootnoteTextLatinItalic"/>
        <w:ind w:right="-6"/>
        <w:jc w:val="mediumKashida"/>
        <w:rPr>
          <w:lang w:val="es-ES_tradnl"/>
        </w:rPr>
      </w:pPr>
      <w:r w:rsidRPr="00C043AA">
        <w:rPr>
          <w:rStyle w:val="FootnoteReference"/>
          <w:szCs w:val="18"/>
          <w:lang w:val="es-ES_tradnl"/>
        </w:rPr>
        <w:footnoteRef/>
      </w:r>
      <w:r w:rsidRPr="00C043AA">
        <w:rPr>
          <w:lang w:val="es-ES_tradnl"/>
        </w:rPr>
        <w:tab/>
      </w:r>
      <w:r>
        <w:rPr>
          <w:lang w:val="es-ES_tradnl"/>
        </w:rPr>
        <w:t>«Modernizar la red eléctrica con comunicaciones bidireccionales, sensores y tecnologías de control adicionales, que son componentes fundamentales de una red inteligente, puede suponer ventajas considerables para los consumidores</w:t>
      </w:r>
      <w:r w:rsidRPr="00C043AA">
        <w:rPr>
          <w:lang w:val="es-ES_tradnl"/>
        </w:rPr>
        <w:t>.</w:t>
      </w:r>
      <w:r>
        <w:rPr>
          <w:lang w:val="es-ES_tradnl"/>
        </w:rPr>
        <w:t>»</w:t>
      </w:r>
      <w:r w:rsidRPr="00C043AA">
        <w:rPr>
          <w:lang w:val="es-ES_tradnl"/>
        </w:rPr>
        <w:t xml:space="preserve"> </w:t>
      </w:r>
      <w:r w:rsidRPr="00AB70C1">
        <w:rPr>
          <w:i/>
          <w:iCs/>
        </w:rPr>
        <w:t>California PUC Decision Establishing Commission Processes for Review of Projects and Investments by Investor-Owned Utilities Seeking Recovery Act Funding at 3</w:t>
      </w:r>
      <w:r w:rsidRPr="00AB70C1">
        <w:t xml:space="preserve"> (10</w:t>
      </w:r>
      <w:r>
        <w:t xml:space="preserve"> de </w:t>
      </w:r>
      <w:r w:rsidRPr="00AB70C1">
        <w:t>sept</w:t>
      </w:r>
      <w:r>
        <w:t>iembre de</w:t>
      </w:r>
      <w:r w:rsidRPr="00AB70C1">
        <w:t xml:space="preserve"> 2009), en: </w:t>
      </w:r>
      <w:hyperlink r:id="rId19" w:history="1">
        <w:r w:rsidRPr="00AB70C1">
          <w:rPr>
            <w:rStyle w:val="Hyperlink"/>
            <w:szCs w:val="22"/>
          </w:rPr>
          <w:t>http://docs.cpuc.ca.gov/word_pdf/FINAL_DECISION/106992.pdf</w:t>
        </w:r>
      </w:hyperlink>
      <w:r w:rsidRPr="00AB70C1">
        <w:t xml:space="preserve">. </w:t>
      </w:r>
      <w:r w:rsidRPr="00AB70C1">
        <w:rPr>
          <w:bCs/>
          <w:iCs/>
        </w:rPr>
        <w:t xml:space="preserve">Véase también, </w:t>
      </w:r>
      <w:r w:rsidRPr="00AB70C1">
        <w:rPr>
          <w:i/>
        </w:rPr>
        <w:t>California Energy Commission on the Value of Distribution Automation, California Energy Commission Public Interest Energy Research Final Project Report at 51</w:t>
      </w:r>
      <w:r>
        <w:t xml:space="preserve"> (abril de</w:t>
      </w:r>
      <w:r w:rsidRPr="00AB70C1">
        <w:t xml:space="preserve"> 2007), en: </w:t>
      </w:r>
      <w:hyperlink r:id="rId20" w:history="1">
        <w:r w:rsidRPr="007D23F7">
          <w:rPr>
            <w:color w:val="0000FF"/>
            <w:szCs w:val="22"/>
            <w:u w:val="single"/>
          </w:rPr>
          <w:t>http://www.energy.ca.gov/2007publications/CEC-100-2007-008/CEC-100-2007-008-CTF.PDF</w:t>
        </w:r>
      </w:hyperlink>
      <w:r w:rsidRPr="007D23F7">
        <w:t>.</w:t>
      </w:r>
      <w:r w:rsidRPr="00AB70C1">
        <w:rPr>
          <w:rFonts w:ascii="Times" w:hAnsi="Times"/>
        </w:rPr>
        <w:t xml:space="preserve"> </w:t>
      </w:r>
      <w:r w:rsidRPr="00EA0F2D">
        <w:rPr>
          <w:rFonts w:ascii="Times" w:hAnsi="Times"/>
          <w:lang w:val="es-ES_tradnl"/>
        </w:rPr>
        <w:t>«</w:t>
      </w:r>
      <w:r>
        <w:rPr>
          <w:lang w:val="es-ES_tradnl"/>
        </w:rPr>
        <w:t>Las comunicaciones son el fundamento de casi todas las aplicaciones y consisten en comunicaciones bidireccionales de alta velocidad en todo el sistema de distribución y con los clientes privados.»</w:t>
      </w:r>
    </w:p>
  </w:footnote>
  <w:footnote w:id="33">
    <w:p w:rsidR="00090ED8" w:rsidRPr="00C043AA" w:rsidRDefault="00090ED8" w:rsidP="00A87E27">
      <w:pPr>
        <w:pStyle w:val="FootnoteTextLatinItalic"/>
        <w:rPr>
          <w:lang w:val="es-ES_tradnl"/>
        </w:rPr>
      </w:pPr>
      <w:r w:rsidRPr="00C043AA">
        <w:rPr>
          <w:rStyle w:val="FootnoteReference"/>
          <w:szCs w:val="18"/>
          <w:lang w:val="es-ES_tradnl"/>
        </w:rPr>
        <w:footnoteRef/>
      </w:r>
      <w:r w:rsidRPr="00AB70C1">
        <w:tab/>
      </w:r>
      <w:r w:rsidRPr="00AB70C1">
        <w:rPr>
          <w:iCs/>
        </w:rPr>
        <w:t xml:space="preserve">Véase </w:t>
      </w:r>
      <w:r w:rsidRPr="00AB70C1">
        <w:rPr>
          <w:i/>
          <w:iCs/>
        </w:rPr>
        <w:t>Enabling Tomorrow’s Electricity System – Report of the Ontario Smart Grid Forum at 34, Ontario Smart Grid Forum</w:t>
      </w:r>
      <w:r w:rsidRPr="00AB70C1">
        <w:t xml:space="preserve"> (feb</w:t>
      </w:r>
      <w:r>
        <w:t>rero de</w:t>
      </w:r>
      <w:r w:rsidRPr="00AB70C1">
        <w:t xml:space="preserve"> 2009). </w:t>
      </w:r>
      <w:r>
        <w:rPr>
          <w:lang w:val="es-ES_tradnl"/>
        </w:rPr>
        <w:t>En el Informe también se indica que «los sistemas de comunicación que las empresas de servicios públicos están desarrollando para medidores inteligentes no serán adecuados para soportar el desarrollo completo de la red inteligente. Las necesidades de comunicación que entraña la compilación de datos de medidores son diferentes de las del funcionamiento de la red. Se necesitará ancho de banda adicional y servicios redundantes para operaciones de red a causa del volumen de datos operacionales, la velocidad necesaria para utilizarlos y su importancia</w:t>
      </w:r>
      <w:r w:rsidRPr="00C043AA">
        <w:rPr>
          <w:lang w:val="es-ES_tradnl"/>
        </w:rPr>
        <w:t xml:space="preserve">. </w:t>
      </w:r>
      <w:r w:rsidRPr="00C043AA">
        <w:rPr>
          <w:i/>
          <w:lang w:val="es-ES_tradnl"/>
        </w:rPr>
        <w:t>Id</w:t>
      </w:r>
      <w:r w:rsidRPr="00C043AA">
        <w:rPr>
          <w:lang w:val="es-ES_tradnl"/>
        </w:rPr>
        <w:t xml:space="preserve">. </w:t>
      </w:r>
      <w:r>
        <w:rPr>
          <w:lang w:val="es-ES_tradnl"/>
        </w:rPr>
        <w:t>en</w:t>
      </w:r>
      <w:r w:rsidRPr="00C043AA">
        <w:rPr>
          <w:lang w:val="es-ES_tradnl"/>
        </w:rPr>
        <w:t xml:space="preserve"> 35.</w:t>
      </w:r>
    </w:p>
  </w:footnote>
  <w:footnote w:id="34">
    <w:p w:rsidR="00090ED8" w:rsidRPr="005B3F6C" w:rsidRDefault="00090ED8" w:rsidP="00A87E27">
      <w:pPr>
        <w:pStyle w:val="FootnoteTextLatinItalic"/>
        <w:rPr>
          <w:lang w:val="es-ES_tradnl"/>
        </w:rPr>
      </w:pPr>
      <w:r w:rsidRPr="00C043AA">
        <w:rPr>
          <w:rStyle w:val="FootnoteReference"/>
          <w:szCs w:val="18"/>
          <w:lang w:val="es-ES_tradnl"/>
        </w:rPr>
        <w:footnoteRef/>
      </w:r>
      <w:r w:rsidRPr="00C043AA">
        <w:rPr>
          <w:lang w:val="es-ES_tradnl"/>
        </w:rPr>
        <w:tab/>
      </w:r>
      <w:hyperlink r:id="rId21" w:history="1">
        <w:r w:rsidRPr="00C043AA">
          <w:rPr>
            <w:rStyle w:val="Hyperlink"/>
            <w:szCs w:val="24"/>
            <w:lang w:val="es-ES_tradnl"/>
          </w:rPr>
          <w:t>http://www.europarl.europa.eu/sides/getDoc.do?pubRef=-//EP//NONSGML+REPORT+A6-2008-0003+0+DOC+PDF+V0//EN&amp;language=EN</w:t>
        </w:r>
      </w:hyperlink>
      <w:r w:rsidRPr="005B3F6C">
        <w:rPr>
          <w:lang w:val="es-ES_tradnl"/>
        </w:rPr>
        <w:t>.</w:t>
      </w:r>
    </w:p>
  </w:footnote>
  <w:footnote w:id="35">
    <w:p w:rsidR="00090ED8" w:rsidRPr="005B3F6C" w:rsidRDefault="00090ED8" w:rsidP="00A87E27">
      <w:pPr>
        <w:pStyle w:val="FootnoteTextLatinItalic"/>
        <w:rPr>
          <w:lang w:val="es-ES_tradnl"/>
        </w:rPr>
      </w:pPr>
      <w:r w:rsidRPr="00C043AA">
        <w:rPr>
          <w:rStyle w:val="FootnoteReference"/>
          <w:lang w:val="es-ES_tradnl"/>
        </w:rPr>
        <w:footnoteRef/>
      </w:r>
      <w:r w:rsidRPr="00C043AA">
        <w:rPr>
          <w:rStyle w:val="FootnoteReference"/>
          <w:lang w:val="es-ES_tradnl"/>
        </w:rPr>
        <w:tab/>
      </w:r>
      <w:hyperlink r:id="rId22" w:history="1">
        <w:r w:rsidRPr="00C043AA">
          <w:rPr>
            <w:rStyle w:val="Hyperlink"/>
            <w:szCs w:val="22"/>
            <w:lang w:val="es-ES_tradnl"/>
          </w:rPr>
          <w:t>http://www.europarl.europa.eu/sides/getDoc.do?type=TA&amp;language=EN&amp;reference=P6-TA-2008-0294</w:t>
        </w:r>
      </w:hyperlink>
      <w:r w:rsidRPr="005B3F6C">
        <w:rPr>
          <w:lang w:val="es-ES_tradnl"/>
        </w:rPr>
        <w:t>.</w:t>
      </w:r>
    </w:p>
  </w:footnote>
  <w:footnote w:id="36">
    <w:p w:rsidR="00090ED8" w:rsidRPr="00C043AA" w:rsidRDefault="00090ED8" w:rsidP="00A87E27">
      <w:pPr>
        <w:pStyle w:val="FootnoteTextLatinItalic"/>
        <w:rPr>
          <w:lang w:val="es-ES_tradnl"/>
        </w:rPr>
      </w:pPr>
      <w:r w:rsidRPr="00C043AA">
        <w:rPr>
          <w:rStyle w:val="FootnoteReference"/>
          <w:lang w:val="es-ES_tradnl"/>
        </w:rPr>
        <w:footnoteRef/>
      </w:r>
      <w:r w:rsidRPr="00C043AA">
        <w:rPr>
          <w:rStyle w:val="FootnoteReference"/>
          <w:lang w:val="es-ES_tradnl"/>
        </w:rPr>
        <w:tab/>
      </w:r>
      <w:hyperlink r:id="rId23" w:history="1">
        <w:r w:rsidRPr="00C043AA">
          <w:rPr>
            <w:rStyle w:val="Hyperlink"/>
            <w:lang w:val="es-ES_tradnl"/>
          </w:rPr>
          <w:t>http://www.smartgrids.eu/</w:t>
        </w:r>
      </w:hyperlink>
      <w:r w:rsidRPr="005B3F6C">
        <w:rPr>
          <w:lang w:val="es-ES_tradnl"/>
        </w:rPr>
        <w:t>.</w:t>
      </w:r>
    </w:p>
  </w:footnote>
  <w:footnote w:id="37">
    <w:p w:rsidR="00090ED8" w:rsidRPr="005B3F6C" w:rsidRDefault="00090ED8" w:rsidP="0066087F">
      <w:pPr>
        <w:pStyle w:val="FootnoteTextLatinItalic"/>
        <w:rPr>
          <w:lang w:val="es-ES_tradnl"/>
        </w:rPr>
      </w:pPr>
      <w:r w:rsidRPr="00C043AA">
        <w:rPr>
          <w:rStyle w:val="FootnoteReference"/>
          <w:lang w:val="es-ES_tradnl"/>
        </w:rPr>
        <w:footnoteRef/>
      </w:r>
      <w:r>
        <w:rPr>
          <w:szCs w:val="22"/>
          <w:lang w:val="es-ES_tradnl"/>
        </w:rPr>
        <w:tab/>
      </w:r>
      <w:hyperlink r:id="rId24" w:history="1">
        <w:r w:rsidRPr="00CF19BF">
          <w:rPr>
            <w:rStyle w:val="Hyperlink"/>
            <w:szCs w:val="22"/>
            <w:lang w:val="es-ES_tradnl"/>
          </w:rPr>
          <w:t>http://cordis.europa.eu/fetch?CALLER=ENERGY_NEWS&amp;ACTION=D&amp;DOC=1&amp;CAT=NEWS&amp;</w:t>
        </w:r>
        <w:r w:rsidRPr="00CF19BF">
          <w:rPr>
            <w:rStyle w:val="Hyperlink"/>
            <w:szCs w:val="22"/>
            <w:lang w:val="es-ES_tradnl"/>
          </w:rPr>
          <w:br/>
          <w:t>QUERY=011bae3744bf:2435:2d5957f8&amp;RCN=29756</w:t>
        </w:r>
      </w:hyperlink>
      <w:r w:rsidRPr="005B3F6C">
        <w:rPr>
          <w:lang w:val="es-ES_tradnl"/>
        </w:rPr>
        <w:t>.</w:t>
      </w:r>
    </w:p>
  </w:footnote>
  <w:footnote w:id="38">
    <w:p w:rsidR="00090ED8" w:rsidRPr="00AB70C1" w:rsidRDefault="00090ED8" w:rsidP="00A87E27">
      <w:pPr>
        <w:pStyle w:val="FootnoteTextLatinItalic"/>
      </w:pPr>
      <w:r w:rsidRPr="00C043AA">
        <w:rPr>
          <w:rStyle w:val="FootnoteReference"/>
          <w:lang w:val="es-ES_tradnl"/>
        </w:rPr>
        <w:footnoteRef/>
      </w:r>
      <w:r w:rsidRPr="00AB70C1">
        <w:tab/>
        <w:t>Véase</w:t>
      </w:r>
      <w:r>
        <w:t xml:space="preserve"> «</w:t>
      </w:r>
      <w:r w:rsidRPr="00AB70C1">
        <w:rPr>
          <w:i/>
          <w:iCs/>
        </w:rPr>
        <w:t>Iberdrola, EDP Announce Big Smart Grid Expansions at EUTC Event</w:t>
      </w:r>
      <w:r>
        <w:rPr>
          <w:i/>
          <w:iCs/>
        </w:rPr>
        <w:t>»</w:t>
      </w:r>
      <w:r w:rsidRPr="00AB70C1">
        <w:t xml:space="preserve">, </w:t>
      </w:r>
      <w:r w:rsidRPr="00AB70C1">
        <w:rPr>
          <w:i/>
          <w:iCs/>
        </w:rPr>
        <w:t>Smart Grid Today</w:t>
      </w:r>
      <w:r w:rsidRPr="00AB70C1">
        <w:t xml:space="preserve">, 9 de noviembre de </w:t>
      </w:r>
      <w:r>
        <w:t>2009 («</w:t>
      </w:r>
      <w:r w:rsidRPr="00AB70C1">
        <w:rPr>
          <w:i/>
          <w:iCs/>
        </w:rPr>
        <w:t>Iberdrola is using PLC to connect its smart meters while EDP is using a mix of PLC and wireless</w:t>
      </w:r>
      <w:r>
        <w:rPr>
          <w:i/>
          <w:iCs/>
        </w:rPr>
        <w:t>»</w:t>
      </w:r>
      <w:r w:rsidRPr="00AB70C1">
        <w:t>).</w:t>
      </w:r>
    </w:p>
  </w:footnote>
  <w:footnote w:id="39">
    <w:p w:rsidR="00090ED8" w:rsidRPr="00AB70C1" w:rsidRDefault="00090ED8" w:rsidP="00A87E27">
      <w:pPr>
        <w:pStyle w:val="FootnoteTextLatinItalic"/>
        <w:jc w:val="left"/>
      </w:pPr>
      <w:r w:rsidRPr="00C043AA">
        <w:rPr>
          <w:rStyle w:val="FootnoteReference"/>
          <w:lang w:val="es-ES_tradnl"/>
        </w:rPr>
        <w:footnoteRef/>
      </w:r>
      <w:r w:rsidRPr="00AB70C1">
        <w:tab/>
        <w:t xml:space="preserve">Origen de todo el párrafo: </w:t>
      </w:r>
      <w:r w:rsidRPr="00AB70C1">
        <w:rPr>
          <w:i/>
          <w:iCs/>
        </w:rPr>
        <w:t>European Regulators’ Group for Electricity and Gas Position Paper on Smart Grids</w:t>
      </w:r>
      <w:r w:rsidRPr="00AB70C1">
        <w:t xml:space="preserve"> – Ref</w:t>
      </w:r>
      <w:r>
        <w:t>.</w:t>
      </w:r>
      <w:r w:rsidRPr="00AB70C1">
        <w:t xml:space="preserve">: E09-EQS-30-04, Anexo III </w:t>
      </w:r>
      <w:hyperlink r:id="rId25" w:history="1">
        <w:r w:rsidRPr="00AB70C1">
          <w:rPr>
            <w:rStyle w:val="Hyperlink"/>
          </w:rPr>
          <w:t>http://www.energy-regulators.eu/portal/page/portal/EER_HOME/EER_CONSULT/CLOSED PUBLIC CONSULTATIONS/ELECTRICITY/Smart Grids/CD</w:t>
        </w:r>
      </w:hyperlink>
      <w:hyperlink r:id="rId26" w:history="1">
        <w:r w:rsidRPr="00AB70C1">
          <w:rPr>
            <w:rStyle w:val="Hyperlink"/>
          </w:rPr>
          <w:t>http://www.energy-regulators.eu/portal/page/portal/EER_HOME/ EER_CONSULT/CLOSED %20PUBLIC %20CONSULTATIONS/ELECTRICITY/Smart%20Grids/CD</w:t>
        </w:r>
      </w:hyperlink>
      <w:r w:rsidRPr="00AB70C1">
        <w:t>.</w:t>
      </w:r>
    </w:p>
  </w:footnote>
  <w:footnote w:id="40">
    <w:p w:rsidR="00090ED8" w:rsidRPr="00C043AA" w:rsidRDefault="00090ED8" w:rsidP="00A87E27">
      <w:pPr>
        <w:pStyle w:val="FootnoteTextLatinItalic"/>
        <w:rPr>
          <w:lang w:val="es-ES_tradnl"/>
        </w:rPr>
      </w:pPr>
      <w:r w:rsidRPr="00C043AA">
        <w:rPr>
          <w:rStyle w:val="FootnoteReference"/>
          <w:lang w:val="es-ES_tradnl"/>
        </w:rPr>
        <w:footnoteRef/>
      </w:r>
      <w:r w:rsidRPr="00C043AA">
        <w:rPr>
          <w:lang w:val="es-ES_tradnl"/>
        </w:rPr>
        <w:tab/>
        <w:t>Referenc</w:t>
      </w:r>
      <w:r>
        <w:rPr>
          <w:lang w:val="es-ES_tradnl"/>
        </w:rPr>
        <w:t>ia</w:t>
      </w:r>
      <w:r w:rsidRPr="00C043AA">
        <w:rPr>
          <w:lang w:val="es-ES_tradnl"/>
        </w:rPr>
        <w:t>s</w:t>
      </w:r>
      <w:r>
        <w:rPr>
          <w:lang w:val="es-ES_tradnl"/>
        </w:rPr>
        <w:t>:</w:t>
      </w:r>
      <w:r w:rsidRPr="00C043AA">
        <w:rPr>
          <w:lang w:val="es-ES_tradnl"/>
        </w:rPr>
        <w:t xml:space="preserve"> Comunicación de la Comisión al Consejo, al Parlamento Europeo, al Comité Económico y Social Europeo y al Comité de las Regiones, «Plan Estratégico Europeo de Tecnología Energética (Plan</w:t>
      </w:r>
      <w:r>
        <w:rPr>
          <w:lang w:val="es-ES_tradnl"/>
        </w:rPr>
        <w:t> </w:t>
      </w:r>
      <w:r w:rsidRPr="00C043AA">
        <w:rPr>
          <w:lang w:val="es-ES_tradnl"/>
        </w:rPr>
        <w:t xml:space="preserve">EETE) </w:t>
      </w:r>
      <w:r w:rsidRPr="00613C2F">
        <w:rPr>
          <w:lang w:val="es-ES_tradnl"/>
        </w:rPr>
        <w:t>–</w:t>
      </w:r>
      <w:r w:rsidRPr="00C043AA">
        <w:rPr>
          <w:lang w:val="es-ES_tradnl"/>
        </w:rPr>
        <w:t xml:space="preserve"> Hacia un futuro con baja emisión de carbono», COM(2007) 723 final, 22 </w:t>
      </w:r>
      <w:r>
        <w:rPr>
          <w:lang w:val="es-ES_tradnl"/>
        </w:rPr>
        <w:t>de noviembre de 2</w:t>
      </w:r>
      <w:r w:rsidRPr="00C043AA">
        <w:rPr>
          <w:lang w:val="es-ES_tradnl"/>
        </w:rPr>
        <w:t>007</w:t>
      </w:r>
      <w:r>
        <w:rPr>
          <w:lang w:val="es-ES_tradnl"/>
        </w:rPr>
        <w:t>, Comi</w:t>
      </w:r>
      <w:r w:rsidRPr="00C043AA">
        <w:rPr>
          <w:lang w:val="es-ES_tradnl"/>
        </w:rPr>
        <w:t>si</w:t>
      </w:r>
      <w:r>
        <w:rPr>
          <w:lang w:val="es-ES_tradnl"/>
        </w:rPr>
        <w:t>ón Europea, «</w:t>
      </w:r>
      <w:r w:rsidRPr="00C043AA">
        <w:rPr>
          <w:lang w:val="es-ES_tradnl"/>
        </w:rPr>
        <w:t>Energ</w:t>
      </w:r>
      <w:r>
        <w:rPr>
          <w:lang w:val="es-ES_tradnl"/>
        </w:rPr>
        <w:t>ía para</w:t>
      </w:r>
      <w:r w:rsidRPr="00C043AA">
        <w:rPr>
          <w:lang w:val="es-ES_tradnl"/>
        </w:rPr>
        <w:t xml:space="preserve"> </w:t>
      </w:r>
      <w:r>
        <w:rPr>
          <w:lang w:val="es-ES_tradnl"/>
        </w:rPr>
        <w:t>el</w:t>
      </w:r>
      <w:r w:rsidRPr="00C043AA">
        <w:rPr>
          <w:lang w:val="es-ES_tradnl"/>
        </w:rPr>
        <w:t xml:space="preserve"> Futur</w:t>
      </w:r>
      <w:r>
        <w:rPr>
          <w:lang w:val="es-ES_tradnl"/>
        </w:rPr>
        <w:t>o de</w:t>
      </w:r>
      <w:r w:rsidRPr="00C043AA">
        <w:rPr>
          <w:lang w:val="es-ES_tradnl"/>
        </w:rPr>
        <w:t xml:space="preserve"> Europ</w:t>
      </w:r>
      <w:r>
        <w:rPr>
          <w:lang w:val="es-ES_tradnl"/>
        </w:rPr>
        <w:t>a</w:t>
      </w:r>
      <w:r w:rsidRPr="00C043AA">
        <w:rPr>
          <w:lang w:val="es-ES_tradnl"/>
        </w:rPr>
        <w:t>: Plan Estratégico Europeo de Tecnología Energétic</w:t>
      </w:r>
      <w:r>
        <w:rPr>
          <w:lang w:val="es-ES_tradnl"/>
        </w:rPr>
        <w:t xml:space="preserve">a (Plan EETE)», MEMO/08/657, 28 de octubre de </w:t>
      </w:r>
      <w:r w:rsidRPr="00C043AA">
        <w:rPr>
          <w:lang w:val="es-ES_tradnl"/>
        </w:rPr>
        <w:t>2008.</w:t>
      </w:r>
    </w:p>
  </w:footnote>
  <w:footnote w:id="41">
    <w:p w:rsidR="00090ED8" w:rsidRPr="00B25758" w:rsidRDefault="00090ED8" w:rsidP="00A87E27">
      <w:pPr>
        <w:pStyle w:val="FootnoteTextLatinItalic"/>
        <w:rPr>
          <w:lang w:val="es-ES_tradnl"/>
        </w:rPr>
      </w:pPr>
      <w:r w:rsidRPr="00C043AA">
        <w:rPr>
          <w:rStyle w:val="FootnoteReference"/>
          <w:lang w:val="es-ES_tradnl"/>
        </w:rPr>
        <w:footnoteRef/>
      </w:r>
      <w:r w:rsidRPr="00C043AA">
        <w:rPr>
          <w:lang w:val="es-ES_tradnl"/>
        </w:rPr>
        <w:tab/>
        <w:t xml:space="preserve">Comisión </w:t>
      </w:r>
      <w:r w:rsidRPr="00875A11">
        <w:rPr>
          <w:lang w:val="es-ES_tradnl"/>
        </w:rPr>
        <w:t xml:space="preserve">Europea, </w:t>
      </w:r>
      <w:r w:rsidRPr="00C043AA">
        <w:rPr>
          <w:lang w:val="es-ES_tradnl"/>
        </w:rPr>
        <w:t>Comunicación de la Comisión al Consejo, al Parlamento Europeo, al Comité Económico y Social Europ</w:t>
      </w:r>
      <w:r>
        <w:rPr>
          <w:lang w:val="es-ES_tradnl"/>
        </w:rPr>
        <w:t>eo y al Comité de las Regiones «</w:t>
      </w:r>
      <w:r w:rsidRPr="00066984">
        <w:rPr>
          <w:i/>
          <w:iCs/>
          <w:lang w:val="es-ES_tradnl"/>
        </w:rPr>
        <w:t>A European strategic energy technology plan (</w:t>
      </w:r>
      <w:r w:rsidRPr="00066984">
        <w:rPr>
          <w:rFonts w:eastAsia="Batang"/>
          <w:i/>
          <w:iCs/>
          <w:lang w:val="es-ES_tradnl"/>
        </w:rPr>
        <w:t>Plan EETE</w:t>
      </w:r>
      <w:r w:rsidRPr="00066984">
        <w:rPr>
          <w:i/>
          <w:iCs/>
          <w:lang w:val="es-ES_tradnl"/>
        </w:rPr>
        <w:t>) - Towards a low carbon future</w:t>
      </w:r>
      <w:r>
        <w:rPr>
          <w:lang w:val="es-ES_tradnl"/>
        </w:rPr>
        <w:t>»</w:t>
      </w:r>
      <w:r w:rsidRPr="00C043AA">
        <w:rPr>
          <w:lang w:val="es-ES_tradnl"/>
        </w:rPr>
        <w:t>, COM(2007) 723 final, 22</w:t>
      </w:r>
      <w:r>
        <w:rPr>
          <w:lang w:val="es-ES_tradnl"/>
        </w:rPr>
        <w:t xml:space="preserve"> de noviembre de </w:t>
      </w:r>
      <w:r w:rsidRPr="00C043AA">
        <w:rPr>
          <w:lang w:val="es-ES_tradnl"/>
        </w:rPr>
        <w:t>2007.</w:t>
      </w:r>
    </w:p>
  </w:footnote>
  <w:footnote w:id="42">
    <w:p w:rsidR="00090ED8" w:rsidRPr="00B25758" w:rsidRDefault="00090ED8" w:rsidP="00A87E27">
      <w:pPr>
        <w:pStyle w:val="FootnoteTextLatinItalic"/>
        <w:rPr>
          <w:lang w:val="es-ES_tradnl"/>
        </w:rPr>
      </w:pPr>
      <w:r w:rsidRPr="002A6D8F">
        <w:rPr>
          <w:rStyle w:val="FootnoteReference"/>
        </w:rPr>
        <w:footnoteRef/>
      </w:r>
      <w:r w:rsidRPr="00B25758">
        <w:rPr>
          <w:lang w:val="es-ES_tradnl"/>
        </w:rPr>
        <w:tab/>
        <w:t xml:space="preserve">La propuesta de crear un Centro Europeo para Redes Eléctricas procede del proyecto </w:t>
      </w:r>
      <w:r>
        <w:rPr>
          <w:lang w:val="es-ES_tradnl"/>
        </w:rPr>
        <w:t>6</w:t>
      </w:r>
      <w:r w:rsidRPr="00B25758">
        <w:rPr>
          <w:lang w:val="es-ES_tradnl"/>
        </w:rPr>
        <w:t>FP RELIANCE, en el que han participado ocho operadores europeos de sistemas de transmisión.</w:t>
      </w:r>
    </w:p>
  </w:footnote>
  <w:footnote w:id="43">
    <w:p w:rsidR="00090ED8" w:rsidRPr="00EA0F2D" w:rsidRDefault="00090ED8" w:rsidP="00A87E27">
      <w:pPr>
        <w:pStyle w:val="FootnoteTextLatinItalic"/>
      </w:pPr>
      <w:r w:rsidRPr="00C043AA">
        <w:rPr>
          <w:rStyle w:val="FootnoteReference"/>
          <w:lang w:val="es-ES_tradnl"/>
        </w:rPr>
        <w:footnoteRef/>
      </w:r>
      <w:r w:rsidRPr="00AB70C1">
        <w:tab/>
        <w:t>Comisió</w:t>
      </w:r>
      <w:r>
        <w:t>n Europea, «</w:t>
      </w:r>
      <w:r w:rsidRPr="00AB70C1">
        <w:rPr>
          <w:i/>
          <w:iCs/>
        </w:rPr>
        <w:t xml:space="preserve">Energy for the Future of Europe: The Strategic Energy. </w:t>
      </w:r>
      <w:r w:rsidRPr="00EA0F2D">
        <w:rPr>
          <w:i/>
          <w:iCs/>
        </w:rPr>
        <w:t>Technology (SET) Plan</w:t>
      </w:r>
      <w:r>
        <w:rPr>
          <w:i/>
          <w:iCs/>
        </w:rPr>
        <w:t>»</w:t>
      </w:r>
      <w:r w:rsidRPr="00EA0F2D">
        <w:t>, MEMO/08/657, 28 de octubre de</w:t>
      </w:r>
      <w:r>
        <w:t xml:space="preserve"> 2008.</w:t>
      </w:r>
    </w:p>
  </w:footnote>
  <w:footnote w:id="44">
    <w:p w:rsidR="00090ED8" w:rsidRPr="00C043AA" w:rsidRDefault="00090ED8" w:rsidP="00A87E27">
      <w:pPr>
        <w:pStyle w:val="FootnoteTextLatinItalic"/>
        <w:rPr>
          <w:lang w:val="es-ES_tradnl"/>
        </w:rPr>
      </w:pPr>
      <w:r w:rsidRPr="00C043AA">
        <w:rPr>
          <w:rStyle w:val="FootnoteReference"/>
          <w:lang w:val="es-ES_tradnl"/>
        </w:rPr>
        <w:footnoteRef/>
      </w:r>
      <w:r w:rsidRPr="00C043AA">
        <w:rPr>
          <w:rStyle w:val="FootnoteReference"/>
          <w:lang w:val="es-ES_tradnl"/>
        </w:rPr>
        <w:tab/>
      </w:r>
      <w:r w:rsidRPr="00C043AA">
        <w:rPr>
          <w:rStyle w:val="Hyperlink"/>
          <w:lang w:val="es-ES_tradnl"/>
        </w:rPr>
        <w:t>http://www.e-energy.de/en/</w:t>
      </w:r>
      <w:r w:rsidRPr="00AB70C1">
        <w:t>.</w:t>
      </w:r>
    </w:p>
  </w:footnote>
  <w:footnote w:id="45">
    <w:p w:rsidR="00090ED8" w:rsidRPr="00C043AA" w:rsidRDefault="00090ED8" w:rsidP="00A87E27">
      <w:pPr>
        <w:pStyle w:val="FootnoteTextLatinItalic"/>
        <w:rPr>
          <w:lang w:val="es-ES_tradnl"/>
        </w:rPr>
      </w:pPr>
      <w:r w:rsidRPr="00C043AA">
        <w:rPr>
          <w:rStyle w:val="FootnoteReference"/>
          <w:lang w:val="es-ES_tradnl"/>
        </w:rPr>
        <w:footnoteRef/>
      </w:r>
      <w:r w:rsidRPr="00C043AA">
        <w:rPr>
          <w:lang w:val="es-ES_tradnl"/>
        </w:rPr>
        <w:tab/>
      </w:r>
      <w:hyperlink r:id="rId27" w:history="1">
        <w:r w:rsidRPr="00C043AA">
          <w:rPr>
            <w:rStyle w:val="Hyperlink"/>
            <w:lang w:val="es-ES_tradnl"/>
          </w:rPr>
          <w:t>http://www.ksmartgrid.org/eng/</w:t>
        </w:r>
      </w:hyperlink>
      <w:r w:rsidRPr="00C043AA">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ED8" w:rsidRDefault="00090ED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ED8" w:rsidRDefault="00090ED8" w:rsidP="00B033C8">
    <w:pPr>
      <w:pStyle w:val="Header"/>
      <w:ind w:right="360" w:firstLine="360"/>
    </w:pPr>
    <w:r>
      <w:rPr>
        <w:noProof/>
        <w:lang w:val="en-GB" w:eastAsia="zh-CN"/>
      </w:rPr>
      <w:drawing>
        <wp:anchor distT="0" distB="0" distL="114300" distR="114300" simplePos="0" relativeHeight="251656704" behindDoc="1" locked="0" layoutInCell="1" allowOverlap="1" wp14:anchorId="1C4D351F" wp14:editId="58FBB9F5">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ED8" w:rsidRPr="00A56CDD" w:rsidRDefault="00090ED8" w:rsidP="00A56C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2819E8">
      <w:rPr>
        <w:b/>
        <w:bCs/>
        <w:noProof/>
        <w:lang w:val="en-US"/>
      </w:rPr>
      <w:t>ii</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002819E8" w:rsidRPr="002819E8">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2819E8">
      <w:rPr>
        <w:b/>
        <w:bCs/>
        <w:noProof/>
      </w:rPr>
      <w:t>UIT-R  SM.2351-1</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ED8" w:rsidRDefault="00090ED8">
    <w:pPr>
      <w:pStyle w:val="Header"/>
    </w:pPr>
    <w:r>
      <w:tab/>
    </w:r>
    <w:fldSimple w:instr=" DOCPROPERTY &quot;Header&quot; \* MERGEFORMAT ">
      <w:r w:rsidR="002819E8" w:rsidRPr="002819E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819E8">
      <w:rPr>
        <w:b/>
        <w:bCs/>
        <w:noProof/>
      </w:rPr>
      <w:t>UIT-R  SM.2351-1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107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ED8" w:rsidRDefault="00090ED8" w:rsidP="00992BA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52DCF">
      <w:rPr>
        <w:rStyle w:val="PageNumber"/>
        <w:b/>
        <w:bCs/>
        <w:noProof/>
        <w:lang w:val="en-US"/>
      </w:rPr>
      <w:t>52</w:t>
    </w:r>
    <w:r>
      <w:rPr>
        <w:rStyle w:val="PageNumber"/>
        <w:b/>
        <w:bCs/>
      </w:rPr>
      <w:fldChar w:fldCharType="end"/>
    </w:r>
    <w:r>
      <w:rPr>
        <w:lang w:val="en-US"/>
      </w:rPr>
      <w:tab/>
    </w:r>
    <w:r>
      <w:rPr>
        <w:b/>
        <w:bCs/>
      </w:rPr>
      <w:t>I</w:t>
    </w:r>
    <w:r w:rsidRPr="007A4F79">
      <w:rPr>
        <w:b/>
        <w:bCs/>
      </w:rPr>
      <w:t>.  ITU-R  BT.2140-1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ED8" w:rsidRPr="00A56CDD" w:rsidRDefault="00090ED8" w:rsidP="00A56CDD">
    <w:pPr>
      <w:pStyle w:val="Header"/>
      <w:jc w:val="both"/>
    </w:pPr>
    <w:r w:rsidRPr="00A56CDD">
      <w:tab/>
    </w:r>
    <w:fldSimple w:instr=" DOCPROPERTY &quot;Header 3&quot; \* MERGEFORMAT ">
      <w:r w:rsidR="002819E8" w:rsidRPr="002819E8">
        <w:rPr>
          <w:b/>
          <w:bCs/>
          <w:lang w:val="en-US"/>
        </w:rPr>
        <w:t xml:space="preserve">I. </w:t>
      </w:r>
    </w:fldSimple>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652DCF">
      <w:rPr>
        <w:b/>
        <w:bCs/>
        <w:noProof/>
      </w:rPr>
      <w:t>UIT-R  SM.2351-1</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sidR="00652DCF">
      <w:rPr>
        <w:b/>
        <w:bCs/>
        <w:noProof/>
      </w:rPr>
      <w:t>53</w:t>
    </w:r>
    <w:r w:rsidRPr="00A56CDD">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ECC0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E293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D612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AFC78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0878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8E32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280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F001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B2E3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1C036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8F6430F"/>
    <w:multiLevelType w:val="hybridMultilevel"/>
    <w:tmpl w:val="AE5A3E50"/>
    <w:lvl w:ilvl="0" w:tplc="702A562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48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4250D"/>
    <w:rsid w:val="00050D41"/>
    <w:rsid w:val="00072484"/>
    <w:rsid w:val="00081C0B"/>
    <w:rsid w:val="00090ED8"/>
    <w:rsid w:val="0009150E"/>
    <w:rsid w:val="00096612"/>
    <w:rsid w:val="000A1326"/>
    <w:rsid w:val="000B7683"/>
    <w:rsid w:val="000B7B53"/>
    <w:rsid w:val="000C0413"/>
    <w:rsid w:val="000C3624"/>
    <w:rsid w:val="000E4FD1"/>
    <w:rsid w:val="000F3C25"/>
    <w:rsid w:val="000F6FC4"/>
    <w:rsid w:val="00102934"/>
    <w:rsid w:val="00135F00"/>
    <w:rsid w:val="00147110"/>
    <w:rsid w:val="00183256"/>
    <w:rsid w:val="001950C6"/>
    <w:rsid w:val="001A5259"/>
    <w:rsid w:val="001C70F6"/>
    <w:rsid w:val="001F136C"/>
    <w:rsid w:val="00201545"/>
    <w:rsid w:val="002058CE"/>
    <w:rsid w:val="002165F1"/>
    <w:rsid w:val="00247681"/>
    <w:rsid w:val="002558DC"/>
    <w:rsid w:val="00276D21"/>
    <w:rsid w:val="00280CD5"/>
    <w:rsid w:val="002819E8"/>
    <w:rsid w:val="00286313"/>
    <w:rsid w:val="0029046C"/>
    <w:rsid w:val="00296D7F"/>
    <w:rsid w:val="00297C87"/>
    <w:rsid w:val="00297D43"/>
    <w:rsid w:val="002B32C9"/>
    <w:rsid w:val="002B3CF6"/>
    <w:rsid w:val="002C768A"/>
    <w:rsid w:val="002D1160"/>
    <w:rsid w:val="002D5579"/>
    <w:rsid w:val="002D76C4"/>
    <w:rsid w:val="00351573"/>
    <w:rsid w:val="003571CE"/>
    <w:rsid w:val="00357282"/>
    <w:rsid w:val="00362ED1"/>
    <w:rsid w:val="00363959"/>
    <w:rsid w:val="00382E8A"/>
    <w:rsid w:val="003A4A65"/>
    <w:rsid w:val="003A6B2B"/>
    <w:rsid w:val="00420DFD"/>
    <w:rsid w:val="004319C1"/>
    <w:rsid w:val="00470E28"/>
    <w:rsid w:val="004720FC"/>
    <w:rsid w:val="00474D58"/>
    <w:rsid w:val="004934C5"/>
    <w:rsid w:val="004A2B9D"/>
    <w:rsid w:val="004B233A"/>
    <w:rsid w:val="004B7B45"/>
    <w:rsid w:val="004E123E"/>
    <w:rsid w:val="00505B99"/>
    <w:rsid w:val="00505FB4"/>
    <w:rsid w:val="00526063"/>
    <w:rsid w:val="005406C6"/>
    <w:rsid w:val="00556548"/>
    <w:rsid w:val="005600C9"/>
    <w:rsid w:val="005632C0"/>
    <w:rsid w:val="00586EF8"/>
    <w:rsid w:val="005A2989"/>
    <w:rsid w:val="005A791E"/>
    <w:rsid w:val="005B49AB"/>
    <w:rsid w:val="005B50E7"/>
    <w:rsid w:val="005B5AAF"/>
    <w:rsid w:val="005D41C4"/>
    <w:rsid w:val="005D58F4"/>
    <w:rsid w:val="005E7B4F"/>
    <w:rsid w:val="00607D68"/>
    <w:rsid w:val="00612ECF"/>
    <w:rsid w:val="006149B1"/>
    <w:rsid w:val="00614BEA"/>
    <w:rsid w:val="0064346B"/>
    <w:rsid w:val="00652DCF"/>
    <w:rsid w:val="0066087F"/>
    <w:rsid w:val="00671BAB"/>
    <w:rsid w:val="006762E4"/>
    <w:rsid w:val="00680D2B"/>
    <w:rsid w:val="00681B32"/>
    <w:rsid w:val="006A1F02"/>
    <w:rsid w:val="006E2037"/>
    <w:rsid w:val="00712733"/>
    <w:rsid w:val="00712870"/>
    <w:rsid w:val="00743D85"/>
    <w:rsid w:val="0074518F"/>
    <w:rsid w:val="00752FD3"/>
    <w:rsid w:val="00753CF4"/>
    <w:rsid w:val="007565CC"/>
    <w:rsid w:val="00763B9A"/>
    <w:rsid w:val="007A4F79"/>
    <w:rsid w:val="007A57F4"/>
    <w:rsid w:val="007A6AA8"/>
    <w:rsid w:val="007B203C"/>
    <w:rsid w:val="007C2459"/>
    <w:rsid w:val="007C2C3D"/>
    <w:rsid w:val="007C5CE9"/>
    <w:rsid w:val="007E30C6"/>
    <w:rsid w:val="00806B41"/>
    <w:rsid w:val="00811FBD"/>
    <w:rsid w:val="008211E9"/>
    <w:rsid w:val="008310C9"/>
    <w:rsid w:val="00836298"/>
    <w:rsid w:val="00870342"/>
    <w:rsid w:val="0087251C"/>
    <w:rsid w:val="008815AC"/>
    <w:rsid w:val="008934F4"/>
    <w:rsid w:val="00895FA0"/>
    <w:rsid w:val="008B2CC6"/>
    <w:rsid w:val="008C7848"/>
    <w:rsid w:val="008D3D8D"/>
    <w:rsid w:val="008E4AD4"/>
    <w:rsid w:val="008F05EE"/>
    <w:rsid w:val="009030CC"/>
    <w:rsid w:val="00917AF2"/>
    <w:rsid w:val="0092418A"/>
    <w:rsid w:val="00934ED7"/>
    <w:rsid w:val="00936035"/>
    <w:rsid w:val="009474D9"/>
    <w:rsid w:val="009543C3"/>
    <w:rsid w:val="00966E1B"/>
    <w:rsid w:val="00990C17"/>
    <w:rsid w:val="00992BA6"/>
    <w:rsid w:val="00993C9C"/>
    <w:rsid w:val="009A351D"/>
    <w:rsid w:val="009B40A2"/>
    <w:rsid w:val="009F2D2C"/>
    <w:rsid w:val="00A1055B"/>
    <w:rsid w:val="00A10F3A"/>
    <w:rsid w:val="00A54559"/>
    <w:rsid w:val="00A56CDD"/>
    <w:rsid w:val="00A6617B"/>
    <w:rsid w:val="00A71FE5"/>
    <w:rsid w:val="00A727E4"/>
    <w:rsid w:val="00A87E27"/>
    <w:rsid w:val="00A91362"/>
    <w:rsid w:val="00A91C64"/>
    <w:rsid w:val="00AA3AD8"/>
    <w:rsid w:val="00AB0DC8"/>
    <w:rsid w:val="00AB17C7"/>
    <w:rsid w:val="00AB5FAB"/>
    <w:rsid w:val="00AC1323"/>
    <w:rsid w:val="00AC3946"/>
    <w:rsid w:val="00AD26B8"/>
    <w:rsid w:val="00B033C8"/>
    <w:rsid w:val="00B036D9"/>
    <w:rsid w:val="00B11D5D"/>
    <w:rsid w:val="00B257C1"/>
    <w:rsid w:val="00B33425"/>
    <w:rsid w:val="00B44E24"/>
    <w:rsid w:val="00B47809"/>
    <w:rsid w:val="00B54ECC"/>
    <w:rsid w:val="00B567BC"/>
    <w:rsid w:val="00B61918"/>
    <w:rsid w:val="00B714F3"/>
    <w:rsid w:val="00B75A37"/>
    <w:rsid w:val="00B77CA1"/>
    <w:rsid w:val="00BA28E1"/>
    <w:rsid w:val="00BB0C80"/>
    <w:rsid w:val="00BC5D77"/>
    <w:rsid w:val="00BC6FC2"/>
    <w:rsid w:val="00BD3F5C"/>
    <w:rsid w:val="00BE46FB"/>
    <w:rsid w:val="00BE5B84"/>
    <w:rsid w:val="00BF15C3"/>
    <w:rsid w:val="00BF487A"/>
    <w:rsid w:val="00C12891"/>
    <w:rsid w:val="00C36F8A"/>
    <w:rsid w:val="00C46BD9"/>
    <w:rsid w:val="00C527BC"/>
    <w:rsid w:val="00C55258"/>
    <w:rsid w:val="00C728FC"/>
    <w:rsid w:val="00C73560"/>
    <w:rsid w:val="00C74336"/>
    <w:rsid w:val="00C7761D"/>
    <w:rsid w:val="00C93B65"/>
    <w:rsid w:val="00CA109F"/>
    <w:rsid w:val="00CB0F14"/>
    <w:rsid w:val="00CB47A0"/>
    <w:rsid w:val="00CB60A4"/>
    <w:rsid w:val="00CC2403"/>
    <w:rsid w:val="00CD33AF"/>
    <w:rsid w:val="00CD58B5"/>
    <w:rsid w:val="00CD659B"/>
    <w:rsid w:val="00CD7A62"/>
    <w:rsid w:val="00CF0D45"/>
    <w:rsid w:val="00CF34B5"/>
    <w:rsid w:val="00D0034D"/>
    <w:rsid w:val="00D10CF1"/>
    <w:rsid w:val="00D30DBF"/>
    <w:rsid w:val="00D4477F"/>
    <w:rsid w:val="00D503C9"/>
    <w:rsid w:val="00D50B43"/>
    <w:rsid w:val="00D57367"/>
    <w:rsid w:val="00D722EF"/>
    <w:rsid w:val="00D73486"/>
    <w:rsid w:val="00D73FBE"/>
    <w:rsid w:val="00D8150A"/>
    <w:rsid w:val="00D83331"/>
    <w:rsid w:val="00D91F7F"/>
    <w:rsid w:val="00DB4F6A"/>
    <w:rsid w:val="00DF087C"/>
    <w:rsid w:val="00DF4176"/>
    <w:rsid w:val="00E17240"/>
    <w:rsid w:val="00E1785F"/>
    <w:rsid w:val="00E7610E"/>
    <w:rsid w:val="00E83CDE"/>
    <w:rsid w:val="00EC62B0"/>
    <w:rsid w:val="00ED683F"/>
    <w:rsid w:val="00EF3EB8"/>
    <w:rsid w:val="00F103A9"/>
    <w:rsid w:val="00F12544"/>
    <w:rsid w:val="00F20231"/>
    <w:rsid w:val="00F27103"/>
    <w:rsid w:val="00F30C9B"/>
    <w:rsid w:val="00F354B1"/>
    <w:rsid w:val="00F36316"/>
    <w:rsid w:val="00F545E6"/>
    <w:rsid w:val="00F72869"/>
    <w:rsid w:val="00F77437"/>
    <w:rsid w:val="00F84F54"/>
    <w:rsid w:val="00F90896"/>
    <w:rsid w:val="00FB0E4E"/>
    <w:rsid w:val="00FC061B"/>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d62a47"/>
      <o:colormenu v:ext="edit" strokecolor="#d62a47"/>
    </o:shapedefaults>
    <o:shapelayout v:ext="edit">
      <o:idmap v:ext="edit" data="1"/>
    </o:shapelayout>
  </w:shapeDefaults>
  <w:decimalSymbol w:val="."/>
  <w:listSeparator w:val=","/>
  <w15:docId w15:val="{EE967AD6-40AA-4B2D-AEBE-4309BB97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73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12733"/>
    <w:pPr>
      <w:keepNext/>
      <w:keepLines/>
      <w:spacing w:before="480"/>
      <w:ind w:left="794" w:hanging="794"/>
      <w:outlineLvl w:val="0"/>
    </w:pPr>
    <w:rPr>
      <w:b/>
    </w:rPr>
  </w:style>
  <w:style w:type="paragraph" w:styleId="Heading2">
    <w:name w:val="heading 2"/>
    <w:basedOn w:val="Heading1"/>
    <w:next w:val="Normal"/>
    <w:link w:val="Heading2Char"/>
    <w:qFormat/>
    <w:rsid w:val="00712733"/>
    <w:pPr>
      <w:spacing w:before="320"/>
      <w:outlineLvl w:val="1"/>
    </w:pPr>
  </w:style>
  <w:style w:type="paragraph" w:styleId="Heading3">
    <w:name w:val="heading 3"/>
    <w:basedOn w:val="Heading1"/>
    <w:next w:val="Normal"/>
    <w:link w:val="Heading3Char"/>
    <w:qFormat/>
    <w:rsid w:val="00712733"/>
    <w:pPr>
      <w:spacing w:before="200"/>
      <w:outlineLvl w:val="2"/>
    </w:pPr>
  </w:style>
  <w:style w:type="paragraph" w:styleId="Heading4">
    <w:name w:val="heading 4"/>
    <w:basedOn w:val="Heading3"/>
    <w:next w:val="Normal"/>
    <w:link w:val="Heading4Char"/>
    <w:qFormat/>
    <w:rsid w:val="00712733"/>
    <w:pPr>
      <w:tabs>
        <w:tab w:val="clear" w:pos="794"/>
        <w:tab w:val="left" w:pos="992"/>
      </w:tabs>
      <w:ind w:left="992" w:hanging="992"/>
      <w:outlineLvl w:val="3"/>
    </w:pPr>
  </w:style>
  <w:style w:type="paragraph" w:styleId="Heading5">
    <w:name w:val="heading 5"/>
    <w:basedOn w:val="Heading4"/>
    <w:next w:val="Normal"/>
    <w:link w:val="Heading5Char"/>
    <w:qFormat/>
    <w:rsid w:val="00712733"/>
    <w:pPr>
      <w:outlineLvl w:val="4"/>
    </w:pPr>
  </w:style>
  <w:style w:type="paragraph" w:styleId="Heading6">
    <w:name w:val="heading 6"/>
    <w:basedOn w:val="Heading4"/>
    <w:next w:val="Normal"/>
    <w:link w:val="Heading6Char"/>
    <w:qFormat/>
    <w:rsid w:val="00712733"/>
    <w:pPr>
      <w:tabs>
        <w:tab w:val="clear" w:pos="992"/>
        <w:tab w:val="clear" w:pos="1191"/>
      </w:tabs>
      <w:ind w:left="1588" w:hanging="1588"/>
      <w:outlineLvl w:val="5"/>
    </w:pPr>
  </w:style>
  <w:style w:type="paragraph" w:styleId="Heading7">
    <w:name w:val="heading 7"/>
    <w:basedOn w:val="Heading6"/>
    <w:next w:val="Normal"/>
    <w:link w:val="Heading7Char"/>
    <w:qFormat/>
    <w:rsid w:val="00712733"/>
    <w:pPr>
      <w:outlineLvl w:val="6"/>
    </w:pPr>
  </w:style>
  <w:style w:type="paragraph" w:styleId="Heading8">
    <w:name w:val="heading 8"/>
    <w:basedOn w:val="Heading6"/>
    <w:next w:val="Normal"/>
    <w:link w:val="Heading8Char"/>
    <w:qFormat/>
    <w:rsid w:val="00712733"/>
    <w:pPr>
      <w:outlineLvl w:val="7"/>
    </w:pPr>
  </w:style>
  <w:style w:type="paragraph" w:styleId="Heading9">
    <w:name w:val="heading 9"/>
    <w:basedOn w:val="Heading6"/>
    <w:next w:val="Normal"/>
    <w:link w:val="Heading9Char"/>
    <w:qFormat/>
    <w:rsid w:val="0071273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712733"/>
    <w:pPr>
      <w:keepNext/>
      <w:keepLines/>
      <w:spacing w:after="280"/>
      <w:jc w:val="center"/>
    </w:pPr>
  </w:style>
  <w:style w:type="paragraph" w:customStyle="1" w:styleId="Blanc">
    <w:name w:val="Blanc"/>
    <w:basedOn w:val="Normal"/>
    <w:next w:val="Tabletext"/>
    <w:rsid w:val="00712733"/>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71273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71273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1273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12733"/>
  </w:style>
  <w:style w:type="paragraph" w:customStyle="1" w:styleId="Headingb">
    <w:name w:val="Heading_b"/>
    <w:basedOn w:val="Heading3"/>
    <w:next w:val="Normal"/>
    <w:link w:val="HeadingbChar"/>
    <w:rsid w:val="00712733"/>
    <w:pPr>
      <w:spacing w:before="160"/>
      <w:ind w:left="0" w:firstLine="0"/>
      <w:outlineLvl w:val="9"/>
    </w:pPr>
  </w:style>
  <w:style w:type="paragraph" w:customStyle="1" w:styleId="Headingi">
    <w:name w:val="Heading_i"/>
    <w:basedOn w:val="Heading3"/>
    <w:next w:val="Normal"/>
    <w:rsid w:val="00712733"/>
    <w:pPr>
      <w:spacing w:before="160"/>
      <w:ind w:left="0" w:firstLine="0"/>
    </w:pPr>
    <w:rPr>
      <w:b w:val="0"/>
      <w:i/>
    </w:rPr>
  </w:style>
  <w:style w:type="character" w:customStyle="1" w:styleId="href">
    <w:name w:val="href"/>
    <w:basedOn w:val="DefaultParagraphFont"/>
    <w:rsid w:val="00712733"/>
  </w:style>
  <w:style w:type="paragraph" w:customStyle="1" w:styleId="AnnexNoTitle">
    <w:name w:val="Annex_NoTitle"/>
    <w:basedOn w:val="Normal"/>
    <w:next w:val="Normalaftertitle"/>
    <w:link w:val="AnnexNoTitleChar"/>
    <w:rsid w:val="00712733"/>
    <w:pPr>
      <w:keepNext/>
      <w:keepLines/>
      <w:spacing w:before="480" w:after="80"/>
      <w:jc w:val="center"/>
    </w:pPr>
    <w:rPr>
      <w:b/>
      <w:sz w:val="28"/>
    </w:rPr>
  </w:style>
  <w:style w:type="paragraph" w:customStyle="1" w:styleId="enumlev1">
    <w:name w:val="enumlev1"/>
    <w:basedOn w:val="Normal"/>
    <w:link w:val="enumlev1Char"/>
    <w:rsid w:val="00712733"/>
    <w:pPr>
      <w:spacing w:before="80"/>
      <w:ind w:left="794" w:hanging="794"/>
    </w:pPr>
  </w:style>
  <w:style w:type="paragraph" w:customStyle="1" w:styleId="Equation">
    <w:name w:val="Equation"/>
    <w:basedOn w:val="Normal"/>
    <w:link w:val="EquationChar"/>
    <w:rsid w:val="00712733"/>
    <w:pPr>
      <w:tabs>
        <w:tab w:val="clear" w:pos="1191"/>
        <w:tab w:val="clear" w:pos="1588"/>
        <w:tab w:val="clear" w:pos="1985"/>
        <w:tab w:val="center" w:pos="4820"/>
        <w:tab w:val="right" w:pos="9639"/>
      </w:tabs>
    </w:pPr>
  </w:style>
  <w:style w:type="paragraph" w:customStyle="1" w:styleId="enumlev2">
    <w:name w:val="enumlev2"/>
    <w:basedOn w:val="enumlev1"/>
    <w:rsid w:val="00712733"/>
    <w:pPr>
      <w:ind w:left="1191" w:hanging="397"/>
    </w:pPr>
  </w:style>
  <w:style w:type="paragraph" w:styleId="FootnoteText">
    <w:name w:val="footnote text"/>
    <w:basedOn w:val="Normal"/>
    <w:link w:val="FootnoteTextChar"/>
    <w:rsid w:val="00712733"/>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712733"/>
    <w:pPr>
      <w:spacing w:before="320"/>
    </w:pPr>
  </w:style>
  <w:style w:type="paragraph" w:customStyle="1" w:styleId="enumlev3">
    <w:name w:val="enumlev3"/>
    <w:basedOn w:val="enumlev2"/>
    <w:rsid w:val="00712733"/>
    <w:pPr>
      <w:ind w:left="1588"/>
    </w:pPr>
  </w:style>
  <w:style w:type="paragraph" w:customStyle="1" w:styleId="Note">
    <w:name w:val="Note"/>
    <w:basedOn w:val="Normal"/>
    <w:link w:val="NoteChar"/>
    <w:rsid w:val="0071273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1273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712733"/>
    <w:pPr>
      <w:keepNext/>
      <w:keepLines/>
      <w:spacing w:before="240"/>
      <w:jc w:val="center"/>
    </w:pPr>
    <w:rPr>
      <w:b/>
      <w:sz w:val="28"/>
    </w:rPr>
  </w:style>
  <w:style w:type="paragraph" w:customStyle="1" w:styleId="Recref">
    <w:name w:val="Rec_ref"/>
    <w:basedOn w:val="Normal"/>
    <w:next w:val="Recdate"/>
    <w:rsid w:val="00712733"/>
    <w:pPr>
      <w:jc w:val="center"/>
    </w:pPr>
  </w:style>
  <w:style w:type="paragraph" w:customStyle="1" w:styleId="Recdate">
    <w:name w:val="Rec_date"/>
    <w:basedOn w:val="Recref"/>
    <w:next w:val="Normalaftertitle"/>
    <w:rsid w:val="00712733"/>
    <w:pPr>
      <w:jc w:val="right"/>
    </w:pPr>
  </w:style>
  <w:style w:type="paragraph" w:customStyle="1" w:styleId="HeadingSum">
    <w:name w:val="Heading_Sum"/>
    <w:basedOn w:val="Headingb"/>
    <w:next w:val="Normal"/>
    <w:autoRedefine/>
    <w:rsid w:val="00712733"/>
    <w:pPr>
      <w:spacing w:before="240"/>
    </w:pPr>
    <w:rPr>
      <w:sz w:val="22"/>
      <w:lang w:val="es-ES_tradnl"/>
    </w:rPr>
  </w:style>
  <w:style w:type="paragraph" w:customStyle="1" w:styleId="AppendixNoTitle">
    <w:name w:val="Appendix_NoTitle"/>
    <w:basedOn w:val="AnnexNoTitle"/>
    <w:next w:val="Normal"/>
    <w:rsid w:val="00712733"/>
  </w:style>
  <w:style w:type="paragraph" w:customStyle="1" w:styleId="Tablefin">
    <w:name w:val="Table_fin"/>
    <w:basedOn w:val="Normal"/>
    <w:next w:val="Normal"/>
    <w:rsid w:val="00712733"/>
    <w:pPr>
      <w:spacing w:before="0"/>
    </w:pPr>
    <w:rPr>
      <w:sz w:val="20"/>
      <w:lang w:val="en-GB"/>
    </w:rPr>
  </w:style>
  <w:style w:type="paragraph" w:customStyle="1" w:styleId="Tablehead">
    <w:name w:val="Table_head"/>
    <w:basedOn w:val="Normal"/>
    <w:next w:val="Normal"/>
    <w:link w:val="TableheadChar"/>
    <w:rsid w:val="0071273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71273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12733"/>
    <w:pPr>
      <w:keepNext/>
      <w:spacing w:before="360" w:after="120"/>
      <w:jc w:val="center"/>
    </w:pPr>
  </w:style>
  <w:style w:type="paragraph" w:customStyle="1" w:styleId="Equationlegend">
    <w:name w:val="Equation_legend"/>
    <w:basedOn w:val="NormalIndent"/>
    <w:rsid w:val="0071273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12733"/>
    <w:pPr>
      <w:ind w:left="794"/>
    </w:pPr>
  </w:style>
  <w:style w:type="paragraph" w:customStyle="1" w:styleId="Figurelegend">
    <w:name w:val="Figure_legend"/>
    <w:basedOn w:val="Normal"/>
    <w:rsid w:val="0071273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12733"/>
    <w:pPr>
      <w:keepNext/>
      <w:keepLines/>
      <w:spacing w:before="480" w:after="80"/>
      <w:jc w:val="center"/>
    </w:pPr>
    <w:rPr>
      <w:caps/>
      <w:sz w:val="18"/>
    </w:rPr>
  </w:style>
  <w:style w:type="paragraph" w:customStyle="1" w:styleId="Figuretitle">
    <w:name w:val="Figure_title"/>
    <w:basedOn w:val="Normal"/>
    <w:next w:val="Figure"/>
    <w:link w:val="FiguretitleChar"/>
    <w:rsid w:val="00712733"/>
    <w:pPr>
      <w:keepNext/>
      <w:spacing w:before="0" w:after="120"/>
      <w:jc w:val="center"/>
    </w:pPr>
    <w:rPr>
      <w:rFonts w:ascii="Times New Roman Bold" w:hAnsi="Times New Roman Bold"/>
      <w:b/>
      <w:sz w:val="18"/>
    </w:rPr>
  </w:style>
  <w:style w:type="paragraph" w:customStyle="1" w:styleId="Figure">
    <w:name w:val="Figure"/>
    <w:basedOn w:val="FigureNo"/>
    <w:next w:val="Normal"/>
    <w:rsid w:val="00712733"/>
    <w:pPr>
      <w:keepNext w:val="0"/>
      <w:spacing w:before="0" w:after="240"/>
    </w:pPr>
  </w:style>
  <w:style w:type="paragraph" w:customStyle="1" w:styleId="tocpart">
    <w:name w:val="tocpart"/>
    <w:basedOn w:val="Normal"/>
    <w:rsid w:val="0071273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12733"/>
    <w:pPr>
      <w:keepNext/>
      <w:keepLines/>
      <w:spacing w:before="480"/>
      <w:jc w:val="center"/>
    </w:pPr>
    <w:rPr>
      <w:sz w:val="28"/>
    </w:rPr>
  </w:style>
  <w:style w:type="paragraph" w:customStyle="1" w:styleId="Arttitle">
    <w:name w:val="Art_title"/>
    <w:basedOn w:val="Normal"/>
    <w:next w:val="Normalaftertitle"/>
    <w:link w:val="ArttitleCar"/>
    <w:rsid w:val="00712733"/>
    <w:pPr>
      <w:keepNext/>
      <w:keepLines/>
      <w:spacing w:before="240"/>
      <w:jc w:val="center"/>
    </w:pPr>
    <w:rPr>
      <w:b/>
      <w:sz w:val="28"/>
    </w:rPr>
  </w:style>
  <w:style w:type="paragraph" w:customStyle="1" w:styleId="ASN1">
    <w:name w:val="ASN.1"/>
    <w:basedOn w:val="Normal"/>
    <w:next w:val="Normal"/>
    <w:rsid w:val="0071273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12733"/>
    <w:pPr>
      <w:keepNext/>
      <w:keepLines/>
      <w:spacing w:before="160"/>
      <w:ind w:left="794"/>
    </w:pPr>
    <w:rPr>
      <w:i/>
    </w:rPr>
  </w:style>
  <w:style w:type="paragraph" w:customStyle="1" w:styleId="ChapNo">
    <w:name w:val="Chap_No"/>
    <w:basedOn w:val="ArtNo"/>
    <w:next w:val="Chaptitle"/>
    <w:rsid w:val="00712733"/>
    <w:rPr>
      <w:b/>
    </w:rPr>
  </w:style>
  <w:style w:type="character" w:styleId="FootnoteReference">
    <w:name w:val="footnote reference"/>
    <w:basedOn w:val="DefaultParagraphFont"/>
    <w:rsid w:val="00712733"/>
    <w:rPr>
      <w:position w:val="6"/>
      <w:sz w:val="18"/>
    </w:rPr>
  </w:style>
  <w:style w:type="paragraph" w:styleId="Index1">
    <w:name w:val="index 1"/>
    <w:basedOn w:val="Normal"/>
    <w:next w:val="Normal"/>
    <w:rsid w:val="00712733"/>
  </w:style>
  <w:style w:type="paragraph" w:styleId="Index2">
    <w:name w:val="index 2"/>
    <w:basedOn w:val="Normal"/>
    <w:next w:val="Normal"/>
    <w:rsid w:val="00712733"/>
    <w:pPr>
      <w:ind w:left="283"/>
    </w:pPr>
  </w:style>
  <w:style w:type="paragraph" w:styleId="Index3">
    <w:name w:val="index 3"/>
    <w:basedOn w:val="Normal"/>
    <w:next w:val="Normal"/>
    <w:rsid w:val="00712733"/>
    <w:pPr>
      <w:ind w:left="566"/>
    </w:pPr>
  </w:style>
  <w:style w:type="paragraph" w:styleId="IndexHeading">
    <w:name w:val="index heading"/>
    <w:basedOn w:val="Normal"/>
    <w:next w:val="Index1"/>
    <w:rsid w:val="00712733"/>
  </w:style>
  <w:style w:type="paragraph" w:customStyle="1" w:styleId="Line">
    <w:name w:val="Line"/>
    <w:basedOn w:val="Normal"/>
    <w:next w:val="Normal"/>
    <w:rsid w:val="0071273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1273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12733"/>
  </w:style>
  <w:style w:type="paragraph" w:customStyle="1" w:styleId="Partref">
    <w:name w:val="Part_ref"/>
    <w:basedOn w:val="Normal"/>
    <w:next w:val="Normal"/>
    <w:rsid w:val="00712733"/>
    <w:pPr>
      <w:keepNext/>
      <w:keepLines/>
      <w:spacing w:after="280"/>
      <w:jc w:val="center"/>
    </w:pPr>
  </w:style>
  <w:style w:type="paragraph" w:customStyle="1" w:styleId="Parttitle">
    <w:name w:val="Part_title"/>
    <w:basedOn w:val="Normal"/>
    <w:next w:val="Normalaftertitle"/>
    <w:rsid w:val="0071273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12733"/>
  </w:style>
  <w:style w:type="paragraph" w:customStyle="1" w:styleId="QuestionNo">
    <w:name w:val="Question_No"/>
    <w:basedOn w:val="RecNo"/>
    <w:next w:val="Normal"/>
    <w:rsid w:val="00712733"/>
  </w:style>
  <w:style w:type="paragraph" w:customStyle="1" w:styleId="Questionref">
    <w:name w:val="Question_ref"/>
    <w:basedOn w:val="Recref"/>
    <w:next w:val="Questiondate"/>
    <w:rsid w:val="00712733"/>
  </w:style>
  <w:style w:type="paragraph" w:customStyle="1" w:styleId="Questiontitle">
    <w:name w:val="Question_title"/>
    <w:basedOn w:val="Normal"/>
    <w:next w:val="Questionref"/>
    <w:rsid w:val="00712733"/>
  </w:style>
  <w:style w:type="paragraph" w:customStyle="1" w:styleId="Reftext">
    <w:name w:val="Ref_text"/>
    <w:basedOn w:val="Normal"/>
    <w:rsid w:val="00712733"/>
    <w:pPr>
      <w:ind w:left="794" w:hanging="794"/>
    </w:pPr>
    <w:rPr>
      <w:sz w:val="22"/>
    </w:rPr>
  </w:style>
  <w:style w:type="paragraph" w:customStyle="1" w:styleId="Reftitle">
    <w:name w:val="Ref_title"/>
    <w:basedOn w:val="Normal"/>
    <w:next w:val="Reftext"/>
    <w:rsid w:val="0071273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12733"/>
  </w:style>
  <w:style w:type="paragraph" w:customStyle="1" w:styleId="RepNo">
    <w:name w:val="Rep_No"/>
    <w:basedOn w:val="RecNo"/>
    <w:next w:val="Reptitle"/>
    <w:rsid w:val="00712733"/>
  </w:style>
  <w:style w:type="paragraph" w:customStyle="1" w:styleId="Reptitle">
    <w:name w:val="Rep_title"/>
    <w:basedOn w:val="Rectitle"/>
    <w:next w:val="Repref"/>
    <w:rsid w:val="00712733"/>
  </w:style>
  <w:style w:type="paragraph" w:customStyle="1" w:styleId="Repref">
    <w:name w:val="Rep_ref"/>
    <w:basedOn w:val="Recref"/>
    <w:next w:val="Repdate"/>
    <w:rsid w:val="00712733"/>
  </w:style>
  <w:style w:type="paragraph" w:customStyle="1" w:styleId="Resdate">
    <w:name w:val="Res_date"/>
    <w:basedOn w:val="Recdate"/>
    <w:next w:val="Normalaftertitle"/>
    <w:rsid w:val="00712733"/>
  </w:style>
  <w:style w:type="paragraph" w:customStyle="1" w:styleId="ResNo">
    <w:name w:val="Res_No"/>
    <w:basedOn w:val="RecNo"/>
    <w:next w:val="Restitle"/>
    <w:link w:val="ResNoChar"/>
    <w:rsid w:val="00712733"/>
  </w:style>
  <w:style w:type="paragraph" w:customStyle="1" w:styleId="Restitle">
    <w:name w:val="Res_title"/>
    <w:basedOn w:val="Normal"/>
    <w:next w:val="Resref"/>
    <w:link w:val="RestitleChar"/>
    <w:rsid w:val="00712733"/>
    <w:pPr>
      <w:spacing w:before="240"/>
      <w:jc w:val="center"/>
    </w:pPr>
    <w:rPr>
      <w:b/>
      <w:sz w:val="28"/>
    </w:rPr>
  </w:style>
  <w:style w:type="paragraph" w:customStyle="1" w:styleId="Resref">
    <w:name w:val="Res_ref"/>
    <w:basedOn w:val="Recref"/>
    <w:next w:val="Resdate"/>
    <w:rsid w:val="00712733"/>
  </w:style>
  <w:style w:type="paragraph" w:customStyle="1" w:styleId="SectionNo">
    <w:name w:val="Section_No"/>
    <w:basedOn w:val="Normal"/>
    <w:next w:val="Normal"/>
    <w:rsid w:val="00712733"/>
  </w:style>
  <w:style w:type="paragraph" w:customStyle="1" w:styleId="Sectiontitle">
    <w:name w:val="Section_title"/>
    <w:basedOn w:val="Normal"/>
    <w:next w:val="Normalaftertitle"/>
    <w:rsid w:val="0071273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12733"/>
    <w:pPr>
      <w:tabs>
        <w:tab w:val="clear" w:pos="794"/>
        <w:tab w:val="clear" w:pos="1191"/>
        <w:tab w:val="clear" w:pos="1588"/>
        <w:tab w:val="clear" w:pos="1985"/>
        <w:tab w:val="right" w:pos="9611"/>
      </w:tabs>
    </w:pPr>
    <w:rPr>
      <w:i/>
    </w:rPr>
  </w:style>
  <w:style w:type="paragraph" w:styleId="TOC1">
    <w:name w:val="toc 1"/>
    <w:basedOn w:val="Normal"/>
    <w:rsid w:val="0071273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12733"/>
    <w:pPr>
      <w:tabs>
        <w:tab w:val="clear" w:pos="567"/>
        <w:tab w:val="left" w:pos="1276"/>
      </w:tabs>
      <w:spacing w:before="160"/>
      <w:ind w:left="1276" w:hanging="709"/>
    </w:pPr>
  </w:style>
  <w:style w:type="paragraph" w:styleId="TOC3">
    <w:name w:val="toc 3"/>
    <w:basedOn w:val="TOC2"/>
    <w:rsid w:val="00712733"/>
    <w:pPr>
      <w:tabs>
        <w:tab w:val="clear" w:pos="1276"/>
        <w:tab w:val="left" w:pos="2155"/>
      </w:tabs>
      <w:ind w:left="2155" w:hanging="879"/>
    </w:pPr>
  </w:style>
  <w:style w:type="paragraph" w:styleId="TOC4">
    <w:name w:val="toc 4"/>
    <w:basedOn w:val="TOC3"/>
    <w:rsid w:val="00712733"/>
    <w:pPr>
      <w:tabs>
        <w:tab w:val="left" w:pos="3261"/>
      </w:tabs>
      <w:spacing w:before="80"/>
      <w:ind w:left="3261" w:hanging="993"/>
    </w:pPr>
  </w:style>
  <w:style w:type="paragraph" w:styleId="TOC5">
    <w:name w:val="toc 5"/>
    <w:basedOn w:val="TOC4"/>
    <w:rsid w:val="00712733"/>
  </w:style>
  <w:style w:type="paragraph" w:styleId="TOC6">
    <w:name w:val="toc 6"/>
    <w:basedOn w:val="TOC4"/>
    <w:rsid w:val="00712733"/>
  </w:style>
  <w:style w:type="paragraph" w:styleId="TOC7">
    <w:name w:val="toc 7"/>
    <w:basedOn w:val="TOC4"/>
    <w:rsid w:val="00712733"/>
  </w:style>
  <w:style w:type="paragraph" w:styleId="TOC8">
    <w:name w:val="toc 8"/>
    <w:basedOn w:val="TOC4"/>
    <w:rsid w:val="00712733"/>
  </w:style>
  <w:style w:type="paragraph" w:customStyle="1" w:styleId="Appendixref">
    <w:name w:val="Appendix_ref"/>
    <w:basedOn w:val="Annexref"/>
    <w:next w:val="Normalaftertitle"/>
    <w:rsid w:val="00712733"/>
  </w:style>
  <w:style w:type="paragraph" w:customStyle="1" w:styleId="Tabletitle">
    <w:name w:val="Table_title"/>
    <w:basedOn w:val="Normal"/>
    <w:next w:val="Tablehead"/>
    <w:link w:val="TabletitleChar"/>
    <w:rsid w:val="00712733"/>
    <w:pPr>
      <w:keepNext/>
      <w:spacing w:before="0" w:after="120"/>
      <w:jc w:val="center"/>
    </w:pPr>
    <w:rPr>
      <w:b/>
    </w:rPr>
  </w:style>
  <w:style w:type="paragraph" w:customStyle="1" w:styleId="Summary">
    <w:name w:val="Summary"/>
    <w:basedOn w:val="Normal"/>
    <w:next w:val="Normalaftertitle"/>
    <w:autoRedefine/>
    <w:rsid w:val="00712733"/>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712733"/>
  </w:style>
  <w:style w:type="table" w:styleId="TableGrid">
    <w:name w:val="Table Grid"/>
    <w:basedOn w:val="TableNormal"/>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712733"/>
    <w:pPr>
      <w:ind w:left="-85" w:firstLine="0"/>
    </w:pPr>
    <w:rPr>
      <w:lang w:val="en-US"/>
    </w:rPr>
  </w:style>
  <w:style w:type="character" w:customStyle="1" w:styleId="FootnoteTextChar">
    <w:name w:val="Footnote Text Char"/>
    <w:basedOn w:val="DefaultParagraphFont"/>
    <w:link w:val="FootnoteText"/>
    <w:rsid w:val="00BE46FB"/>
    <w:rPr>
      <w:sz w:val="22"/>
      <w:lang w:val="fr-FR" w:eastAsia="en-US"/>
    </w:rPr>
  </w:style>
  <w:style w:type="character" w:customStyle="1" w:styleId="Heading1Char">
    <w:name w:val="Heading 1 Char"/>
    <w:basedOn w:val="DefaultParagraphFont"/>
    <w:link w:val="Heading1"/>
    <w:rsid w:val="00BE46FB"/>
    <w:rPr>
      <w:b/>
      <w:sz w:val="24"/>
      <w:lang w:val="fr-FR" w:eastAsia="en-US"/>
    </w:rPr>
  </w:style>
  <w:style w:type="character" w:customStyle="1" w:styleId="HeaderChar">
    <w:name w:val="Header Char"/>
    <w:basedOn w:val="DefaultParagraphFont"/>
    <w:link w:val="Header"/>
    <w:rsid w:val="00BE46FB"/>
    <w:rPr>
      <w:sz w:val="24"/>
      <w:lang w:val="fr-FR" w:eastAsia="en-US"/>
    </w:rPr>
  </w:style>
  <w:style w:type="character" w:customStyle="1" w:styleId="FooterChar">
    <w:name w:val="Footer Char"/>
    <w:basedOn w:val="DefaultParagraphFont"/>
    <w:link w:val="Footer"/>
    <w:rsid w:val="00BE46FB"/>
    <w:rPr>
      <w:noProof/>
      <w:sz w:val="18"/>
      <w:lang w:val="fr-FR" w:eastAsia="en-US"/>
    </w:rPr>
  </w:style>
  <w:style w:type="character" w:customStyle="1" w:styleId="Heading2Char">
    <w:name w:val="Heading 2 Char"/>
    <w:basedOn w:val="DefaultParagraphFont"/>
    <w:link w:val="Heading2"/>
    <w:rsid w:val="00BE46FB"/>
    <w:rPr>
      <w:b/>
      <w:sz w:val="24"/>
      <w:lang w:val="fr-FR" w:eastAsia="en-US"/>
    </w:rPr>
  </w:style>
  <w:style w:type="character" w:customStyle="1" w:styleId="Heading3Char">
    <w:name w:val="Heading 3 Char"/>
    <w:basedOn w:val="DefaultParagraphFont"/>
    <w:link w:val="Heading3"/>
    <w:rsid w:val="00BE46FB"/>
    <w:rPr>
      <w:b/>
      <w:sz w:val="24"/>
      <w:lang w:val="fr-FR" w:eastAsia="en-US"/>
    </w:rPr>
  </w:style>
  <w:style w:type="character" w:customStyle="1" w:styleId="Heading4Char">
    <w:name w:val="Heading 4 Char"/>
    <w:basedOn w:val="DefaultParagraphFont"/>
    <w:link w:val="Heading4"/>
    <w:rsid w:val="00BE46FB"/>
    <w:rPr>
      <w:b/>
      <w:sz w:val="24"/>
      <w:lang w:val="fr-FR" w:eastAsia="en-US"/>
    </w:rPr>
  </w:style>
  <w:style w:type="character" w:customStyle="1" w:styleId="Heading5Char">
    <w:name w:val="Heading 5 Char"/>
    <w:basedOn w:val="DefaultParagraphFont"/>
    <w:link w:val="Heading5"/>
    <w:rsid w:val="00BE46FB"/>
    <w:rPr>
      <w:b/>
      <w:sz w:val="24"/>
      <w:lang w:val="fr-FR" w:eastAsia="en-US"/>
    </w:rPr>
  </w:style>
  <w:style w:type="character" w:customStyle="1" w:styleId="Heading6Char">
    <w:name w:val="Heading 6 Char"/>
    <w:basedOn w:val="DefaultParagraphFont"/>
    <w:link w:val="Heading6"/>
    <w:rsid w:val="00BE46FB"/>
    <w:rPr>
      <w:b/>
      <w:sz w:val="24"/>
      <w:lang w:val="fr-FR" w:eastAsia="en-US"/>
    </w:rPr>
  </w:style>
  <w:style w:type="character" w:customStyle="1" w:styleId="Heading7Char">
    <w:name w:val="Heading 7 Char"/>
    <w:basedOn w:val="DefaultParagraphFont"/>
    <w:link w:val="Heading7"/>
    <w:rsid w:val="00BE46FB"/>
    <w:rPr>
      <w:b/>
      <w:sz w:val="24"/>
      <w:lang w:val="fr-FR" w:eastAsia="en-US"/>
    </w:rPr>
  </w:style>
  <w:style w:type="character" w:customStyle="1" w:styleId="Heading8Char">
    <w:name w:val="Heading 8 Char"/>
    <w:basedOn w:val="DefaultParagraphFont"/>
    <w:link w:val="Heading8"/>
    <w:rsid w:val="00BE46FB"/>
    <w:rPr>
      <w:b/>
      <w:sz w:val="24"/>
      <w:lang w:val="fr-FR" w:eastAsia="en-US"/>
    </w:rPr>
  </w:style>
  <w:style w:type="character" w:customStyle="1" w:styleId="Heading9Char">
    <w:name w:val="Heading 9 Char"/>
    <w:basedOn w:val="DefaultParagraphFont"/>
    <w:link w:val="Heading9"/>
    <w:rsid w:val="00BE46FB"/>
    <w:rPr>
      <w:b/>
      <w:sz w:val="24"/>
      <w:lang w:val="fr-FR" w:eastAsia="en-US"/>
    </w:rPr>
  </w:style>
  <w:style w:type="character" w:customStyle="1" w:styleId="NormalaftertitleChar">
    <w:name w:val="Normal_after_title Char"/>
    <w:basedOn w:val="DefaultParagraphFont"/>
    <w:link w:val="Normalaftertitle"/>
    <w:rsid w:val="00BE46FB"/>
    <w:rPr>
      <w:sz w:val="24"/>
      <w:lang w:val="fr-FR" w:eastAsia="en-US"/>
    </w:rPr>
  </w:style>
  <w:style w:type="character" w:customStyle="1" w:styleId="TabletextChar">
    <w:name w:val="Table_text Char"/>
    <w:basedOn w:val="DefaultParagraphFont"/>
    <w:link w:val="Tabletext"/>
    <w:rsid w:val="00BE46FB"/>
    <w:rPr>
      <w:sz w:val="22"/>
      <w:lang w:val="fr-FR" w:eastAsia="en-US"/>
    </w:rPr>
  </w:style>
  <w:style w:type="character" w:customStyle="1" w:styleId="HeadingbChar">
    <w:name w:val="Heading_b Char"/>
    <w:basedOn w:val="DefaultParagraphFont"/>
    <w:link w:val="Headingb"/>
    <w:locked/>
    <w:rsid w:val="00BE46FB"/>
    <w:rPr>
      <w:b/>
      <w:sz w:val="24"/>
      <w:lang w:val="fr-FR" w:eastAsia="en-US"/>
    </w:rPr>
  </w:style>
  <w:style w:type="character" w:customStyle="1" w:styleId="AnnexNoTitleChar">
    <w:name w:val="Annex_NoTitle Char"/>
    <w:basedOn w:val="DefaultParagraphFont"/>
    <w:link w:val="AnnexNoTitle"/>
    <w:rsid w:val="00BE46FB"/>
    <w:rPr>
      <w:b/>
      <w:sz w:val="28"/>
      <w:lang w:val="fr-FR" w:eastAsia="en-US"/>
    </w:rPr>
  </w:style>
  <w:style w:type="character" w:customStyle="1" w:styleId="enumlev1Char">
    <w:name w:val="enumlev1 Char"/>
    <w:basedOn w:val="DefaultParagraphFont"/>
    <w:link w:val="enumlev1"/>
    <w:rsid w:val="00BE46FB"/>
    <w:rPr>
      <w:sz w:val="24"/>
      <w:lang w:val="fr-FR" w:eastAsia="en-US"/>
    </w:rPr>
  </w:style>
  <w:style w:type="character" w:customStyle="1" w:styleId="EquationChar">
    <w:name w:val="Equation Char"/>
    <w:basedOn w:val="DefaultParagraphFont"/>
    <w:link w:val="Equation"/>
    <w:rsid w:val="00BE46FB"/>
    <w:rPr>
      <w:sz w:val="24"/>
      <w:lang w:val="fr-FR" w:eastAsia="en-US"/>
    </w:rPr>
  </w:style>
  <w:style w:type="character" w:customStyle="1" w:styleId="NoteChar">
    <w:name w:val="Note Char"/>
    <w:basedOn w:val="DefaultParagraphFont"/>
    <w:link w:val="Note"/>
    <w:rsid w:val="00BE46FB"/>
    <w:rPr>
      <w:sz w:val="22"/>
      <w:lang w:val="fr-FR" w:eastAsia="en-US"/>
    </w:rPr>
  </w:style>
  <w:style w:type="character" w:customStyle="1" w:styleId="RectitleChar">
    <w:name w:val="Rec_title Char"/>
    <w:basedOn w:val="DefaultParagraphFont"/>
    <w:link w:val="Rectitle"/>
    <w:locked/>
    <w:rsid w:val="00BE46FB"/>
    <w:rPr>
      <w:b/>
      <w:sz w:val="28"/>
      <w:lang w:val="fr-FR" w:eastAsia="en-US"/>
    </w:rPr>
  </w:style>
  <w:style w:type="character" w:customStyle="1" w:styleId="TableheadChar">
    <w:name w:val="Table_head Char"/>
    <w:basedOn w:val="DefaultParagraphFont"/>
    <w:link w:val="Tablehead"/>
    <w:locked/>
    <w:rsid w:val="00BE46FB"/>
    <w:rPr>
      <w:b/>
      <w:sz w:val="22"/>
      <w:lang w:val="fr-FR" w:eastAsia="en-US"/>
    </w:rPr>
  </w:style>
  <w:style w:type="character" w:customStyle="1" w:styleId="TablelegendChar">
    <w:name w:val="Table_legend Char"/>
    <w:basedOn w:val="DefaultParagraphFont"/>
    <w:link w:val="Tablelegend"/>
    <w:rsid w:val="00BE46FB"/>
    <w:rPr>
      <w:sz w:val="22"/>
      <w:lang w:val="fr-FR" w:eastAsia="en-US"/>
    </w:rPr>
  </w:style>
  <w:style w:type="character" w:customStyle="1" w:styleId="TableNoChar">
    <w:name w:val="Table_No Char"/>
    <w:basedOn w:val="DefaultParagraphFont"/>
    <w:link w:val="TableNo"/>
    <w:rsid w:val="00BE46FB"/>
    <w:rPr>
      <w:sz w:val="24"/>
      <w:lang w:val="fr-FR" w:eastAsia="en-US"/>
    </w:rPr>
  </w:style>
  <w:style w:type="character" w:customStyle="1" w:styleId="FiguretitleChar">
    <w:name w:val="Figure_title Char"/>
    <w:basedOn w:val="TabletitleChar"/>
    <w:link w:val="Figuretitle"/>
    <w:rsid w:val="00BE46FB"/>
    <w:rPr>
      <w:rFonts w:ascii="Times New Roman Bold" w:hAnsi="Times New Roman Bold"/>
      <w:b/>
      <w:sz w:val="18"/>
      <w:lang w:val="fr-FR" w:eastAsia="en-US"/>
    </w:rPr>
  </w:style>
  <w:style w:type="character" w:customStyle="1" w:styleId="TabletitleChar">
    <w:name w:val="Table_title Char"/>
    <w:basedOn w:val="DefaultParagraphFont"/>
    <w:link w:val="Tabletitle"/>
    <w:rsid w:val="00BE46FB"/>
    <w:rPr>
      <w:b/>
      <w:sz w:val="24"/>
      <w:lang w:val="fr-FR" w:eastAsia="en-US"/>
    </w:rPr>
  </w:style>
  <w:style w:type="character" w:customStyle="1" w:styleId="FigureNoChar">
    <w:name w:val="Figure_No Char"/>
    <w:basedOn w:val="DefaultParagraphFont"/>
    <w:link w:val="FigureNo"/>
    <w:rsid w:val="00BE46FB"/>
    <w:rPr>
      <w:caps/>
      <w:sz w:val="18"/>
      <w:lang w:val="fr-FR" w:eastAsia="en-US"/>
    </w:rPr>
  </w:style>
  <w:style w:type="character" w:customStyle="1" w:styleId="ArttitleCar">
    <w:name w:val="Art_title Car"/>
    <w:basedOn w:val="DefaultParagraphFont"/>
    <w:link w:val="Arttitle"/>
    <w:locked/>
    <w:rsid w:val="00BE46FB"/>
    <w:rPr>
      <w:b/>
      <w:sz w:val="28"/>
      <w:lang w:val="fr-FR" w:eastAsia="en-US"/>
    </w:rPr>
  </w:style>
  <w:style w:type="character" w:customStyle="1" w:styleId="CallChar">
    <w:name w:val="Call Char"/>
    <w:basedOn w:val="DefaultParagraphFont"/>
    <w:link w:val="Call"/>
    <w:locked/>
    <w:rsid w:val="00BE46FB"/>
    <w:rPr>
      <w:i/>
      <w:sz w:val="24"/>
      <w:lang w:val="fr-FR" w:eastAsia="en-US"/>
    </w:rPr>
  </w:style>
  <w:style w:type="character" w:customStyle="1" w:styleId="RestitleChar">
    <w:name w:val="Res_title Char"/>
    <w:basedOn w:val="DefaultParagraphFont"/>
    <w:link w:val="Restitle"/>
    <w:locked/>
    <w:rsid w:val="00BE46FB"/>
    <w:rPr>
      <w:b/>
      <w:sz w:val="28"/>
      <w:lang w:val="fr-FR" w:eastAsia="en-US"/>
    </w:rPr>
  </w:style>
  <w:style w:type="character" w:customStyle="1" w:styleId="ResNoChar">
    <w:name w:val="Res_No Char"/>
    <w:basedOn w:val="DefaultParagraphFont"/>
    <w:link w:val="ResNo"/>
    <w:locked/>
    <w:rsid w:val="00BE46FB"/>
    <w:rPr>
      <w:sz w:val="28"/>
      <w:lang w:val="fr-FR" w:eastAsia="en-US"/>
    </w:rPr>
  </w:style>
  <w:style w:type="paragraph" w:styleId="TOC9">
    <w:name w:val="toc 9"/>
    <w:basedOn w:val="Normal"/>
    <w:next w:val="Normal"/>
    <w:autoRedefine/>
    <w:uiPriority w:val="39"/>
    <w:unhideWhenUsed/>
    <w:rsid w:val="00BE46F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uiPriority w:val="99"/>
    <w:rsid w:val="00BE46FB"/>
    <w:rPr>
      <w:color w:val="800080" w:themeColor="followedHyperlink"/>
      <w:u w:val="single"/>
    </w:rPr>
  </w:style>
  <w:style w:type="paragraph" w:styleId="BalloonText">
    <w:name w:val="Balloon Text"/>
    <w:basedOn w:val="Normal"/>
    <w:link w:val="BalloonTextChar"/>
    <w:uiPriority w:val="99"/>
    <w:rsid w:val="00BE46FB"/>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BE46FB"/>
    <w:rPr>
      <w:rFonts w:ascii="Tahoma" w:hAnsi="Tahoma" w:cs="Tahoma"/>
      <w:sz w:val="16"/>
      <w:szCs w:val="16"/>
      <w:lang w:val="fr-FR" w:eastAsia="en-US"/>
    </w:rPr>
  </w:style>
  <w:style w:type="paragraph" w:customStyle="1" w:styleId="Reasons">
    <w:name w:val="Reasons"/>
    <w:basedOn w:val="Normal"/>
    <w:qFormat/>
    <w:rsid w:val="00BE46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BE46FB"/>
    <w:rPr>
      <w:color w:val="808080"/>
    </w:rPr>
  </w:style>
  <w:style w:type="character" w:styleId="CommentReference">
    <w:name w:val="annotation reference"/>
    <w:basedOn w:val="DefaultParagraphFont"/>
    <w:semiHidden/>
    <w:unhideWhenUsed/>
    <w:rsid w:val="00BE46FB"/>
    <w:rPr>
      <w:sz w:val="16"/>
      <w:szCs w:val="16"/>
    </w:rPr>
  </w:style>
  <w:style w:type="paragraph" w:styleId="CommentText">
    <w:name w:val="annotation text"/>
    <w:basedOn w:val="Normal"/>
    <w:link w:val="CommentTextChar"/>
    <w:semiHidden/>
    <w:unhideWhenUsed/>
    <w:rsid w:val="00BE46FB"/>
    <w:rPr>
      <w:sz w:val="20"/>
    </w:rPr>
  </w:style>
  <w:style w:type="character" w:customStyle="1" w:styleId="CommentTextChar">
    <w:name w:val="Comment Text Char"/>
    <w:basedOn w:val="DefaultParagraphFont"/>
    <w:link w:val="CommentText"/>
    <w:semiHidden/>
    <w:rsid w:val="00BE46FB"/>
    <w:rPr>
      <w:lang w:val="fr-FR" w:eastAsia="en-US"/>
    </w:rPr>
  </w:style>
  <w:style w:type="paragraph" w:styleId="CommentSubject">
    <w:name w:val="annotation subject"/>
    <w:basedOn w:val="CommentText"/>
    <w:next w:val="CommentText"/>
    <w:link w:val="CommentSubjectChar"/>
    <w:semiHidden/>
    <w:unhideWhenUsed/>
    <w:rsid w:val="00BE46FB"/>
    <w:rPr>
      <w:b/>
      <w:bCs/>
    </w:rPr>
  </w:style>
  <w:style w:type="character" w:customStyle="1" w:styleId="CommentSubjectChar">
    <w:name w:val="Comment Subject Char"/>
    <w:basedOn w:val="CommentTextChar"/>
    <w:link w:val="CommentSubject"/>
    <w:semiHidden/>
    <w:rsid w:val="00BE46FB"/>
    <w:rPr>
      <w:b/>
      <w:bCs/>
      <w:lang w:val="fr-FR" w:eastAsia="en-US"/>
    </w:rPr>
  </w:style>
  <w:style w:type="paragraph" w:customStyle="1" w:styleId="Normalaftertitle0">
    <w:name w:val="Normal after title"/>
    <w:basedOn w:val="Normal"/>
    <w:next w:val="Normal"/>
    <w:link w:val="NormalaftertitleChar0"/>
    <w:rsid w:val="00A87E27"/>
    <w:pPr>
      <w:spacing w:before="320"/>
      <w:jc w:val="left"/>
    </w:pPr>
    <w:rPr>
      <w:lang w:val="en-GB"/>
    </w:rPr>
  </w:style>
  <w:style w:type="character" w:customStyle="1" w:styleId="NormalaftertitleChar0">
    <w:name w:val="Normal after title Char"/>
    <w:basedOn w:val="DefaultParagraphFont"/>
    <w:link w:val="Normalaftertitle0"/>
    <w:rsid w:val="00A87E27"/>
    <w:rPr>
      <w:sz w:val="24"/>
      <w:lang w:val="en-GB" w:eastAsia="en-US"/>
    </w:rPr>
  </w:style>
  <w:style w:type="paragraph" w:customStyle="1" w:styleId="Footnotet">
    <w:name w:val="Footnote t"/>
    <w:basedOn w:val="Normal"/>
    <w:rsid w:val="00A87E27"/>
    <w:pPr>
      <w:tabs>
        <w:tab w:val="left" w:pos="284"/>
      </w:tabs>
    </w:pPr>
    <w:rPr>
      <w:sz w:val="20"/>
      <w:lang w:val="en-US"/>
    </w:rPr>
  </w:style>
  <w:style w:type="paragraph" w:customStyle="1" w:styleId="FootnoteTextLatinTimes">
    <w:name w:val="Footnote Text + (Latin) Times"/>
    <w:basedOn w:val="Normal"/>
    <w:rsid w:val="00A87E27"/>
    <w:rPr>
      <w:lang w:val="en-US"/>
    </w:rPr>
  </w:style>
  <w:style w:type="paragraph" w:customStyle="1" w:styleId="FootnoteTextLatinItalic">
    <w:name w:val="Footnote Text + (Latin) Italic"/>
    <w:basedOn w:val="FootnoteText"/>
    <w:rsid w:val="00A87E27"/>
    <w:rPr>
      <w:lang w:val="en-US"/>
    </w:rPr>
  </w:style>
  <w:style w:type="paragraph" w:styleId="EndnoteText">
    <w:name w:val="endnote text"/>
    <w:basedOn w:val="Normal"/>
    <w:link w:val="EndnoteTextChar"/>
    <w:semiHidden/>
    <w:unhideWhenUsed/>
    <w:rsid w:val="00A87E27"/>
    <w:pPr>
      <w:spacing w:before="0"/>
    </w:pPr>
    <w:rPr>
      <w:sz w:val="20"/>
      <w:lang w:val="es-ES"/>
    </w:rPr>
  </w:style>
  <w:style w:type="character" w:customStyle="1" w:styleId="EndnoteTextChar">
    <w:name w:val="Endnote Text Char"/>
    <w:basedOn w:val="DefaultParagraphFont"/>
    <w:link w:val="EndnoteText"/>
    <w:semiHidden/>
    <w:rsid w:val="00A87E27"/>
    <w:rPr>
      <w:lang w:val="es-ES" w:eastAsia="en-US"/>
    </w:rPr>
  </w:style>
  <w:style w:type="character" w:styleId="EndnoteReference">
    <w:name w:val="endnote reference"/>
    <w:basedOn w:val="DefaultParagraphFont"/>
    <w:semiHidden/>
    <w:unhideWhenUsed/>
    <w:rsid w:val="00A87E27"/>
    <w:rPr>
      <w:vertAlign w:val="superscript"/>
    </w:rPr>
  </w:style>
  <w:style w:type="paragraph" w:styleId="ListParagraph">
    <w:name w:val="List Paragraph"/>
    <w:basedOn w:val="Normal"/>
    <w:uiPriority w:val="34"/>
    <w:qFormat/>
    <w:rsid w:val="00A87E27"/>
    <w:pPr>
      <w:ind w:left="720"/>
      <w:contextualSpacing/>
    </w:pPr>
    <w:rPr>
      <w:lang w:val="es-ES"/>
    </w:rPr>
  </w:style>
  <w:style w:type="paragraph" w:styleId="Revision">
    <w:name w:val="Revision"/>
    <w:hidden/>
    <w:uiPriority w:val="99"/>
    <w:semiHidden/>
    <w:rsid w:val="00A87E27"/>
    <w:rPr>
      <w:sz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hyperlink" Target="http://www.itu.int/ITU-T/workprog/wp_item.aspx?isn=8528" TargetMode="External"/><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3.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www.itu.int/ITU-T/workprog/wp_item.aspx?isn=9739" TargetMode="External"/><Relationship Id="rId25"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hyperlink" Target="http://www.itu.int/ITU-T/workprog/wp_item.aspx?isn=8526" TargetMode="External"/><Relationship Id="rId20" Type="http://schemas.openxmlformats.org/officeDocument/2006/relationships/hyperlink" Target="http://www.itu.int/ITU-T/workprog/wp_item.aspx?isn=8005"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www.itu.int/rec/T-REC-G.9901/en"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yperlink" Target="http://www.itu.int/publ/R-REP/es" TargetMode="External"/><Relationship Id="rId19" Type="http://schemas.openxmlformats.org/officeDocument/2006/relationships/hyperlink" Target="http://www.itu.int/ITU-T/workprog/wp_item.aspx?isn=9741"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image" Target="media/image4.emf"/><Relationship Id="rId27"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www.tiaonline.org/all-standards/committees/tr-51" TargetMode="External"/><Relationship Id="rId13" Type="http://schemas.openxmlformats.org/officeDocument/2006/relationships/hyperlink" Target="http://www.decc.gov.uk/en/content/cms/consultations/smart_mtr_imp/smart_mtr_imp.aspx" TargetMode="External"/><Relationship Id="rId18" Type="http://schemas.openxmlformats.org/officeDocument/2006/relationships/hyperlink" Target="http://www.z-wave.com/what_is_z-wave" TargetMode="External"/><Relationship Id="rId26" Type="http://schemas.openxmlformats.org/officeDocument/2006/relationships/hyperlink" Target="http://www.energy-regulators.eu/portal/page/portal/EER_HOME/%20EER_CONSULT/CLOSED%20%20PUBLIC%20%20CONSULTATIONS/ELECTRICITY/Smart%20Grids/CD" TargetMode="External"/><Relationship Id="rId3" Type="http://schemas.openxmlformats.org/officeDocument/2006/relationships/hyperlink" Target="http://www.gpo.gov/fdsys/pkg/PLAW-110publ140/pdf/PLAW-110publ140.pdf" TargetMode="External"/><Relationship Id="rId21" Type="http://schemas.openxmlformats.org/officeDocument/2006/relationships/hyperlink" Target="http://www.europarl.europa.eu/sides/getDoc.do?pubRef=-//EP//NONSGML+REPORT+A6-2008-0003+0+DOC+PDF+V0//EN&amp;language=EN" TargetMode="External"/><Relationship Id="rId7" Type="http://schemas.openxmlformats.org/officeDocument/2006/relationships/hyperlink" Target="https://www.gov.uk/government/uploads/system/uploads/attachment_data/file/42742/1475-smart-metering-imp-response-overview.pdf" TargetMode="External"/><Relationship Id="rId12" Type="http://schemas.openxmlformats.org/officeDocument/2006/relationships/hyperlink" Target="http://collaborate.nist.gov/twiki-sggrid/pub/SmartGrid/PAP02Wireless/NISTIR7761.pdf" TargetMode="External"/><Relationship Id="rId17" Type="http://schemas.openxmlformats.org/officeDocument/2006/relationships/hyperlink" Target="http://www.zwave.com/what_is_z-wave" TargetMode="External"/><Relationship Id="rId25" Type="http://schemas.openxmlformats.org/officeDocument/2006/relationships/hyperlink" Target="http://www.energy-regulators.eu/portal/page/portal/EER_HOME/EER_CONSULT/CLOSED%20PUBLIC%20CONSULTATIONS/ELECTRICITY/Smart%20Grids/CD" TargetMode="External"/><Relationship Id="rId2" Type="http://schemas.openxmlformats.org/officeDocument/2006/relationships/hyperlink" Target="http://www.itu.int/publ/T-TUT-HOME-2010/en" TargetMode="External"/><Relationship Id="rId16" Type="http://schemas.openxmlformats.org/officeDocument/2006/relationships/hyperlink" Target="http://www.cept.org/cept" TargetMode="External"/><Relationship Id="rId20" Type="http://schemas.openxmlformats.org/officeDocument/2006/relationships/hyperlink" Target="http://www.energy.ca.gov/2007publications/CEC-100-2007-008/CEC-100-2007-008-CTF.PDF" TargetMode="External"/><Relationship Id="rId1" Type="http://schemas.openxmlformats.org/officeDocument/2006/relationships/hyperlink" Target="http://www.smartgrids.eu/documents/vision.pdf" TargetMode="External"/><Relationship Id="rId6" Type="http://schemas.openxmlformats.org/officeDocument/2006/relationships/hyperlink" Target="ftp://ftp.cordis.europa.eu/pub/fp7/energy/docs/smartgrids_agenda_en.pdf" TargetMode="External"/><Relationship Id="rId11" Type="http://schemas.openxmlformats.org/officeDocument/2006/relationships/hyperlink" Target="http://www.energy.ca.gov/2007publications/CEC-500-2007-028/CEC-500-2007-028.PDF" TargetMode="External"/><Relationship Id="rId24" Type="http://schemas.openxmlformats.org/officeDocument/2006/relationships/hyperlink" Target="http://cordis.europa.eu/fetch?CALLER=ENERGY_NEWS&amp;ACTION=D&amp;DOC=1&amp;CAT=NEWS&amp;QUERY=011bae3744bf:2435:2d5957f8&amp;RCN=29756" TargetMode="External"/><Relationship Id="rId5" Type="http://schemas.openxmlformats.org/officeDocument/2006/relationships/hyperlink" Target="http://www.netl.doe.gov/smartgrid/referenceshelf/whitepapers/Integrated%20Communications_Final_v2_0.pdf" TargetMode="External"/><Relationship Id="rId15" Type="http://schemas.openxmlformats.org/officeDocument/2006/relationships/hyperlink" Target="http://www.cenelec.eu/" TargetMode="External"/><Relationship Id="rId23" Type="http://schemas.openxmlformats.org/officeDocument/2006/relationships/hyperlink" Target="http://www.smartgrids.eu/" TargetMode="External"/><Relationship Id="rId10" Type="http://schemas.openxmlformats.org/officeDocument/2006/relationships/hyperlink" Target="http://www.globalregulatorynetwork.org/PDFs/ESFF_volume1.pdf" TargetMode="External"/><Relationship Id="rId19" Type="http://schemas.openxmlformats.org/officeDocument/2006/relationships/hyperlink" Target="http://docs.cpuc.ca.gov/word_pdf/FINAL_DECISION/106992.pdf" TargetMode="External"/><Relationship Id="rId4" Type="http://schemas.openxmlformats.org/officeDocument/2006/relationships/hyperlink" Target="http://my.epri.com/portal/server.pt" TargetMode="External"/><Relationship Id="rId9" Type="http://schemas.openxmlformats.org/officeDocument/2006/relationships/hyperlink" Target="http://www.iec.ch/smartgrid" TargetMode="External"/><Relationship Id="rId14" Type="http://schemas.openxmlformats.org/officeDocument/2006/relationships/hyperlink" Target="http://www.itu.int/pub/T-TUT-HOME-2010/en" TargetMode="External"/><Relationship Id="rId22" Type="http://schemas.openxmlformats.org/officeDocument/2006/relationships/hyperlink" Target="http://www.europarl.europa.eu/sides/getDoc.do?type=TA&amp;language=EN&amp;reference=P6-TA-2008-0294" TargetMode="External"/><Relationship Id="rId27" Type="http://schemas.openxmlformats.org/officeDocument/2006/relationships/hyperlink" Target="http://www.ksmartgrid.org/e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181</TotalTime>
  <Pages>55</Pages>
  <Words>18209</Words>
  <Characters>103792</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121758</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Catalano Moreira, Rossana</cp:lastModifiedBy>
  <cp:revision>27</cp:revision>
  <cp:lastPrinted>2017-11-13T09:20:00Z</cp:lastPrinted>
  <dcterms:created xsi:type="dcterms:W3CDTF">2017-11-10T13:46:00Z</dcterms:created>
  <dcterms:modified xsi:type="dcterms:W3CDTF">2017-11-13T09:32:00Z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