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B1C30" w:rsidRDefault="00FE79FE">
      <w:pPr>
        <w:rPr>
          <w:lang w:val="en-GB"/>
        </w:rPr>
      </w:pPr>
      <w:bookmarkStart w:id="0" w:name="_GoBack"/>
      <w:bookmarkEnd w:id="0"/>
    </w:p>
    <w:p w:rsidR="00FE79FE" w:rsidRPr="00AB1C30" w:rsidRDefault="00FE79FE">
      <w:pPr>
        <w:rPr>
          <w:lang w:val="en-GB"/>
        </w:rPr>
      </w:pPr>
    </w:p>
    <w:p w:rsidR="00FE79FE" w:rsidRPr="00AB1C30" w:rsidRDefault="00FE79FE">
      <w:pPr>
        <w:rPr>
          <w:lang w:val="en-GB"/>
        </w:rPr>
      </w:pPr>
    </w:p>
    <w:p w:rsidR="00FE79FE" w:rsidRPr="00AB1C30" w:rsidRDefault="00FE79FE">
      <w:pPr>
        <w:rPr>
          <w:lang w:val="en-GB"/>
        </w:rPr>
      </w:pPr>
    </w:p>
    <w:p w:rsidR="00FE79FE" w:rsidRPr="00AB1C30" w:rsidRDefault="00FE79FE">
      <w:pPr>
        <w:rPr>
          <w:lang w:val="en-GB"/>
        </w:rPr>
      </w:pPr>
    </w:p>
    <w:p w:rsidR="00013002" w:rsidRPr="00AB1C30" w:rsidRDefault="00013002">
      <w:pPr>
        <w:rPr>
          <w:lang w:val="en-GB"/>
        </w:rPr>
      </w:pPr>
    </w:p>
    <w:p w:rsidR="00013002" w:rsidRPr="00AB1C30" w:rsidRDefault="00013002">
      <w:pPr>
        <w:rPr>
          <w:lang w:val="en-GB"/>
        </w:rPr>
      </w:pPr>
    </w:p>
    <w:p w:rsidR="00013002" w:rsidRPr="00AB1C30" w:rsidRDefault="00013002">
      <w:pPr>
        <w:rPr>
          <w:lang w:val="en-GB"/>
        </w:rPr>
      </w:pPr>
    </w:p>
    <w:p w:rsidR="00FE79FE" w:rsidRPr="00AB1C30" w:rsidRDefault="00FE79FE">
      <w:pPr>
        <w:rPr>
          <w:lang w:val="en-GB"/>
        </w:rPr>
      </w:pPr>
    </w:p>
    <w:p w:rsidR="00FE79FE" w:rsidRPr="00AB1C30" w:rsidRDefault="00FE79FE">
      <w:pPr>
        <w:rPr>
          <w:lang w:val="en-GB"/>
        </w:rPr>
      </w:pPr>
    </w:p>
    <w:p w:rsidR="00FE79FE" w:rsidRPr="00AB1C30" w:rsidRDefault="00FE79FE">
      <w:pPr>
        <w:rPr>
          <w:lang w:val="en-GB"/>
        </w:rPr>
      </w:pPr>
    </w:p>
    <w:p w:rsidR="00FE79FE" w:rsidRPr="00AB1C30" w:rsidRDefault="00FE79FE">
      <w:pPr>
        <w:rPr>
          <w:lang w:val="en-GB"/>
        </w:rPr>
      </w:pPr>
    </w:p>
    <w:tbl>
      <w:tblPr>
        <w:tblW w:w="10089" w:type="dxa"/>
        <w:tblLook w:val="01E0" w:firstRow="1" w:lastRow="1" w:firstColumn="1" w:lastColumn="1" w:noHBand="0" w:noVBand="0"/>
      </w:tblPr>
      <w:tblGrid>
        <w:gridCol w:w="10089"/>
      </w:tblGrid>
      <w:tr w:rsidR="00FE79FE" w:rsidRPr="00AB1C30" w:rsidTr="0038303E">
        <w:tc>
          <w:tcPr>
            <w:tcW w:w="10089" w:type="dxa"/>
          </w:tcPr>
          <w:p w:rsidR="00276D21" w:rsidRPr="00AB1C30" w:rsidRDefault="00D73FBE" w:rsidP="0038303E">
            <w:pPr>
              <w:spacing w:before="380" w:line="280" w:lineRule="exact"/>
              <w:jc w:val="right"/>
              <w:rPr>
                <w:rFonts w:ascii="Tahoma" w:hAnsi="Tahoma" w:cs="Tahoma"/>
                <w:b/>
                <w:bCs/>
                <w:iCs/>
                <w:color w:val="509141"/>
                <w:sz w:val="32"/>
                <w:szCs w:val="32"/>
                <w:lang w:val="en-GB"/>
              </w:rPr>
            </w:pPr>
            <w:r w:rsidRPr="00AB1C30">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45pt" o:ole="">
                  <v:imagedata r:id="rId8" o:title=""/>
                </v:shape>
                <o:OLEObject Type="Embed" ProgID="Equation.3" ShapeID="_x0000_i1025" DrawAspect="Content" ObjectID="_1479641057" r:id="rId9"/>
              </w:object>
            </w:r>
          </w:p>
          <w:p w:rsidR="00FE79FE" w:rsidRPr="00AB1C30" w:rsidRDefault="00FE79FE" w:rsidP="0035749B">
            <w:pPr>
              <w:spacing w:before="380" w:line="280" w:lineRule="exact"/>
              <w:jc w:val="right"/>
              <w:rPr>
                <w:rFonts w:ascii="Tahoma" w:hAnsi="Tahoma" w:cs="Tahoma"/>
                <w:b/>
                <w:bCs/>
                <w:iCs/>
                <w:color w:val="509141"/>
                <w:sz w:val="36"/>
                <w:szCs w:val="36"/>
                <w:lang w:val="en-GB"/>
              </w:rPr>
            </w:pPr>
            <w:r w:rsidRPr="00AB1C30">
              <w:rPr>
                <w:rFonts w:ascii="Tahoma" w:hAnsi="Tahoma" w:cs="Tahoma"/>
                <w:b/>
                <w:bCs/>
                <w:iCs/>
                <w:color w:val="509141"/>
                <w:sz w:val="36"/>
                <w:szCs w:val="36"/>
                <w:lang w:val="en-GB"/>
              </w:rPr>
              <w:t>R</w:t>
            </w:r>
            <w:r w:rsidR="00526063" w:rsidRPr="00AB1C30">
              <w:rPr>
                <w:rFonts w:ascii="Tahoma" w:hAnsi="Tahoma" w:cs="Tahoma"/>
                <w:b/>
                <w:bCs/>
                <w:iCs/>
                <w:color w:val="509141"/>
                <w:sz w:val="36"/>
                <w:szCs w:val="36"/>
                <w:lang w:val="en-GB"/>
              </w:rPr>
              <w:t>eport</w:t>
            </w:r>
            <w:r w:rsidRPr="00AB1C30">
              <w:rPr>
                <w:rFonts w:ascii="Tahoma" w:hAnsi="Tahoma" w:cs="Tahoma"/>
                <w:b/>
                <w:bCs/>
                <w:iCs/>
                <w:color w:val="509141"/>
                <w:sz w:val="36"/>
                <w:szCs w:val="36"/>
                <w:lang w:val="en-GB"/>
              </w:rPr>
              <w:t xml:space="preserve">  ITU-R  </w:t>
            </w:r>
            <w:r w:rsidR="003B4EE8" w:rsidRPr="00AB1C30">
              <w:rPr>
                <w:rFonts w:ascii="Tahoma" w:hAnsi="Tahoma" w:cs="Tahoma"/>
                <w:b/>
                <w:bCs/>
                <w:iCs/>
                <w:color w:val="509141"/>
                <w:sz w:val="36"/>
                <w:szCs w:val="36"/>
                <w:lang w:val="en-GB"/>
              </w:rPr>
              <w:t>S</w:t>
            </w:r>
            <w:r w:rsidR="0006030B" w:rsidRPr="00AB1C30">
              <w:rPr>
                <w:rFonts w:ascii="Tahoma" w:hAnsi="Tahoma" w:cs="Tahoma"/>
                <w:b/>
                <w:bCs/>
                <w:iCs/>
                <w:color w:val="509141"/>
                <w:sz w:val="36"/>
                <w:szCs w:val="36"/>
                <w:lang w:val="en-GB"/>
              </w:rPr>
              <w:t>M</w:t>
            </w:r>
            <w:r w:rsidRPr="00AB1C30">
              <w:rPr>
                <w:rFonts w:ascii="Tahoma" w:hAnsi="Tahoma" w:cs="Tahoma"/>
                <w:b/>
                <w:bCs/>
                <w:iCs/>
                <w:color w:val="509141"/>
                <w:sz w:val="36"/>
                <w:szCs w:val="36"/>
                <w:lang w:val="en-GB"/>
              </w:rPr>
              <w:t>.</w:t>
            </w:r>
            <w:r w:rsidR="0035749B" w:rsidRPr="00AB1C30">
              <w:rPr>
                <w:rFonts w:ascii="Tahoma" w:hAnsi="Tahoma" w:cs="Tahoma"/>
                <w:b/>
                <w:bCs/>
                <w:iCs/>
                <w:color w:val="509141"/>
                <w:sz w:val="36"/>
                <w:szCs w:val="36"/>
                <w:lang w:val="en-GB"/>
              </w:rPr>
              <w:t>2304-0</w:t>
            </w:r>
          </w:p>
          <w:p w:rsidR="00FE79FE" w:rsidRPr="00AB1C30" w:rsidRDefault="00FE79FE" w:rsidP="0035749B">
            <w:pPr>
              <w:spacing w:before="80" w:line="280" w:lineRule="exact"/>
              <w:jc w:val="right"/>
              <w:rPr>
                <w:rFonts w:ascii="Tahoma" w:hAnsi="Tahoma" w:cs="Tahoma"/>
                <w:iCs/>
                <w:color w:val="509141"/>
                <w:szCs w:val="24"/>
                <w:lang w:val="en-GB"/>
              </w:rPr>
            </w:pPr>
            <w:r w:rsidRPr="00AB1C30">
              <w:rPr>
                <w:rFonts w:ascii="Tahoma" w:hAnsi="Tahoma" w:cs="Tahoma"/>
                <w:b/>
                <w:bCs/>
                <w:iCs/>
                <w:color w:val="509141"/>
                <w:szCs w:val="24"/>
                <w:lang w:val="en-GB"/>
              </w:rPr>
              <w:t>(</w:t>
            </w:r>
            <w:r w:rsidR="00CB60A4" w:rsidRPr="00AB1C30">
              <w:rPr>
                <w:rFonts w:ascii="Tahoma" w:hAnsi="Tahoma" w:cs="Tahoma"/>
                <w:b/>
                <w:bCs/>
                <w:iCs/>
                <w:color w:val="509141"/>
                <w:szCs w:val="24"/>
                <w:lang w:val="en-GB"/>
              </w:rPr>
              <w:t>0</w:t>
            </w:r>
            <w:r w:rsidR="0035749B" w:rsidRPr="00AB1C30">
              <w:rPr>
                <w:rFonts w:ascii="Tahoma" w:hAnsi="Tahoma" w:cs="Tahoma"/>
                <w:b/>
                <w:bCs/>
                <w:iCs/>
                <w:color w:val="509141"/>
                <w:szCs w:val="24"/>
                <w:lang w:val="en-GB"/>
              </w:rPr>
              <w:t>6</w:t>
            </w:r>
            <w:r w:rsidRPr="00AB1C30">
              <w:rPr>
                <w:rFonts w:ascii="Tahoma" w:hAnsi="Tahoma" w:cs="Tahoma"/>
                <w:b/>
                <w:bCs/>
                <w:iCs/>
                <w:color w:val="509141"/>
                <w:szCs w:val="24"/>
                <w:lang w:val="en-GB"/>
              </w:rPr>
              <w:t>/</w:t>
            </w:r>
            <w:r w:rsidR="0035749B" w:rsidRPr="00AB1C30">
              <w:rPr>
                <w:rFonts w:ascii="Tahoma" w:hAnsi="Tahoma" w:cs="Tahoma"/>
                <w:b/>
                <w:bCs/>
                <w:iCs/>
                <w:color w:val="509141"/>
                <w:szCs w:val="24"/>
                <w:lang w:val="en-GB"/>
              </w:rPr>
              <w:t>2014</w:t>
            </w:r>
            <w:r w:rsidRPr="00AB1C30">
              <w:rPr>
                <w:rFonts w:ascii="Tahoma" w:hAnsi="Tahoma" w:cs="Tahoma"/>
                <w:b/>
                <w:bCs/>
                <w:iCs/>
                <w:color w:val="509141"/>
                <w:szCs w:val="24"/>
                <w:lang w:val="en-GB"/>
              </w:rPr>
              <w:t>)</w:t>
            </w:r>
          </w:p>
        </w:tc>
      </w:tr>
      <w:tr w:rsidR="00FE79FE" w:rsidRPr="00B1301F" w:rsidTr="0038303E">
        <w:tc>
          <w:tcPr>
            <w:tcW w:w="10089" w:type="dxa"/>
          </w:tcPr>
          <w:p w:rsidR="00013002" w:rsidRPr="00AB1C30" w:rsidRDefault="00013002" w:rsidP="0038303E">
            <w:pPr>
              <w:spacing w:before="80" w:line="500" w:lineRule="exact"/>
              <w:jc w:val="right"/>
              <w:rPr>
                <w:rFonts w:ascii="Tahoma" w:hAnsi="Tahoma" w:cs="Tahoma"/>
                <w:b/>
                <w:bCs/>
                <w:iCs/>
                <w:color w:val="509141"/>
                <w:sz w:val="44"/>
                <w:szCs w:val="44"/>
                <w:lang w:val="en-GB"/>
              </w:rPr>
            </w:pPr>
          </w:p>
          <w:p w:rsidR="00D8150A" w:rsidRPr="00AB1C30" w:rsidRDefault="0035749B" w:rsidP="0035749B">
            <w:pPr>
              <w:spacing w:before="80" w:line="500" w:lineRule="exact"/>
              <w:jc w:val="right"/>
              <w:rPr>
                <w:rFonts w:ascii="Tahoma" w:hAnsi="Tahoma" w:cs="Tahoma"/>
                <w:b/>
                <w:bCs/>
                <w:iCs/>
                <w:color w:val="509141"/>
                <w:sz w:val="44"/>
                <w:szCs w:val="44"/>
                <w:lang w:val="en-GB"/>
              </w:rPr>
            </w:pPr>
            <w:r w:rsidRPr="00AB1C30">
              <w:rPr>
                <w:rFonts w:ascii="Tahoma" w:hAnsi="Tahoma" w:cs="Tahoma"/>
                <w:b/>
                <w:bCs/>
                <w:iCs/>
                <w:color w:val="509141"/>
                <w:sz w:val="44"/>
                <w:szCs w:val="44"/>
                <w:lang w:val="en-GB"/>
              </w:rPr>
              <w:t>Application of technical identification and analysis of specific digital signals</w:t>
            </w:r>
          </w:p>
          <w:p w:rsidR="00FE79FE" w:rsidRPr="00AB1C30" w:rsidRDefault="00AD26B8" w:rsidP="0038303E">
            <w:pPr>
              <w:spacing w:before="80" w:line="500" w:lineRule="exact"/>
              <w:jc w:val="right"/>
              <w:rPr>
                <w:rFonts w:ascii="Tahoma" w:hAnsi="Tahoma" w:cs="Tahoma"/>
                <w:b/>
                <w:bCs/>
                <w:iCs/>
                <w:color w:val="509141"/>
                <w:sz w:val="44"/>
                <w:szCs w:val="44"/>
                <w:lang w:val="en-GB"/>
              </w:rPr>
            </w:pPr>
            <w:r w:rsidRPr="00AB1C30">
              <w:rPr>
                <w:rFonts w:ascii="Tahoma" w:hAnsi="Tahoma" w:cs="Tahoma"/>
                <w:b/>
                <w:bCs/>
                <w:iCs/>
                <w:color w:val="509141"/>
                <w:sz w:val="44"/>
                <w:szCs w:val="44"/>
                <w:lang w:val="en-GB"/>
              </w:rPr>
              <w:t xml:space="preserve">  </w:t>
            </w:r>
          </w:p>
        </w:tc>
      </w:tr>
      <w:tr w:rsidR="00FE79FE" w:rsidRPr="00AB1C30" w:rsidTr="0038303E">
        <w:tc>
          <w:tcPr>
            <w:tcW w:w="10089" w:type="dxa"/>
          </w:tcPr>
          <w:p w:rsidR="007B203C" w:rsidRPr="00AB1C30" w:rsidRDefault="007B203C" w:rsidP="0038303E">
            <w:pPr>
              <w:spacing w:before="80" w:line="280" w:lineRule="exact"/>
              <w:ind w:right="640"/>
              <w:rPr>
                <w:rFonts w:ascii="Tahoma" w:hAnsi="Tahoma" w:cs="Tahoma"/>
                <w:b/>
                <w:bCs/>
                <w:iCs/>
                <w:color w:val="243285"/>
                <w:sz w:val="32"/>
                <w:szCs w:val="32"/>
                <w:lang w:val="en-GB"/>
              </w:rPr>
            </w:pPr>
          </w:p>
          <w:p w:rsidR="007B203C" w:rsidRPr="00AB1C30" w:rsidRDefault="007B203C" w:rsidP="0038303E">
            <w:pPr>
              <w:spacing w:before="80" w:line="280" w:lineRule="exact"/>
              <w:ind w:right="640"/>
              <w:rPr>
                <w:rFonts w:ascii="Tahoma" w:hAnsi="Tahoma" w:cs="Tahoma"/>
                <w:b/>
                <w:bCs/>
                <w:iCs/>
                <w:color w:val="243285"/>
                <w:sz w:val="32"/>
                <w:szCs w:val="32"/>
                <w:lang w:val="en-GB"/>
              </w:rPr>
            </w:pPr>
          </w:p>
          <w:p w:rsidR="007B203C" w:rsidRPr="00AB1C30" w:rsidRDefault="007B203C" w:rsidP="0038303E">
            <w:pPr>
              <w:spacing w:before="80" w:line="280" w:lineRule="exact"/>
              <w:ind w:right="640"/>
              <w:rPr>
                <w:rFonts w:ascii="Tahoma" w:hAnsi="Tahoma" w:cs="Tahoma"/>
                <w:b/>
                <w:bCs/>
                <w:iCs/>
                <w:color w:val="243285"/>
                <w:sz w:val="32"/>
                <w:szCs w:val="32"/>
                <w:lang w:val="en-GB"/>
              </w:rPr>
            </w:pPr>
          </w:p>
          <w:p w:rsidR="007B203C" w:rsidRPr="00AB1C30" w:rsidRDefault="007B203C" w:rsidP="0038303E">
            <w:pPr>
              <w:spacing w:before="80" w:after="180" w:line="360" w:lineRule="exact"/>
              <w:jc w:val="right"/>
              <w:rPr>
                <w:rFonts w:ascii="Tahoma" w:hAnsi="Tahoma" w:cs="Tahoma"/>
                <w:b/>
                <w:bCs/>
                <w:iCs/>
                <w:color w:val="243285"/>
                <w:sz w:val="36"/>
                <w:szCs w:val="36"/>
                <w:lang w:val="en-GB"/>
              </w:rPr>
            </w:pPr>
          </w:p>
          <w:p w:rsidR="00013002" w:rsidRPr="00AB1C30" w:rsidRDefault="003B4EE8" w:rsidP="0038303E">
            <w:pPr>
              <w:spacing w:before="80" w:after="180" w:line="360" w:lineRule="exact"/>
              <w:jc w:val="right"/>
              <w:rPr>
                <w:rFonts w:ascii="Tahoma" w:hAnsi="Tahoma" w:cs="Tahoma"/>
                <w:b/>
                <w:bCs/>
                <w:iCs/>
                <w:color w:val="509141"/>
                <w:sz w:val="36"/>
                <w:szCs w:val="36"/>
                <w:lang w:val="en-GB"/>
              </w:rPr>
            </w:pPr>
            <w:r w:rsidRPr="00AB1C30">
              <w:rPr>
                <w:rFonts w:ascii="Tahoma" w:hAnsi="Tahoma" w:cs="Tahoma"/>
                <w:b/>
                <w:bCs/>
                <w:iCs/>
                <w:color w:val="509141"/>
                <w:sz w:val="36"/>
                <w:szCs w:val="36"/>
                <w:lang w:val="en-GB"/>
              </w:rPr>
              <w:t>S</w:t>
            </w:r>
            <w:r w:rsidR="0006030B" w:rsidRPr="00AB1C30">
              <w:rPr>
                <w:rFonts w:ascii="Tahoma" w:hAnsi="Tahoma" w:cs="Tahoma"/>
                <w:b/>
                <w:bCs/>
                <w:iCs/>
                <w:color w:val="509141"/>
                <w:sz w:val="36"/>
                <w:szCs w:val="36"/>
                <w:lang w:val="en-GB"/>
              </w:rPr>
              <w:t>M</w:t>
            </w:r>
            <w:r w:rsidR="00FE79FE" w:rsidRPr="00AB1C30">
              <w:rPr>
                <w:rFonts w:ascii="Tahoma" w:hAnsi="Tahoma" w:cs="Tahoma"/>
                <w:b/>
                <w:bCs/>
                <w:iCs/>
                <w:color w:val="509141"/>
                <w:sz w:val="36"/>
                <w:szCs w:val="36"/>
                <w:lang w:val="en-GB"/>
              </w:rPr>
              <w:t xml:space="preserve"> Series</w:t>
            </w:r>
          </w:p>
          <w:p w:rsidR="00FE79FE" w:rsidRPr="00AB1C30" w:rsidRDefault="0006030B" w:rsidP="0038303E">
            <w:pPr>
              <w:spacing w:before="80" w:line="420" w:lineRule="exact"/>
              <w:jc w:val="right"/>
              <w:rPr>
                <w:rFonts w:ascii="Tahoma" w:hAnsi="Tahoma" w:cs="Tahoma"/>
                <w:b/>
                <w:bCs/>
                <w:iCs/>
                <w:color w:val="509141"/>
                <w:sz w:val="36"/>
                <w:szCs w:val="36"/>
                <w:lang w:val="en-GB"/>
              </w:rPr>
            </w:pPr>
            <w:r w:rsidRPr="00AB1C30">
              <w:rPr>
                <w:rFonts w:ascii="Tahoma" w:hAnsi="Tahoma" w:cs="Tahoma"/>
                <w:b/>
                <w:bCs/>
                <w:iCs/>
                <w:color w:val="509141"/>
                <w:sz w:val="36"/>
                <w:szCs w:val="36"/>
                <w:lang w:val="en-GB"/>
              </w:rPr>
              <w:t>Spectrum management</w:t>
            </w:r>
          </w:p>
        </w:tc>
      </w:tr>
    </w:tbl>
    <w:p w:rsidR="00A71FE5" w:rsidRPr="00AB1C30" w:rsidRDefault="00A71FE5" w:rsidP="00CD659B">
      <w:pPr>
        <w:spacing w:before="80"/>
        <w:rPr>
          <w:i/>
          <w:sz w:val="22"/>
          <w:lang w:val="en-GB"/>
        </w:rPr>
      </w:pPr>
    </w:p>
    <w:p w:rsidR="00FE79FE" w:rsidRPr="00AB1C30" w:rsidRDefault="00FE79FE" w:rsidP="00CD659B">
      <w:pPr>
        <w:spacing w:before="80"/>
        <w:rPr>
          <w:i/>
          <w:sz w:val="22"/>
          <w:lang w:val="en-GB"/>
        </w:rPr>
      </w:pPr>
    </w:p>
    <w:p w:rsidR="00FE79FE" w:rsidRPr="00AB1C30" w:rsidRDefault="00FE79FE" w:rsidP="00CD659B">
      <w:pPr>
        <w:spacing w:before="80"/>
        <w:rPr>
          <w:i/>
          <w:sz w:val="22"/>
          <w:lang w:val="en-GB"/>
        </w:rPr>
      </w:pPr>
    </w:p>
    <w:p w:rsidR="00FE79FE" w:rsidRPr="00AB1C30" w:rsidRDefault="00FE79FE" w:rsidP="00CD659B">
      <w:pPr>
        <w:spacing w:before="80"/>
        <w:rPr>
          <w:i/>
          <w:sz w:val="22"/>
          <w:lang w:val="en-GB"/>
        </w:rPr>
      </w:pPr>
    </w:p>
    <w:p w:rsidR="00FE79FE" w:rsidRPr="00AB1C30" w:rsidRDefault="00FE79FE" w:rsidP="00CD659B">
      <w:pPr>
        <w:spacing w:before="80"/>
        <w:rPr>
          <w:i/>
          <w:sz w:val="22"/>
          <w:lang w:val="en-GB"/>
        </w:rPr>
      </w:pPr>
    </w:p>
    <w:p w:rsidR="00A71FE5" w:rsidRPr="00AB1C30" w:rsidRDefault="00A71FE5" w:rsidP="00CD659B">
      <w:pPr>
        <w:spacing w:before="80"/>
        <w:rPr>
          <w:i/>
          <w:sz w:val="22"/>
          <w:lang w:val="en-GB"/>
        </w:rPr>
      </w:pPr>
    </w:p>
    <w:p w:rsidR="00CD659B" w:rsidRPr="00AB1C30" w:rsidRDefault="00CD659B" w:rsidP="00CD659B">
      <w:pPr>
        <w:rPr>
          <w:rFonts w:ascii="Palatino Linotype" w:hAnsi="Palatino Linotype"/>
          <w:lang w:val="en-GB"/>
        </w:rPr>
        <w:sectPr w:rsidR="00CD659B" w:rsidRPr="00AB1C30"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AB1C30"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AB1C30">
        <w:rPr>
          <w:bCs/>
          <w:sz w:val="24"/>
          <w:szCs w:val="24"/>
          <w:lang w:val="en-GB"/>
        </w:rPr>
        <w:lastRenderedPageBreak/>
        <w:t>Foreword</w:t>
      </w:r>
    </w:p>
    <w:p w:rsidR="00CB60A4" w:rsidRPr="00AB1C30" w:rsidRDefault="00CB60A4" w:rsidP="00CB60A4">
      <w:pPr>
        <w:spacing w:before="240"/>
        <w:rPr>
          <w:sz w:val="20"/>
          <w:lang w:val="en-GB"/>
        </w:rPr>
      </w:pPr>
      <w:r w:rsidRPr="00AB1C3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AB1C30" w:rsidRDefault="00CB60A4" w:rsidP="00CB60A4">
      <w:pPr>
        <w:rPr>
          <w:sz w:val="20"/>
          <w:lang w:val="en-GB"/>
        </w:rPr>
      </w:pPr>
      <w:r w:rsidRPr="00AB1C30">
        <w:rPr>
          <w:sz w:val="20"/>
          <w:lang w:val="en-GB"/>
        </w:rPr>
        <w:t>The regulatory and policy functions of the Radiocommunication Sector are performed by World and Regional Radiocommunication Conferences and Radiocommunication Assemblies supported by Study Groups.</w:t>
      </w:r>
    </w:p>
    <w:p w:rsidR="00505FB4" w:rsidRPr="00AB1C30" w:rsidRDefault="00505FB4" w:rsidP="00505FB4">
      <w:pPr>
        <w:pStyle w:val="Heading1"/>
        <w:spacing w:before="400"/>
        <w:jc w:val="center"/>
        <w:rPr>
          <w:szCs w:val="24"/>
          <w:lang w:val="en-GB"/>
        </w:rPr>
      </w:pPr>
    </w:p>
    <w:p w:rsidR="00CB60A4" w:rsidRPr="00AB1C30" w:rsidRDefault="00CB60A4" w:rsidP="000C0413">
      <w:pPr>
        <w:pStyle w:val="Heading1"/>
        <w:spacing w:before="540"/>
        <w:jc w:val="center"/>
        <w:rPr>
          <w:szCs w:val="24"/>
          <w:lang w:val="en-GB"/>
        </w:rPr>
      </w:pPr>
      <w:r w:rsidRPr="00AB1C30">
        <w:rPr>
          <w:szCs w:val="24"/>
          <w:lang w:val="en-GB"/>
        </w:rPr>
        <w:t>Policy on Intellectual Property Right (IPR)</w:t>
      </w:r>
    </w:p>
    <w:p w:rsidR="00CB60A4" w:rsidRPr="00AB1C30" w:rsidRDefault="00CB60A4" w:rsidP="009030CC">
      <w:pPr>
        <w:tabs>
          <w:tab w:val="left" w:pos="720"/>
        </w:tabs>
        <w:spacing w:before="240"/>
        <w:rPr>
          <w:sz w:val="20"/>
          <w:lang w:val="en-GB"/>
        </w:rPr>
      </w:pPr>
      <w:r w:rsidRPr="00AB1C3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B1C30">
          <w:rPr>
            <w:rStyle w:val="Hyperlink"/>
            <w:sz w:val="20"/>
            <w:lang w:val="en-GB"/>
          </w:rPr>
          <w:t>http://www.itu.int/ITU</w:t>
        </w:r>
        <w:r w:rsidR="009030CC" w:rsidRPr="00AB1C30">
          <w:rPr>
            <w:rStyle w:val="Hyperlink"/>
            <w:sz w:val="20"/>
            <w:lang w:val="en-GB"/>
          </w:rPr>
          <w:t>-</w:t>
        </w:r>
        <w:r w:rsidRPr="00AB1C30">
          <w:rPr>
            <w:rStyle w:val="Hyperlink"/>
            <w:sz w:val="20"/>
            <w:lang w:val="en-GB"/>
          </w:rPr>
          <w:t>R/go/patents/en</w:t>
        </w:r>
      </w:hyperlink>
      <w:r w:rsidRPr="00AB1C30">
        <w:rPr>
          <w:sz w:val="20"/>
          <w:lang w:val="en-GB"/>
        </w:rPr>
        <w:t xml:space="preserve"> where the Guidelines for Implementation of the Common Patent Policy for ITU</w:t>
      </w:r>
      <w:r w:rsidRPr="00AB1C30">
        <w:rPr>
          <w:sz w:val="20"/>
          <w:lang w:val="en-GB"/>
        </w:rPr>
        <w:noBreakHyphen/>
        <w:t>T/ITU</w:t>
      </w:r>
      <w:r w:rsidRPr="00AB1C30">
        <w:rPr>
          <w:sz w:val="20"/>
          <w:lang w:val="en-GB"/>
        </w:rPr>
        <w:noBreakHyphen/>
        <w:t xml:space="preserve">R/ISO/IEC and the ITU-R patent information database can also be found. </w:t>
      </w:r>
    </w:p>
    <w:p w:rsidR="00CB60A4" w:rsidRPr="00AB1C30" w:rsidRDefault="00CB60A4" w:rsidP="00CB60A4">
      <w:pPr>
        <w:jc w:val="center"/>
        <w:rPr>
          <w:sz w:val="22"/>
          <w:lang w:val="en-GB"/>
        </w:rPr>
      </w:pPr>
    </w:p>
    <w:p w:rsidR="00505FB4" w:rsidRPr="00AB1C30" w:rsidRDefault="00505FB4" w:rsidP="00CB60A4">
      <w:pPr>
        <w:jc w:val="center"/>
        <w:rPr>
          <w:sz w:val="22"/>
          <w:lang w:val="en-GB"/>
        </w:rPr>
      </w:pPr>
    </w:p>
    <w:p w:rsidR="00CB60A4" w:rsidRPr="00AB1C30"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B1301F">
        <w:tc>
          <w:tcPr>
            <w:tcW w:w="9360" w:type="dxa"/>
            <w:gridSpan w:val="2"/>
            <w:tcBorders>
              <w:top w:val="single" w:sz="12" w:space="0" w:color="000080"/>
              <w:left w:val="single" w:sz="12" w:space="0" w:color="000080"/>
              <w:bottom w:val="nil"/>
              <w:right w:val="single" w:sz="12" w:space="0" w:color="000080"/>
            </w:tcBorders>
          </w:tcPr>
          <w:p w:rsidR="00CB60A4" w:rsidRPr="00AB1C30" w:rsidRDefault="00CB60A4" w:rsidP="00C7761D">
            <w:pPr>
              <w:pStyle w:val="ChapNo"/>
              <w:spacing w:before="240"/>
              <w:rPr>
                <w:sz w:val="22"/>
                <w:szCs w:val="22"/>
                <w:lang w:val="en-GB"/>
              </w:rPr>
            </w:pPr>
            <w:r w:rsidRPr="00AB1C30">
              <w:rPr>
                <w:sz w:val="22"/>
                <w:szCs w:val="22"/>
                <w:lang w:val="en-GB"/>
              </w:rPr>
              <w:t xml:space="preserve">Series of ITU-R </w:t>
            </w:r>
            <w:r w:rsidR="00505FB4" w:rsidRPr="00AB1C30">
              <w:rPr>
                <w:sz w:val="22"/>
                <w:szCs w:val="22"/>
                <w:lang w:val="en-GB"/>
              </w:rPr>
              <w:t>Reports</w:t>
            </w:r>
            <w:r w:rsidRPr="00AB1C30">
              <w:rPr>
                <w:sz w:val="22"/>
                <w:szCs w:val="22"/>
                <w:lang w:val="en-GB"/>
              </w:rPr>
              <w:t xml:space="preserve"> </w:t>
            </w:r>
          </w:p>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AB1C30">
              <w:rPr>
                <w:b w:val="0"/>
                <w:sz w:val="18"/>
                <w:szCs w:val="18"/>
                <w:lang w:val="en-GB"/>
              </w:rPr>
              <w:t xml:space="preserve">(Also available online at </w:t>
            </w:r>
            <w:hyperlink r:id="rId13" w:history="1">
              <w:r w:rsidR="009030CC" w:rsidRPr="00AB1C30">
                <w:rPr>
                  <w:rStyle w:val="Hyperlink"/>
                  <w:b w:val="0"/>
                  <w:bCs/>
                  <w:sz w:val="18"/>
                  <w:szCs w:val="18"/>
                  <w:lang w:val="en-GB"/>
                </w:rPr>
                <w:t>http://www.itu.int/publ</w:t>
              </w:r>
              <w:r w:rsidR="00505FB4" w:rsidRPr="00AB1C30">
                <w:rPr>
                  <w:rStyle w:val="Hyperlink"/>
                  <w:b w:val="0"/>
                  <w:bCs/>
                  <w:sz w:val="18"/>
                  <w:szCs w:val="18"/>
                  <w:lang w:val="en-GB"/>
                </w:rPr>
                <w:t>/R-REP/en</w:t>
              </w:r>
            </w:hyperlink>
            <w:r w:rsidRPr="00AB1C30">
              <w:rPr>
                <w:b w:val="0"/>
                <w:sz w:val="18"/>
                <w:szCs w:val="18"/>
                <w:lang w:val="en-GB"/>
              </w:rPr>
              <w:t>)</w:t>
            </w:r>
          </w:p>
        </w:tc>
      </w:tr>
      <w:tr w:rsidR="00CB60A4" w:rsidRPr="00AB1C30" w:rsidTr="006F2B77">
        <w:tc>
          <w:tcPr>
            <w:tcW w:w="1140" w:type="dxa"/>
            <w:tcBorders>
              <w:top w:val="nil"/>
              <w:left w:val="single" w:sz="12" w:space="0" w:color="000080"/>
              <w:bottom w:val="nil"/>
              <w:right w:val="nil"/>
            </w:tcBorders>
          </w:tcPr>
          <w:p w:rsidR="00CB60A4" w:rsidRPr="00AB1C30" w:rsidRDefault="00CB60A4">
            <w:pPr>
              <w:spacing w:before="200" w:after="100"/>
              <w:ind w:left="57"/>
              <w:rPr>
                <w:b/>
                <w:bCs/>
                <w:sz w:val="20"/>
                <w:lang w:val="en-GB"/>
              </w:rPr>
            </w:pPr>
            <w:r w:rsidRPr="00AB1C30">
              <w:rPr>
                <w:b/>
                <w:bCs/>
                <w:sz w:val="20"/>
                <w:lang w:val="en-GB"/>
              </w:rPr>
              <w:t>Series</w:t>
            </w:r>
          </w:p>
        </w:tc>
        <w:tc>
          <w:tcPr>
            <w:tcW w:w="8220" w:type="dxa"/>
            <w:tcBorders>
              <w:top w:val="nil"/>
              <w:left w:val="nil"/>
              <w:bottom w:val="nil"/>
              <w:right w:val="single" w:sz="12" w:space="0" w:color="000080"/>
            </w:tcBorders>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AB1C30">
              <w:rPr>
                <w:bCs/>
                <w:sz w:val="20"/>
                <w:lang w:val="en-GB"/>
              </w:rPr>
              <w:t>Title</w:t>
            </w:r>
          </w:p>
        </w:tc>
      </w:tr>
      <w:tr w:rsidR="00CB60A4" w:rsidRPr="00AB1C30" w:rsidTr="006F2B77">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B1C30">
              <w:rPr>
                <w:b w:val="0"/>
                <w:sz w:val="20"/>
                <w:lang w:val="en-GB"/>
              </w:rPr>
              <w:t>Satellite delivery</w:t>
            </w:r>
          </w:p>
        </w:tc>
      </w:tr>
      <w:tr w:rsidR="00CB60A4" w:rsidRPr="00B1301F" w:rsidTr="00D55B55">
        <w:tc>
          <w:tcPr>
            <w:tcW w:w="1140" w:type="dxa"/>
            <w:tcBorders>
              <w:top w:val="nil"/>
              <w:left w:val="single" w:sz="12" w:space="0" w:color="000080"/>
              <w:bottom w:val="nil"/>
              <w:right w:val="nil"/>
            </w:tcBorders>
          </w:tcPr>
          <w:p w:rsidR="00CB60A4" w:rsidRPr="00AB1C30" w:rsidRDefault="00CB60A4">
            <w:pPr>
              <w:spacing w:before="30" w:after="30"/>
              <w:ind w:left="57"/>
              <w:jc w:val="left"/>
              <w:rPr>
                <w:b/>
                <w:bCs/>
                <w:sz w:val="20"/>
                <w:lang w:val="en-GB"/>
              </w:rPr>
            </w:pPr>
            <w:r w:rsidRPr="00AB1C30">
              <w:rPr>
                <w:b/>
                <w:bCs/>
                <w:sz w:val="20"/>
                <w:lang w:val="en-GB"/>
              </w:rPr>
              <w:t>BR</w:t>
            </w:r>
          </w:p>
        </w:tc>
        <w:tc>
          <w:tcPr>
            <w:tcW w:w="8220" w:type="dxa"/>
            <w:tcBorders>
              <w:top w:val="nil"/>
              <w:left w:val="nil"/>
              <w:bottom w:val="nil"/>
              <w:right w:val="single" w:sz="12" w:space="0" w:color="000080"/>
            </w:tcBorders>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B1C30">
              <w:rPr>
                <w:b w:val="0"/>
                <w:sz w:val="20"/>
                <w:lang w:val="en-GB"/>
              </w:rPr>
              <w:t>Recording for production, archival and play-out; film for television</w:t>
            </w:r>
          </w:p>
        </w:tc>
      </w:tr>
      <w:tr w:rsidR="00CB60A4" w:rsidRPr="00AB1C30" w:rsidTr="00D55B55">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B1C30">
              <w:rPr>
                <w:b w:val="0"/>
                <w:sz w:val="20"/>
                <w:lang w:val="en-GB"/>
              </w:rPr>
              <w:t>Broadcasting service (sound)</w:t>
            </w:r>
          </w:p>
        </w:tc>
      </w:tr>
      <w:tr w:rsidR="00CB60A4" w:rsidRPr="00AB1C30" w:rsidTr="00D069F2">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B1C30">
              <w:rPr>
                <w:b w:val="0"/>
                <w:sz w:val="20"/>
                <w:lang w:val="en-GB"/>
              </w:rPr>
              <w:t>Broadcasting service (television)</w:t>
            </w:r>
          </w:p>
        </w:tc>
      </w:tr>
      <w:tr w:rsidR="00CB60A4" w:rsidRPr="00AB1C30" w:rsidTr="00D069F2">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B60A4" w:rsidRPr="00AB1C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B1C30">
              <w:rPr>
                <w:sz w:val="20"/>
                <w:lang w:val="en-GB"/>
              </w:rPr>
              <w:t>Fixed service</w:t>
            </w:r>
          </w:p>
        </w:tc>
      </w:tr>
      <w:tr w:rsidR="00CB60A4" w:rsidRPr="00AB1C30" w:rsidTr="002D77AF">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b/>
                <w:bCs/>
                <w:sz w:val="20"/>
                <w:lang w:val="en-GB"/>
              </w:rPr>
            </w:pPr>
            <w:r w:rsidRPr="00AB1C30">
              <w:rPr>
                <w:b/>
                <w:bCs/>
                <w:sz w:val="20"/>
                <w:lang w:val="en-GB"/>
              </w:rPr>
              <w:t>M</w:t>
            </w:r>
          </w:p>
        </w:tc>
        <w:tc>
          <w:tcPr>
            <w:tcW w:w="8220" w:type="dxa"/>
            <w:tcBorders>
              <w:top w:val="nil"/>
              <w:left w:val="nil"/>
              <w:bottom w:val="nil"/>
              <w:right w:val="single" w:sz="12" w:space="0" w:color="000080"/>
            </w:tcBorders>
            <w:shd w:val="clear" w:color="auto" w:fill="auto"/>
          </w:tcPr>
          <w:p w:rsidR="00CB60A4" w:rsidRPr="00AB1C3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B1C30">
              <w:rPr>
                <w:b w:val="0"/>
                <w:sz w:val="20"/>
                <w:lang w:val="en-GB"/>
              </w:rPr>
              <w:t>Mobile, radiodetermination, amateur and related satellite services</w:t>
            </w:r>
          </w:p>
        </w:tc>
      </w:tr>
      <w:tr w:rsidR="00CB60A4" w:rsidRPr="00AB1C30" w:rsidTr="003B4EE8">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B60A4" w:rsidRPr="00AB1C30" w:rsidRDefault="00CB60A4">
            <w:pPr>
              <w:spacing w:before="30" w:after="30"/>
              <w:jc w:val="left"/>
              <w:rPr>
                <w:sz w:val="20"/>
                <w:lang w:val="en-GB"/>
              </w:rPr>
            </w:pPr>
            <w:r w:rsidRPr="00AB1C30">
              <w:rPr>
                <w:sz w:val="20"/>
                <w:lang w:val="en-GB"/>
              </w:rPr>
              <w:t>Radiowave propagation</w:t>
            </w:r>
          </w:p>
        </w:tc>
      </w:tr>
      <w:tr w:rsidR="00CB60A4" w:rsidRPr="00AB1C30" w:rsidTr="00CB1116">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B60A4" w:rsidRPr="00AB1C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B1C30">
              <w:rPr>
                <w:sz w:val="20"/>
                <w:lang w:val="en-GB"/>
              </w:rPr>
              <w:t>Radio astronomy</w:t>
            </w:r>
          </w:p>
        </w:tc>
      </w:tr>
      <w:tr w:rsidR="00CB60A4" w:rsidRPr="00AB1C30" w:rsidTr="00C114A7">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B60A4" w:rsidRPr="00AB1C3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B1C30">
              <w:rPr>
                <w:sz w:val="20"/>
                <w:lang w:val="en-GB"/>
              </w:rPr>
              <w:t>Remote sensing systems</w:t>
            </w:r>
          </w:p>
        </w:tc>
      </w:tr>
      <w:tr w:rsidR="00CD7A62" w:rsidRPr="00AB1C30" w:rsidTr="00B135F6">
        <w:tc>
          <w:tcPr>
            <w:tcW w:w="1140" w:type="dxa"/>
            <w:tcBorders>
              <w:top w:val="nil"/>
              <w:left w:val="single" w:sz="12" w:space="0" w:color="000080"/>
              <w:bottom w:val="nil"/>
              <w:right w:val="nil"/>
            </w:tcBorders>
            <w:shd w:val="clear" w:color="auto" w:fill="auto"/>
          </w:tcPr>
          <w:p w:rsidR="00CD7A62" w:rsidRPr="00AB1C30" w:rsidRDefault="00CD7A62">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D7A62" w:rsidRPr="00AB1C30" w:rsidRDefault="00CD7A62">
            <w:pPr>
              <w:spacing w:before="30" w:after="30"/>
              <w:jc w:val="left"/>
              <w:rPr>
                <w:sz w:val="20"/>
                <w:lang w:val="en-GB"/>
              </w:rPr>
            </w:pPr>
            <w:r w:rsidRPr="00AB1C30">
              <w:rPr>
                <w:sz w:val="20"/>
                <w:lang w:val="en-GB"/>
              </w:rPr>
              <w:t>Fixed</w:t>
            </w:r>
            <w:r w:rsidR="00720B68" w:rsidRPr="00AB1C30">
              <w:rPr>
                <w:sz w:val="20"/>
                <w:lang w:val="en-GB"/>
              </w:rPr>
              <w:t>-</w:t>
            </w:r>
            <w:r w:rsidRPr="00AB1C30">
              <w:rPr>
                <w:sz w:val="20"/>
                <w:lang w:val="en-GB"/>
              </w:rPr>
              <w:t>satellite service</w:t>
            </w:r>
          </w:p>
        </w:tc>
      </w:tr>
      <w:tr w:rsidR="00CB60A4" w:rsidRPr="00AB1C30" w:rsidTr="0006030B">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B60A4" w:rsidRPr="00AB1C30" w:rsidRDefault="00CB60A4">
            <w:pPr>
              <w:spacing w:before="30" w:after="30"/>
              <w:jc w:val="left"/>
              <w:rPr>
                <w:sz w:val="20"/>
                <w:lang w:val="en-GB"/>
              </w:rPr>
            </w:pPr>
            <w:r w:rsidRPr="00AB1C30">
              <w:rPr>
                <w:sz w:val="20"/>
                <w:lang w:val="en-GB"/>
              </w:rPr>
              <w:t>Space applications and meteorology</w:t>
            </w:r>
          </w:p>
        </w:tc>
      </w:tr>
      <w:tr w:rsidR="00CB60A4" w:rsidRPr="00B1301F" w:rsidTr="0006030B">
        <w:tc>
          <w:tcPr>
            <w:tcW w:w="1140" w:type="dxa"/>
            <w:tcBorders>
              <w:top w:val="nil"/>
              <w:left w:val="single" w:sz="12" w:space="0" w:color="000080"/>
              <w:bottom w:val="nil"/>
              <w:right w:val="nil"/>
            </w:tcBorders>
            <w:shd w:val="clear" w:color="auto" w:fill="auto"/>
          </w:tcPr>
          <w:p w:rsidR="00CB60A4" w:rsidRPr="00AB1C30" w:rsidRDefault="00CB60A4">
            <w:pPr>
              <w:spacing w:before="30" w:after="30"/>
              <w:ind w:left="57"/>
              <w:jc w:val="left"/>
              <w:rPr>
                <w:rFonts w:ascii="Times New Roman Bold" w:hAnsi="Times New Roman Bold" w:cs="Times New Roman Bold"/>
                <w:b/>
                <w:bCs/>
                <w:sz w:val="20"/>
                <w:lang w:val="en-GB"/>
              </w:rPr>
            </w:pPr>
            <w:r w:rsidRPr="00AB1C30">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B60A4" w:rsidRPr="00AB1C30" w:rsidRDefault="00CB60A4">
            <w:pPr>
              <w:spacing w:before="30" w:after="30"/>
              <w:jc w:val="left"/>
              <w:rPr>
                <w:sz w:val="20"/>
                <w:lang w:val="en-GB"/>
              </w:rPr>
            </w:pPr>
            <w:r w:rsidRPr="00AB1C30">
              <w:rPr>
                <w:sz w:val="20"/>
                <w:lang w:val="en-GB"/>
              </w:rPr>
              <w:t>Frequency sharing and coordination between fixed-satellite and fixed service systems</w:t>
            </w:r>
          </w:p>
        </w:tc>
      </w:tr>
      <w:tr w:rsidR="00CB60A4" w:rsidRPr="00AB1C30" w:rsidTr="0006030B">
        <w:tc>
          <w:tcPr>
            <w:tcW w:w="1140" w:type="dxa"/>
            <w:tcBorders>
              <w:top w:val="nil"/>
              <w:left w:val="single" w:sz="12" w:space="0" w:color="000080"/>
              <w:bottom w:val="single" w:sz="12" w:space="0" w:color="000080"/>
              <w:right w:val="nil"/>
            </w:tcBorders>
            <w:shd w:val="clear" w:color="auto" w:fill="F3F3F3"/>
          </w:tcPr>
          <w:p w:rsidR="00CB60A4" w:rsidRPr="00AB1C30" w:rsidRDefault="00CB60A4">
            <w:pPr>
              <w:spacing w:before="30" w:after="30"/>
              <w:ind w:left="57"/>
              <w:jc w:val="left"/>
              <w:rPr>
                <w:b/>
                <w:bCs/>
                <w:color w:val="000080"/>
                <w:sz w:val="20"/>
                <w:lang w:val="en-GB"/>
              </w:rPr>
            </w:pPr>
            <w:r w:rsidRPr="00AB1C30">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B60A4" w:rsidRPr="00AB1C30" w:rsidRDefault="00CB60A4" w:rsidP="00505FB4">
            <w:pPr>
              <w:spacing w:before="30" w:after="180"/>
              <w:jc w:val="left"/>
              <w:rPr>
                <w:b/>
                <w:bCs/>
                <w:color w:val="000080"/>
                <w:sz w:val="20"/>
                <w:lang w:val="en-GB"/>
              </w:rPr>
            </w:pPr>
            <w:r w:rsidRPr="00AB1C30">
              <w:rPr>
                <w:b/>
                <w:bCs/>
                <w:color w:val="000080"/>
                <w:sz w:val="20"/>
                <w:lang w:val="en-GB"/>
              </w:rPr>
              <w:t>Spectrum management</w:t>
            </w:r>
          </w:p>
        </w:tc>
      </w:tr>
    </w:tbl>
    <w:p w:rsidR="00CB60A4" w:rsidRPr="00AB1C30"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AB1C30">
        <w:tc>
          <w:tcPr>
            <w:tcW w:w="720" w:type="dxa"/>
          </w:tcPr>
          <w:p w:rsidR="00CB60A4" w:rsidRPr="00AB1C30" w:rsidRDefault="00CB60A4">
            <w:pPr>
              <w:jc w:val="center"/>
              <w:rPr>
                <w:sz w:val="22"/>
                <w:lang w:val="en-GB"/>
              </w:rPr>
            </w:pPr>
          </w:p>
        </w:tc>
      </w:tr>
    </w:tbl>
    <w:p w:rsidR="00CB60A4" w:rsidRPr="00AB1C30"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B1301F"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AB1C30" w:rsidRDefault="00CB60A4" w:rsidP="00E96173">
            <w:pPr>
              <w:spacing w:after="120"/>
              <w:jc w:val="left"/>
              <w:rPr>
                <w:b/>
                <w:bCs/>
                <w:sz w:val="20"/>
                <w:lang w:val="en-GB"/>
              </w:rPr>
            </w:pPr>
            <w:r w:rsidRPr="00AB1C30">
              <w:rPr>
                <w:b/>
                <w:bCs/>
                <w:i/>
                <w:iCs/>
                <w:sz w:val="20"/>
                <w:lang w:val="en-GB"/>
              </w:rPr>
              <w:t>Note</w:t>
            </w:r>
            <w:r w:rsidRPr="00AB1C30">
              <w:rPr>
                <w:i/>
                <w:iCs/>
                <w:sz w:val="20"/>
                <w:lang w:val="en-GB"/>
              </w:rPr>
              <w:t xml:space="preserve">: This ITU-R </w:t>
            </w:r>
            <w:r w:rsidR="00505FB4" w:rsidRPr="00AB1C30">
              <w:rPr>
                <w:i/>
                <w:iCs/>
                <w:sz w:val="20"/>
                <w:lang w:val="en-GB"/>
              </w:rPr>
              <w:t>Report</w:t>
            </w:r>
            <w:r w:rsidRPr="00AB1C30">
              <w:rPr>
                <w:i/>
                <w:iCs/>
                <w:sz w:val="20"/>
                <w:lang w:val="en-GB"/>
              </w:rPr>
              <w:t xml:space="preserve"> was approved in English </w:t>
            </w:r>
            <w:r w:rsidR="001A5259" w:rsidRPr="00AB1C30">
              <w:rPr>
                <w:i/>
                <w:iCs/>
                <w:sz w:val="20"/>
                <w:lang w:val="en-GB"/>
              </w:rPr>
              <w:t xml:space="preserve">by the Study Group </w:t>
            </w:r>
            <w:r w:rsidRPr="00AB1C30">
              <w:rPr>
                <w:i/>
                <w:iCs/>
                <w:sz w:val="20"/>
                <w:lang w:val="en-GB"/>
              </w:rPr>
              <w:t xml:space="preserve">under the </w:t>
            </w:r>
            <w:r w:rsidR="001A5259" w:rsidRPr="00AB1C30">
              <w:rPr>
                <w:i/>
                <w:iCs/>
                <w:sz w:val="20"/>
                <w:lang w:val="en-GB"/>
              </w:rPr>
              <w:t>procedure detailed in Resolution</w:t>
            </w:r>
            <w:r w:rsidR="00E96173" w:rsidRPr="00AB1C30">
              <w:rPr>
                <w:i/>
                <w:iCs/>
                <w:sz w:val="20"/>
                <w:lang w:val="en-GB"/>
              </w:rPr>
              <w:t> </w:t>
            </w:r>
            <w:r w:rsidRPr="00AB1C30">
              <w:rPr>
                <w:i/>
                <w:iCs/>
                <w:sz w:val="20"/>
                <w:lang w:val="en-GB"/>
              </w:rPr>
              <w:t>ITU-R 1.</w:t>
            </w:r>
          </w:p>
        </w:tc>
      </w:tr>
    </w:tbl>
    <w:p w:rsidR="00CB60A4" w:rsidRPr="00AB1C30" w:rsidRDefault="00CB60A4" w:rsidP="00CB60A4">
      <w:pPr>
        <w:spacing w:before="0"/>
        <w:jc w:val="center"/>
        <w:rPr>
          <w:sz w:val="22"/>
          <w:lang w:val="en-GB"/>
        </w:rPr>
      </w:pPr>
    </w:p>
    <w:p w:rsidR="00CB60A4" w:rsidRPr="00AB1C30" w:rsidRDefault="00CB60A4" w:rsidP="00CB60A4">
      <w:pPr>
        <w:spacing w:before="0"/>
        <w:jc w:val="center"/>
        <w:rPr>
          <w:sz w:val="22"/>
          <w:lang w:val="en-GB"/>
        </w:rPr>
      </w:pPr>
    </w:p>
    <w:p w:rsidR="00CB60A4" w:rsidRPr="00AB1C30" w:rsidRDefault="00CB60A4" w:rsidP="00CB60A4">
      <w:pPr>
        <w:spacing w:before="0"/>
        <w:jc w:val="right"/>
        <w:rPr>
          <w:i/>
          <w:iCs/>
          <w:sz w:val="20"/>
          <w:lang w:val="en-GB"/>
        </w:rPr>
      </w:pPr>
      <w:r w:rsidRPr="00AB1C30">
        <w:rPr>
          <w:i/>
          <w:iCs/>
          <w:sz w:val="20"/>
          <w:lang w:val="en-GB"/>
        </w:rPr>
        <w:t>Electronic Publication</w:t>
      </w:r>
    </w:p>
    <w:p w:rsidR="00CB60A4" w:rsidRPr="00AB1C30" w:rsidRDefault="00CB60A4" w:rsidP="00892E21">
      <w:pPr>
        <w:spacing w:before="0"/>
        <w:jc w:val="right"/>
        <w:rPr>
          <w:sz w:val="20"/>
          <w:lang w:val="en-GB"/>
        </w:rPr>
      </w:pPr>
      <w:r w:rsidRPr="00AB1C30">
        <w:rPr>
          <w:sz w:val="20"/>
          <w:lang w:val="en-GB"/>
        </w:rPr>
        <w:t>Geneva, 20</w:t>
      </w:r>
      <w:r w:rsidR="0071424C" w:rsidRPr="00AB1C30">
        <w:rPr>
          <w:sz w:val="20"/>
          <w:lang w:val="en-GB"/>
        </w:rPr>
        <w:t>1</w:t>
      </w:r>
      <w:r w:rsidR="00892E21" w:rsidRPr="00AB1C30">
        <w:rPr>
          <w:sz w:val="20"/>
          <w:lang w:val="en-GB"/>
        </w:rPr>
        <w:t>4</w:t>
      </w:r>
    </w:p>
    <w:p w:rsidR="00CB60A4" w:rsidRPr="00AB1C30" w:rsidRDefault="00CB60A4" w:rsidP="00892E21">
      <w:pPr>
        <w:jc w:val="center"/>
        <w:rPr>
          <w:sz w:val="20"/>
          <w:lang w:val="en-GB"/>
        </w:rPr>
      </w:pPr>
      <w:r w:rsidRPr="00AB1C30">
        <w:rPr>
          <w:sz w:val="20"/>
          <w:lang w:val="en-GB"/>
        </w:rPr>
        <w:sym w:font="Symbol" w:char="00E3"/>
      </w:r>
      <w:r w:rsidRPr="00AB1C30">
        <w:rPr>
          <w:sz w:val="20"/>
          <w:lang w:val="en-GB"/>
        </w:rPr>
        <w:t xml:space="preserve"> ITU </w:t>
      </w:r>
      <w:bookmarkStart w:id="2" w:name="iiannee"/>
      <w:bookmarkEnd w:id="2"/>
      <w:r w:rsidRPr="00AB1C30">
        <w:rPr>
          <w:sz w:val="20"/>
          <w:lang w:val="en-GB"/>
        </w:rPr>
        <w:t>20</w:t>
      </w:r>
      <w:r w:rsidR="0071424C" w:rsidRPr="00AB1C30">
        <w:rPr>
          <w:sz w:val="20"/>
          <w:lang w:val="en-GB"/>
        </w:rPr>
        <w:t>1</w:t>
      </w:r>
      <w:r w:rsidR="00892E21" w:rsidRPr="00AB1C30">
        <w:rPr>
          <w:sz w:val="20"/>
          <w:lang w:val="en-GB"/>
        </w:rPr>
        <w:t>4</w:t>
      </w:r>
    </w:p>
    <w:p w:rsidR="00CB60A4" w:rsidRPr="00AB1C30" w:rsidRDefault="00CB60A4" w:rsidP="00CB60A4">
      <w:pPr>
        <w:rPr>
          <w:sz w:val="18"/>
          <w:szCs w:val="18"/>
          <w:lang w:val="en-GB"/>
        </w:rPr>
      </w:pPr>
      <w:r w:rsidRPr="00AB1C30">
        <w:rPr>
          <w:sz w:val="18"/>
          <w:szCs w:val="18"/>
          <w:lang w:val="en-GB"/>
        </w:rPr>
        <w:t>All rights reserved. No part of this publication may be reproduced, by any means whatsoever, without written permission of ITU.</w:t>
      </w:r>
    </w:p>
    <w:p w:rsidR="00CB60A4" w:rsidRPr="00AB1C30"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AB1C30">
          <w:pgSz w:w="11907" w:h="16834"/>
          <w:pgMar w:top="1418" w:right="1134" w:bottom="1134" w:left="1134" w:header="720" w:footer="482" w:gutter="0"/>
          <w:paperSrc w:first="15" w:other="15"/>
          <w:pgNumType w:fmt="lowerRoman" w:start="2"/>
          <w:cols w:space="720"/>
        </w:sectPr>
      </w:pPr>
    </w:p>
    <w:p w:rsidR="00934ED7" w:rsidRPr="00AB1C30" w:rsidRDefault="00934ED7" w:rsidP="000D2ABE">
      <w:pPr>
        <w:pStyle w:val="RepNo"/>
        <w:spacing w:before="0"/>
        <w:rPr>
          <w:lang w:val="en-GB"/>
        </w:rPr>
      </w:pPr>
      <w:bookmarkStart w:id="3" w:name="irecnoe"/>
      <w:bookmarkEnd w:id="3"/>
      <w:r w:rsidRPr="00AB1C30">
        <w:rPr>
          <w:lang w:val="en-GB"/>
        </w:rPr>
        <w:lastRenderedPageBreak/>
        <w:t>R</w:t>
      </w:r>
      <w:r w:rsidR="008D3D8D" w:rsidRPr="00AB1C30">
        <w:rPr>
          <w:lang w:val="en-GB"/>
        </w:rPr>
        <w:t>EPORT</w:t>
      </w:r>
      <w:r w:rsidRPr="00AB1C30">
        <w:rPr>
          <w:lang w:val="en-GB"/>
        </w:rPr>
        <w:t xml:space="preserve">  </w:t>
      </w:r>
      <w:r w:rsidRPr="00AB1C30">
        <w:rPr>
          <w:rStyle w:val="href"/>
          <w:lang w:val="en-GB"/>
        </w:rPr>
        <w:t xml:space="preserve">ITU-R  </w:t>
      </w:r>
      <w:r w:rsidR="003B4EE8" w:rsidRPr="00AB1C30">
        <w:rPr>
          <w:rStyle w:val="href"/>
          <w:lang w:val="en-GB"/>
        </w:rPr>
        <w:t>S</w:t>
      </w:r>
      <w:r w:rsidR="0006030B" w:rsidRPr="00AB1C30">
        <w:rPr>
          <w:rStyle w:val="href"/>
          <w:lang w:val="en-GB"/>
        </w:rPr>
        <w:t>M</w:t>
      </w:r>
      <w:r w:rsidR="008D3D8D" w:rsidRPr="00AB1C30">
        <w:rPr>
          <w:rStyle w:val="href"/>
          <w:lang w:val="en-GB"/>
        </w:rPr>
        <w:t>.</w:t>
      </w:r>
      <w:r w:rsidR="000D2ABE" w:rsidRPr="00AB1C30">
        <w:rPr>
          <w:rStyle w:val="href"/>
          <w:lang w:val="en-GB"/>
        </w:rPr>
        <w:t>2304-0</w:t>
      </w:r>
    </w:p>
    <w:p w:rsidR="000D2ABE" w:rsidRPr="00AB1C30" w:rsidRDefault="000D2ABE" w:rsidP="000D2ABE">
      <w:pPr>
        <w:pStyle w:val="Reptitle"/>
        <w:rPr>
          <w:lang w:val="en-GB"/>
        </w:rPr>
      </w:pPr>
      <w:r w:rsidRPr="00AB1C30">
        <w:rPr>
          <w:lang w:val="en-GB"/>
        </w:rPr>
        <w:t>Application of technical identification and analysis of specific digital signals</w:t>
      </w:r>
    </w:p>
    <w:p w:rsidR="005525BB" w:rsidRPr="00AB1C30" w:rsidRDefault="005525BB" w:rsidP="005525BB">
      <w:pPr>
        <w:pStyle w:val="Repdate"/>
        <w:rPr>
          <w:lang w:val="en-GB"/>
        </w:rPr>
      </w:pPr>
      <w:r w:rsidRPr="00AB1C30">
        <w:rPr>
          <w:lang w:val="en-GB"/>
        </w:rPr>
        <w:t>(2014)</w:t>
      </w:r>
    </w:p>
    <w:p w:rsidR="000D2ABE" w:rsidRPr="00AB1C30" w:rsidRDefault="000D2ABE" w:rsidP="000D2ABE">
      <w:pPr>
        <w:pStyle w:val="Heading1"/>
        <w:rPr>
          <w:lang w:val="en-GB"/>
        </w:rPr>
      </w:pPr>
      <w:r w:rsidRPr="00AB1C30">
        <w:rPr>
          <w:lang w:val="en-GB"/>
        </w:rPr>
        <w:t>1</w:t>
      </w:r>
      <w:r w:rsidRPr="00AB1C30">
        <w:rPr>
          <w:lang w:val="en-GB"/>
        </w:rPr>
        <w:tab/>
        <w:t>Introduction</w:t>
      </w:r>
    </w:p>
    <w:p w:rsidR="000D2ABE" w:rsidRPr="00AB1C30" w:rsidRDefault="000D2ABE" w:rsidP="00397777">
      <w:pPr>
        <w:rPr>
          <w:lang w:val="en-GB"/>
        </w:rPr>
      </w:pPr>
      <w:r w:rsidRPr="00AB1C30">
        <w:rPr>
          <w:lang w:val="en-GB"/>
        </w:rPr>
        <w:t xml:space="preserve">The purpose of this </w:t>
      </w:r>
      <w:r w:rsidR="00397777">
        <w:rPr>
          <w:lang w:val="en-GB"/>
        </w:rPr>
        <w:t>R</w:t>
      </w:r>
      <w:r w:rsidRPr="00AB1C30">
        <w:rPr>
          <w:lang w:val="en-GB"/>
        </w:rPr>
        <w:t>eport is to supplement information found in Recommendation ITU</w:t>
      </w:r>
      <w:r w:rsidR="00D33C92" w:rsidRPr="00AB1C30">
        <w:rPr>
          <w:lang w:val="en-GB"/>
        </w:rPr>
        <w:noBreakHyphen/>
      </w:r>
      <w:r w:rsidRPr="00AB1C30">
        <w:rPr>
          <w:lang w:val="en-GB"/>
        </w:rPr>
        <w:t>R</w:t>
      </w:r>
      <w:r w:rsidR="00D33C92" w:rsidRPr="00AB1C30">
        <w:rPr>
          <w:lang w:val="en-GB"/>
        </w:rPr>
        <w:t> SM.1600</w:t>
      </w:r>
      <w:r w:rsidR="00AF0D45" w:rsidRPr="00AB1C30">
        <w:rPr>
          <w:lang w:val="en-GB"/>
        </w:rPr>
        <w:t> </w:t>
      </w:r>
      <w:r w:rsidR="00D33C92" w:rsidRPr="00AB1C30">
        <w:rPr>
          <w:lang w:val="en-GB"/>
        </w:rPr>
        <w:t xml:space="preserve">– </w:t>
      </w:r>
      <w:r w:rsidRPr="00AB1C30">
        <w:rPr>
          <w:lang w:val="en-GB"/>
        </w:rPr>
        <w:t xml:space="preserve">Technical </w:t>
      </w:r>
      <w:r w:rsidR="00D33C92" w:rsidRPr="00AB1C30">
        <w:rPr>
          <w:lang w:val="en-GB"/>
        </w:rPr>
        <w:t xml:space="preserve">identification of digital signals, and </w:t>
      </w:r>
      <w:r w:rsidR="00397777">
        <w:rPr>
          <w:lang w:val="en-GB"/>
        </w:rPr>
        <w:t xml:space="preserve">in </w:t>
      </w:r>
      <w:r w:rsidR="00D33C92" w:rsidRPr="00AB1C30">
        <w:rPr>
          <w:lang w:val="en-GB"/>
        </w:rPr>
        <w:t>§§</w:t>
      </w:r>
      <w:r w:rsidRPr="00AB1C30">
        <w:rPr>
          <w:lang w:val="en-GB"/>
        </w:rPr>
        <w:t xml:space="preserve"> 4.6 and 4.8 of the Spectrum Monitoring Handbook. It is focused on solving specific problems and issues related to signal identification and is intended to provide practical benefits to spectrum administrators and their monitoring services.</w:t>
      </w:r>
    </w:p>
    <w:p w:rsidR="000D2ABE" w:rsidRPr="00AB1C30" w:rsidRDefault="000D2ABE" w:rsidP="000D2ABE">
      <w:pPr>
        <w:rPr>
          <w:lang w:val="en-GB"/>
        </w:rPr>
      </w:pPr>
      <w:r w:rsidRPr="00AB1C30">
        <w:rPr>
          <w:lang w:val="en-GB"/>
        </w:rPr>
        <w:t>The content of the Report is found in Annex 1 that follows. It contains the following elements:</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Signal (or signal class) description and usage</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Definitions and acronym listing (if needed)</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Background and problem statement</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Description of the tools, techniques and methods used in the solution</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Results</w:t>
      </w:r>
    </w:p>
    <w:p w:rsidR="000D2ABE" w:rsidRPr="00AB1C30" w:rsidRDefault="001F3D5A" w:rsidP="001F3D5A">
      <w:pPr>
        <w:pStyle w:val="enumlev1"/>
        <w:rPr>
          <w:lang w:val="en-GB"/>
        </w:rPr>
      </w:pPr>
      <w:r w:rsidRPr="00AB1C30">
        <w:rPr>
          <w:lang w:val="en-GB"/>
        </w:rPr>
        <w:t>–</w:t>
      </w:r>
      <w:r w:rsidRPr="00AB1C30">
        <w:rPr>
          <w:lang w:val="en-GB"/>
        </w:rPr>
        <w:tab/>
      </w:r>
      <w:r w:rsidR="000D2ABE" w:rsidRPr="00AB1C30">
        <w:rPr>
          <w:lang w:val="en-GB"/>
        </w:rPr>
        <w:t>Conclusions</w:t>
      </w:r>
    </w:p>
    <w:p w:rsidR="000D2ABE" w:rsidRPr="00AB1C30" w:rsidRDefault="000D2ABE" w:rsidP="000D2ABE">
      <w:pPr>
        <w:rPr>
          <w:lang w:val="en-GB"/>
        </w:rPr>
      </w:pPr>
      <w:r w:rsidRPr="00AB1C30">
        <w:rPr>
          <w:lang w:val="en-GB"/>
        </w:rPr>
        <w:t xml:space="preserve">Further studies are expected to be added to this Report to add other examples; each additional Annex is intended to be self-contained following the above format and addressing a specific example related </w:t>
      </w:r>
      <w:r w:rsidR="008B54B8">
        <w:rPr>
          <w:lang w:val="en-GB"/>
        </w:rPr>
        <w:t>to signal identification.</w:t>
      </w:r>
    </w:p>
    <w:p w:rsidR="00AF0D45" w:rsidRPr="00AB1C30" w:rsidRDefault="00AF0D45" w:rsidP="000D2ABE">
      <w:pPr>
        <w:rPr>
          <w:lang w:val="en-GB"/>
        </w:rPr>
      </w:pPr>
    </w:p>
    <w:p w:rsidR="00AF0D45" w:rsidRPr="008B54B8" w:rsidRDefault="00AF0D45" w:rsidP="000D2ABE">
      <w:pPr>
        <w:rPr>
          <w:lang w:val="en-US"/>
        </w:rPr>
      </w:pPr>
    </w:p>
    <w:p w:rsidR="00F142D5" w:rsidRPr="008B54B8" w:rsidRDefault="00F142D5" w:rsidP="000D2ABE">
      <w:pPr>
        <w:rPr>
          <w:lang w:val="en-US"/>
        </w:rPr>
      </w:pPr>
    </w:p>
    <w:p w:rsidR="000D2ABE" w:rsidRPr="00AB1C30" w:rsidRDefault="000D2ABE" w:rsidP="00AF0D45">
      <w:pPr>
        <w:pStyle w:val="AnnexNoTitle"/>
        <w:rPr>
          <w:lang w:val="en-GB"/>
        </w:rPr>
      </w:pPr>
      <w:r w:rsidRPr="00AB1C30">
        <w:rPr>
          <w:lang w:val="en-GB"/>
        </w:rPr>
        <w:t>Annex 1</w:t>
      </w:r>
      <w:r w:rsidR="00AF0D45" w:rsidRPr="00AB1C30">
        <w:rPr>
          <w:lang w:val="en-GB"/>
        </w:rPr>
        <w:br/>
      </w:r>
      <w:r w:rsidR="00AF0D45" w:rsidRPr="00AB1C30">
        <w:rPr>
          <w:lang w:val="en-GB"/>
        </w:rPr>
        <w:br/>
      </w:r>
      <w:r w:rsidRPr="00AB1C30">
        <w:rPr>
          <w:lang w:val="en-GB"/>
        </w:rPr>
        <w:t xml:space="preserve">Transmitter identification in DVB-T </w:t>
      </w:r>
      <w:r w:rsidR="008E236A" w:rsidRPr="00AB1C30">
        <w:rPr>
          <w:lang w:val="en-GB"/>
        </w:rPr>
        <w:t>single frequency network</w:t>
      </w:r>
    </w:p>
    <w:p w:rsidR="000D2ABE" w:rsidRPr="00AB1C30" w:rsidRDefault="000D2ABE" w:rsidP="000D2ABE">
      <w:pPr>
        <w:pStyle w:val="Headingb"/>
        <w:rPr>
          <w:lang w:val="en-GB"/>
        </w:rPr>
      </w:pPr>
      <w:r w:rsidRPr="00AB1C30">
        <w:rPr>
          <w:lang w:val="en-GB"/>
        </w:rPr>
        <w:t>Introduction</w:t>
      </w:r>
    </w:p>
    <w:p w:rsidR="000D2ABE" w:rsidRPr="00AB1C30" w:rsidRDefault="000D2ABE" w:rsidP="000D2ABE">
      <w:pPr>
        <w:rPr>
          <w:lang w:val="en-GB"/>
        </w:rPr>
      </w:pPr>
      <w:r w:rsidRPr="00AB1C30">
        <w:rPr>
          <w:lang w:val="en-GB"/>
        </w:rPr>
        <w:t xml:space="preserve">This use case, implemented in Italy, applies to a signal already recognized as DVB-T belonging to a </w:t>
      </w:r>
      <w:r w:rsidR="00AF0D45" w:rsidRPr="00AB1C30">
        <w:rPr>
          <w:lang w:val="en-GB"/>
        </w:rPr>
        <w:t xml:space="preserve">single frequency network </w:t>
      </w:r>
      <w:r w:rsidRPr="00AB1C30">
        <w:rPr>
          <w:lang w:val="en-GB"/>
        </w:rPr>
        <w:t xml:space="preserve">(SFN), in order to identify all the transmitters detectable, in </w:t>
      </w:r>
      <w:r w:rsidR="00AF0D45" w:rsidRPr="00AB1C30">
        <w:rPr>
          <w:lang w:val="en-GB"/>
        </w:rPr>
        <w:t xml:space="preserve">a specific receiving location: </w:t>
      </w:r>
      <w:r w:rsidRPr="00AB1C30">
        <w:rPr>
          <w:lang w:val="en-GB"/>
        </w:rPr>
        <w:t>it allows the user to make a further step in the identification process.</w:t>
      </w:r>
    </w:p>
    <w:p w:rsidR="000D2ABE" w:rsidRPr="00AB1C30" w:rsidRDefault="000D2ABE" w:rsidP="000D2ABE">
      <w:pPr>
        <w:pStyle w:val="Headingb"/>
        <w:rPr>
          <w:lang w:val="en-GB"/>
        </w:rPr>
      </w:pPr>
      <w:r w:rsidRPr="00AB1C30">
        <w:rPr>
          <w:lang w:val="en-GB"/>
        </w:rPr>
        <w:t>DVB-T allotment/transmitter identification</w:t>
      </w:r>
    </w:p>
    <w:p w:rsidR="000D2ABE" w:rsidRPr="00AB1C30" w:rsidRDefault="000D2ABE" w:rsidP="000D2ABE">
      <w:pPr>
        <w:rPr>
          <w:lang w:val="en-GB"/>
        </w:rPr>
      </w:pPr>
      <w:r w:rsidRPr="00AB1C30">
        <w:rPr>
          <w:lang w:val="en-GB"/>
        </w:rPr>
        <w:t>Generally in an identification process for a DVB-T signal, the following steps have to be carried out:</w:t>
      </w:r>
    </w:p>
    <w:p w:rsidR="000D2ABE" w:rsidRPr="00AB1C30" w:rsidRDefault="000D2ABE" w:rsidP="00121140">
      <w:pPr>
        <w:pStyle w:val="enumlev1"/>
        <w:rPr>
          <w:lang w:val="en-GB"/>
        </w:rPr>
      </w:pPr>
      <w:r w:rsidRPr="00AB1C30">
        <w:rPr>
          <w:i/>
          <w:lang w:val="en-GB"/>
        </w:rPr>
        <w:t>–</w:t>
      </w:r>
      <w:r w:rsidRPr="00AB1C30">
        <w:rPr>
          <w:i/>
          <w:lang w:val="en-GB"/>
        </w:rPr>
        <w:tab/>
        <w:t>Step 1:</w:t>
      </w:r>
      <w:r w:rsidRPr="00AB1C30">
        <w:rPr>
          <w:lang w:val="en-GB"/>
        </w:rPr>
        <w:t xml:space="preserve"> Auto-correlation to identify the presence of </w:t>
      </w:r>
      <w:r w:rsidR="00121140" w:rsidRPr="00AB1C30">
        <w:rPr>
          <w:lang w:val="en-GB"/>
        </w:rPr>
        <w:t xml:space="preserve">guard interval </w:t>
      </w:r>
      <w:r w:rsidRPr="00AB1C30">
        <w:rPr>
          <w:lang w:val="en-GB"/>
        </w:rPr>
        <w:t>(</w:t>
      </w:r>
      <w:r w:rsidR="00121140" w:rsidRPr="00AB1C30">
        <w:rPr>
          <w:lang w:val="en-GB"/>
        </w:rPr>
        <w:t>GI</w:t>
      </w:r>
      <w:r w:rsidRPr="00AB1C30">
        <w:rPr>
          <w:lang w:val="en-GB"/>
        </w:rPr>
        <w:t>), taking into account that the symbol duration can be chosen between 2 (DVB-T) or 3 (DVB-H) values;</w:t>
      </w:r>
    </w:p>
    <w:p w:rsidR="000D2ABE" w:rsidRPr="00AB1C30" w:rsidRDefault="000D2ABE" w:rsidP="000D2ABE">
      <w:pPr>
        <w:pStyle w:val="enumlev1"/>
        <w:rPr>
          <w:lang w:val="en-GB"/>
        </w:rPr>
      </w:pPr>
      <w:r w:rsidRPr="00AB1C30">
        <w:rPr>
          <w:i/>
          <w:lang w:val="en-GB"/>
        </w:rPr>
        <w:t>–</w:t>
      </w:r>
      <w:r w:rsidRPr="00AB1C30">
        <w:rPr>
          <w:i/>
          <w:lang w:val="en-GB"/>
        </w:rPr>
        <w:tab/>
        <w:t>Step 2</w:t>
      </w:r>
      <w:r w:rsidRPr="00AB1C30">
        <w:rPr>
          <w:lang w:val="en-GB"/>
        </w:rPr>
        <w:t>: Channel estimation;</w:t>
      </w:r>
    </w:p>
    <w:p w:rsidR="000D2ABE" w:rsidRPr="00AB1C30" w:rsidRDefault="000D2ABE" w:rsidP="000D2ABE">
      <w:pPr>
        <w:pStyle w:val="enumlev1"/>
        <w:rPr>
          <w:lang w:val="en-GB"/>
        </w:rPr>
      </w:pPr>
      <w:r w:rsidRPr="00AB1C30">
        <w:rPr>
          <w:i/>
          <w:lang w:val="en-GB"/>
        </w:rPr>
        <w:t>–</w:t>
      </w:r>
      <w:r w:rsidRPr="00AB1C30">
        <w:rPr>
          <w:i/>
          <w:lang w:val="en-GB"/>
        </w:rPr>
        <w:tab/>
        <w:t>Step 3</w:t>
      </w:r>
      <w:r w:rsidRPr="00AB1C30">
        <w:rPr>
          <w:lang w:val="en-GB"/>
        </w:rPr>
        <w:t>: I/Q recording;</w:t>
      </w:r>
    </w:p>
    <w:p w:rsidR="000D2ABE" w:rsidRPr="00AB1C30" w:rsidRDefault="000D2ABE" w:rsidP="000D2ABE">
      <w:pPr>
        <w:pStyle w:val="enumlev1"/>
        <w:rPr>
          <w:lang w:val="en-GB"/>
        </w:rPr>
      </w:pPr>
      <w:r w:rsidRPr="00AB1C30">
        <w:rPr>
          <w:i/>
          <w:lang w:val="en-GB"/>
        </w:rPr>
        <w:t>–</w:t>
      </w:r>
      <w:r w:rsidRPr="00AB1C30">
        <w:rPr>
          <w:i/>
          <w:lang w:val="en-GB"/>
        </w:rPr>
        <w:tab/>
        <w:t>Step 4</w:t>
      </w:r>
      <w:r w:rsidRPr="00AB1C30">
        <w:rPr>
          <w:lang w:val="en-GB"/>
        </w:rPr>
        <w:t xml:space="preserve">: </w:t>
      </w:r>
      <w:r w:rsidR="00397777">
        <w:rPr>
          <w:lang w:val="en-GB"/>
        </w:rPr>
        <w:t>Transmission parameter signalling (</w:t>
      </w:r>
      <w:r w:rsidRPr="00AB1C30">
        <w:rPr>
          <w:lang w:val="en-GB"/>
        </w:rPr>
        <w:t>TPS</w:t>
      </w:r>
      <w:r w:rsidR="00397777">
        <w:rPr>
          <w:lang w:val="en-GB"/>
        </w:rPr>
        <w:t>)</w:t>
      </w:r>
      <w:r w:rsidRPr="00AB1C30">
        <w:rPr>
          <w:lang w:val="en-GB"/>
        </w:rPr>
        <w:t xml:space="preserve"> analysis and Cell ID assessment.</w:t>
      </w:r>
    </w:p>
    <w:p w:rsidR="000D2ABE" w:rsidRPr="00AB1C30" w:rsidRDefault="000D2ABE" w:rsidP="000D2ABE">
      <w:pPr>
        <w:rPr>
          <w:lang w:val="en-GB"/>
        </w:rPr>
      </w:pPr>
      <w:r w:rsidRPr="00AB1C30">
        <w:rPr>
          <w:lang w:val="en-GB"/>
        </w:rPr>
        <w:lastRenderedPageBreak/>
        <w:t>The described methods focus on the latter step, the analysis of TPS for the identification of the DVB-T allotment/transmitters.</w:t>
      </w:r>
    </w:p>
    <w:p w:rsidR="000D2ABE" w:rsidRPr="00AB1C30" w:rsidRDefault="000D2ABE" w:rsidP="000D2ABE">
      <w:pPr>
        <w:rPr>
          <w:lang w:val="en-GB"/>
        </w:rPr>
      </w:pPr>
      <w:r w:rsidRPr="00AB1C30">
        <w:rPr>
          <w:lang w:val="en-GB"/>
        </w:rPr>
        <w:t xml:space="preserve">The DVB-T signal is an </w:t>
      </w:r>
      <w:r w:rsidR="00397777">
        <w:rPr>
          <w:lang w:val="en-GB"/>
        </w:rPr>
        <w:t>orthogonal frequency division multiplex (</w:t>
      </w:r>
      <w:r w:rsidRPr="00AB1C30">
        <w:rPr>
          <w:lang w:val="en-GB"/>
        </w:rPr>
        <w:t>OFDM</w:t>
      </w:r>
      <w:r w:rsidR="00397777">
        <w:rPr>
          <w:lang w:val="en-GB"/>
        </w:rPr>
        <w:t>)</w:t>
      </w:r>
      <w:r w:rsidRPr="00AB1C30">
        <w:rPr>
          <w:lang w:val="en-GB"/>
        </w:rPr>
        <w:t xml:space="preserve"> type, composed by three typology of carriers: continuous and scattered pilot carriers, TPS carriers and data carriers. The </w:t>
      </w:r>
      <w:r w:rsidRPr="00AB1C30">
        <w:rPr>
          <w:b/>
          <w:lang w:val="en-GB"/>
        </w:rPr>
        <w:t>pilots carriers</w:t>
      </w:r>
      <w:r w:rsidRPr="00AB1C30">
        <w:rPr>
          <w:lang w:val="en-GB"/>
        </w:rPr>
        <w:t xml:space="preserve"> are used for channel estimation and are known as “x-axis phased carriers”; </w:t>
      </w:r>
      <w:r w:rsidRPr="00AB1C30">
        <w:rPr>
          <w:i/>
          <w:lang w:val="en-GB"/>
        </w:rPr>
        <w:t>a priori</w:t>
      </w:r>
      <w:r w:rsidRPr="00AB1C30">
        <w:rPr>
          <w:lang w:val="en-GB"/>
        </w:rPr>
        <w:t xml:space="preserve"> knowledge of them is available. The </w:t>
      </w:r>
      <w:r w:rsidRPr="00AB1C30">
        <w:rPr>
          <w:b/>
          <w:lang w:val="en-GB"/>
        </w:rPr>
        <w:t>TPS carriers</w:t>
      </w:r>
      <w:r w:rsidRPr="00AB1C30">
        <w:rPr>
          <w:lang w:val="en-GB"/>
        </w:rPr>
        <w:t xml:space="preserve"> contain information on the modulation parameters adopted and a specific field called Cell ID (ETS</w:t>
      </w:r>
      <w:r w:rsidR="00320270">
        <w:rPr>
          <w:lang w:val="en-GB"/>
        </w:rPr>
        <w:t>I EN 300 744 V</w:t>
      </w:r>
      <w:r w:rsidRPr="00AB1C30">
        <w:rPr>
          <w:lang w:val="en-GB"/>
        </w:rPr>
        <w:t xml:space="preserve">1.6.1 </w:t>
      </w:r>
      <w:r w:rsidR="00320270" w:rsidRPr="00320270">
        <w:rPr>
          <w:lang w:val="en-US"/>
        </w:rPr>
        <w:t>(</w:t>
      </w:r>
      <w:r w:rsidRPr="00AB1C30">
        <w:rPr>
          <w:lang w:val="en-GB"/>
        </w:rPr>
        <w:t>2009-01</w:t>
      </w:r>
      <w:r w:rsidR="00320270" w:rsidRPr="00320270">
        <w:rPr>
          <w:lang w:val="en-US"/>
        </w:rPr>
        <w:t>),</w:t>
      </w:r>
      <w:r w:rsidRPr="00AB1C30">
        <w:rPr>
          <w:lang w:val="en-GB"/>
        </w:rPr>
        <w:t xml:space="preserve"> § 4.6). The modulation scheme adopted for TPS is DBPSK. The </w:t>
      </w:r>
      <w:r w:rsidRPr="00AB1C30">
        <w:rPr>
          <w:b/>
          <w:lang w:val="en-GB"/>
        </w:rPr>
        <w:t>data carriers</w:t>
      </w:r>
      <w:r w:rsidRPr="00AB1C30">
        <w:rPr>
          <w:lang w:val="en-GB"/>
        </w:rPr>
        <w:t xml:space="preserve"> modulation is chosen in the range of digital </w:t>
      </w:r>
      <w:r w:rsidR="00BF5D35">
        <w:rPr>
          <w:lang w:val="en-GB"/>
        </w:rPr>
        <w:t>modulation from QPSK to 64 QAM.</w:t>
      </w:r>
    </w:p>
    <w:p w:rsidR="000D2ABE" w:rsidRPr="00AB1C30" w:rsidRDefault="000D2ABE" w:rsidP="00397777">
      <w:pPr>
        <w:rPr>
          <w:lang w:val="en-GB"/>
        </w:rPr>
      </w:pPr>
      <w:r w:rsidRPr="00AB1C30">
        <w:rPr>
          <w:lang w:val="en-GB"/>
        </w:rPr>
        <w:t xml:space="preserve">Using a </w:t>
      </w:r>
      <w:r w:rsidR="00AF0D45" w:rsidRPr="00AB1C30">
        <w:rPr>
          <w:lang w:val="en-GB"/>
        </w:rPr>
        <w:t>vector signal analyser (</w:t>
      </w:r>
      <w:r w:rsidRPr="00AB1C30">
        <w:rPr>
          <w:lang w:val="en-GB"/>
        </w:rPr>
        <w:t>VSA</w:t>
      </w:r>
      <w:r w:rsidR="00AF0D45" w:rsidRPr="00AB1C30">
        <w:rPr>
          <w:lang w:val="en-GB"/>
        </w:rPr>
        <w:t>)</w:t>
      </w:r>
      <w:r w:rsidRPr="00AB1C30">
        <w:rPr>
          <w:lang w:val="en-GB"/>
        </w:rPr>
        <w:t xml:space="preserve"> or monitoring receiver, the readout of Cell ID permits the user to identify the transmitter in a </w:t>
      </w:r>
      <w:r w:rsidR="00397777">
        <w:rPr>
          <w:lang w:val="en-GB"/>
        </w:rPr>
        <w:t>multifrequency network (</w:t>
      </w:r>
      <w:r w:rsidRPr="00AB1C30">
        <w:rPr>
          <w:lang w:val="en-GB"/>
        </w:rPr>
        <w:t>MFN</w:t>
      </w:r>
      <w:r w:rsidR="00397777">
        <w:rPr>
          <w:lang w:val="en-GB"/>
        </w:rPr>
        <w:t>)</w:t>
      </w:r>
      <w:r w:rsidRPr="00AB1C30">
        <w:rPr>
          <w:lang w:val="en-GB"/>
        </w:rPr>
        <w:t>, or the allotment in a standard k-</w:t>
      </w:r>
      <w:r w:rsidR="00AF0D45" w:rsidRPr="00AB1C30">
        <w:rPr>
          <w:lang w:val="en-GB"/>
        </w:rPr>
        <w:t xml:space="preserve">SFN (see also </w:t>
      </w:r>
      <w:r w:rsidR="00397777">
        <w:rPr>
          <w:lang w:val="en-GB"/>
        </w:rPr>
        <w:t xml:space="preserve">Recommendation </w:t>
      </w:r>
      <w:r w:rsidR="00AF0D45" w:rsidRPr="00AB1C30">
        <w:rPr>
          <w:lang w:val="en-GB"/>
        </w:rPr>
        <w:t>ITU</w:t>
      </w:r>
      <w:r w:rsidR="00AF0D45" w:rsidRPr="00AB1C30">
        <w:rPr>
          <w:lang w:val="en-GB"/>
        </w:rPr>
        <w:noBreakHyphen/>
        <w:t>R </w:t>
      </w:r>
      <w:r w:rsidRPr="00AB1C30">
        <w:rPr>
          <w:lang w:val="en-GB"/>
        </w:rPr>
        <w:t xml:space="preserve">SM.1875, § 3.1.3.2). Even more, it applies when </w:t>
      </w:r>
      <w:r w:rsidRPr="00AB1C30">
        <w:rPr>
          <w:i/>
          <w:iCs/>
          <w:lang w:val="en-GB"/>
        </w:rPr>
        <w:t>k</w:t>
      </w:r>
      <w:r w:rsidR="00AF0D45" w:rsidRPr="00AB1C30">
        <w:rPr>
          <w:lang w:val="en-GB"/>
        </w:rPr>
        <w:t xml:space="preserve"> </w:t>
      </w:r>
      <w:r w:rsidRPr="00AB1C30">
        <w:rPr>
          <w:lang w:val="en-GB"/>
        </w:rPr>
        <w:t>=</w:t>
      </w:r>
      <w:r w:rsidR="00AF0D45" w:rsidRPr="00AB1C30">
        <w:rPr>
          <w:lang w:val="en-GB"/>
        </w:rPr>
        <w:t xml:space="preserve"> </w:t>
      </w:r>
      <w:r w:rsidRPr="00AB1C30">
        <w:rPr>
          <w:lang w:val="en-GB"/>
        </w:rPr>
        <w:t>1 and each allotment comprises only one transmitter. In this case, each transmitter has a univocal identifier (Cell ID).</w:t>
      </w:r>
    </w:p>
    <w:p w:rsidR="000D2ABE" w:rsidRPr="00AB1C30" w:rsidRDefault="000D2ABE" w:rsidP="000D2ABE">
      <w:pPr>
        <w:pStyle w:val="Headingb"/>
        <w:rPr>
          <w:lang w:val="en-GB"/>
        </w:rPr>
      </w:pPr>
      <w:r w:rsidRPr="00AB1C30">
        <w:rPr>
          <w:lang w:val="en-GB"/>
        </w:rPr>
        <w:t>Background: SFN Architecture</w:t>
      </w:r>
    </w:p>
    <w:p w:rsidR="000D2ABE" w:rsidRPr="00AB1C30" w:rsidRDefault="000D2ABE" w:rsidP="000D2ABE">
      <w:pPr>
        <w:rPr>
          <w:lang w:val="en-GB"/>
        </w:rPr>
      </w:pPr>
      <w:r w:rsidRPr="00AB1C30">
        <w:rPr>
          <w:lang w:val="en-GB"/>
        </w:rPr>
        <w:t>All the information/pictures below are drawn from ITU documents from RRC-04 and GE06.</w:t>
      </w:r>
    </w:p>
    <w:p w:rsidR="000D2ABE" w:rsidRPr="00AB1C30" w:rsidRDefault="000D2ABE" w:rsidP="000D2ABE">
      <w:pPr>
        <w:rPr>
          <w:lang w:val="en-GB"/>
        </w:rPr>
      </w:pPr>
      <w:r w:rsidRPr="00AB1C30">
        <w:rPr>
          <w:lang w:val="en-GB"/>
        </w:rPr>
        <w:t xml:space="preserve">SFN is defined as: </w:t>
      </w:r>
    </w:p>
    <w:p w:rsidR="000D2ABE" w:rsidRPr="008B54B8" w:rsidRDefault="000D2ABE" w:rsidP="008E236A">
      <w:pPr>
        <w:pStyle w:val="Headingi"/>
        <w:ind w:left="794" w:hanging="794"/>
        <w:rPr>
          <w:b/>
          <w:bCs/>
          <w:lang w:val="en-US"/>
        </w:rPr>
      </w:pPr>
      <w:r w:rsidRPr="008E236A">
        <w:rPr>
          <w:b/>
          <w:bCs/>
          <w:lang w:val="en-GB"/>
        </w:rPr>
        <w:t>a)</w:t>
      </w:r>
      <w:r w:rsidRPr="008E236A">
        <w:rPr>
          <w:b/>
          <w:bCs/>
          <w:lang w:val="en-GB"/>
        </w:rPr>
        <w:tab/>
        <w:t>Network of synchronized transmitting stations radiating identical signals in the same RF channel</w:t>
      </w:r>
      <w:r w:rsidRPr="008E236A">
        <w:rPr>
          <w:lang w:val="en-GB"/>
        </w:rPr>
        <w:t>.</w:t>
      </w:r>
    </w:p>
    <w:p w:rsidR="000D2ABE" w:rsidRPr="00AB1C30" w:rsidRDefault="000D2ABE" w:rsidP="000D2ABE">
      <w:pPr>
        <w:rPr>
          <w:lang w:val="en-GB"/>
        </w:rPr>
      </w:pPr>
      <w:r w:rsidRPr="00AB1C30">
        <w:rPr>
          <w:lang w:val="en-GB"/>
        </w:rPr>
        <w:t>Simil</w:t>
      </w:r>
      <w:r w:rsidR="000D25A0">
        <w:rPr>
          <w:lang w:val="en-GB"/>
        </w:rPr>
        <w:t>arly, others are defined below:</w:t>
      </w:r>
    </w:p>
    <w:p w:rsidR="000D2ABE" w:rsidRPr="00AB1C30" w:rsidRDefault="000D2ABE" w:rsidP="000D2ABE">
      <w:pPr>
        <w:rPr>
          <w:i/>
          <w:iCs/>
          <w:lang w:val="en-GB"/>
        </w:rPr>
      </w:pPr>
      <w:r w:rsidRPr="00AB1C30">
        <w:rPr>
          <w:b/>
          <w:i/>
          <w:iCs/>
          <w:lang w:val="en-GB"/>
        </w:rPr>
        <w:t>Large Area SFN</w:t>
      </w:r>
      <w:r w:rsidRPr="00AB1C30">
        <w:rPr>
          <w:i/>
          <w:iCs/>
          <w:lang w:val="en-GB"/>
        </w:rPr>
        <w:t>: a SFN which contains more than one high-power station together with any associated medium and low-power stations, usually with a composite coverage greater than 10 000 km</w:t>
      </w:r>
      <w:r w:rsidRPr="00AB1C30">
        <w:rPr>
          <w:i/>
          <w:iCs/>
          <w:vertAlign w:val="superscript"/>
          <w:lang w:val="en-GB"/>
        </w:rPr>
        <w:t>2</w:t>
      </w:r>
      <w:r w:rsidRPr="00AB1C30">
        <w:rPr>
          <w:i/>
          <w:iCs/>
          <w:lang w:val="en-GB"/>
        </w:rPr>
        <w:t>.</w:t>
      </w:r>
    </w:p>
    <w:p w:rsidR="000D2ABE" w:rsidRPr="00AB1C30" w:rsidRDefault="000D2ABE" w:rsidP="000D2ABE">
      <w:pPr>
        <w:rPr>
          <w:i/>
          <w:iCs/>
          <w:lang w:val="en-GB"/>
        </w:rPr>
      </w:pPr>
      <w:r w:rsidRPr="00AB1C30">
        <w:rPr>
          <w:b/>
          <w:i/>
          <w:iCs/>
          <w:lang w:val="en-GB"/>
        </w:rPr>
        <w:t>Mini SFN</w:t>
      </w:r>
      <w:r w:rsidRPr="00AB1C30">
        <w:rPr>
          <w:i/>
          <w:iCs/>
          <w:lang w:val="en-GB"/>
        </w:rPr>
        <w:t>: one high power station together with at least one (and probably several) associated medium or low-power stations.</w:t>
      </w:r>
    </w:p>
    <w:p w:rsidR="000D2ABE" w:rsidRPr="00AB1C30" w:rsidRDefault="000D2ABE" w:rsidP="000D2ABE">
      <w:pPr>
        <w:rPr>
          <w:b/>
          <w:i/>
          <w:iCs/>
          <w:lang w:val="en-GB"/>
        </w:rPr>
      </w:pPr>
      <w:r w:rsidRPr="00AB1C30">
        <w:rPr>
          <w:b/>
          <w:i/>
          <w:iCs/>
          <w:lang w:val="en-GB"/>
        </w:rPr>
        <w:t>Reference Network (RN)</w:t>
      </w:r>
      <w:r w:rsidRPr="00AB1C30">
        <w:rPr>
          <w:bCs/>
          <w:i/>
          <w:iCs/>
          <w:lang w:val="en-GB"/>
        </w:rPr>
        <w:t xml:space="preserve">: </w:t>
      </w:r>
      <w:r w:rsidRPr="00AB1C30">
        <w:rPr>
          <w:i/>
          <w:iCs/>
          <w:lang w:val="en-GB"/>
        </w:rPr>
        <w:t>a generic network structure representing a real network, as yet unknown, for the purposes of the compatibility analysis. The main purpose is to determine the potential for and susceptibility to interference of typical digital broadcasting networks.</w:t>
      </w:r>
    </w:p>
    <w:p w:rsidR="008B54B8" w:rsidRDefault="000D2ABE" w:rsidP="008B54B8">
      <w:pPr>
        <w:rPr>
          <w:lang w:val="en-GB"/>
        </w:rPr>
      </w:pPr>
      <w:r w:rsidRPr="00AB1C30">
        <w:rPr>
          <w:lang w:val="en-GB"/>
        </w:rPr>
        <w:t>Two kinds of RN should be considered (Fig.</w:t>
      </w:r>
      <w:r w:rsidR="002559CF" w:rsidRPr="00AB1C30">
        <w:rPr>
          <w:lang w:val="en-GB"/>
        </w:rPr>
        <w:t> </w:t>
      </w:r>
      <w:r w:rsidRPr="00AB1C30">
        <w:rPr>
          <w:lang w:val="en-GB"/>
        </w:rPr>
        <w:t>1):</w:t>
      </w:r>
    </w:p>
    <w:p w:rsidR="008B54B8" w:rsidRDefault="000D2ABE" w:rsidP="008B54B8">
      <w:pPr>
        <w:pStyle w:val="enumlev1"/>
        <w:rPr>
          <w:lang w:val="en-GB"/>
        </w:rPr>
      </w:pPr>
      <w:r w:rsidRPr="00AB1C30">
        <w:rPr>
          <w:lang w:val="en-GB"/>
        </w:rPr>
        <w:t>1)</w:t>
      </w:r>
      <w:r w:rsidR="008B54B8">
        <w:rPr>
          <w:lang w:val="en-GB"/>
        </w:rPr>
        <w:tab/>
      </w:r>
      <w:r w:rsidRPr="00AB1C30">
        <w:rPr>
          <w:lang w:val="en-GB"/>
        </w:rPr>
        <w:t>large service-area SFNs composed by 7 transmitters situated respectively at the centre and at the vertices of an hexagonal lattice;</w:t>
      </w:r>
    </w:p>
    <w:p w:rsidR="008B54B8" w:rsidRDefault="000D2ABE" w:rsidP="008B54B8">
      <w:pPr>
        <w:pStyle w:val="enumlev1"/>
        <w:rPr>
          <w:lang w:val="en-GB"/>
        </w:rPr>
      </w:pPr>
      <w:r w:rsidRPr="00AB1C30">
        <w:rPr>
          <w:lang w:val="en-GB"/>
        </w:rPr>
        <w:t>2)</w:t>
      </w:r>
      <w:r w:rsidR="008B54B8">
        <w:rPr>
          <w:lang w:val="en-GB"/>
        </w:rPr>
        <w:tab/>
      </w:r>
      <w:r w:rsidRPr="00AB1C30">
        <w:rPr>
          <w:lang w:val="en-GB"/>
        </w:rPr>
        <w:t>small service-area SFNs, dense SFNs, composed by three transmitters situated at the vertices of an equilateral triangle.</w:t>
      </w:r>
    </w:p>
    <w:p w:rsidR="000D2ABE" w:rsidRPr="00AB1C30" w:rsidRDefault="000D2ABE" w:rsidP="008B54B8">
      <w:pPr>
        <w:rPr>
          <w:lang w:val="en-GB"/>
        </w:rPr>
      </w:pPr>
      <w:r w:rsidRPr="00AB1C30">
        <w:rPr>
          <w:lang w:val="en-GB"/>
        </w:rPr>
        <w:t>The service area is assumed to be a hexagon, as well.</w:t>
      </w:r>
    </w:p>
    <w:p w:rsidR="000D2ABE" w:rsidRPr="00AB1C30" w:rsidRDefault="000D2ABE" w:rsidP="000D2ABE">
      <w:pPr>
        <w:pStyle w:val="FigureNo"/>
        <w:rPr>
          <w:lang w:val="en-GB"/>
        </w:rPr>
      </w:pPr>
      <w:r w:rsidRPr="00AB1C30">
        <w:rPr>
          <w:lang w:val="en-GB"/>
        </w:rPr>
        <w:lastRenderedPageBreak/>
        <w:t>figure 1</w:t>
      </w:r>
    </w:p>
    <w:p w:rsidR="000D2ABE" w:rsidRDefault="000D2ABE" w:rsidP="000D2ABE">
      <w:pPr>
        <w:pStyle w:val="Figuretitle"/>
        <w:rPr>
          <w:lang w:val="en-GB"/>
        </w:rPr>
      </w:pPr>
      <w:r w:rsidRPr="00AB1C30">
        <w:rPr>
          <w:lang w:val="en-GB"/>
        </w:rPr>
        <w:t>Example of reference network</w:t>
      </w:r>
    </w:p>
    <w:p w:rsidR="00B1301F" w:rsidRPr="00B1301F" w:rsidRDefault="00A800A7" w:rsidP="00B1301F">
      <w:pPr>
        <w:pStyle w:val="Figure"/>
        <w:rPr>
          <w:lang w:val="en-GB"/>
        </w:rPr>
      </w:pPr>
      <w:r>
        <w:rPr>
          <w:lang w:val="en-GB"/>
        </w:rPr>
        <w:object w:dxaOrig="5903" w:dyaOrig="2930">
          <v:shape id="_x0000_i1052" type="#_x0000_t75" style="width:342.55pt;height:170.15pt" o:ole="">
            <v:imagedata r:id="rId14" o:title=""/>
          </v:shape>
          <o:OLEObject Type="Embed" ProgID="CorelDraw.Graphic.16" ShapeID="_x0000_i1052" DrawAspect="Content" ObjectID="_1479641058" r:id="rId15"/>
        </w:object>
      </w:r>
    </w:p>
    <w:p w:rsidR="000D2ABE" w:rsidRPr="00AB1C30" w:rsidRDefault="000D2ABE" w:rsidP="002559CF">
      <w:pPr>
        <w:rPr>
          <w:rFonts w:ascii="(Tipo di carattere testo asiati" w:hAnsi="(Tipo di carattere testo asiati"/>
          <w:lang w:val="en-GB"/>
        </w:rPr>
      </w:pPr>
      <w:r w:rsidRPr="00AB1C30">
        <w:rPr>
          <w:lang w:val="en-GB"/>
        </w:rPr>
        <w:t xml:space="preserve">Each hexagon can be seen as an allotment and, in general, adjacent allotments should use different frequencies. The distance between different allotments is called “frequency reuse distance”. The complete frequency band is subdivided into clusters composed by a number of allotments. The number of allotments in one cluster is given by </w:t>
      </w:r>
      <w:r w:rsidRPr="00AB1C30">
        <w:rPr>
          <w:i/>
          <w:iCs/>
          <w:lang w:val="en-GB"/>
        </w:rPr>
        <w:t>N</w:t>
      </w:r>
      <w:r w:rsidRPr="00AB1C30">
        <w:rPr>
          <w:lang w:val="en-GB"/>
        </w:rPr>
        <w:t xml:space="preserve"> = </w:t>
      </w:r>
      <w:r w:rsidRPr="00AB1C30">
        <w:rPr>
          <w:i/>
          <w:iCs/>
          <w:lang w:val="en-GB"/>
        </w:rPr>
        <w:t>i</w:t>
      </w:r>
      <w:r w:rsidRPr="00AB1C30">
        <w:rPr>
          <w:vertAlign w:val="superscript"/>
          <w:lang w:val="en-GB"/>
        </w:rPr>
        <w:t>2</w:t>
      </w:r>
      <w:r w:rsidRPr="00AB1C30">
        <w:rPr>
          <w:lang w:val="en-GB"/>
        </w:rPr>
        <w:t xml:space="preserve">+ </w:t>
      </w:r>
      <w:r w:rsidRPr="00AB1C30">
        <w:rPr>
          <w:i/>
          <w:iCs/>
          <w:lang w:val="en-GB"/>
        </w:rPr>
        <w:t>i</w:t>
      </w:r>
      <w:r w:rsidR="00AB1C30" w:rsidRPr="00AB1C30">
        <w:rPr>
          <w:i/>
          <w:iCs/>
          <w:lang w:val="en-US"/>
        </w:rPr>
        <w:t xml:space="preserve"> </w:t>
      </w:r>
      <w:r w:rsidRPr="00AB1C30">
        <w:rPr>
          <w:szCs w:val="24"/>
          <w:lang w:val="en-GB"/>
        </w:rPr>
        <w:sym w:font="Symbol" w:char="F0D7"/>
      </w:r>
      <w:r w:rsidR="00AB1C30" w:rsidRPr="00AB1C30">
        <w:rPr>
          <w:szCs w:val="24"/>
          <w:lang w:val="en-US"/>
        </w:rPr>
        <w:t xml:space="preserve"> </w:t>
      </w:r>
      <w:r w:rsidRPr="00AB1C30">
        <w:rPr>
          <w:i/>
          <w:iCs/>
          <w:lang w:val="en-GB"/>
        </w:rPr>
        <w:t>j</w:t>
      </w:r>
      <w:r w:rsidRPr="00AB1C30">
        <w:rPr>
          <w:lang w:val="en-GB"/>
        </w:rPr>
        <w:t xml:space="preserve"> + </w:t>
      </w:r>
      <w:r w:rsidRPr="00AB1C30">
        <w:rPr>
          <w:i/>
          <w:iCs/>
          <w:lang w:val="en-GB"/>
        </w:rPr>
        <w:t>j</w:t>
      </w:r>
      <w:r w:rsidRPr="00AB1C30">
        <w:rPr>
          <w:vertAlign w:val="superscript"/>
          <w:lang w:val="en-GB"/>
        </w:rPr>
        <w:t>2</w:t>
      </w:r>
      <w:r w:rsidRPr="00AB1C30">
        <w:rPr>
          <w:lang w:val="en-GB"/>
        </w:rPr>
        <w:t xml:space="preserve"> where </w:t>
      </w:r>
      <w:r w:rsidRPr="00AB1C30">
        <w:rPr>
          <w:i/>
          <w:iCs/>
          <w:lang w:val="en-GB"/>
        </w:rPr>
        <w:t>i</w:t>
      </w:r>
      <w:r w:rsidRPr="00AB1C30">
        <w:rPr>
          <w:lang w:val="en-GB"/>
        </w:rPr>
        <w:t xml:space="preserve"> and </w:t>
      </w:r>
      <w:r w:rsidRPr="00AB1C30">
        <w:rPr>
          <w:i/>
          <w:iCs/>
          <w:lang w:val="en-GB"/>
        </w:rPr>
        <w:t>j</w:t>
      </w:r>
      <w:r w:rsidRPr="00AB1C30">
        <w:rPr>
          <w:lang w:val="en-GB"/>
        </w:rPr>
        <w:t xml:space="preserve"> are integers. </w:t>
      </w:r>
      <w:r w:rsidRPr="00AB1C30">
        <w:rPr>
          <w:i/>
          <w:iCs/>
          <w:lang w:val="en-GB"/>
        </w:rPr>
        <w:t>N</w:t>
      </w:r>
      <w:r w:rsidRPr="00AB1C30">
        <w:rPr>
          <w:lang w:val="en-GB"/>
        </w:rPr>
        <w:t xml:space="preserve"> is called the “</w:t>
      </w:r>
      <w:r w:rsidR="002559CF" w:rsidRPr="00AB1C30">
        <w:rPr>
          <w:lang w:val="en-GB"/>
        </w:rPr>
        <w:t>frequency reuse factor</w:t>
      </w:r>
      <w:r w:rsidR="0046139A" w:rsidRPr="00AB1C30">
        <w:rPr>
          <w:lang w:val="en-GB"/>
        </w:rPr>
        <w:t xml:space="preserve">” (FRF). </w:t>
      </w:r>
      <w:r w:rsidRPr="00AB1C30">
        <w:rPr>
          <w:lang w:val="en-GB"/>
        </w:rPr>
        <w:t>Usually, values for FRF are 3, 4 and 7. For those frequencies that are available on the whole service area, FRF can be assumed as 1 (1-SFN).</w:t>
      </w:r>
    </w:p>
    <w:p w:rsidR="000D2ABE" w:rsidRPr="00AB1C30" w:rsidRDefault="009D77BB" w:rsidP="000D2ABE">
      <w:pPr>
        <w:pStyle w:val="Headingb"/>
        <w:rPr>
          <w:lang w:val="en-GB"/>
        </w:rPr>
      </w:pPr>
      <w:r>
        <w:rPr>
          <w:lang w:val="en-GB"/>
        </w:rPr>
        <w:t>k-SFN f</w:t>
      </w:r>
      <w:r w:rsidR="000D2ABE" w:rsidRPr="00AB1C30">
        <w:rPr>
          <w:lang w:val="en-GB"/>
        </w:rPr>
        <w:t>eatures</w:t>
      </w:r>
    </w:p>
    <w:p w:rsidR="000D2ABE" w:rsidRPr="00AB1C30" w:rsidRDefault="000D2ABE" w:rsidP="000D2ABE">
      <w:pPr>
        <w:rPr>
          <w:lang w:val="en-GB"/>
        </w:rPr>
      </w:pPr>
      <w:r w:rsidRPr="00AB1C30">
        <w:rPr>
          <w:lang w:val="en-GB"/>
        </w:rPr>
        <w:t>Allotments using the same frequency can carry the same or different content. In the first case, we have an SFN on the whole service area; otherwise we have a regional SFN. In either case, under specific propagation conditions, the signal emitted by a transmitter situated in a specific allotment can reach any other allotment, working on the same frequency, causing interference. If each allotment is identified by a unique code, it becomes very easy to recognize the source of any interference, anytime and everywhere. If the identification code is implemented at a transmitter level, the recognition of the source of any interference will be even more precise.</w:t>
      </w:r>
    </w:p>
    <w:p w:rsidR="000D2ABE" w:rsidRPr="00AB1C30" w:rsidRDefault="000D2ABE" w:rsidP="000D2ABE">
      <w:pPr>
        <w:rPr>
          <w:lang w:val="en-GB"/>
        </w:rPr>
      </w:pPr>
      <w:r w:rsidRPr="00AB1C30">
        <w:rPr>
          <w:lang w:val="en-GB"/>
        </w:rPr>
        <w:t>The adoption of a unique code for each transmitter in a SFN is possible regardless of the network configuration adopted, allowing for an excellent management of the network under any condition.</w:t>
      </w:r>
    </w:p>
    <w:p w:rsidR="000D2ABE" w:rsidRPr="00AB1C30" w:rsidRDefault="000D2ABE" w:rsidP="000D2ABE">
      <w:pPr>
        <w:pStyle w:val="Headingb"/>
        <w:rPr>
          <w:lang w:val="en-GB"/>
        </w:rPr>
      </w:pPr>
      <w:r w:rsidRPr="00AB1C30">
        <w:rPr>
          <w:lang w:val="en-GB"/>
        </w:rPr>
        <w:t xml:space="preserve">Large scale 1-SFN </w:t>
      </w:r>
    </w:p>
    <w:p w:rsidR="000D2ABE" w:rsidRPr="00AB1C30" w:rsidRDefault="000D2ABE" w:rsidP="0046139A">
      <w:pPr>
        <w:rPr>
          <w:lang w:val="en-GB"/>
        </w:rPr>
      </w:pPr>
      <w:r w:rsidRPr="00AB1C30">
        <w:rPr>
          <w:lang w:val="en-GB" w:eastAsia="zh-CN"/>
        </w:rPr>
        <w:t xml:space="preserve">Large scale 1-SFN obtains the best efficiency in spectrum usage, but some drawbacks can arise. The most serious problem affecting large scale 1-SFN’s is the considerable number of echoes at the user end, where two different kinds of echoes, natural and artificial, can be detected. The first category of echoes is originated by reflections or scattering produced from nearby obstacles, </w:t>
      </w:r>
      <w:r w:rsidR="0046139A" w:rsidRPr="00AB1C30">
        <w:rPr>
          <w:lang w:val="en-GB" w:eastAsia="zh-CN"/>
        </w:rPr>
        <w:t>the </w:t>
      </w:r>
      <w:r w:rsidRPr="00AB1C30">
        <w:rPr>
          <w:lang w:val="en-GB" w:eastAsia="zh-CN"/>
        </w:rPr>
        <w:t>second is originated by the other transmitters of the network op</w:t>
      </w:r>
      <w:r w:rsidR="0046139A" w:rsidRPr="00AB1C30">
        <w:rPr>
          <w:lang w:val="en-GB" w:eastAsia="zh-CN"/>
        </w:rPr>
        <w:t xml:space="preserve">erating on the same frequency. </w:t>
      </w:r>
      <w:r w:rsidRPr="00AB1C30">
        <w:rPr>
          <w:lang w:val="en-GB"/>
        </w:rPr>
        <w:t>Propagation effects further complicate reception in areas surrounded by warm sea.</w:t>
      </w:r>
    </w:p>
    <w:p w:rsidR="000D2ABE" w:rsidRPr="00AB1C30" w:rsidRDefault="000D2ABE" w:rsidP="000D2ABE">
      <w:pPr>
        <w:rPr>
          <w:lang w:val="en-GB"/>
        </w:rPr>
      </w:pPr>
      <w:r w:rsidRPr="00AB1C30">
        <w:rPr>
          <w:lang w:val="en-GB"/>
        </w:rPr>
        <w:t>Echoes may fall into or outside of the guard interval; some of them arrive in advance of the main signal, others after it (Fig. 2).</w:t>
      </w:r>
    </w:p>
    <w:p w:rsidR="000D2ABE" w:rsidRPr="00AB1C30" w:rsidRDefault="000D2ABE" w:rsidP="000D2ABE">
      <w:pPr>
        <w:rPr>
          <w:lang w:val="en-GB"/>
        </w:rPr>
      </w:pPr>
      <w:r w:rsidRPr="00AB1C30">
        <w:rPr>
          <w:rFonts w:eastAsia="SimSun"/>
          <w:lang w:val="en-GB"/>
        </w:rPr>
        <w:t>The need to accurately deploy and check the behaviour of a large SFN is well known to operators, some of which are therefore using the transmission parameter Cell ID to identify each transmitter.</w:t>
      </w:r>
    </w:p>
    <w:p w:rsidR="000D2ABE" w:rsidRPr="00AB1C30" w:rsidRDefault="000D2ABE" w:rsidP="000D2ABE">
      <w:pPr>
        <w:pStyle w:val="FigureNo"/>
        <w:rPr>
          <w:lang w:val="en-GB"/>
        </w:rPr>
      </w:pPr>
      <w:r w:rsidRPr="00AB1C30">
        <w:rPr>
          <w:lang w:val="en-GB"/>
        </w:rPr>
        <w:lastRenderedPageBreak/>
        <w:t>figure 2</w:t>
      </w:r>
    </w:p>
    <w:p w:rsidR="000D2ABE" w:rsidRDefault="000D2ABE" w:rsidP="000D2ABE">
      <w:pPr>
        <w:pStyle w:val="Figuretitle"/>
        <w:rPr>
          <w:lang w:val="en-GB"/>
        </w:rPr>
      </w:pPr>
      <w:r w:rsidRPr="00AB1C30">
        <w:rPr>
          <w:lang w:val="en-GB"/>
        </w:rPr>
        <w:t>Example of echo spread at the receiver end</w:t>
      </w:r>
    </w:p>
    <w:p w:rsidR="00B40C57" w:rsidRPr="00B40C57" w:rsidRDefault="00B40C57" w:rsidP="00B40C57">
      <w:pPr>
        <w:pStyle w:val="Figure"/>
        <w:rPr>
          <w:lang w:val="en-GB"/>
        </w:rPr>
      </w:pPr>
      <w:r>
        <w:object w:dxaOrig="6853" w:dyaOrig="5607">
          <v:shape id="_x0000_i1031" type="#_x0000_t75" style="width:346.7pt;height:283.4pt" o:ole="">
            <v:imagedata r:id="rId16" o:title=""/>
          </v:shape>
          <o:OLEObject Type="Embed" ProgID="CorelDraw.Graphic.16" ShapeID="_x0000_i1031" DrawAspect="Content" ObjectID="_1479641059" r:id="rId17"/>
        </w:object>
      </w:r>
    </w:p>
    <w:p w:rsidR="000D2ABE" w:rsidRPr="00AB1C30" w:rsidRDefault="000D2ABE" w:rsidP="00320270">
      <w:pPr>
        <w:rPr>
          <w:lang w:val="en-GB"/>
        </w:rPr>
      </w:pPr>
      <w:r w:rsidRPr="00AB1C30">
        <w:rPr>
          <w:lang w:val="en-GB"/>
        </w:rPr>
        <w:t>The adoption of a different Cell ID for each transmitter, in confo</w:t>
      </w:r>
      <w:r w:rsidR="00FC4663">
        <w:rPr>
          <w:lang w:val="en-GB"/>
        </w:rPr>
        <w:t>rmity to § 5.2.4 of ETSI</w:t>
      </w:r>
      <w:r w:rsidR="00FC4663" w:rsidRPr="00FC4663">
        <w:rPr>
          <w:lang w:val="en-US"/>
        </w:rPr>
        <w:t> </w:t>
      </w:r>
      <w:r w:rsidR="00FC4663">
        <w:rPr>
          <w:lang w:val="en-GB"/>
        </w:rPr>
        <w:t>TR</w:t>
      </w:r>
      <w:r w:rsidR="00FC4663" w:rsidRPr="00FC4663">
        <w:rPr>
          <w:lang w:val="en-US"/>
        </w:rPr>
        <w:t> </w:t>
      </w:r>
      <w:r w:rsidR="00FC4663">
        <w:rPr>
          <w:lang w:val="en-GB"/>
        </w:rPr>
        <w:t>101</w:t>
      </w:r>
      <w:r w:rsidR="00FC4663" w:rsidRPr="00FC4663">
        <w:rPr>
          <w:lang w:val="en-US"/>
        </w:rPr>
        <w:t> </w:t>
      </w:r>
      <w:r w:rsidR="00320270">
        <w:rPr>
          <w:lang w:val="en-GB"/>
        </w:rPr>
        <w:t>190</w:t>
      </w:r>
      <w:r w:rsidR="00320270" w:rsidRPr="00320270">
        <w:rPr>
          <w:lang w:val="en-US"/>
        </w:rPr>
        <w:t> </w:t>
      </w:r>
      <w:r w:rsidR="00320270" w:rsidRPr="00AB1C30">
        <w:rPr>
          <w:lang w:val="en-GB"/>
        </w:rPr>
        <w:t>V</w:t>
      </w:r>
      <w:r w:rsidRPr="00AB1C30">
        <w:rPr>
          <w:lang w:val="en-GB"/>
        </w:rPr>
        <w:t>1.3.2 (2011-05), permit</w:t>
      </w:r>
      <w:r w:rsidR="00DD6379" w:rsidRPr="00AB1C30">
        <w:rPr>
          <w:lang w:val="en-GB"/>
        </w:rPr>
        <w:t>s</w:t>
      </w:r>
      <w:r w:rsidRPr="00AB1C30">
        <w:rPr>
          <w:lang w:val="en-GB"/>
        </w:rPr>
        <w:t xml:space="preserve"> the user to simplify measurements and field monitoring activity.</w:t>
      </w:r>
    </w:p>
    <w:p w:rsidR="000D2ABE" w:rsidRPr="00AB1C30" w:rsidRDefault="000D2ABE" w:rsidP="00DD6379">
      <w:pPr>
        <w:rPr>
          <w:lang w:val="en-GB"/>
        </w:rPr>
      </w:pPr>
      <w:r w:rsidRPr="00AB1C30">
        <w:rPr>
          <w:lang w:val="en-GB"/>
        </w:rPr>
        <w:t xml:space="preserve">In this way, it is possible to identify all the transmitters received at a measuring/monitoring point and to record their </w:t>
      </w:r>
      <w:r w:rsidR="00DD6379" w:rsidRPr="00AB1C30">
        <w:rPr>
          <w:lang w:val="en-GB"/>
        </w:rPr>
        <w:t xml:space="preserve">channel impulse response </w:t>
      </w:r>
      <w:r w:rsidRPr="00AB1C30">
        <w:rPr>
          <w:lang w:val="en-GB"/>
        </w:rPr>
        <w:t>(CIR) for further comparative analysis (Fig</w:t>
      </w:r>
      <w:r w:rsidR="000D25A0">
        <w:rPr>
          <w:lang w:val="en-GB"/>
        </w:rPr>
        <w:t>. 3).</w:t>
      </w:r>
    </w:p>
    <w:p w:rsidR="000D2ABE" w:rsidRPr="00AB1C30" w:rsidRDefault="000D2ABE" w:rsidP="000D2ABE">
      <w:pPr>
        <w:pStyle w:val="FigureNo"/>
        <w:rPr>
          <w:lang w:val="en-GB"/>
        </w:rPr>
      </w:pPr>
      <w:r w:rsidRPr="00AB1C30">
        <w:rPr>
          <w:lang w:val="en-GB"/>
        </w:rPr>
        <w:t>figure 3</w:t>
      </w:r>
    </w:p>
    <w:p w:rsidR="000D2ABE" w:rsidRDefault="000D2ABE" w:rsidP="000D2ABE">
      <w:pPr>
        <w:pStyle w:val="Figuretitle"/>
        <w:rPr>
          <w:lang w:val="en-GB"/>
        </w:rPr>
      </w:pPr>
      <w:r w:rsidRPr="00AB1C30">
        <w:rPr>
          <w:lang w:val="en-GB"/>
        </w:rPr>
        <w:t>Identification of the highest received transmitter through Cell ID</w:t>
      </w:r>
    </w:p>
    <w:p w:rsidR="00B40C57" w:rsidRPr="00B40C57" w:rsidRDefault="00B40C57" w:rsidP="00B40C57">
      <w:pPr>
        <w:pStyle w:val="Figure"/>
        <w:rPr>
          <w:lang w:val="en-GB"/>
        </w:rPr>
      </w:pPr>
      <w:r>
        <w:object w:dxaOrig="6574" w:dyaOrig="4775">
          <v:shape id="_x0000_i1037" type="#_x0000_t75" style="width:351.75pt;height:255.45pt" o:ole="">
            <v:imagedata r:id="rId18" o:title=""/>
          </v:shape>
          <o:OLEObject Type="Embed" ProgID="CorelDraw.Graphic.16" ShapeID="_x0000_i1037" DrawAspect="Content" ObjectID="_1479641060" r:id="rId19"/>
        </w:object>
      </w:r>
    </w:p>
    <w:p w:rsidR="000D2ABE" w:rsidRPr="00AB1C30" w:rsidRDefault="000D2ABE" w:rsidP="008E236A">
      <w:pPr>
        <w:spacing w:before="240"/>
        <w:rPr>
          <w:lang w:val="en-GB"/>
        </w:rPr>
      </w:pPr>
      <w:r w:rsidRPr="00AB1C30">
        <w:rPr>
          <w:lang w:val="en-GB"/>
        </w:rPr>
        <w:lastRenderedPageBreak/>
        <w:t xml:space="preserve">The methods described in the sections that follow allow the user to identify the main signal received as well as all the echoes having levels above </w:t>
      </w:r>
      <w:r w:rsidR="008E236A" w:rsidRPr="008E236A">
        <w:rPr>
          <w:lang w:val="en-US"/>
        </w:rPr>
        <w:t>–</w:t>
      </w:r>
      <w:r w:rsidRPr="00AB1C30">
        <w:rPr>
          <w:lang w:val="en-GB"/>
        </w:rPr>
        <w:t xml:space="preserve">30 </w:t>
      </w:r>
      <w:r w:rsidR="000D25A0">
        <w:rPr>
          <w:lang w:val="en-GB"/>
        </w:rPr>
        <w:t>dB relative to the main signal.</w:t>
      </w:r>
    </w:p>
    <w:p w:rsidR="000D2ABE" w:rsidRPr="00AB1C30" w:rsidRDefault="000D2ABE" w:rsidP="00785197">
      <w:pPr>
        <w:rPr>
          <w:lang w:val="en-GB"/>
        </w:rPr>
      </w:pPr>
      <w:r w:rsidRPr="00AB1C30">
        <w:rPr>
          <w:lang w:val="en-GB"/>
        </w:rPr>
        <w:t xml:space="preserve">In addition, the methods permit the user to discriminate the signals belonging to two distinct SFNs (with different content) having the same </w:t>
      </w:r>
      <w:r w:rsidR="00785197" w:rsidRPr="00AB1C30">
        <w:rPr>
          <w:lang w:val="en-GB"/>
        </w:rPr>
        <w:t xml:space="preserve">network delay </w:t>
      </w:r>
      <w:r w:rsidR="00353234">
        <w:rPr>
          <w:lang w:val="en-GB"/>
        </w:rPr>
        <w:t>and synchroniz</w:t>
      </w:r>
      <w:r w:rsidRPr="00AB1C30">
        <w:rPr>
          <w:lang w:val="en-GB"/>
        </w:rPr>
        <w:t xml:space="preserve">ed at </w:t>
      </w:r>
      <w:r w:rsidR="00785197" w:rsidRPr="00AB1C30">
        <w:rPr>
          <w:lang w:val="en-GB"/>
        </w:rPr>
        <w:t xml:space="preserve">super frame </w:t>
      </w:r>
      <w:r w:rsidRPr="00AB1C30">
        <w:rPr>
          <w:lang w:val="en-GB"/>
        </w:rPr>
        <w:t>level, which are seen inside the C</w:t>
      </w:r>
      <w:r w:rsidR="000D25A0">
        <w:rPr>
          <w:lang w:val="en-GB"/>
        </w:rPr>
        <w:t>IR as part of the same network.</w:t>
      </w:r>
    </w:p>
    <w:p w:rsidR="000D2ABE" w:rsidRPr="00AB1C30" w:rsidRDefault="000D2ABE" w:rsidP="000D2ABE">
      <w:pPr>
        <w:pStyle w:val="Heading4"/>
        <w:rPr>
          <w:lang w:val="en-GB"/>
        </w:rPr>
      </w:pPr>
      <w:r w:rsidRPr="00AB1C30">
        <w:rPr>
          <w:lang w:val="en-GB"/>
        </w:rPr>
        <w:t>Identification by matching measured delays with planned delays database</w:t>
      </w:r>
    </w:p>
    <w:p w:rsidR="000D2ABE" w:rsidRPr="00AB1C30" w:rsidRDefault="000D2ABE" w:rsidP="000D2ABE">
      <w:pPr>
        <w:rPr>
          <w:lang w:val="en-GB"/>
        </w:rPr>
      </w:pPr>
      <w:r w:rsidRPr="00AB1C30">
        <w:rPr>
          <w:lang w:val="en-GB"/>
        </w:rPr>
        <w:t>The use of a different Cell ID for each transmitter in a SFN enables rapid identification of the transmitter with highest received level and to compute all the delays of echoes related to it.</w:t>
      </w:r>
    </w:p>
    <w:p w:rsidR="000D2ABE" w:rsidRPr="00AB1C30" w:rsidRDefault="000D2ABE" w:rsidP="000D2ABE">
      <w:pPr>
        <w:rPr>
          <w:lang w:val="en-GB"/>
        </w:rPr>
      </w:pPr>
      <w:r w:rsidRPr="00AB1C30">
        <w:rPr>
          <w:lang w:val="en-GB"/>
        </w:rPr>
        <w:t>In fact, it is possible to draw up two tables of the overall delay for each signal received at a given measurement point:</w:t>
      </w:r>
    </w:p>
    <w:p w:rsidR="000D2ABE" w:rsidRPr="00AB1C30" w:rsidRDefault="000D2ABE" w:rsidP="000D2ABE">
      <w:pPr>
        <w:pStyle w:val="enumlev1"/>
        <w:rPr>
          <w:lang w:val="en-GB"/>
        </w:rPr>
      </w:pPr>
      <w:r w:rsidRPr="00AB1C30">
        <w:rPr>
          <w:b/>
          <w:lang w:val="en-GB"/>
        </w:rPr>
        <w:t>–</w:t>
      </w:r>
      <w:r w:rsidRPr="00AB1C30">
        <w:rPr>
          <w:b/>
          <w:lang w:val="en-GB"/>
        </w:rPr>
        <w:tab/>
        <w:t xml:space="preserve">Overall </w:t>
      </w:r>
      <w:r w:rsidR="00536E0F" w:rsidRPr="00AB1C30">
        <w:rPr>
          <w:b/>
          <w:lang w:val="en-GB"/>
        </w:rPr>
        <w:t>calculated delays table</w:t>
      </w:r>
      <w:r w:rsidRPr="00AB1C30">
        <w:rPr>
          <w:bCs/>
          <w:lang w:val="en-GB"/>
        </w:rPr>
        <w:t xml:space="preserve">: </w:t>
      </w:r>
      <w:r w:rsidRPr="00AB1C30">
        <w:rPr>
          <w:lang w:val="en-GB"/>
        </w:rPr>
        <w:t xml:space="preserve">generated from </w:t>
      </w:r>
      <w:r w:rsidR="00536E0F" w:rsidRPr="00AB1C30">
        <w:rPr>
          <w:lang w:val="en-GB"/>
        </w:rPr>
        <w:t xml:space="preserve">transmitters planned delays table </w:t>
      </w:r>
      <w:r w:rsidR="00BB4DF0">
        <w:rPr>
          <w:lang w:val="en-GB"/>
        </w:rPr>
        <w:t>(local</w:t>
      </w:r>
      <w:r w:rsidR="00BB4DF0" w:rsidRPr="008B54B8">
        <w:rPr>
          <w:lang w:val="en-US"/>
        </w:rPr>
        <w:t> </w:t>
      </w:r>
      <w:r w:rsidRPr="00AB1C30">
        <w:rPr>
          <w:lang w:val="en-GB"/>
        </w:rPr>
        <w:t>delay) taking into account transmitters and receiving point coordinates (Fig. 4).</w:t>
      </w:r>
    </w:p>
    <w:p w:rsidR="000D2ABE" w:rsidRPr="00AB1C30" w:rsidRDefault="000D2ABE" w:rsidP="000D2ABE">
      <w:pPr>
        <w:pStyle w:val="enumlev1"/>
        <w:rPr>
          <w:b/>
          <w:lang w:val="en-GB"/>
        </w:rPr>
      </w:pPr>
      <w:r w:rsidRPr="00AB1C30">
        <w:rPr>
          <w:b/>
          <w:lang w:val="en-GB"/>
        </w:rPr>
        <w:t>–</w:t>
      </w:r>
      <w:r w:rsidRPr="00AB1C30">
        <w:rPr>
          <w:b/>
          <w:lang w:val="en-GB"/>
        </w:rPr>
        <w:tab/>
        <w:t xml:space="preserve">Overall </w:t>
      </w:r>
      <w:r w:rsidR="00536E0F" w:rsidRPr="00AB1C30">
        <w:rPr>
          <w:b/>
          <w:lang w:val="en-GB"/>
        </w:rPr>
        <w:t>measured delays table</w:t>
      </w:r>
      <w:r w:rsidRPr="00AB1C30">
        <w:rPr>
          <w:lang w:val="en-GB"/>
        </w:rPr>
        <w:t>: readout from VSA or monitoring receiver.</w:t>
      </w:r>
    </w:p>
    <w:p w:rsidR="000D2ABE" w:rsidRPr="00AB1C30" w:rsidRDefault="000D2ABE" w:rsidP="000D2ABE">
      <w:pPr>
        <w:rPr>
          <w:lang w:val="en-GB"/>
        </w:rPr>
      </w:pPr>
      <w:r w:rsidRPr="00AB1C30">
        <w:rPr>
          <w:lang w:val="en-GB"/>
        </w:rPr>
        <w:t>By comparing measured delays to their expected delays, it is possible to identify all transmitters belonging to the same network and receive</w:t>
      </w:r>
      <w:r w:rsidR="00C61D90">
        <w:rPr>
          <w:lang w:val="en-GB"/>
        </w:rPr>
        <w:t>d at a given measurement point.</w:t>
      </w:r>
    </w:p>
    <w:p w:rsidR="000D2ABE" w:rsidRPr="00AB1C30" w:rsidRDefault="000D2ABE" w:rsidP="000D2ABE">
      <w:pPr>
        <w:pStyle w:val="FigureNo"/>
        <w:rPr>
          <w:lang w:val="en-GB"/>
        </w:rPr>
      </w:pPr>
      <w:r w:rsidRPr="00AB1C30">
        <w:rPr>
          <w:lang w:val="en-GB"/>
        </w:rPr>
        <w:t>figure 4</w:t>
      </w:r>
    </w:p>
    <w:p w:rsidR="000D2ABE" w:rsidRDefault="000D2ABE" w:rsidP="000D2ABE">
      <w:pPr>
        <w:pStyle w:val="Figuretitle"/>
        <w:rPr>
          <w:lang w:val="en-GB"/>
        </w:rPr>
      </w:pPr>
      <w:r w:rsidRPr="00AB1C30">
        <w:rPr>
          <w:lang w:val="en-GB"/>
        </w:rPr>
        <w:t>Cell ID and overall delay calculation</w:t>
      </w:r>
    </w:p>
    <w:p w:rsidR="00B36601" w:rsidRPr="00B36601" w:rsidRDefault="00A800A7" w:rsidP="00B36601">
      <w:pPr>
        <w:pStyle w:val="Figure"/>
        <w:rPr>
          <w:lang w:val="en-GB"/>
        </w:rPr>
      </w:pPr>
      <w:r>
        <w:object w:dxaOrig="6627" w:dyaOrig="4774">
          <v:shape id="_x0000_i1054" type="#_x0000_t75" style="width:373.3pt;height:268.75pt" o:ole="">
            <v:imagedata r:id="rId20" o:title=""/>
          </v:shape>
          <o:OLEObject Type="Embed" ProgID="CorelDraw.Graphic.16" ShapeID="_x0000_i1054" DrawAspect="Content" ObjectID="_1479641061" r:id="rId21"/>
        </w:object>
      </w:r>
    </w:p>
    <w:p w:rsidR="000D2ABE" w:rsidRPr="00AB1C30" w:rsidRDefault="000D2ABE" w:rsidP="00536E0F">
      <w:pPr>
        <w:pStyle w:val="Headingb"/>
        <w:rPr>
          <w:lang w:val="en-GB"/>
        </w:rPr>
      </w:pPr>
      <w:r w:rsidRPr="00AB1C30">
        <w:rPr>
          <w:lang w:val="en-GB"/>
        </w:rPr>
        <w:t>Identification with VSA software package</w:t>
      </w:r>
    </w:p>
    <w:p w:rsidR="000D2ABE" w:rsidRPr="00AB1C30" w:rsidRDefault="000D2ABE" w:rsidP="00536E0F">
      <w:pPr>
        <w:keepNext/>
        <w:keepLines/>
        <w:rPr>
          <w:lang w:val="en-GB"/>
        </w:rPr>
      </w:pPr>
      <w:r w:rsidRPr="00AB1C30">
        <w:rPr>
          <w:lang w:val="en-GB"/>
        </w:rPr>
        <w:t xml:space="preserve">A new method of DVB-T transmitter identification has been developed, suitable to be implemented as an upgrade in a typical measurement receiver or in a </w:t>
      </w:r>
      <w:r w:rsidR="00536E0F" w:rsidRPr="00AB1C30">
        <w:rPr>
          <w:lang w:val="en-GB"/>
        </w:rPr>
        <w:t>VSA</w:t>
      </w:r>
      <w:r w:rsidRPr="00AB1C30">
        <w:rPr>
          <w:lang w:val="en-GB"/>
        </w:rPr>
        <w:t xml:space="preserve">. By using this method, the user can effectively identify all received signals from transmitters of a DVB-T SFN, </w:t>
      </w:r>
      <w:r w:rsidR="00536E0F" w:rsidRPr="00AB1C30">
        <w:rPr>
          <w:lang w:val="en-GB"/>
        </w:rPr>
        <w:t>at </w:t>
      </w:r>
      <w:r w:rsidRPr="00AB1C30">
        <w:rPr>
          <w:lang w:val="en-GB"/>
        </w:rPr>
        <w:t>a receiving point.</w:t>
      </w:r>
    </w:p>
    <w:p w:rsidR="000D2ABE" w:rsidRPr="00AB1C30" w:rsidRDefault="000D2ABE" w:rsidP="000D2ABE">
      <w:pPr>
        <w:rPr>
          <w:lang w:val="en-GB"/>
        </w:rPr>
      </w:pPr>
      <w:r w:rsidRPr="00AB1C30">
        <w:rPr>
          <w:lang w:val="en-GB"/>
        </w:rPr>
        <w:t>Measurement instruments currently available do not allow a user to obtain information on the origin of all signals of an SFN. For example, in Fig. 5, the shown Cell ID value, 0x44E, is relative to the strongest signal (Time = 0, level = 0 dB).</w:t>
      </w:r>
    </w:p>
    <w:p w:rsidR="000D2ABE" w:rsidRPr="00AB1C30" w:rsidRDefault="000D2ABE" w:rsidP="00536E0F">
      <w:pPr>
        <w:pStyle w:val="FigureNo"/>
        <w:rPr>
          <w:lang w:val="en-GB"/>
        </w:rPr>
      </w:pPr>
      <w:r w:rsidRPr="00AB1C30">
        <w:rPr>
          <w:lang w:val="en-GB"/>
        </w:rPr>
        <w:lastRenderedPageBreak/>
        <w:t>Figure 5</w:t>
      </w:r>
    </w:p>
    <w:p w:rsidR="000D2ABE" w:rsidRDefault="000D2ABE" w:rsidP="00536E0F">
      <w:pPr>
        <w:pStyle w:val="Figuretitle"/>
        <w:rPr>
          <w:lang w:val="en-GB"/>
        </w:rPr>
      </w:pPr>
      <w:r w:rsidRPr="00AB1C30">
        <w:rPr>
          <w:lang w:val="en-GB"/>
        </w:rPr>
        <w:t>Cell ID identification for the strongest signal</w:t>
      </w:r>
    </w:p>
    <w:p w:rsidR="00B36601" w:rsidRPr="00B36601" w:rsidRDefault="00A800A7" w:rsidP="00B36601">
      <w:pPr>
        <w:pStyle w:val="Figure"/>
        <w:rPr>
          <w:lang w:val="en-GB"/>
        </w:rPr>
      </w:pPr>
      <w:r>
        <w:object w:dxaOrig="6948" w:dyaOrig="3024">
          <v:shape id="_x0000_i1056" type="#_x0000_t75" style="width:448.05pt;height:195.35pt" o:ole="">
            <v:imagedata r:id="rId22" o:title=""/>
          </v:shape>
          <o:OLEObject Type="Embed" ProgID="CorelDraw.Graphic.16" ShapeID="_x0000_i1056" DrawAspect="Content" ObjectID="_1479641062" r:id="rId23"/>
        </w:object>
      </w:r>
    </w:p>
    <w:p w:rsidR="000D2ABE" w:rsidRPr="00AB1C30" w:rsidRDefault="000D2ABE" w:rsidP="00536E0F">
      <w:pPr>
        <w:rPr>
          <w:lang w:val="en-GB"/>
        </w:rPr>
      </w:pPr>
      <w:r w:rsidRPr="00AB1C30">
        <w:rPr>
          <w:lang w:val="en-GB"/>
        </w:rPr>
        <w:t>The method assumes to insert in TPS carriers a unique transmitter identification code, in the Cell ID field, as explained above.</w:t>
      </w:r>
    </w:p>
    <w:p w:rsidR="000D2ABE" w:rsidRPr="00AB1C30" w:rsidRDefault="000D2ABE" w:rsidP="00536E0F">
      <w:pPr>
        <w:rPr>
          <w:lang w:val="en-GB"/>
        </w:rPr>
      </w:pPr>
      <w:r w:rsidRPr="00AB1C30">
        <w:rPr>
          <w:lang w:val="en-GB"/>
        </w:rPr>
        <w:t xml:space="preserve">The fact that, in given time-frequency positions, </w:t>
      </w:r>
      <w:r w:rsidRPr="00AB1C30">
        <w:rPr>
          <w:i/>
          <w:iCs/>
          <w:lang w:val="en-GB"/>
        </w:rPr>
        <w:t>different</w:t>
      </w:r>
      <w:r w:rsidRPr="00AB1C30">
        <w:rPr>
          <w:lang w:val="en-GB"/>
        </w:rPr>
        <w:t xml:space="preserve"> signals are sent from different transmitters can be seen from two interesting perspectives. From one hand, this can be considered a “collision”, a phenomenon with negative connotation. On the other hand, this is similar to what happens in systems with multiple-antenna, like MISO (</w:t>
      </w:r>
      <w:r w:rsidR="00536E0F" w:rsidRPr="00AB1C30">
        <w:rPr>
          <w:lang w:val="en-GB"/>
        </w:rPr>
        <w:t>multiple inputs single output</w:t>
      </w:r>
      <w:r w:rsidRPr="00AB1C30">
        <w:rPr>
          <w:lang w:val="en-GB"/>
        </w:rPr>
        <w:t>) (ETSI EN 302 755 V1.2.1 (2010-10), § 9.1), where the band reuse is possible through transmission of different signals, on the same frequency, from multiple antennas. Thanks to the spatial diversity, every individual channel frequency response could be estimated, where “channel” is considered to be the propagation path between each transmitter and the receiver.</w:t>
      </w:r>
    </w:p>
    <w:p w:rsidR="000D2ABE" w:rsidRPr="00AB1C30" w:rsidRDefault="000D2ABE" w:rsidP="00536E0F">
      <w:pPr>
        <w:rPr>
          <w:rFonts w:eastAsia="SimSun"/>
          <w:lang w:val="en-GB"/>
        </w:rPr>
      </w:pPr>
      <w:r w:rsidRPr="00AB1C30">
        <w:rPr>
          <w:lang w:val="en-GB"/>
        </w:rPr>
        <w:t>At a specific receiving point, it is desirable to know the intensity of all the signals detected. For example, in Fig. 6, a geographic area covered by a group of DVB-T SFN transmitters is shown.</w:t>
      </w:r>
    </w:p>
    <w:p w:rsidR="000D2ABE" w:rsidRPr="00AB1C30" w:rsidRDefault="000D2ABE" w:rsidP="000D2ABE">
      <w:pPr>
        <w:pStyle w:val="FigureNo"/>
        <w:rPr>
          <w:lang w:val="en-GB"/>
        </w:rPr>
      </w:pPr>
      <w:r w:rsidRPr="00AB1C30">
        <w:rPr>
          <w:lang w:val="en-GB"/>
        </w:rPr>
        <w:lastRenderedPageBreak/>
        <w:t>Figure 6</w:t>
      </w:r>
    </w:p>
    <w:p w:rsidR="000D2ABE" w:rsidRDefault="000D2ABE" w:rsidP="000D2ABE">
      <w:pPr>
        <w:pStyle w:val="Figuretitle"/>
        <w:rPr>
          <w:lang w:val="en-GB" w:eastAsia="zh-CN"/>
        </w:rPr>
      </w:pPr>
      <w:r w:rsidRPr="00AB1C30">
        <w:rPr>
          <w:lang w:val="en-GB" w:eastAsia="zh-CN"/>
        </w:rPr>
        <w:t>Example of measurement in coverage area</w:t>
      </w:r>
    </w:p>
    <w:p w:rsidR="00B36601" w:rsidRPr="00B36601" w:rsidRDefault="00A800A7" w:rsidP="00B36601">
      <w:pPr>
        <w:pStyle w:val="Figure"/>
        <w:rPr>
          <w:rFonts w:eastAsia="SimSun"/>
          <w:lang w:val="en-GB" w:eastAsia="zh-CN"/>
        </w:rPr>
      </w:pPr>
      <w:r>
        <w:object w:dxaOrig="4500" w:dyaOrig="5739">
          <v:shape id="_x0000_i1058" type="#_x0000_t75" style="width:244.45pt;height:311.85pt" o:ole="">
            <v:imagedata r:id="rId24" o:title=""/>
          </v:shape>
          <o:OLEObject Type="Embed" ProgID="CorelDraw.Graphic.16" ShapeID="_x0000_i1058" DrawAspect="Content" ObjectID="_1479641063" r:id="rId25"/>
        </w:object>
      </w:r>
    </w:p>
    <w:p w:rsidR="000D2ABE" w:rsidRPr="00AB1C30" w:rsidRDefault="000D2ABE" w:rsidP="009275BD">
      <w:pPr>
        <w:rPr>
          <w:lang w:val="en-GB" w:eastAsia="it-IT"/>
        </w:rPr>
      </w:pPr>
      <w:r w:rsidRPr="00AB1C30">
        <w:rPr>
          <w:lang w:val="en-GB" w:eastAsia="it-IT"/>
        </w:rPr>
        <w:t>In the figure, the transmitters are called “Mottarone”, “Trivero”, “Eremo” and “Penice”. It would be useful to know the contribution of each transmitter at the receiving point.</w:t>
      </w:r>
    </w:p>
    <w:p w:rsidR="000D2ABE" w:rsidRPr="00AB1C30" w:rsidRDefault="000D2ABE" w:rsidP="000D2ABE">
      <w:pPr>
        <w:rPr>
          <w:lang w:val="en-GB" w:eastAsia="it-IT"/>
        </w:rPr>
      </w:pPr>
      <w:r w:rsidRPr="00AB1C30">
        <w:rPr>
          <w:lang w:val="en-GB" w:eastAsia="it-IT"/>
        </w:rPr>
        <w:t>The identification code adopted, the Cell ID, is transmitted in the S40-S47 symbols of the TPS carriers.</w:t>
      </w:r>
    </w:p>
    <w:p w:rsidR="000D2ABE" w:rsidRPr="00AB1C30" w:rsidRDefault="000D2ABE" w:rsidP="000D2ABE">
      <w:pPr>
        <w:rPr>
          <w:lang w:val="en-GB" w:eastAsia="it-IT"/>
        </w:rPr>
      </w:pPr>
      <w:r w:rsidRPr="00AB1C30">
        <w:rPr>
          <w:lang w:val="en-GB"/>
        </w:rPr>
        <w:t>The symbols S0-S39 are transmitted identically, bit by bit, from each transmitter of the SFN, so the received OFDM signal is perfectly coherent (without conflicts). Whereas, Cell ID symbols S40</w:t>
      </w:r>
      <w:r w:rsidRPr="00AB1C30">
        <w:rPr>
          <w:lang w:val="en-GB"/>
        </w:rPr>
        <w:noBreakHyphen/>
        <w:t>S47, carry different code identifiers; related to different transmitters, thus the received signal could contain collisions only on TPS carriers. The same situation occurs for the bits S48-S67, which contain the fields “reserved for future use” and “error protection”, due to the adopted differential encoding system.</w:t>
      </w:r>
    </w:p>
    <w:p w:rsidR="000D2ABE" w:rsidRPr="00AB1C30" w:rsidRDefault="000D2ABE" w:rsidP="000D2ABE">
      <w:pPr>
        <w:rPr>
          <w:lang w:val="en-GB" w:eastAsia="it-IT"/>
        </w:rPr>
      </w:pPr>
      <w:r w:rsidRPr="00AB1C30">
        <w:rPr>
          <w:lang w:val="en-GB" w:eastAsia="it-IT"/>
        </w:rPr>
        <w:t xml:space="preserve">However, as already mentioned, the OFDM signal </w:t>
      </w:r>
      <w:r w:rsidRPr="00AB1C30">
        <w:rPr>
          <w:b/>
          <w:lang w:val="en-GB" w:eastAsia="it-IT"/>
        </w:rPr>
        <w:t>is always perfectly coherent in cells that carry pilots and payload data</w:t>
      </w:r>
      <w:r w:rsidRPr="00AB1C30">
        <w:rPr>
          <w:lang w:val="en-GB" w:eastAsia="it-IT"/>
        </w:rPr>
        <w:t xml:space="preserve"> (video, audio, etc.), thus ensuring a perfect reception.</w:t>
      </w:r>
    </w:p>
    <w:p w:rsidR="000D2ABE" w:rsidRPr="00AB1C30" w:rsidRDefault="000D2ABE" w:rsidP="000D2ABE">
      <w:pPr>
        <w:rPr>
          <w:lang w:val="en-GB" w:eastAsia="it-IT"/>
        </w:rPr>
      </w:pPr>
      <w:r w:rsidRPr="00AB1C30">
        <w:rPr>
          <w:lang w:val="en-GB" w:eastAsia="it-IT"/>
        </w:rPr>
        <w:t xml:space="preserve">Let us consider a measurement receiver, placed at a specific receiving point, which receives the signals from transmitters in service area. Let </w:t>
      </w:r>
      <w:r w:rsidRPr="00AB1C30">
        <w:rPr>
          <w:i/>
          <w:iCs/>
          <w:lang w:val="en-GB" w:eastAsia="it-IT"/>
        </w:rPr>
        <w:t>x</w:t>
      </w:r>
      <w:r w:rsidRPr="00AB1C30">
        <w:rPr>
          <w:lang w:val="en-GB" w:eastAsia="it-IT"/>
        </w:rPr>
        <w:t>(</w:t>
      </w:r>
      <w:r w:rsidRPr="00AB1C30">
        <w:rPr>
          <w:i/>
          <w:iCs/>
          <w:lang w:val="en-GB" w:eastAsia="it-IT"/>
        </w:rPr>
        <w:t>t</w:t>
      </w:r>
      <w:r w:rsidRPr="00AB1C30">
        <w:rPr>
          <w:lang w:val="en-GB" w:eastAsia="it-IT"/>
        </w:rPr>
        <w:t xml:space="preserve">) and </w:t>
      </w:r>
      <w:r w:rsidRPr="00AB1C30">
        <w:rPr>
          <w:i/>
          <w:iCs/>
          <w:lang w:val="en-GB" w:eastAsia="it-IT"/>
        </w:rPr>
        <w:t>y</w:t>
      </w:r>
      <w:r w:rsidRPr="00AB1C30">
        <w:rPr>
          <w:lang w:val="en-GB" w:eastAsia="it-IT"/>
        </w:rPr>
        <w:t>(</w:t>
      </w:r>
      <w:r w:rsidRPr="00AB1C30">
        <w:rPr>
          <w:i/>
          <w:iCs/>
          <w:lang w:val="en-GB" w:eastAsia="it-IT"/>
        </w:rPr>
        <w:t>t</w:t>
      </w:r>
      <w:r w:rsidRPr="00AB1C30">
        <w:rPr>
          <w:lang w:val="en-GB" w:eastAsia="it-IT"/>
        </w:rPr>
        <w:t>) be, respectively, the signal transmitted by a generic transmitter and the signal received, represented in time domain. The </w:t>
      </w:r>
      <w:r w:rsidRPr="00AB1C30">
        <w:rPr>
          <w:i/>
          <w:iCs/>
          <w:lang w:val="en-GB" w:eastAsia="it-IT"/>
        </w:rPr>
        <w:t>x</w:t>
      </w:r>
      <w:r w:rsidRPr="00AB1C30">
        <w:rPr>
          <w:lang w:val="en-GB" w:eastAsia="it-IT"/>
        </w:rPr>
        <w:t>(</w:t>
      </w:r>
      <w:r w:rsidRPr="00AB1C30">
        <w:rPr>
          <w:i/>
          <w:iCs/>
          <w:lang w:val="en-GB" w:eastAsia="it-IT"/>
        </w:rPr>
        <w:t>t</w:t>
      </w:r>
      <w:r w:rsidRPr="00AB1C30">
        <w:rPr>
          <w:lang w:val="en-GB" w:eastAsia="it-IT"/>
        </w:rPr>
        <w:t xml:space="preserve">) and </w:t>
      </w:r>
      <w:r w:rsidRPr="00AB1C30">
        <w:rPr>
          <w:i/>
          <w:iCs/>
          <w:lang w:val="en-GB" w:eastAsia="it-IT"/>
        </w:rPr>
        <w:t>y</w:t>
      </w:r>
      <w:r w:rsidRPr="00AB1C30">
        <w:rPr>
          <w:lang w:val="en-GB" w:eastAsia="it-IT"/>
        </w:rPr>
        <w:t>(</w:t>
      </w:r>
      <w:r w:rsidRPr="00AB1C30">
        <w:rPr>
          <w:i/>
          <w:iCs/>
          <w:lang w:val="en-GB" w:eastAsia="it-IT"/>
        </w:rPr>
        <w:t>t</w:t>
      </w:r>
      <w:r w:rsidRPr="00AB1C30">
        <w:rPr>
          <w:lang w:val="en-GB" w:eastAsia="it-IT"/>
        </w:rPr>
        <w:t xml:space="preserve">) signals can be represented in the frequency domain, by applying the Fourier transform, respectively as </w:t>
      </w:r>
      <w:r w:rsidRPr="00AB1C30">
        <w:rPr>
          <w:i/>
          <w:iCs/>
          <w:lang w:val="en-GB" w:eastAsia="it-IT"/>
        </w:rPr>
        <w:t>X</w:t>
      </w:r>
      <w:r w:rsidRPr="00AB1C30">
        <w:rPr>
          <w:lang w:val="en-GB" w:eastAsia="it-IT"/>
        </w:rPr>
        <w:t xml:space="preserve">(ω) and </w:t>
      </w:r>
      <w:r w:rsidRPr="00AB1C30">
        <w:rPr>
          <w:i/>
          <w:iCs/>
          <w:lang w:val="en-GB" w:eastAsia="it-IT"/>
        </w:rPr>
        <w:t>Y</w:t>
      </w:r>
      <w:r w:rsidRPr="00AB1C30">
        <w:rPr>
          <w:lang w:val="en-GB" w:eastAsia="it-IT"/>
        </w:rPr>
        <w:t>(ω).</w:t>
      </w:r>
    </w:p>
    <w:p w:rsidR="000D2ABE" w:rsidRPr="00AB1C30" w:rsidRDefault="000D2ABE" w:rsidP="009275BD">
      <w:pPr>
        <w:rPr>
          <w:lang w:val="en-GB" w:eastAsia="it-IT"/>
        </w:rPr>
      </w:pPr>
      <w:r w:rsidRPr="00AB1C30">
        <w:rPr>
          <w:lang w:val="en-GB" w:eastAsia="it-IT"/>
        </w:rPr>
        <w:t xml:space="preserve">As the transmission channel, on which signals </w:t>
      </w:r>
      <w:r w:rsidRPr="00AB1C30">
        <w:rPr>
          <w:i/>
          <w:iCs/>
          <w:lang w:val="en-GB" w:eastAsia="it-IT"/>
        </w:rPr>
        <w:t>x</w:t>
      </w:r>
      <w:r w:rsidRPr="00AB1C30">
        <w:rPr>
          <w:lang w:val="en-GB" w:eastAsia="it-IT"/>
        </w:rPr>
        <w:t>(</w:t>
      </w:r>
      <w:r w:rsidRPr="00AB1C30">
        <w:rPr>
          <w:i/>
          <w:iCs/>
          <w:lang w:val="en-GB" w:eastAsia="it-IT"/>
        </w:rPr>
        <w:t>t</w:t>
      </w:r>
      <w:r w:rsidRPr="00AB1C30">
        <w:rPr>
          <w:lang w:val="en-GB" w:eastAsia="it-IT"/>
        </w:rPr>
        <w:t xml:space="preserve">) propagate from the generic transmitter to the receiver, is affected by multi-path propagation, it can be described by its CIR, </w:t>
      </w:r>
      <w:r w:rsidRPr="00AB1C30">
        <w:rPr>
          <w:i/>
          <w:iCs/>
          <w:lang w:val="en-GB" w:eastAsia="it-IT"/>
        </w:rPr>
        <w:t>h</w:t>
      </w:r>
      <w:r w:rsidRPr="00AB1C30">
        <w:rPr>
          <w:lang w:val="en-GB" w:eastAsia="it-IT"/>
        </w:rPr>
        <w:t>(</w:t>
      </w:r>
      <w:r w:rsidRPr="00AB1C30">
        <w:rPr>
          <w:i/>
          <w:iCs/>
          <w:lang w:val="en-GB" w:eastAsia="it-IT"/>
        </w:rPr>
        <w:t>t</w:t>
      </w:r>
      <w:r w:rsidRPr="00AB1C30">
        <w:rPr>
          <w:lang w:val="en-GB" w:eastAsia="it-IT"/>
        </w:rPr>
        <w:t xml:space="preserve">), or by the Fourier transform </w:t>
      </w:r>
      <w:r w:rsidRPr="00AB1C30">
        <w:rPr>
          <w:i/>
          <w:iCs/>
          <w:lang w:val="en-GB" w:eastAsia="it-IT"/>
        </w:rPr>
        <w:t>H</w:t>
      </w:r>
      <w:r w:rsidRPr="00AB1C30">
        <w:rPr>
          <w:lang w:val="en-GB" w:eastAsia="it-IT"/>
        </w:rPr>
        <w:t xml:space="preserve">(ω) of the latter, also known as </w:t>
      </w:r>
      <w:r w:rsidRPr="00AB1C30">
        <w:rPr>
          <w:iCs/>
          <w:lang w:val="en-GB" w:eastAsia="it-IT"/>
        </w:rPr>
        <w:t>channel frequency response</w:t>
      </w:r>
      <w:r w:rsidR="008E236A" w:rsidRPr="008E236A">
        <w:rPr>
          <w:iCs/>
          <w:lang w:val="en-US" w:eastAsia="it-IT"/>
        </w:rPr>
        <w:t xml:space="preserve"> (</w:t>
      </w:r>
      <w:r w:rsidRPr="00AB1C30">
        <w:rPr>
          <w:lang w:val="en-GB" w:eastAsia="it-IT"/>
        </w:rPr>
        <w:t>CFR</w:t>
      </w:r>
      <w:r w:rsidR="008E236A" w:rsidRPr="008E236A">
        <w:rPr>
          <w:lang w:val="en-US" w:eastAsia="it-IT"/>
        </w:rPr>
        <w:t>)</w:t>
      </w:r>
      <w:r w:rsidRPr="00AB1C30">
        <w:rPr>
          <w:lang w:val="en-GB" w:eastAsia="it-IT"/>
        </w:rPr>
        <w:t>.</w:t>
      </w:r>
    </w:p>
    <w:p w:rsidR="000D2ABE" w:rsidRPr="00AB1C30" w:rsidRDefault="000D2ABE" w:rsidP="000D2ABE">
      <w:pPr>
        <w:rPr>
          <w:lang w:val="en-GB" w:eastAsia="it-IT"/>
        </w:rPr>
      </w:pPr>
      <w:r w:rsidRPr="00AB1C30">
        <w:rPr>
          <w:lang w:val="en-GB" w:eastAsia="it-IT"/>
        </w:rPr>
        <w:t xml:space="preserve">This applies to each of the </w:t>
      </w:r>
      <w:r w:rsidRPr="00AB1C30">
        <w:rPr>
          <w:i/>
          <w:iCs/>
          <w:lang w:val="en-GB" w:eastAsia="it-IT"/>
        </w:rPr>
        <w:t>N</w:t>
      </w:r>
      <w:r w:rsidRPr="00AB1C30">
        <w:rPr>
          <w:lang w:val="en-GB" w:eastAsia="it-IT"/>
        </w:rPr>
        <w:t xml:space="preserve"> transmitters. In this way, it is possible to define </w:t>
      </w:r>
      <w:r w:rsidRPr="00AB1C30">
        <w:rPr>
          <w:i/>
          <w:iCs/>
          <w:lang w:val="en-GB" w:eastAsia="it-IT"/>
        </w:rPr>
        <w:t>N</w:t>
      </w:r>
      <w:r w:rsidRPr="00AB1C30">
        <w:rPr>
          <w:lang w:val="en-GB" w:eastAsia="it-IT"/>
        </w:rPr>
        <w:t xml:space="preserve"> different “transmission channels” between each transmitter and the receiver (</w:t>
      </w:r>
      <w:r w:rsidRPr="00AB1C30">
        <w:rPr>
          <w:i/>
          <w:iCs/>
          <w:lang w:val="en-GB" w:eastAsia="it-IT"/>
        </w:rPr>
        <w:t>H</w:t>
      </w:r>
      <w:r w:rsidRPr="00AB1C30">
        <w:rPr>
          <w:vertAlign w:val="subscript"/>
          <w:lang w:val="en-GB" w:eastAsia="it-IT"/>
        </w:rPr>
        <w:t>1</w:t>
      </w:r>
      <w:r w:rsidRPr="00AB1C30">
        <w:rPr>
          <w:lang w:val="en-GB" w:eastAsia="it-IT"/>
        </w:rPr>
        <w:t xml:space="preserve">(ω), </w:t>
      </w:r>
      <w:r w:rsidRPr="00AB1C30">
        <w:rPr>
          <w:i/>
          <w:iCs/>
          <w:lang w:val="en-GB" w:eastAsia="it-IT"/>
        </w:rPr>
        <w:t>H</w:t>
      </w:r>
      <w:r w:rsidRPr="00AB1C30">
        <w:rPr>
          <w:vertAlign w:val="subscript"/>
          <w:lang w:val="en-GB" w:eastAsia="it-IT"/>
        </w:rPr>
        <w:t>2</w:t>
      </w:r>
      <w:r w:rsidRPr="00AB1C30">
        <w:rPr>
          <w:lang w:val="en-GB" w:eastAsia="it-IT"/>
        </w:rPr>
        <w:t xml:space="preserve">(ω), ... </w:t>
      </w:r>
      <w:r w:rsidRPr="00AB1C30">
        <w:rPr>
          <w:i/>
          <w:iCs/>
          <w:lang w:val="en-GB" w:eastAsia="it-IT"/>
        </w:rPr>
        <w:t>H</w:t>
      </w:r>
      <w:r w:rsidRPr="00AB1C30">
        <w:rPr>
          <w:i/>
          <w:iCs/>
          <w:vertAlign w:val="subscript"/>
          <w:lang w:val="en-GB" w:eastAsia="it-IT"/>
        </w:rPr>
        <w:t>n</w:t>
      </w:r>
      <w:r w:rsidRPr="00AB1C30">
        <w:rPr>
          <w:lang w:val="en-GB" w:eastAsia="it-IT"/>
        </w:rPr>
        <w:t>(ω)), each one affected by its own parameters due to the individual, peculiar multi-path propagation.</w:t>
      </w:r>
    </w:p>
    <w:p w:rsidR="000D2ABE" w:rsidRPr="00AB1C30" w:rsidRDefault="000D2ABE" w:rsidP="000D2ABE">
      <w:pPr>
        <w:rPr>
          <w:lang w:val="en-GB" w:eastAsia="it-IT"/>
        </w:rPr>
      </w:pPr>
      <w:r w:rsidRPr="00AB1C30">
        <w:rPr>
          <w:lang w:val="en-GB" w:eastAsia="it-IT"/>
        </w:rPr>
        <w:lastRenderedPageBreak/>
        <w:t xml:space="preserve">Each “transmission channel” will have a different delay, phase shift and attenuation. In general, the transmission path has the relationship: </w:t>
      </w:r>
    </w:p>
    <w:p w:rsidR="000D2ABE" w:rsidRPr="00AB1C30" w:rsidRDefault="009275BD" w:rsidP="00892CAC">
      <w:pPr>
        <w:pStyle w:val="Equation"/>
        <w:rPr>
          <w:lang w:val="en-GB" w:eastAsia="it-IT"/>
        </w:rPr>
      </w:pPr>
      <w:r w:rsidRPr="00AB1C30">
        <w:rPr>
          <w:lang w:val="en-GB" w:eastAsia="it-IT"/>
        </w:rPr>
        <w:tab/>
      </w:r>
      <w:r w:rsidRPr="00AB1C30">
        <w:rPr>
          <w:lang w:val="en-GB" w:eastAsia="it-IT"/>
        </w:rPr>
        <w:tab/>
      </w:r>
      <m:oMath>
        <m:sSub>
          <m:sSubPr>
            <m:ctrlPr>
              <w:rPr>
                <w:rFonts w:ascii="Cambria Math" w:hAnsi="Cambria Math"/>
                <w:i/>
                <w:lang w:val="en-GB" w:eastAsia="it-IT"/>
              </w:rPr>
            </m:ctrlPr>
          </m:sSubPr>
          <m:e>
            <m:r>
              <w:rPr>
                <w:rFonts w:ascii="Cambria Math" w:hAnsi="Cambria Math"/>
                <w:lang w:val="en-GB" w:eastAsia="it-IT"/>
              </w:rPr>
              <m:t>Y</m:t>
            </m:r>
          </m:e>
          <m:sub>
            <m: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ω</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ω</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i</m:t>
            </m:r>
          </m:sub>
        </m:sSub>
        <m:r>
          <w:rPr>
            <w:rFonts w:ascii="Cambria Math" w:hAnsi="Cambria Math"/>
            <w:lang w:val="en-GB" w:eastAsia="it-IT"/>
          </w:rPr>
          <m:t>(</m:t>
        </m:r>
        <m:r>
          <m:rPr>
            <m:sty m:val="p"/>
          </m:rPr>
          <w:rPr>
            <w:rFonts w:ascii="Cambria Math" w:hAnsi="Cambria Math"/>
            <w:lang w:val="en-GB" w:eastAsia="it-IT"/>
          </w:rPr>
          <m:t>ω)</m:t>
        </m:r>
      </m:oMath>
    </w:p>
    <w:p w:rsidR="000D2ABE" w:rsidRPr="00AB1C30" w:rsidRDefault="000D2ABE" w:rsidP="000D2ABE">
      <w:pPr>
        <w:rPr>
          <w:lang w:val="en-GB" w:eastAsia="it-IT"/>
        </w:rPr>
      </w:pPr>
      <w:r w:rsidRPr="00AB1C30">
        <w:rPr>
          <w:lang w:val="en-GB" w:eastAsia="it-IT"/>
        </w:rPr>
        <w:t xml:space="preserve">where variables </w:t>
      </w:r>
      <w:r w:rsidRPr="00AB1C30">
        <w:rPr>
          <w:i/>
          <w:iCs/>
          <w:lang w:val="en-GB" w:eastAsia="it-IT"/>
        </w:rPr>
        <w:t>X</w:t>
      </w:r>
      <w:r w:rsidRPr="00AB1C30">
        <w:rPr>
          <w:i/>
          <w:iCs/>
          <w:vertAlign w:val="subscript"/>
          <w:lang w:val="en-GB" w:eastAsia="it-IT"/>
        </w:rPr>
        <w:t>i</w:t>
      </w:r>
      <w:r w:rsidRPr="00AB1C30">
        <w:rPr>
          <w:lang w:val="en-GB" w:eastAsia="it-IT"/>
        </w:rPr>
        <w:t xml:space="preserve">, </w:t>
      </w:r>
      <w:r w:rsidRPr="00AB1C30">
        <w:rPr>
          <w:i/>
          <w:iCs/>
          <w:lang w:val="en-GB" w:eastAsia="it-IT"/>
        </w:rPr>
        <w:t>Y</w:t>
      </w:r>
      <w:r w:rsidRPr="00AB1C30">
        <w:rPr>
          <w:i/>
          <w:iCs/>
          <w:vertAlign w:val="subscript"/>
          <w:lang w:val="en-GB" w:eastAsia="it-IT"/>
        </w:rPr>
        <w:t>i</w:t>
      </w:r>
      <w:r w:rsidRPr="00AB1C30">
        <w:rPr>
          <w:lang w:val="en-GB" w:eastAsia="it-IT"/>
        </w:rPr>
        <w:t xml:space="preserve"> and </w:t>
      </w:r>
      <w:r w:rsidRPr="00AB1C30">
        <w:rPr>
          <w:i/>
          <w:iCs/>
          <w:lang w:val="en-GB" w:eastAsia="it-IT"/>
        </w:rPr>
        <w:t>H</w:t>
      </w:r>
      <w:r w:rsidRPr="00AB1C30">
        <w:rPr>
          <w:i/>
          <w:iCs/>
          <w:vertAlign w:val="subscript"/>
          <w:lang w:val="en-GB" w:eastAsia="it-IT"/>
        </w:rPr>
        <w:t>i</w:t>
      </w:r>
      <w:r w:rsidRPr="00AB1C30">
        <w:rPr>
          <w:lang w:val="en-GB" w:eastAsia="it-IT"/>
        </w:rPr>
        <w:t xml:space="preserve"> are complex quantities, and the operator “∙” is the complex product.</w:t>
      </w:r>
    </w:p>
    <w:p w:rsidR="000D2ABE" w:rsidRPr="00AB1C30" w:rsidRDefault="000D2ABE" w:rsidP="000D2ABE">
      <w:pPr>
        <w:rPr>
          <w:lang w:val="en-GB" w:eastAsia="it-IT"/>
        </w:rPr>
      </w:pPr>
      <w:r w:rsidRPr="00AB1C30">
        <w:rPr>
          <w:lang w:val="en-GB" w:eastAsia="it-IT"/>
        </w:rPr>
        <w:t xml:space="preserve">Furthermore, since in the OFDM </w:t>
      </w:r>
      <w:r w:rsidRPr="00AB1C30">
        <w:rPr>
          <w:iCs/>
          <w:lang w:val="en-GB" w:eastAsia="it-IT"/>
        </w:rPr>
        <w:t>modulation sampled data processing</w:t>
      </w:r>
      <w:r w:rsidRPr="00AB1C30">
        <w:rPr>
          <w:lang w:val="en-GB" w:eastAsia="it-IT"/>
        </w:rPr>
        <w:t xml:space="preserve"> is used, with a fast Fourier transform (FFT) in the demodulator, and its inverse (IFFT) in the modulator, the above mentioned variables are expressed using </w:t>
      </w:r>
      <w:r w:rsidRPr="00AB1C30">
        <w:rPr>
          <w:bCs/>
          <w:i/>
          <w:iCs/>
          <w:lang w:val="en-GB" w:eastAsia="it-IT"/>
        </w:rPr>
        <w:t>n</w:t>
      </w:r>
      <w:r w:rsidRPr="00AB1C30">
        <w:rPr>
          <w:lang w:val="en-GB" w:eastAsia="it-IT"/>
        </w:rPr>
        <w:t xml:space="preserve"> index for the symbol position within the frame, and </w:t>
      </w:r>
      <w:r w:rsidRPr="00AB1C30">
        <w:rPr>
          <w:bCs/>
          <w:i/>
          <w:iCs/>
          <w:lang w:val="en-GB" w:eastAsia="it-IT"/>
        </w:rPr>
        <w:t>k</w:t>
      </w:r>
      <w:r w:rsidRPr="00AB1C30">
        <w:rPr>
          <w:lang w:val="en-GB" w:eastAsia="it-IT"/>
        </w:rPr>
        <w:t xml:space="preserve"> index for the frequency position.</w:t>
      </w:r>
    </w:p>
    <w:p w:rsidR="000D2ABE" w:rsidRPr="00AB1C30" w:rsidRDefault="000D2ABE" w:rsidP="000D2ABE">
      <w:pPr>
        <w:rPr>
          <w:lang w:val="en-GB" w:eastAsia="it-IT"/>
        </w:rPr>
      </w:pPr>
      <w:r w:rsidRPr="00AB1C30">
        <w:rPr>
          <w:lang w:val="en-GB" w:eastAsia="it-IT"/>
        </w:rPr>
        <w:t>Thus, for an OFDM signal, the previous formula can be rewritten as:</w:t>
      </w:r>
    </w:p>
    <w:p w:rsidR="00892CAC" w:rsidRPr="00AB1C30" w:rsidRDefault="00892CAC" w:rsidP="00892CAC">
      <w:pPr>
        <w:pStyle w:val="Equation"/>
        <w:rPr>
          <w:lang w:val="en-GB" w:eastAsia="it-IT"/>
        </w:rPr>
      </w:pPr>
      <w:r w:rsidRPr="00AB1C30">
        <w:rPr>
          <w:lang w:val="en-GB" w:eastAsia="it-IT"/>
        </w:rPr>
        <w:tab/>
      </w:r>
      <w:r w:rsidRPr="00AB1C30">
        <w:rPr>
          <w:lang w:val="en-GB" w:eastAsia="it-IT"/>
        </w:rPr>
        <w:tab/>
      </w:r>
      <m:oMath>
        <m:sSub>
          <m:sSubPr>
            <m:ctrlPr>
              <w:rPr>
                <w:rFonts w:ascii="Cambria Math" w:hAnsi="Cambria Math"/>
                <w:i/>
                <w:lang w:val="en-GB" w:eastAsia="it-IT"/>
              </w:rPr>
            </m:ctrlPr>
          </m:sSubPr>
          <m:e>
            <m:r>
              <w:rPr>
                <w:rFonts w:ascii="Cambria Math" w:hAnsi="Cambria Math"/>
                <w:lang w:val="en-GB" w:eastAsia="it-IT"/>
              </w:rPr>
              <m:t>Y</m:t>
            </m:r>
          </m:e>
          <m:sub>
            <m:r>
              <w:rPr>
                <w:rFonts w:ascii="Cambria Math" w:hAnsi="Cambria Math"/>
                <w:lang w:val="en-GB" w:eastAsia="it-IT"/>
              </w:rPr>
              <m:t>i</m:t>
            </m:r>
          </m:sub>
        </m:sSub>
        <m:d>
          <m:dPr>
            <m:ctrlPr>
              <w:rPr>
                <w:rFonts w:ascii="Cambria Math" w:hAnsi="Cambria Math"/>
                <w:i/>
                <w:lang w:val="en-GB" w:eastAsia="it-IT"/>
              </w:rPr>
            </m:ctrlPr>
          </m:dPr>
          <m:e>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i</m:t>
            </m:r>
          </m:sub>
        </m:sSub>
        <m:d>
          <m:dPr>
            <m:ctrlPr>
              <w:rPr>
                <w:rFonts w:ascii="Cambria Math" w:hAnsi="Cambria Math"/>
                <w:i/>
                <w:lang w:val="en-GB" w:eastAsia="it-IT"/>
              </w:rPr>
            </m:ctrlPr>
          </m:dPr>
          <m:e>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i</m:t>
            </m:r>
          </m:sub>
        </m:sSub>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r>
          <m:rPr>
            <m:sty m:val="p"/>
          </m:rPr>
          <w:rPr>
            <w:rFonts w:ascii="Cambria Math" w:hAnsi="Cambria Math"/>
            <w:lang w:val="en-GB" w:eastAsia="it-IT"/>
          </w:rPr>
          <m:t>)</m:t>
        </m:r>
      </m:oMath>
    </w:p>
    <w:p w:rsidR="000D2ABE" w:rsidRPr="00AB1C30" w:rsidRDefault="000D2ABE" w:rsidP="000D2ABE">
      <w:pPr>
        <w:rPr>
          <w:lang w:val="en-GB" w:eastAsia="it-IT"/>
        </w:rPr>
      </w:pPr>
      <w:r w:rsidRPr="00AB1C30">
        <w:rPr>
          <w:lang w:val="en-GB" w:eastAsia="it-IT"/>
        </w:rPr>
        <w:t xml:space="preserve">Moreover, due to the superposition effects, the total received signal </w:t>
      </w:r>
      <w:r w:rsidRPr="00AB1C30">
        <w:rPr>
          <w:i/>
          <w:iCs/>
          <w:lang w:val="en-GB" w:eastAsia="it-IT"/>
        </w:rPr>
        <w:t>Y</w:t>
      </w:r>
      <w:r w:rsidRPr="00AB1C30">
        <w:rPr>
          <w:lang w:val="en-GB" w:eastAsia="it-IT"/>
        </w:rPr>
        <w:t>(</w:t>
      </w:r>
      <w:r w:rsidRPr="00AB1C30">
        <w:rPr>
          <w:i/>
          <w:iCs/>
          <w:lang w:val="en-GB" w:eastAsia="it-IT"/>
        </w:rPr>
        <w:t>n</w:t>
      </w:r>
      <w:r w:rsidRPr="00AB1C30">
        <w:rPr>
          <w:lang w:val="en-GB" w:eastAsia="it-IT"/>
        </w:rPr>
        <w:t xml:space="preserve">, </w:t>
      </w:r>
      <w:r w:rsidRPr="00AB1C30">
        <w:rPr>
          <w:i/>
          <w:iCs/>
          <w:lang w:val="en-GB" w:eastAsia="it-IT"/>
        </w:rPr>
        <w:t>k</w:t>
      </w:r>
      <w:r w:rsidRPr="00AB1C30">
        <w:rPr>
          <w:lang w:val="en-GB" w:eastAsia="it-IT"/>
        </w:rPr>
        <w:t xml:space="preserve">) is the sum of all </w:t>
      </w:r>
      <w:r w:rsidRPr="00AB1C30">
        <w:rPr>
          <w:i/>
          <w:iCs/>
          <w:lang w:val="en-GB" w:eastAsia="it-IT"/>
        </w:rPr>
        <w:t>N</w:t>
      </w:r>
      <w:r w:rsidR="00BB4DF0" w:rsidRPr="00BB4DF0">
        <w:rPr>
          <w:lang w:val="en-US" w:eastAsia="it-IT"/>
        </w:rPr>
        <w:t xml:space="preserve"> </w:t>
      </w:r>
      <w:r w:rsidRPr="00AB1C30">
        <w:rPr>
          <w:lang w:val="en-GB" w:eastAsia="it-IT"/>
        </w:rPr>
        <w:t xml:space="preserve">partial signals </w:t>
      </w:r>
      <w:r w:rsidRPr="00AB1C30">
        <w:rPr>
          <w:i/>
          <w:iCs/>
          <w:lang w:val="en-GB" w:eastAsia="it-IT"/>
        </w:rPr>
        <w:t>Y</w:t>
      </w:r>
      <w:r w:rsidRPr="00AB1C30">
        <w:rPr>
          <w:i/>
          <w:iCs/>
          <w:vertAlign w:val="subscript"/>
          <w:lang w:val="en-GB" w:eastAsia="it-IT"/>
        </w:rPr>
        <w:t>i</w:t>
      </w:r>
      <w:r w:rsidRPr="00AB1C30">
        <w:rPr>
          <w:lang w:val="en-GB" w:eastAsia="it-IT"/>
        </w:rPr>
        <w:t>(</w:t>
      </w:r>
      <w:r w:rsidRPr="00AB1C30">
        <w:rPr>
          <w:i/>
          <w:iCs/>
          <w:lang w:val="en-GB" w:eastAsia="it-IT"/>
        </w:rPr>
        <w:t>n</w:t>
      </w:r>
      <w:r w:rsidRPr="00AB1C30">
        <w:rPr>
          <w:lang w:val="en-GB" w:eastAsia="it-IT"/>
        </w:rPr>
        <w:t xml:space="preserve">, </w:t>
      </w:r>
      <w:r w:rsidRPr="00AB1C30">
        <w:rPr>
          <w:i/>
          <w:iCs/>
          <w:lang w:val="en-GB" w:eastAsia="it-IT"/>
        </w:rPr>
        <w:t>k</w:t>
      </w:r>
      <w:r w:rsidRPr="00AB1C30">
        <w:rPr>
          <w:lang w:val="en-GB" w:eastAsia="it-IT"/>
        </w:rPr>
        <w:t xml:space="preserve">), with </w:t>
      </w:r>
      <w:r w:rsidRPr="00AB1C30">
        <w:rPr>
          <w:i/>
          <w:iCs/>
          <w:lang w:val="en-GB" w:eastAsia="it-IT"/>
        </w:rPr>
        <w:t>i</w:t>
      </w:r>
      <w:r w:rsidR="00892CAC" w:rsidRPr="00AB1C30">
        <w:rPr>
          <w:i/>
          <w:iCs/>
          <w:lang w:val="en-GB" w:eastAsia="it-IT"/>
        </w:rPr>
        <w:t xml:space="preserve"> </w:t>
      </w:r>
      <w:r w:rsidRPr="00AB1C30">
        <w:rPr>
          <w:lang w:val="en-GB" w:eastAsia="it-IT"/>
        </w:rPr>
        <w:t>=</w:t>
      </w:r>
      <w:r w:rsidR="00892CAC" w:rsidRPr="00AB1C30">
        <w:rPr>
          <w:lang w:val="en-GB" w:eastAsia="it-IT"/>
        </w:rPr>
        <w:t xml:space="preserve"> </w:t>
      </w:r>
      <w:r w:rsidRPr="00AB1C30">
        <w:rPr>
          <w:lang w:val="en-GB" w:eastAsia="it-IT"/>
        </w:rPr>
        <w:t xml:space="preserve">1, ... </w:t>
      </w:r>
      <w:r w:rsidRPr="00AB1C30">
        <w:rPr>
          <w:i/>
          <w:iCs/>
          <w:lang w:val="en-GB" w:eastAsia="it-IT"/>
        </w:rPr>
        <w:t>N</w:t>
      </w:r>
      <w:r w:rsidRPr="00AB1C30">
        <w:rPr>
          <w:lang w:val="en-GB" w:eastAsia="it-IT"/>
        </w:rPr>
        <w:t>.</w:t>
      </w:r>
    </w:p>
    <w:p w:rsidR="000D2ABE" w:rsidRPr="00AB1C30" w:rsidRDefault="000D2ABE" w:rsidP="000D2ABE">
      <w:pPr>
        <w:rPr>
          <w:lang w:val="en-GB"/>
        </w:rPr>
      </w:pPr>
      <w:r w:rsidRPr="00AB1C30">
        <w:rPr>
          <w:lang w:val="en-GB" w:eastAsia="it-IT"/>
        </w:rPr>
        <w:t xml:space="preserve">Due to the superposition of all the signals relating to the </w:t>
      </w:r>
      <w:r w:rsidRPr="00AB1C30">
        <w:rPr>
          <w:i/>
          <w:iCs/>
          <w:lang w:val="en-GB" w:eastAsia="it-IT"/>
        </w:rPr>
        <w:t>N</w:t>
      </w:r>
      <w:r w:rsidRPr="00AB1C30">
        <w:rPr>
          <w:lang w:val="en-GB" w:eastAsia="it-IT"/>
        </w:rPr>
        <w:t xml:space="preserve"> transmitters of the SFN, which cover the reception area, the “Total” signals </w:t>
      </w:r>
      <w:r w:rsidRPr="00AB1C30">
        <w:rPr>
          <w:i/>
          <w:iCs/>
          <w:lang w:val="en-GB" w:eastAsia="it-IT"/>
        </w:rPr>
        <w:t>Y</w:t>
      </w:r>
      <w:r w:rsidRPr="00AB1C30">
        <w:rPr>
          <w:lang w:val="en-GB" w:eastAsia="it-IT"/>
        </w:rPr>
        <w:t xml:space="preserve">(40, </w:t>
      </w:r>
      <w:r w:rsidRPr="00AB1C30">
        <w:rPr>
          <w:i/>
          <w:iCs/>
          <w:lang w:val="en-GB" w:eastAsia="it-IT"/>
        </w:rPr>
        <w:t>k</w:t>
      </w:r>
      <w:r w:rsidRPr="00AB1C30">
        <w:rPr>
          <w:lang w:val="en-GB" w:eastAsia="it-IT"/>
        </w:rPr>
        <w:t xml:space="preserve">)... </w:t>
      </w:r>
      <w:r w:rsidRPr="00AB1C30">
        <w:rPr>
          <w:i/>
          <w:iCs/>
          <w:lang w:val="en-GB" w:eastAsia="it-IT"/>
        </w:rPr>
        <w:t>Y</w:t>
      </w:r>
      <w:r w:rsidRPr="00AB1C30">
        <w:rPr>
          <w:lang w:val="en-GB" w:eastAsia="it-IT"/>
        </w:rPr>
        <w:t xml:space="preserve">(47, </w:t>
      </w:r>
      <w:r w:rsidRPr="00AB1C30">
        <w:rPr>
          <w:i/>
          <w:iCs/>
          <w:lang w:val="en-GB" w:eastAsia="it-IT"/>
        </w:rPr>
        <w:t>k</w:t>
      </w:r>
      <w:r w:rsidRPr="00AB1C30">
        <w:rPr>
          <w:lang w:val="en-GB" w:eastAsia="it-IT"/>
        </w:rPr>
        <w:t xml:space="preserve">), are the summation of signal received on the TPS cells with </w:t>
      </w:r>
      <w:r w:rsidRPr="00AB1C30">
        <w:rPr>
          <w:bCs/>
          <w:i/>
          <w:iCs/>
          <w:lang w:val="en-GB" w:eastAsia="it-IT"/>
        </w:rPr>
        <w:t>k</w:t>
      </w:r>
      <w:r w:rsidRPr="00AB1C30">
        <w:rPr>
          <w:bCs/>
          <w:lang w:val="en-GB" w:eastAsia="it-IT"/>
        </w:rPr>
        <w:t xml:space="preserve"> </w:t>
      </w:r>
      <w:r w:rsidRPr="00AB1C30">
        <w:rPr>
          <w:lang w:val="en-GB" w:eastAsia="it-IT"/>
        </w:rPr>
        <w:t>index during the symbols S40-S47.</w:t>
      </w:r>
    </w:p>
    <w:p w:rsidR="000D2ABE" w:rsidRPr="00AB1C30" w:rsidRDefault="000D2ABE" w:rsidP="000D2ABE">
      <w:pPr>
        <w:rPr>
          <w:lang w:val="en-GB" w:eastAsia="it-IT"/>
        </w:rPr>
      </w:pPr>
      <w:r w:rsidRPr="00AB1C30">
        <w:rPr>
          <w:lang w:val="en-GB" w:eastAsia="it-IT"/>
        </w:rPr>
        <w:t>The signal coming from each transmitter is multiplied by its channel frequency response. In mathematical terms, therefore, we have:</w:t>
      </w:r>
    </w:p>
    <w:p w:rsidR="00196FD1" w:rsidRPr="00AB1C30" w:rsidRDefault="00196FD1" w:rsidP="00E11036">
      <w:pPr>
        <w:pStyle w:val="Equation"/>
        <w:jc w:val="left"/>
        <w:rPr>
          <w:lang w:val="en-GB" w:eastAsia="it-IT"/>
        </w:rPr>
      </w:pPr>
      <w:r w:rsidRPr="00AB1C30">
        <w:rPr>
          <w:lang w:val="en-GB" w:eastAsia="it-IT"/>
        </w:rPr>
        <w:tab/>
      </w:r>
      <w:r w:rsidRPr="00AB1C30">
        <w:rPr>
          <w:lang w:val="en-GB" w:eastAsia="it-IT"/>
        </w:rPr>
        <w:tab/>
      </w:r>
      <m:oMath>
        <m:d>
          <m:dPr>
            <m:begChr m:val="{"/>
            <m:endChr m:val=""/>
            <m:ctrlPr>
              <w:rPr>
                <w:rFonts w:ascii="Cambria Math" w:hAnsi="Cambria Math"/>
                <w:i/>
                <w:lang w:val="en-GB" w:eastAsia="it-IT"/>
              </w:rPr>
            </m:ctrlPr>
          </m:dPr>
          <m:e>
            <m:m>
              <m:mPr>
                <m:mcs>
                  <m:mc>
                    <m:mcPr>
                      <m:count m:val="1"/>
                      <m:mcJc m:val="center"/>
                    </m:mcPr>
                  </m:mc>
                </m:mcs>
                <m:ctrlPr>
                  <w:rPr>
                    <w:rFonts w:ascii="Cambria Math" w:hAnsi="Cambria Math"/>
                    <w:i/>
                    <w:lang w:val="en-GB" w:eastAsia="it-IT"/>
                  </w:rPr>
                </m:ctrlPr>
              </m:mP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40,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(40,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(40,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(40,k)</m:t>
                  </m:r>
                </m:e>
              </m:m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41,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(41,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(41,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(41,k)</m:t>
                  </m:r>
                </m:e>
              </m:mr>
              <m:mr>
                <m:e>
                  <m:m>
                    <m:mPr>
                      <m:mcs>
                        <m:mc>
                          <m:mcPr>
                            <m:count m:val="1"/>
                            <m:mcJc m:val="center"/>
                          </m:mcPr>
                        </m:mc>
                      </m:mcs>
                      <m:ctrlPr>
                        <w:rPr>
                          <w:rFonts w:ascii="Cambria Math" w:hAnsi="Cambria Math"/>
                          <w:i/>
                          <w:lang w:val="en-GB" w:eastAsia="it-IT"/>
                        </w:rPr>
                      </m:ctrlPr>
                    </m:mPr>
                    <m:mr>
                      <m:e>
                        <m:r>
                          <w:rPr>
                            <w:rFonts w:ascii="Cambria Math" w:hAnsi="Cambria Math"/>
                            <w:lang w:val="en-GB" w:eastAsia="it-IT"/>
                          </w:rPr>
                          <m:t xml:space="preserve">…                                                                                                                                                            </m:t>
                        </m:r>
                      </m:e>
                    </m:m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47,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(47,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(47,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(47,k)</m:t>
                        </m:r>
                      </m:e>
                    </m:mr>
                  </m:m>
                </m:e>
              </m:mr>
            </m:m>
          </m:e>
        </m:d>
      </m:oMath>
    </w:p>
    <w:p w:rsidR="000D2ABE" w:rsidRPr="00AB1C30" w:rsidRDefault="000D2ABE" w:rsidP="00393E7D">
      <w:pPr>
        <w:rPr>
          <w:lang w:val="en-GB" w:eastAsia="it-IT"/>
        </w:rPr>
      </w:pPr>
      <w:r w:rsidRPr="00AB1C30">
        <w:rPr>
          <w:lang w:val="en-GB" w:eastAsia="it-IT"/>
        </w:rPr>
        <w:t xml:space="preserve">For each </w:t>
      </w:r>
      <w:r w:rsidRPr="00AB1C30">
        <w:rPr>
          <w:bCs/>
          <w:i/>
          <w:iCs/>
          <w:lang w:val="en-GB" w:eastAsia="it-IT"/>
        </w:rPr>
        <w:t>k</w:t>
      </w:r>
      <w:r w:rsidRPr="00AB1C30">
        <w:rPr>
          <w:b/>
          <w:lang w:val="en-GB" w:eastAsia="it-IT"/>
        </w:rPr>
        <w:t xml:space="preserve"> </w:t>
      </w:r>
      <w:r w:rsidRPr="00AB1C30">
        <w:rPr>
          <w:lang w:val="en-GB" w:eastAsia="it-IT"/>
        </w:rPr>
        <w:t>value, the above equations define a linear system:</w:t>
      </w:r>
    </w:p>
    <w:p w:rsidR="00393E7D" w:rsidRPr="00AB1C30" w:rsidRDefault="00393E7D" w:rsidP="00393E7D">
      <w:pPr>
        <w:pStyle w:val="Equation"/>
        <w:rPr>
          <w:lang w:val="en-GB" w:eastAsia="it-IT"/>
        </w:rPr>
      </w:pPr>
      <w:r w:rsidRPr="00AB1C30">
        <w:rPr>
          <w:lang w:val="en-GB" w:eastAsia="it-IT"/>
        </w:rPr>
        <w:tab/>
      </w:r>
      <w:r w:rsidRPr="00AB1C30">
        <w:rPr>
          <w:lang w:val="en-GB" w:eastAsia="it-IT"/>
        </w:rPr>
        <w:tab/>
      </w:r>
      <m:oMath>
        <m:bar>
          <m:barPr>
            <m:ctrlPr>
              <w:rPr>
                <w:rFonts w:ascii="Cambria Math" w:hAnsi="Cambria Math"/>
                <w:i/>
                <w:lang w:val="en-GB" w:eastAsia="it-IT"/>
              </w:rPr>
            </m:ctrlPr>
          </m:barPr>
          <m:e>
            <m:r>
              <w:rPr>
                <w:rFonts w:ascii="Cambria Math" w:hAnsi="Cambria Math"/>
                <w:lang w:val="en-GB" w:eastAsia="it-IT"/>
              </w:rPr>
              <m:t>Y</m:t>
            </m:r>
          </m:e>
        </m:bar>
        <m:r>
          <w:rPr>
            <w:rFonts w:ascii="Cambria Math" w:hAnsi="Cambria Math"/>
            <w:lang w:val="en-GB" w:eastAsia="it-IT"/>
          </w:rPr>
          <m:t>=</m:t>
        </m:r>
        <m:bar>
          <m:barPr>
            <m:ctrlPr>
              <w:rPr>
                <w:rFonts w:ascii="Cambria Math" w:hAnsi="Cambria Math"/>
                <w:i/>
                <w:lang w:val="en-GB" w:eastAsia="it-IT"/>
              </w:rPr>
            </m:ctrlPr>
          </m:barPr>
          <m:e>
            <m:r>
              <w:rPr>
                <w:rFonts w:ascii="Cambria Math" w:hAnsi="Cambria Math"/>
                <w:lang w:val="en-GB" w:eastAsia="it-IT"/>
              </w:rPr>
              <m:t>X</m:t>
            </m:r>
          </m:e>
        </m:bar>
        <m:r>
          <w:rPr>
            <w:rFonts w:ascii="Cambria Math" w:hAnsi="Cambria Math"/>
            <w:lang w:val="en-GB" w:eastAsia="it-IT"/>
          </w:rPr>
          <m:t>∙</m:t>
        </m:r>
        <m:bar>
          <m:barPr>
            <m:ctrlPr>
              <w:rPr>
                <w:rFonts w:ascii="Cambria Math" w:hAnsi="Cambria Math"/>
                <w:i/>
                <w:lang w:val="en-GB" w:eastAsia="it-IT"/>
              </w:rPr>
            </m:ctrlPr>
          </m:barPr>
          <m:e>
            <m:r>
              <w:rPr>
                <w:rFonts w:ascii="Cambria Math" w:hAnsi="Cambria Math"/>
                <w:lang w:val="en-GB" w:eastAsia="it-IT"/>
              </w:rPr>
              <m:t>H</m:t>
            </m:r>
          </m:e>
        </m:bar>
      </m:oMath>
    </w:p>
    <w:p w:rsidR="000D2ABE" w:rsidRPr="00AB1C30" w:rsidRDefault="000D2ABE" w:rsidP="00393E7D">
      <w:pPr>
        <w:rPr>
          <w:lang w:val="en-GB" w:eastAsia="ar-SA"/>
        </w:rPr>
      </w:pPr>
      <w:r w:rsidRPr="00AB1C30">
        <w:rPr>
          <w:lang w:val="en-GB" w:eastAsia="ar-SA"/>
        </w:rPr>
        <w:t>where:</w:t>
      </w:r>
    </w:p>
    <w:p w:rsidR="000D2ABE" w:rsidRPr="00AB1C30" w:rsidRDefault="00393E7D" w:rsidP="00393E7D">
      <w:pPr>
        <w:pStyle w:val="Equationlegend"/>
        <w:rPr>
          <w:lang w:val="en-GB"/>
        </w:rPr>
      </w:pPr>
      <w:r w:rsidRPr="00AB1C30">
        <w:rPr>
          <w:lang w:val="en-GB" w:eastAsia="it-IT"/>
        </w:rPr>
        <w:tab/>
      </w:r>
      <w:r w:rsidRPr="00AB1C30">
        <w:rPr>
          <w:i/>
          <w:iCs/>
          <w:lang w:val="en-GB" w:eastAsia="it-IT"/>
        </w:rPr>
        <w:t>Y</w:t>
      </w:r>
      <w:r w:rsidRPr="00AB1C30">
        <w:rPr>
          <w:lang w:val="en-GB" w:eastAsia="it-IT"/>
        </w:rPr>
        <w:t>:</w:t>
      </w:r>
      <w:r w:rsidRPr="00AB1C30">
        <w:rPr>
          <w:lang w:val="en-GB" w:eastAsia="it-IT"/>
        </w:rPr>
        <w:tab/>
      </w:r>
      <w:r w:rsidR="000D2ABE" w:rsidRPr="00AB1C30">
        <w:rPr>
          <w:lang w:val="en-GB" w:eastAsia="it-IT"/>
        </w:rPr>
        <w:t xml:space="preserve">vector of 8 elements in which an element </w:t>
      </w:r>
      <w:r w:rsidR="000D2ABE" w:rsidRPr="00AB1C30">
        <w:rPr>
          <w:i/>
          <w:iCs/>
          <w:lang w:val="en-GB" w:eastAsia="it-IT"/>
        </w:rPr>
        <w:t>Y</w:t>
      </w:r>
      <w:r w:rsidR="000D2ABE" w:rsidRPr="00AB1C30">
        <w:rPr>
          <w:i/>
          <w:iCs/>
          <w:vertAlign w:val="subscript"/>
          <w:lang w:val="en-GB" w:eastAsia="it-IT"/>
        </w:rPr>
        <w:t>j</w:t>
      </w:r>
      <w:r w:rsidR="000D2ABE" w:rsidRPr="00AB1C30">
        <w:rPr>
          <w:lang w:val="en-GB" w:eastAsia="it-IT"/>
        </w:rPr>
        <w:t xml:space="preserve"> represents a signal acquired by the receiver and related to the </w:t>
      </w:r>
      <w:r w:rsidR="000D2ABE" w:rsidRPr="00E41A83">
        <w:rPr>
          <w:i/>
          <w:iCs/>
          <w:lang w:val="en-GB" w:eastAsia="it-IT"/>
        </w:rPr>
        <w:t>j</w:t>
      </w:r>
      <w:r w:rsidR="000D2ABE" w:rsidRPr="00AB1C30">
        <w:rPr>
          <w:lang w:val="en-GB" w:eastAsia="it-IT"/>
        </w:rPr>
        <w:t xml:space="preserve">-th symbol (with </w:t>
      </w:r>
      <w:r w:rsidR="000D2ABE" w:rsidRPr="00AB1C30">
        <w:rPr>
          <w:i/>
          <w:iCs/>
          <w:lang w:val="en-GB" w:eastAsia="it-IT"/>
        </w:rPr>
        <w:t>j</w:t>
      </w:r>
      <w:r w:rsidR="000D2ABE" w:rsidRPr="00AB1C30">
        <w:rPr>
          <w:lang w:val="en-GB" w:eastAsia="it-IT"/>
        </w:rPr>
        <w:t xml:space="preserve"> = 40,.. 47) of the DVB</w:t>
      </w:r>
      <w:r w:rsidR="000D2ABE" w:rsidRPr="00AB1C30">
        <w:rPr>
          <w:lang w:val="en-GB" w:eastAsia="it-IT"/>
        </w:rPr>
        <w:noBreakHyphen/>
        <w:t>T frame signal</w:t>
      </w:r>
      <w:r w:rsidR="000D2ABE" w:rsidRPr="00AB1C30">
        <w:rPr>
          <w:lang w:val="en-GB"/>
        </w:rPr>
        <w:t>;</w:t>
      </w:r>
    </w:p>
    <w:p w:rsidR="000D2ABE" w:rsidRPr="00AB1C30" w:rsidRDefault="00393E7D" w:rsidP="00393E7D">
      <w:pPr>
        <w:pStyle w:val="Equationlegend"/>
        <w:rPr>
          <w:lang w:val="en-GB"/>
        </w:rPr>
      </w:pPr>
      <w:r w:rsidRPr="00AB1C30">
        <w:rPr>
          <w:lang w:val="en-GB" w:eastAsia="it-IT"/>
        </w:rPr>
        <w:tab/>
      </w:r>
      <w:r w:rsidRPr="00AB1C30">
        <w:rPr>
          <w:i/>
          <w:iCs/>
          <w:lang w:val="en-GB" w:eastAsia="it-IT"/>
        </w:rPr>
        <w:t>X</w:t>
      </w:r>
      <w:r w:rsidRPr="00AB1C30">
        <w:rPr>
          <w:lang w:val="en-GB" w:eastAsia="it-IT"/>
        </w:rPr>
        <w:t>:</w:t>
      </w:r>
      <w:r w:rsidR="000D2ABE" w:rsidRPr="00AB1C30">
        <w:rPr>
          <w:lang w:val="en-GB" w:eastAsia="it-IT"/>
        </w:rPr>
        <w:tab/>
        <w:t>8</w:t>
      </w:r>
      <w:r w:rsidRPr="00AB1C30">
        <w:rPr>
          <w:lang w:val="en-GB" w:eastAsia="it-IT"/>
        </w:rPr>
        <w:t xml:space="preserve"> × </w:t>
      </w:r>
      <w:r w:rsidR="000D2ABE" w:rsidRPr="00AB1C30">
        <w:rPr>
          <w:lang w:val="en-GB" w:eastAsia="it-IT"/>
        </w:rPr>
        <w:t xml:space="preserve">8 size matrix in which an </w:t>
      </w:r>
      <w:r w:rsidR="000D2ABE" w:rsidRPr="00AB1C30">
        <w:rPr>
          <w:i/>
          <w:iCs/>
          <w:lang w:val="en-GB" w:eastAsia="it-IT"/>
        </w:rPr>
        <w:t>X</w:t>
      </w:r>
      <w:r w:rsidR="000D2ABE" w:rsidRPr="00AB1C30">
        <w:rPr>
          <w:i/>
          <w:iCs/>
          <w:vertAlign w:val="subscript"/>
          <w:lang w:val="en-GB" w:eastAsia="it-IT"/>
        </w:rPr>
        <w:t>j</w:t>
      </w:r>
      <w:r w:rsidR="000D2ABE" w:rsidRPr="00AB1C30">
        <w:rPr>
          <w:vertAlign w:val="subscript"/>
          <w:lang w:val="en-GB" w:eastAsia="it-IT"/>
        </w:rPr>
        <w:t>,</w:t>
      </w:r>
      <w:r w:rsidR="000D2ABE" w:rsidRPr="00AB1C30">
        <w:rPr>
          <w:i/>
          <w:iCs/>
          <w:vertAlign w:val="subscript"/>
          <w:lang w:val="en-GB" w:eastAsia="it-IT"/>
        </w:rPr>
        <w:t>i</w:t>
      </w:r>
      <w:r w:rsidR="000D2ABE" w:rsidRPr="00AB1C30">
        <w:rPr>
          <w:lang w:val="en-GB" w:eastAsia="it-IT"/>
        </w:rPr>
        <w:t xml:space="preserve"> element represents a signal contribution that the receiver would receive if the </w:t>
      </w:r>
      <w:r w:rsidR="000D2ABE" w:rsidRPr="00AB1C30">
        <w:rPr>
          <w:i/>
          <w:iCs/>
          <w:lang w:val="en-GB" w:eastAsia="it-IT"/>
        </w:rPr>
        <w:t>i</w:t>
      </w:r>
      <w:r w:rsidR="000D2ABE" w:rsidRPr="00AB1C30">
        <w:rPr>
          <w:lang w:val="en-GB" w:eastAsia="it-IT"/>
        </w:rPr>
        <w:t xml:space="preserve">-th transmitter was the only one to broadcast, on an ideal transmission channel, the signal of the </w:t>
      </w:r>
      <w:r w:rsidR="000D2ABE" w:rsidRPr="00AB1C30">
        <w:rPr>
          <w:i/>
          <w:iCs/>
          <w:lang w:val="en-GB" w:eastAsia="it-IT"/>
        </w:rPr>
        <w:t>j</w:t>
      </w:r>
      <w:r w:rsidR="000D2ABE" w:rsidRPr="00AB1C30">
        <w:rPr>
          <w:lang w:val="en-GB" w:eastAsia="it-IT"/>
        </w:rPr>
        <w:t>-th symbol</w:t>
      </w:r>
      <w:r w:rsidR="000D2ABE" w:rsidRPr="00AB1C30">
        <w:rPr>
          <w:lang w:val="en-GB"/>
        </w:rPr>
        <w:t>;</w:t>
      </w:r>
    </w:p>
    <w:p w:rsidR="000D2ABE" w:rsidRPr="00AB1C30" w:rsidRDefault="00393E7D" w:rsidP="00AB1C30">
      <w:pPr>
        <w:pStyle w:val="Equationlegend"/>
        <w:rPr>
          <w:lang w:val="en-GB"/>
        </w:rPr>
      </w:pPr>
      <w:r w:rsidRPr="00AB1C30">
        <w:rPr>
          <w:lang w:val="en-GB" w:eastAsia="it-IT"/>
        </w:rPr>
        <w:tab/>
      </w:r>
      <w:r w:rsidRPr="00AB1C30">
        <w:rPr>
          <w:i/>
          <w:iCs/>
          <w:lang w:val="en-GB" w:eastAsia="it-IT"/>
        </w:rPr>
        <w:t>H</w:t>
      </w:r>
      <w:r w:rsidRPr="00AB1C30">
        <w:rPr>
          <w:lang w:val="en-GB" w:eastAsia="it-IT"/>
        </w:rPr>
        <w:t>:</w:t>
      </w:r>
      <w:r w:rsidR="000D2ABE" w:rsidRPr="00AB1C30">
        <w:rPr>
          <w:lang w:val="en-GB" w:eastAsia="it-IT"/>
        </w:rPr>
        <w:tab/>
        <w:t xml:space="preserve">unknown, is an 8 element vector in which </w:t>
      </w:r>
      <w:r w:rsidR="000D2ABE" w:rsidRPr="00AB1C30">
        <w:rPr>
          <w:i/>
          <w:iCs/>
          <w:lang w:val="en-GB" w:eastAsia="it-IT"/>
        </w:rPr>
        <w:t>H</w:t>
      </w:r>
      <w:r w:rsidR="000D2ABE" w:rsidRPr="00AB1C30">
        <w:rPr>
          <w:i/>
          <w:iCs/>
          <w:vertAlign w:val="subscript"/>
          <w:lang w:val="en-GB" w:eastAsia="it-IT"/>
        </w:rPr>
        <w:t>i</w:t>
      </w:r>
      <w:r w:rsidR="000D2ABE" w:rsidRPr="00AB1C30">
        <w:rPr>
          <w:lang w:val="en-GB" w:eastAsia="it-IT"/>
        </w:rPr>
        <w:t xml:space="preserve"> element represents the frequency response of the </w:t>
      </w:r>
      <w:r w:rsidR="00AB1C30" w:rsidRPr="00AB1C30">
        <w:rPr>
          <w:lang w:val="en-GB" w:eastAsia="it-IT"/>
        </w:rPr>
        <w:t>“</w:t>
      </w:r>
      <w:r w:rsidR="000D2ABE" w:rsidRPr="00AB1C30">
        <w:rPr>
          <w:lang w:val="en-GB" w:eastAsia="it-IT"/>
        </w:rPr>
        <w:t>transmission channel</w:t>
      </w:r>
      <w:r w:rsidR="00AB1C30" w:rsidRPr="00AB1C30">
        <w:rPr>
          <w:lang w:val="en-GB" w:eastAsia="it-IT"/>
        </w:rPr>
        <w:t>”</w:t>
      </w:r>
      <w:r w:rsidR="000D2ABE" w:rsidRPr="00AB1C30">
        <w:rPr>
          <w:lang w:val="en-GB" w:eastAsia="it-IT"/>
        </w:rPr>
        <w:t xml:space="preserve"> related to the </w:t>
      </w:r>
      <w:r w:rsidR="000D2ABE" w:rsidRPr="00AB1C30">
        <w:rPr>
          <w:i/>
          <w:iCs/>
          <w:lang w:val="en-GB" w:eastAsia="it-IT"/>
        </w:rPr>
        <w:t>i</w:t>
      </w:r>
      <w:r w:rsidR="000D2ABE" w:rsidRPr="00AB1C30">
        <w:rPr>
          <w:lang w:val="en-GB" w:eastAsia="it-IT"/>
        </w:rPr>
        <w:t>-th transmitter</w:t>
      </w:r>
      <w:r w:rsidR="000D2ABE" w:rsidRPr="00AB1C30">
        <w:rPr>
          <w:lang w:val="en-GB"/>
        </w:rPr>
        <w:t>.</w:t>
      </w:r>
    </w:p>
    <w:p w:rsidR="000D2ABE" w:rsidRPr="00AB1C30" w:rsidRDefault="000D2ABE" w:rsidP="00E41A83">
      <w:pPr>
        <w:rPr>
          <w:lang w:val="en-GB" w:eastAsia="it-IT"/>
        </w:rPr>
      </w:pPr>
      <w:r w:rsidRPr="00AB1C30">
        <w:rPr>
          <w:lang w:val="en-GB" w:eastAsia="it-IT"/>
        </w:rPr>
        <w:t>The linear system</w:t>
      </w:r>
      <w:r w:rsidR="00C31B63" w:rsidRPr="00AB1C30">
        <w:rPr>
          <w:lang w:val="en-GB" w:eastAsia="it-IT"/>
        </w:rPr>
        <w:t xml:space="preserve"> </w:t>
      </w:r>
      <w:r w:rsidR="00C31B63" w:rsidRPr="00AB1C30">
        <w:rPr>
          <w:i/>
          <w:iCs/>
          <w:u w:val="single"/>
          <w:lang w:val="en-GB" w:eastAsia="it-IT"/>
        </w:rPr>
        <w:t>Y</w:t>
      </w:r>
      <w:r w:rsidR="00C31B63" w:rsidRPr="00AB1C30">
        <w:rPr>
          <w:lang w:val="en-GB" w:eastAsia="it-IT"/>
        </w:rPr>
        <w:t xml:space="preserve"> = </w:t>
      </w:r>
      <w:r w:rsidR="00C31B63" w:rsidRPr="00AB1C30">
        <w:rPr>
          <w:i/>
          <w:iCs/>
          <w:u w:val="single"/>
          <w:lang w:val="en-GB" w:eastAsia="it-IT"/>
        </w:rPr>
        <w:t>X</w:t>
      </w:r>
      <w:r w:rsidR="00E41A83" w:rsidRPr="00AB1C30">
        <w:rPr>
          <w:i/>
          <w:iCs/>
          <w:lang w:val="en-US"/>
        </w:rPr>
        <w:t xml:space="preserve"> </w:t>
      </w:r>
      <w:r w:rsidR="00E41A83" w:rsidRPr="00AB1C30">
        <w:rPr>
          <w:szCs w:val="24"/>
          <w:lang w:val="en-GB"/>
        </w:rPr>
        <w:sym w:font="Symbol" w:char="F0D7"/>
      </w:r>
      <w:r w:rsidR="00E41A83" w:rsidRPr="00AB1C30">
        <w:rPr>
          <w:szCs w:val="24"/>
          <w:lang w:val="en-US"/>
        </w:rPr>
        <w:t xml:space="preserve"> </w:t>
      </w:r>
      <w:r w:rsidR="00C31B63" w:rsidRPr="00AB1C30">
        <w:rPr>
          <w:i/>
          <w:iCs/>
          <w:u w:val="single"/>
          <w:lang w:val="en-GB" w:eastAsia="it-IT"/>
        </w:rPr>
        <w:t>H</w:t>
      </w:r>
      <w:r w:rsidRPr="00AB1C30">
        <w:rPr>
          <w:i/>
          <w:iCs/>
          <w:lang w:val="en-GB" w:eastAsia="it-IT"/>
        </w:rPr>
        <w:t xml:space="preserve"> </w:t>
      </w:r>
      <w:r w:rsidRPr="00AB1C30">
        <w:rPr>
          <w:lang w:val="en-GB"/>
        </w:rPr>
        <w:fldChar w:fldCharType="begin"/>
      </w:r>
      <w:r w:rsidRPr="00AB1C30">
        <w:rPr>
          <w:lang w:val="en-GB"/>
        </w:rPr>
        <w:instrText xml:space="preserve"> QUOTE </w:instrText>
      </w:r>
      <w:r w:rsidRPr="00AB1C30">
        <w:rPr>
          <w:noProof/>
          <w:lang w:val="en-US" w:eastAsia="zh-CN"/>
        </w:rPr>
        <w:drawing>
          <wp:inline distT="0" distB="0" distL="0" distR="0" wp14:anchorId="43C9D227" wp14:editId="30900513">
            <wp:extent cx="577850" cy="146685"/>
            <wp:effectExtent l="0" t="0" r="0" b="571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850" cy="146685"/>
                    </a:xfrm>
                    <a:prstGeom prst="rect">
                      <a:avLst/>
                    </a:prstGeom>
                    <a:noFill/>
                    <a:ln>
                      <a:noFill/>
                    </a:ln>
                  </pic:spPr>
                </pic:pic>
              </a:graphicData>
            </a:graphic>
          </wp:inline>
        </w:drawing>
      </w:r>
      <w:r w:rsidRPr="00AB1C30">
        <w:rPr>
          <w:lang w:val="en-GB"/>
        </w:rPr>
        <w:fldChar w:fldCharType="end"/>
      </w:r>
      <w:r w:rsidRPr="00AB1C30">
        <w:rPr>
          <w:lang w:val="en-GB" w:eastAsia="it-IT"/>
        </w:rPr>
        <w:t xml:space="preserve">produces a unique solution, provided the determinant of </w:t>
      </w:r>
      <w:r w:rsidRPr="00AB1C30">
        <w:rPr>
          <w:i/>
          <w:iCs/>
          <w:u w:val="single"/>
          <w:lang w:val="en-GB" w:eastAsia="it-IT"/>
        </w:rPr>
        <w:t>X</w:t>
      </w:r>
      <w:r w:rsidRPr="00AB1C30">
        <w:rPr>
          <w:lang w:val="en-GB" w:eastAsia="it-IT"/>
        </w:rPr>
        <w:t xml:space="preserve"> matrix is different from zero; in practice this is almost always verified. Otherwise, it can be easily worked around with a suitable choice of the identification codes values assigned to the transmitters.</w:t>
      </w:r>
    </w:p>
    <w:p w:rsidR="000D2ABE" w:rsidRPr="00AB1C30" w:rsidRDefault="000D2ABE" w:rsidP="000D2ABE">
      <w:pPr>
        <w:rPr>
          <w:lang w:val="en-GB" w:eastAsia="it-IT"/>
        </w:rPr>
      </w:pPr>
      <w:r w:rsidRPr="00AB1C30">
        <w:rPr>
          <w:lang w:val="en-GB" w:eastAsia="it-IT"/>
        </w:rPr>
        <w:t xml:space="preserve">Once the above linear system is solved, we obtain the vector </w:t>
      </w:r>
      <w:r w:rsidRPr="00AB1C30">
        <w:rPr>
          <w:i/>
          <w:iCs/>
          <w:u w:val="single"/>
          <w:lang w:val="en-GB" w:eastAsia="it-IT"/>
        </w:rPr>
        <w:t>H</w:t>
      </w:r>
      <w:r w:rsidRPr="00AB1C30">
        <w:rPr>
          <w:lang w:val="en-GB" w:eastAsia="it-IT"/>
        </w:rPr>
        <w:t xml:space="preserve">, which represents the frequency responses of each of the </w:t>
      </w:r>
      <w:r w:rsidRPr="00AB1C30">
        <w:rPr>
          <w:i/>
          <w:iCs/>
          <w:lang w:val="en-GB" w:eastAsia="it-IT"/>
        </w:rPr>
        <w:t>N</w:t>
      </w:r>
      <w:r w:rsidRPr="00AB1C30">
        <w:rPr>
          <w:lang w:val="en-GB" w:eastAsia="it-IT"/>
        </w:rPr>
        <w:t xml:space="preserve"> transmission channels. The value of each component of vector </w:t>
      </w:r>
      <w:r w:rsidRPr="00AB1C30">
        <w:rPr>
          <w:i/>
          <w:iCs/>
          <w:lang w:val="en-GB" w:eastAsia="it-IT"/>
        </w:rPr>
        <w:t>H</w:t>
      </w:r>
      <w:r w:rsidRPr="00AB1C30">
        <w:rPr>
          <w:lang w:val="en-GB" w:eastAsia="it-IT"/>
        </w:rPr>
        <w:t>, normalized to the strongest signal, gives information on the signal level received from each transmitter.</w:t>
      </w:r>
    </w:p>
    <w:p w:rsidR="000D2ABE" w:rsidRPr="00AB1C30" w:rsidRDefault="000D2ABE" w:rsidP="000D2ABE">
      <w:pPr>
        <w:rPr>
          <w:lang w:val="en-GB" w:eastAsia="it-IT"/>
        </w:rPr>
      </w:pPr>
      <w:r w:rsidRPr="00AB1C30">
        <w:rPr>
          <w:lang w:val="en-GB" w:eastAsia="it-IT"/>
        </w:rPr>
        <w:t>The linear system, as indicated above, is composed of eight equations with eight unknowns. Upon solving such system, it is then possible to identify, via the appr</w:t>
      </w:r>
      <w:r w:rsidR="00786F7B">
        <w:rPr>
          <w:lang w:val="en-GB" w:eastAsia="it-IT"/>
        </w:rPr>
        <w:t>opriate identification code, up</w:t>
      </w:r>
      <w:r w:rsidR="00786F7B" w:rsidRPr="00786F7B">
        <w:rPr>
          <w:lang w:val="en-US" w:eastAsia="it-IT"/>
        </w:rPr>
        <w:t> </w:t>
      </w:r>
      <w:r w:rsidRPr="00AB1C30">
        <w:rPr>
          <w:lang w:val="en-GB" w:eastAsia="it-IT"/>
        </w:rPr>
        <w:t>to</w:t>
      </w:r>
      <w:r w:rsidR="00786F7B" w:rsidRPr="00786F7B">
        <w:rPr>
          <w:lang w:val="en-US" w:eastAsia="it-IT"/>
        </w:rPr>
        <w:t> </w:t>
      </w:r>
      <w:r w:rsidRPr="00AB1C30">
        <w:rPr>
          <w:lang w:val="en-GB" w:eastAsia="it-IT"/>
        </w:rPr>
        <w:t xml:space="preserve">eight transmitters which cover the selected geographic point. However, for practical use, the linear system will be extended including the equations associated to the symbols of the frames that carry the other eight out of the sixteen bits of which is composed the identification code of each </w:t>
      </w:r>
      <w:r w:rsidRPr="00AB1C30">
        <w:rPr>
          <w:lang w:val="en-GB" w:eastAsia="it-IT"/>
        </w:rPr>
        <w:lastRenderedPageBreak/>
        <w:t>transmitter. In this way, it is possible to extend to sixteen the number of transmitter codes resolved in a single matrix operation. Moreover, since the Cell ID consists of a 16-bit binary word, and produces 65</w:t>
      </w:r>
      <w:r w:rsidR="0096078B" w:rsidRPr="0096078B">
        <w:rPr>
          <w:lang w:val="en-US" w:eastAsia="it-IT"/>
        </w:rPr>
        <w:t xml:space="preserve"> </w:t>
      </w:r>
      <w:r w:rsidRPr="00AB1C30">
        <w:rPr>
          <w:lang w:val="en-GB" w:eastAsia="it-IT"/>
        </w:rPr>
        <w:t xml:space="preserve">535 values and the zero, it is possible to proceed by attempts: at every attempt the </w:t>
      </w:r>
      <w:r w:rsidRPr="00AB1C30">
        <w:rPr>
          <w:i/>
          <w:iCs/>
          <w:u w:val="single"/>
          <w:lang w:val="en-GB"/>
        </w:rPr>
        <w:t>X</w:t>
      </w:r>
      <w:r w:rsidRPr="00AB1C30">
        <w:rPr>
          <w:lang w:val="en-GB" w:eastAsia="it-IT"/>
        </w:rPr>
        <w:t xml:space="preserve"> matrix is built, using the method described above, assuming each time a new set of sixteen different values of identification code, different from the previous case.</w:t>
      </w:r>
    </w:p>
    <w:p w:rsidR="000D2ABE" w:rsidRPr="00AB1C30" w:rsidRDefault="000D2ABE" w:rsidP="000D2ABE">
      <w:pPr>
        <w:rPr>
          <w:lang w:val="en-GB" w:eastAsia="it-IT"/>
        </w:rPr>
      </w:pPr>
      <w:r w:rsidRPr="00AB1C30">
        <w:rPr>
          <w:lang w:val="en-GB" w:eastAsia="it-IT"/>
        </w:rPr>
        <w:t xml:space="preserve">Since the calculations for every attempt are always performed on the same </w:t>
      </w:r>
      <w:r w:rsidRPr="00AB1C30">
        <w:rPr>
          <w:i/>
          <w:iCs/>
          <w:u w:val="single"/>
          <w:lang w:val="en-GB" w:eastAsia="it-IT"/>
        </w:rPr>
        <w:t>Y</w:t>
      </w:r>
      <w:r w:rsidRPr="00AB1C30">
        <w:rPr>
          <w:lang w:val="en-GB" w:eastAsia="it-IT"/>
        </w:rPr>
        <w:t xml:space="preserve"> vector, it is not necessary to repeat the signal acquisition every time, so the speed of the algorithm can be very high.</w:t>
      </w:r>
    </w:p>
    <w:p w:rsidR="000D2ABE" w:rsidRPr="00AB1C30" w:rsidRDefault="000D2ABE" w:rsidP="008236BB">
      <w:pPr>
        <w:pStyle w:val="FigureNo"/>
        <w:rPr>
          <w:lang w:val="en-GB"/>
        </w:rPr>
      </w:pPr>
      <w:r w:rsidRPr="00AB1C30">
        <w:rPr>
          <w:lang w:val="en-GB"/>
        </w:rPr>
        <w:t>Figure 7</w:t>
      </w:r>
    </w:p>
    <w:p w:rsidR="000D2ABE" w:rsidRDefault="000D2ABE" w:rsidP="008236BB">
      <w:pPr>
        <w:pStyle w:val="Figuretitle"/>
        <w:rPr>
          <w:lang w:val="en-GB"/>
        </w:rPr>
      </w:pPr>
      <w:r w:rsidRPr="00AB1C30">
        <w:rPr>
          <w:lang w:val="en-GB"/>
        </w:rPr>
        <w:t xml:space="preserve">Superposition of signals at the receiving antenna. Each transmitter-to-receiver (multi)path defines </w:t>
      </w:r>
      <w:r w:rsidR="008236BB" w:rsidRPr="00AB1C30">
        <w:rPr>
          <w:lang w:val="en-GB"/>
        </w:rPr>
        <w:br/>
      </w:r>
      <w:r w:rsidRPr="00AB1C30">
        <w:rPr>
          <w:lang w:val="en-GB"/>
        </w:rPr>
        <w:t xml:space="preserve">a “channel” with relevant </w:t>
      </w:r>
      <w:r w:rsidR="0096078B" w:rsidRPr="00AB1C30">
        <w:rPr>
          <w:lang w:val="en-GB"/>
        </w:rPr>
        <w:t>channel frequency response</w:t>
      </w:r>
    </w:p>
    <w:p w:rsidR="00B36601" w:rsidRPr="00B36601" w:rsidRDefault="00B36601" w:rsidP="00B36601">
      <w:pPr>
        <w:pStyle w:val="Figure"/>
        <w:rPr>
          <w:rFonts w:eastAsia="SimSun"/>
          <w:lang w:val="en-GB"/>
        </w:rPr>
      </w:pPr>
      <w:r>
        <w:object w:dxaOrig="6987" w:dyaOrig="4290">
          <v:shape id="_x0000_i1047" type="#_x0000_t75" style="width:392.55pt;height:241.2pt;mso-position-horizontal:absolute" o:ole="">
            <v:imagedata r:id="rId27" o:title=""/>
          </v:shape>
          <o:OLEObject Type="Embed" ProgID="CorelDraw.Graphic.16" ShapeID="_x0000_i1047" DrawAspect="Content" ObjectID="_1479641064" r:id="rId28"/>
        </w:object>
      </w:r>
    </w:p>
    <w:p w:rsidR="000D2ABE" w:rsidRPr="00AB1C30" w:rsidRDefault="000D2ABE" w:rsidP="0096078B">
      <w:pPr>
        <w:rPr>
          <w:lang w:val="en-GB" w:eastAsia="it-IT"/>
        </w:rPr>
      </w:pPr>
      <w:r w:rsidRPr="00AB1C30">
        <w:rPr>
          <w:lang w:val="en-GB" w:eastAsia="it-IT"/>
        </w:rPr>
        <w:t>Above described operations are performed only on TPS carriers. In principle, since in a</w:t>
      </w:r>
      <w:r w:rsidR="00E224E0" w:rsidRPr="00AB1C30">
        <w:rPr>
          <w:lang w:val="en-GB" w:eastAsia="it-IT"/>
        </w:rPr>
        <w:t xml:space="preserve"> </w:t>
      </w:r>
      <w:r w:rsidRPr="00AB1C30">
        <w:rPr>
          <w:lang w:val="en-GB" w:eastAsia="it-IT"/>
        </w:rPr>
        <w:t>given DVB</w:t>
      </w:r>
      <w:r w:rsidR="00E224E0" w:rsidRPr="00AB1C30">
        <w:rPr>
          <w:lang w:val="en-GB" w:eastAsia="it-IT"/>
        </w:rPr>
        <w:noBreakHyphen/>
      </w:r>
      <w:r w:rsidRPr="00AB1C30">
        <w:rPr>
          <w:lang w:val="en-GB" w:eastAsia="it-IT"/>
        </w:rPr>
        <w:t xml:space="preserve">T OFDM symbol, all TPS carriers are modulated with the </w:t>
      </w:r>
      <w:r w:rsidRPr="00AB1C30">
        <w:rPr>
          <w:i/>
          <w:lang w:val="en-GB" w:eastAsia="it-IT"/>
        </w:rPr>
        <w:t>same</w:t>
      </w:r>
      <w:r w:rsidRPr="00AB1C30">
        <w:rPr>
          <w:lang w:val="en-GB" w:eastAsia="it-IT"/>
        </w:rPr>
        <w:t xml:space="preserve"> bit, it would be possible to use only one TPS carrier to apply the method. However, in the presence of multipath propagation, an estimate based on a single TPS position would be quite inaccurate. Therefore, the process is repeated for all TPS positions. In other words, 68 linear equation systems are solved. Assuming that a set of sixty-eight 16</w:t>
      </w:r>
      <w:r w:rsidR="0096078B" w:rsidRPr="0096078B">
        <w:rPr>
          <w:lang w:val="en-US" w:eastAsia="it-IT"/>
        </w:rPr>
        <w:t xml:space="preserve"> × </w:t>
      </w:r>
      <w:r w:rsidRPr="00AB1C30">
        <w:rPr>
          <w:lang w:val="en-GB" w:eastAsia="it-IT"/>
        </w:rPr>
        <w:t>16 linear equations systems are solved, we get 16 arrays of 68 values. Each array represents the CFR of each one of the 16 involved transmitters. Such CFR arrays are composed by just 68 values: they are the frequency response (of that individual transmitter-to-receiver channel) sampled at the TPS frequency positions.</w:t>
      </w:r>
    </w:p>
    <w:p w:rsidR="000D2ABE" w:rsidRPr="00AB1C30" w:rsidRDefault="000D2ABE" w:rsidP="000D2ABE">
      <w:pPr>
        <w:rPr>
          <w:lang w:val="en-GB" w:eastAsia="it-IT"/>
        </w:rPr>
      </w:pPr>
      <w:r w:rsidRPr="00AB1C30">
        <w:rPr>
          <w:lang w:val="en-GB" w:eastAsia="it-IT"/>
        </w:rPr>
        <w:t>For each one of the sixteen arrays (i.e. of the sixteen transmitters) two operations are performed:</w:t>
      </w:r>
    </w:p>
    <w:p w:rsidR="000D2ABE" w:rsidRPr="00AB1C30" w:rsidRDefault="000D2ABE" w:rsidP="00E224E0">
      <w:pPr>
        <w:pStyle w:val="enumlev1"/>
        <w:rPr>
          <w:lang w:val="en-GB" w:eastAsia="it-IT"/>
        </w:rPr>
      </w:pPr>
      <w:r w:rsidRPr="00AB1C30">
        <w:rPr>
          <w:lang w:val="en-GB" w:eastAsia="it-IT"/>
        </w:rPr>
        <w:t>1)</w:t>
      </w:r>
      <w:r w:rsidRPr="00AB1C30">
        <w:rPr>
          <w:lang w:val="en-GB" w:eastAsia="it-IT"/>
        </w:rPr>
        <w:tab/>
        <w:t>the magnitude of the 68 frequency values are averaged: this cancels the multipath frequency-selective effect, and further increases the (already high) robustness of the method against Gaussian noise. The obtained value is the normalized level of the signal received from the relevant transmitter.</w:t>
      </w:r>
    </w:p>
    <w:p w:rsidR="000D2ABE" w:rsidRPr="00AB1C30" w:rsidRDefault="00E224E0" w:rsidP="00B8593F">
      <w:pPr>
        <w:pStyle w:val="enumlev1"/>
        <w:keepNext/>
        <w:keepLines/>
        <w:rPr>
          <w:lang w:val="en-GB" w:eastAsia="it-IT"/>
        </w:rPr>
      </w:pPr>
      <w:r w:rsidRPr="00AB1C30">
        <w:rPr>
          <w:lang w:val="en-GB" w:eastAsia="it-IT"/>
        </w:rPr>
        <w:lastRenderedPageBreak/>
        <w:t>2)</w:t>
      </w:r>
      <w:r w:rsidRPr="00AB1C30">
        <w:rPr>
          <w:lang w:val="en-GB" w:eastAsia="it-IT"/>
        </w:rPr>
        <w:tab/>
        <w:t xml:space="preserve">by the </w:t>
      </w:r>
      <w:r w:rsidR="000D2ABE" w:rsidRPr="00AB1C30">
        <w:rPr>
          <w:lang w:val="en-GB" w:eastAsia="it-IT"/>
        </w:rPr>
        <w:t>IFFT, the individual CIR is obtained. The present procedure is more complicated than a simple IFFT, since the TPS density is very low, about 1% of the total OFDM active carriers. In normal periodic-sampled systems this would result in a very strong time aliasing that would reduce the effective time span by a factor 100, thus resulting in a useless estimate of the CIR. Fortunately, the TPS frequency positions, by design, are not periodic, so the al</w:t>
      </w:r>
      <w:r w:rsidRPr="00AB1C30">
        <w:rPr>
          <w:lang w:val="en-GB" w:eastAsia="it-IT"/>
        </w:rPr>
        <w:t xml:space="preserve">iasing effect is not involved. </w:t>
      </w:r>
      <w:r w:rsidR="000D2ABE" w:rsidRPr="00AB1C30">
        <w:rPr>
          <w:lang w:val="en-GB" w:eastAsia="it-IT"/>
        </w:rPr>
        <w:t xml:space="preserve">Being indeed a “sparse sampling” case, the Compressive Sensing concept has been applied. The algorithm is iterative and provides an estimation of CIR reconstructed by principal peaks. </w:t>
      </w:r>
    </w:p>
    <w:p w:rsidR="000D2ABE" w:rsidRPr="00AB1C30" w:rsidRDefault="000D2ABE" w:rsidP="00E224E0">
      <w:pPr>
        <w:tabs>
          <w:tab w:val="left" w:pos="1701"/>
        </w:tabs>
        <w:rPr>
          <w:lang w:val="en-GB" w:eastAsia="it-IT"/>
        </w:rPr>
      </w:pPr>
      <w:r w:rsidRPr="00AB1C30">
        <w:rPr>
          <w:b/>
          <w:lang w:val="en-GB" w:eastAsia="it-IT"/>
        </w:rPr>
        <w:t>Operation 1</w:t>
      </w:r>
      <w:r w:rsidRPr="00AB1C30">
        <w:rPr>
          <w:lang w:val="en-GB" w:eastAsia="it-IT"/>
        </w:rPr>
        <w:t xml:space="preserve"> above allows the user to build a table where the normalized levels of the signals received from the relevant transmitters can be ordered in a list and associated to the code identifiers of transmitters (Cell ID), taken from a predefined table that associates each Cell ID to the name </w:t>
      </w:r>
      <w:r w:rsidR="00E224E0" w:rsidRPr="00AB1C30">
        <w:rPr>
          <w:lang w:val="en-GB" w:eastAsia="it-IT"/>
        </w:rPr>
        <w:t>(or </w:t>
      </w:r>
      <w:r w:rsidRPr="00AB1C30">
        <w:rPr>
          <w:lang w:val="en-GB" w:eastAsia="it-IT"/>
        </w:rPr>
        <w:t>geographical site) of the transmitter.</w:t>
      </w:r>
    </w:p>
    <w:p w:rsidR="000D2ABE" w:rsidRPr="00AB1C30" w:rsidRDefault="000D2ABE" w:rsidP="000D2ABE">
      <w:pPr>
        <w:tabs>
          <w:tab w:val="left" w:pos="1701"/>
        </w:tabs>
        <w:rPr>
          <w:lang w:val="en-GB" w:eastAsia="it-IT"/>
        </w:rPr>
      </w:pPr>
      <w:r w:rsidRPr="00AB1C30">
        <w:rPr>
          <w:b/>
          <w:lang w:val="en-GB" w:eastAsia="it-IT"/>
        </w:rPr>
        <w:t>Operation 2</w:t>
      </w:r>
      <w:r w:rsidRPr="00AB1C30">
        <w:rPr>
          <w:lang w:val="en-GB" w:eastAsia="it-IT"/>
        </w:rPr>
        <w:t xml:space="preserve"> above allows the user to obtain the time components of the global CIR, disaggregated in the individual CIRs relevant to each transmitter.</w:t>
      </w:r>
    </w:p>
    <w:p w:rsidR="000D2ABE" w:rsidRPr="00AB1C30" w:rsidRDefault="000D2ABE" w:rsidP="000D2ABE">
      <w:pPr>
        <w:pStyle w:val="Headingb"/>
        <w:rPr>
          <w:lang w:val="en-GB" w:eastAsia="it-IT"/>
        </w:rPr>
      </w:pPr>
      <w:r w:rsidRPr="00AB1C30">
        <w:rPr>
          <w:lang w:val="en-GB" w:eastAsia="it-IT"/>
        </w:rPr>
        <w:t>Confirmation</w:t>
      </w:r>
    </w:p>
    <w:p w:rsidR="000D2ABE" w:rsidRPr="00AB1C30" w:rsidRDefault="000D2ABE" w:rsidP="000D2ABE">
      <w:pPr>
        <w:rPr>
          <w:lang w:val="en-GB" w:eastAsia="it-IT"/>
        </w:rPr>
      </w:pPr>
      <w:r w:rsidRPr="00AB1C30">
        <w:rPr>
          <w:lang w:val="en-GB" w:eastAsia="it-IT"/>
        </w:rPr>
        <w:t>The software package which implements the above method permits measurement receivers or VSAs to add a high value function able to display the labels of the various components of the impulse response on the current graphical video format. The early tests done in laboratory with real SFN signals indicate the system is able to estimate the individual levels of the transmitters, and to disaggregate the CIR into the individual ones. The CIR disaggregation method, although less precise than the classic one based on the scattered pilot tones, has proven to be useful to visualize signals components with differential delays up to two times the guard interval.</w:t>
      </w:r>
    </w:p>
    <w:p w:rsidR="000D2ABE" w:rsidRPr="00AB1C30" w:rsidRDefault="000D2ABE" w:rsidP="000D2ABE">
      <w:pPr>
        <w:pStyle w:val="FigureNo"/>
        <w:rPr>
          <w:lang w:val="en-GB"/>
        </w:rPr>
      </w:pPr>
      <w:r w:rsidRPr="00AB1C30">
        <w:rPr>
          <w:lang w:val="en-GB"/>
        </w:rPr>
        <w:t>Figure 8</w:t>
      </w:r>
    </w:p>
    <w:p w:rsidR="000D2ABE" w:rsidRDefault="000D2ABE" w:rsidP="00E224E0">
      <w:pPr>
        <w:pStyle w:val="Figuretitle"/>
        <w:rPr>
          <w:lang w:val="en-GB" w:eastAsia="zh-CN"/>
        </w:rPr>
      </w:pPr>
      <w:r w:rsidRPr="00AB1C30">
        <w:rPr>
          <w:lang w:val="en-GB" w:eastAsia="zh-CN"/>
        </w:rPr>
        <w:t>Disaggregation by MISO-like technique solving sixty-eight 16</w:t>
      </w:r>
      <w:r w:rsidR="00E224E0" w:rsidRPr="00AB1C30">
        <w:rPr>
          <w:lang w:val="en-GB" w:eastAsia="zh-CN"/>
        </w:rPr>
        <w:t xml:space="preserve"> × </w:t>
      </w:r>
      <w:r w:rsidRPr="00AB1C30">
        <w:rPr>
          <w:lang w:val="en-GB" w:eastAsia="zh-CN"/>
        </w:rPr>
        <w:t>16 linear eqn. systems. Sixteen </w:t>
      </w:r>
      <w:r w:rsidRPr="00AB1C30">
        <w:rPr>
          <w:bCs/>
          <w:lang w:val="en-GB" w:eastAsia="zh-CN"/>
        </w:rPr>
        <w:t>disaggregated</w:t>
      </w:r>
      <w:r w:rsidRPr="00AB1C30">
        <w:rPr>
          <w:lang w:val="en-GB" w:eastAsia="zh-CN"/>
        </w:rPr>
        <w:t xml:space="preserve"> CFRs </w:t>
      </w:r>
      <w:r w:rsidR="00E224E0" w:rsidRPr="00AB1C30">
        <w:rPr>
          <w:lang w:val="en-GB" w:eastAsia="zh-CN"/>
        </w:rPr>
        <w:br/>
      </w:r>
      <w:r w:rsidRPr="00AB1C30">
        <w:rPr>
          <w:lang w:val="en-GB" w:eastAsia="zh-CN"/>
        </w:rPr>
        <w:t xml:space="preserve">are obtained. Such CFRs are sampled at the TPS freq. positions. </w:t>
      </w:r>
      <w:r w:rsidRPr="00AB1C30">
        <w:rPr>
          <w:lang w:val="en-GB"/>
        </w:rPr>
        <w:t>The results allow (1) calculation</w:t>
      </w:r>
      <w:r w:rsidRPr="00AB1C30">
        <w:rPr>
          <w:lang w:val="en-GB"/>
        </w:rPr>
        <w:br/>
        <w:t xml:space="preserve">of individual transmitters levels; (2) </w:t>
      </w:r>
      <w:r w:rsidRPr="00AB1C30">
        <w:rPr>
          <w:lang w:val="en-GB" w:eastAsia="zh-CN"/>
        </w:rPr>
        <w:t>Reconstruction of the 16 disaggregated CIRs from</w:t>
      </w:r>
      <w:r w:rsidRPr="00AB1C30">
        <w:rPr>
          <w:lang w:val="en-GB" w:eastAsia="zh-CN"/>
        </w:rPr>
        <w:br/>
        <w:t>sparse-sampled CFR, using Compressive Sensing algorithm</w:t>
      </w:r>
    </w:p>
    <w:p w:rsidR="00B36601" w:rsidRPr="00B36601" w:rsidRDefault="00B36601" w:rsidP="00B36601">
      <w:pPr>
        <w:pStyle w:val="Figure"/>
        <w:rPr>
          <w:lang w:val="en-GB" w:eastAsia="zh-CN"/>
        </w:rPr>
      </w:pPr>
      <w:r>
        <w:object w:dxaOrig="7206" w:dyaOrig="4911">
          <v:shape id="_x0000_i1049" type="#_x0000_t75" style="width:415.95pt;height:283.4pt" o:ole="">
            <v:imagedata r:id="rId29" o:title=""/>
          </v:shape>
          <o:OLEObject Type="Embed" ProgID="CorelDraw.Graphic.16" ShapeID="_x0000_i1049" DrawAspect="Content" ObjectID="_1479641065" r:id="rId30"/>
        </w:object>
      </w:r>
    </w:p>
    <w:p w:rsidR="000D2ABE" w:rsidRPr="00AB1C30" w:rsidRDefault="000D2ABE" w:rsidP="000D2ABE">
      <w:pPr>
        <w:pStyle w:val="Headingb"/>
        <w:rPr>
          <w:lang w:val="en-GB" w:eastAsia="it-IT"/>
        </w:rPr>
      </w:pPr>
      <w:r w:rsidRPr="00AB1C30">
        <w:rPr>
          <w:lang w:val="en-GB"/>
        </w:rPr>
        <w:lastRenderedPageBreak/>
        <w:t>Results</w:t>
      </w:r>
    </w:p>
    <w:p w:rsidR="000D2ABE" w:rsidRPr="00AB1C30" w:rsidRDefault="000D2ABE" w:rsidP="000D2ABE">
      <w:pPr>
        <w:pStyle w:val="Headingb"/>
        <w:rPr>
          <w:lang w:val="en-GB"/>
        </w:rPr>
      </w:pPr>
      <w:r w:rsidRPr="00AB1C30">
        <w:rPr>
          <w:lang w:val="en-GB"/>
        </w:rPr>
        <w:t xml:space="preserve">Drawbacks of the use of different Cell IDs for each transmitter in a large scale 1-SFN </w:t>
      </w:r>
    </w:p>
    <w:p w:rsidR="000D2ABE" w:rsidRPr="00AB1C30" w:rsidRDefault="000D2ABE" w:rsidP="000D2ABE">
      <w:pPr>
        <w:rPr>
          <w:lang w:val="en-GB" w:eastAsia="it-IT"/>
        </w:rPr>
      </w:pPr>
      <w:r w:rsidRPr="00AB1C30">
        <w:rPr>
          <w:lang w:val="en-GB" w:eastAsia="it-IT"/>
        </w:rPr>
        <w:t xml:space="preserve">Minor problems caused by the use of different Cell IDs for each transmitter has been detected on a few old-generation consumer receivers. In order to study the real impact, tests in Laboratory have been performed by different organizations. </w:t>
      </w:r>
    </w:p>
    <w:p w:rsidR="000D2ABE" w:rsidRPr="00AB1C30" w:rsidRDefault="000D2ABE" w:rsidP="000D2ABE">
      <w:pPr>
        <w:rPr>
          <w:lang w:val="en-GB"/>
        </w:rPr>
      </w:pPr>
      <w:r w:rsidRPr="00AB1C30">
        <w:rPr>
          <w:lang w:val="en-GB" w:eastAsia="it-IT"/>
        </w:rPr>
        <w:t>The method could be easily implemented in the measurement receivers or VSA, requiring limited processing power. The method and test device (“SFN Scope”) was patented by RAI Research and Technological Innovation Centre. Any use is regulated by the Common Patent Policy for ITU</w:t>
      </w:r>
      <w:r w:rsidRPr="00AB1C30">
        <w:rPr>
          <w:lang w:val="en-GB" w:eastAsia="it-IT"/>
        </w:rPr>
        <w:noBreakHyphen/>
        <w:t>T/ITU-R/ISO/IEC and the associated “Guidelines for implementation of the Common Patent Policy for ITU-T/ITU-R/ISO/IEC”</w:t>
      </w:r>
      <w:r w:rsidRPr="00AB1C30">
        <w:rPr>
          <w:rStyle w:val="FootnoteReference"/>
          <w:lang w:val="en-GB" w:eastAsia="it-IT"/>
        </w:rPr>
        <w:footnoteReference w:id="1"/>
      </w:r>
      <w:r w:rsidRPr="00AB1C30">
        <w:rPr>
          <w:lang w:val="en-GB" w:eastAsia="it-IT"/>
        </w:rPr>
        <w:t xml:space="preserve">. </w:t>
      </w:r>
    </w:p>
    <w:p w:rsidR="000D2ABE" w:rsidRPr="00AB1C30" w:rsidRDefault="000D2ABE" w:rsidP="000D2ABE">
      <w:pPr>
        <w:spacing w:before="720"/>
        <w:jc w:val="center"/>
        <w:rPr>
          <w:lang w:val="en-GB" w:eastAsia="zh-CN"/>
        </w:rPr>
      </w:pPr>
      <w:r w:rsidRPr="00AB1C30">
        <w:rPr>
          <w:lang w:val="en-GB"/>
        </w:rPr>
        <w:t>______________</w:t>
      </w:r>
    </w:p>
    <w:sectPr w:rsidR="000D2ABE" w:rsidRPr="00AB1C30" w:rsidSect="007565CC">
      <w:headerReference w:type="even" r:id="rId31"/>
      <w:head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E7D" w:rsidRDefault="00393E7D">
      <w:r>
        <w:separator/>
      </w:r>
    </w:p>
  </w:endnote>
  <w:endnote w:type="continuationSeparator" w:id="0">
    <w:p w:rsidR="00393E7D" w:rsidRDefault="0039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po di carattere testo asiat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E7D" w:rsidRDefault="00393E7D">
      <w:r>
        <w:separator/>
      </w:r>
    </w:p>
  </w:footnote>
  <w:footnote w:type="continuationSeparator" w:id="0">
    <w:p w:rsidR="00393E7D" w:rsidRDefault="00393E7D">
      <w:r>
        <w:continuationSeparator/>
      </w:r>
    </w:p>
  </w:footnote>
  <w:footnote w:id="1">
    <w:p w:rsidR="00393E7D" w:rsidRPr="00610AF5" w:rsidRDefault="00393E7D" w:rsidP="00E224E0">
      <w:pPr>
        <w:pStyle w:val="FootnoteText"/>
        <w:rPr>
          <w:lang w:val="en-US"/>
        </w:rPr>
      </w:pPr>
      <w:r>
        <w:rPr>
          <w:rStyle w:val="FootnoteReference"/>
        </w:rPr>
        <w:footnoteRef/>
      </w:r>
      <w:r w:rsidR="00E224E0" w:rsidRPr="00E224E0">
        <w:rPr>
          <w:lang w:val="en-US"/>
        </w:rPr>
        <w:tab/>
      </w:r>
      <w:r w:rsidRPr="002456A4">
        <w:rPr>
          <w:lang w:val="en-US"/>
        </w:rPr>
        <w:t xml:space="preserve">The “Guidelines for </w:t>
      </w:r>
      <w:r w:rsidRPr="00E224E0">
        <w:rPr>
          <w:lang w:val="en-US"/>
        </w:rPr>
        <w:t>Implementation</w:t>
      </w:r>
      <w:r w:rsidRPr="002456A4">
        <w:rPr>
          <w:lang w:val="en-US"/>
        </w:rPr>
        <w:t xml:space="preserve"> of the Common Patent Policy for ITU-T/</w:t>
      </w:r>
      <w:r w:rsidR="00AB1C30">
        <w:rPr>
          <w:lang w:val="en-US"/>
        </w:rPr>
        <w:t xml:space="preserve">ITU-R/ISO/IEC” can be found at </w:t>
      </w:r>
      <w:hyperlink r:id="rId1" w:history="1">
        <w:r w:rsidRPr="002456A4">
          <w:rPr>
            <w:rStyle w:val="Hyperlink"/>
            <w:rFonts w:asciiTheme="majorBidi" w:hAnsiTheme="majorBidi" w:cstheme="majorBidi"/>
            <w:szCs w:val="24"/>
            <w:lang w:val="en-US"/>
          </w:rPr>
          <w:t>http://www.itu.int/dms_pub/itu-t/oth/04/04/T04040000010003PDFE.pdf</w:t>
        </w:r>
      </w:hyperlink>
      <w:r w:rsidRPr="002456A4">
        <w:rPr>
          <w:lang w:val="en-US"/>
        </w:rPr>
        <w:t>.</w:t>
      </w:r>
      <w:r>
        <w:rPr>
          <w:lang w:val="en-US"/>
        </w:rPr>
        <w:t xml:space="preserve"> </w:t>
      </w:r>
      <w:r w:rsidRPr="002456A4">
        <w:rPr>
          <w:lang w:val="en-US"/>
        </w:rPr>
        <w:t xml:space="preserve">To use the patent, contact Research Centre RAI (RAI-CRIT) at </w:t>
      </w:r>
      <w:hyperlink r:id="rId2" w:tgtFrame="_blank" w:history="1">
        <w:r w:rsidRPr="000D2ABE">
          <w:rPr>
            <w:rStyle w:val="Hyperlink"/>
            <w:rFonts w:asciiTheme="majorBidi" w:hAnsiTheme="majorBidi" w:cstheme="majorBidi"/>
            <w:szCs w:val="24"/>
            <w:lang w:val="en-US"/>
          </w:rPr>
          <w:t>http://www.crit.rai.it/IT/contatti/contatti.htm</w:t>
        </w:r>
      </w:hyperlink>
      <w:r w:rsidRPr="000D2ABE">
        <w:rPr>
          <w:lang w:val="en-US"/>
        </w:rPr>
        <w:t xml:space="preserve"> </w:t>
      </w:r>
      <w:r w:rsidRPr="002456A4">
        <w:rPr>
          <w:lang w:val="en-US"/>
        </w:rPr>
        <w:t>and subscribe to the Commitment of 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D" w:rsidRPr="00E96173" w:rsidRDefault="00393E7D"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91228">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591228" w:rsidRPr="00591228">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91228">
      <w:rPr>
        <w:b/>
        <w:bCs/>
        <w:noProof/>
      </w:rPr>
      <w:t>ITU-R  SM.2304-0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D" w:rsidRDefault="00393E7D" w:rsidP="00B033C8">
    <w:pPr>
      <w:pStyle w:val="Header"/>
      <w:ind w:right="360" w:firstLine="360"/>
    </w:pPr>
    <w:r>
      <w:rPr>
        <w:noProof/>
        <w:lang w:val="en-US" w:eastAsia="zh-CN"/>
      </w:rPr>
      <w:drawing>
        <wp:anchor distT="0" distB="0" distL="114300" distR="114300" simplePos="0" relativeHeight="251657728" behindDoc="1" locked="0" layoutInCell="1" allowOverlap="1" wp14:anchorId="62DEB772" wp14:editId="153081D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D" w:rsidRDefault="00393E7D" w:rsidP="009275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228">
      <w:rPr>
        <w:rStyle w:val="PageNumber"/>
        <w:b/>
        <w:bCs/>
        <w:noProof/>
        <w:lang w:val="en-US"/>
      </w:rPr>
      <w:t>10</w:t>
    </w:r>
    <w:r>
      <w:rPr>
        <w:rStyle w:val="PageNumber"/>
        <w:b/>
        <w:bCs/>
      </w:rPr>
      <w:fldChar w:fldCharType="end"/>
    </w:r>
    <w:r>
      <w:rPr>
        <w:lang w:val="en-US"/>
      </w:rPr>
      <w:tab/>
    </w:r>
    <w:fldSimple w:instr=" DOCPROPERTY &quot;Header 2&quot; \* MERGEFORMAT ">
      <w:r w:rsidR="00591228" w:rsidRPr="00591228">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91228">
      <w:rPr>
        <w:b/>
        <w:bCs/>
        <w:noProof/>
      </w:rPr>
      <w:t>ITU-R  SM.2304-0</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E7D" w:rsidRPr="00B21000" w:rsidRDefault="00393E7D" w:rsidP="00B21000">
    <w:pPr>
      <w:pStyle w:val="Header"/>
      <w:jc w:val="both"/>
    </w:pPr>
    <w:r w:rsidRPr="00B21000">
      <w:rPr>
        <w:lang w:val="en-US"/>
      </w:rPr>
      <w:tab/>
    </w:r>
    <w:fldSimple w:instr=" DOCPROPERTY &quot;Header 2&quot; \* MERGEFORMAT ">
      <w:r w:rsidR="00591228" w:rsidRPr="00591228">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591228">
      <w:rPr>
        <w:b/>
        <w:bCs/>
        <w:noProof/>
      </w:rPr>
      <w:t>ITU-R  SM.2304-0</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591228">
      <w:rPr>
        <w:b/>
        <w:bCs/>
        <w:noProof/>
        <w:lang w:val="en-US"/>
      </w:rPr>
      <w:t>11</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6030B"/>
    <w:rsid w:val="00072484"/>
    <w:rsid w:val="00077B11"/>
    <w:rsid w:val="00081C0B"/>
    <w:rsid w:val="0009150E"/>
    <w:rsid w:val="00096612"/>
    <w:rsid w:val="000B7683"/>
    <w:rsid w:val="000B7B53"/>
    <w:rsid w:val="000C0413"/>
    <w:rsid w:val="000C3624"/>
    <w:rsid w:val="000D25A0"/>
    <w:rsid w:val="000D2ABE"/>
    <w:rsid w:val="000E4FD1"/>
    <w:rsid w:val="000F3C25"/>
    <w:rsid w:val="000F6FC4"/>
    <w:rsid w:val="00102934"/>
    <w:rsid w:val="00121140"/>
    <w:rsid w:val="00147110"/>
    <w:rsid w:val="00196FD1"/>
    <w:rsid w:val="001A5259"/>
    <w:rsid w:val="001B0110"/>
    <w:rsid w:val="001C70F6"/>
    <w:rsid w:val="001F3D5A"/>
    <w:rsid w:val="00201545"/>
    <w:rsid w:val="002058CE"/>
    <w:rsid w:val="00205EEB"/>
    <w:rsid w:val="002165F1"/>
    <w:rsid w:val="00234528"/>
    <w:rsid w:val="00247681"/>
    <w:rsid w:val="002558DC"/>
    <w:rsid w:val="002559CF"/>
    <w:rsid w:val="00267ED8"/>
    <w:rsid w:val="00276D21"/>
    <w:rsid w:val="00280CD5"/>
    <w:rsid w:val="00296D7F"/>
    <w:rsid w:val="00297D43"/>
    <w:rsid w:val="002B32C9"/>
    <w:rsid w:val="002B3CF6"/>
    <w:rsid w:val="002C768A"/>
    <w:rsid w:val="002D1160"/>
    <w:rsid w:val="002D76C4"/>
    <w:rsid w:val="002D77AF"/>
    <w:rsid w:val="00320270"/>
    <w:rsid w:val="00330BEC"/>
    <w:rsid w:val="00351573"/>
    <w:rsid w:val="00353234"/>
    <w:rsid w:val="003571CE"/>
    <w:rsid w:val="00357282"/>
    <w:rsid w:val="0035749B"/>
    <w:rsid w:val="00362ED1"/>
    <w:rsid w:val="00377D55"/>
    <w:rsid w:val="00382E8A"/>
    <w:rsid w:val="0038303E"/>
    <w:rsid w:val="00393E7D"/>
    <w:rsid w:val="00397777"/>
    <w:rsid w:val="003B4EE8"/>
    <w:rsid w:val="003E539C"/>
    <w:rsid w:val="004056F5"/>
    <w:rsid w:val="00420DFD"/>
    <w:rsid w:val="004319C1"/>
    <w:rsid w:val="0046139A"/>
    <w:rsid w:val="00470E28"/>
    <w:rsid w:val="004720FC"/>
    <w:rsid w:val="004934C5"/>
    <w:rsid w:val="004A5423"/>
    <w:rsid w:val="004D54BF"/>
    <w:rsid w:val="00505FB4"/>
    <w:rsid w:val="00526063"/>
    <w:rsid w:val="00536E0F"/>
    <w:rsid w:val="005525BB"/>
    <w:rsid w:val="00555806"/>
    <w:rsid w:val="00556548"/>
    <w:rsid w:val="005600C9"/>
    <w:rsid w:val="00586EF8"/>
    <w:rsid w:val="00591228"/>
    <w:rsid w:val="005A791E"/>
    <w:rsid w:val="005B49AB"/>
    <w:rsid w:val="005B50E7"/>
    <w:rsid w:val="005D3544"/>
    <w:rsid w:val="005E7B4F"/>
    <w:rsid w:val="00607D68"/>
    <w:rsid w:val="006149B1"/>
    <w:rsid w:val="00680D2B"/>
    <w:rsid w:val="00681B32"/>
    <w:rsid w:val="006A1F02"/>
    <w:rsid w:val="006E2037"/>
    <w:rsid w:val="006F2B77"/>
    <w:rsid w:val="00712870"/>
    <w:rsid w:val="0071424C"/>
    <w:rsid w:val="00720B68"/>
    <w:rsid w:val="00743D85"/>
    <w:rsid w:val="0074518F"/>
    <w:rsid w:val="00752FD3"/>
    <w:rsid w:val="00753CF4"/>
    <w:rsid w:val="007565CC"/>
    <w:rsid w:val="00763B9A"/>
    <w:rsid w:val="00785197"/>
    <w:rsid w:val="00786F7B"/>
    <w:rsid w:val="007A4F79"/>
    <w:rsid w:val="007A6AA8"/>
    <w:rsid w:val="007B203C"/>
    <w:rsid w:val="007C2459"/>
    <w:rsid w:val="007F07CA"/>
    <w:rsid w:val="00811FBD"/>
    <w:rsid w:val="008236BB"/>
    <w:rsid w:val="008310C9"/>
    <w:rsid w:val="00836298"/>
    <w:rsid w:val="00852A34"/>
    <w:rsid w:val="00870342"/>
    <w:rsid w:val="0087251C"/>
    <w:rsid w:val="008815AC"/>
    <w:rsid w:val="00892CAC"/>
    <w:rsid w:val="00892E21"/>
    <w:rsid w:val="008B2CC6"/>
    <w:rsid w:val="008B54B8"/>
    <w:rsid w:val="008C6D90"/>
    <w:rsid w:val="008C7848"/>
    <w:rsid w:val="008D3D8D"/>
    <w:rsid w:val="008E236A"/>
    <w:rsid w:val="009030CC"/>
    <w:rsid w:val="00917AF2"/>
    <w:rsid w:val="0092418A"/>
    <w:rsid w:val="009275BD"/>
    <w:rsid w:val="00934ED7"/>
    <w:rsid w:val="009474D9"/>
    <w:rsid w:val="009543C3"/>
    <w:rsid w:val="0096078B"/>
    <w:rsid w:val="00966E1B"/>
    <w:rsid w:val="009A1E30"/>
    <w:rsid w:val="009A351D"/>
    <w:rsid w:val="009C7047"/>
    <w:rsid w:val="009D77BB"/>
    <w:rsid w:val="009F2D2C"/>
    <w:rsid w:val="00A06F60"/>
    <w:rsid w:val="00A15D40"/>
    <w:rsid w:val="00A54559"/>
    <w:rsid w:val="00A6617B"/>
    <w:rsid w:val="00A71FE5"/>
    <w:rsid w:val="00A7301F"/>
    <w:rsid w:val="00A800A7"/>
    <w:rsid w:val="00AA3AD8"/>
    <w:rsid w:val="00AA57E2"/>
    <w:rsid w:val="00AB0DC8"/>
    <w:rsid w:val="00AB1C30"/>
    <w:rsid w:val="00AC3946"/>
    <w:rsid w:val="00AD26B8"/>
    <w:rsid w:val="00AD568E"/>
    <w:rsid w:val="00AF0D45"/>
    <w:rsid w:val="00B033C8"/>
    <w:rsid w:val="00B036D9"/>
    <w:rsid w:val="00B1301F"/>
    <w:rsid w:val="00B135F6"/>
    <w:rsid w:val="00B21000"/>
    <w:rsid w:val="00B257C1"/>
    <w:rsid w:val="00B33425"/>
    <w:rsid w:val="00B36601"/>
    <w:rsid w:val="00B40C57"/>
    <w:rsid w:val="00B44E24"/>
    <w:rsid w:val="00B47809"/>
    <w:rsid w:val="00B54ECC"/>
    <w:rsid w:val="00B567BC"/>
    <w:rsid w:val="00B6131E"/>
    <w:rsid w:val="00B61918"/>
    <w:rsid w:val="00B714F3"/>
    <w:rsid w:val="00B75A37"/>
    <w:rsid w:val="00B8593F"/>
    <w:rsid w:val="00BB4DF0"/>
    <w:rsid w:val="00BC5D77"/>
    <w:rsid w:val="00BC6FC2"/>
    <w:rsid w:val="00BD3F5C"/>
    <w:rsid w:val="00BE5B84"/>
    <w:rsid w:val="00BF15C3"/>
    <w:rsid w:val="00BF487A"/>
    <w:rsid w:val="00BF5D35"/>
    <w:rsid w:val="00C114A7"/>
    <w:rsid w:val="00C17FDF"/>
    <w:rsid w:val="00C31B63"/>
    <w:rsid w:val="00C4527C"/>
    <w:rsid w:val="00C46BD9"/>
    <w:rsid w:val="00C55258"/>
    <w:rsid w:val="00C61D90"/>
    <w:rsid w:val="00C728FC"/>
    <w:rsid w:val="00C73560"/>
    <w:rsid w:val="00C7761D"/>
    <w:rsid w:val="00C93B65"/>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33C92"/>
    <w:rsid w:val="00D503C9"/>
    <w:rsid w:val="00D50B43"/>
    <w:rsid w:val="00D510AC"/>
    <w:rsid w:val="00D55B55"/>
    <w:rsid w:val="00D57367"/>
    <w:rsid w:val="00D722EF"/>
    <w:rsid w:val="00D73FBE"/>
    <w:rsid w:val="00D8150A"/>
    <w:rsid w:val="00D825CE"/>
    <w:rsid w:val="00D83331"/>
    <w:rsid w:val="00D91F7F"/>
    <w:rsid w:val="00DB4F6A"/>
    <w:rsid w:val="00DD6379"/>
    <w:rsid w:val="00DF087C"/>
    <w:rsid w:val="00DF4176"/>
    <w:rsid w:val="00E11036"/>
    <w:rsid w:val="00E17240"/>
    <w:rsid w:val="00E1785F"/>
    <w:rsid w:val="00E224E0"/>
    <w:rsid w:val="00E41A83"/>
    <w:rsid w:val="00E52342"/>
    <w:rsid w:val="00E7610E"/>
    <w:rsid w:val="00E83CDE"/>
    <w:rsid w:val="00E84492"/>
    <w:rsid w:val="00E96173"/>
    <w:rsid w:val="00ED683F"/>
    <w:rsid w:val="00EF7277"/>
    <w:rsid w:val="00F103A9"/>
    <w:rsid w:val="00F142D5"/>
    <w:rsid w:val="00F20231"/>
    <w:rsid w:val="00F30C9B"/>
    <w:rsid w:val="00F354B1"/>
    <w:rsid w:val="00F545E6"/>
    <w:rsid w:val="00F72869"/>
    <w:rsid w:val="00F77437"/>
    <w:rsid w:val="00F90896"/>
    <w:rsid w:val="00FB0E4E"/>
    <w:rsid w:val="00FC466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d62a47"/>
      <o:colormenu v:ext="edit" strokecolor="#d62a47"/>
    </o:shapedefaults>
    <o:shapelayout v:ext="edit">
      <o:idmap v:ext="edit" data="1"/>
    </o:shapelayout>
  </w:shapeDefaults>
  <w:decimalSymbol w:val="."/>
  <w:listSeparator w:val=","/>
  <w15:docId w15:val="{C4B3CB9C-74DC-41EF-BE64-43A64828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D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17FDF"/>
    <w:pPr>
      <w:keepNext/>
      <w:keepLines/>
      <w:spacing w:before="480"/>
      <w:ind w:left="794" w:hanging="794"/>
      <w:outlineLvl w:val="0"/>
    </w:pPr>
    <w:rPr>
      <w:b/>
    </w:rPr>
  </w:style>
  <w:style w:type="paragraph" w:styleId="Heading2">
    <w:name w:val="heading 2"/>
    <w:basedOn w:val="Heading1"/>
    <w:next w:val="Normal"/>
    <w:qFormat/>
    <w:rsid w:val="00C17FDF"/>
    <w:pPr>
      <w:spacing w:before="320"/>
      <w:outlineLvl w:val="1"/>
    </w:pPr>
  </w:style>
  <w:style w:type="paragraph" w:styleId="Heading3">
    <w:name w:val="heading 3"/>
    <w:basedOn w:val="Heading1"/>
    <w:next w:val="Normal"/>
    <w:qFormat/>
    <w:rsid w:val="00C17FDF"/>
    <w:pPr>
      <w:spacing w:before="200"/>
      <w:outlineLvl w:val="2"/>
    </w:pPr>
  </w:style>
  <w:style w:type="paragraph" w:styleId="Heading4">
    <w:name w:val="heading 4"/>
    <w:basedOn w:val="Heading3"/>
    <w:next w:val="Normal"/>
    <w:qFormat/>
    <w:rsid w:val="00C17FDF"/>
    <w:pPr>
      <w:tabs>
        <w:tab w:val="clear" w:pos="794"/>
        <w:tab w:val="left" w:pos="992"/>
      </w:tabs>
      <w:ind w:left="992" w:hanging="992"/>
      <w:outlineLvl w:val="3"/>
    </w:pPr>
  </w:style>
  <w:style w:type="paragraph" w:styleId="Heading5">
    <w:name w:val="heading 5"/>
    <w:basedOn w:val="Heading4"/>
    <w:next w:val="Normal"/>
    <w:qFormat/>
    <w:rsid w:val="00C17FDF"/>
    <w:pPr>
      <w:outlineLvl w:val="4"/>
    </w:pPr>
  </w:style>
  <w:style w:type="paragraph" w:styleId="Heading6">
    <w:name w:val="heading 6"/>
    <w:basedOn w:val="Heading4"/>
    <w:next w:val="Normal"/>
    <w:qFormat/>
    <w:rsid w:val="00C17FDF"/>
    <w:pPr>
      <w:tabs>
        <w:tab w:val="clear" w:pos="992"/>
        <w:tab w:val="clear" w:pos="1191"/>
      </w:tabs>
      <w:ind w:left="1588" w:hanging="1588"/>
      <w:outlineLvl w:val="5"/>
    </w:pPr>
  </w:style>
  <w:style w:type="paragraph" w:styleId="Heading7">
    <w:name w:val="heading 7"/>
    <w:basedOn w:val="Heading6"/>
    <w:next w:val="Normal"/>
    <w:qFormat/>
    <w:rsid w:val="00C17FDF"/>
    <w:pPr>
      <w:outlineLvl w:val="6"/>
    </w:pPr>
  </w:style>
  <w:style w:type="paragraph" w:styleId="Heading8">
    <w:name w:val="heading 8"/>
    <w:basedOn w:val="Heading6"/>
    <w:next w:val="Normal"/>
    <w:qFormat/>
    <w:rsid w:val="00C17FDF"/>
    <w:pPr>
      <w:outlineLvl w:val="7"/>
    </w:pPr>
  </w:style>
  <w:style w:type="paragraph" w:styleId="Heading9">
    <w:name w:val="heading 9"/>
    <w:basedOn w:val="Heading6"/>
    <w:next w:val="Normal"/>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qFormat/>
    <w:rsid w:val="00C17FDF"/>
    <w:pPr>
      <w:spacing w:before="160"/>
      <w:ind w:left="0" w:firstLine="0"/>
      <w:outlineLvl w:val="9"/>
    </w:pPr>
  </w:style>
  <w:style w:type="paragraph" w:customStyle="1" w:styleId="Headingi">
    <w:name w:val="Heading_i"/>
    <w:basedOn w:val="Heading3"/>
    <w:next w:val="Normal"/>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rsid w:val="00C17FDF"/>
    <w:pPr>
      <w:keepNext/>
      <w:keepLines/>
      <w:spacing w:before="480" w:after="80"/>
      <w:jc w:val="center"/>
    </w:pPr>
    <w:rPr>
      <w:b/>
      <w:sz w:val="28"/>
    </w:rPr>
  </w:style>
  <w:style w:type="paragraph" w:customStyle="1" w:styleId="enumlev1">
    <w:name w:val="enumlev1"/>
    <w:basedOn w:val="Normal"/>
    <w:rsid w:val="00C17FDF"/>
    <w:pPr>
      <w:spacing w:before="80"/>
      <w:ind w:left="794" w:hanging="794"/>
    </w:pPr>
  </w:style>
  <w:style w:type="paragraph" w:customStyle="1" w:styleId="Equation">
    <w:name w:val="Equation"/>
    <w:basedOn w:val="Normal"/>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basedOn w:val="Normal"/>
    <w:link w:val="FootnoteTextChar"/>
    <w:rsid w:val="00C17FDF"/>
    <w:pPr>
      <w:keepLines/>
      <w:tabs>
        <w:tab w:val="left" w:pos="255"/>
      </w:tabs>
      <w:ind w:left="255" w:hanging="255"/>
    </w:pPr>
    <w:rPr>
      <w:sz w:val="22"/>
    </w:rPr>
  </w:style>
  <w:style w:type="paragraph" w:customStyle="1" w:styleId="Normalaftertitle">
    <w:name w:val="Normal_after_title"/>
    <w:basedOn w:val="Normal"/>
    <w:next w:val="Normal"/>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17FDF"/>
    <w:pPr>
      <w:keepNext/>
      <w:spacing w:before="360" w:after="120"/>
      <w:jc w:val="center"/>
    </w:pPr>
  </w:style>
  <w:style w:type="paragraph" w:customStyle="1" w:styleId="Equationlegend">
    <w:name w:val="Equation_legend"/>
    <w:basedOn w:val="NormalIndent"/>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17FDF"/>
    <w:pPr>
      <w:keepNext/>
      <w:keepLines/>
      <w:spacing w:before="480" w:after="80"/>
      <w:jc w:val="center"/>
    </w:pPr>
    <w:rPr>
      <w:caps/>
      <w:sz w:val="18"/>
    </w:rPr>
  </w:style>
  <w:style w:type="paragraph" w:customStyle="1" w:styleId="Figuretitle">
    <w:name w:val="Figure_title"/>
    <w:basedOn w:val="Normal"/>
    <w:next w:val="Figure"/>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17FDF"/>
    <w:pPr>
      <w:keepNext/>
      <w:keepLines/>
      <w:spacing w:before="480"/>
      <w:jc w:val="center"/>
    </w:pPr>
    <w:rPr>
      <w:sz w:val="28"/>
    </w:rPr>
  </w:style>
  <w:style w:type="paragraph" w:customStyle="1" w:styleId="Arttitle">
    <w:name w:val="Art_title"/>
    <w:basedOn w:val="Normal"/>
    <w:next w:val="Normalaftertitle"/>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basedOn w:val="DefaultParagraphFont"/>
    <w:uiPriority w:val="99"/>
    <w:rsid w:val="00C17FDF"/>
    <w:rPr>
      <w:position w:val="6"/>
      <w:sz w:val="18"/>
    </w:rPr>
  </w:style>
  <w:style w:type="paragraph" w:styleId="Index1">
    <w:name w:val="index 1"/>
    <w:basedOn w:val="Normal"/>
    <w:next w:val="Normal"/>
    <w:semiHidden/>
    <w:rsid w:val="00C17FDF"/>
  </w:style>
  <w:style w:type="paragraph" w:styleId="Index2">
    <w:name w:val="index 2"/>
    <w:basedOn w:val="Normal"/>
    <w:next w:val="Normal"/>
    <w:semiHidden/>
    <w:rsid w:val="00C17FDF"/>
    <w:pPr>
      <w:ind w:left="283"/>
    </w:pPr>
  </w:style>
  <w:style w:type="paragraph" w:styleId="Index3">
    <w:name w:val="index 3"/>
    <w:basedOn w:val="Normal"/>
    <w:next w:val="Normal"/>
    <w:semiHidden/>
    <w:rsid w:val="00C17FDF"/>
    <w:pPr>
      <w:ind w:left="566"/>
    </w:pPr>
  </w:style>
  <w:style w:type="paragraph" w:styleId="IndexHeading">
    <w:name w:val="index heading"/>
    <w:basedOn w:val="Normal"/>
    <w:next w:val="Index1"/>
    <w:semiHidden/>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rsid w:val="00C17FDF"/>
  </w:style>
  <w:style w:type="paragraph" w:customStyle="1" w:styleId="Restitle">
    <w:name w:val="Res_title"/>
    <w:basedOn w:val="Normal"/>
    <w:next w:val="Resref"/>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semiHidden/>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17FDF"/>
    <w:pPr>
      <w:tabs>
        <w:tab w:val="clear" w:pos="567"/>
        <w:tab w:val="left" w:pos="1276"/>
      </w:tabs>
      <w:spacing w:before="160"/>
      <w:ind w:left="1276" w:hanging="709"/>
    </w:pPr>
  </w:style>
  <w:style w:type="paragraph" w:styleId="TOC3">
    <w:name w:val="toc 3"/>
    <w:basedOn w:val="TOC2"/>
    <w:semiHidden/>
    <w:rsid w:val="00C17FDF"/>
    <w:pPr>
      <w:tabs>
        <w:tab w:val="clear" w:pos="1276"/>
        <w:tab w:val="left" w:pos="2155"/>
      </w:tabs>
      <w:ind w:left="2155" w:hanging="879"/>
    </w:pPr>
  </w:style>
  <w:style w:type="paragraph" w:styleId="TOC4">
    <w:name w:val="toc 4"/>
    <w:basedOn w:val="TOC3"/>
    <w:semiHidden/>
    <w:rsid w:val="00C17FDF"/>
    <w:pPr>
      <w:tabs>
        <w:tab w:val="left" w:pos="3261"/>
      </w:tabs>
      <w:spacing w:before="80"/>
      <w:ind w:left="3261" w:hanging="993"/>
    </w:pPr>
  </w:style>
  <w:style w:type="paragraph" w:styleId="TOC5">
    <w:name w:val="toc 5"/>
    <w:basedOn w:val="TOC4"/>
    <w:semiHidden/>
    <w:rsid w:val="00C17FDF"/>
  </w:style>
  <w:style w:type="paragraph" w:styleId="TOC6">
    <w:name w:val="toc 6"/>
    <w:basedOn w:val="TOC4"/>
    <w:semiHidden/>
    <w:rsid w:val="00C17FDF"/>
  </w:style>
  <w:style w:type="paragraph" w:styleId="TOC7">
    <w:name w:val="toc 7"/>
    <w:basedOn w:val="TOC4"/>
    <w:semiHidden/>
    <w:rsid w:val="00C17FDF"/>
  </w:style>
  <w:style w:type="paragraph" w:styleId="TOC8">
    <w:name w:val="toc 8"/>
    <w:basedOn w:val="TOC4"/>
    <w:semiHidden/>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character" w:styleId="PlaceholderText">
    <w:name w:val="Placeholder Text"/>
    <w:basedOn w:val="DefaultParagraphFont"/>
    <w:uiPriority w:val="99"/>
    <w:semiHidden/>
    <w:rsid w:val="00196FD1"/>
    <w:rPr>
      <w:color w:val="808080"/>
    </w:rPr>
  </w:style>
  <w:style w:type="character" w:customStyle="1" w:styleId="FootnoteTextChar">
    <w:name w:val="Footnote Text Char"/>
    <w:basedOn w:val="DefaultParagraphFont"/>
    <w:link w:val="FootnoteText"/>
    <w:rsid w:val="000D2ABE"/>
    <w:rPr>
      <w:sz w:val="22"/>
      <w:lang w:val="fr-FR" w:eastAsia="en-US"/>
    </w:rPr>
  </w:style>
  <w:style w:type="paragraph" w:styleId="BalloonText">
    <w:name w:val="Balloon Text"/>
    <w:basedOn w:val="Normal"/>
    <w:link w:val="BalloonTextChar"/>
    <w:rsid w:val="00121140"/>
    <w:pPr>
      <w:spacing w:before="0"/>
    </w:pPr>
    <w:rPr>
      <w:rFonts w:ascii="Tahoma" w:hAnsi="Tahoma" w:cs="Tahoma"/>
      <w:sz w:val="16"/>
      <w:szCs w:val="16"/>
    </w:rPr>
  </w:style>
  <w:style w:type="character" w:customStyle="1" w:styleId="BalloonTextChar">
    <w:name w:val="Balloon Text Char"/>
    <w:basedOn w:val="DefaultParagraphFont"/>
    <w:link w:val="BalloonText"/>
    <w:rsid w:val="0012114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2" Type="http://schemas.openxmlformats.org/officeDocument/2006/relationships/hyperlink" Target="https://webmail.fcc.gov/owa/redir.aspx?C=7b00eb26731f44df9737a0acd303af5c&amp;URL=http%3a%2f%2fwww.crit.rai.it%2fIT%2fcontatti%2fcontatti.htm" TargetMode="External"/><Relationship Id="rId1" Type="http://schemas.openxmlformats.org/officeDocument/2006/relationships/hyperlink" Target="http://www.itu.int/dms_pub/itu-t/oth/04/04/T04040000010003PDF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985D4-F50D-4254-AD7D-FB534995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553</TotalTime>
  <Pages>13</Pages>
  <Words>3446</Words>
  <Characters>19647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ITU-T Rec.</vt:lpstr>
    </vt:vector>
  </TitlesOfParts>
  <Company>ITU</Company>
  <LinksUpToDate>false</LinksUpToDate>
  <CharactersWithSpaces>23047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creator>ITU-T Study Group un</dc:creator>
  <dc:description>Saved by JK-106306 at 10:34:24 on 03.07.2009</dc:description>
  <cp:lastModifiedBy>Brice, Corinne</cp:lastModifiedBy>
  <cp:revision>49</cp:revision>
  <cp:lastPrinted>2014-12-09T13:33:00Z</cp:lastPrinted>
  <dcterms:created xsi:type="dcterms:W3CDTF">2014-07-15T08:35:00Z</dcterms:created>
  <dcterms:modified xsi:type="dcterms:W3CDTF">2014-12-09T13:36:00Z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